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 ContentType="image/tiff"/>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9A1EE1" w:rsidRPr="00E141F1" w14:paraId="48B3E7C8" w14:textId="77777777" w:rsidTr="00B51128">
        <w:tc>
          <w:tcPr>
            <w:tcW w:w="8973" w:type="dxa"/>
            <w:shd w:val="clear" w:color="auto" w:fill="auto"/>
          </w:tcPr>
          <w:bookmarkStart w:id="0" w:name="_GoBack"/>
          <w:bookmarkEnd w:id="0"/>
          <w:p w14:paraId="022960F9" w14:textId="77777777" w:rsidR="009A1EE1" w:rsidRDefault="009A1EE1" w:rsidP="00B51128">
            <w:pPr>
              <w:pStyle w:val="ReportSubtitle"/>
              <w:spacing w:after="360" w:line="520" w:lineRule="exact"/>
              <w:rPr>
                <w:rFonts w:cs="Arial"/>
              </w:rPr>
            </w:pPr>
            <w:r>
              <w:rPr>
                <w:rFonts w:cs="Arial"/>
                <w:noProof/>
              </w:rPr>
              <mc:AlternateContent>
                <mc:Choice Requires="wps">
                  <w:drawing>
                    <wp:anchor distT="0" distB="0" distL="114300" distR="114300" simplePos="0" relativeHeight="251658240" behindDoc="0" locked="0" layoutInCell="1" allowOverlap="1" wp14:anchorId="087583DD" wp14:editId="5C3945B5">
                      <wp:simplePos x="0" y="0"/>
                      <wp:positionH relativeFrom="column">
                        <wp:posOffset>10795</wp:posOffset>
                      </wp:positionH>
                      <wp:positionV relativeFrom="paragraph">
                        <wp:posOffset>1118235</wp:posOffset>
                      </wp:positionV>
                      <wp:extent cx="2646680" cy="635"/>
                      <wp:effectExtent l="5715" t="9525" r="5080" b="8890"/>
                      <wp:wrapNone/>
                      <wp:docPr id="91" name="Straight Arrow Connector 91" title="Straight 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4668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C916C7" id="_x0000_t32" coordsize="21600,21600" o:spt="32" o:oned="t" path="m,l21600,21600e" filled="f">
                      <v:path arrowok="t" fillok="f" o:connecttype="none"/>
                      <o:lock v:ext="edit" shapetype="t"/>
                    </v:shapetype>
                    <v:shape id="Straight Arrow Connector 91" o:spid="_x0000_s1026" type="#_x0000_t32" alt="Title: Straight line" style="position:absolute;margin-left:.85pt;margin-top:88.05pt;width:208.4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"/>
                  </w:pict>
                </mc:Fallback>
              </mc:AlternateContent>
            </w:r>
            <w:r>
              <w:rPr>
                <w:rFonts w:cs="Arial"/>
              </w:rPr>
              <w:t xml:space="preserve">Australian </w:t>
            </w:r>
            <w:r>
              <w:rPr>
                <w:rFonts w:cs="Arial"/>
              </w:rPr>
              <w:br/>
              <w:t xml:space="preserve">Communications </w:t>
            </w:r>
            <w:r>
              <w:rPr>
                <w:rFonts w:cs="Arial"/>
              </w:rPr>
              <w:br/>
              <w:t xml:space="preserve">and </w:t>
            </w:r>
            <w:r w:rsidRPr="008C447D">
              <w:rPr>
                <w:rFonts w:cs="Arial"/>
              </w:rPr>
              <w:t>Media</w:t>
            </w:r>
            <w:r>
              <w:rPr>
                <w:rFonts w:cs="Arial"/>
              </w:rPr>
              <w:t xml:space="preserve"> Authority</w:t>
            </w:r>
          </w:p>
          <w:p w14:paraId="0879EE34" w14:textId="77777777" w:rsidR="009A1EE1" w:rsidRPr="00E141F1" w:rsidRDefault="009A1EE1" w:rsidP="00B51128">
            <w:pPr>
              <w:pStyle w:val="ReportTitle"/>
              <w:rPr>
                <w:rFonts w:cs="Arial"/>
              </w:rPr>
            </w:pPr>
            <w:r w:rsidRPr="00E141F1">
              <w:rPr>
                <w:rFonts w:cs="Arial"/>
              </w:rPr>
              <w:t>Communications report</w:t>
            </w:r>
          </w:p>
        </w:tc>
      </w:tr>
      <w:tr w:rsidR="009A1EE1" w:rsidRPr="00E141F1" w14:paraId="13E76F56" w14:textId="77777777" w:rsidTr="00B51128">
        <w:tc>
          <w:tcPr>
            <w:tcW w:w="8973" w:type="dxa"/>
            <w:shd w:val="clear" w:color="auto" w:fill="auto"/>
            <w:tcMar>
              <w:bottom w:w="232" w:type="dxa"/>
            </w:tcMar>
          </w:tcPr>
          <w:p w14:paraId="38CFB88B" w14:textId="77777777" w:rsidR="009A1EE1" w:rsidRPr="00B5110F" w:rsidRDefault="000745F5" w:rsidP="00B5110F">
            <w:pPr>
              <w:pStyle w:val="ReportSubtitle"/>
              <w:spacing w:after="360" w:line="520" w:lineRule="exact"/>
              <w:rPr>
                <w:rFonts w:cs="Arial"/>
                <w:b/>
              </w:rPr>
            </w:pPr>
            <w:r>
              <w:rPr>
                <w:rFonts w:cs="Arial"/>
              </w:rPr>
              <w:t>2016–17</w:t>
            </w:r>
          </w:p>
        </w:tc>
      </w:tr>
    </w:tbl>
    <w:p w14:paraId="30A6EA9E" w14:textId="77777777" w:rsidR="00C97736" w:rsidRDefault="00C97736" w:rsidP="0041071D">
      <w:pPr>
        <w:rPr>
          <w:rFonts w:cs="Arial"/>
        </w:rPr>
      </w:pPr>
      <w:bookmarkStart w:id="1" w:name="_Toc433790270"/>
    </w:p>
    <w:p w14:paraId="0E8387F8" w14:textId="77777777" w:rsidR="00ED45DF" w:rsidRPr="00FD7E86" w:rsidRDefault="00ED45DF" w:rsidP="0041071D">
      <w:pPr>
        <w:rPr>
          <w:rFonts w:cs="Arial"/>
        </w:rPr>
        <w:sectPr w:rsidR="00ED45DF" w:rsidRPr="00FD7E86" w:rsidSect="00604073">
          <w:headerReference w:type="even" r:id="rId14"/>
          <w:headerReference w:type="default" r:id="rId15"/>
          <w:footerReference w:type="even" r:id="rId16"/>
          <w:footerReference w:type="default" r:id="rId17"/>
          <w:headerReference w:type="first" r:id="rId18"/>
          <w:footerReference w:type="first" r:id="rId19"/>
          <w:endnotePr>
            <w:numFmt w:val="decimal"/>
          </w:endnotePr>
          <w:pgSz w:w="11907" w:h="16839" w:code="9"/>
          <w:pgMar w:top="3924" w:right="1797" w:bottom="1440" w:left="1134" w:header="709" w:footer="454" w:gutter="0"/>
          <w:cols w:space="708"/>
          <w:docGrid w:linePitch="360"/>
        </w:sectPr>
      </w:pPr>
    </w:p>
    <w:p w14:paraId="6703DD07" w14:textId="77777777" w:rsidR="000745F5" w:rsidRDefault="000745F5" w:rsidP="001D70F6">
      <w:r>
        <w:lastRenderedPageBreak/>
        <w:t xml:space="preserve">The ACMA </w:t>
      </w:r>
      <w:r>
        <w:rPr>
          <w:i/>
        </w:rPr>
        <w:t>Communications report 2016–17</w:t>
      </w:r>
      <w:r>
        <w:t xml:space="preserve"> (the Communications report) draws on data from a range of sources including the ACMA’s own databases, information reported by industry, the ACMA’s research using third-party public sources, and commissioned surveys and analysis.</w:t>
      </w:r>
    </w:p>
    <w:p w14:paraId="1A434EA1" w14:textId="77777777" w:rsidR="000745F5" w:rsidRDefault="000745F5" w:rsidP="000745F5">
      <w:r>
        <w:t xml:space="preserve">The ACMA has a statutory reporting obligation under section 105 of the </w:t>
      </w:r>
      <w:r>
        <w:rPr>
          <w:i/>
        </w:rPr>
        <w:t>Telecommunications Act 1997</w:t>
      </w:r>
      <w:r>
        <w:t xml:space="preserve"> that requires it to collect data from industry for monitoring and reporting purposes. The ACMA will continue to work with industry participants to identify opportunities to streamline regulatory reporting arrangements as part of the Australian </w:t>
      </w:r>
      <w:r w:rsidR="00A55142">
        <w:t>G</w:t>
      </w:r>
      <w:r>
        <w:t>overnment’s regulation reform agenda.</w:t>
      </w:r>
    </w:p>
    <w:p w14:paraId="232C3E59" w14:textId="77777777" w:rsidR="000745F5" w:rsidRDefault="000745F5" w:rsidP="000745F5">
      <w:pPr>
        <w:pStyle w:val="Heading3"/>
      </w:pPr>
      <w:bookmarkStart w:id="2" w:name="_Toc494799288"/>
      <w:bookmarkStart w:id="3" w:name="_Toc494805591"/>
      <w:bookmarkStart w:id="4" w:name="_Toc494805820"/>
      <w:bookmarkStart w:id="5" w:name="_Toc494808451"/>
      <w:bookmarkStart w:id="6" w:name="_Toc494815856"/>
      <w:bookmarkStart w:id="7" w:name="_Toc494818717"/>
      <w:bookmarkStart w:id="8" w:name="_Toc494818984"/>
      <w:r>
        <w:t>Disclaimer</w:t>
      </w:r>
      <w:bookmarkEnd w:id="2"/>
      <w:bookmarkEnd w:id="3"/>
      <w:bookmarkEnd w:id="4"/>
      <w:bookmarkEnd w:id="5"/>
      <w:bookmarkEnd w:id="6"/>
      <w:bookmarkEnd w:id="7"/>
      <w:bookmarkEnd w:id="8"/>
    </w:p>
    <w:p w14:paraId="73609739" w14:textId="77777777" w:rsidR="000745F5" w:rsidRDefault="000745F5" w:rsidP="000745F5">
      <w:r>
        <w:t>The information in this document was obtained from sources the ACMA believes to be reliable. However, the ACMA does not guarantee the accuracy, completeness or adequacy of the information. To th</w:t>
      </w:r>
      <w:r w:rsidR="00A55142">
        <w:t>e</w:t>
      </w:r>
      <w:r>
        <w:t xml:space="preserve"> maximum extent permitted by law, the ACMA is not liable for any errors, omissions or inadequacy in the information, or for any reliance on the information. Predictions and forward-looking statements in this document are based on information existing and known at the time of the publication, and are subject to risks, uncertainties and changes in circumstances beyond the control of the ACMA. Opinions and positions stated in this document are subject to change without notice. </w:t>
      </w:r>
    </w:p>
    <w:p w14:paraId="5B965D11" w14:textId="77777777" w:rsidR="000745F5" w:rsidRDefault="000745F5" w:rsidP="000745F5">
      <w:pPr>
        <w:pStyle w:val="Heading3"/>
      </w:pPr>
      <w:bookmarkStart w:id="9" w:name="_Toc494799289"/>
      <w:bookmarkStart w:id="10" w:name="_Toc494805592"/>
      <w:bookmarkStart w:id="11" w:name="_Toc494805821"/>
      <w:bookmarkStart w:id="12" w:name="_Toc494808452"/>
      <w:bookmarkStart w:id="13" w:name="_Toc494815857"/>
      <w:bookmarkStart w:id="14" w:name="_Toc494818718"/>
      <w:bookmarkStart w:id="15" w:name="_Toc494818985"/>
      <w:r>
        <w:t>Comments</w:t>
      </w:r>
      <w:bookmarkEnd w:id="9"/>
      <w:bookmarkEnd w:id="10"/>
      <w:bookmarkEnd w:id="11"/>
      <w:bookmarkEnd w:id="12"/>
      <w:bookmarkEnd w:id="13"/>
      <w:bookmarkEnd w:id="14"/>
      <w:bookmarkEnd w:id="15"/>
    </w:p>
    <w:p w14:paraId="327D3CA7" w14:textId="77777777" w:rsidR="000745F5" w:rsidRDefault="000745F5" w:rsidP="000745F5">
      <w:r>
        <w:t xml:space="preserve">The ACMA welcomes feedback on the Communications report. Comments and enquiries about the scope, content and format of the report should be sent to </w:t>
      </w:r>
      <w:hyperlink r:id="rId20" w:history="1">
        <w:r w:rsidRPr="00B255A6">
          <w:rPr>
            <w:rStyle w:val="Hyperlink"/>
          </w:rPr>
          <w:t>research.analysis@acma.gov.au</w:t>
        </w:r>
      </w:hyperlink>
      <w:r>
        <w:t>.</w:t>
      </w:r>
    </w:p>
    <w:p w14:paraId="098CA697" w14:textId="77777777" w:rsidR="000745F5" w:rsidRDefault="000745F5" w:rsidP="000745F5">
      <w:pPr>
        <w:pStyle w:val="Heading3"/>
      </w:pPr>
      <w:bookmarkStart w:id="16" w:name="_Toc494799290"/>
      <w:bookmarkStart w:id="17" w:name="_Toc494805593"/>
      <w:bookmarkStart w:id="18" w:name="_Toc494805822"/>
      <w:bookmarkStart w:id="19" w:name="_Toc494808453"/>
      <w:bookmarkStart w:id="20" w:name="_Toc494815858"/>
      <w:bookmarkStart w:id="21" w:name="_Toc494818719"/>
      <w:bookmarkStart w:id="22" w:name="_Toc494818986"/>
      <w:r>
        <w:t>Further information</w:t>
      </w:r>
      <w:bookmarkEnd w:id="16"/>
      <w:bookmarkEnd w:id="17"/>
      <w:bookmarkEnd w:id="18"/>
      <w:bookmarkEnd w:id="19"/>
      <w:bookmarkEnd w:id="20"/>
      <w:bookmarkEnd w:id="21"/>
      <w:bookmarkEnd w:id="22"/>
    </w:p>
    <w:p w14:paraId="73DFB31D" w14:textId="77777777" w:rsidR="00580A5F" w:rsidRPr="004E1EEE" w:rsidRDefault="000745F5" w:rsidP="000745F5">
      <w:pPr>
        <w:rPr>
          <w:rFonts w:cs="Arial"/>
        </w:rPr>
      </w:pPr>
      <w:r>
        <w:t>For further information about the ACMA and links to the Communications report, please go to www.acma.gov.au/commsreport</w:t>
      </w:r>
      <w:r w:rsidR="00A55142">
        <w:t>.</w:t>
      </w:r>
    </w:p>
    <w:p w14:paraId="67E74B94" w14:textId="77777777" w:rsidR="00140318" w:rsidRPr="00FD7E86" w:rsidRDefault="00140318" w:rsidP="00951F85">
      <w:pPr>
        <w:pStyle w:val="ACMACopyrightHeader"/>
        <w:spacing w:before="4680"/>
      </w:pPr>
      <w:r w:rsidRPr="00FD7E86">
        <w:t>Copyright notice</w:t>
      </w:r>
    </w:p>
    <w:p w14:paraId="2F4B6A46" w14:textId="77777777" w:rsidR="00263723" w:rsidRPr="00FD7E86" w:rsidRDefault="00263723" w:rsidP="00263723">
      <w:pPr>
        <w:pStyle w:val="ACMACClogo"/>
      </w:pPr>
      <w:r w:rsidRPr="00FD7E86">
        <w:rPr>
          <w:noProof/>
        </w:rPr>
        <w:drawing>
          <wp:inline distT="0" distB="0" distL="0" distR="0" wp14:anchorId="6AEF7116" wp14:editId="7ED251C6">
            <wp:extent cx="838200" cy="295275"/>
            <wp:effectExtent l="0" t="0" r="0" b="0"/>
            <wp:docPr id="1" name="Picture 1" title="Creative Commons logo">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21"/>
                    </pic:cNvPr>
                    <pic:cNvPicPr>
                      <a:picLocks noChangeAspect="1" noChangeArrowheads="1"/>
                    </pic:cNvPicPr>
                  </pic:nvPicPr>
                  <pic:blipFill>
                    <a:blip r:embed="rId22" cstate="print"/>
                    <a:srcRect/>
                    <a:stretch>
                      <a:fillRect/>
                    </a:stretch>
                  </pic:blipFill>
                  <pic:spPr bwMode="auto">
                    <a:xfrm>
                      <a:off x="0" y="0"/>
                      <a:ext cx="838200" cy="295275"/>
                    </a:xfrm>
                    <a:prstGeom prst="rect">
                      <a:avLst/>
                    </a:prstGeom>
                    <a:noFill/>
                  </pic:spPr>
                </pic:pic>
              </a:graphicData>
            </a:graphic>
          </wp:inline>
        </w:drawing>
      </w:r>
    </w:p>
    <w:p w14:paraId="7B38BC6B" w14:textId="77777777" w:rsidR="00263723" w:rsidRPr="00263723" w:rsidRDefault="00263723" w:rsidP="00263723">
      <w:pPr>
        <w:autoSpaceDE w:val="0"/>
        <w:autoSpaceDN w:val="0"/>
        <w:adjustRightInd w:val="0"/>
        <w:spacing w:after="100" w:line="171" w:lineRule="atLeast"/>
        <w:rPr>
          <w:rFonts w:ascii="Helvetica 45 Light" w:hAnsi="Helvetica 45 Light"/>
          <w:sz w:val="14"/>
          <w:szCs w:val="14"/>
        </w:rPr>
      </w:pPr>
      <w:r w:rsidRPr="00263723">
        <w:rPr>
          <w:rFonts w:ascii="Helvetica 45 Light" w:hAnsi="Helvetica 45 Light"/>
          <w:sz w:val="14"/>
          <w:szCs w:val="14"/>
        </w:rPr>
        <w:t>© Commonwealth of Australia 201</w:t>
      </w:r>
      <w:r w:rsidR="00391F5C">
        <w:rPr>
          <w:rFonts w:ascii="Helvetica 45 Light" w:hAnsi="Helvetica 45 Light"/>
          <w:sz w:val="14"/>
          <w:szCs w:val="14"/>
        </w:rPr>
        <w:t>7</w:t>
      </w:r>
    </w:p>
    <w:p w14:paraId="4AA14F87" w14:textId="77777777" w:rsidR="00263723" w:rsidRPr="00263723" w:rsidRDefault="00263723" w:rsidP="00263723">
      <w:pPr>
        <w:autoSpaceDE w:val="0"/>
        <w:autoSpaceDN w:val="0"/>
        <w:adjustRightInd w:val="0"/>
        <w:spacing w:after="160" w:line="171" w:lineRule="atLeast"/>
        <w:rPr>
          <w:rFonts w:ascii="Helvetica 45 Light" w:hAnsi="Helvetica 45 Light"/>
          <w:sz w:val="14"/>
          <w:szCs w:val="14"/>
        </w:rPr>
      </w:pPr>
      <w:r w:rsidRPr="00897B5F">
        <w:rPr>
          <w:rFonts w:ascii="Helvetica 45 Light" w:hAnsi="Helvetica 45 Light"/>
          <w:sz w:val="14"/>
          <w:szCs w:val="14"/>
        </w:rPr>
        <w:t xml:space="preserve">ISSN: </w:t>
      </w:r>
      <w:r w:rsidR="00E2511D" w:rsidRPr="00897B5F">
        <w:rPr>
          <w:rFonts w:ascii="Helvetica 45 Light" w:hAnsi="Helvetica 45 Light"/>
          <w:sz w:val="14"/>
          <w:szCs w:val="14"/>
        </w:rPr>
        <w:t xml:space="preserve">1834-1519 </w:t>
      </w:r>
      <w:r w:rsidRPr="00897B5F">
        <w:rPr>
          <w:rFonts w:ascii="Helvetica 45 Light" w:hAnsi="Helvetica 45 Light"/>
          <w:sz w:val="14"/>
          <w:szCs w:val="14"/>
        </w:rPr>
        <w:t xml:space="preserve">(print) </w:t>
      </w:r>
      <w:r w:rsidR="00E2511D" w:rsidRPr="00897B5F">
        <w:rPr>
          <w:rFonts w:ascii="Helvetica 45 Light" w:hAnsi="Helvetica 45 Light"/>
          <w:sz w:val="14"/>
          <w:szCs w:val="14"/>
        </w:rPr>
        <w:t xml:space="preserve">2204-4256 </w:t>
      </w:r>
      <w:r w:rsidRPr="00897B5F">
        <w:rPr>
          <w:rFonts w:ascii="Helvetica 45 Light" w:hAnsi="Helvetica 45 Light"/>
          <w:sz w:val="14"/>
          <w:szCs w:val="14"/>
        </w:rPr>
        <w:t>(online)</w:t>
      </w:r>
    </w:p>
    <w:p w14:paraId="2974D539" w14:textId="77777777" w:rsidR="00263723" w:rsidRPr="00263723" w:rsidRDefault="00263723" w:rsidP="00263723">
      <w:pPr>
        <w:autoSpaceDE w:val="0"/>
        <w:autoSpaceDN w:val="0"/>
        <w:adjustRightInd w:val="0"/>
        <w:spacing w:after="100" w:line="171" w:lineRule="atLeast"/>
        <w:rPr>
          <w:rFonts w:ascii="Helvetica 45 Light" w:hAnsi="Helvetica 45 Light"/>
          <w:sz w:val="14"/>
          <w:szCs w:val="14"/>
        </w:rPr>
      </w:pPr>
      <w:r w:rsidRPr="00263723">
        <w:rPr>
          <w:rFonts w:ascii="Helvetica 45 Light" w:hAnsi="Helvetica 45 Light"/>
          <w:sz w:val="14"/>
          <w:szCs w:val="14"/>
        </w:rPr>
        <w:t>With the exception of coats of arms, logos, emblems, images, other third-party material or devices protected by a trademark, this content is licensed under the Creative Commons Australia Attribution 3.0 Licence (http://creativecommons.org/licenses/by/3.0/au/).</w:t>
      </w:r>
    </w:p>
    <w:p w14:paraId="0224A3C2" w14:textId="77777777" w:rsidR="00263723" w:rsidRPr="00263723" w:rsidRDefault="00263723" w:rsidP="00263723">
      <w:pPr>
        <w:autoSpaceDE w:val="0"/>
        <w:autoSpaceDN w:val="0"/>
        <w:adjustRightInd w:val="0"/>
        <w:spacing w:after="100" w:line="171" w:lineRule="atLeast"/>
        <w:rPr>
          <w:rFonts w:ascii="Helvetica 45 Light" w:hAnsi="Helvetica 45 Light" w:cs="Helvetica 45 Light"/>
          <w:sz w:val="14"/>
          <w:szCs w:val="14"/>
        </w:rPr>
      </w:pPr>
      <w:r w:rsidRPr="00263723">
        <w:rPr>
          <w:rFonts w:ascii="Helvetica 45 Light" w:hAnsi="Helvetica 45 Light"/>
          <w:sz w:val="14"/>
          <w:szCs w:val="14"/>
        </w:rPr>
        <w:t xml:space="preserve">We request attribution as the </w:t>
      </w:r>
      <w:r w:rsidRPr="00A73F6A">
        <w:rPr>
          <w:rFonts w:ascii="Helvetica 45 Light" w:hAnsi="Helvetica 45 Light" w:cs="Helvetica 45 Light"/>
          <w:i/>
          <w:iCs/>
          <w:sz w:val="14"/>
          <w:szCs w:val="14"/>
        </w:rPr>
        <w:t>Australian Communications and Media Authority communications report 201</w:t>
      </w:r>
      <w:r w:rsidR="00391F5C">
        <w:rPr>
          <w:rFonts w:ascii="Helvetica 45 Light" w:hAnsi="Helvetica 45 Light" w:cs="Helvetica 45 Light"/>
          <w:i/>
          <w:iCs/>
          <w:sz w:val="14"/>
          <w:szCs w:val="14"/>
        </w:rPr>
        <w:t>6</w:t>
      </w:r>
      <w:r w:rsidRPr="00A73F6A">
        <w:rPr>
          <w:rFonts w:ascii="Helvetica 45 Light" w:hAnsi="Helvetica 45 Light" w:cs="Helvetica 45 Light"/>
          <w:i/>
          <w:iCs/>
          <w:sz w:val="14"/>
          <w:szCs w:val="14"/>
        </w:rPr>
        <w:t>–1</w:t>
      </w:r>
      <w:r w:rsidR="00391F5C">
        <w:rPr>
          <w:rFonts w:ascii="Helvetica 45 Light" w:hAnsi="Helvetica 45 Light" w:cs="Helvetica 45 Light"/>
          <w:i/>
          <w:iCs/>
          <w:sz w:val="14"/>
          <w:szCs w:val="14"/>
        </w:rPr>
        <w:t>7</w:t>
      </w:r>
      <w:r w:rsidRPr="00A73F6A">
        <w:rPr>
          <w:rFonts w:ascii="Helvetica 45 Light" w:hAnsi="Helvetica 45 Light" w:cs="Helvetica 45 Light"/>
          <w:sz w:val="14"/>
          <w:szCs w:val="14"/>
        </w:rPr>
        <w:t>.</w:t>
      </w:r>
      <w:r w:rsidRPr="00263723">
        <w:rPr>
          <w:rFonts w:ascii="Helvetica 45 Light" w:hAnsi="Helvetica 45 Light" w:cs="Helvetica 45 Light"/>
          <w:sz w:val="14"/>
          <w:szCs w:val="14"/>
        </w:rPr>
        <w:t xml:space="preserve"> All other </w:t>
      </w:r>
      <w:r w:rsidRPr="00456357">
        <w:rPr>
          <w:rFonts w:ascii="Helvetica 45 Light" w:hAnsi="Helvetica 45 Light"/>
          <w:sz w:val="14"/>
          <w:szCs w:val="14"/>
        </w:rPr>
        <w:t>rights</w:t>
      </w:r>
      <w:r w:rsidRPr="00263723">
        <w:rPr>
          <w:rFonts w:ascii="Helvetica 45 Light" w:hAnsi="Helvetica 45 Light" w:cs="Helvetica 45 Light"/>
          <w:sz w:val="14"/>
          <w:szCs w:val="14"/>
        </w:rPr>
        <w:t xml:space="preserve"> are reserved.</w:t>
      </w:r>
    </w:p>
    <w:p w14:paraId="52AAF7DB" w14:textId="77777777" w:rsidR="00CC45EB" w:rsidRPr="000870BC" w:rsidRDefault="00263723" w:rsidP="000870BC">
      <w:pPr>
        <w:autoSpaceDE w:val="0"/>
        <w:autoSpaceDN w:val="0"/>
        <w:adjustRightInd w:val="0"/>
        <w:spacing w:after="100" w:line="171" w:lineRule="atLeast"/>
        <w:rPr>
          <w:rStyle w:val="Hyperlink"/>
          <w:rFonts w:ascii="Helvetica 45 Light" w:hAnsi="Helvetica 45 Light"/>
          <w:color w:val="auto"/>
          <w:sz w:val="14"/>
          <w:szCs w:val="14"/>
          <w:u w:val="none"/>
        </w:rPr>
      </w:pPr>
      <w:r w:rsidRPr="00456357">
        <w:rPr>
          <w:rFonts w:ascii="Helvetica 45 Light" w:hAnsi="Helvetica 45 Light"/>
          <w:sz w:val="14"/>
          <w:szCs w:val="14"/>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r w:rsidR="00CC45EB" w:rsidRPr="00FD7E86">
        <w:rPr>
          <w:rStyle w:val="Hyperlink"/>
        </w:rPr>
        <w:br w:type="page"/>
      </w:r>
    </w:p>
    <w:p w14:paraId="2E2D42E4" w14:textId="7B08EA59" w:rsidR="000870BC" w:rsidRDefault="004E7000">
      <w:pPr>
        <w:spacing w:after="0"/>
      </w:pPr>
      <w:bookmarkStart w:id="23" w:name="_Toc462132185"/>
      <w:r>
        <w:rPr>
          <w:noProof/>
        </w:rPr>
        <w:lastRenderedPageBreak/>
        <w:drawing>
          <wp:inline distT="0" distB="0" distL="0" distR="0" wp14:anchorId="201344FB" wp14:editId="340E9D53">
            <wp:extent cx="5589968" cy="7906870"/>
            <wp:effectExtent l="57150" t="57150" r="106045" b="113665"/>
            <wp:docPr id="53" name="Picture 53" descr="Letter from Nerida O'Loughlin, ACMA Chair, to Senator the Hon. Mitch Fifield. Text reads:&#10;Dear Minister, &#10;ACMA Communications report 2016-17 &#10;I am pleased to provide you with the ACMA Communications report 2016-17. &#10;It is a report on the performance of the telecommunications industry for 2016-17, prepared in accordance with section 105 of the Telecommunications Act 1997. &#10;The ACM A's statutory reporting obligations under section 105 of the Act are fulfilled in the following chapters of the report: &#10;&gt; For paragraphs 105(3)(a) and (b) of the Act, which relate to the efficiency of the supply of telecommunications services, and the adequacy and quality of such services-chapters 1, 2, 3 and 5. &#10;&gt;For paragraphs 105(3)(c) and (d), which relate to carrier and carriage service provider obligations under Part 6 of the Act with respect to industry codes and standards-Chapter 5. &#10;&gt;For paragraphs 105(3)(e) and (ea), and subsection 105(4) of the Act, which relate to industry performance in fulfilling universal service and Customer Service Guarantee obligations-Chapter 5. &#10;&gt; For paragraphs 105(5A) of the Act, which relates to national interest matters and cooperation with law enforcement agencies-chapters 1 and 4. &#10;Please note that subsection 105(7) of the Act requires that you table the report in each House of the Parliament within 15 sitting days of that House after you have received the report. " title="Letter of transmit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hair Letter of Transmittal_signed EPS version with clean background.tiff"/>
                    <pic:cNvPicPr/>
                  </pic:nvPicPr>
                  <pic:blipFill>
                    <a:blip r:embed="rId23">
                      <a:extLst>
                        <a:ext uri="{28A0092B-C50C-407E-A947-70E740481C1C}">
                          <a14:useLocalDpi xmlns:a14="http://schemas.microsoft.com/office/drawing/2010/main" val="0"/>
                        </a:ext>
                      </a:extLst>
                    </a:blip>
                    <a:stretch>
                      <a:fillRect/>
                    </a:stretch>
                  </pic:blipFill>
                  <pic:spPr>
                    <a:xfrm>
                      <a:off x="0" y="0"/>
                      <a:ext cx="5592508" cy="7910462"/>
                    </a:xfrm>
                    <a:prstGeom prst="rect">
                      <a:avLst/>
                    </a:prstGeom>
                    <a:ln w="3175">
                      <a:solidFill>
                        <a:schemeClr val="bg1">
                          <a:lumMod val="75000"/>
                        </a:schemeClr>
                      </a:solidFill>
                    </a:ln>
                    <a:effectLst>
                      <a:outerShdw blurRad="50800" dist="38100" dir="2700000" algn="tl" rotWithShape="0">
                        <a:schemeClr val="tx1">
                          <a:lumMod val="50000"/>
                          <a:lumOff val="50000"/>
                          <a:alpha val="40000"/>
                        </a:schemeClr>
                      </a:outerShdw>
                    </a:effectLst>
                  </pic:spPr>
                </pic:pic>
              </a:graphicData>
            </a:graphic>
          </wp:inline>
        </w:drawing>
      </w:r>
      <w:r w:rsidR="000870BC">
        <w:br w:type="page"/>
      </w:r>
    </w:p>
    <w:p w14:paraId="196BF6E1" w14:textId="77777777" w:rsidR="000870BC" w:rsidRDefault="000870BC" w:rsidP="00580A5F">
      <w:pPr>
        <w:pStyle w:val="ACMANormalTabbed"/>
      </w:pPr>
    </w:p>
    <w:p w14:paraId="5DEAC53E" w14:textId="77777777" w:rsidR="00D16FE3" w:rsidRDefault="00D16FE3" w:rsidP="00D16FE3">
      <w:pPr>
        <w:pStyle w:val="ACMACorporateAddresses"/>
      </w:pPr>
    </w:p>
    <w:p w14:paraId="129DBB82" w14:textId="77777777" w:rsidR="00FF5DC9" w:rsidRPr="00FD7E86" w:rsidRDefault="00FF5DC9" w:rsidP="00D16FE3">
      <w:pPr>
        <w:pStyle w:val="ACMACorporateAddresses"/>
        <w:sectPr w:rsidR="00FF5DC9" w:rsidRPr="00FD7E86" w:rsidSect="00CD4287">
          <w:headerReference w:type="even" r:id="rId24"/>
          <w:headerReference w:type="default" r:id="rId25"/>
          <w:footerReference w:type="even" r:id="rId26"/>
          <w:footerReference w:type="default" r:id="rId27"/>
          <w:pgSz w:w="11906" w:h="16838" w:code="9"/>
          <w:pgMar w:top="1985" w:right="1134" w:bottom="868" w:left="1134" w:header="709" w:footer="119" w:gutter="284"/>
          <w:cols w:space="708"/>
          <w:docGrid w:linePitch="360"/>
        </w:sectPr>
      </w:pPr>
    </w:p>
    <w:p w14:paraId="29990156" w14:textId="77777777" w:rsidR="005E31BA" w:rsidRPr="005E31BA" w:rsidRDefault="005E31BA" w:rsidP="005E31BA">
      <w:pPr>
        <w:pStyle w:val="TOC1"/>
        <w:tabs>
          <w:tab w:val="clear" w:pos="7660"/>
          <w:tab w:val="right" w:pos="9072"/>
        </w:tabs>
        <w:ind w:right="567"/>
        <w:rPr>
          <w:rFonts w:asciiTheme="minorHAnsi" w:eastAsiaTheme="minorEastAsia" w:hAnsiTheme="minorHAnsi" w:cstheme="minorBidi"/>
          <w:b w:val="0"/>
          <w:color w:val="37897E"/>
          <w:spacing w:val="0"/>
          <w:sz w:val="22"/>
          <w:szCs w:val="22"/>
        </w:rPr>
      </w:pPr>
      <w:r>
        <w:rPr>
          <w:rFonts w:cs="Arial"/>
          <w:b w:val="0"/>
          <w:sz w:val="22"/>
          <w:szCs w:val="22"/>
        </w:rPr>
        <w:lastRenderedPageBreak/>
        <w:fldChar w:fldCharType="begin"/>
      </w:r>
      <w:r>
        <w:rPr>
          <w:rFonts w:cs="Arial"/>
          <w:b w:val="0"/>
          <w:sz w:val="22"/>
          <w:szCs w:val="22"/>
        </w:rPr>
        <w:instrText xml:space="preserve"> TOC \o "1-1" \h \z \t "Heading 2,2,ACMA_ExecSummaryHeading,1,ACMA Heading 1,1,ACMA Heading 2,2,Pre Heading 2,2,Heading 2 Comms report with numbers,2" </w:instrText>
      </w:r>
      <w:r>
        <w:rPr>
          <w:rFonts w:cs="Arial"/>
          <w:b w:val="0"/>
          <w:sz w:val="22"/>
          <w:szCs w:val="22"/>
        </w:rPr>
        <w:fldChar w:fldCharType="separate"/>
      </w:r>
      <w:hyperlink w:anchor="_Toc500320869" w:history="1">
        <w:r w:rsidRPr="005E31BA">
          <w:rPr>
            <w:rStyle w:val="Hyperlink"/>
            <w:color w:val="37897E"/>
          </w:rPr>
          <w:t>Chair’s foreword</w:t>
        </w:r>
        <w:r w:rsidRPr="005E31BA">
          <w:rPr>
            <w:webHidden/>
            <w:color w:val="37897E"/>
          </w:rPr>
          <w:tab/>
        </w:r>
        <w:r w:rsidRPr="005E31BA">
          <w:rPr>
            <w:webHidden/>
            <w:color w:val="37897E"/>
          </w:rPr>
          <w:fldChar w:fldCharType="begin"/>
        </w:r>
        <w:r w:rsidRPr="005E31BA">
          <w:rPr>
            <w:webHidden/>
            <w:color w:val="37897E"/>
          </w:rPr>
          <w:instrText xml:space="preserve"> PAGEREF _Toc500320869 \h </w:instrText>
        </w:r>
        <w:r w:rsidRPr="005E31BA">
          <w:rPr>
            <w:webHidden/>
            <w:color w:val="37897E"/>
          </w:rPr>
        </w:r>
        <w:r w:rsidRPr="005E31BA">
          <w:rPr>
            <w:webHidden/>
            <w:color w:val="37897E"/>
          </w:rPr>
          <w:fldChar w:fldCharType="separate"/>
        </w:r>
        <w:r w:rsidRPr="005E31BA">
          <w:rPr>
            <w:webHidden/>
            <w:color w:val="37897E"/>
          </w:rPr>
          <w:t>1</w:t>
        </w:r>
        <w:r w:rsidRPr="005E31BA">
          <w:rPr>
            <w:webHidden/>
            <w:color w:val="37897E"/>
          </w:rPr>
          <w:fldChar w:fldCharType="end"/>
        </w:r>
      </w:hyperlink>
    </w:p>
    <w:p w14:paraId="6DD51715" w14:textId="77777777" w:rsidR="005E31BA" w:rsidRPr="005E31BA" w:rsidRDefault="00A03B6A" w:rsidP="005E31BA">
      <w:pPr>
        <w:pStyle w:val="TOC1"/>
        <w:tabs>
          <w:tab w:val="clear" w:pos="7660"/>
          <w:tab w:val="right" w:pos="9072"/>
        </w:tabs>
        <w:ind w:right="567"/>
        <w:rPr>
          <w:rFonts w:asciiTheme="minorHAnsi" w:eastAsiaTheme="minorEastAsia" w:hAnsiTheme="minorHAnsi" w:cstheme="minorBidi"/>
          <w:b w:val="0"/>
          <w:color w:val="37897E"/>
          <w:spacing w:val="0"/>
          <w:sz w:val="22"/>
          <w:szCs w:val="22"/>
        </w:rPr>
      </w:pPr>
      <w:hyperlink w:anchor="_Toc500320870" w:history="1">
        <w:r w:rsidR="005E31BA" w:rsidRPr="005E31BA">
          <w:rPr>
            <w:rStyle w:val="Hyperlink"/>
            <w:color w:val="37897E"/>
          </w:rPr>
          <w:t>Introduction</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_Toc500320870 \h </w:instrText>
        </w:r>
        <w:r w:rsidR="005E31BA" w:rsidRPr="005E31BA">
          <w:rPr>
            <w:webHidden/>
            <w:color w:val="37897E"/>
          </w:rPr>
        </w:r>
        <w:r w:rsidR="005E31BA" w:rsidRPr="005E31BA">
          <w:rPr>
            <w:webHidden/>
            <w:color w:val="37897E"/>
          </w:rPr>
          <w:fldChar w:fldCharType="separate"/>
        </w:r>
        <w:r w:rsidR="005E31BA" w:rsidRPr="005E31BA">
          <w:rPr>
            <w:webHidden/>
            <w:color w:val="37897E"/>
          </w:rPr>
          <w:t>2</w:t>
        </w:r>
        <w:r w:rsidR="005E31BA" w:rsidRPr="005E31BA">
          <w:rPr>
            <w:webHidden/>
            <w:color w:val="37897E"/>
          </w:rPr>
          <w:fldChar w:fldCharType="end"/>
        </w:r>
      </w:hyperlink>
    </w:p>
    <w:p w14:paraId="22E36E7A"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1" w:history="1">
        <w:r w:rsidR="005E31BA" w:rsidRPr="000D5AE2">
          <w:rPr>
            <w:rStyle w:val="Hyperlink"/>
          </w:rPr>
          <w:t>Legislative basis</w:t>
        </w:r>
        <w:r w:rsidR="005E31BA">
          <w:rPr>
            <w:webHidden/>
          </w:rPr>
          <w:tab/>
        </w:r>
        <w:r w:rsidR="005E31BA">
          <w:rPr>
            <w:webHidden/>
          </w:rPr>
          <w:fldChar w:fldCharType="begin"/>
        </w:r>
        <w:r w:rsidR="005E31BA">
          <w:rPr>
            <w:webHidden/>
          </w:rPr>
          <w:instrText xml:space="preserve"> PAGEREF _Toc500320871 \h </w:instrText>
        </w:r>
        <w:r w:rsidR="005E31BA">
          <w:rPr>
            <w:webHidden/>
          </w:rPr>
        </w:r>
        <w:r w:rsidR="005E31BA">
          <w:rPr>
            <w:webHidden/>
          </w:rPr>
          <w:fldChar w:fldCharType="separate"/>
        </w:r>
        <w:r w:rsidR="005E31BA">
          <w:rPr>
            <w:webHidden/>
          </w:rPr>
          <w:t>2</w:t>
        </w:r>
        <w:r w:rsidR="005E31BA">
          <w:rPr>
            <w:webHidden/>
          </w:rPr>
          <w:fldChar w:fldCharType="end"/>
        </w:r>
      </w:hyperlink>
    </w:p>
    <w:p w14:paraId="0A11FCE4"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2" w:history="1">
        <w:r w:rsidR="005E31BA" w:rsidRPr="000D5AE2">
          <w:rPr>
            <w:rStyle w:val="Hyperlink"/>
          </w:rPr>
          <w:t>Scope and structure of the report</w:t>
        </w:r>
        <w:r w:rsidR="005E31BA">
          <w:rPr>
            <w:webHidden/>
          </w:rPr>
          <w:tab/>
        </w:r>
        <w:r w:rsidR="005E31BA">
          <w:rPr>
            <w:webHidden/>
          </w:rPr>
          <w:fldChar w:fldCharType="begin"/>
        </w:r>
        <w:r w:rsidR="005E31BA">
          <w:rPr>
            <w:webHidden/>
          </w:rPr>
          <w:instrText xml:space="preserve"> PAGEREF _Toc500320872 \h </w:instrText>
        </w:r>
        <w:r w:rsidR="005E31BA">
          <w:rPr>
            <w:webHidden/>
          </w:rPr>
        </w:r>
        <w:r w:rsidR="005E31BA">
          <w:rPr>
            <w:webHidden/>
          </w:rPr>
          <w:fldChar w:fldCharType="separate"/>
        </w:r>
        <w:r w:rsidR="005E31BA">
          <w:rPr>
            <w:webHidden/>
          </w:rPr>
          <w:t>2</w:t>
        </w:r>
        <w:r w:rsidR="005E31BA">
          <w:rPr>
            <w:webHidden/>
          </w:rPr>
          <w:fldChar w:fldCharType="end"/>
        </w:r>
      </w:hyperlink>
    </w:p>
    <w:p w14:paraId="6F1F5DA3" w14:textId="77777777" w:rsidR="005E31BA" w:rsidRPr="005E31BA" w:rsidRDefault="00A03B6A" w:rsidP="005E31BA">
      <w:pPr>
        <w:pStyle w:val="TOC1"/>
        <w:tabs>
          <w:tab w:val="clear" w:pos="7660"/>
          <w:tab w:val="right" w:pos="9072"/>
        </w:tabs>
        <w:ind w:right="567"/>
        <w:rPr>
          <w:rFonts w:asciiTheme="minorHAnsi" w:eastAsiaTheme="minorEastAsia" w:hAnsiTheme="minorHAnsi" w:cstheme="minorBidi"/>
          <w:b w:val="0"/>
          <w:color w:val="37897E"/>
          <w:spacing w:val="0"/>
          <w:sz w:val="22"/>
          <w:szCs w:val="22"/>
        </w:rPr>
      </w:pPr>
      <w:hyperlink w:anchor="_Toc500320873" w:history="1">
        <w:r w:rsidR="005E31BA" w:rsidRPr="005E31BA">
          <w:rPr>
            <w:rStyle w:val="Hyperlink"/>
            <w:color w:val="37897E"/>
          </w:rPr>
          <w:t>Executive summary</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_Toc500320873 \h </w:instrText>
        </w:r>
        <w:r w:rsidR="005E31BA" w:rsidRPr="005E31BA">
          <w:rPr>
            <w:webHidden/>
            <w:color w:val="37897E"/>
          </w:rPr>
        </w:r>
        <w:r w:rsidR="005E31BA" w:rsidRPr="005E31BA">
          <w:rPr>
            <w:webHidden/>
            <w:color w:val="37897E"/>
          </w:rPr>
          <w:fldChar w:fldCharType="separate"/>
        </w:r>
        <w:r w:rsidR="005E31BA" w:rsidRPr="005E31BA">
          <w:rPr>
            <w:webHidden/>
            <w:color w:val="37897E"/>
          </w:rPr>
          <w:t>3</w:t>
        </w:r>
        <w:r w:rsidR="005E31BA" w:rsidRPr="005E31BA">
          <w:rPr>
            <w:webHidden/>
            <w:color w:val="37897E"/>
          </w:rPr>
          <w:fldChar w:fldCharType="end"/>
        </w:r>
      </w:hyperlink>
    </w:p>
    <w:p w14:paraId="215839DE"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4" w:history="1">
        <w:r w:rsidR="005E31BA" w:rsidRPr="000D5AE2">
          <w:rPr>
            <w:rStyle w:val="Hyperlink"/>
          </w:rPr>
          <w:t>Key highlights for 2016–17</w:t>
        </w:r>
        <w:r w:rsidR="005E31BA">
          <w:rPr>
            <w:webHidden/>
          </w:rPr>
          <w:tab/>
        </w:r>
        <w:r w:rsidR="005E31BA">
          <w:rPr>
            <w:webHidden/>
          </w:rPr>
          <w:fldChar w:fldCharType="begin"/>
        </w:r>
        <w:r w:rsidR="005E31BA">
          <w:rPr>
            <w:webHidden/>
          </w:rPr>
          <w:instrText xml:space="preserve"> PAGEREF _Toc500320874 \h </w:instrText>
        </w:r>
        <w:r w:rsidR="005E31BA">
          <w:rPr>
            <w:webHidden/>
          </w:rPr>
        </w:r>
        <w:r w:rsidR="005E31BA">
          <w:rPr>
            <w:webHidden/>
          </w:rPr>
          <w:fldChar w:fldCharType="separate"/>
        </w:r>
        <w:r w:rsidR="005E31BA">
          <w:rPr>
            <w:webHidden/>
          </w:rPr>
          <w:t>3</w:t>
        </w:r>
        <w:r w:rsidR="005E31BA">
          <w:rPr>
            <w:webHidden/>
          </w:rPr>
          <w:fldChar w:fldCharType="end"/>
        </w:r>
      </w:hyperlink>
    </w:p>
    <w:p w14:paraId="50B0B2AB"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5" w:history="1">
        <w:r w:rsidR="005E31BA" w:rsidRPr="000D5AE2">
          <w:rPr>
            <w:rStyle w:val="Hyperlink"/>
          </w:rPr>
          <w:t>Infrastructure investment increases</w:t>
        </w:r>
        <w:r w:rsidR="005E31BA">
          <w:rPr>
            <w:webHidden/>
          </w:rPr>
          <w:tab/>
        </w:r>
        <w:r w:rsidR="005E31BA">
          <w:rPr>
            <w:webHidden/>
          </w:rPr>
          <w:fldChar w:fldCharType="begin"/>
        </w:r>
        <w:r w:rsidR="005E31BA">
          <w:rPr>
            <w:webHidden/>
          </w:rPr>
          <w:instrText xml:space="preserve"> PAGEREF _Toc500320875 \h </w:instrText>
        </w:r>
        <w:r w:rsidR="005E31BA">
          <w:rPr>
            <w:webHidden/>
          </w:rPr>
        </w:r>
        <w:r w:rsidR="005E31BA">
          <w:rPr>
            <w:webHidden/>
          </w:rPr>
          <w:fldChar w:fldCharType="separate"/>
        </w:r>
        <w:r w:rsidR="005E31BA">
          <w:rPr>
            <w:webHidden/>
          </w:rPr>
          <w:t>3</w:t>
        </w:r>
        <w:r w:rsidR="005E31BA">
          <w:rPr>
            <w:webHidden/>
          </w:rPr>
          <w:fldChar w:fldCharType="end"/>
        </w:r>
      </w:hyperlink>
    </w:p>
    <w:p w14:paraId="25C32CBB"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6" w:history="1">
        <w:r w:rsidR="005E31BA" w:rsidRPr="000D5AE2">
          <w:rPr>
            <w:rStyle w:val="Hyperlink"/>
          </w:rPr>
          <w:t>From Internet of Things to internet of every thing</w:t>
        </w:r>
        <w:r w:rsidR="005E31BA">
          <w:rPr>
            <w:webHidden/>
          </w:rPr>
          <w:tab/>
        </w:r>
        <w:r w:rsidR="005E31BA">
          <w:rPr>
            <w:webHidden/>
          </w:rPr>
          <w:fldChar w:fldCharType="begin"/>
        </w:r>
        <w:r w:rsidR="005E31BA">
          <w:rPr>
            <w:webHidden/>
          </w:rPr>
          <w:instrText xml:space="preserve"> PAGEREF _Toc500320876 \h </w:instrText>
        </w:r>
        <w:r w:rsidR="005E31BA">
          <w:rPr>
            <w:webHidden/>
          </w:rPr>
        </w:r>
        <w:r w:rsidR="005E31BA">
          <w:rPr>
            <w:webHidden/>
          </w:rPr>
          <w:fldChar w:fldCharType="separate"/>
        </w:r>
        <w:r w:rsidR="005E31BA">
          <w:rPr>
            <w:webHidden/>
          </w:rPr>
          <w:t>4</w:t>
        </w:r>
        <w:r w:rsidR="005E31BA">
          <w:rPr>
            <w:webHidden/>
          </w:rPr>
          <w:fldChar w:fldCharType="end"/>
        </w:r>
      </w:hyperlink>
    </w:p>
    <w:p w14:paraId="4B97B6E8"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7" w:history="1">
        <w:r w:rsidR="005E31BA" w:rsidRPr="000D5AE2">
          <w:rPr>
            <w:rStyle w:val="Hyperlink"/>
          </w:rPr>
          <w:t>Ongoing shift to mobile</w:t>
        </w:r>
        <w:r w:rsidR="005E31BA">
          <w:rPr>
            <w:webHidden/>
          </w:rPr>
          <w:tab/>
        </w:r>
        <w:r w:rsidR="005E31BA">
          <w:rPr>
            <w:webHidden/>
          </w:rPr>
          <w:fldChar w:fldCharType="begin"/>
        </w:r>
        <w:r w:rsidR="005E31BA">
          <w:rPr>
            <w:webHidden/>
          </w:rPr>
          <w:instrText xml:space="preserve"> PAGEREF _Toc500320877 \h </w:instrText>
        </w:r>
        <w:r w:rsidR="005E31BA">
          <w:rPr>
            <w:webHidden/>
          </w:rPr>
        </w:r>
        <w:r w:rsidR="005E31BA">
          <w:rPr>
            <w:webHidden/>
          </w:rPr>
          <w:fldChar w:fldCharType="separate"/>
        </w:r>
        <w:r w:rsidR="005E31BA">
          <w:rPr>
            <w:webHidden/>
          </w:rPr>
          <w:t>4</w:t>
        </w:r>
        <w:r w:rsidR="005E31BA">
          <w:rPr>
            <w:webHidden/>
          </w:rPr>
          <w:fldChar w:fldCharType="end"/>
        </w:r>
      </w:hyperlink>
    </w:p>
    <w:p w14:paraId="1650CC3C"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8" w:history="1">
        <w:r w:rsidR="005E31BA" w:rsidRPr="000D5AE2">
          <w:rPr>
            <w:rStyle w:val="Hyperlink"/>
          </w:rPr>
          <w:t>Continued intensity of internet use</w:t>
        </w:r>
        <w:r w:rsidR="005E31BA">
          <w:rPr>
            <w:webHidden/>
          </w:rPr>
          <w:tab/>
        </w:r>
        <w:r w:rsidR="005E31BA">
          <w:rPr>
            <w:webHidden/>
          </w:rPr>
          <w:fldChar w:fldCharType="begin"/>
        </w:r>
        <w:r w:rsidR="005E31BA">
          <w:rPr>
            <w:webHidden/>
          </w:rPr>
          <w:instrText xml:space="preserve"> PAGEREF _Toc500320878 \h </w:instrText>
        </w:r>
        <w:r w:rsidR="005E31BA">
          <w:rPr>
            <w:webHidden/>
          </w:rPr>
        </w:r>
        <w:r w:rsidR="005E31BA">
          <w:rPr>
            <w:webHidden/>
          </w:rPr>
          <w:fldChar w:fldCharType="separate"/>
        </w:r>
        <w:r w:rsidR="005E31BA">
          <w:rPr>
            <w:webHidden/>
          </w:rPr>
          <w:t>4</w:t>
        </w:r>
        <w:r w:rsidR="005E31BA">
          <w:rPr>
            <w:webHidden/>
          </w:rPr>
          <w:fldChar w:fldCharType="end"/>
        </w:r>
      </w:hyperlink>
    </w:p>
    <w:p w14:paraId="34B7C721"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79" w:history="1">
        <w:r w:rsidR="005E31BA" w:rsidRPr="000D5AE2">
          <w:rPr>
            <w:rStyle w:val="Hyperlink"/>
          </w:rPr>
          <w:t>Media market</w:t>
        </w:r>
        <w:r w:rsidR="005E31BA">
          <w:rPr>
            <w:webHidden/>
          </w:rPr>
          <w:tab/>
        </w:r>
        <w:r w:rsidR="005E31BA">
          <w:rPr>
            <w:webHidden/>
          </w:rPr>
          <w:fldChar w:fldCharType="begin"/>
        </w:r>
        <w:r w:rsidR="005E31BA">
          <w:rPr>
            <w:webHidden/>
          </w:rPr>
          <w:instrText xml:space="preserve"> PAGEREF _Toc500320879 \h </w:instrText>
        </w:r>
        <w:r w:rsidR="005E31BA">
          <w:rPr>
            <w:webHidden/>
          </w:rPr>
        </w:r>
        <w:r w:rsidR="005E31BA">
          <w:rPr>
            <w:webHidden/>
          </w:rPr>
          <w:fldChar w:fldCharType="separate"/>
        </w:r>
        <w:r w:rsidR="005E31BA">
          <w:rPr>
            <w:webHidden/>
          </w:rPr>
          <w:t>4</w:t>
        </w:r>
        <w:r w:rsidR="005E31BA">
          <w:rPr>
            <w:webHidden/>
          </w:rPr>
          <w:fldChar w:fldCharType="end"/>
        </w:r>
      </w:hyperlink>
    </w:p>
    <w:p w14:paraId="095F12B6"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0" w:history="1">
        <w:r w:rsidR="005E31BA" w:rsidRPr="000D5AE2">
          <w:rPr>
            <w:rStyle w:val="Hyperlink"/>
          </w:rPr>
          <w:t>Telecommunications consumer safeguards</w:t>
        </w:r>
        <w:r w:rsidR="005E31BA">
          <w:rPr>
            <w:webHidden/>
          </w:rPr>
          <w:tab/>
        </w:r>
        <w:r w:rsidR="005E31BA">
          <w:rPr>
            <w:webHidden/>
          </w:rPr>
          <w:fldChar w:fldCharType="begin"/>
        </w:r>
        <w:r w:rsidR="005E31BA">
          <w:rPr>
            <w:webHidden/>
          </w:rPr>
          <w:instrText xml:space="preserve"> PAGEREF _Toc500320880 \h </w:instrText>
        </w:r>
        <w:r w:rsidR="005E31BA">
          <w:rPr>
            <w:webHidden/>
          </w:rPr>
        </w:r>
        <w:r w:rsidR="005E31BA">
          <w:rPr>
            <w:webHidden/>
          </w:rPr>
          <w:fldChar w:fldCharType="separate"/>
        </w:r>
        <w:r w:rsidR="005E31BA">
          <w:rPr>
            <w:webHidden/>
          </w:rPr>
          <w:t>5</w:t>
        </w:r>
        <w:r w:rsidR="005E31BA">
          <w:rPr>
            <w:webHidden/>
          </w:rPr>
          <w:fldChar w:fldCharType="end"/>
        </w:r>
      </w:hyperlink>
    </w:p>
    <w:p w14:paraId="1F5D7BCD"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1" w:history="1">
        <w:r w:rsidR="005E31BA" w:rsidRPr="000D5AE2">
          <w:rPr>
            <w:rStyle w:val="Hyperlink"/>
          </w:rPr>
          <w:t>National interests</w:t>
        </w:r>
        <w:r w:rsidR="005E31BA">
          <w:rPr>
            <w:webHidden/>
          </w:rPr>
          <w:tab/>
        </w:r>
        <w:r w:rsidR="005E31BA">
          <w:rPr>
            <w:webHidden/>
          </w:rPr>
          <w:fldChar w:fldCharType="begin"/>
        </w:r>
        <w:r w:rsidR="005E31BA">
          <w:rPr>
            <w:webHidden/>
          </w:rPr>
          <w:instrText xml:space="preserve"> PAGEREF _Toc500320881 \h </w:instrText>
        </w:r>
        <w:r w:rsidR="005E31BA">
          <w:rPr>
            <w:webHidden/>
          </w:rPr>
        </w:r>
        <w:r w:rsidR="005E31BA">
          <w:rPr>
            <w:webHidden/>
          </w:rPr>
          <w:fldChar w:fldCharType="separate"/>
        </w:r>
        <w:r w:rsidR="005E31BA">
          <w:rPr>
            <w:webHidden/>
          </w:rPr>
          <w:t>6</w:t>
        </w:r>
        <w:r w:rsidR="005E31BA">
          <w:rPr>
            <w:webHidden/>
          </w:rPr>
          <w:fldChar w:fldCharType="end"/>
        </w:r>
      </w:hyperlink>
    </w:p>
    <w:p w14:paraId="60633D57" w14:textId="77777777" w:rsidR="005E31BA" w:rsidRPr="005E31BA" w:rsidRDefault="00A03B6A" w:rsidP="005E31BA">
      <w:pPr>
        <w:pStyle w:val="TOC1"/>
        <w:tabs>
          <w:tab w:val="clear" w:pos="7660"/>
          <w:tab w:val="right" w:pos="9072"/>
        </w:tabs>
        <w:ind w:right="567"/>
        <w:rPr>
          <w:rFonts w:asciiTheme="minorHAnsi" w:eastAsiaTheme="minorEastAsia" w:hAnsiTheme="minorHAnsi" w:cstheme="minorBidi"/>
          <w:b w:val="0"/>
          <w:color w:val="37897E"/>
          <w:spacing w:val="0"/>
          <w:sz w:val="22"/>
          <w:szCs w:val="22"/>
        </w:rPr>
      </w:pPr>
      <w:hyperlink w:anchor="_Toc500320882" w:history="1">
        <w:r w:rsidR="005E31BA" w:rsidRPr="005E31BA">
          <w:rPr>
            <w:rStyle w:val="Hyperlink"/>
            <w:color w:val="37897E"/>
          </w:rPr>
          <w:t>Key indicators—at a glance</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_Toc500320882 \h </w:instrText>
        </w:r>
        <w:r w:rsidR="005E31BA" w:rsidRPr="005E31BA">
          <w:rPr>
            <w:webHidden/>
            <w:color w:val="37897E"/>
          </w:rPr>
        </w:r>
        <w:r w:rsidR="005E31BA" w:rsidRPr="005E31BA">
          <w:rPr>
            <w:webHidden/>
            <w:color w:val="37897E"/>
          </w:rPr>
          <w:fldChar w:fldCharType="separate"/>
        </w:r>
        <w:r w:rsidR="005E31BA" w:rsidRPr="005E31BA">
          <w:rPr>
            <w:webHidden/>
            <w:color w:val="37897E"/>
          </w:rPr>
          <w:t>7</w:t>
        </w:r>
        <w:r w:rsidR="005E31BA" w:rsidRPr="005E31BA">
          <w:rPr>
            <w:webHidden/>
            <w:color w:val="37897E"/>
          </w:rPr>
          <w:fldChar w:fldCharType="end"/>
        </w:r>
      </w:hyperlink>
    </w:p>
    <w:p w14:paraId="5A351296"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3" w:history="1">
        <w:r w:rsidR="005E31BA" w:rsidRPr="000D5AE2">
          <w:rPr>
            <w:rStyle w:val="Hyperlink"/>
          </w:rPr>
          <w:t>Telecommunications services</w:t>
        </w:r>
        <w:r w:rsidR="005E31BA">
          <w:rPr>
            <w:webHidden/>
          </w:rPr>
          <w:tab/>
        </w:r>
        <w:r w:rsidR="005E31BA">
          <w:rPr>
            <w:webHidden/>
          </w:rPr>
          <w:fldChar w:fldCharType="begin"/>
        </w:r>
        <w:r w:rsidR="005E31BA">
          <w:rPr>
            <w:webHidden/>
          </w:rPr>
          <w:instrText xml:space="preserve"> PAGEREF _Toc500320883 \h </w:instrText>
        </w:r>
        <w:r w:rsidR="005E31BA">
          <w:rPr>
            <w:webHidden/>
          </w:rPr>
        </w:r>
        <w:r w:rsidR="005E31BA">
          <w:rPr>
            <w:webHidden/>
          </w:rPr>
          <w:fldChar w:fldCharType="separate"/>
        </w:r>
        <w:r w:rsidR="005E31BA">
          <w:rPr>
            <w:webHidden/>
          </w:rPr>
          <w:t>7</w:t>
        </w:r>
        <w:r w:rsidR="005E31BA">
          <w:rPr>
            <w:webHidden/>
          </w:rPr>
          <w:fldChar w:fldCharType="end"/>
        </w:r>
      </w:hyperlink>
    </w:p>
    <w:p w14:paraId="4116F87B"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4" w:history="1">
        <w:r w:rsidR="005E31BA" w:rsidRPr="000D5AE2">
          <w:rPr>
            <w:rStyle w:val="Hyperlink"/>
          </w:rPr>
          <w:t>Broadcasting licences</w:t>
        </w:r>
        <w:r w:rsidR="005E31BA">
          <w:rPr>
            <w:webHidden/>
          </w:rPr>
          <w:tab/>
        </w:r>
        <w:r w:rsidR="005E31BA">
          <w:rPr>
            <w:webHidden/>
          </w:rPr>
          <w:fldChar w:fldCharType="begin"/>
        </w:r>
        <w:r w:rsidR="005E31BA">
          <w:rPr>
            <w:webHidden/>
          </w:rPr>
          <w:instrText xml:space="preserve"> PAGEREF _Toc500320884 \h </w:instrText>
        </w:r>
        <w:r w:rsidR="005E31BA">
          <w:rPr>
            <w:webHidden/>
          </w:rPr>
        </w:r>
        <w:r w:rsidR="005E31BA">
          <w:rPr>
            <w:webHidden/>
          </w:rPr>
          <w:fldChar w:fldCharType="separate"/>
        </w:r>
        <w:r w:rsidR="005E31BA">
          <w:rPr>
            <w:webHidden/>
          </w:rPr>
          <w:t>10</w:t>
        </w:r>
        <w:r w:rsidR="005E31BA">
          <w:rPr>
            <w:webHidden/>
          </w:rPr>
          <w:fldChar w:fldCharType="end"/>
        </w:r>
      </w:hyperlink>
    </w:p>
    <w:p w14:paraId="2947676B"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5" w:history="1">
        <w:r w:rsidR="005E31BA" w:rsidRPr="000D5AE2">
          <w:rPr>
            <w:rStyle w:val="Hyperlink"/>
          </w:rPr>
          <w:t>Number portability</w:t>
        </w:r>
        <w:r w:rsidR="005E31BA">
          <w:rPr>
            <w:webHidden/>
          </w:rPr>
          <w:tab/>
        </w:r>
        <w:r w:rsidR="005E31BA">
          <w:rPr>
            <w:webHidden/>
          </w:rPr>
          <w:fldChar w:fldCharType="begin"/>
        </w:r>
        <w:r w:rsidR="005E31BA">
          <w:rPr>
            <w:webHidden/>
          </w:rPr>
          <w:instrText xml:space="preserve"> PAGEREF _Toc500320885 \h </w:instrText>
        </w:r>
        <w:r w:rsidR="005E31BA">
          <w:rPr>
            <w:webHidden/>
          </w:rPr>
        </w:r>
        <w:r w:rsidR="005E31BA">
          <w:rPr>
            <w:webHidden/>
          </w:rPr>
          <w:fldChar w:fldCharType="separate"/>
        </w:r>
        <w:r w:rsidR="005E31BA">
          <w:rPr>
            <w:webHidden/>
          </w:rPr>
          <w:t>10</w:t>
        </w:r>
        <w:r w:rsidR="005E31BA">
          <w:rPr>
            <w:webHidden/>
          </w:rPr>
          <w:fldChar w:fldCharType="end"/>
        </w:r>
      </w:hyperlink>
    </w:p>
    <w:p w14:paraId="33573A74"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6" w:history="1">
        <w:r w:rsidR="005E31BA" w:rsidRPr="000D5AE2">
          <w:rPr>
            <w:rStyle w:val="Hyperlink"/>
          </w:rPr>
          <w:t>National interest matters</w:t>
        </w:r>
        <w:r w:rsidR="005E31BA">
          <w:rPr>
            <w:webHidden/>
          </w:rPr>
          <w:tab/>
        </w:r>
        <w:r w:rsidR="005E31BA">
          <w:rPr>
            <w:webHidden/>
          </w:rPr>
          <w:fldChar w:fldCharType="begin"/>
        </w:r>
        <w:r w:rsidR="005E31BA">
          <w:rPr>
            <w:webHidden/>
          </w:rPr>
          <w:instrText xml:space="preserve"> PAGEREF _Toc500320886 \h </w:instrText>
        </w:r>
        <w:r w:rsidR="005E31BA">
          <w:rPr>
            <w:webHidden/>
          </w:rPr>
        </w:r>
        <w:r w:rsidR="005E31BA">
          <w:rPr>
            <w:webHidden/>
          </w:rPr>
          <w:fldChar w:fldCharType="separate"/>
        </w:r>
        <w:r w:rsidR="005E31BA">
          <w:rPr>
            <w:webHidden/>
          </w:rPr>
          <w:t>11</w:t>
        </w:r>
        <w:r w:rsidR="005E31BA">
          <w:rPr>
            <w:webHidden/>
          </w:rPr>
          <w:fldChar w:fldCharType="end"/>
        </w:r>
      </w:hyperlink>
    </w:p>
    <w:p w14:paraId="346A5207"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7" w:history="1">
        <w:r w:rsidR="005E31BA" w:rsidRPr="000D5AE2">
          <w:rPr>
            <w:rStyle w:val="Hyperlink"/>
          </w:rPr>
          <w:t>Complaints and investigations</w:t>
        </w:r>
        <w:r w:rsidR="005E31BA">
          <w:rPr>
            <w:webHidden/>
          </w:rPr>
          <w:tab/>
        </w:r>
        <w:r w:rsidR="005E31BA">
          <w:rPr>
            <w:webHidden/>
          </w:rPr>
          <w:fldChar w:fldCharType="begin"/>
        </w:r>
        <w:r w:rsidR="005E31BA">
          <w:rPr>
            <w:webHidden/>
          </w:rPr>
          <w:instrText xml:space="preserve"> PAGEREF _Toc500320887 \h </w:instrText>
        </w:r>
        <w:r w:rsidR="005E31BA">
          <w:rPr>
            <w:webHidden/>
          </w:rPr>
        </w:r>
        <w:r w:rsidR="005E31BA">
          <w:rPr>
            <w:webHidden/>
          </w:rPr>
          <w:fldChar w:fldCharType="separate"/>
        </w:r>
        <w:r w:rsidR="005E31BA">
          <w:rPr>
            <w:webHidden/>
          </w:rPr>
          <w:t>11</w:t>
        </w:r>
        <w:r w:rsidR="005E31BA">
          <w:rPr>
            <w:webHidden/>
          </w:rPr>
          <w:fldChar w:fldCharType="end"/>
        </w:r>
      </w:hyperlink>
    </w:p>
    <w:p w14:paraId="6DD9A0DF" w14:textId="77777777" w:rsidR="005E31BA" w:rsidRPr="005E31BA" w:rsidRDefault="00A03B6A" w:rsidP="005E31BA">
      <w:pPr>
        <w:pStyle w:val="TOC1"/>
        <w:tabs>
          <w:tab w:val="clear" w:pos="7660"/>
          <w:tab w:val="left" w:pos="885"/>
          <w:tab w:val="right" w:pos="9072"/>
        </w:tabs>
        <w:ind w:right="567"/>
        <w:rPr>
          <w:rFonts w:asciiTheme="minorHAnsi" w:eastAsiaTheme="minorEastAsia" w:hAnsiTheme="minorHAnsi" w:cstheme="minorBidi"/>
          <w:b w:val="0"/>
          <w:color w:val="37897E"/>
          <w:spacing w:val="0"/>
          <w:sz w:val="22"/>
          <w:szCs w:val="22"/>
        </w:rPr>
      </w:pPr>
      <w:hyperlink w:anchor="_Toc500320888" w:history="1">
        <w:r w:rsidR="005E31BA" w:rsidRPr="005E31BA">
          <w:rPr>
            <w:rStyle w:val="Hyperlink"/>
            <w:color w:val="37897E"/>
          </w:rPr>
          <w:t>1.</w:t>
        </w:r>
        <w:r w:rsidR="005E31BA" w:rsidRPr="005E31BA">
          <w:rPr>
            <w:rFonts w:asciiTheme="minorHAnsi" w:eastAsiaTheme="minorEastAsia" w:hAnsiTheme="minorHAnsi" w:cstheme="minorBidi"/>
            <w:b w:val="0"/>
            <w:color w:val="37897E"/>
            <w:spacing w:val="0"/>
            <w:sz w:val="22"/>
            <w:szCs w:val="22"/>
          </w:rPr>
          <w:tab/>
        </w:r>
        <w:r w:rsidR="005E31BA" w:rsidRPr="005E31BA">
          <w:rPr>
            <w:rStyle w:val="Hyperlink"/>
            <w:color w:val="37897E"/>
          </w:rPr>
          <w:t>Industry supply of communications services</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_Toc500320888 \h </w:instrText>
        </w:r>
        <w:r w:rsidR="005E31BA" w:rsidRPr="005E31BA">
          <w:rPr>
            <w:webHidden/>
            <w:color w:val="37897E"/>
          </w:rPr>
        </w:r>
        <w:r w:rsidR="005E31BA" w:rsidRPr="005E31BA">
          <w:rPr>
            <w:webHidden/>
            <w:color w:val="37897E"/>
          </w:rPr>
          <w:fldChar w:fldCharType="separate"/>
        </w:r>
        <w:r w:rsidR="005E31BA" w:rsidRPr="005E31BA">
          <w:rPr>
            <w:webHidden/>
            <w:color w:val="37897E"/>
          </w:rPr>
          <w:t>12</w:t>
        </w:r>
        <w:r w:rsidR="005E31BA" w:rsidRPr="005E31BA">
          <w:rPr>
            <w:webHidden/>
            <w:color w:val="37897E"/>
          </w:rPr>
          <w:fldChar w:fldCharType="end"/>
        </w:r>
      </w:hyperlink>
    </w:p>
    <w:p w14:paraId="50FD6C0B"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89" w:history="1">
        <w:r w:rsidR="005E31BA" w:rsidRPr="000D5AE2">
          <w:rPr>
            <w:rStyle w:val="Hyperlink"/>
          </w:rPr>
          <w:t>1.1.</w:t>
        </w:r>
        <w:r w:rsidR="005E31BA">
          <w:rPr>
            <w:rFonts w:asciiTheme="minorHAnsi" w:eastAsiaTheme="minorEastAsia" w:hAnsiTheme="minorHAnsi" w:cstheme="minorBidi"/>
            <w:spacing w:val="0"/>
            <w:sz w:val="22"/>
            <w:szCs w:val="22"/>
          </w:rPr>
          <w:tab/>
        </w:r>
        <w:r w:rsidR="005E31BA" w:rsidRPr="000D5AE2">
          <w:rPr>
            <w:rStyle w:val="Hyperlink"/>
          </w:rPr>
          <w:t>Fixed-line service availability</w:t>
        </w:r>
        <w:r w:rsidR="005E31BA">
          <w:rPr>
            <w:webHidden/>
          </w:rPr>
          <w:tab/>
        </w:r>
        <w:r w:rsidR="005E31BA">
          <w:rPr>
            <w:webHidden/>
          </w:rPr>
          <w:fldChar w:fldCharType="begin"/>
        </w:r>
        <w:r w:rsidR="005E31BA">
          <w:rPr>
            <w:webHidden/>
          </w:rPr>
          <w:instrText xml:space="preserve"> PAGEREF _Toc500320889 \h </w:instrText>
        </w:r>
        <w:r w:rsidR="005E31BA">
          <w:rPr>
            <w:webHidden/>
          </w:rPr>
        </w:r>
        <w:r w:rsidR="005E31BA">
          <w:rPr>
            <w:webHidden/>
          </w:rPr>
          <w:fldChar w:fldCharType="separate"/>
        </w:r>
        <w:r w:rsidR="005E31BA">
          <w:rPr>
            <w:webHidden/>
          </w:rPr>
          <w:t>12</w:t>
        </w:r>
        <w:r w:rsidR="005E31BA">
          <w:rPr>
            <w:webHidden/>
          </w:rPr>
          <w:fldChar w:fldCharType="end"/>
        </w:r>
      </w:hyperlink>
    </w:p>
    <w:p w14:paraId="2526C487"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0" w:history="1">
        <w:r w:rsidR="005E31BA" w:rsidRPr="000D5AE2">
          <w:rPr>
            <w:rStyle w:val="Hyperlink"/>
          </w:rPr>
          <w:t>1.2.</w:t>
        </w:r>
        <w:r w:rsidR="005E31BA">
          <w:rPr>
            <w:rFonts w:asciiTheme="minorHAnsi" w:eastAsiaTheme="minorEastAsia" w:hAnsiTheme="minorHAnsi" w:cstheme="minorBidi"/>
            <w:spacing w:val="0"/>
            <w:sz w:val="22"/>
            <w:szCs w:val="22"/>
          </w:rPr>
          <w:tab/>
        </w:r>
        <w:r w:rsidR="005E31BA" w:rsidRPr="000D5AE2">
          <w:rPr>
            <w:rStyle w:val="Hyperlink"/>
          </w:rPr>
          <w:t>Mobile service availability</w:t>
        </w:r>
        <w:r w:rsidR="005E31BA">
          <w:rPr>
            <w:webHidden/>
          </w:rPr>
          <w:tab/>
        </w:r>
        <w:r w:rsidR="005E31BA">
          <w:rPr>
            <w:webHidden/>
          </w:rPr>
          <w:fldChar w:fldCharType="begin"/>
        </w:r>
        <w:r w:rsidR="005E31BA">
          <w:rPr>
            <w:webHidden/>
          </w:rPr>
          <w:instrText xml:space="preserve"> PAGEREF _Toc500320890 \h </w:instrText>
        </w:r>
        <w:r w:rsidR="005E31BA">
          <w:rPr>
            <w:webHidden/>
          </w:rPr>
        </w:r>
        <w:r w:rsidR="005E31BA">
          <w:rPr>
            <w:webHidden/>
          </w:rPr>
          <w:fldChar w:fldCharType="separate"/>
        </w:r>
        <w:r w:rsidR="005E31BA">
          <w:rPr>
            <w:webHidden/>
          </w:rPr>
          <w:t>13</w:t>
        </w:r>
        <w:r w:rsidR="005E31BA">
          <w:rPr>
            <w:webHidden/>
          </w:rPr>
          <w:fldChar w:fldCharType="end"/>
        </w:r>
      </w:hyperlink>
    </w:p>
    <w:p w14:paraId="5B4E4369"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1" w:history="1">
        <w:r w:rsidR="005E31BA" w:rsidRPr="000D5AE2">
          <w:rPr>
            <w:rStyle w:val="Hyperlink"/>
          </w:rPr>
          <w:t>1.3.</w:t>
        </w:r>
        <w:r w:rsidR="005E31BA">
          <w:rPr>
            <w:rFonts w:asciiTheme="minorHAnsi" w:eastAsiaTheme="minorEastAsia" w:hAnsiTheme="minorHAnsi" w:cstheme="minorBidi"/>
            <w:spacing w:val="0"/>
            <w:sz w:val="22"/>
            <w:szCs w:val="22"/>
          </w:rPr>
          <w:tab/>
        </w:r>
        <w:r w:rsidR="005E31BA" w:rsidRPr="000D5AE2">
          <w:rPr>
            <w:rStyle w:val="Hyperlink"/>
          </w:rPr>
          <w:t>Zooming in on mobile</w:t>
        </w:r>
        <w:r w:rsidR="005E31BA">
          <w:rPr>
            <w:webHidden/>
          </w:rPr>
          <w:tab/>
        </w:r>
        <w:r w:rsidR="005E31BA">
          <w:rPr>
            <w:webHidden/>
          </w:rPr>
          <w:fldChar w:fldCharType="begin"/>
        </w:r>
        <w:r w:rsidR="005E31BA">
          <w:rPr>
            <w:webHidden/>
          </w:rPr>
          <w:instrText xml:space="preserve"> PAGEREF _Toc500320891 \h </w:instrText>
        </w:r>
        <w:r w:rsidR="005E31BA">
          <w:rPr>
            <w:webHidden/>
          </w:rPr>
        </w:r>
        <w:r w:rsidR="005E31BA">
          <w:rPr>
            <w:webHidden/>
          </w:rPr>
          <w:fldChar w:fldCharType="separate"/>
        </w:r>
        <w:r w:rsidR="005E31BA">
          <w:rPr>
            <w:webHidden/>
          </w:rPr>
          <w:t>16</w:t>
        </w:r>
        <w:r w:rsidR="005E31BA">
          <w:rPr>
            <w:webHidden/>
          </w:rPr>
          <w:fldChar w:fldCharType="end"/>
        </w:r>
      </w:hyperlink>
    </w:p>
    <w:p w14:paraId="647D0136"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2" w:history="1">
        <w:r w:rsidR="005E31BA" w:rsidRPr="000D5AE2">
          <w:rPr>
            <w:rStyle w:val="Hyperlink"/>
          </w:rPr>
          <w:t>1.4.</w:t>
        </w:r>
        <w:r w:rsidR="005E31BA">
          <w:rPr>
            <w:rFonts w:asciiTheme="minorHAnsi" w:eastAsiaTheme="minorEastAsia" w:hAnsiTheme="minorHAnsi" w:cstheme="minorBidi"/>
            <w:spacing w:val="0"/>
            <w:sz w:val="22"/>
            <w:szCs w:val="22"/>
          </w:rPr>
          <w:tab/>
        </w:r>
        <w:r w:rsidR="005E31BA" w:rsidRPr="000D5AE2">
          <w:rPr>
            <w:rStyle w:val="Hyperlink"/>
          </w:rPr>
          <w:t>Internet service availability</w:t>
        </w:r>
        <w:r w:rsidR="005E31BA">
          <w:rPr>
            <w:webHidden/>
          </w:rPr>
          <w:tab/>
        </w:r>
        <w:r w:rsidR="005E31BA">
          <w:rPr>
            <w:webHidden/>
          </w:rPr>
          <w:fldChar w:fldCharType="begin"/>
        </w:r>
        <w:r w:rsidR="005E31BA">
          <w:rPr>
            <w:webHidden/>
          </w:rPr>
          <w:instrText xml:space="preserve"> PAGEREF _Toc500320892 \h </w:instrText>
        </w:r>
        <w:r w:rsidR="005E31BA">
          <w:rPr>
            <w:webHidden/>
          </w:rPr>
        </w:r>
        <w:r w:rsidR="005E31BA">
          <w:rPr>
            <w:webHidden/>
          </w:rPr>
          <w:fldChar w:fldCharType="separate"/>
        </w:r>
        <w:r w:rsidR="005E31BA">
          <w:rPr>
            <w:webHidden/>
          </w:rPr>
          <w:t>18</w:t>
        </w:r>
        <w:r w:rsidR="005E31BA">
          <w:rPr>
            <w:webHidden/>
          </w:rPr>
          <w:fldChar w:fldCharType="end"/>
        </w:r>
      </w:hyperlink>
    </w:p>
    <w:p w14:paraId="2AA46E4D"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3" w:history="1">
        <w:r w:rsidR="005E31BA" w:rsidRPr="000D5AE2">
          <w:rPr>
            <w:rStyle w:val="Hyperlink"/>
          </w:rPr>
          <w:t>1.5.</w:t>
        </w:r>
        <w:r w:rsidR="005E31BA">
          <w:rPr>
            <w:rFonts w:asciiTheme="minorHAnsi" w:eastAsiaTheme="minorEastAsia" w:hAnsiTheme="minorHAnsi" w:cstheme="minorBidi"/>
            <w:spacing w:val="0"/>
            <w:sz w:val="22"/>
            <w:szCs w:val="22"/>
          </w:rPr>
          <w:tab/>
        </w:r>
        <w:r w:rsidR="005E31BA" w:rsidRPr="000D5AE2">
          <w:rPr>
            <w:rStyle w:val="Hyperlink"/>
          </w:rPr>
          <w:t>New developments in communications</w:t>
        </w:r>
        <w:r w:rsidR="005E31BA">
          <w:rPr>
            <w:webHidden/>
          </w:rPr>
          <w:tab/>
        </w:r>
        <w:r w:rsidR="005E31BA">
          <w:rPr>
            <w:webHidden/>
          </w:rPr>
          <w:fldChar w:fldCharType="begin"/>
        </w:r>
        <w:r w:rsidR="005E31BA">
          <w:rPr>
            <w:webHidden/>
          </w:rPr>
          <w:instrText xml:space="preserve"> PAGEREF _Toc500320893 \h </w:instrText>
        </w:r>
        <w:r w:rsidR="005E31BA">
          <w:rPr>
            <w:webHidden/>
          </w:rPr>
        </w:r>
        <w:r w:rsidR="005E31BA">
          <w:rPr>
            <w:webHidden/>
          </w:rPr>
          <w:fldChar w:fldCharType="separate"/>
        </w:r>
        <w:r w:rsidR="005E31BA">
          <w:rPr>
            <w:webHidden/>
          </w:rPr>
          <w:t>25</w:t>
        </w:r>
        <w:r w:rsidR="005E31BA">
          <w:rPr>
            <w:webHidden/>
          </w:rPr>
          <w:fldChar w:fldCharType="end"/>
        </w:r>
      </w:hyperlink>
    </w:p>
    <w:p w14:paraId="01285937"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4" w:history="1">
        <w:r w:rsidR="005E31BA" w:rsidRPr="000D5AE2">
          <w:rPr>
            <w:rStyle w:val="Hyperlink"/>
          </w:rPr>
          <w:t>1.6.</w:t>
        </w:r>
        <w:r w:rsidR="005E31BA">
          <w:rPr>
            <w:rFonts w:asciiTheme="minorHAnsi" w:eastAsiaTheme="minorEastAsia" w:hAnsiTheme="minorHAnsi" w:cstheme="minorBidi"/>
            <w:spacing w:val="0"/>
            <w:sz w:val="22"/>
            <w:szCs w:val="22"/>
          </w:rPr>
          <w:tab/>
        </w:r>
        <w:r w:rsidR="005E31BA" w:rsidRPr="000D5AE2">
          <w:rPr>
            <w:rStyle w:val="Hyperlink"/>
          </w:rPr>
          <w:t>Infrastructure regulation</w:t>
        </w:r>
        <w:r w:rsidR="005E31BA">
          <w:rPr>
            <w:webHidden/>
          </w:rPr>
          <w:tab/>
        </w:r>
        <w:r w:rsidR="005E31BA">
          <w:rPr>
            <w:webHidden/>
          </w:rPr>
          <w:fldChar w:fldCharType="begin"/>
        </w:r>
        <w:r w:rsidR="005E31BA">
          <w:rPr>
            <w:webHidden/>
          </w:rPr>
          <w:instrText xml:space="preserve"> PAGEREF _Toc500320894 \h </w:instrText>
        </w:r>
        <w:r w:rsidR="005E31BA">
          <w:rPr>
            <w:webHidden/>
          </w:rPr>
        </w:r>
        <w:r w:rsidR="005E31BA">
          <w:rPr>
            <w:webHidden/>
          </w:rPr>
          <w:fldChar w:fldCharType="separate"/>
        </w:r>
        <w:r w:rsidR="005E31BA">
          <w:rPr>
            <w:webHidden/>
          </w:rPr>
          <w:t>28</w:t>
        </w:r>
        <w:r w:rsidR="005E31BA">
          <w:rPr>
            <w:webHidden/>
          </w:rPr>
          <w:fldChar w:fldCharType="end"/>
        </w:r>
      </w:hyperlink>
    </w:p>
    <w:p w14:paraId="03F35346"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5" w:history="1">
        <w:r w:rsidR="005E31BA" w:rsidRPr="000D5AE2">
          <w:rPr>
            <w:rStyle w:val="Hyperlink"/>
          </w:rPr>
          <w:t>1.7.</w:t>
        </w:r>
        <w:r w:rsidR="005E31BA">
          <w:rPr>
            <w:rFonts w:asciiTheme="minorHAnsi" w:eastAsiaTheme="minorEastAsia" w:hAnsiTheme="minorHAnsi" w:cstheme="minorBidi"/>
            <w:spacing w:val="0"/>
            <w:sz w:val="22"/>
            <w:szCs w:val="22"/>
          </w:rPr>
          <w:tab/>
        </w:r>
        <w:r w:rsidR="005E31BA" w:rsidRPr="000D5AE2">
          <w:rPr>
            <w:rStyle w:val="Hyperlink"/>
          </w:rPr>
          <w:t>Carrier licensing and CSPs</w:t>
        </w:r>
        <w:r w:rsidR="005E31BA">
          <w:rPr>
            <w:webHidden/>
          </w:rPr>
          <w:tab/>
        </w:r>
        <w:r w:rsidR="005E31BA">
          <w:rPr>
            <w:webHidden/>
          </w:rPr>
          <w:fldChar w:fldCharType="begin"/>
        </w:r>
        <w:r w:rsidR="005E31BA">
          <w:rPr>
            <w:webHidden/>
          </w:rPr>
          <w:instrText xml:space="preserve"> PAGEREF _Toc500320895 \h </w:instrText>
        </w:r>
        <w:r w:rsidR="005E31BA">
          <w:rPr>
            <w:webHidden/>
          </w:rPr>
        </w:r>
        <w:r w:rsidR="005E31BA">
          <w:rPr>
            <w:webHidden/>
          </w:rPr>
          <w:fldChar w:fldCharType="separate"/>
        </w:r>
        <w:r w:rsidR="005E31BA">
          <w:rPr>
            <w:webHidden/>
          </w:rPr>
          <w:t>32</w:t>
        </w:r>
        <w:r w:rsidR="005E31BA">
          <w:rPr>
            <w:webHidden/>
          </w:rPr>
          <w:fldChar w:fldCharType="end"/>
        </w:r>
      </w:hyperlink>
    </w:p>
    <w:p w14:paraId="28CE5210"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6" w:history="1">
        <w:r w:rsidR="005E31BA" w:rsidRPr="000D5AE2">
          <w:rPr>
            <w:rStyle w:val="Hyperlink"/>
          </w:rPr>
          <w:t>1.8.</w:t>
        </w:r>
        <w:r w:rsidR="005E31BA">
          <w:rPr>
            <w:rFonts w:asciiTheme="minorHAnsi" w:eastAsiaTheme="minorEastAsia" w:hAnsiTheme="minorHAnsi" w:cstheme="minorBidi"/>
            <w:spacing w:val="0"/>
            <w:sz w:val="22"/>
            <w:szCs w:val="22"/>
          </w:rPr>
          <w:tab/>
        </w:r>
        <w:r w:rsidR="005E31BA" w:rsidRPr="000D5AE2">
          <w:rPr>
            <w:rStyle w:val="Hyperlink"/>
          </w:rPr>
          <w:t>Allocation of numbers</w:t>
        </w:r>
        <w:r w:rsidR="005E31BA">
          <w:rPr>
            <w:webHidden/>
          </w:rPr>
          <w:tab/>
        </w:r>
        <w:r w:rsidR="005E31BA">
          <w:rPr>
            <w:webHidden/>
          </w:rPr>
          <w:fldChar w:fldCharType="begin"/>
        </w:r>
        <w:r w:rsidR="005E31BA">
          <w:rPr>
            <w:webHidden/>
          </w:rPr>
          <w:instrText xml:space="preserve"> PAGEREF _Toc500320896 \h </w:instrText>
        </w:r>
        <w:r w:rsidR="005E31BA">
          <w:rPr>
            <w:webHidden/>
          </w:rPr>
        </w:r>
        <w:r w:rsidR="005E31BA">
          <w:rPr>
            <w:webHidden/>
          </w:rPr>
          <w:fldChar w:fldCharType="separate"/>
        </w:r>
        <w:r w:rsidR="005E31BA">
          <w:rPr>
            <w:webHidden/>
          </w:rPr>
          <w:t>33</w:t>
        </w:r>
        <w:r w:rsidR="005E31BA">
          <w:rPr>
            <w:webHidden/>
          </w:rPr>
          <w:fldChar w:fldCharType="end"/>
        </w:r>
      </w:hyperlink>
    </w:p>
    <w:p w14:paraId="0E2F068A" w14:textId="77777777" w:rsidR="005E31BA" w:rsidRDefault="00A03B6A" w:rsidP="005E31BA">
      <w:pPr>
        <w:pStyle w:val="TOC2"/>
        <w:tabs>
          <w:tab w:val="clear" w:pos="7660"/>
          <w:tab w:val="right" w:pos="9072"/>
        </w:tabs>
        <w:ind w:right="567"/>
        <w:rPr>
          <w:rFonts w:asciiTheme="minorHAnsi" w:eastAsiaTheme="minorEastAsia" w:hAnsiTheme="minorHAnsi" w:cstheme="minorBidi"/>
          <w:spacing w:val="0"/>
          <w:sz w:val="22"/>
          <w:szCs w:val="22"/>
        </w:rPr>
      </w:pPr>
      <w:hyperlink w:anchor="_Toc500320897" w:history="1">
        <w:r w:rsidR="005E31BA" w:rsidRPr="000D5AE2">
          <w:rPr>
            <w:rStyle w:val="Hyperlink"/>
          </w:rPr>
          <w:t>1.9.</w:t>
        </w:r>
        <w:r w:rsidR="005E31BA">
          <w:rPr>
            <w:rFonts w:asciiTheme="minorHAnsi" w:eastAsiaTheme="minorEastAsia" w:hAnsiTheme="minorHAnsi" w:cstheme="minorBidi"/>
            <w:spacing w:val="0"/>
            <w:sz w:val="22"/>
            <w:szCs w:val="22"/>
          </w:rPr>
          <w:tab/>
        </w:r>
        <w:r w:rsidR="005E31BA" w:rsidRPr="000D5AE2">
          <w:rPr>
            <w:rStyle w:val="Hyperlink"/>
          </w:rPr>
          <w:t>Communications mergers and acquisitions</w:t>
        </w:r>
        <w:r w:rsidR="005E31BA">
          <w:rPr>
            <w:webHidden/>
          </w:rPr>
          <w:tab/>
        </w:r>
        <w:r w:rsidR="005E31BA">
          <w:rPr>
            <w:webHidden/>
          </w:rPr>
          <w:fldChar w:fldCharType="begin"/>
        </w:r>
        <w:r w:rsidR="005E31BA">
          <w:rPr>
            <w:webHidden/>
          </w:rPr>
          <w:instrText xml:space="preserve"> PAGEREF _Toc500320897 \h </w:instrText>
        </w:r>
        <w:r w:rsidR="005E31BA">
          <w:rPr>
            <w:webHidden/>
          </w:rPr>
        </w:r>
        <w:r w:rsidR="005E31BA">
          <w:rPr>
            <w:webHidden/>
          </w:rPr>
          <w:fldChar w:fldCharType="separate"/>
        </w:r>
        <w:r w:rsidR="005E31BA">
          <w:rPr>
            <w:webHidden/>
          </w:rPr>
          <w:t>34</w:t>
        </w:r>
        <w:r w:rsidR="005E31BA">
          <w:rPr>
            <w:webHidden/>
          </w:rPr>
          <w:fldChar w:fldCharType="end"/>
        </w:r>
      </w:hyperlink>
    </w:p>
    <w:p w14:paraId="3D1AA4B4"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898" w:history="1">
        <w:r w:rsidR="005E31BA" w:rsidRPr="000D5AE2">
          <w:rPr>
            <w:rStyle w:val="Hyperlink"/>
          </w:rPr>
          <w:t>1.10.</w:t>
        </w:r>
        <w:r w:rsidR="005E31BA">
          <w:rPr>
            <w:rFonts w:asciiTheme="minorHAnsi" w:eastAsiaTheme="minorEastAsia" w:hAnsiTheme="minorHAnsi" w:cstheme="minorBidi"/>
            <w:spacing w:val="0"/>
            <w:sz w:val="22"/>
            <w:szCs w:val="22"/>
          </w:rPr>
          <w:tab/>
        </w:r>
        <w:r w:rsidR="005E31BA" w:rsidRPr="000D5AE2">
          <w:rPr>
            <w:rStyle w:val="Hyperlink"/>
          </w:rPr>
          <w:t>Broadcasting services</w:t>
        </w:r>
        <w:r w:rsidR="005E31BA">
          <w:rPr>
            <w:webHidden/>
          </w:rPr>
          <w:tab/>
        </w:r>
        <w:r w:rsidR="005E31BA">
          <w:rPr>
            <w:webHidden/>
          </w:rPr>
          <w:fldChar w:fldCharType="begin"/>
        </w:r>
        <w:r w:rsidR="005E31BA">
          <w:rPr>
            <w:webHidden/>
          </w:rPr>
          <w:instrText xml:space="preserve"> PAGEREF _Toc500320898 \h </w:instrText>
        </w:r>
        <w:r w:rsidR="005E31BA">
          <w:rPr>
            <w:webHidden/>
          </w:rPr>
        </w:r>
        <w:r w:rsidR="005E31BA">
          <w:rPr>
            <w:webHidden/>
          </w:rPr>
          <w:fldChar w:fldCharType="separate"/>
        </w:r>
        <w:r w:rsidR="005E31BA">
          <w:rPr>
            <w:webHidden/>
          </w:rPr>
          <w:t>35</w:t>
        </w:r>
        <w:r w:rsidR="005E31BA">
          <w:rPr>
            <w:webHidden/>
          </w:rPr>
          <w:fldChar w:fldCharType="end"/>
        </w:r>
      </w:hyperlink>
    </w:p>
    <w:p w14:paraId="422D50F0"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899" w:history="1">
        <w:r w:rsidR="005E31BA" w:rsidRPr="000D5AE2">
          <w:rPr>
            <w:rStyle w:val="Hyperlink"/>
          </w:rPr>
          <w:t>1.11.</w:t>
        </w:r>
        <w:r w:rsidR="005E31BA">
          <w:rPr>
            <w:rFonts w:asciiTheme="minorHAnsi" w:eastAsiaTheme="minorEastAsia" w:hAnsiTheme="minorHAnsi" w:cstheme="minorBidi"/>
            <w:spacing w:val="0"/>
            <w:sz w:val="22"/>
            <w:szCs w:val="22"/>
          </w:rPr>
          <w:tab/>
        </w:r>
        <w:r w:rsidR="005E31BA" w:rsidRPr="000D5AE2">
          <w:rPr>
            <w:rStyle w:val="Hyperlink"/>
          </w:rPr>
          <w:t>Advertising expenditure in main media</w:t>
        </w:r>
        <w:r w:rsidR="005E31BA">
          <w:rPr>
            <w:webHidden/>
          </w:rPr>
          <w:tab/>
        </w:r>
        <w:r w:rsidR="005E31BA">
          <w:rPr>
            <w:webHidden/>
          </w:rPr>
          <w:fldChar w:fldCharType="begin"/>
        </w:r>
        <w:r w:rsidR="005E31BA">
          <w:rPr>
            <w:webHidden/>
          </w:rPr>
          <w:instrText xml:space="preserve"> PAGEREF _Toc500320899 \h </w:instrText>
        </w:r>
        <w:r w:rsidR="005E31BA">
          <w:rPr>
            <w:webHidden/>
          </w:rPr>
        </w:r>
        <w:r w:rsidR="005E31BA">
          <w:rPr>
            <w:webHidden/>
          </w:rPr>
          <w:fldChar w:fldCharType="separate"/>
        </w:r>
        <w:r w:rsidR="005E31BA">
          <w:rPr>
            <w:webHidden/>
          </w:rPr>
          <w:t>40</w:t>
        </w:r>
        <w:r w:rsidR="005E31BA">
          <w:rPr>
            <w:webHidden/>
          </w:rPr>
          <w:fldChar w:fldCharType="end"/>
        </w:r>
      </w:hyperlink>
    </w:p>
    <w:p w14:paraId="5F86EA8A" w14:textId="77777777" w:rsidR="005E31BA" w:rsidRPr="005E31BA" w:rsidRDefault="00A03B6A" w:rsidP="005E31BA">
      <w:pPr>
        <w:pStyle w:val="TOC1"/>
        <w:tabs>
          <w:tab w:val="clear" w:pos="7660"/>
          <w:tab w:val="left" w:pos="885"/>
          <w:tab w:val="right" w:pos="9072"/>
        </w:tabs>
        <w:rPr>
          <w:rFonts w:asciiTheme="minorHAnsi" w:eastAsiaTheme="minorEastAsia" w:hAnsiTheme="minorHAnsi" w:cstheme="minorBidi"/>
          <w:b w:val="0"/>
          <w:color w:val="37897E"/>
          <w:spacing w:val="0"/>
          <w:sz w:val="22"/>
          <w:szCs w:val="22"/>
        </w:rPr>
      </w:pPr>
      <w:hyperlink w:anchor="_Toc500320900" w:history="1">
        <w:r w:rsidR="005E31BA" w:rsidRPr="005E31BA">
          <w:rPr>
            <w:rStyle w:val="Hyperlink"/>
            <w:color w:val="37897E"/>
          </w:rPr>
          <w:t>2.</w:t>
        </w:r>
        <w:r w:rsidR="005E31BA" w:rsidRPr="005E31BA">
          <w:rPr>
            <w:rFonts w:asciiTheme="minorHAnsi" w:eastAsiaTheme="minorEastAsia" w:hAnsiTheme="minorHAnsi" w:cstheme="minorBidi"/>
            <w:b w:val="0"/>
            <w:color w:val="37897E"/>
            <w:spacing w:val="0"/>
            <w:sz w:val="22"/>
            <w:szCs w:val="22"/>
          </w:rPr>
          <w:tab/>
        </w:r>
        <w:r w:rsidR="005E31BA" w:rsidRPr="005E31BA">
          <w:rPr>
            <w:rStyle w:val="Hyperlink"/>
            <w:color w:val="37897E"/>
          </w:rPr>
          <w:t>Consumer engagement with communications and media</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_Toc500320900 \h </w:instrText>
        </w:r>
        <w:r w:rsidR="005E31BA" w:rsidRPr="005E31BA">
          <w:rPr>
            <w:webHidden/>
            <w:color w:val="37897E"/>
          </w:rPr>
        </w:r>
        <w:r w:rsidR="005E31BA" w:rsidRPr="005E31BA">
          <w:rPr>
            <w:webHidden/>
            <w:color w:val="37897E"/>
          </w:rPr>
          <w:fldChar w:fldCharType="separate"/>
        </w:r>
        <w:r w:rsidR="005E31BA" w:rsidRPr="005E31BA">
          <w:rPr>
            <w:webHidden/>
            <w:color w:val="37897E"/>
          </w:rPr>
          <w:t>46</w:t>
        </w:r>
        <w:r w:rsidR="005E31BA" w:rsidRPr="005E31BA">
          <w:rPr>
            <w:webHidden/>
            <w:color w:val="37897E"/>
          </w:rPr>
          <w:fldChar w:fldCharType="end"/>
        </w:r>
      </w:hyperlink>
    </w:p>
    <w:p w14:paraId="55E0AACA"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1" w:history="1">
        <w:r w:rsidR="005E31BA" w:rsidRPr="000D5AE2">
          <w:rPr>
            <w:rStyle w:val="Hyperlink"/>
          </w:rPr>
          <w:t>2.1.</w:t>
        </w:r>
        <w:r w:rsidR="005E31BA">
          <w:rPr>
            <w:rFonts w:asciiTheme="minorHAnsi" w:eastAsiaTheme="minorEastAsia" w:hAnsiTheme="minorHAnsi" w:cstheme="minorBidi"/>
            <w:spacing w:val="0"/>
            <w:sz w:val="22"/>
            <w:szCs w:val="22"/>
          </w:rPr>
          <w:tab/>
        </w:r>
        <w:r w:rsidR="005E31BA" w:rsidRPr="000D5AE2">
          <w:rPr>
            <w:rStyle w:val="Hyperlink"/>
          </w:rPr>
          <w:t>How we communicate</w:t>
        </w:r>
        <w:r w:rsidR="005E31BA">
          <w:rPr>
            <w:webHidden/>
          </w:rPr>
          <w:tab/>
        </w:r>
        <w:r w:rsidR="005E31BA">
          <w:rPr>
            <w:webHidden/>
          </w:rPr>
          <w:fldChar w:fldCharType="begin"/>
        </w:r>
        <w:r w:rsidR="005E31BA">
          <w:rPr>
            <w:webHidden/>
          </w:rPr>
          <w:instrText xml:space="preserve"> PAGEREF _Toc500320901 \h </w:instrText>
        </w:r>
        <w:r w:rsidR="005E31BA">
          <w:rPr>
            <w:webHidden/>
          </w:rPr>
        </w:r>
        <w:r w:rsidR="005E31BA">
          <w:rPr>
            <w:webHidden/>
          </w:rPr>
          <w:fldChar w:fldCharType="separate"/>
        </w:r>
        <w:r w:rsidR="005E31BA">
          <w:rPr>
            <w:webHidden/>
          </w:rPr>
          <w:t>46</w:t>
        </w:r>
        <w:r w:rsidR="005E31BA">
          <w:rPr>
            <w:webHidden/>
          </w:rPr>
          <w:fldChar w:fldCharType="end"/>
        </w:r>
      </w:hyperlink>
    </w:p>
    <w:p w14:paraId="2704EE7C"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2" w:history="1">
        <w:r w:rsidR="005E31BA" w:rsidRPr="000D5AE2">
          <w:rPr>
            <w:rStyle w:val="Hyperlink"/>
          </w:rPr>
          <w:t>2.2.</w:t>
        </w:r>
        <w:r w:rsidR="005E31BA">
          <w:rPr>
            <w:rFonts w:asciiTheme="minorHAnsi" w:eastAsiaTheme="minorEastAsia" w:hAnsiTheme="minorHAnsi" w:cstheme="minorBidi"/>
            <w:spacing w:val="0"/>
            <w:sz w:val="22"/>
            <w:szCs w:val="22"/>
          </w:rPr>
          <w:tab/>
        </w:r>
        <w:r w:rsidR="005E31BA" w:rsidRPr="000D5AE2">
          <w:rPr>
            <w:rStyle w:val="Hyperlink"/>
          </w:rPr>
          <w:t>Internet access</w:t>
        </w:r>
        <w:r w:rsidR="005E31BA">
          <w:rPr>
            <w:webHidden/>
          </w:rPr>
          <w:tab/>
        </w:r>
        <w:r w:rsidR="005E31BA">
          <w:rPr>
            <w:webHidden/>
          </w:rPr>
          <w:fldChar w:fldCharType="begin"/>
        </w:r>
        <w:r w:rsidR="005E31BA">
          <w:rPr>
            <w:webHidden/>
          </w:rPr>
          <w:instrText xml:space="preserve"> PAGEREF _Toc500320902 \h </w:instrText>
        </w:r>
        <w:r w:rsidR="005E31BA">
          <w:rPr>
            <w:webHidden/>
          </w:rPr>
        </w:r>
        <w:r w:rsidR="005E31BA">
          <w:rPr>
            <w:webHidden/>
          </w:rPr>
          <w:fldChar w:fldCharType="separate"/>
        </w:r>
        <w:r w:rsidR="005E31BA">
          <w:rPr>
            <w:webHidden/>
          </w:rPr>
          <w:t>48</w:t>
        </w:r>
        <w:r w:rsidR="005E31BA">
          <w:rPr>
            <w:webHidden/>
          </w:rPr>
          <w:fldChar w:fldCharType="end"/>
        </w:r>
      </w:hyperlink>
    </w:p>
    <w:p w14:paraId="033DE27E"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3" w:history="1">
        <w:r w:rsidR="005E31BA" w:rsidRPr="000D5AE2">
          <w:rPr>
            <w:rStyle w:val="Hyperlink"/>
          </w:rPr>
          <w:t>2.3.</w:t>
        </w:r>
        <w:r w:rsidR="005E31BA">
          <w:rPr>
            <w:rFonts w:asciiTheme="minorHAnsi" w:eastAsiaTheme="minorEastAsia" w:hAnsiTheme="minorHAnsi" w:cstheme="minorBidi"/>
            <w:spacing w:val="0"/>
            <w:sz w:val="22"/>
            <w:szCs w:val="22"/>
          </w:rPr>
          <w:tab/>
        </w:r>
        <w:r w:rsidR="005E31BA" w:rsidRPr="000D5AE2">
          <w:rPr>
            <w:rStyle w:val="Hyperlink"/>
          </w:rPr>
          <w:t>Internet activities</w:t>
        </w:r>
        <w:r w:rsidR="005E31BA">
          <w:rPr>
            <w:webHidden/>
          </w:rPr>
          <w:tab/>
        </w:r>
        <w:r w:rsidR="005E31BA">
          <w:rPr>
            <w:webHidden/>
          </w:rPr>
          <w:fldChar w:fldCharType="begin"/>
        </w:r>
        <w:r w:rsidR="005E31BA">
          <w:rPr>
            <w:webHidden/>
          </w:rPr>
          <w:instrText xml:space="preserve"> PAGEREF _Toc500320903 \h </w:instrText>
        </w:r>
        <w:r w:rsidR="005E31BA">
          <w:rPr>
            <w:webHidden/>
          </w:rPr>
        </w:r>
        <w:r w:rsidR="005E31BA">
          <w:rPr>
            <w:webHidden/>
          </w:rPr>
          <w:fldChar w:fldCharType="separate"/>
        </w:r>
        <w:r w:rsidR="005E31BA">
          <w:rPr>
            <w:webHidden/>
          </w:rPr>
          <w:t>54</w:t>
        </w:r>
        <w:r w:rsidR="005E31BA">
          <w:rPr>
            <w:webHidden/>
          </w:rPr>
          <w:fldChar w:fldCharType="end"/>
        </w:r>
      </w:hyperlink>
    </w:p>
    <w:p w14:paraId="7826AE46"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4" w:history="1">
        <w:r w:rsidR="005E31BA" w:rsidRPr="000D5AE2">
          <w:rPr>
            <w:rStyle w:val="Hyperlink"/>
          </w:rPr>
          <w:t>2.4.</w:t>
        </w:r>
        <w:r w:rsidR="005E31BA">
          <w:rPr>
            <w:rFonts w:asciiTheme="minorHAnsi" w:eastAsiaTheme="minorEastAsia" w:hAnsiTheme="minorHAnsi" w:cstheme="minorBidi"/>
            <w:spacing w:val="0"/>
            <w:sz w:val="22"/>
            <w:szCs w:val="22"/>
          </w:rPr>
          <w:tab/>
        </w:r>
        <w:r w:rsidR="005E31BA" w:rsidRPr="000D5AE2">
          <w:rPr>
            <w:rStyle w:val="Hyperlink"/>
          </w:rPr>
          <w:t>Communications apps</w:t>
        </w:r>
        <w:r w:rsidR="005E31BA">
          <w:rPr>
            <w:webHidden/>
          </w:rPr>
          <w:tab/>
        </w:r>
        <w:r w:rsidR="005E31BA">
          <w:rPr>
            <w:webHidden/>
          </w:rPr>
          <w:fldChar w:fldCharType="begin"/>
        </w:r>
        <w:r w:rsidR="005E31BA">
          <w:rPr>
            <w:webHidden/>
          </w:rPr>
          <w:instrText xml:space="preserve"> PAGEREF _Toc500320904 \h </w:instrText>
        </w:r>
        <w:r w:rsidR="005E31BA">
          <w:rPr>
            <w:webHidden/>
          </w:rPr>
        </w:r>
        <w:r w:rsidR="005E31BA">
          <w:rPr>
            <w:webHidden/>
          </w:rPr>
          <w:fldChar w:fldCharType="separate"/>
        </w:r>
        <w:r w:rsidR="005E31BA">
          <w:rPr>
            <w:webHidden/>
          </w:rPr>
          <w:t>56</w:t>
        </w:r>
        <w:r w:rsidR="005E31BA">
          <w:rPr>
            <w:webHidden/>
          </w:rPr>
          <w:fldChar w:fldCharType="end"/>
        </w:r>
      </w:hyperlink>
    </w:p>
    <w:p w14:paraId="7EF89D9A"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5" w:history="1">
        <w:r w:rsidR="005E31BA" w:rsidRPr="000D5AE2">
          <w:rPr>
            <w:rStyle w:val="Hyperlink"/>
          </w:rPr>
          <w:t>2.5.</w:t>
        </w:r>
        <w:r w:rsidR="005E31BA">
          <w:rPr>
            <w:rFonts w:asciiTheme="minorHAnsi" w:eastAsiaTheme="minorEastAsia" w:hAnsiTheme="minorHAnsi" w:cstheme="minorBidi"/>
            <w:spacing w:val="0"/>
            <w:sz w:val="22"/>
            <w:szCs w:val="22"/>
          </w:rPr>
          <w:tab/>
        </w:r>
        <w:r w:rsidR="005E31BA" w:rsidRPr="000D5AE2">
          <w:rPr>
            <w:rStyle w:val="Hyperlink"/>
          </w:rPr>
          <w:t>e-Commerce and online business activities</w:t>
        </w:r>
        <w:r w:rsidR="005E31BA">
          <w:rPr>
            <w:webHidden/>
          </w:rPr>
          <w:tab/>
        </w:r>
        <w:r w:rsidR="005E31BA">
          <w:rPr>
            <w:webHidden/>
          </w:rPr>
          <w:fldChar w:fldCharType="begin"/>
        </w:r>
        <w:r w:rsidR="005E31BA">
          <w:rPr>
            <w:webHidden/>
          </w:rPr>
          <w:instrText xml:space="preserve"> PAGEREF _Toc500320905 \h </w:instrText>
        </w:r>
        <w:r w:rsidR="005E31BA">
          <w:rPr>
            <w:webHidden/>
          </w:rPr>
        </w:r>
        <w:r w:rsidR="005E31BA">
          <w:rPr>
            <w:webHidden/>
          </w:rPr>
          <w:fldChar w:fldCharType="separate"/>
        </w:r>
        <w:r w:rsidR="005E31BA">
          <w:rPr>
            <w:webHidden/>
          </w:rPr>
          <w:t>58</w:t>
        </w:r>
        <w:r w:rsidR="005E31BA">
          <w:rPr>
            <w:webHidden/>
          </w:rPr>
          <w:fldChar w:fldCharType="end"/>
        </w:r>
      </w:hyperlink>
    </w:p>
    <w:p w14:paraId="22C31C8D"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6" w:history="1">
        <w:r w:rsidR="005E31BA" w:rsidRPr="000D5AE2">
          <w:rPr>
            <w:rStyle w:val="Hyperlink"/>
          </w:rPr>
          <w:t>2.6.</w:t>
        </w:r>
        <w:r w:rsidR="005E31BA">
          <w:rPr>
            <w:rFonts w:asciiTheme="minorHAnsi" w:eastAsiaTheme="minorEastAsia" w:hAnsiTheme="minorHAnsi" w:cstheme="minorBidi"/>
            <w:spacing w:val="0"/>
            <w:sz w:val="22"/>
            <w:szCs w:val="22"/>
          </w:rPr>
          <w:tab/>
        </w:r>
        <w:r w:rsidR="005E31BA" w:rsidRPr="000D5AE2">
          <w:rPr>
            <w:rStyle w:val="Hyperlink"/>
          </w:rPr>
          <w:t>Consumer satisfaction with communications services</w:t>
        </w:r>
        <w:r w:rsidR="005E31BA">
          <w:rPr>
            <w:webHidden/>
          </w:rPr>
          <w:tab/>
        </w:r>
        <w:r w:rsidR="005E31BA">
          <w:rPr>
            <w:webHidden/>
          </w:rPr>
          <w:fldChar w:fldCharType="begin"/>
        </w:r>
        <w:r w:rsidR="005E31BA">
          <w:rPr>
            <w:webHidden/>
          </w:rPr>
          <w:instrText xml:space="preserve"> PAGEREF _Toc500320906 \h </w:instrText>
        </w:r>
        <w:r w:rsidR="005E31BA">
          <w:rPr>
            <w:webHidden/>
          </w:rPr>
        </w:r>
        <w:r w:rsidR="005E31BA">
          <w:rPr>
            <w:webHidden/>
          </w:rPr>
          <w:fldChar w:fldCharType="separate"/>
        </w:r>
        <w:r w:rsidR="005E31BA">
          <w:rPr>
            <w:webHidden/>
          </w:rPr>
          <w:t>60</w:t>
        </w:r>
        <w:r w:rsidR="005E31BA">
          <w:rPr>
            <w:webHidden/>
          </w:rPr>
          <w:fldChar w:fldCharType="end"/>
        </w:r>
      </w:hyperlink>
    </w:p>
    <w:p w14:paraId="322B0D96"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7" w:history="1">
        <w:r w:rsidR="005E31BA" w:rsidRPr="000D5AE2">
          <w:rPr>
            <w:rStyle w:val="Hyperlink"/>
          </w:rPr>
          <w:t>2.7.</w:t>
        </w:r>
        <w:r w:rsidR="005E31BA">
          <w:rPr>
            <w:rFonts w:asciiTheme="minorHAnsi" w:eastAsiaTheme="minorEastAsia" w:hAnsiTheme="minorHAnsi" w:cstheme="minorBidi"/>
            <w:spacing w:val="0"/>
            <w:sz w:val="22"/>
            <w:szCs w:val="22"/>
          </w:rPr>
          <w:tab/>
        </w:r>
        <w:r w:rsidR="005E31BA" w:rsidRPr="000D5AE2">
          <w:rPr>
            <w:rStyle w:val="Hyperlink"/>
          </w:rPr>
          <w:t>International trends</w:t>
        </w:r>
        <w:r w:rsidR="005E31BA">
          <w:rPr>
            <w:webHidden/>
          </w:rPr>
          <w:tab/>
        </w:r>
        <w:r w:rsidR="005E31BA">
          <w:rPr>
            <w:webHidden/>
          </w:rPr>
          <w:fldChar w:fldCharType="begin"/>
        </w:r>
        <w:r w:rsidR="005E31BA">
          <w:rPr>
            <w:webHidden/>
          </w:rPr>
          <w:instrText xml:space="preserve"> PAGEREF _Toc500320907 \h </w:instrText>
        </w:r>
        <w:r w:rsidR="005E31BA">
          <w:rPr>
            <w:webHidden/>
          </w:rPr>
        </w:r>
        <w:r w:rsidR="005E31BA">
          <w:rPr>
            <w:webHidden/>
          </w:rPr>
          <w:fldChar w:fldCharType="separate"/>
        </w:r>
        <w:r w:rsidR="005E31BA">
          <w:rPr>
            <w:webHidden/>
          </w:rPr>
          <w:t>62</w:t>
        </w:r>
        <w:r w:rsidR="005E31BA">
          <w:rPr>
            <w:webHidden/>
          </w:rPr>
          <w:fldChar w:fldCharType="end"/>
        </w:r>
      </w:hyperlink>
    </w:p>
    <w:p w14:paraId="38B50E75" w14:textId="77777777" w:rsidR="005E31BA" w:rsidRPr="005E31BA" w:rsidRDefault="00A03B6A" w:rsidP="005E31BA">
      <w:pPr>
        <w:pStyle w:val="TOC1"/>
        <w:tabs>
          <w:tab w:val="clear" w:pos="7660"/>
          <w:tab w:val="left" w:pos="885"/>
          <w:tab w:val="right" w:pos="9072"/>
        </w:tabs>
        <w:rPr>
          <w:rFonts w:asciiTheme="minorHAnsi" w:eastAsiaTheme="minorEastAsia" w:hAnsiTheme="minorHAnsi" w:cstheme="minorBidi"/>
          <w:b w:val="0"/>
          <w:color w:val="37897E"/>
          <w:spacing w:val="0"/>
          <w:sz w:val="22"/>
          <w:szCs w:val="22"/>
        </w:rPr>
      </w:pPr>
      <w:hyperlink w:anchor="_Toc500320908" w:history="1">
        <w:r w:rsidR="005E31BA" w:rsidRPr="005E31BA">
          <w:rPr>
            <w:rStyle w:val="Hyperlink"/>
            <w:color w:val="37897E"/>
          </w:rPr>
          <w:t>3.</w:t>
        </w:r>
        <w:r w:rsidR="005E31BA" w:rsidRPr="005E31BA">
          <w:rPr>
            <w:rFonts w:asciiTheme="minorHAnsi" w:eastAsiaTheme="minorEastAsia" w:hAnsiTheme="minorHAnsi" w:cstheme="minorBidi"/>
            <w:b w:val="0"/>
            <w:color w:val="37897E"/>
            <w:spacing w:val="0"/>
            <w:sz w:val="22"/>
            <w:szCs w:val="22"/>
          </w:rPr>
          <w:tab/>
        </w:r>
        <w:r w:rsidR="005E31BA" w:rsidRPr="005E31BA">
          <w:rPr>
            <w:rStyle w:val="Hyperlink"/>
            <w:color w:val="37897E"/>
          </w:rPr>
          <w:t>Television, radio and online content developments</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_Toc500320908 \h </w:instrText>
        </w:r>
        <w:r w:rsidR="005E31BA" w:rsidRPr="005E31BA">
          <w:rPr>
            <w:webHidden/>
            <w:color w:val="37897E"/>
          </w:rPr>
        </w:r>
        <w:r w:rsidR="005E31BA" w:rsidRPr="005E31BA">
          <w:rPr>
            <w:webHidden/>
            <w:color w:val="37897E"/>
          </w:rPr>
          <w:fldChar w:fldCharType="separate"/>
        </w:r>
        <w:r w:rsidR="005E31BA" w:rsidRPr="005E31BA">
          <w:rPr>
            <w:webHidden/>
            <w:color w:val="37897E"/>
          </w:rPr>
          <w:t>64</w:t>
        </w:r>
        <w:r w:rsidR="005E31BA" w:rsidRPr="005E31BA">
          <w:rPr>
            <w:webHidden/>
            <w:color w:val="37897E"/>
          </w:rPr>
          <w:fldChar w:fldCharType="end"/>
        </w:r>
      </w:hyperlink>
    </w:p>
    <w:p w14:paraId="14F8659D"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09" w:history="1">
        <w:r w:rsidR="005E31BA" w:rsidRPr="000D5AE2">
          <w:rPr>
            <w:rStyle w:val="Hyperlink"/>
          </w:rPr>
          <w:t>3.1.</w:t>
        </w:r>
        <w:r w:rsidR="005E31BA">
          <w:rPr>
            <w:rFonts w:asciiTheme="minorHAnsi" w:eastAsiaTheme="minorEastAsia" w:hAnsiTheme="minorHAnsi" w:cstheme="minorBidi"/>
            <w:spacing w:val="0"/>
            <w:sz w:val="22"/>
            <w:szCs w:val="22"/>
          </w:rPr>
          <w:tab/>
        </w:r>
        <w:r w:rsidR="005E31BA" w:rsidRPr="000D5AE2">
          <w:rPr>
            <w:rStyle w:val="Hyperlink"/>
          </w:rPr>
          <w:t>Audio content access and engagement</w:t>
        </w:r>
        <w:r w:rsidR="005E31BA">
          <w:rPr>
            <w:webHidden/>
          </w:rPr>
          <w:tab/>
        </w:r>
        <w:r w:rsidR="005E31BA">
          <w:rPr>
            <w:webHidden/>
          </w:rPr>
          <w:fldChar w:fldCharType="begin"/>
        </w:r>
        <w:r w:rsidR="005E31BA">
          <w:rPr>
            <w:webHidden/>
          </w:rPr>
          <w:instrText xml:space="preserve"> PAGEREF _Toc500320909 \h </w:instrText>
        </w:r>
        <w:r w:rsidR="005E31BA">
          <w:rPr>
            <w:webHidden/>
          </w:rPr>
        </w:r>
        <w:r w:rsidR="005E31BA">
          <w:rPr>
            <w:webHidden/>
          </w:rPr>
          <w:fldChar w:fldCharType="separate"/>
        </w:r>
        <w:r w:rsidR="005E31BA">
          <w:rPr>
            <w:webHidden/>
          </w:rPr>
          <w:t>64</w:t>
        </w:r>
        <w:r w:rsidR="005E31BA">
          <w:rPr>
            <w:webHidden/>
          </w:rPr>
          <w:fldChar w:fldCharType="end"/>
        </w:r>
      </w:hyperlink>
    </w:p>
    <w:p w14:paraId="185EF9FA"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0" w:history="1">
        <w:r w:rsidR="005E31BA" w:rsidRPr="000D5AE2">
          <w:rPr>
            <w:rStyle w:val="Hyperlink"/>
          </w:rPr>
          <w:t>3.2.</w:t>
        </w:r>
        <w:r w:rsidR="005E31BA">
          <w:rPr>
            <w:rFonts w:asciiTheme="minorHAnsi" w:eastAsiaTheme="minorEastAsia" w:hAnsiTheme="minorHAnsi" w:cstheme="minorBidi"/>
            <w:spacing w:val="0"/>
            <w:sz w:val="22"/>
            <w:szCs w:val="22"/>
          </w:rPr>
          <w:tab/>
        </w:r>
        <w:r w:rsidR="005E31BA" w:rsidRPr="000D5AE2">
          <w:rPr>
            <w:rStyle w:val="Hyperlink"/>
          </w:rPr>
          <w:t>Video content access</w:t>
        </w:r>
        <w:r w:rsidR="005E31BA">
          <w:rPr>
            <w:webHidden/>
          </w:rPr>
          <w:tab/>
        </w:r>
        <w:r w:rsidR="005E31BA">
          <w:rPr>
            <w:webHidden/>
          </w:rPr>
          <w:fldChar w:fldCharType="begin"/>
        </w:r>
        <w:r w:rsidR="005E31BA">
          <w:rPr>
            <w:webHidden/>
          </w:rPr>
          <w:instrText xml:space="preserve"> PAGEREF _Toc500320910 \h </w:instrText>
        </w:r>
        <w:r w:rsidR="005E31BA">
          <w:rPr>
            <w:webHidden/>
          </w:rPr>
        </w:r>
        <w:r w:rsidR="005E31BA">
          <w:rPr>
            <w:webHidden/>
          </w:rPr>
          <w:fldChar w:fldCharType="separate"/>
        </w:r>
        <w:r w:rsidR="005E31BA">
          <w:rPr>
            <w:webHidden/>
          </w:rPr>
          <w:t>69</w:t>
        </w:r>
        <w:r w:rsidR="005E31BA">
          <w:rPr>
            <w:webHidden/>
          </w:rPr>
          <w:fldChar w:fldCharType="end"/>
        </w:r>
      </w:hyperlink>
    </w:p>
    <w:p w14:paraId="0EA8994E"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1" w:history="1">
        <w:r w:rsidR="005E31BA" w:rsidRPr="000D5AE2">
          <w:rPr>
            <w:rStyle w:val="Hyperlink"/>
          </w:rPr>
          <w:t>3.3.</w:t>
        </w:r>
        <w:r w:rsidR="005E31BA">
          <w:rPr>
            <w:rFonts w:asciiTheme="minorHAnsi" w:eastAsiaTheme="minorEastAsia" w:hAnsiTheme="minorHAnsi" w:cstheme="minorBidi"/>
            <w:spacing w:val="0"/>
            <w:sz w:val="22"/>
            <w:szCs w:val="22"/>
          </w:rPr>
          <w:tab/>
        </w:r>
        <w:r w:rsidR="005E31BA" w:rsidRPr="000D5AE2">
          <w:rPr>
            <w:rStyle w:val="Hyperlink"/>
          </w:rPr>
          <w:t>Video content engagement</w:t>
        </w:r>
        <w:r w:rsidR="005E31BA">
          <w:rPr>
            <w:webHidden/>
          </w:rPr>
          <w:tab/>
        </w:r>
        <w:r w:rsidR="005E31BA">
          <w:rPr>
            <w:webHidden/>
          </w:rPr>
          <w:fldChar w:fldCharType="begin"/>
        </w:r>
        <w:r w:rsidR="005E31BA">
          <w:rPr>
            <w:webHidden/>
          </w:rPr>
          <w:instrText xml:space="preserve"> PAGEREF _Toc500320911 \h </w:instrText>
        </w:r>
        <w:r w:rsidR="005E31BA">
          <w:rPr>
            <w:webHidden/>
          </w:rPr>
        </w:r>
        <w:r w:rsidR="005E31BA">
          <w:rPr>
            <w:webHidden/>
          </w:rPr>
          <w:fldChar w:fldCharType="separate"/>
        </w:r>
        <w:r w:rsidR="005E31BA">
          <w:rPr>
            <w:webHidden/>
          </w:rPr>
          <w:t>76</w:t>
        </w:r>
        <w:r w:rsidR="005E31BA">
          <w:rPr>
            <w:webHidden/>
          </w:rPr>
          <w:fldChar w:fldCharType="end"/>
        </w:r>
      </w:hyperlink>
    </w:p>
    <w:p w14:paraId="750E02A0"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2" w:history="1">
        <w:r w:rsidR="005E31BA" w:rsidRPr="000D5AE2">
          <w:rPr>
            <w:rStyle w:val="Hyperlink"/>
          </w:rPr>
          <w:t>3.4.</w:t>
        </w:r>
        <w:r w:rsidR="005E31BA">
          <w:rPr>
            <w:rFonts w:asciiTheme="minorHAnsi" w:eastAsiaTheme="minorEastAsia" w:hAnsiTheme="minorHAnsi" w:cstheme="minorBidi"/>
            <w:spacing w:val="0"/>
            <w:sz w:val="22"/>
            <w:szCs w:val="22"/>
          </w:rPr>
          <w:tab/>
        </w:r>
        <w:r w:rsidR="005E31BA" w:rsidRPr="000D5AE2">
          <w:rPr>
            <w:rStyle w:val="Hyperlink"/>
          </w:rPr>
          <w:t>Online news services</w:t>
        </w:r>
        <w:r w:rsidR="005E31BA">
          <w:rPr>
            <w:webHidden/>
          </w:rPr>
          <w:tab/>
        </w:r>
        <w:r w:rsidR="005E31BA">
          <w:rPr>
            <w:webHidden/>
          </w:rPr>
          <w:fldChar w:fldCharType="begin"/>
        </w:r>
        <w:r w:rsidR="005E31BA">
          <w:rPr>
            <w:webHidden/>
          </w:rPr>
          <w:instrText xml:space="preserve"> PAGEREF _Toc500320912 \h </w:instrText>
        </w:r>
        <w:r w:rsidR="005E31BA">
          <w:rPr>
            <w:webHidden/>
          </w:rPr>
        </w:r>
        <w:r w:rsidR="005E31BA">
          <w:rPr>
            <w:webHidden/>
          </w:rPr>
          <w:fldChar w:fldCharType="separate"/>
        </w:r>
        <w:r w:rsidR="005E31BA">
          <w:rPr>
            <w:webHidden/>
          </w:rPr>
          <w:t>81</w:t>
        </w:r>
        <w:r w:rsidR="005E31BA">
          <w:rPr>
            <w:webHidden/>
          </w:rPr>
          <w:fldChar w:fldCharType="end"/>
        </w:r>
      </w:hyperlink>
    </w:p>
    <w:p w14:paraId="3587A44B"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3" w:history="1">
        <w:r w:rsidR="005E31BA" w:rsidRPr="000D5AE2">
          <w:rPr>
            <w:rStyle w:val="Hyperlink"/>
          </w:rPr>
          <w:t>3.5.</w:t>
        </w:r>
        <w:r w:rsidR="005E31BA">
          <w:rPr>
            <w:rFonts w:asciiTheme="minorHAnsi" w:eastAsiaTheme="minorEastAsia" w:hAnsiTheme="minorHAnsi" w:cstheme="minorBidi"/>
            <w:spacing w:val="0"/>
            <w:sz w:val="22"/>
            <w:szCs w:val="22"/>
          </w:rPr>
          <w:tab/>
        </w:r>
        <w:r w:rsidR="005E31BA" w:rsidRPr="000D5AE2">
          <w:rPr>
            <w:rStyle w:val="Hyperlink"/>
          </w:rPr>
          <w:t>Broadcasting in Australia</w:t>
        </w:r>
        <w:r w:rsidR="005E31BA">
          <w:rPr>
            <w:webHidden/>
          </w:rPr>
          <w:tab/>
        </w:r>
        <w:r w:rsidR="005E31BA">
          <w:rPr>
            <w:webHidden/>
          </w:rPr>
          <w:fldChar w:fldCharType="begin"/>
        </w:r>
        <w:r w:rsidR="005E31BA">
          <w:rPr>
            <w:webHidden/>
          </w:rPr>
          <w:instrText xml:space="preserve"> PAGEREF _Toc500320913 \h </w:instrText>
        </w:r>
        <w:r w:rsidR="005E31BA">
          <w:rPr>
            <w:webHidden/>
          </w:rPr>
        </w:r>
        <w:r w:rsidR="005E31BA">
          <w:rPr>
            <w:webHidden/>
          </w:rPr>
          <w:fldChar w:fldCharType="separate"/>
        </w:r>
        <w:r w:rsidR="005E31BA">
          <w:rPr>
            <w:webHidden/>
          </w:rPr>
          <w:t>83</w:t>
        </w:r>
        <w:r w:rsidR="005E31BA">
          <w:rPr>
            <w:webHidden/>
          </w:rPr>
          <w:fldChar w:fldCharType="end"/>
        </w:r>
      </w:hyperlink>
    </w:p>
    <w:p w14:paraId="2FB6A7F0"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4" w:history="1">
        <w:r w:rsidR="005E31BA" w:rsidRPr="000D5AE2">
          <w:rPr>
            <w:rStyle w:val="Hyperlink"/>
          </w:rPr>
          <w:t>3.6.</w:t>
        </w:r>
        <w:r w:rsidR="005E31BA">
          <w:rPr>
            <w:rFonts w:asciiTheme="minorHAnsi" w:eastAsiaTheme="minorEastAsia" w:hAnsiTheme="minorHAnsi" w:cstheme="minorBidi"/>
            <w:spacing w:val="0"/>
            <w:sz w:val="22"/>
            <w:szCs w:val="22"/>
          </w:rPr>
          <w:tab/>
        </w:r>
        <w:r w:rsidR="005E31BA" w:rsidRPr="000D5AE2">
          <w:rPr>
            <w:rStyle w:val="Hyperlink"/>
          </w:rPr>
          <w:t>Online content investigations—interactive gambling</w:t>
        </w:r>
        <w:r w:rsidR="005E31BA">
          <w:rPr>
            <w:webHidden/>
          </w:rPr>
          <w:tab/>
        </w:r>
        <w:r w:rsidR="005E31BA">
          <w:rPr>
            <w:webHidden/>
          </w:rPr>
          <w:fldChar w:fldCharType="begin"/>
        </w:r>
        <w:r w:rsidR="005E31BA">
          <w:rPr>
            <w:webHidden/>
          </w:rPr>
          <w:instrText xml:space="preserve"> PAGEREF _Toc500320914 \h </w:instrText>
        </w:r>
        <w:r w:rsidR="005E31BA">
          <w:rPr>
            <w:webHidden/>
          </w:rPr>
        </w:r>
        <w:r w:rsidR="005E31BA">
          <w:rPr>
            <w:webHidden/>
          </w:rPr>
          <w:fldChar w:fldCharType="separate"/>
        </w:r>
        <w:r w:rsidR="005E31BA">
          <w:rPr>
            <w:webHidden/>
          </w:rPr>
          <w:t>90</w:t>
        </w:r>
        <w:r w:rsidR="005E31BA">
          <w:rPr>
            <w:webHidden/>
          </w:rPr>
          <w:fldChar w:fldCharType="end"/>
        </w:r>
      </w:hyperlink>
    </w:p>
    <w:p w14:paraId="0D558219" w14:textId="77777777" w:rsidR="005E31BA" w:rsidRPr="005E31BA" w:rsidRDefault="00A03B6A" w:rsidP="005E31BA">
      <w:pPr>
        <w:pStyle w:val="TOC1"/>
        <w:tabs>
          <w:tab w:val="clear" w:pos="7660"/>
          <w:tab w:val="left" w:pos="885"/>
          <w:tab w:val="right" w:pos="9072"/>
        </w:tabs>
        <w:rPr>
          <w:rFonts w:asciiTheme="minorHAnsi" w:eastAsiaTheme="minorEastAsia" w:hAnsiTheme="minorHAnsi" w:cstheme="minorBidi"/>
          <w:b w:val="0"/>
          <w:color w:val="37897E"/>
          <w:spacing w:val="0"/>
          <w:sz w:val="22"/>
          <w:szCs w:val="22"/>
        </w:rPr>
      </w:pPr>
      <w:hyperlink w:anchor="_Toc500320915" w:history="1">
        <w:r w:rsidR="005E31BA" w:rsidRPr="005E31BA">
          <w:rPr>
            <w:rStyle w:val="Hyperlink"/>
            <w:color w:val="37897E"/>
          </w:rPr>
          <w:t>4.</w:t>
        </w:r>
        <w:r w:rsidR="005E31BA" w:rsidRPr="005E31BA">
          <w:rPr>
            <w:rFonts w:asciiTheme="minorHAnsi" w:eastAsiaTheme="minorEastAsia" w:hAnsiTheme="minorHAnsi" w:cstheme="minorBidi"/>
            <w:b w:val="0"/>
            <w:color w:val="37897E"/>
            <w:spacing w:val="0"/>
            <w:sz w:val="22"/>
            <w:szCs w:val="22"/>
          </w:rPr>
          <w:tab/>
        </w:r>
        <w:r w:rsidR="005E31BA" w:rsidRPr="005E31BA">
          <w:rPr>
            <w:rStyle w:val="Hyperlink"/>
            <w:color w:val="37897E"/>
          </w:rPr>
          <w:t>National interest issues</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_Toc500320915 \h </w:instrText>
        </w:r>
        <w:r w:rsidR="005E31BA" w:rsidRPr="005E31BA">
          <w:rPr>
            <w:webHidden/>
            <w:color w:val="37897E"/>
          </w:rPr>
        </w:r>
        <w:r w:rsidR="005E31BA" w:rsidRPr="005E31BA">
          <w:rPr>
            <w:webHidden/>
            <w:color w:val="37897E"/>
          </w:rPr>
          <w:fldChar w:fldCharType="separate"/>
        </w:r>
        <w:r w:rsidR="005E31BA" w:rsidRPr="005E31BA">
          <w:rPr>
            <w:webHidden/>
            <w:color w:val="37897E"/>
          </w:rPr>
          <w:t>93</w:t>
        </w:r>
        <w:r w:rsidR="005E31BA" w:rsidRPr="005E31BA">
          <w:rPr>
            <w:webHidden/>
            <w:color w:val="37897E"/>
          </w:rPr>
          <w:fldChar w:fldCharType="end"/>
        </w:r>
      </w:hyperlink>
    </w:p>
    <w:p w14:paraId="246CBFBE"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6" w:history="1">
        <w:r w:rsidR="005E31BA" w:rsidRPr="000D5AE2">
          <w:rPr>
            <w:rStyle w:val="Hyperlink"/>
          </w:rPr>
          <w:t>4.1.</w:t>
        </w:r>
        <w:r w:rsidR="005E31BA">
          <w:rPr>
            <w:rFonts w:asciiTheme="minorHAnsi" w:eastAsiaTheme="minorEastAsia" w:hAnsiTheme="minorHAnsi" w:cstheme="minorBidi"/>
            <w:spacing w:val="0"/>
            <w:sz w:val="22"/>
            <w:szCs w:val="22"/>
          </w:rPr>
          <w:tab/>
        </w:r>
        <w:r w:rsidR="005E31BA" w:rsidRPr="000D5AE2">
          <w:rPr>
            <w:rStyle w:val="Hyperlink"/>
          </w:rPr>
          <w:t>Emergency call service</w:t>
        </w:r>
        <w:r w:rsidR="005E31BA">
          <w:rPr>
            <w:webHidden/>
          </w:rPr>
          <w:tab/>
        </w:r>
        <w:r w:rsidR="005E31BA">
          <w:rPr>
            <w:webHidden/>
          </w:rPr>
          <w:fldChar w:fldCharType="begin"/>
        </w:r>
        <w:r w:rsidR="005E31BA">
          <w:rPr>
            <w:webHidden/>
          </w:rPr>
          <w:instrText xml:space="preserve"> PAGEREF _Toc500320916 \h </w:instrText>
        </w:r>
        <w:r w:rsidR="005E31BA">
          <w:rPr>
            <w:webHidden/>
          </w:rPr>
        </w:r>
        <w:r w:rsidR="005E31BA">
          <w:rPr>
            <w:webHidden/>
          </w:rPr>
          <w:fldChar w:fldCharType="separate"/>
        </w:r>
        <w:r w:rsidR="005E31BA">
          <w:rPr>
            <w:webHidden/>
          </w:rPr>
          <w:t>93</w:t>
        </w:r>
        <w:r w:rsidR="005E31BA">
          <w:rPr>
            <w:webHidden/>
          </w:rPr>
          <w:fldChar w:fldCharType="end"/>
        </w:r>
      </w:hyperlink>
    </w:p>
    <w:p w14:paraId="7B049A83"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7" w:history="1">
        <w:r w:rsidR="005E31BA" w:rsidRPr="000D5AE2">
          <w:rPr>
            <w:rStyle w:val="Hyperlink"/>
          </w:rPr>
          <w:t>4.2.</w:t>
        </w:r>
        <w:r w:rsidR="005E31BA">
          <w:rPr>
            <w:rFonts w:asciiTheme="minorHAnsi" w:eastAsiaTheme="minorEastAsia" w:hAnsiTheme="minorHAnsi" w:cstheme="minorBidi"/>
            <w:spacing w:val="0"/>
            <w:sz w:val="22"/>
            <w:szCs w:val="22"/>
          </w:rPr>
          <w:tab/>
        </w:r>
        <w:r w:rsidR="005E31BA" w:rsidRPr="000D5AE2">
          <w:rPr>
            <w:rStyle w:val="Hyperlink"/>
          </w:rPr>
          <w:t>Supporting law enforcement and national security agencies</w:t>
        </w:r>
        <w:r w:rsidR="005E31BA">
          <w:rPr>
            <w:webHidden/>
          </w:rPr>
          <w:tab/>
        </w:r>
        <w:r w:rsidR="005E31BA">
          <w:rPr>
            <w:webHidden/>
          </w:rPr>
          <w:fldChar w:fldCharType="begin"/>
        </w:r>
        <w:r w:rsidR="005E31BA">
          <w:rPr>
            <w:webHidden/>
          </w:rPr>
          <w:instrText xml:space="preserve"> PAGEREF _Toc500320917 \h </w:instrText>
        </w:r>
        <w:r w:rsidR="005E31BA">
          <w:rPr>
            <w:webHidden/>
          </w:rPr>
        </w:r>
        <w:r w:rsidR="005E31BA">
          <w:rPr>
            <w:webHidden/>
          </w:rPr>
          <w:fldChar w:fldCharType="separate"/>
        </w:r>
        <w:r w:rsidR="005E31BA">
          <w:rPr>
            <w:webHidden/>
          </w:rPr>
          <w:t>96</w:t>
        </w:r>
        <w:r w:rsidR="005E31BA">
          <w:rPr>
            <w:webHidden/>
          </w:rPr>
          <w:fldChar w:fldCharType="end"/>
        </w:r>
      </w:hyperlink>
    </w:p>
    <w:p w14:paraId="7AA88028"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8" w:history="1">
        <w:r w:rsidR="005E31BA" w:rsidRPr="000D5AE2">
          <w:rPr>
            <w:rStyle w:val="Hyperlink"/>
          </w:rPr>
          <w:t>4.3.</w:t>
        </w:r>
        <w:r w:rsidR="005E31BA">
          <w:rPr>
            <w:rFonts w:asciiTheme="minorHAnsi" w:eastAsiaTheme="minorEastAsia" w:hAnsiTheme="minorHAnsi" w:cstheme="minorBidi"/>
            <w:spacing w:val="0"/>
            <w:sz w:val="22"/>
            <w:szCs w:val="22"/>
          </w:rPr>
          <w:tab/>
        </w:r>
        <w:r w:rsidR="005E31BA" w:rsidRPr="000D5AE2">
          <w:rPr>
            <w:rStyle w:val="Hyperlink"/>
          </w:rPr>
          <w:t>Interception</w:t>
        </w:r>
        <w:r w:rsidR="005E31BA">
          <w:rPr>
            <w:webHidden/>
          </w:rPr>
          <w:tab/>
        </w:r>
        <w:r w:rsidR="005E31BA">
          <w:rPr>
            <w:webHidden/>
          </w:rPr>
          <w:fldChar w:fldCharType="begin"/>
        </w:r>
        <w:r w:rsidR="005E31BA">
          <w:rPr>
            <w:webHidden/>
          </w:rPr>
          <w:instrText xml:space="preserve"> PAGEREF _Toc500320918 \h </w:instrText>
        </w:r>
        <w:r w:rsidR="005E31BA">
          <w:rPr>
            <w:webHidden/>
          </w:rPr>
        </w:r>
        <w:r w:rsidR="005E31BA">
          <w:rPr>
            <w:webHidden/>
          </w:rPr>
          <w:fldChar w:fldCharType="separate"/>
        </w:r>
        <w:r w:rsidR="005E31BA">
          <w:rPr>
            <w:webHidden/>
          </w:rPr>
          <w:t>99</w:t>
        </w:r>
        <w:r w:rsidR="005E31BA">
          <w:rPr>
            <w:webHidden/>
          </w:rPr>
          <w:fldChar w:fldCharType="end"/>
        </w:r>
      </w:hyperlink>
    </w:p>
    <w:p w14:paraId="2D498661"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19" w:history="1">
        <w:r w:rsidR="005E31BA" w:rsidRPr="000D5AE2">
          <w:rPr>
            <w:rStyle w:val="Hyperlink"/>
          </w:rPr>
          <w:t>4.4.</w:t>
        </w:r>
        <w:r w:rsidR="005E31BA">
          <w:rPr>
            <w:rFonts w:asciiTheme="minorHAnsi" w:eastAsiaTheme="minorEastAsia" w:hAnsiTheme="minorHAnsi" w:cstheme="minorBidi"/>
            <w:spacing w:val="0"/>
            <w:sz w:val="22"/>
            <w:szCs w:val="22"/>
          </w:rPr>
          <w:tab/>
        </w:r>
        <w:r w:rsidR="005E31BA" w:rsidRPr="000D5AE2">
          <w:rPr>
            <w:rStyle w:val="Hyperlink"/>
          </w:rPr>
          <w:t>Data retention</w:t>
        </w:r>
        <w:r w:rsidR="005E31BA">
          <w:rPr>
            <w:webHidden/>
          </w:rPr>
          <w:tab/>
        </w:r>
        <w:r w:rsidR="005E31BA">
          <w:rPr>
            <w:webHidden/>
          </w:rPr>
          <w:fldChar w:fldCharType="begin"/>
        </w:r>
        <w:r w:rsidR="005E31BA">
          <w:rPr>
            <w:webHidden/>
          </w:rPr>
          <w:instrText xml:space="preserve"> PAGEREF _Toc500320919 \h </w:instrText>
        </w:r>
        <w:r w:rsidR="005E31BA">
          <w:rPr>
            <w:webHidden/>
          </w:rPr>
        </w:r>
        <w:r w:rsidR="005E31BA">
          <w:rPr>
            <w:webHidden/>
          </w:rPr>
          <w:fldChar w:fldCharType="separate"/>
        </w:r>
        <w:r w:rsidR="005E31BA">
          <w:rPr>
            <w:webHidden/>
          </w:rPr>
          <w:t>100</w:t>
        </w:r>
        <w:r w:rsidR="005E31BA">
          <w:rPr>
            <w:webHidden/>
          </w:rPr>
          <w:fldChar w:fldCharType="end"/>
        </w:r>
      </w:hyperlink>
    </w:p>
    <w:p w14:paraId="78B4F6D9"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0" w:history="1">
        <w:r w:rsidR="005E31BA" w:rsidRPr="000D5AE2">
          <w:rPr>
            <w:rStyle w:val="Hyperlink"/>
          </w:rPr>
          <w:t>4.5.</w:t>
        </w:r>
        <w:r w:rsidR="005E31BA">
          <w:rPr>
            <w:rFonts w:asciiTheme="minorHAnsi" w:eastAsiaTheme="minorEastAsia" w:hAnsiTheme="minorHAnsi" w:cstheme="minorBidi"/>
            <w:spacing w:val="0"/>
            <w:sz w:val="22"/>
            <w:szCs w:val="22"/>
          </w:rPr>
          <w:tab/>
        </w:r>
        <w:r w:rsidR="005E31BA" w:rsidRPr="000D5AE2">
          <w:rPr>
            <w:rStyle w:val="Hyperlink"/>
          </w:rPr>
          <w:t>Identity-checking requirements for prepaid mobile carriage services</w:t>
        </w:r>
        <w:r w:rsidR="005E31BA">
          <w:rPr>
            <w:webHidden/>
          </w:rPr>
          <w:tab/>
        </w:r>
        <w:r w:rsidR="005E31BA">
          <w:rPr>
            <w:webHidden/>
          </w:rPr>
          <w:fldChar w:fldCharType="begin"/>
        </w:r>
        <w:r w:rsidR="005E31BA">
          <w:rPr>
            <w:webHidden/>
          </w:rPr>
          <w:instrText xml:space="preserve"> PAGEREF _Toc500320920 \h </w:instrText>
        </w:r>
        <w:r w:rsidR="005E31BA">
          <w:rPr>
            <w:webHidden/>
          </w:rPr>
        </w:r>
        <w:r w:rsidR="005E31BA">
          <w:rPr>
            <w:webHidden/>
          </w:rPr>
          <w:fldChar w:fldCharType="separate"/>
        </w:r>
        <w:r w:rsidR="005E31BA">
          <w:rPr>
            <w:webHidden/>
          </w:rPr>
          <w:t>101</w:t>
        </w:r>
        <w:r w:rsidR="005E31BA">
          <w:rPr>
            <w:webHidden/>
          </w:rPr>
          <w:fldChar w:fldCharType="end"/>
        </w:r>
      </w:hyperlink>
    </w:p>
    <w:p w14:paraId="516EEB33"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1" w:history="1">
        <w:r w:rsidR="005E31BA" w:rsidRPr="000D5AE2">
          <w:rPr>
            <w:rStyle w:val="Hyperlink"/>
            <w:rFonts w:eastAsiaTheme="minorHAnsi"/>
          </w:rPr>
          <w:t>4.6.</w:t>
        </w:r>
        <w:r w:rsidR="005E31BA">
          <w:rPr>
            <w:rFonts w:asciiTheme="minorHAnsi" w:eastAsiaTheme="minorEastAsia" w:hAnsiTheme="minorHAnsi" w:cstheme="minorBidi"/>
            <w:spacing w:val="0"/>
            <w:sz w:val="22"/>
            <w:szCs w:val="22"/>
          </w:rPr>
          <w:tab/>
        </w:r>
        <w:r w:rsidR="005E31BA" w:rsidRPr="000D5AE2">
          <w:rPr>
            <w:rStyle w:val="Hyperlink"/>
          </w:rPr>
          <w:t>Role</w:t>
        </w:r>
        <w:r w:rsidR="005E31BA" w:rsidRPr="000D5AE2">
          <w:rPr>
            <w:rStyle w:val="Hyperlink"/>
            <w:rFonts w:eastAsiaTheme="minorHAnsi"/>
          </w:rPr>
          <w:t xml:space="preserve"> of the Integrated Public Number Database</w:t>
        </w:r>
        <w:r w:rsidR="005E31BA">
          <w:rPr>
            <w:webHidden/>
          </w:rPr>
          <w:tab/>
        </w:r>
        <w:r w:rsidR="005E31BA">
          <w:rPr>
            <w:webHidden/>
          </w:rPr>
          <w:fldChar w:fldCharType="begin"/>
        </w:r>
        <w:r w:rsidR="005E31BA">
          <w:rPr>
            <w:webHidden/>
          </w:rPr>
          <w:instrText xml:space="preserve"> PAGEREF _Toc500320921 \h </w:instrText>
        </w:r>
        <w:r w:rsidR="005E31BA">
          <w:rPr>
            <w:webHidden/>
          </w:rPr>
        </w:r>
        <w:r w:rsidR="005E31BA">
          <w:rPr>
            <w:webHidden/>
          </w:rPr>
          <w:fldChar w:fldCharType="separate"/>
        </w:r>
        <w:r w:rsidR="005E31BA">
          <w:rPr>
            <w:webHidden/>
          </w:rPr>
          <w:t>101</w:t>
        </w:r>
        <w:r w:rsidR="005E31BA">
          <w:rPr>
            <w:webHidden/>
          </w:rPr>
          <w:fldChar w:fldCharType="end"/>
        </w:r>
      </w:hyperlink>
    </w:p>
    <w:p w14:paraId="2741F3D9"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2" w:history="1">
        <w:r w:rsidR="005E31BA" w:rsidRPr="000D5AE2">
          <w:rPr>
            <w:rStyle w:val="Hyperlink"/>
          </w:rPr>
          <w:t>4.7.</w:t>
        </w:r>
        <w:r w:rsidR="005E31BA">
          <w:rPr>
            <w:rFonts w:asciiTheme="minorHAnsi" w:eastAsiaTheme="minorEastAsia" w:hAnsiTheme="minorHAnsi" w:cstheme="minorBidi"/>
            <w:spacing w:val="0"/>
            <w:sz w:val="22"/>
            <w:szCs w:val="22"/>
          </w:rPr>
          <w:tab/>
        </w:r>
        <w:r w:rsidR="005E31BA" w:rsidRPr="000D5AE2">
          <w:rPr>
            <w:rStyle w:val="Hyperlink"/>
          </w:rPr>
          <w:t>Handling of life-threatening and unwelcome communications</w:t>
        </w:r>
        <w:r w:rsidR="005E31BA">
          <w:rPr>
            <w:webHidden/>
          </w:rPr>
          <w:tab/>
        </w:r>
        <w:r w:rsidR="005E31BA">
          <w:rPr>
            <w:webHidden/>
          </w:rPr>
          <w:fldChar w:fldCharType="begin"/>
        </w:r>
        <w:r w:rsidR="005E31BA">
          <w:rPr>
            <w:webHidden/>
          </w:rPr>
          <w:instrText xml:space="preserve"> PAGEREF _Toc500320922 \h </w:instrText>
        </w:r>
        <w:r w:rsidR="005E31BA">
          <w:rPr>
            <w:webHidden/>
          </w:rPr>
        </w:r>
        <w:r w:rsidR="005E31BA">
          <w:rPr>
            <w:webHidden/>
          </w:rPr>
          <w:fldChar w:fldCharType="separate"/>
        </w:r>
        <w:r w:rsidR="005E31BA">
          <w:rPr>
            <w:webHidden/>
          </w:rPr>
          <w:t>102</w:t>
        </w:r>
        <w:r w:rsidR="005E31BA">
          <w:rPr>
            <w:webHidden/>
          </w:rPr>
          <w:fldChar w:fldCharType="end"/>
        </w:r>
      </w:hyperlink>
    </w:p>
    <w:p w14:paraId="28348A06" w14:textId="4EE14774" w:rsidR="005E31BA" w:rsidRPr="005E31BA" w:rsidRDefault="00A03B6A" w:rsidP="005E31BA">
      <w:pPr>
        <w:pStyle w:val="TOC1"/>
        <w:keepNext/>
        <w:tabs>
          <w:tab w:val="clear" w:pos="7660"/>
          <w:tab w:val="left" w:pos="885"/>
          <w:tab w:val="right" w:pos="9072"/>
        </w:tabs>
        <w:ind w:left="852" w:hanging="852"/>
        <w:rPr>
          <w:rFonts w:asciiTheme="minorHAnsi" w:eastAsiaTheme="minorEastAsia" w:hAnsiTheme="minorHAnsi" w:cstheme="minorBidi"/>
          <w:b w:val="0"/>
          <w:color w:val="37897E"/>
          <w:spacing w:val="0"/>
          <w:sz w:val="22"/>
          <w:szCs w:val="22"/>
        </w:rPr>
      </w:pPr>
      <w:hyperlink w:anchor="_Toc500320923" w:history="1">
        <w:r w:rsidR="005E31BA" w:rsidRPr="005E31BA">
          <w:rPr>
            <w:rStyle w:val="Hyperlink"/>
            <w:color w:val="37897E"/>
          </w:rPr>
          <w:t>5.</w:t>
        </w:r>
        <w:r w:rsidR="005E31BA" w:rsidRPr="005E31BA">
          <w:rPr>
            <w:rFonts w:asciiTheme="minorHAnsi" w:eastAsiaTheme="minorEastAsia" w:hAnsiTheme="minorHAnsi" w:cstheme="minorBidi"/>
            <w:b w:val="0"/>
            <w:color w:val="37897E"/>
            <w:spacing w:val="0"/>
            <w:sz w:val="22"/>
            <w:szCs w:val="22"/>
          </w:rPr>
          <w:tab/>
        </w:r>
        <w:r w:rsidR="005E31BA" w:rsidRPr="005E31BA">
          <w:rPr>
            <w:rStyle w:val="Hyperlink"/>
            <w:color w:val="37897E"/>
          </w:rPr>
          <w:t xml:space="preserve">Telecommunications consumer safeguards and </w:t>
        </w:r>
        <w:r w:rsidR="005E31BA" w:rsidRPr="005E31BA">
          <w:rPr>
            <w:rStyle w:val="Hyperlink"/>
            <w:color w:val="37897E"/>
          </w:rPr>
          <w:br/>
          <w:t>quality of service</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_Toc500320923 \h </w:instrText>
        </w:r>
        <w:r w:rsidR="005E31BA" w:rsidRPr="005E31BA">
          <w:rPr>
            <w:webHidden/>
            <w:color w:val="37897E"/>
          </w:rPr>
        </w:r>
        <w:r w:rsidR="005E31BA" w:rsidRPr="005E31BA">
          <w:rPr>
            <w:webHidden/>
            <w:color w:val="37897E"/>
          </w:rPr>
          <w:fldChar w:fldCharType="separate"/>
        </w:r>
        <w:r w:rsidR="005E31BA" w:rsidRPr="005E31BA">
          <w:rPr>
            <w:webHidden/>
            <w:color w:val="37897E"/>
          </w:rPr>
          <w:t>104</w:t>
        </w:r>
        <w:r w:rsidR="005E31BA" w:rsidRPr="005E31BA">
          <w:rPr>
            <w:webHidden/>
            <w:color w:val="37897E"/>
          </w:rPr>
          <w:fldChar w:fldCharType="end"/>
        </w:r>
      </w:hyperlink>
    </w:p>
    <w:p w14:paraId="029FD8E2" w14:textId="77777777" w:rsidR="005E31BA" w:rsidRDefault="00A03B6A" w:rsidP="005E31BA">
      <w:pPr>
        <w:pStyle w:val="TOC2"/>
        <w:keepNext/>
        <w:tabs>
          <w:tab w:val="clear" w:pos="7660"/>
          <w:tab w:val="right" w:pos="9072"/>
        </w:tabs>
        <w:rPr>
          <w:rFonts w:asciiTheme="minorHAnsi" w:eastAsiaTheme="minorEastAsia" w:hAnsiTheme="minorHAnsi" w:cstheme="minorBidi"/>
          <w:spacing w:val="0"/>
          <w:sz w:val="22"/>
          <w:szCs w:val="22"/>
        </w:rPr>
      </w:pPr>
      <w:hyperlink w:anchor="_Toc500320924" w:history="1">
        <w:r w:rsidR="005E31BA" w:rsidRPr="000D5AE2">
          <w:rPr>
            <w:rStyle w:val="Hyperlink"/>
          </w:rPr>
          <w:t>5.1.</w:t>
        </w:r>
        <w:r w:rsidR="005E31BA">
          <w:rPr>
            <w:rFonts w:asciiTheme="minorHAnsi" w:eastAsiaTheme="minorEastAsia" w:hAnsiTheme="minorHAnsi" w:cstheme="minorBidi"/>
            <w:spacing w:val="0"/>
            <w:sz w:val="22"/>
            <w:szCs w:val="22"/>
          </w:rPr>
          <w:tab/>
        </w:r>
        <w:r w:rsidR="005E31BA" w:rsidRPr="000D5AE2">
          <w:rPr>
            <w:rStyle w:val="Hyperlink"/>
          </w:rPr>
          <w:t>Telecommunications Industry Levy and public policy outcomes</w:t>
        </w:r>
        <w:r w:rsidR="005E31BA">
          <w:rPr>
            <w:webHidden/>
          </w:rPr>
          <w:tab/>
        </w:r>
        <w:r w:rsidR="005E31BA">
          <w:rPr>
            <w:webHidden/>
          </w:rPr>
          <w:fldChar w:fldCharType="begin"/>
        </w:r>
        <w:r w:rsidR="005E31BA">
          <w:rPr>
            <w:webHidden/>
          </w:rPr>
          <w:instrText xml:space="preserve"> PAGEREF _Toc500320924 \h </w:instrText>
        </w:r>
        <w:r w:rsidR="005E31BA">
          <w:rPr>
            <w:webHidden/>
          </w:rPr>
        </w:r>
        <w:r w:rsidR="005E31BA">
          <w:rPr>
            <w:webHidden/>
          </w:rPr>
          <w:fldChar w:fldCharType="separate"/>
        </w:r>
        <w:r w:rsidR="005E31BA">
          <w:rPr>
            <w:webHidden/>
          </w:rPr>
          <w:t>104</w:t>
        </w:r>
        <w:r w:rsidR="005E31BA">
          <w:rPr>
            <w:webHidden/>
          </w:rPr>
          <w:fldChar w:fldCharType="end"/>
        </w:r>
      </w:hyperlink>
    </w:p>
    <w:p w14:paraId="494FFB44" w14:textId="77777777" w:rsidR="005E31BA" w:rsidRDefault="00A03B6A" w:rsidP="005E31BA">
      <w:pPr>
        <w:pStyle w:val="TOC2"/>
        <w:keepNext/>
        <w:tabs>
          <w:tab w:val="clear" w:pos="7660"/>
          <w:tab w:val="right" w:pos="9072"/>
        </w:tabs>
        <w:rPr>
          <w:rFonts w:asciiTheme="minorHAnsi" w:eastAsiaTheme="minorEastAsia" w:hAnsiTheme="minorHAnsi" w:cstheme="minorBidi"/>
          <w:spacing w:val="0"/>
          <w:sz w:val="22"/>
          <w:szCs w:val="22"/>
        </w:rPr>
      </w:pPr>
      <w:hyperlink w:anchor="_Toc500320925" w:history="1">
        <w:r w:rsidR="005E31BA" w:rsidRPr="000D5AE2">
          <w:rPr>
            <w:rStyle w:val="Hyperlink"/>
          </w:rPr>
          <w:t>5.2.</w:t>
        </w:r>
        <w:r w:rsidR="005E31BA">
          <w:rPr>
            <w:rFonts w:asciiTheme="minorHAnsi" w:eastAsiaTheme="minorEastAsia" w:hAnsiTheme="minorHAnsi" w:cstheme="minorBidi"/>
            <w:spacing w:val="0"/>
            <w:sz w:val="22"/>
            <w:szCs w:val="22"/>
          </w:rPr>
          <w:tab/>
        </w:r>
        <w:r w:rsidR="005E31BA" w:rsidRPr="000D5AE2">
          <w:rPr>
            <w:rStyle w:val="Hyperlink"/>
          </w:rPr>
          <w:t>Public payphones</w:t>
        </w:r>
        <w:r w:rsidR="005E31BA">
          <w:rPr>
            <w:webHidden/>
          </w:rPr>
          <w:tab/>
        </w:r>
        <w:r w:rsidR="005E31BA">
          <w:rPr>
            <w:webHidden/>
          </w:rPr>
          <w:fldChar w:fldCharType="begin"/>
        </w:r>
        <w:r w:rsidR="005E31BA">
          <w:rPr>
            <w:webHidden/>
          </w:rPr>
          <w:instrText xml:space="preserve"> PAGEREF _Toc500320925 \h </w:instrText>
        </w:r>
        <w:r w:rsidR="005E31BA">
          <w:rPr>
            <w:webHidden/>
          </w:rPr>
        </w:r>
        <w:r w:rsidR="005E31BA">
          <w:rPr>
            <w:webHidden/>
          </w:rPr>
          <w:fldChar w:fldCharType="separate"/>
        </w:r>
        <w:r w:rsidR="005E31BA">
          <w:rPr>
            <w:webHidden/>
          </w:rPr>
          <w:t>105</w:t>
        </w:r>
        <w:r w:rsidR="005E31BA">
          <w:rPr>
            <w:webHidden/>
          </w:rPr>
          <w:fldChar w:fldCharType="end"/>
        </w:r>
      </w:hyperlink>
    </w:p>
    <w:p w14:paraId="1C673D25"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6" w:history="1">
        <w:r w:rsidR="005E31BA" w:rsidRPr="000D5AE2">
          <w:rPr>
            <w:rStyle w:val="Hyperlink"/>
          </w:rPr>
          <w:t>5.3.</w:t>
        </w:r>
        <w:r w:rsidR="005E31BA">
          <w:rPr>
            <w:rFonts w:asciiTheme="minorHAnsi" w:eastAsiaTheme="minorEastAsia" w:hAnsiTheme="minorHAnsi" w:cstheme="minorBidi"/>
            <w:spacing w:val="0"/>
            <w:sz w:val="22"/>
            <w:szCs w:val="22"/>
          </w:rPr>
          <w:tab/>
        </w:r>
        <w:r w:rsidR="005E31BA" w:rsidRPr="000D5AE2">
          <w:rPr>
            <w:rStyle w:val="Hyperlink"/>
          </w:rPr>
          <w:t>CSG Standard</w:t>
        </w:r>
        <w:r w:rsidR="005E31BA">
          <w:rPr>
            <w:webHidden/>
          </w:rPr>
          <w:tab/>
        </w:r>
        <w:r w:rsidR="005E31BA">
          <w:rPr>
            <w:webHidden/>
          </w:rPr>
          <w:fldChar w:fldCharType="begin"/>
        </w:r>
        <w:r w:rsidR="005E31BA">
          <w:rPr>
            <w:webHidden/>
          </w:rPr>
          <w:instrText xml:space="preserve"> PAGEREF _Toc500320926 \h </w:instrText>
        </w:r>
        <w:r w:rsidR="005E31BA">
          <w:rPr>
            <w:webHidden/>
          </w:rPr>
        </w:r>
        <w:r w:rsidR="005E31BA">
          <w:rPr>
            <w:webHidden/>
          </w:rPr>
          <w:fldChar w:fldCharType="separate"/>
        </w:r>
        <w:r w:rsidR="005E31BA">
          <w:rPr>
            <w:webHidden/>
          </w:rPr>
          <w:t>107</w:t>
        </w:r>
        <w:r w:rsidR="005E31BA">
          <w:rPr>
            <w:webHidden/>
          </w:rPr>
          <w:fldChar w:fldCharType="end"/>
        </w:r>
      </w:hyperlink>
    </w:p>
    <w:p w14:paraId="3FA16BF7"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7" w:history="1">
        <w:r w:rsidR="005E31BA" w:rsidRPr="000D5AE2">
          <w:rPr>
            <w:rStyle w:val="Hyperlink"/>
          </w:rPr>
          <w:t>5.4.</w:t>
        </w:r>
        <w:r w:rsidR="005E31BA">
          <w:rPr>
            <w:rFonts w:asciiTheme="minorHAnsi" w:eastAsiaTheme="minorEastAsia" w:hAnsiTheme="minorHAnsi" w:cstheme="minorBidi"/>
            <w:spacing w:val="0"/>
            <w:sz w:val="22"/>
            <w:szCs w:val="22"/>
          </w:rPr>
          <w:tab/>
        </w:r>
        <w:r w:rsidR="005E31BA" w:rsidRPr="000D5AE2">
          <w:rPr>
            <w:rStyle w:val="Hyperlink"/>
          </w:rPr>
          <w:t>Network Reliability Framework</w:t>
        </w:r>
        <w:r w:rsidR="005E31BA">
          <w:rPr>
            <w:webHidden/>
          </w:rPr>
          <w:tab/>
        </w:r>
        <w:r w:rsidR="005E31BA">
          <w:rPr>
            <w:webHidden/>
          </w:rPr>
          <w:fldChar w:fldCharType="begin"/>
        </w:r>
        <w:r w:rsidR="005E31BA">
          <w:rPr>
            <w:webHidden/>
          </w:rPr>
          <w:instrText xml:space="preserve"> PAGEREF _Toc500320927 \h </w:instrText>
        </w:r>
        <w:r w:rsidR="005E31BA">
          <w:rPr>
            <w:webHidden/>
          </w:rPr>
        </w:r>
        <w:r w:rsidR="005E31BA">
          <w:rPr>
            <w:webHidden/>
          </w:rPr>
          <w:fldChar w:fldCharType="separate"/>
        </w:r>
        <w:r w:rsidR="005E31BA">
          <w:rPr>
            <w:webHidden/>
          </w:rPr>
          <w:t>111</w:t>
        </w:r>
        <w:r w:rsidR="005E31BA">
          <w:rPr>
            <w:webHidden/>
          </w:rPr>
          <w:fldChar w:fldCharType="end"/>
        </w:r>
      </w:hyperlink>
    </w:p>
    <w:p w14:paraId="2EB7AD10"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8" w:history="1">
        <w:r w:rsidR="005E31BA" w:rsidRPr="000D5AE2">
          <w:rPr>
            <w:rStyle w:val="Hyperlink"/>
          </w:rPr>
          <w:t>5.5.</w:t>
        </w:r>
        <w:r w:rsidR="005E31BA">
          <w:rPr>
            <w:rFonts w:asciiTheme="minorHAnsi" w:eastAsiaTheme="minorEastAsia" w:hAnsiTheme="minorHAnsi" w:cstheme="minorBidi"/>
            <w:spacing w:val="0"/>
            <w:sz w:val="22"/>
            <w:szCs w:val="22"/>
          </w:rPr>
          <w:tab/>
        </w:r>
        <w:r w:rsidR="005E31BA" w:rsidRPr="000D5AE2">
          <w:rPr>
            <w:rStyle w:val="Hyperlink"/>
          </w:rPr>
          <w:t>Priority assistance</w:t>
        </w:r>
        <w:r w:rsidR="005E31BA">
          <w:rPr>
            <w:webHidden/>
          </w:rPr>
          <w:tab/>
        </w:r>
        <w:r w:rsidR="005E31BA">
          <w:rPr>
            <w:webHidden/>
          </w:rPr>
          <w:fldChar w:fldCharType="begin"/>
        </w:r>
        <w:r w:rsidR="005E31BA">
          <w:rPr>
            <w:webHidden/>
          </w:rPr>
          <w:instrText xml:space="preserve"> PAGEREF _Toc500320928 \h </w:instrText>
        </w:r>
        <w:r w:rsidR="005E31BA">
          <w:rPr>
            <w:webHidden/>
          </w:rPr>
        </w:r>
        <w:r w:rsidR="005E31BA">
          <w:rPr>
            <w:webHidden/>
          </w:rPr>
          <w:fldChar w:fldCharType="separate"/>
        </w:r>
        <w:r w:rsidR="005E31BA">
          <w:rPr>
            <w:webHidden/>
          </w:rPr>
          <w:t>115</w:t>
        </w:r>
        <w:r w:rsidR="005E31BA">
          <w:rPr>
            <w:webHidden/>
          </w:rPr>
          <w:fldChar w:fldCharType="end"/>
        </w:r>
      </w:hyperlink>
    </w:p>
    <w:p w14:paraId="5776F97B"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29" w:history="1">
        <w:r w:rsidR="005E31BA" w:rsidRPr="000D5AE2">
          <w:rPr>
            <w:rStyle w:val="Hyperlink"/>
          </w:rPr>
          <w:t>5.6.</w:t>
        </w:r>
        <w:r w:rsidR="005E31BA">
          <w:rPr>
            <w:rFonts w:asciiTheme="minorHAnsi" w:eastAsiaTheme="minorEastAsia" w:hAnsiTheme="minorHAnsi" w:cstheme="minorBidi"/>
            <w:spacing w:val="0"/>
            <w:sz w:val="22"/>
            <w:szCs w:val="22"/>
          </w:rPr>
          <w:tab/>
        </w:r>
        <w:r w:rsidR="005E31BA" w:rsidRPr="000D5AE2">
          <w:rPr>
            <w:rStyle w:val="Hyperlink"/>
          </w:rPr>
          <w:t>Number portability</w:t>
        </w:r>
        <w:r w:rsidR="005E31BA">
          <w:rPr>
            <w:webHidden/>
          </w:rPr>
          <w:tab/>
        </w:r>
        <w:r w:rsidR="005E31BA">
          <w:rPr>
            <w:webHidden/>
          </w:rPr>
          <w:fldChar w:fldCharType="begin"/>
        </w:r>
        <w:r w:rsidR="005E31BA">
          <w:rPr>
            <w:webHidden/>
          </w:rPr>
          <w:instrText xml:space="preserve"> PAGEREF _Toc500320929 \h </w:instrText>
        </w:r>
        <w:r w:rsidR="005E31BA">
          <w:rPr>
            <w:webHidden/>
          </w:rPr>
        </w:r>
        <w:r w:rsidR="005E31BA">
          <w:rPr>
            <w:webHidden/>
          </w:rPr>
          <w:fldChar w:fldCharType="separate"/>
        </w:r>
        <w:r w:rsidR="005E31BA">
          <w:rPr>
            <w:webHidden/>
          </w:rPr>
          <w:t>116</w:t>
        </w:r>
        <w:r w:rsidR="005E31BA">
          <w:rPr>
            <w:webHidden/>
          </w:rPr>
          <w:fldChar w:fldCharType="end"/>
        </w:r>
      </w:hyperlink>
    </w:p>
    <w:p w14:paraId="0A4DC625"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0" w:history="1">
        <w:r w:rsidR="005E31BA" w:rsidRPr="000D5AE2">
          <w:rPr>
            <w:rStyle w:val="Hyperlink"/>
          </w:rPr>
          <w:t>5.7.</w:t>
        </w:r>
        <w:r w:rsidR="005E31BA">
          <w:rPr>
            <w:rFonts w:asciiTheme="minorHAnsi" w:eastAsiaTheme="minorEastAsia" w:hAnsiTheme="minorHAnsi" w:cstheme="minorBidi"/>
            <w:spacing w:val="0"/>
            <w:sz w:val="22"/>
            <w:szCs w:val="22"/>
          </w:rPr>
          <w:tab/>
        </w:r>
        <w:r w:rsidR="005E31BA" w:rsidRPr="000D5AE2">
          <w:rPr>
            <w:rStyle w:val="Hyperlink"/>
          </w:rPr>
          <w:t>Telecommunications codes—development and review</w:t>
        </w:r>
        <w:r w:rsidR="005E31BA">
          <w:rPr>
            <w:webHidden/>
          </w:rPr>
          <w:tab/>
        </w:r>
        <w:r w:rsidR="005E31BA">
          <w:rPr>
            <w:webHidden/>
          </w:rPr>
          <w:fldChar w:fldCharType="begin"/>
        </w:r>
        <w:r w:rsidR="005E31BA">
          <w:rPr>
            <w:webHidden/>
          </w:rPr>
          <w:instrText xml:space="preserve"> PAGEREF _Toc500320930 \h </w:instrText>
        </w:r>
        <w:r w:rsidR="005E31BA">
          <w:rPr>
            <w:webHidden/>
          </w:rPr>
        </w:r>
        <w:r w:rsidR="005E31BA">
          <w:rPr>
            <w:webHidden/>
          </w:rPr>
          <w:fldChar w:fldCharType="separate"/>
        </w:r>
        <w:r w:rsidR="005E31BA">
          <w:rPr>
            <w:webHidden/>
          </w:rPr>
          <w:t>117</w:t>
        </w:r>
        <w:r w:rsidR="005E31BA">
          <w:rPr>
            <w:webHidden/>
          </w:rPr>
          <w:fldChar w:fldCharType="end"/>
        </w:r>
      </w:hyperlink>
    </w:p>
    <w:p w14:paraId="64B7207A"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1" w:history="1">
        <w:r w:rsidR="005E31BA" w:rsidRPr="000D5AE2">
          <w:rPr>
            <w:rStyle w:val="Hyperlink"/>
          </w:rPr>
          <w:t>5.8.</w:t>
        </w:r>
        <w:r w:rsidR="005E31BA">
          <w:rPr>
            <w:rFonts w:asciiTheme="minorHAnsi" w:eastAsiaTheme="minorEastAsia" w:hAnsiTheme="minorHAnsi" w:cstheme="minorBidi"/>
            <w:spacing w:val="0"/>
            <w:sz w:val="22"/>
            <w:szCs w:val="22"/>
          </w:rPr>
          <w:tab/>
        </w:r>
        <w:r w:rsidR="005E31BA" w:rsidRPr="000D5AE2">
          <w:rPr>
            <w:rStyle w:val="Hyperlink"/>
          </w:rPr>
          <w:t>Industry compliance with telecommunications codes</w:t>
        </w:r>
        <w:r w:rsidR="005E31BA">
          <w:rPr>
            <w:webHidden/>
          </w:rPr>
          <w:tab/>
        </w:r>
        <w:r w:rsidR="005E31BA">
          <w:rPr>
            <w:webHidden/>
          </w:rPr>
          <w:fldChar w:fldCharType="begin"/>
        </w:r>
        <w:r w:rsidR="005E31BA">
          <w:rPr>
            <w:webHidden/>
          </w:rPr>
          <w:instrText xml:space="preserve"> PAGEREF _Toc500320931 \h </w:instrText>
        </w:r>
        <w:r w:rsidR="005E31BA">
          <w:rPr>
            <w:webHidden/>
          </w:rPr>
        </w:r>
        <w:r w:rsidR="005E31BA">
          <w:rPr>
            <w:webHidden/>
          </w:rPr>
          <w:fldChar w:fldCharType="separate"/>
        </w:r>
        <w:r w:rsidR="005E31BA">
          <w:rPr>
            <w:webHidden/>
          </w:rPr>
          <w:t>117</w:t>
        </w:r>
        <w:r w:rsidR="005E31BA">
          <w:rPr>
            <w:webHidden/>
          </w:rPr>
          <w:fldChar w:fldCharType="end"/>
        </w:r>
      </w:hyperlink>
    </w:p>
    <w:p w14:paraId="6065DA82"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2" w:history="1">
        <w:r w:rsidR="005E31BA" w:rsidRPr="000D5AE2">
          <w:rPr>
            <w:rStyle w:val="Hyperlink"/>
          </w:rPr>
          <w:t>5.9.</w:t>
        </w:r>
        <w:r w:rsidR="005E31BA">
          <w:rPr>
            <w:rFonts w:asciiTheme="minorHAnsi" w:eastAsiaTheme="minorEastAsia" w:hAnsiTheme="minorHAnsi" w:cstheme="minorBidi"/>
            <w:spacing w:val="0"/>
            <w:sz w:val="22"/>
            <w:szCs w:val="22"/>
          </w:rPr>
          <w:tab/>
        </w:r>
        <w:r w:rsidR="005E31BA" w:rsidRPr="000D5AE2">
          <w:rPr>
            <w:rStyle w:val="Hyperlink"/>
          </w:rPr>
          <w:t>Cabling regulation</w:t>
        </w:r>
        <w:r w:rsidR="005E31BA">
          <w:rPr>
            <w:webHidden/>
          </w:rPr>
          <w:tab/>
        </w:r>
        <w:r w:rsidR="005E31BA">
          <w:rPr>
            <w:webHidden/>
          </w:rPr>
          <w:fldChar w:fldCharType="begin"/>
        </w:r>
        <w:r w:rsidR="005E31BA">
          <w:rPr>
            <w:webHidden/>
          </w:rPr>
          <w:instrText xml:space="preserve"> PAGEREF _Toc500320932 \h </w:instrText>
        </w:r>
        <w:r w:rsidR="005E31BA">
          <w:rPr>
            <w:webHidden/>
          </w:rPr>
        </w:r>
        <w:r w:rsidR="005E31BA">
          <w:rPr>
            <w:webHidden/>
          </w:rPr>
          <w:fldChar w:fldCharType="separate"/>
        </w:r>
        <w:r w:rsidR="005E31BA">
          <w:rPr>
            <w:webHidden/>
          </w:rPr>
          <w:t>119</w:t>
        </w:r>
        <w:r w:rsidR="005E31BA">
          <w:rPr>
            <w:webHidden/>
          </w:rPr>
          <w:fldChar w:fldCharType="end"/>
        </w:r>
      </w:hyperlink>
    </w:p>
    <w:p w14:paraId="3E7CA689"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3" w:history="1">
        <w:r w:rsidR="005E31BA" w:rsidRPr="000D5AE2">
          <w:rPr>
            <w:rStyle w:val="Hyperlink"/>
          </w:rPr>
          <w:t>5.10.</w:t>
        </w:r>
        <w:r w:rsidR="005E31BA">
          <w:rPr>
            <w:rFonts w:asciiTheme="minorHAnsi" w:eastAsiaTheme="minorEastAsia" w:hAnsiTheme="minorHAnsi" w:cstheme="minorBidi"/>
            <w:spacing w:val="0"/>
            <w:sz w:val="22"/>
            <w:szCs w:val="22"/>
          </w:rPr>
          <w:tab/>
        </w:r>
        <w:r w:rsidR="005E31BA" w:rsidRPr="000D5AE2">
          <w:rPr>
            <w:rStyle w:val="Hyperlink"/>
          </w:rPr>
          <w:t>Do Not Call Register</w:t>
        </w:r>
        <w:r w:rsidR="005E31BA">
          <w:rPr>
            <w:webHidden/>
          </w:rPr>
          <w:tab/>
        </w:r>
        <w:r w:rsidR="005E31BA">
          <w:rPr>
            <w:webHidden/>
          </w:rPr>
          <w:fldChar w:fldCharType="begin"/>
        </w:r>
        <w:r w:rsidR="005E31BA">
          <w:rPr>
            <w:webHidden/>
          </w:rPr>
          <w:instrText xml:space="preserve"> PAGEREF _Toc500320933 \h </w:instrText>
        </w:r>
        <w:r w:rsidR="005E31BA">
          <w:rPr>
            <w:webHidden/>
          </w:rPr>
        </w:r>
        <w:r w:rsidR="005E31BA">
          <w:rPr>
            <w:webHidden/>
          </w:rPr>
          <w:fldChar w:fldCharType="separate"/>
        </w:r>
        <w:r w:rsidR="005E31BA">
          <w:rPr>
            <w:webHidden/>
          </w:rPr>
          <w:t>120</w:t>
        </w:r>
        <w:r w:rsidR="005E31BA">
          <w:rPr>
            <w:webHidden/>
          </w:rPr>
          <w:fldChar w:fldCharType="end"/>
        </w:r>
      </w:hyperlink>
    </w:p>
    <w:p w14:paraId="4F0DB288"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4" w:history="1">
        <w:r w:rsidR="005E31BA" w:rsidRPr="000D5AE2">
          <w:rPr>
            <w:rStyle w:val="Hyperlink"/>
          </w:rPr>
          <w:t>5.11.</w:t>
        </w:r>
        <w:r w:rsidR="005E31BA">
          <w:rPr>
            <w:rFonts w:asciiTheme="minorHAnsi" w:eastAsiaTheme="minorEastAsia" w:hAnsiTheme="minorHAnsi" w:cstheme="minorBidi"/>
            <w:spacing w:val="0"/>
            <w:sz w:val="22"/>
            <w:szCs w:val="22"/>
          </w:rPr>
          <w:tab/>
        </w:r>
        <w:r w:rsidR="005E31BA" w:rsidRPr="000D5AE2">
          <w:rPr>
            <w:rStyle w:val="Hyperlink"/>
          </w:rPr>
          <w:t>Unsolicited communications—spam and telemarketing</w:t>
        </w:r>
        <w:r w:rsidR="005E31BA">
          <w:rPr>
            <w:webHidden/>
          </w:rPr>
          <w:tab/>
        </w:r>
        <w:r w:rsidR="005E31BA">
          <w:rPr>
            <w:webHidden/>
          </w:rPr>
          <w:fldChar w:fldCharType="begin"/>
        </w:r>
        <w:r w:rsidR="005E31BA">
          <w:rPr>
            <w:webHidden/>
          </w:rPr>
          <w:instrText xml:space="preserve"> PAGEREF _Toc500320934 \h </w:instrText>
        </w:r>
        <w:r w:rsidR="005E31BA">
          <w:rPr>
            <w:webHidden/>
          </w:rPr>
        </w:r>
        <w:r w:rsidR="005E31BA">
          <w:rPr>
            <w:webHidden/>
          </w:rPr>
          <w:fldChar w:fldCharType="separate"/>
        </w:r>
        <w:r w:rsidR="005E31BA">
          <w:rPr>
            <w:webHidden/>
          </w:rPr>
          <w:t>121</w:t>
        </w:r>
        <w:r w:rsidR="005E31BA">
          <w:rPr>
            <w:webHidden/>
          </w:rPr>
          <w:fldChar w:fldCharType="end"/>
        </w:r>
      </w:hyperlink>
    </w:p>
    <w:p w14:paraId="5B86E04C"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5" w:history="1">
        <w:r w:rsidR="005E31BA" w:rsidRPr="000D5AE2">
          <w:rPr>
            <w:rStyle w:val="Hyperlink"/>
          </w:rPr>
          <w:t>5.12.</w:t>
        </w:r>
        <w:r w:rsidR="005E31BA">
          <w:rPr>
            <w:rFonts w:asciiTheme="minorHAnsi" w:eastAsiaTheme="minorEastAsia" w:hAnsiTheme="minorHAnsi" w:cstheme="minorBidi"/>
            <w:spacing w:val="0"/>
            <w:sz w:val="22"/>
            <w:szCs w:val="22"/>
          </w:rPr>
          <w:tab/>
        </w:r>
        <w:r w:rsidR="005E31BA" w:rsidRPr="000D5AE2">
          <w:rPr>
            <w:rStyle w:val="Hyperlink"/>
          </w:rPr>
          <w:t>Australian Internet Security Initiative</w:t>
        </w:r>
        <w:r w:rsidR="005E31BA">
          <w:rPr>
            <w:webHidden/>
          </w:rPr>
          <w:tab/>
        </w:r>
        <w:r w:rsidR="005E31BA">
          <w:rPr>
            <w:webHidden/>
          </w:rPr>
          <w:fldChar w:fldCharType="begin"/>
        </w:r>
        <w:r w:rsidR="005E31BA">
          <w:rPr>
            <w:webHidden/>
          </w:rPr>
          <w:instrText xml:space="preserve"> PAGEREF _Toc500320935 \h </w:instrText>
        </w:r>
        <w:r w:rsidR="005E31BA">
          <w:rPr>
            <w:webHidden/>
          </w:rPr>
        </w:r>
        <w:r w:rsidR="005E31BA">
          <w:rPr>
            <w:webHidden/>
          </w:rPr>
          <w:fldChar w:fldCharType="separate"/>
        </w:r>
        <w:r w:rsidR="005E31BA">
          <w:rPr>
            <w:webHidden/>
          </w:rPr>
          <w:t>123</w:t>
        </w:r>
        <w:r w:rsidR="005E31BA">
          <w:rPr>
            <w:webHidden/>
          </w:rPr>
          <w:fldChar w:fldCharType="end"/>
        </w:r>
      </w:hyperlink>
    </w:p>
    <w:p w14:paraId="6057BC18"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6" w:history="1">
        <w:r w:rsidR="005E31BA" w:rsidRPr="000D5AE2">
          <w:rPr>
            <w:rStyle w:val="Hyperlink"/>
          </w:rPr>
          <w:t>5.13.</w:t>
        </w:r>
        <w:r w:rsidR="005E31BA">
          <w:rPr>
            <w:rFonts w:asciiTheme="minorHAnsi" w:eastAsiaTheme="minorEastAsia" w:hAnsiTheme="minorHAnsi" w:cstheme="minorBidi"/>
            <w:spacing w:val="0"/>
            <w:sz w:val="22"/>
            <w:szCs w:val="22"/>
          </w:rPr>
          <w:tab/>
        </w:r>
        <w:r w:rsidR="005E31BA" w:rsidRPr="000D5AE2">
          <w:rPr>
            <w:rStyle w:val="Hyperlink"/>
          </w:rPr>
          <w:t>Industry compliance with TIO scheme</w:t>
        </w:r>
        <w:r w:rsidR="005E31BA">
          <w:rPr>
            <w:webHidden/>
          </w:rPr>
          <w:tab/>
        </w:r>
        <w:r w:rsidR="005E31BA">
          <w:rPr>
            <w:webHidden/>
          </w:rPr>
          <w:fldChar w:fldCharType="begin"/>
        </w:r>
        <w:r w:rsidR="005E31BA">
          <w:rPr>
            <w:webHidden/>
          </w:rPr>
          <w:instrText xml:space="preserve"> PAGEREF _Toc500320936 \h </w:instrText>
        </w:r>
        <w:r w:rsidR="005E31BA">
          <w:rPr>
            <w:webHidden/>
          </w:rPr>
        </w:r>
        <w:r w:rsidR="005E31BA">
          <w:rPr>
            <w:webHidden/>
          </w:rPr>
          <w:fldChar w:fldCharType="separate"/>
        </w:r>
        <w:r w:rsidR="005E31BA">
          <w:rPr>
            <w:webHidden/>
          </w:rPr>
          <w:t>124</w:t>
        </w:r>
        <w:r w:rsidR="005E31BA">
          <w:rPr>
            <w:webHidden/>
          </w:rPr>
          <w:fldChar w:fldCharType="end"/>
        </w:r>
      </w:hyperlink>
    </w:p>
    <w:p w14:paraId="20D7C18F" w14:textId="77777777" w:rsidR="005E31BA" w:rsidRDefault="00A03B6A" w:rsidP="005E31BA">
      <w:pPr>
        <w:pStyle w:val="TOC2"/>
        <w:tabs>
          <w:tab w:val="clear" w:pos="7660"/>
          <w:tab w:val="right" w:pos="9072"/>
        </w:tabs>
        <w:rPr>
          <w:rFonts w:asciiTheme="minorHAnsi" w:eastAsiaTheme="minorEastAsia" w:hAnsiTheme="minorHAnsi" w:cstheme="minorBidi"/>
          <w:spacing w:val="0"/>
          <w:sz w:val="22"/>
          <w:szCs w:val="22"/>
        </w:rPr>
      </w:pPr>
      <w:hyperlink w:anchor="_Toc500320937" w:history="1">
        <w:r w:rsidR="005E31BA" w:rsidRPr="000D5AE2">
          <w:rPr>
            <w:rStyle w:val="Hyperlink"/>
          </w:rPr>
          <w:t>5.14.</w:t>
        </w:r>
        <w:r w:rsidR="005E31BA">
          <w:rPr>
            <w:rFonts w:asciiTheme="minorHAnsi" w:eastAsiaTheme="minorEastAsia" w:hAnsiTheme="minorHAnsi" w:cstheme="minorBidi"/>
            <w:spacing w:val="0"/>
            <w:sz w:val="22"/>
            <w:szCs w:val="22"/>
          </w:rPr>
          <w:tab/>
        </w:r>
        <w:r w:rsidR="005E31BA" w:rsidRPr="000D5AE2">
          <w:rPr>
            <w:rStyle w:val="Hyperlink"/>
          </w:rPr>
          <w:t>Complaints to the TIO</w:t>
        </w:r>
        <w:r w:rsidR="005E31BA">
          <w:rPr>
            <w:webHidden/>
          </w:rPr>
          <w:tab/>
        </w:r>
        <w:r w:rsidR="005E31BA">
          <w:rPr>
            <w:webHidden/>
          </w:rPr>
          <w:fldChar w:fldCharType="begin"/>
        </w:r>
        <w:r w:rsidR="005E31BA">
          <w:rPr>
            <w:webHidden/>
          </w:rPr>
          <w:instrText xml:space="preserve"> PAGEREF _Toc500320937 \h </w:instrText>
        </w:r>
        <w:r w:rsidR="005E31BA">
          <w:rPr>
            <w:webHidden/>
          </w:rPr>
        </w:r>
        <w:r w:rsidR="005E31BA">
          <w:rPr>
            <w:webHidden/>
          </w:rPr>
          <w:fldChar w:fldCharType="separate"/>
        </w:r>
        <w:r w:rsidR="005E31BA">
          <w:rPr>
            <w:webHidden/>
          </w:rPr>
          <w:t>124</w:t>
        </w:r>
        <w:r w:rsidR="005E31BA">
          <w:rPr>
            <w:webHidden/>
          </w:rPr>
          <w:fldChar w:fldCharType="end"/>
        </w:r>
      </w:hyperlink>
    </w:p>
    <w:p w14:paraId="10294074" w14:textId="77777777" w:rsidR="005E31BA" w:rsidRPr="005E31BA" w:rsidRDefault="00A03B6A" w:rsidP="005E31BA">
      <w:pPr>
        <w:pStyle w:val="TOC1"/>
        <w:tabs>
          <w:tab w:val="clear" w:pos="7660"/>
          <w:tab w:val="right" w:pos="9072"/>
        </w:tabs>
        <w:rPr>
          <w:rFonts w:asciiTheme="minorHAnsi" w:eastAsiaTheme="minorEastAsia" w:hAnsiTheme="minorHAnsi" w:cstheme="minorBidi"/>
          <w:b w:val="0"/>
          <w:color w:val="37897E"/>
          <w:spacing w:val="0"/>
          <w:sz w:val="22"/>
          <w:szCs w:val="22"/>
        </w:rPr>
      </w:pPr>
      <w:hyperlink w:anchor="_Toc500320938" w:history="1">
        <w:r w:rsidR="005E31BA" w:rsidRPr="005E31BA">
          <w:rPr>
            <w:rStyle w:val="Hyperlink"/>
            <w:color w:val="37897E"/>
          </w:rPr>
          <w:t>Appendix—Research methodology</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_Toc500320938 \h </w:instrText>
        </w:r>
        <w:r w:rsidR="005E31BA" w:rsidRPr="005E31BA">
          <w:rPr>
            <w:webHidden/>
            <w:color w:val="37897E"/>
          </w:rPr>
        </w:r>
        <w:r w:rsidR="005E31BA" w:rsidRPr="005E31BA">
          <w:rPr>
            <w:webHidden/>
            <w:color w:val="37897E"/>
          </w:rPr>
          <w:fldChar w:fldCharType="separate"/>
        </w:r>
        <w:r w:rsidR="005E31BA" w:rsidRPr="005E31BA">
          <w:rPr>
            <w:webHidden/>
            <w:color w:val="37897E"/>
          </w:rPr>
          <w:t>126</w:t>
        </w:r>
        <w:r w:rsidR="005E31BA" w:rsidRPr="005E31BA">
          <w:rPr>
            <w:webHidden/>
            <w:color w:val="37897E"/>
          </w:rPr>
          <w:fldChar w:fldCharType="end"/>
        </w:r>
      </w:hyperlink>
    </w:p>
    <w:p w14:paraId="199A49C8" w14:textId="77777777" w:rsidR="005E31BA" w:rsidRPr="005E31BA" w:rsidRDefault="00A03B6A" w:rsidP="005E31BA">
      <w:pPr>
        <w:pStyle w:val="TOC1"/>
        <w:tabs>
          <w:tab w:val="clear" w:pos="7660"/>
          <w:tab w:val="right" w:pos="9072"/>
        </w:tabs>
        <w:rPr>
          <w:rFonts w:asciiTheme="minorHAnsi" w:eastAsiaTheme="minorEastAsia" w:hAnsiTheme="minorHAnsi" w:cstheme="minorBidi"/>
          <w:b w:val="0"/>
          <w:color w:val="37897E"/>
          <w:spacing w:val="0"/>
          <w:sz w:val="22"/>
          <w:szCs w:val="22"/>
        </w:rPr>
      </w:pPr>
      <w:hyperlink w:anchor="_Toc500320939" w:history="1">
        <w:r w:rsidR="005E31BA" w:rsidRPr="005E31BA">
          <w:rPr>
            <w:rStyle w:val="Hyperlink"/>
            <w:color w:val="37897E"/>
          </w:rPr>
          <w:t>Glossary</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_Toc500320939 \h </w:instrText>
        </w:r>
        <w:r w:rsidR="005E31BA" w:rsidRPr="005E31BA">
          <w:rPr>
            <w:webHidden/>
            <w:color w:val="37897E"/>
          </w:rPr>
        </w:r>
        <w:r w:rsidR="005E31BA" w:rsidRPr="005E31BA">
          <w:rPr>
            <w:webHidden/>
            <w:color w:val="37897E"/>
          </w:rPr>
          <w:fldChar w:fldCharType="separate"/>
        </w:r>
        <w:r w:rsidR="005E31BA" w:rsidRPr="005E31BA">
          <w:rPr>
            <w:webHidden/>
            <w:color w:val="37897E"/>
          </w:rPr>
          <w:t>128</w:t>
        </w:r>
        <w:r w:rsidR="005E31BA" w:rsidRPr="005E31BA">
          <w:rPr>
            <w:webHidden/>
            <w:color w:val="37897E"/>
          </w:rPr>
          <w:fldChar w:fldCharType="end"/>
        </w:r>
      </w:hyperlink>
    </w:p>
    <w:p w14:paraId="4F0D3481" w14:textId="77777777" w:rsidR="005E31BA" w:rsidRPr="005E31BA" w:rsidRDefault="00A03B6A" w:rsidP="005E31BA">
      <w:pPr>
        <w:pStyle w:val="TOC1"/>
        <w:tabs>
          <w:tab w:val="clear" w:pos="7660"/>
          <w:tab w:val="right" w:pos="9072"/>
        </w:tabs>
        <w:rPr>
          <w:rFonts w:asciiTheme="minorHAnsi" w:eastAsiaTheme="minorEastAsia" w:hAnsiTheme="minorHAnsi" w:cstheme="minorBidi"/>
          <w:b w:val="0"/>
          <w:color w:val="37897E"/>
          <w:spacing w:val="0"/>
          <w:sz w:val="22"/>
          <w:szCs w:val="22"/>
        </w:rPr>
      </w:pPr>
      <w:hyperlink w:anchor="_Toc500320940" w:history="1">
        <w:r w:rsidR="005E31BA" w:rsidRPr="005E31BA">
          <w:rPr>
            <w:rStyle w:val="Hyperlink"/>
            <w:color w:val="37897E"/>
          </w:rPr>
          <w:t>Index</w:t>
        </w:r>
        <w:r w:rsidR="005E31BA" w:rsidRPr="005E31BA">
          <w:rPr>
            <w:webHidden/>
            <w:color w:val="37897E"/>
          </w:rPr>
          <w:tab/>
        </w:r>
        <w:r w:rsidR="005E31BA" w:rsidRPr="005E31BA">
          <w:rPr>
            <w:webHidden/>
            <w:color w:val="37897E"/>
          </w:rPr>
          <w:fldChar w:fldCharType="begin"/>
        </w:r>
        <w:r w:rsidR="005E31BA" w:rsidRPr="005E31BA">
          <w:rPr>
            <w:webHidden/>
            <w:color w:val="37897E"/>
          </w:rPr>
          <w:instrText xml:space="preserve"> PAGEREF _Toc500320940 \h </w:instrText>
        </w:r>
        <w:r w:rsidR="005E31BA" w:rsidRPr="005E31BA">
          <w:rPr>
            <w:webHidden/>
            <w:color w:val="37897E"/>
          </w:rPr>
        </w:r>
        <w:r w:rsidR="005E31BA" w:rsidRPr="005E31BA">
          <w:rPr>
            <w:webHidden/>
            <w:color w:val="37897E"/>
          </w:rPr>
          <w:fldChar w:fldCharType="separate"/>
        </w:r>
        <w:r w:rsidR="005E31BA" w:rsidRPr="005E31BA">
          <w:rPr>
            <w:webHidden/>
            <w:color w:val="37897E"/>
          </w:rPr>
          <w:t>137</w:t>
        </w:r>
        <w:r w:rsidR="005E31BA" w:rsidRPr="005E31BA">
          <w:rPr>
            <w:webHidden/>
            <w:color w:val="37897E"/>
          </w:rPr>
          <w:fldChar w:fldCharType="end"/>
        </w:r>
      </w:hyperlink>
    </w:p>
    <w:p w14:paraId="1E127C84" w14:textId="402C6448" w:rsidR="000B07B3" w:rsidRDefault="005E31BA" w:rsidP="002B3861">
      <w:pPr>
        <w:tabs>
          <w:tab w:val="left" w:pos="8789"/>
        </w:tabs>
        <w:ind w:right="425"/>
        <w:rPr>
          <w:rFonts w:cs="Arial"/>
          <w:noProof/>
          <w:sz w:val="22"/>
          <w:szCs w:val="22"/>
        </w:rPr>
        <w:sectPr w:rsidR="000B07B3" w:rsidSect="00531CD0">
          <w:headerReference w:type="even" r:id="rId28"/>
          <w:headerReference w:type="default" r:id="rId29"/>
          <w:footerReference w:type="even" r:id="rId30"/>
          <w:footerReference w:type="default" r:id="rId31"/>
          <w:footerReference w:type="first" r:id="rId32"/>
          <w:pgSz w:w="11906" w:h="16838" w:code="9"/>
          <w:pgMar w:top="3646" w:right="1133" w:bottom="1134" w:left="1134" w:header="709" w:footer="119" w:gutter="0"/>
          <w:cols w:space="708"/>
          <w:titlePg/>
          <w:docGrid w:linePitch="360"/>
        </w:sectPr>
      </w:pPr>
      <w:r>
        <w:rPr>
          <w:rFonts w:cs="Arial"/>
          <w:b/>
          <w:noProof/>
          <w:spacing w:val="-6"/>
          <w:sz w:val="22"/>
          <w:szCs w:val="22"/>
        </w:rPr>
        <w:fldChar w:fldCharType="end"/>
      </w:r>
    </w:p>
    <w:p w14:paraId="57C538A5" w14:textId="1CC95E6E" w:rsidR="004D56FF" w:rsidRDefault="004D56FF" w:rsidP="007A4882">
      <w:pPr>
        <w:tabs>
          <w:tab w:val="left" w:pos="8789"/>
          <w:tab w:val="right" w:pos="9072"/>
          <w:tab w:val="right" w:pos="9356"/>
        </w:tabs>
        <w:ind w:right="425"/>
        <w:rPr>
          <w:rFonts w:cs="Arial"/>
        </w:rPr>
      </w:pPr>
    </w:p>
    <w:p w14:paraId="74385595" w14:textId="77777777" w:rsidR="00116751" w:rsidRPr="007A4882" w:rsidRDefault="00116751" w:rsidP="007A4882">
      <w:pPr>
        <w:tabs>
          <w:tab w:val="left" w:pos="8789"/>
          <w:tab w:val="right" w:pos="9072"/>
          <w:tab w:val="right" w:pos="9356"/>
        </w:tabs>
        <w:ind w:right="425"/>
        <w:rPr>
          <w:rFonts w:cs="Arial"/>
        </w:rPr>
        <w:sectPr w:rsidR="00116751" w:rsidRPr="007A4882" w:rsidSect="00531CD0">
          <w:headerReference w:type="default" r:id="rId33"/>
          <w:headerReference w:type="first" r:id="rId34"/>
          <w:footerReference w:type="first" r:id="rId35"/>
          <w:pgSz w:w="11906" w:h="16838" w:code="9"/>
          <w:pgMar w:top="3646" w:right="1133" w:bottom="1134" w:left="1134" w:header="709" w:footer="119" w:gutter="0"/>
          <w:cols w:space="708"/>
          <w:titlePg/>
          <w:docGrid w:linePitch="360"/>
        </w:sectPr>
      </w:pPr>
    </w:p>
    <w:p w14:paraId="05158140" w14:textId="23866504" w:rsidR="00C50389" w:rsidRPr="005E31BA" w:rsidRDefault="00C50389" w:rsidP="00C50389">
      <w:pPr>
        <w:pStyle w:val="Heading1"/>
      </w:pPr>
      <w:bookmarkStart w:id="24" w:name="_Toc494799291"/>
      <w:bookmarkStart w:id="25" w:name="_Toc494805594"/>
      <w:bookmarkStart w:id="26" w:name="_Toc494805823"/>
      <w:bookmarkStart w:id="27" w:name="_Toc494808455"/>
      <w:bookmarkStart w:id="28" w:name="_Toc494815859"/>
      <w:bookmarkStart w:id="29" w:name="_Toc494818720"/>
      <w:bookmarkStart w:id="30" w:name="_Toc494818987"/>
      <w:bookmarkStart w:id="31" w:name="_Toc500320869"/>
      <w:bookmarkStart w:id="32" w:name="_Toc399331702"/>
      <w:bookmarkStart w:id="33" w:name="_Toc399336883"/>
      <w:bookmarkStart w:id="34" w:name="_Toc402337487"/>
      <w:bookmarkStart w:id="35" w:name="_Toc285789710"/>
      <w:bookmarkStart w:id="36" w:name="_Toc285791789"/>
      <w:bookmarkEnd w:id="23"/>
      <w:r w:rsidRPr="005E31BA">
        <w:lastRenderedPageBreak/>
        <w:t>Chair’s foreword</w:t>
      </w:r>
      <w:bookmarkEnd w:id="24"/>
      <w:bookmarkEnd w:id="25"/>
      <w:bookmarkEnd w:id="26"/>
      <w:bookmarkEnd w:id="27"/>
      <w:bookmarkEnd w:id="28"/>
      <w:bookmarkEnd w:id="29"/>
      <w:bookmarkEnd w:id="30"/>
      <w:bookmarkEnd w:id="31"/>
    </w:p>
    <w:p w14:paraId="250C3571" w14:textId="75DE153B" w:rsidR="00D4142F" w:rsidRPr="0026435C" w:rsidRDefault="004F1BDD" w:rsidP="00D4142F">
      <w:pPr>
        <w:rPr>
          <w:rFonts w:cs="Arial"/>
          <w:szCs w:val="20"/>
        </w:rPr>
      </w:pPr>
      <w:r>
        <w:rPr>
          <w:rFonts w:cs="Arial"/>
          <w:noProof/>
          <w:szCs w:val="20"/>
        </w:rPr>
        <w:drawing>
          <wp:anchor distT="144145" distB="180340" distL="144145" distR="144145" simplePos="0" relativeHeight="251660288" behindDoc="0" locked="0" layoutInCell="1" allowOverlap="1" wp14:anchorId="6B0BF9D6" wp14:editId="33F3FDE6">
            <wp:simplePos x="0" y="0"/>
            <wp:positionH relativeFrom="column">
              <wp:posOffset>4017010</wp:posOffset>
            </wp:positionH>
            <wp:positionV relativeFrom="paragraph">
              <wp:posOffset>33638</wp:posOffset>
            </wp:positionV>
            <wp:extent cx="1767205" cy="2326005"/>
            <wp:effectExtent l="0" t="0" r="4445" b="0"/>
            <wp:wrapSquare wrapText="bothSides"/>
            <wp:docPr id="20" name="Picture 20" title="Nerida O'Lough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Nerida-1_small B&amp;W.jpg"/>
                    <pic:cNvPicPr/>
                  </pic:nvPicPr>
                  <pic:blipFill rotWithShape="1">
                    <a:blip r:embed="rId36">
                      <a:extLst>
                        <a:ext uri="{28A0092B-C50C-407E-A947-70E740481C1C}">
                          <a14:useLocalDpi xmlns:a14="http://schemas.microsoft.com/office/drawing/2010/main" val="0"/>
                        </a:ext>
                      </a:extLst>
                    </a:blip>
                    <a:srcRect/>
                    <a:stretch/>
                  </pic:blipFill>
                  <pic:spPr bwMode="auto">
                    <a:xfrm>
                      <a:off x="0" y="0"/>
                      <a:ext cx="1767205" cy="23260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4142F" w:rsidRPr="0026435C">
        <w:rPr>
          <w:rFonts w:cs="Arial"/>
          <w:szCs w:val="20"/>
        </w:rPr>
        <w:t xml:space="preserve">I am </w:t>
      </w:r>
      <w:r w:rsidR="008335A5">
        <w:rPr>
          <w:rFonts w:cs="Arial"/>
          <w:szCs w:val="20"/>
        </w:rPr>
        <w:t>pleased</w:t>
      </w:r>
      <w:r w:rsidR="00D4142F" w:rsidRPr="0026435C">
        <w:rPr>
          <w:rFonts w:cs="Arial"/>
          <w:szCs w:val="20"/>
        </w:rPr>
        <w:t xml:space="preserve"> to present the ACMA </w:t>
      </w:r>
      <w:r w:rsidR="00D4142F" w:rsidRPr="0026435C">
        <w:rPr>
          <w:rFonts w:cs="Arial"/>
          <w:i/>
          <w:szCs w:val="20"/>
        </w:rPr>
        <w:t>Communications report 2016–17.</w:t>
      </w:r>
      <w:r w:rsidR="00D4142F" w:rsidRPr="0026435C" w:rsidDel="00592BCE">
        <w:rPr>
          <w:rFonts w:cs="Arial"/>
          <w:i/>
          <w:szCs w:val="20"/>
        </w:rPr>
        <w:t xml:space="preserve"> </w:t>
      </w:r>
      <w:r w:rsidR="00D4142F" w:rsidRPr="0026435C">
        <w:rPr>
          <w:rFonts w:cs="Arial"/>
          <w:szCs w:val="20"/>
        </w:rPr>
        <w:t xml:space="preserve">The report presents a comprehensive </w:t>
      </w:r>
      <w:r w:rsidR="00592BCE">
        <w:rPr>
          <w:rFonts w:cs="Arial"/>
          <w:szCs w:val="20"/>
        </w:rPr>
        <w:t xml:space="preserve">and timely </w:t>
      </w:r>
      <w:r w:rsidR="00D4142F" w:rsidRPr="0026435C">
        <w:rPr>
          <w:rFonts w:cs="Arial"/>
          <w:szCs w:val="20"/>
        </w:rPr>
        <w:t xml:space="preserve">overview of the communications and media environment in Australia. </w:t>
      </w:r>
    </w:p>
    <w:p w14:paraId="606AE493" w14:textId="77777777" w:rsidR="008335A5" w:rsidRDefault="008335A5" w:rsidP="008335A5">
      <w:pPr>
        <w:rPr>
          <w:rFonts w:cs="Arial"/>
          <w:szCs w:val="20"/>
        </w:rPr>
      </w:pPr>
      <w:r>
        <w:rPr>
          <w:rFonts w:cs="Arial"/>
          <w:szCs w:val="20"/>
        </w:rPr>
        <w:t>In 2016</w:t>
      </w:r>
      <w:r w:rsidR="00313675">
        <w:rPr>
          <w:rFonts w:cs="Arial"/>
          <w:szCs w:val="20"/>
        </w:rPr>
        <w:t>–</w:t>
      </w:r>
      <w:r>
        <w:rPr>
          <w:rFonts w:cs="Arial"/>
          <w:szCs w:val="20"/>
        </w:rPr>
        <w:t>17, t</w:t>
      </w:r>
      <w:r w:rsidRPr="0026435C">
        <w:rPr>
          <w:rFonts w:cs="Arial"/>
          <w:szCs w:val="20"/>
        </w:rPr>
        <w:t xml:space="preserve">he transformation of the communications sector continued, driven by expanding consumer demand for content, services and connected devices. Subscriber numbers to fixed networks increased, largely driven by the volume of premises connecting to the internet over the National Broadband Network (NBN). Over 2.44 million premises </w:t>
      </w:r>
      <w:r>
        <w:rPr>
          <w:rFonts w:cs="Arial"/>
          <w:szCs w:val="20"/>
        </w:rPr>
        <w:t xml:space="preserve">were </w:t>
      </w:r>
      <w:r w:rsidRPr="0026435C">
        <w:rPr>
          <w:rFonts w:cs="Arial"/>
          <w:szCs w:val="20"/>
        </w:rPr>
        <w:t xml:space="preserve">connected to the NBN </w:t>
      </w:r>
      <w:r>
        <w:rPr>
          <w:rFonts w:cs="Arial"/>
          <w:szCs w:val="20"/>
        </w:rPr>
        <w:t>by June 2017</w:t>
      </w:r>
      <w:r w:rsidR="00313675">
        <w:rPr>
          <w:rFonts w:cs="Arial"/>
          <w:szCs w:val="20"/>
        </w:rPr>
        <w:t>,</w:t>
      </w:r>
      <w:r>
        <w:rPr>
          <w:rFonts w:cs="Arial"/>
          <w:szCs w:val="20"/>
        </w:rPr>
        <w:t xml:space="preserve"> an increase of 1.34 million since June 2016.</w:t>
      </w:r>
    </w:p>
    <w:p w14:paraId="7FCFC1E7" w14:textId="77777777" w:rsidR="008335A5" w:rsidRPr="0026435C" w:rsidRDefault="008335A5" w:rsidP="008335A5">
      <w:pPr>
        <w:rPr>
          <w:rFonts w:cs="Arial"/>
          <w:szCs w:val="20"/>
        </w:rPr>
      </w:pPr>
      <w:r>
        <w:rPr>
          <w:rFonts w:cs="Arial"/>
          <w:szCs w:val="20"/>
        </w:rPr>
        <w:t>W</w:t>
      </w:r>
      <w:r w:rsidRPr="0026435C">
        <w:rPr>
          <w:rFonts w:cs="Arial"/>
          <w:szCs w:val="20"/>
        </w:rPr>
        <w:t xml:space="preserve">ith </w:t>
      </w:r>
      <w:r>
        <w:rPr>
          <w:rFonts w:cs="Arial"/>
          <w:szCs w:val="20"/>
        </w:rPr>
        <w:t>nine</w:t>
      </w:r>
      <w:r w:rsidRPr="0026435C">
        <w:rPr>
          <w:rFonts w:cs="Arial"/>
          <w:szCs w:val="20"/>
        </w:rPr>
        <w:t xml:space="preserve"> in </w:t>
      </w:r>
      <w:r w:rsidR="00313675">
        <w:rPr>
          <w:rFonts w:cs="Arial"/>
          <w:szCs w:val="20"/>
        </w:rPr>
        <w:t>10</w:t>
      </w:r>
      <w:r w:rsidR="00313675" w:rsidRPr="0026435C">
        <w:rPr>
          <w:rFonts w:cs="Arial"/>
          <w:szCs w:val="20"/>
        </w:rPr>
        <w:t xml:space="preserve"> </w:t>
      </w:r>
      <w:r w:rsidRPr="0026435C">
        <w:rPr>
          <w:rFonts w:cs="Arial"/>
          <w:szCs w:val="20"/>
        </w:rPr>
        <w:t xml:space="preserve">Australian adults connected to the internet, demand for data continues on its exponential trajectory. The volume of data downloaded increased by 43 per cent between the June 2016 and June 2017 quarters to over </w:t>
      </w:r>
      <w:r>
        <w:rPr>
          <w:rFonts w:cs="Arial"/>
          <w:szCs w:val="20"/>
        </w:rPr>
        <w:t xml:space="preserve">3.1 million terabytes, with </w:t>
      </w:r>
      <w:r w:rsidRPr="0026435C">
        <w:rPr>
          <w:rFonts w:cs="Arial"/>
          <w:szCs w:val="20"/>
        </w:rPr>
        <w:t>2.9 million terabytes</w:t>
      </w:r>
      <w:r>
        <w:rPr>
          <w:rFonts w:cs="Arial"/>
          <w:szCs w:val="20"/>
        </w:rPr>
        <w:t xml:space="preserve"> delivered over fixed</w:t>
      </w:r>
      <w:r w:rsidR="00E42319">
        <w:rPr>
          <w:rFonts w:cs="Arial"/>
          <w:szCs w:val="20"/>
        </w:rPr>
        <w:t>-</w:t>
      </w:r>
      <w:r>
        <w:rPr>
          <w:rFonts w:cs="Arial"/>
          <w:szCs w:val="20"/>
        </w:rPr>
        <w:t>line broadband</w:t>
      </w:r>
      <w:r w:rsidRPr="0026435C">
        <w:rPr>
          <w:rFonts w:cs="Arial"/>
          <w:szCs w:val="20"/>
        </w:rPr>
        <w:t>.</w:t>
      </w:r>
      <w:r>
        <w:rPr>
          <w:rFonts w:cs="Arial"/>
          <w:szCs w:val="20"/>
        </w:rPr>
        <w:t xml:space="preserve"> </w:t>
      </w:r>
    </w:p>
    <w:p w14:paraId="604EA756" w14:textId="74C6FCE4" w:rsidR="008335A5" w:rsidRDefault="008335A5" w:rsidP="008335A5">
      <w:pPr>
        <w:rPr>
          <w:rFonts w:cs="Arial"/>
          <w:szCs w:val="20"/>
        </w:rPr>
      </w:pPr>
      <w:r w:rsidRPr="00BB4776">
        <w:rPr>
          <w:rFonts w:cs="Arial"/>
          <w:szCs w:val="20"/>
        </w:rPr>
        <w:t>The mobile handset</w:t>
      </w:r>
      <w:r w:rsidR="003C4883" w:rsidRPr="00BB4776">
        <w:rPr>
          <w:rFonts w:cs="Arial"/>
          <w:szCs w:val="20"/>
        </w:rPr>
        <w:t>, having been</w:t>
      </w:r>
      <w:r w:rsidR="00BB4776" w:rsidRPr="00BB4776">
        <w:rPr>
          <w:rFonts w:cs="Arial"/>
          <w:szCs w:val="20"/>
        </w:rPr>
        <w:t xml:space="preserve"> </w:t>
      </w:r>
      <w:r w:rsidR="00CA4F08" w:rsidRPr="00BB4776">
        <w:rPr>
          <w:rFonts w:cs="Arial"/>
          <w:szCs w:val="20"/>
        </w:rPr>
        <w:t xml:space="preserve">the </w:t>
      </w:r>
      <w:r w:rsidRPr="00BB4776">
        <w:rPr>
          <w:rFonts w:cs="Arial"/>
          <w:szCs w:val="20"/>
        </w:rPr>
        <w:t xml:space="preserve">most popular communications device for </w:t>
      </w:r>
      <w:r w:rsidR="00CA4F08" w:rsidRPr="00BB4776">
        <w:rPr>
          <w:rFonts w:cs="Arial"/>
          <w:szCs w:val="20"/>
        </w:rPr>
        <w:t>a number of years</w:t>
      </w:r>
      <w:r w:rsidR="003C4883" w:rsidRPr="00BB4776">
        <w:rPr>
          <w:rFonts w:cs="Arial"/>
          <w:szCs w:val="20"/>
        </w:rPr>
        <w:t>, is</w:t>
      </w:r>
      <w:r w:rsidR="00CA4F08" w:rsidRPr="00BB4776">
        <w:rPr>
          <w:rFonts w:cs="Arial"/>
          <w:szCs w:val="20"/>
        </w:rPr>
        <w:t xml:space="preserve"> </w:t>
      </w:r>
      <w:r w:rsidRPr="00BB4776">
        <w:rPr>
          <w:rFonts w:cs="Arial"/>
          <w:szCs w:val="20"/>
        </w:rPr>
        <w:t>also</w:t>
      </w:r>
      <w:r w:rsidRPr="0026435C">
        <w:rPr>
          <w:rFonts w:cs="Arial"/>
          <w:szCs w:val="20"/>
        </w:rPr>
        <w:t xml:space="preserve"> now the most popular and frequently</w:t>
      </w:r>
      <w:r w:rsidR="00E42319">
        <w:rPr>
          <w:rFonts w:cs="Arial"/>
          <w:szCs w:val="20"/>
        </w:rPr>
        <w:t xml:space="preserve"> </w:t>
      </w:r>
      <w:r w:rsidRPr="0026435C">
        <w:rPr>
          <w:rFonts w:cs="Arial"/>
          <w:szCs w:val="20"/>
        </w:rPr>
        <w:t>used device for internet access</w:t>
      </w:r>
      <w:r>
        <w:rPr>
          <w:rFonts w:cs="Arial"/>
          <w:szCs w:val="20"/>
        </w:rPr>
        <w:t>, driven by the availability of smartphones and the popularity of applications</w:t>
      </w:r>
      <w:r w:rsidRPr="0026435C">
        <w:rPr>
          <w:rFonts w:cs="Arial"/>
          <w:szCs w:val="20"/>
        </w:rPr>
        <w:t xml:space="preserve">. </w:t>
      </w:r>
    </w:p>
    <w:p w14:paraId="44768827" w14:textId="77777777" w:rsidR="008335A5" w:rsidRPr="0026435C" w:rsidRDefault="008335A5" w:rsidP="008335A5">
      <w:pPr>
        <w:rPr>
          <w:rFonts w:cs="Arial"/>
          <w:szCs w:val="20"/>
        </w:rPr>
      </w:pPr>
      <w:r>
        <w:rPr>
          <w:rFonts w:cs="Arial"/>
          <w:szCs w:val="20"/>
        </w:rPr>
        <w:t>Mobile phone operators have</w:t>
      </w:r>
      <w:r w:rsidRPr="0026435C">
        <w:rPr>
          <w:rFonts w:cs="Arial"/>
          <w:szCs w:val="20"/>
        </w:rPr>
        <w:t xml:space="preserve"> announced over </w:t>
      </w:r>
      <w:r w:rsidR="00E42319">
        <w:rPr>
          <w:rFonts w:cs="Arial"/>
          <w:szCs w:val="20"/>
        </w:rPr>
        <w:t>$2</w:t>
      </w:r>
      <w:r w:rsidR="00E42319" w:rsidRPr="0026435C">
        <w:rPr>
          <w:rFonts w:cs="Arial"/>
          <w:szCs w:val="20"/>
        </w:rPr>
        <w:t xml:space="preserve"> </w:t>
      </w:r>
      <w:r w:rsidRPr="0026435C">
        <w:rPr>
          <w:rFonts w:cs="Arial"/>
          <w:szCs w:val="20"/>
        </w:rPr>
        <w:t>billion in investments in improvements to 4G networks</w:t>
      </w:r>
      <w:r>
        <w:rPr>
          <w:rFonts w:cs="Arial"/>
          <w:szCs w:val="20"/>
        </w:rPr>
        <w:t xml:space="preserve"> and are looking to the next generation of 5G networks while closing legacy systems such as 2G. The </w:t>
      </w:r>
      <w:r w:rsidR="00E42319">
        <w:rPr>
          <w:rFonts w:cs="Arial"/>
          <w:szCs w:val="20"/>
        </w:rPr>
        <w:t>g</w:t>
      </w:r>
      <w:r>
        <w:rPr>
          <w:rFonts w:cs="Arial"/>
          <w:szCs w:val="20"/>
        </w:rPr>
        <w:t>overnment’s Mobile Black Spot Program has also assisted in upgrading mobile base stations</w:t>
      </w:r>
      <w:r w:rsidR="00E42319">
        <w:rPr>
          <w:rFonts w:cs="Arial"/>
          <w:szCs w:val="20"/>
        </w:rPr>
        <w:t>,</w:t>
      </w:r>
      <w:r>
        <w:rPr>
          <w:rFonts w:cs="Arial"/>
          <w:szCs w:val="20"/>
        </w:rPr>
        <w:t xml:space="preserve"> with $60 million provided to target 125 specific priority locations across Australia.</w:t>
      </w:r>
    </w:p>
    <w:p w14:paraId="125207F4" w14:textId="77777777" w:rsidR="00D4142F" w:rsidRPr="0026435C" w:rsidRDefault="00D4142F" w:rsidP="00D4142F">
      <w:pPr>
        <w:rPr>
          <w:rFonts w:cs="Arial"/>
          <w:szCs w:val="20"/>
        </w:rPr>
      </w:pPr>
      <w:r w:rsidRPr="0026435C">
        <w:rPr>
          <w:rFonts w:cs="Arial"/>
          <w:szCs w:val="20"/>
        </w:rPr>
        <w:t xml:space="preserve">Australians are increasing their use of connected devices, with smart TVs becoming </w:t>
      </w:r>
      <w:r w:rsidR="00E42319">
        <w:rPr>
          <w:rFonts w:cs="Arial"/>
          <w:szCs w:val="20"/>
        </w:rPr>
        <w:t>more and more</w:t>
      </w:r>
      <w:r w:rsidR="00E42319" w:rsidRPr="0026435C">
        <w:rPr>
          <w:rFonts w:cs="Arial"/>
          <w:szCs w:val="20"/>
        </w:rPr>
        <w:t xml:space="preserve"> </w:t>
      </w:r>
      <w:r w:rsidRPr="0026435C">
        <w:rPr>
          <w:rFonts w:cs="Arial"/>
          <w:szCs w:val="20"/>
        </w:rPr>
        <w:t xml:space="preserve">popular </w:t>
      </w:r>
      <w:r w:rsidR="00E42319">
        <w:rPr>
          <w:rFonts w:cs="Arial"/>
          <w:szCs w:val="20"/>
        </w:rPr>
        <w:t>for</w:t>
      </w:r>
      <w:r w:rsidR="00E42319" w:rsidRPr="0026435C">
        <w:rPr>
          <w:rFonts w:cs="Arial"/>
          <w:szCs w:val="20"/>
        </w:rPr>
        <w:t xml:space="preserve"> </w:t>
      </w:r>
      <w:r w:rsidRPr="0026435C">
        <w:rPr>
          <w:rFonts w:cs="Arial"/>
          <w:szCs w:val="20"/>
        </w:rPr>
        <w:t>access</w:t>
      </w:r>
      <w:r w:rsidR="00E42319">
        <w:rPr>
          <w:rFonts w:cs="Arial"/>
          <w:szCs w:val="20"/>
        </w:rPr>
        <w:t>ing</w:t>
      </w:r>
      <w:r w:rsidRPr="0026435C">
        <w:rPr>
          <w:rFonts w:cs="Arial"/>
          <w:szCs w:val="20"/>
        </w:rPr>
        <w:t xml:space="preserve"> the internet. </w:t>
      </w:r>
      <w:r>
        <w:rPr>
          <w:rFonts w:cs="Arial"/>
          <w:szCs w:val="20"/>
        </w:rPr>
        <w:t xml:space="preserve">The </w:t>
      </w:r>
      <w:r w:rsidRPr="0026435C">
        <w:rPr>
          <w:rFonts w:cs="Arial"/>
          <w:szCs w:val="20"/>
        </w:rPr>
        <w:t>Internet of Things (IoT) is growing rapidly, and in the year to June 2017 major telecommunications carriers made firm commitments for network investments, technology trials and commercial deployments</w:t>
      </w:r>
      <w:r>
        <w:rPr>
          <w:rFonts w:cs="Arial"/>
          <w:szCs w:val="20"/>
        </w:rPr>
        <w:t xml:space="preserve"> of this technology</w:t>
      </w:r>
      <w:r w:rsidR="00E42319">
        <w:rPr>
          <w:rFonts w:cs="Arial"/>
          <w:szCs w:val="20"/>
        </w:rPr>
        <w:t>. T</w:t>
      </w:r>
      <w:r>
        <w:rPr>
          <w:rFonts w:cs="Arial"/>
          <w:szCs w:val="20"/>
        </w:rPr>
        <w:t>ogether</w:t>
      </w:r>
      <w:r w:rsidR="00E42319">
        <w:rPr>
          <w:rFonts w:cs="Arial"/>
          <w:szCs w:val="20"/>
        </w:rPr>
        <w:t>,</w:t>
      </w:r>
      <w:r>
        <w:rPr>
          <w:rFonts w:cs="Arial"/>
          <w:szCs w:val="20"/>
        </w:rPr>
        <w:t xml:space="preserve"> these </w:t>
      </w:r>
      <w:r w:rsidR="00E42319">
        <w:rPr>
          <w:rFonts w:cs="Arial"/>
          <w:szCs w:val="20"/>
        </w:rPr>
        <w:t xml:space="preserve">developments </w:t>
      </w:r>
      <w:r>
        <w:rPr>
          <w:rFonts w:cs="Arial"/>
          <w:szCs w:val="20"/>
        </w:rPr>
        <w:t>have the potential to drive significant social and economic impacts.</w:t>
      </w:r>
    </w:p>
    <w:p w14:paraId="7007CF90" w14:textId="77777777" w:rsidR="008335A5" w:rsidRPr="0026435C" w:rsidRDefault="008335A5" w:rsidP="008335A5">
      <w:pPr>
        <w:rPr>
          <w:rFonts w:cs="Arial"/>
          <w:szCs w:val="20"/>
        </w:rPr>
      </w:pPr>
      <w:r>
        <w:rPr>
          <w:rFonts w:cs="Arial"/>
          <w:szCs w:val="20"/>
        </w:rPr>
        <w:t>T</w:t>
      </w:r>
      <w:r w:rsidRPr="0026435C">
        <w:rPr>
          <w:rFonts w:cs="Arial"/>
          <w:szCs w:val="20"/>
        </w:rPr>
        <w:t xml:space="preserve">raditional broadcast television remains the most popular viewing platform, </w:t>
      </w:r>
      <w:r>
        <w:rPr>
          <w:rFonts w:cs="Arial"/>
          <w:szCs w:val="20"/>
        </w:rPr>
        <w:t xml:space="preserve">but </w:t>
      </w:r>
      <w:r w:rsidRPr="0026435C">
        <w:rPr>
          <w:rFonts w:cs="Arial"/>
          <w:szCs w:val="20"/>
        </w:rPr>
        <w:t xml:space="preserve">Australians are </w:t>
      </w:r>
      <w:r w:rsidR="00E42319">
        <w:rPr>
          <w:rFonts w:cs="Arial"/>
          <w:szCs w:val="20"/>
        </w:rPr>
        <w:t>consuming more</w:t>
      </w:r>
      <w:r w:rsidRPr="0026435C">
        <w:rPr>
          <w:rFonts w:cs="Arial"/>
          <w:szCs w:val="20"/>
        </w:rPr>
        <w:t xml:space="preserve"> video content over the internet, with 59 per cent watching content online at June 2017. Burgeoning consumer demand for online video content, reflected in the volume of data downloaded, </w:t>
      </w:r>
      <w:r w:rsidR="00E42319">
        <w:rPr>
          <w:rFonts w:cs="Arial"/>
          <w:szCs w:val="20"/>
        </w:rPr>
        <w:t>has seen</w:t>
      </w:r>
      <w:r w:rsidR="00E42319" w:rsidRPr="0026435C">
        <w:rPr>
          <w:rFonts w:cs="Arial"/>
          <w:szCs w:val="20"/>
        </w:rPr>
        <w:t xml:space="preserve"> </w:t>
      </w:r>
      <w:r w:rsidRPr="0026435C">
        <w:rPr>
          <w:rFonts w:cs="Arial"/>
          <w:szCs w:val="20"/>
        </w:rPr>
        <w:t xml:space="preserve">service providers expanding platforms and services to meet their customers’ online needs. </w:t>
      </w:r>
    </w:p>
    <w:p w14:paraId="76B2C2CB" w14:textId="77777777" w:rsidR="008335A5" w:rsidRDefault="008335A5" w:rsidP="00DE6629">
      <w:pPr>
        <w:spacing w:before="120" w:after="120"/>
        <w:rPr>
          <w:rFonts w:cs="Arial"/>
          <w:szCs w:val="20"/>
        </w:rPr>
      </w:pPr>
      <w:r>
        <w:rPr>
          <w:rFonts w:cs="Arial"/>
          <w:szCs w:val="20"/>
        </w:rPr>
        <w:t>Th</w:t>
      </w:r>
      <w:r w:rsidRPr="0026435C">
        <w:rPr>
          <w:rFonts w:cs="Arial"/>
          <w:szCs w:val="20"/>
        </w:rPr>
        <w:t xml:space="preserve">e </w:t>
      </w:r>
      <w:r w:rsidRPr="00554811">
        <w:rPr>
          <w:rFonts w:cs="Arial"/>
          <w:szCs w:val="20"/>
        </w:rPr>
        <w:t>Communications report</w:t>
      </w:r>
      <w:r w:rsidRPr="00313675">
        <w:rPr>
          <w:rFonts w:cs="Arial"/>
          <w:i/>
          <w:szCs w:val="20"/>
        </w:rPr>
        <w:t xml:space="preserve"> </w:t>
      </w:r>
      <w:r>
        <w:rPr>
          <w:rFonts w:cs="Arial"/>
          <w:szCs w:val="20"/>
        </w:rPr>
        <w:t>provides an insight into the rapidly changing communications sector</w:t>
      </w:r>
      <w:r w:rsidR="00E42319">
        <w:rPr>
          <w:rFonts w:cs="Arial"/>
          <w:szCs w:val="20"/>
        </w:rPr>
        <w:t>,</w:t>
      </w:r>
      <w:r>
        <w:rPr>
          <w:rFonts w:cs="Arial"/>
          <w:szCs w:val="20"/>
        </w:rPr>
        <w:t xml:space="preserve"> and how Australians are using products and services. It </w:t>
      </w:r>
      <w:r w:rsidR="00E42319">
        <w:rPr>
          <w:rFonts w:cs="Arial"/>
          <w:szCs w:val="20"/>
        </w:rPr>
        <w:t xml:space="preserve">paints </w:t>
      </w:r>
      <w:r>
        <w:rPr>
          <w:rFonts w:cs="Arial"/>
          <w:szCs w:val="20"/>
        </w:rPr>
        <w:t>an informative picture for industry and consumers</w:t>
      </w:r>
      <w:r w:rsidR="008B64A3">
        <w:rPr>
          <w:rFonts w:cs="Arial"/>
          <w:szCs w:val="20"/>
        </w:rPr>
        <w:t>,</w:t>
      </w:r>
      <w:r>
        <w:rPr>
          <w:rFonts w:cs="Arial"/>
          <w:szCs w:val="20"/>
        </w:rPr>
        <w:t xml:space="preserve"> and </w:t>
      </w:r>
      <w:r w:rsidR="008B64A3">
        <w:rPr>
          <w:rFonts w:cs="Arial"/>
          <w:szCs w:val="20"/>
        </w:rPr>
        <w:t xml:space="preserve">is </w:t>
      </w:r>
      <w:r>
        <w:rPr>
          <w:rFonts w:cs="Arial"/>
          <w:szCs w:val="20"/>
        </w:rPr>
        <w:t>a useful source of evidence for policy-makers and regulators. I commend the report to</w:t>
      </w:r>
      <w:r w:rsidR="008B64A3">
        <w:rPr>
          <w:rFonts w:cs="Arial"/>
          <w:szCs w:val="20"/>
        </w:rPr>
        <w:t> </w:t>
      </w:r>
      <w:r>
        <w:rPr>
          <w:rFonts w:cs="Arial"/>
          <w:szCs w:val="20"/>
        </w:rPr>
        <w:t>you.</w:t>
      </w:r>
    </w:p>
    <w:p w14:paraId="3DEE3B9D" w14:textId="7C4F7218" w:rsidR="00CD1FDB" w:rsidRDefault="00DE6629" w:rsidP="00CA3242">
      <w:r>
        <w:rPr>
          <w:noProof/>
        </w:rPr>
        <w:drawing>
          <wp:inline distT="0" distB="0" distL="0" distR="0" wp14:anchorId="0ED8F7D6" wp14:editId="07229BD2">
            <wp:extent cx="1699171" cy="799139"/>
            <wp:effectExtent l="0" t="0" r="0" b="1270"/>
            <wp:docPr id="54" name="Picture 54" title="Nerida O'Loughlin's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hair -_Signature 2_BandW2_EPS with better background.tif"/>
                    <pic:cNvPicPr/>
                  </pic:nvPicPr>
                  <pic:blipFill>
                    <a:blip r:embed="rId37">
                      <a:extLst>
                        <a:ext uri="{28A0092B-C50C-407E-A947-70E740481C1C}">
                          <a14:useLocalDpi xmlns:a14="http://schemas.microsoft.com/office/drawing/2010/main" val="0"/>
                        </a:ext>
                      </a:extLst>
                    </a:blip>
                    <a:stretch>
                      <a:fillRect/>
                    </a:stretch>
                  </pic:blipFill>
                  <pic:spPr>
                    <a:xfrm>
                      <a:off x="0" y="0"/>
                      <a:ext cx="1703683" cy="801261"/>
                    </a:xfrm>
                    <a:prstGeom prst="rect">
                      <a:avLst/>
                    </a:prstGeom>
                  </pic:spPr>
                </pic:pic>
              </a:graphicData>
            </a:graphic>
          </wp:inline>
        </w:drawing>
      </w:r>
    </w:p>
    <w:p w14:paraId="7B65D1D7" w14:textId="3836F059" w:rsidR="00116751" w:rsidRPr="00341568" w:rsidRDefault="00C50389" w:rsidP="00341568">
      <w:pPr>
        <w:rPr>
          <w:lang w:val="en-US"/>
        </w:rPr>
      </w:pPr>
      <w:r>
        <w:t>Nerida O’Loughlin</w:t>
      </w:r>
      <w:r w:rsidR="008A16D5" w:rsidRPr="0011763E">
        <w:br/>
      </w:r>
      <w:r>
        <w:t>Chair</w:t>
      </w:r>
      <w:bookmarkStart w:id="37" w:name="_Toc462132186"/>
      <w:bookmarkStart w:id="38" w:name="_Toc462899503"/>
      <w:bookmarkStart w:id="39" w:name="_Toc463528984"/>
      <w:bookmarkStart w:id="40" w:name="_Toc399331687"/>
      <w:bookmarkStart w:id="41" w:name="_Toc399336868"/>
      <w:r w:rsidR="00116751">
        <w:br w:type="page"/>
      </w:r>
    </w:p>
    <w:p w14:paraId="51A7987A" w14:textId="62A552C9" w:rsidR="00580A5F" w:rsidRPr="00C508AD" w:rsidRDefault="00F772A4">
      <w:pPr>
        <w:pStyle w:val="Heading1"/>
      </w:pPr>
      <w:bookmarkStart w:id="42" w:name="_Toc500320870"/>
      <w:r w:rsidRPr="00C508AD">
        <w:lastRenderedPageBreak/>
        <w:t>Introduction</w:t>
      </w:r>
      <w:bookmarkEnd w:id="37"/>
      <w:bookmarkEnd w:id="38"/>
      <w:bookmarkEnd w:id="39"/>
      <w:bookmarkEnd w:id="42"/>
    </w:p>
    <w:p w14:paraId="55C0B71B" w14:textId="35CB310C" w:rsidR="00A0562B" w:rsidRDefault="00A0562B" w:rsidP="001E1DFC">
      <w:pPr>
        <w:pStyle w:val="Heading2"/>
      </w:pPr>
      <w:bookmarkStart w:id="43" w:name="_Toc494799294"/>
      <w:bookmarkStart w:id="44" w:name="_Toc494805597"/>
      <w:bookmarkStart w:id="45" w:name="_Toc494805826"/>
      <w:bookmarkStart w:id="46" w:name="_Toc494808458"/>
      <w:bookmarkStart w:id="47" w:name="_Toc494815862"/>
      <w:bookmarkStart w:id="48" w:name="_Toc494818723"/>
      <w:bookmarkStart w:id="49" w:name="_Toc494818990"/>
      <w:bookmarkStart w:id="50" w:name="_Toc500320871"/>
      <w:bookmarkStart w:id="51" w:name="_Toc399257333"/>
      <w:bookmarkEnd w:id="40"/>
      <w:bookmarkEnd w:id="41"/>
      <w:r>
        <w:t>Legislative basis</w:t>
      </w:r>
      <w:bookmarkEnd w:id="43"/>
      <w:bookmarkEnd w:id="44"/>
      <w:bookmarkEnd w:id="45"/>
      <w:bookmarkEnd w:id="46"/>
      <w:bookmarkEnd w:id="47"/>
      <w:bookmarkEnd w:id="48"/>
      <w:bookmarkEnd w:id="49"/>
      <w:bookmarkEnd w:id="50"/>
    </w:p>
    <w:p w14:paraId="5D3D734E" w14:textId="77777777" w:rsidR="00A12D4A" w:rsidRPr="00576CB5" w:rsidRDefault="00A0562B" w:rsidP="00A0562B">
      <w:pPr>
        <w:rPr>
          <w:rFonts w:cs="Arial"/>
        </w:rPr>
      </w:pPr>
      <w:r w:rsidRPr="00576CB5">
        <w:rPr>
          <w:rFonts w:cs="Arial"/>
        </w:rPr>
        <w:t xml:space="preserve">The </w:t>
      </w:r>
      <w:r w:rsidRPr="00576CB5">
        <w:rPr>
          <w:rFonts w:cs="Arial"/>
          <w:i/>
        </w:rPr>
        <w:t>Communications report</w:t>
      </w:r>
      <w:r w:rsidRPr="00576CB5">
        <w:rPr>
          <w:rFonts w:cs="Arial"/>
        </w:rPr>
        <w:t xml:space="preserve"> </w:t>
      </w:r>
      <w:r w:rsidRPr="00576CB5">
        <w:rPr>
          <w:rFonts w:cs="Arial"/>
          <w:i/>
        </w:rPr>
        <w:t>2016–17</w:t>
      </w:r>
      <w:r w:rsidRPr="00576CB5">
        <w:rPr>
          <w:rFonts w:cs="Arial"/>
        </w:rPr>
        <w:t xml:space="preserve"> fulfils </w:t>
      </w:r>
      <w:r w:rsidR="00A12D4A" w:rsidRPr="00576CB5">
        <w:rPr>
          <w:rFonts w:cs="Arial"/>
        </w:rPr>
        <w:t xml:space="preserve">multiple legislative obligations under the </w:t>
      </w:r>
      <w:r w:rsidR="00A12D4A" w:rsidRPr="00576CB5">
        <w:rPr>
          <w:rFonts w:cs="Arial"/>
          <w:i/>
        </w:rPr>
        <w:t>Australian Communications and Media Authority Act 2005</w:t>
      </w:r>
      <w:r w:rsidR="00A12D4A" w:rsidRPr="00576CB5">
        <w:rPr>
          <w:rFonts w:cs="Arial"/>
        </w:rPr>
        <w:t xml:space="preserve"> (ACMA Act). These include the requirement that the ACMA report</w:t>
      </w:r>
      <w:r w:rsidR="0065419A" w:rsidRPr="00576CB5">
        <w:rPr>
          <w:rFonts w:cs="Arial"/>
        </w:rPr>
        <w:t>s</w:t>
      </w:r>
      <w:r w:rsidR="00A12D4A" w:rsidRPr="00576CB5">
        <w:rPr>
          <w:rFonts w:cs="Arial"/>
        </w:rPr>
        <w:t xml:space="preserve"> to the Minister </w:t>
      </w:r>
      <w:r w:rsidR="0065419A" w:rsidRPr="00576CB5">
        <w:rPr>
          <w:rFonts w:cs="Arial"/>
        </w:rPr>
        <w:t xml:space="preserve">for Communications </w:t>
      </w:r>
      <w:r w:rsidR="00A12D4A" w:rsidRPr="00576CB5">
        <w:rPr>
          <w:rFonts w:cs="Arial"/>
        </w:rPr>
        <w:t>on the telecommunications industry and matters affecting consumers of carriage services, conduct</w:t>
      </w:r>
      <w:r w:rsidR="0065419A" w:rsidRPr="00576CB5">
        <w:rPr>
          <w:rFonts w:cs="Arial"/>
        </w:rPr>
        <w:t>s</w:t>
      </w:r>
      <w:r w:rsidR="00A12D4A" w:rsidRPr="00576CB5">
        <w:rPr>
          <w:rFonts w:cs="Arial"/>
        </w:rPr>
        <w:t xml:space="preserve"> research on community attitudes to broadcasting programs</w:t>
      </w:r>
      <w:r w:rsidR="0065419A" w:rsidRPr="00576CB5">
        <w:rPr>
          <w:rFonts w:cs="Arial"/>
        </w:rPr>
        <w:t>,</w:t>
      </w:r>
      <w:r w:rsidR="00A12D4A" w:rsidRPr="00576CB5">
        <w:rPr>
          <w:rFonts w:cs="Arial"/>
        </w:rPr>
        <w:t xml:space="preserve"> and advise</w:t>
      </w:r>
      <w:r w:rsidR="0065419A" w:rsidRPr="00576CB5">
        <w:rPr>
          <w:rFonts w:cs="Arial"/>
        </w:rPr>
        <w:t>s</w:t>
      </w:r>
      <w:r w:rsidR="00A12D4A" w:rsidRPr="00576CB5">
        <w:rPr>
          <w:rFonts w:cs="Arial"/>
        </w:rPr>
        <w:t xml:space="preserve"> the </w:t>
      </w:r>
      <w:r w:rsidR="0065419A" w:rsidRPr="00576CB5">
        <w:rPr>
          <w:rFonts w:cs="Arial"/>
        </w:rPr>
        <w:t>m</w:t>
      </w:r>
      <w:r w:rsidR="00A12D4A" w:rsidRPr="00576CB5">
        <w:rPr>
          <w:rFonts w:cs="Arial"/>
        </w:rPr>
        <w:t xml:space="preserve">inister on service and industry trends in the broadcasting and internet industries and content services. </w:t>
      </w:r>
    </w:p>
    <w:p w14:paraId="197D51C7" w14:textId="6CF9C9EA" w:rsidR="00580A5F" w:rsidRPr="009B0D33" w:rsidRDefault="00A12D4A" w:rsidP="00A0562B">
      <w:r w:rsidRPr="00576CB5">
        <w:rPr>
          <w:rFonts w:cs="Arial"/>
        </w:rPr>
        <w:t>The report also</w:t>
      </w:r>
      <w:r w:rsidR="00A0562B" w:rsidRPr="00576CB5">
        <w:rPr>
          <w:rFonts w:cs="Arial"/>
        </w:rPr>
        <w:t xml:space="preserve"> fulfils the ACMA’s statutory reporting responsibilities under the </w:t>
      </w:r>
      <w:r w:rsidR="00A0562B" w:rsidRPr="00576CB5">
        <w:rPr>
          <w:rFonts w:cs="Arial"/>
          <w:i/>
        </w:rPr>
        <w:t>Telecommunications Act</w:t>
      </w:r>
      <w:r w:rsidR="00201102">
        <w:rPr>
          <w:rFonts w:cs="Arial"/>
          <w:i/>
        </w:rPr>
        <w:t> </w:t>
      </w:r>
      <w:r w:rsidR="00A0562B" w:rsidRPr="00576CB5">
        <w:rPr>
          <w:rFonts w:cs="Arial"/>
          <w:i/>
        </w:rPr>
        <w:t xml:space="preserve">1997 </w:t>
      </w:r>
      <w:r w:rsidR="00A0562B" w:rsidRPr="00576CB5">
        <w:rPr>
          <w:rFonts w:cs="Arial"/>
        </w:rPr>
        <w:t>(Telecommunic</w:t>
      </w:r>
      <w:r w:rsidR="00A0562B">
        <w:rPr>
          <w:rFonts w:cs="Arial"/>
        </w:rPr>
        <w:t>ations Act). Section 105 of the Telecommunications Act requires the ACMA to report annually on the performance of carriers and carriage service providers (CSPs) in meeting regulatory obligations</w:t>
      </w:r>
      <w:r w:rsidR="0065419A">
        <w:rPr>
          <w:rFonts w:cs="Arial"/>
        </w:rPr>
        <w:t>,</w:t>
      </w:r>
      <w:r w:rsidR="00A0562B">
        <w:rPr>
          <w:rFonts w:cs="Arial"/>
        </w:rPr>
        <w:t xml:space="preserve"> with specific reference to consumer satisfaction, consumer benefits and quality of service. Information about the broadcasting industry’s performance in meeting regulatory obligations is also included in this report</w:t>
      </w:r>
      <w:r w:rsidR="00580A5F" w:rsidRPr="009B0D33">
        <w:t>.</w:t>
      </w:r>
    </w:p>
    <w:p w14:paraId="77B6FBFB" w14:textId="77777777" w:rsidR="00A0562B" w:rsidRDefault="00A0562B" w:rsidP="001E1DFC">
      <w:pPr>
        <w:pStyle w:val="Heading2"/>
      </w:pPr>
      <w:bookmarkStart w:id="52" w:name="_Toc494799295"/>
      <w:bookmarkStart w:id="53" w:name="_Toc494805598"/>
      <w:bookmarkStart w:id="54" w:name="_Toc494805827"/>
      <w:bookmarkStart w:id="55" w:name="_Toc494808459"/>
      <w:bookmarkStart w:id="56" w:name="_Toc494815863"/>
      <w:bookmarkStart w:id="57" w:name="_Toc494818724"/>
      <w:bookmarkStart w:id="58" w:name="_Toc494818991"/>
      <w:bookmarkStart w:id="59" w:name="_Toc500320872"/>
      <w:r>
        <w:t>Scope and structure of the report</w:t>
      </w:r>
      <w:bookmarkEnd w:id="52"/>
      <w:bookmarkEnd w:id="53"/>
      <w:bookmarkEnd w:id="54"/>
      <w:bookmarkEnd w:id="55"/>
      <w:bookmarkEnd w:id="56"/>
      <w:bookmarkEnd w:id="57"/>
      <w:bookmarkEnd w:id="58"/>
      <w:bookmarkEnd w:id="59"/>
    </w:p>
    <w:p w14:paraId="41EDD155" w14:textId="77777777" w:rsidR="00580A5F" w:rsidRPr="009B0D33" w:rsidRDefault="00A0562B" w:rsidP="00A0562B">
      <w:pPr>
        <w:spacing w:after="80"/>
      </w:pPr>
      <w:r>
        <w:t xml:space="preserve">The </w:t>
      </w:r>
      <w:r w:rsidR="005612E9">
        <w:t>Communications re</w:t>
      </w:r>
      <w:r w:rsidR="00AD4591">
        <w:t>p</w:t>
      </w:r>
      <w:r w:rsidR="005612E9">
        <w:t>ort</w:t>
      </w:r>
      <w:r>
        <w:rPr>
          <w:i/>
        </w:rPr>
        <w:t xml:space="preserve"> </w:t>
      </w:r>
      <w:r>
        <w:t>comprises five chapters</w:t>
      </w:r>
      <w:r w:rsidR="00580A5F" w:rsidRPr="009B0D33">
        <w:t>:</w:t>
      </w:r>
    </w:p>
    <w:p w14:paraId="5B847B2D" w14:textId="77777777" w:rsidR="00580A5F" w:rsidRPr="009C1BE9" w:rsidRDefault="00A0562B" w:rsidP="003156FB">
      <w:pPr>
        <w:pStyle w:val="ListBullet"/>
        <w:rPr>
          <w:i/>
        </w:rPr>
      </w:pPr>
      <w:r>
        <w:rPr>
          <w:b/>
          <w:i/>
        </w:rPr>
        <w:t>Chapter 1</w:t>
      </w:r>
      <w:r w:rsidR="00766235">
        <w:rPr>
          <w:b/>
          <w:i/>
        </w:rPr>
        <w:t xml:space="preserve">: </w:t>
      </w:r>
      <w:r>
        <w:rPr>
          <w:b/>
          <w:i/>
        </w:rPr>
        <w:t>Industry supply of communications services</w:t>
      </w:r>
      <w:r w:rsidR="00766235">
        <w:t>—</w:t>
      </w:r>
      <w:r>
        <w:t xml:space="preserve">detailed analysis of key supply-side developments in the </w:t>
      </w:r>
      <w:r w:rsidR="00766235">
        <w:t xml:space="preserve">Australian </w:t>
      </w:r>
      <w:r>
        <w:t xml:space="preserve">communications and media markets during 2016–17. </w:t>
      </w:r>
      <w:r w:rsidR="00766235">
        <w:t>It</w:t>
      </w:r>
      <w:r>
        <w:t xml:space="preserve"> focuses on the supply of communications and content services in Australia, including the number of carriers, CSPs and services in operation</w:t>
      </w:r>
      <w:r w:rsidR="00766235">
        <w:t>;</w:t>
      </w:r>
      <w:r>
        <w:t xml:space="preserve"> developments with the rollout of communications infrastructure</w:t>
      </w:r>
      <w:r w:rsidR="00766235">
        <w:t>;</w:t>
      </w:r>
      <w:r>
        <w:t xml:space="preserve"> and the delivery of communications services</w:t>
      </w:r>
      <w:r w:rsidR="00580A5F" w:rsidRPr="009B0D33">
        <w:t>.</w:t>
      </w:r>
    </w:p>
    <w:p w14:paraId="04764A43" w14:textId="7646D6B3" w:rsidR="00580A5F" w:rsidRPr="009B0D33" w:rsidRDefault="00A0562B" w:rsidP="003156FB">
      <w:pPr>
        <w:pStyle w:val="ListBullet"/>
      </w:pPr>
      <w:r>
        <w:rPr>
          <w:b/>
          <w:i/>
        </w:rPr>
        <w:t>Chapter 2</w:t>
      </w:r>
      <w:r w:rsidR="00766235">
        <w:rPr>
          <w:b/>
          <w:i/>
        </w:rPr>
        <w:t xml:space="preserve">: </w:t>
      </w:r>
      <w:r>
        <w:rPr>
          <w:b/>
          <w:i/>
        </w:rPr>
        <w:t>Consumer engagement with communications and media</w:t>
      </w:r>
      <w:r w:rsidR="00766235">
        <w:t>—</w:t>
      </w:r>
      <w:r>
        <w:t xml:space="preserve">information about consumer engagement with communications services and the benefits derived from these services. </w:t>
      </w:r>
      <w:r w:rsidR="00766235">
        <w:t>It</w:t>
      </w:r>
      <w:r w:rsidR="00631ABF">
        <w:t> </w:t>
      </w:r>
      <w:r>
        <w:t>notes changing consumer service preferences, reports on c</w:t>
      </w:r>
      <w:r w:rsidRPr="00953D23">
        <w:t>u</w:t>
      </w:r>
      <w:r>
        <w:t>rrent levels of consumer satisfaction with communications services, and compares Australia with international trends in service take-up and use</w:t>
      </w:r>
      <w:r w:rsidR="00580A5F" w:rsidRPr="009B0D33">
        <w:t>.</w:t>
      </w:r>
      <w:r w:rsidR="00580A5F" w:rsidRPr="009B0D33" w:rsidDel="00DF52D4">
        <w:t xml:space="preserve"> </w:t>
      </w:r>
    </w:p>
    <w:p w14:paraId="490BA8CF" w14:textId="77777777" w:rsidR="00580A5F" w:rsidRPr="009B0D33" w:rsidRDefault="00A0562B" w:rsidP="003156FB">
      <w:pPr>
        <w:pStyle w:val="ListBullet"/>
      </w:pPr>
      <w:r>
        <w:rPr>
          <w:b/>
          <w:i/>
        </w:rPr>
        <w:t>Chapter 3</w:t>
      </w:r>
      <w:r w:rsidR="00766235">
        <w:rPr>
          <w:b/>
          <w:i/>
        </w:rPr>
        <w:t xml:space="preserve">: </w:t>
      </w:r>
      <w:r>
        <w:rPr>
          <w:b/>
          <w:i/>
        </w:rPr>
        <w:t xml:space="preserve">Television, radio and online </w:t>
      </w:r>
      <w:r w:rsidR="000A4D48">
        <w:rPr>
          <w:b/>
          <w:i/>
        </w:rPr>
        <w:t xml:space="preserve">content </w:t>
      </w:r>
      <w:r>
        <w:rPr>
          <w:b/>
          <w:i/>
        </w:rPr>
        <w:t>developments</w:t>
      </w:r>
      <w:r w:rsidR="00766235">
        <w:t>—</w:t>
      </w:r>
      <w:r>
        <w:t>highlights changes in delivery of audio and video content</w:t>
      </w:r>
      <w:r w:rsidR="00766235">
        <w:t>,</w:t>
      </w:r>
      <w:r>
        <w:t xml:space="preserve"> including viewing behaviours for television, subscription and online content. </w:t>
      </w:r>
      <w:r w:rsidR="00766235">
        <w:t>It</w:t>
      </w:r>
      <w:r>
        <w:t xml:space="preserve"> also discusses the performance of Australian broadcasters in meeting their regulatory obligations for digitalisation of broadcasting services, and complaints to the ACMA about broadcasting matters and prohibited online content</w:t>
      </w:r>
      <w:r w:rsidR="00580A5F" w:rsidRPr="009B0D33">
        <w:t>.</w:t>
      </w:r>
    </w:p>
    <w:p w14:paraId="5F57D714" w14:textId="77777777" w:rsidR="00580A5F" w:rsidRPr="009B0D33" w:rsidRDefault="00B03DCA" w:rsidP="003156FB">
      <w:pPr>
        <w:pStyle w:val="ListBullet"/>
      </w:pPr>
      <w:r>
        <w:rPr>
          <w:b/>
          <w:i/>
        </w:rPr>
        <w:t>Chapter 4</w:t>
      </w:r>
      <w:r w:rsidR="00766235">
        <w:rPr>
          <w:b/>
          <w:i/>
        </w:rPr>
        <w:t xml:space="preserve">: </w:t>
      </w:r>
      <w:r>
        <w:rPr>
          <w:b/>
          <w:i/>
        </w:rPr>
        <w:t>National interest issues</w:t>
      </w:r>
      <w:r w:rsidR="00766235">
        <w:rPr>
          <w:b/>
          <w:i/>
        </w:rPr>
        <w:t>—</w:t>
      </w:r>
      <w:r>
        <w:t>information about the performance of the emergency call services, the cost of maintaining both communications interception capabilities</w:t>
      </w:r>
      <w:r w:rsidR="00766235">
        <w:t>,</w:t>
      </w:r>
      <w:r>
        <w:t xml:space="preserve"> and the disclosure of customer information in support of law enforcement and national security investigations</w:t>
      </w:r>
      <w:r w:rsidR="00580A5F" w:rsidRPr="009B0D33">
        <w:t>.</w:t>
      </w:r>
    </w:p>
    <w:p w14:paraId="47E2F7DA" w14:textId="77777777" w:rsidR="00580A5F" w:rsidRDefault="00B03DCA" w:rsidP="003156FB">
      <w:pPr>
        <w:pStyle w:val="ListBullet"/>
      </w:pPr>
      <w:r>
        <w:rPr>
          <w:b/>
          <w:i/>
        </w:rPr>
        <w:t>Chapter 5</w:t>
      </w:r>
      <w:r w:rsidR="00766235">
        <w:rPr>
          <w:b/>
          <w:i/>
        </w:rPr>
        <w:t xml:space="preserve">: </w:t>
      </w:r>
      <w:r>
        <w:rPr>
          <w:b/>
          <w:i/>
        </w:rPr>
        <w:t>Telecommunications consumer safeguards and quality of service</w:t>
      </w:r>
      <w:r w:rsidR="00766235">
        <w:t>—</w:t>
      </w:r>
      <w:r>
        <w:t>examines the performance of key communications safeguards. These include the Customer Service Guarantee Standard, priority assistance and the Network Reliability Framework</w:t>
      </w:r>
      <w:r w:rsidR="00766235">
        <w:t>;</w:t>
      </w:r>
      <w:r>
        <w:t xml:space="preserve"> the Do Not Call Register</w:t>
      </w:r>
      <w:r w:rsidR="00766235">
        <w:t>;</w:t>
      </w:r>
      <w:r>
        <w:t xml:space="preserve"> and related unwanted communications rules covering telemarketing and spam complaints. </w:t>
      </w:r>
      <w:r w:rsidR="00766235">
        <w:t>It</w:t>
      </w:r>
      <w:r>
        <w:t xml:space="preserve"> also examines number portability code compliance and complaints to the Telecommunications Industry Ombudsman (TIO</w:t>
      </w:r>
      <w:r w:rsidR="0091301D">
        <w:t>)</w:t>
      </w:r>
      <w:r w:rsidR="00580A5F" w:rsidRPr="009B0D33">
        <w:t>.</w:t>
      </w:r>
    </w:p>
    <w:p w14:paraId="694B3B03" w14:textId="77777777" w:rsidR="006B79C7" w:rsidRPr="00531CD0" w:rsidRDefault="006B79C7" w:rsidP="001E1DFC">
      <w:pPr>
        <w:pStyle w:val="Heading1"/>
      </w:pPr>
      <w:bookmarkStart w:id="60" w:name="_Toc465178898"/>
      <w:bookmarkStart w:id="61" w:name="_Toc465842809"/>
      <w:bookmarkStart w:id="62" w:name="_Toc500320873"/>
      <w:bookmarkStart w:id="63" w:name="_Toc462899507"/>
      <w:bookmarkStart w:id="64" w:name="_Toc463528988"/>
      <w:bookmarkEnd w:id="51"/>
      <w:r w:rsidRPr="00531CD0">
        <w:t>Executive summary</w:t>
      </w:r>
      <w:bookmarkEnd w:id="60"/>
      <w:bookmarkEnd w:id="61"/>
      <w:bookmarkEnd w:id="62"/>
      <w:r w:rsidRPr="00531CD0">
        <w:t xml:space="preserve"> </w:t>
      </w:r>
    </w:p>
    <w:p w14:paraId="0623D39C" w14:textId="77777777" w:rsidR="00F9303F" w:rsidRDefault="002330A2" w:rsidP="00F9303F">
      <w:pPr>
        <w:keepNext/>
      </w:pPr>
      <w:r w:rsidRPr="00194198">
        <w:t xml:space="preserve">The key </w:t>
      </w:r>
      <w:r w:rsidR="00E329E1">
        <w:t>themes</w:t>
      </w:r>
      <w:r w:rsidRPr="00194198">
        <w:t xml:space="preserve"> to emerge in this year’s</w:t>
      </w:r>
      <w:r>
        <w:t xml:space="preserve"> </w:t>
      </w:r>
      <w:r w:rsidRPr="00194198">
        <w:t>Communications report are expanding</w:t>
      </w:r>
      <w:r w:rsidR="00AB6341">
        <w:t xml:space="preserve"> </w:t>
      </w:r>
      <w:r w:rsidRPr="00194198">
        <w:t xml:space="preserve">digital connectivity, with an ever-increasing </w:t>
      </w:r>
      <w:r>
        <w:t xml:space="preserve">demand for, and </w:t>
      </w:r>
      <w:r w:rsidRPr="00194198">
        <w:t>use of</w:t>
      </w:r>
      <w:r>
        <w:t>,</w:t>
      </w:r>
      <w:r w:rsidRPr="00194198">
        <w:t xml:space="preserve"> content and services.</w:t>
      </w:r>
      <w:r>
        <w:t xml:space="preserve"> </w:t>
      </w:r>
    </w:p>
    <w:p w14:paraId="2779C245" w14:textId="77777777" w:rsidR="006B79C7" w:rsidRPr="00A36C11" w:rsidRDefault="007523FD" w:rsidP="001E1DFC">
      <w:pPr>
        <w:pStyle w:val="Heading2"/>
      </w:pPr>
      <w:bookmarkStart w:id="65" w:name="_Toc500320874"/>
      <w:r>
        <w:t>Key highlights for 20</w:t>
      </w:r>
      <w:r w:rsidR="00A02403">
        <w:t>16–</w:t>
      </w:r>
      <w:r>
        <w:t>17</w:t>
      </w:r>
      <w:bookmarkEnd w:id="65"/>
    </w:p>
    <w:p w14:paraId="051E8632" w14:textId="6A122C76" w:rsidR="006B79C7" w:rsidRPr="00074320" w:rsidRDefault="007523FD" w:rsidP="00720A8D">
      <w:pPr>
        <w:pStyle w:val="ListBullet"/>
      </w:pPr>
      <w:r w:rsidRPr="00074320">
        <w:t xml:space="preserve">Connectivity </w:t>
      </w:r>
      <w:r w:rsidR="00201102">
        <w:t xml:space="preserve">has </w:t>
      </w:r>
      <w:r w:rsidRPr="00074320">
        <w:t>continue</w:t>
      </w:r>
      <w:r w:rsidR="00A02403">
        <w:t>d</w:t>
      </w:r>
      <w:r w:rsidRPr="00074320">
        <w:t xml:space="preserve"> to intensify</w:t>
      </w:r>
      <w:r w:rsidR="00A02403">
        <w:t>—</w:t>
      </w:r>
      <w:r w:rsidR="00F9303F">
        <w:t xml:space="preserve">shown </w:t>
      </w:r>
      <w:r w:rsidR="00720A8D">
        <w:t xml:space="preserve">by </w:t>
      </w:r>
      <w:r w:rsidRPr="00074320">
        <w:t>an overwhelming majority of Australian adults</w:t>
      </w:r>
      <w:r w:rsidR="00A02403">
        <w:t xml:space="preserve"> (</w:t>
      </w:r>
      <w:r w:rsidRPr="00074320">
        <w:t>89</w:t>
      </w:r>
      <w:r w:rsidR="007A27B1">
        <w:t> </w:t>
      </w:r>
      <w:r w:rsidRPr="00074320">
        <w:t>per cent</w:t>
      </w:r>
      <w:r w:rsidR="00A02403">
        <w:t xml:space="preserve">) </w:t>
      </w:r>
      <w:r w:rsidRPr="00074320">
        <w:t>access</w:t>
      </w:r>
      <w:r w:rsidR="00720A8D">
        <w:t>ing</w:t>
      </w:r>
      <w:r w:rsidRPr="00074320">
        <w:t xml:space="preserve"> the internet</w:t>
      </w:r>
      <w:r w:rsidR="00720A8D">
        <w:t>, with universal access among</w:t>
      </w:r>
      <w:r w:rsidRPr="00074320">
        <w:t xml:space="preserve"> those aged 18</w:t>
      </w:r>
      <w:r w:rsidR="00A02403">
        <w:t>–</w:t>
      </w:r>
      <w:r w:rsidRPr="00074320">
        <w:t>34</w:t>
      </w:r>
      <w:r w:rsidR="00A02403">
        <w:t>. T</w:t>
      </w:r>
      <w:r w:rsidRPr="00074320">
        <w:t xml:space="preserve">his </w:t>
      </w:r>
      <w:r w:rsidR="00187066">
        <w:t>wa</w:t>
      </w:r>
      <w:r w:rsidRPr="00074320">
        <w:t xml:space="preserve">s reflected in the </w:t>
      </w:r>
      <w:r w:rsidR="00187066" w:rsidRPr="00074320">
        <w:t xml:space="preserve">increasing </w:t>
      </w:r>
      <w:r w:rsidRPr="00074320">
        <w:t xml:space="preserve">number of internet subscribers and </w:t>
      </w:r>
      <w:r w:rsidR="00F9303F">
        <w:t xml:space="preserve">growth </w:t>
      </w:r>
      <w:r w:rsidR="00720A8D">
        <w:t>in volume of data downloaded.</w:t>
      </w:r>
    </w:p>
    <w:p w14:paraId="7F0ED752" w14:textId="7BC80492" w:rsidR="006B79C7" w:rsidRPr="00074320" w:rsidRDefault="00AE04DB" w:rsidP="00AE04DB">
      <w:pPr>
        <w:pStyle w:val="ListBullet"/>
      </w:pPr>
      <w:r>
        <w:t>Consumers are diversifying their use of connected</w:t>
      </w:r>
      <w:r w:rsidR="00FE2EB6">
        <w:t xml:space="preserve"> </w:t>
      </w:r>
      <w:r w:rsidR="007523FD" w:rsidRPr="00074320">
        <w:t xml:space="preserve">devices, with smart TVs becoming increasingly popular </w:t>
      </w:r>
      <w:r w:rsidR="00971146">
        <w:t xml:space="preserve">as a way </w:t>
      </w:r>
      <w:r w:rsidR="007523FD" w:rsidRPr="00074320">
        <w:t xml:space="preserve">to access the internet. The year to June 2017 saw major telecommunications carriers making firm commitments for network investments, technology trials and commercial deployments of </w:t>
      </w:r>
      <w:r w:rsidR="00433A7C">
        <w:t>the Internet of Things (</w:t>
      </w:r>
      <w:r w:rsidR="003767C3">
        <w:t>I</w:t>
      </w:r>
      <w:r w:rsidR="007523FD" w:rsidRPr="00074320">
        <w:t>oT</w:t>
      </w:r>
      <w:r w:rsidR="00433A7C">
        <w:t>)</w:t>
      </w:r>
      <w:r w:rsidR="001E1DFC">
        <w:t>.</w:t>
      </w:r>
    </w:p>
    <w:p w14:paraId="7767569A" w14:textId="45C40547" w:rsidR="006B79C7" w:rsidRPr="00074320" w:rsidRDefault="007523FD" w:rsidP="00AE04DB">
      <w:pPr>
        <w:pStyle w:val="ListBullet"/>
      </w:pPr>
      <w:r w:rsidRPr="00AE04DB">
        <w:t>Subscriber</w:t>
      </w:r>
      <w:r w:rsidRPr="00074320">
        <w:t xml:space="preserve"> numbers to fixed networks increased, driven by the volume of premises connecting to the </w:t>
      </w:r>
      <w:r w:rsidR="0060443D">
        <w:t>National Broadband Network (</w:t>
      </w:r>
      <w:r w:rsidRPr="00074320">
        <w:t>NBN</w:t>
      </w:r>
      <w:r w:rsidR="0060443D">
        <w:t>)</w:t>
      </w:r>
      <w:r w:rsidRPr="00074320">
        <w:t xml:space="preserve">. Increased connections to the NBN were also reflected in </w:t>
      </w:r>
      <w:r w:rsidR="00201102">
        <w:t>the rising</w:t>
      </w:r>
      <w:r w:rsidR="002A661E">
        <w:t xml:space="preserve"> number of voice services subject to the Customer Service Guarantee</w:t>
      </w:r>
      <w:r w:rsidR="0060443D">
        <w:t xml:space="preserve"> (CSG)</w:t>
      </w:r>
      <w:r w:rsidR="002A661E">
        <w:t>.</w:t>
      </w:r>
    </w:p>
    <w:p w14:paraId="52724EDA" w14:textId="77777777" w:rsidR="00B308E5" w:rsidRPr="00074320" w:rsidRDefault="001400CF" w:rsidP="00AE04DB">
      <w:pPr>
        <w:pStyle w:val="ListBullet"/>
      </w:pPr>
      <w:r>
        <w:t>The</w:t>
      </w:r>
      <w:r w:rsidR="007523FD" w:rsidRPr="00074320">
        <w:t xml:space="preserve"> mobile phone</w:t>
      </w:r>
      <w:r w:rsidR="00A872D0">
        <w:t xml:space="preserve"> is </w:t>
      </w:r>
      <w:r w:rsidR="007523FD" w:rsidRPr="00074320">
        <w:t xml:space="preserve">now the most popular and most frequently used device to go online. </w:t>
      </w:r>
      <w:r w:rsidR="00A872D0">
        <w:t xml:space="preserve">The shift to mobile phone-only for communication continues, with </w:t>
      </w:r>
      <w:r w:rsidR="00E03F99">
        <w:t>6.67</w:t>
      </w:r>
      <w:r>
        <w:t> </w:t>
      </w:r>
      <w:r w:rsidR="007523FD" w:rsidRPr="00074320">
        <w:t>million Australian</w:t>
      </w:r>
      <w:r w:rsidR="00E03F99">
        <w:t xml:space="preserve"> adults</w:t>
      </w:r>
      <w:r w:rsidR="007523FD" w:rsidRPr="00074320">
        <w:t xml:space="preserve"> hav</w:t>
      </w:r>
      <w:r w:rsidR="001D088B">
        <w:t>ing</w:t>
      </w:r>
      <w:r w:rsidR="007523FD" w:rsidRPr="00074320">
        <w:t xml:space="preserve"> a mobile phone and no fixed-line telephone at home. The popularity of communications apps </w:t>
      </w:r>
      <w:r>
        <w:t>on</w:t>
      </w:r>
      <w:r w:rsidRPr="00074320">
        <w:t xml:space="preserve"> </w:t>
      </w:r>
      <w:r w:rsidR="007523FD" w:rsidRPr="00074320">
        <w:t xml:space="preserve">mobile phones </w:t>
      </w:r>
      <w:r w:rsidR="00201102">
        <w:t xml:space="preserve">has </w:t>
      </w:r>
      <w:r>
        <w:t xml:space="preserve">also </w:t>
      </w:r>
      <w:r w:rsidR="007523FD" w:rsidRPr="00074320">
        <w:t>continued</w:t>
      </w:r>
      <w:r>
        <w:t>,</w:t>
      </w:r>
      <w:r w:rsidR="007523FD" w:rsidRPr="00074320">
        <w:t xml:space="preserve"> </w:t>
      </w:r>
      <w:r w:rsidR="00A872D0">
        <w:t xml:space="preserve">with eight in </w:t>
      </w:r>
      <w:r w:rsidR="00201102">
        <w:t xml:space="preserve">10 </w:t>
      </w:r>
      <w:r w:rsidR="00A872D0">
        <w:t>internet users having used an app to communicate</w:t>
      </w:r>
      <w:r w:rsidR="00A251B2" w:rsidRPr="00074320">
        <w:t>.</w:t>
      </w:r>
    </w:p>
    <w:p w14:paraId="0647D33F" w14:textId="77777777" w:rsidR="007523FD" w:rsidRDefault="00A872D0" w:rsidP="00201102">
      <w:pPr>
        <w:pStyle w:val="ListBullet"/>
        <w:spacing w:after="240"/>
        <w:ind w:left="357" w:hanging="357"/>
      </w:pPr>
      <w:r w:rsidRPr="00201102">
        <w:t xml:space="preserve">Content </w:t>
      </w:r>
      <w:r w:rsidRPr="00FE2EB6">
        <w:t>us</w:t>
      </w:r>
      <w:r w:rsidRPr="00E329E1">
        <w:t>e</w:t>
      </w:r>
      <w:r>
        <w:t xml:space="preserve"> and</w:t>
      </w:r>
      <w:r w:rsidR="00201102">
        <w:t>,</w:t>
      </w:r>
      <w:r>
        <w:t xml:space="preserve"> more specifically</w:t>
      </w:r>
      <w:r w:rsidR="00201102">
        <w:t>,</w:t>
      </w:r>
      <w:r>
        <w:t xml:space="preserve"> demand for video content over the internet</w:t>
      </w:r>
      <w:r w:rsidR="00CF2EFF">
        <w:t>,</w:t>
      </w:r>
      <w:r>
        <w:t xml:space="preserve"> is increasing</w:t>
      </w:r>
      <w:r w:rsidR="00201102">
        <w:t>,</w:t>
      </w:r>
      <w:r>
        <w:t xml:space="preserve"> with 59</w:t>
      </w:r>
      <w:r w:rsidR="00201102">
        <w:t> </w:t>
      </w:r>
      <w:r>
        <w:t xml:space="preserve">per cent of Australians having watched content online at June 2017. </w:t>
      </w:r>
      <w:r w:rsidR="00FE2EB6">
        <w:t>S</w:t>
      </w:r>
      <w:r w:rsidR="007523FD">
        <w:t xml:space="preserve">ervice providers </w:t>
      </w:r>
      <w:r w:rsidR="00FE2EB6">
        <w:t xml:space="preserve">are responding by </w:t>
      </w:r>
      <w:r w:rsidR="007523FD" w:rsidRPr="00074320">
        <w:t>expanding</w:t>
      </w:r>
      <w:r w:rsidR="007523FD">
        <w:t xml:space="preserve"> platforms and services to meet their customers’ online needs</w:t>
      </w:r>
      <w:r w:rsidR="001D088B">
        <w:t xml:space="preserve">. </w:t>
      </w:r>
      <w:r w:rsidR="00883158">
        <w:t xml:space="preserve">Australians continue to spend a majority of their viewing time watching broadcast television. </w:t>
      </w:r>
    </w:p>
    <w:p w14:paraId="0C7FC765" w14:textId="1D927D0C" w:rsidR="006C1601" w:rsidRPr="00F26A55" w:rsidRDefault="006C1601" w:rsidP="001E1DFC">
      <w:pPr>
        <w:pStyle w:val="Heading2"/>
      </w:pPr>
      <w:bookmarkStart w:id="66" w:name="_Toc500320875"/>
      <w:bookmarkEnd w:id="63"/>
      <w:bookmarkEnd w:id="64"/>
      <w:r w:rsidRPr="00F26A55">
        <w:t>Infrastructure investment</w:t>
      </w:r>
      <w:r w:rsidR="00342A8A">
        <w:t xml:space="preserve"> increases</w:t>
      </w:r>
      <w:bookmarkEnd w:id="66"/>
    </w:p>
    <w:p w14:paraId="1D112750" w14:textId="77777777" w:rsidR="006C1601" w:rsidRPr="00AB6AC0" w:rsidRDefault="00884EF5" w:rsidP="006C1601">
      <w:r>
        <w:t>In 2016–17, p</w:t>
      </w:r>
      <w:r w:rsidR="006C1601">
        <w:t>roviders continue</w:t>
      </w:r>
      <w:r w:rsidR="003E5F1C">
        <w:t>d</w:t>
      </w:r>
      <w:r w:rsidR="006C1601">
        <w:t xml:space="preserve"> to invest heavily in networks to meet the continued and unabated demand for data. </w:t>
      </w:r>
      <w:r w:rsidR="003E5F1C">
        <w:t>The v</w:t>
      </w:r>
      <w:r w:rsidR="006C1601" w:rsidRPr="00AB6AC0">
        <w:t>olume of data downloaded has continued its exponential increase for more than a decade, reaching 3.171</w:t>
      </w:r>
      <w:r w:rsidR="003E5F1C">
        <w:t> </w:t>
      </w:r>
      <w:r w:rsidR="006C1601" w:rsidRPr="00AB6AC0">
        <w:t xml:space="preserve">million terabytes </w:t>
      </w:r>
      <w:r w:rsidR="00C426AE">
        <w:t xml:space="preserve">in the June 2017 quarter </w:t>
      </w:r>
      <w:r w:rsidR="006C1601" w:rsidRPr="00AB6AC0">
        <w:t>over both fixed and mobile networks</w:t>
      </w:r>
      <w:r w:rsidR="006C1601" w:rsidRPr="00F116BA">
        <w:t xml:space="preserve"> </w:t>
      </w:r>
      <w:r w:rsidR="006C1601">
        <w:t xml:space="preserve">(up </w:t>
      </w:r>
      <w:r w:rsidR="006C1601" w:rsidRPr="00AB6AC0">
        <w:t>4</w:t>
      </w:r>
      <w:r w:rsidR="006C1601">
        <w:t>3</w:t>
      </w:r>
      <w:r w:rsidR="003E5F1C">
        <w:t> </w:t>
      </w:r>
      <w:r w:rsidR="006C1601" w:rsidRPr="00AB6AC0">
        <w:t>per cent</w:t>
      </w:r>
      <w:r w:rsidR="00C426AE">
        <w:t xml:space="preserve"> from the June 2016 quarter</w:t>
      </w:r>
      <w:r w:rsidR="006C1601">
        <w:t>)</w:t>
      </w:r>
      <w:r w:rsidR="006C1601" w:rsidRPr="00AB6AC0">
        <w:t>.</w:t>
      </w:r>
    </w:p>
    <w:p w14:paraId="361DF5B0" w14:textId="77777777" w:rsidR="006C1601" w:rsidRDefault="006C1601" w:rsidP="006C1601">
      <w:r>
        <w:t xml:space="preserve">Operators of mobile networks </w:t>
      </w:r>
      <w:r w:rsidR="00884EF5">
        <w:t xml:space="preserve">now </w:t>
      </w:r>
      <w:r>
        <w:t>cover between 96 and 99</w:t>
      </w:r>
      <w:r w:rsidR="003E5F1C">
        <w:t> </w:t>
      </w:r>
      <w:r>
        <w:t>per cent of the Australian population</w:t>
      </w:r>
      <w:r w:rsidR="003E5F1C">
        <w:t xml:space="preserve"> and </w:t>
      </w:r>
      <w:r w:rsidR="00884EF5">
        <w:t xml:space="preserve">have </w:t>
      </w:r>
      <w:r>
        <w:t>announc</w:t>
      </w:r>
      <w:r w:rsidR="003E5F1C">
        <w:t>ed</w:t>
      </w:r>
      <w:r>
        <w:t xml:space="preserve"> over </w:t>
      </w:r>
      <w:r w:rsidR="003E5F1C">
        <w:t>$2 </w:t>
      </w:r>
      <w:r>
        <w:t>billion of investments in improvements to 4G networks. O</w:t>
      </w:r>
      <w:r w:rsidRPr="00F26A55">
        <w:t>perator</w:t>
      </w:r>
      <w:r>
        <w:t>s are conducting technology trials for the next wave of mobile developments including 5G</w:t>
      </w:r>
      <w:r w:rsidRPr="00F26A55">
        <w:t>, while closing legacy systems such as the 2G network</w:t>
      </w:r>
      <w:r>
        <w:t xml:space="preserve">, and exploring </w:t>
      </w:r>
      <w:r w:rsidRPr="00966880">
        <w:t xml:space="preserve">emerging mobile technologies, particularly </w:t>
      </w:r>
      <w:r w:rsidRPr="00966880">
        <w:rPr>
          <w:rFonts w:eastAsiaTheme="minorHAnsi" w:cs="Arial"/>
          <w:color w:val="000000" w:themeColor="text1"/>
          <w:szCs w:val="20"/>
          <w:lang w:eastAsia="en-US"/>
        </w:rPr>
        <w:t>Voice over Wi</w:t>
      </w:r>
      <w:r w:rsidR="00201102">
        <w:rPr>
          <w:rFonts w:eastAsiaTheme="minorHAnsi" w:cs="Arial"/>
          <w:color w:val="000000" w:themeColor="text1"/>
          <w:szCs w:val="20"/>
          <w:lang w:eastAsia="en-US"/>
        </w:rPr>
        <w:noBreakHyphen/>
      </w:r>
      <w:r w:rsidRPr="00966880">
        <w:rPr>
          <w:rFonts w:eastAsiaTheme="minorHAnsi" w:cs="Arial"/>
          <w:color w:val="000000" w:themeColor="text1"/>
          <w:szCs w:val="20"/>
          <w:lang w:eastAsia="en-US"/>
        </w:rPr>
        <w:t>Fi (VoWiFi) product offering</w:t>
      </w:r>
      <w:r>
        <w:rPr>
          <w:rFonts w:eastAsiaTheme="minorHAnsi" w:cs="Arial"/>
          <w:color w:val="000000" w:themeColor="text1"/>
          <w:szCs w:val="20"/>
          <w:lang w:eastAsia="en-US"/>
        </w:rPr>
        <w:t>s and</w:t>
      </w:r>
      <w:r w:rsidRPr="00966880">
        <w:t xml:space="preserve"> </w:t>
      </w:r>
      <w:r w:rsidR="003D5087">
        <w:t xml:space="preserve">Long Term Evolution </w:t>
      </w:r>
      <w:r w:rsidRPr="00966880">
        <w:t>broadcast (LTE-B) technology</w:t>
      </w:r>
      <w:r w:rsidRPr="00F26A55">
        <w:t xml:space="preserve">. </w:t>
      </w:r>
    </w:p>
    <w:p w14:paraId="366741AC" w14:textId="77777777" w:rsidR="006C1601" w:rsidRDefault="006C1601" w:rsidP="006C1601">
      <w:r>
        <w:t>T</w:t>
      </w:r>
      <w:r w:rsidRPr="00097BC2">
        <w:t xml:space="preserve">he Mobile Black Spot Program continued to deliver </w:t>
      </w:r>
      <w:r w:rsidR="00D00D60">
        <w:t xml:space="preserve">new </w:t>
      </w:r>
      <w:r>
        <w:t>mobile base stations</w:t>
      </w:r>
      <w:r w:rsidR="00D00D60">
        <w:t xml:space="preserve"> across Australia. In addition to the $160 million committed to rounds 1 and 2 of the program, </w:t>
      </w:r>
      <w:r>
        <w:t xml:space="preserve">the government </w:t>
      </w:r>
      <w:r w:rsidR="00D00D60">
        <w:t>committed</w:t>
      </w:r>
      <w:r w:rsidR="00D00D60" w:rsidRPr="00966880">
        <w:t xml:space="preserve"> </w:t>
      </w:r>
      <w:r w:rsidRPr="00966880">
        <w:t>a further $60</w:t>
      </w:r>
      <w:r w:rsidR="00884EF5">
        <w:t> </w:t>
      </w:r>
      <w:r w:rsidRPr="00966880">
        <w:t>mi</w:t>
      </w:r>
      <w:r w:rsidR="00884EF5">
        <w:t>llion</w:t>
      </w:r>
      <w:r w:rsidRPr="00966880">
        <w:t xml:space="preserve"> to target 125 specific priority locations across Australia</w:t>
      </w:r>
      <w:r>
        <w:t>.</w:t>
      </w:r>
    </w:p>
    <w:p w14:paraId="324F2A11" w14:textId="60617941" w:rsidR="006C1601" w:rsidRPr="00F26A55" w:rsidRDefault="006C1601" w:rsidP="006C1601">
      <w:r>
        <w:t>The fixed network rollout accelerated in 2016–17, with the number of premises activated over the NBN increasing by over 1.34</w:t>
      </w:r>
      <w:r w:rsidR="00770E80">
        <w:t> </w:t>
      </w:r>
      <w:r>
        <w:t>million to reach a total of 2.44</w:t>
      </w:r>
      <w:r w:rsidR="00770E80">
        <w:t> </w:t>
      </w:r>
      <w:r>
        <w:t xml:space="preserve">million at the end of June 2017. </w:t>
      </w:r>
      <w:r w:rsidR="008D6BB4">
        <w:t>The declining trend in fixed-line services in operation has slowed for the second year in a row</w:t>
      </w:r>
      <w:r>
        <w:t xml:space="preserve">, largely </w:t>
      </w:r>
      <w:r w:rsidRPr="00B11F44">
        <w:t xml:space="preserve">driven by </w:t>
      </w:r>
      <w:r>
        <w:t>NBN</w:t>
      </w:r>
      <w:r w:rsidRPr="00B11F44">
        <w:t xml:space="preserve"> fixed</w:t>
      </w:r>
      <w:r w:rsidR="00770E80">
        <w:t>-</w:t>
      </w:r>
      <w:r w:rsidRPr="00B11F44">
        <w:t>voice connections.</w:t>
      </w:r>
      <w:r>
        <w:t xml:space="preserve"> </w:t>
      </w:r>
      <w:r w:rsidR="00770E80" w:rsidRPr="00803702">
        <w:t>NBN Co</w:t>
      </w:r>
      <w:r w:rsidRPr="00803702">
        <w:t xml:space="preserve"> </w:t>
      </w:r>
      <w:r w:rsidR="00803702">
        <w:t xml:space="preserve">Limited (NBN Co) </w:t>
      </w:r>
      <w:r>
        <w:t>also announced a new type of technology to be added to its multi-technology mix—</w:t>
      </w:r>
      <w:r w:rsidRPr="00F26A55">
        <w:t>fibre</w:t>
      </w:r>
      <w:r w:rsidR="00770E80">
        <w:t>-</w:t>
      </w:r>
      <w:r w:rsidRPr="00F26A55">
        <w:t>to</w:t>
      </w:r>
      <w:r w:rsidR="00770E80">
        <w:t>-</w:t>
      </w:r>
      <w:r w:rsidRPr="00F26A55">
        <w:t>the</w:t>
      </w:r>
      <w:r w:rsidR="00770E80">
        <w:t>-</w:t>
      </w:r>
      <w:r w:rsidRPr="00F26A55">
        <w:t>distribution</w:t>
      </w:r>
      <w:r w:rsidR="00770E80">
        <w:t>-</w:t>
      </w:r>
      <w:r w:rsidRPr="00F26A55">
        <w:t>point (FTTdp)</w:t>
      </w:r>
      <w:r w:rsidR="00770E80">
        <w:t>,</w:t>
      </w:r>
      <w:r w:rsidRPr="00F26A55">
        <w:t xml:space="preserve"> also known as fibre</w:t>
      </w:r>
      <w:r w:rsidR="00770E80">
        <w:t>-</w:t>
      </w:r>
      <w:r w:rsidRPr="00F26A55">
        <w:t>to</w:t>
      </w:r>
      <w:r w:rsidR="00770E80">
        <w:t>-</w:t>
      </w:r>
      <w:r w:rsidRPr="00F26A55">
        <w:t>the</w:t>
      </w:r>
      <w:r w:rsidR="00770E80">
        <w:t>-</w:t>
      </w:r>
      <w:r w:rsidRPr="00F26A55">
        <w:t>curb (FTTC</w:t>
      </w:r>
      <w:r w:rsidR="008D6BB4">
        <w:t>)</w:t>
      </w:r>
      <w:r w:rsidR="00826E1B">
        <w:t>.</w:t>
      </w:r>
    </w:p>
    <w:p w14:paraId="220DAC10" w14:textId="77777777" w:rsidR="006C1601" w:rsidRPr="00F26A55" w:rsidRDefault="006C1601" w:rsidP="006C1601">
      <w:r w:rsidRPr="00F26A55">
        <w:t xml:space="preserve">New submarine cable </w:t>
      </w:r>
      <w:r>
        <w:t>infrastructure investments were c</w:t>
      </w:r>
      <w:r w:rsidRPr="00F26A55">
        <w:t>onfirmed—</w:t>
      </w:r>
      <w:r>
        <w:t xml:space="preserve">a </w:t>
      </w:r>
      <w:r w:rsidRPr="00F26A55">
        <w:t xml:space="preserve">contract </w:t>
      </w:r>
      <w:r>
        <w:t>was</w:t>
      </w:r>
      <w:r w:rsidRPr="00F26A55">
        <w:t xml:space="preserve"> finalised to build the Australia Singapore Cable system, connecting Perth to Jakarta and Singapore</w:t>
      </w:r>
      <w:r>
        <w:t>, and designed to carry 40</w:t>
      </w:r>
      <w:r w:rsidR="00770E80">
        <w:t> </w:t>
      </w:r>
      <w:r>
        <w:t>terabytes per second at a minimum across four fibre pairs.</w:t>
      </w:r>
    </w:p>
    <w:p w14:paraId="018EAC25" w14:textId="77777777" w:rsidR="006C1601" w:rsidRPr="00576C53" w:rsidRDefault="006C1601" w:rsidP="001E1DFC">
      <w:pPr>
        <w:pStyle w:val="Heading2"/>
      </w:pPr>
      <w:bookmarkStart w:id="67" w:name="_Toc500320876"/>
      <w:r w:rsidRPr="00576C53">
        <w:t xml:space="preserve">From Internet of </w:t>
      </w:r>
      <w:r w:rsidR="00770E80">
        <w:t>T</w:t>
      </w:r>
      <w:r w:rsidRPr="00576C53">
        <w:t>hings to internet of every thing</w:t>
      </w:r>
      <w:bookmarkEnd w:id="67"/>
    </w:p>
    <w:p w14:paraId="596EC21C" w14:textId="77777777" w:rsidR="006C1601" w:rsidRPr="00575318" w:rsidRDefault="006C1601" w:rsidP="006C1601">
      <w:r>
        <w:t xml:space="preserve">The IoT is moving mainstream. The year to June 2017 saw Australia’s telecommunications carriers make firm commitments for network investments, technology trials and commercial deployments of IoT. </w:t>
      </w:r>
      <w:r>
        <w:rPr>
          <w:lang w:val="en"/>
        </w:rPr>
        <w:t xml:space="preserve">Telstra announced plans to build </w:t>
      </w:r>
      <w:r w:rsidR="00074320">
        <w:rPr>
          <w:lang w:val="en"/>
        </w:rPr>
        <w:t>a</w:t>
      </w:r>
      <w:r>
        <w:rPr>
          <w:lang w:val="en"/>
        </w:rPr>
        <w:t xml:space="preserve"> </w:t>
      </w:r>
      <w:r w:rsidR="00074320">
        <w:rPr>
          <w:lang w:val="en"/>
        </w:rPr>
        <w:t>n</w:t>
      </w:r>
      <w:r>
        <w:rPr>
          <w:lang w:val="en"/>
        </w:rPr>
        <w:t>ational IoT network in partnership with Ericsson</w:t>
      </w:r>
      <w:r>
        <w:t xml:space="preserve">. </w:t>
      </w:r>
      <w:r>
        <w:rPr>
          <w:lang w:val="en"/>
        </w:rPr>
        <w:t>Vodafone completed a successful trial of Narrowband Internet of Things (NB-IoT) technology with utilities and technology partners, with plans to launch commercial services in Melbourne late in 2017. Optus completed its NB-IoT trial early in 2017</w:t>
      </w:r>
      <w:r w:rsidR="00770E80">
        <w:rPr>
          <w:lang w:val="en"/>
        </w:rPr>
        <w:t xml:space="preserve"> (</w:t>
      </w:r>
      <w:r>
        <w:rPr>
          <w:lang w:val="en"/>
        </w:rPr>
        <w:t>a date for the launch of its services</w:t>
      </w:r>
      <w:r w:rsidR="00770E80">
        <w:rPr>
          <w:lang w:val="en"/>
        </w:rPr>
        <w:t xml:space="preserve"> had not been announced </w:t>
      </w:r>
      <w:r>
        <w:rPr>
          <w:lang w:val="en"/>
        </w:rPr>
        <w:t xml:space="preserve">at the time of </w:t>
      </w:r>
      <w:r w:rsidR="00770E80">
        <w:rPr>
          <w:lang w:val="en"/>
        </w:rPr>
        <w:t>publication)</w:t>
      </w:r>
      <w:r>
        <w:rPr>
          <w:lang w:val="en"/>
        </w:rPr>
        <w:t>.</w:t>
      </w:r>
    </w:p>
    <w:p w14:paraId="09198EA2" w14:textId="7D2C8107" w:rsidR="006C1601" w:rsidRDefault="006C1601" w:rsidP="006C1601">
      <w:r>
        <w:rPr>
          <w:lang w:val="en"/>
        </w:rPr>
        <w:t xml:space="preserve">The adoption of the IoT in Australia </w:t>
      </w:r>
      <w:r w:rsidR="00770E80">
        <w:rPr>
          <w:lang w:val="en"/>
        </w:rPr>
        <w:t xml:space="preserve">has </w:t>
      </w:r>
      <w:r>
        <w:rPr>
          <w:lang w:val="en"/>
        </w:rPr>
        <w:t>gr</w:t>
      </w:r>
      <w:r w:rsidR="00770E80">
        <w:rPr>
          <w:lang w:val="en"/>
        </w:rPr>
        <w:t>own</w:t>
      </w:r>
      <w:r>
        <w:rPr>
          <w:lang w:val="en"/>
        </w:rPr>
        <w:t xml:space="preserve"> rapidly</w:t>
      </w:r>
      <w:r w:rsidR="00770E80">
        <w:rPr>
          <w:lang w:val="en"/>
        </w:rPr>
        <w:t>,</w:t>
      </w:r>
      <w:r>
        <w:rPr>
          <w:lang w:val="en"/>
        </w:rPr>
        <w:t xml:space="preserve"> with the technology embraced across industries and locations</w:t>
      </w:r>
      <w:r w:rsidR="00770E80">
        <w:rPr>
          <w:lang w:val="en"/>
        </w:rPr>
        <w:t>—</w:t>
      </w:r>
      <w:r>
        <w:rPr>
          <w:lang w:val="en"/>
        </w:rPr>
        <w:t xml:space="preserve">from smart bins in Bondi to monitoring water tanks on rural properties. </w:t>
      </w:r>
      <w:r>
        <w:t xml:space="preserve">Consumers have also </w:t>
      </w:r>
      <w:r w:rsidR="00B23C52">
        <w:t>adopted</w:t>
      </w:r>
      <w:r>
        <w:t xml:space="preserve"> IoT technology, with </w:t>
      </w:r>
      <w:r w:rsidRPr="003C64B3">
        <w:t xml:space="preserve">an </w:t>
      </w:r>
      <w:r w:rsidRPr="003B06F0">
        <w:t>increase</w:t>
      </w:r>
      <w:r>
        <w:t xml:space="preserve">d proportion of </w:t>
      </w:r>
      <w:r w:rsidR="00B23C52">
        <w:t xml:space="preserve">Australian </w:t>
      </w:r>
      <w:r>
        <w:t>adults connecting smart TVs</w:t>
      </w:r>
      <w:r w:rsidRPr="003B06F0">
        <w:t xml:space="preserve"> to go online</w:t>
      </w:r>
      <w:r>
        <w:t xml:space="preserve"> within the home</w:t>
      </w:r>
      <w:r w:rsidRPr="003C64B3">
        <w:t>.</w:t>
      </w:r>
      <w:r>
        <w:t xml:space="preserve"> </w:t>
      </w:r>
    </w:p>
    <w:p w14:paraId="34818F5B" w14:textId="77777777" w:rsidR="00D7334E" w:rsidRDefault="006C1601" w:rsidP="006C1601">
      <w:pPr>
        <w:rPr>
          <w:lang w:val="en"/>
        </w:rPr>
      </w:pPr>
      <w:r>
        <w:rPr>
          <w:lang w:val="en"/>
        </w:rPr>
        <w:t>Industry forecasts indicate that 29</w:t>
      </w:r>
      <w:r w:rsidR="00770E80">
        <w:rPr>
          <w:lang w:val="en"/>
        </w:rPr>
        <w:t> </w:t>
      </w:r>
      <w:r>
        <w:rPr>
          <w:lang w:val="en"/>
        </w:rPr>
        <w:t xml:space="preserve">billion devices will be connected </w:t>
      </w:r>
      <w:r w:rsidR="00A40EC3" w:rsidRPr="008E2A9E">
        <w:rPr>
          <w:lang w:val="en"/>
        </w:rPr>
        <w:t>worldwide</w:t>
      </w:r>
      <w:r w:rsidR="00A40EC3">
        <w:rPr>
          <w:lang w:val="en"/>
        </w:rPr>
        <w:t xml:space="preserve"> </w:t>
      </w:r>
      <w:r>
        <w:rPr>
          <w:lang w:val="en"/>
        </w:rPr>
        <w:t>by 2022, of which 18</w:t>
      </w:r>
      <w:r w:rsidR="00770E80">
        <w:rPr>
          <w:lang w:val="en"/>
        </w:rPr>
        <w:t> </w:t>
      </w:r>
      <w:r>
        <w:rPr>
          <w:lang w:val="en"/>
        </w:rPr>
        <w:t>billion will relate to IoT.</w:t>
      </w:r>
    </w:p>
    <w:p w14:paraId="696559DE" w14:textId="77777777" w:rsidR="006C1601" w:rsidRPr="00172F7A" w:rsidRDefault="00C72E4F" w:rsidP="001E1DFC">
      <w:pPr>
        <w:pStyle w:val="Heading2"/>
      </w:pPr>
      <w:bookmarkStart w:id="68" w:name="_Toc500320877"/>
      <w:r>
        <w:t>Ongoing</w:t>
      </w:r>
      <w:r w:rsidR="006C1601" w:rsidRPr="00172F7A">
        <w:t xml:space="preserve"> shift to mobile</w:t>
      </w:r>
      <w:bookmarkEnd w:id="68"/>
    </w:p>
    <w:p w14:paraId="7035823F" w14:textId="77777777" w:rsidR="006C1601" w:rsidRDefault="006C1601" w:rsidP="006C1601">
      <w:r>
        <w:t>In June 2017, 36</w:t>
      </w:r>
      <w:r w:rsidRPr="00F26A55">
        <w:t xml:space="preserve"> per cent of </w:t>
      </w:r>
      <w:r>
        <w:t>Australian</w:t>
      </w:r>
      <w:r w:rsidRPr="00F26A55">
        <w:t xml:space="preserve"> </w:t>
      </w:r>
      <w:r>
        <w:t>adults were</w:t>
      </w:r>
      <w:r w:rsidRPr="00F26A55">
        <w:t xml:space="preserve"> </w:t>
      </w:r>
      <w:r>
        <w:t>mobile-phone</w:t>
      </w:r>
      <w:r w:rsidR="006B7F97">
        <w:t>-</w:t>
      </w:r>
      <w:r>
        <w:t xml:space="preserve">only, going </w:t>
      </w:r>
      <w:r w:rsidRPr="00F26A55">
        <w:t>without a fixed-line telephone in their home</w:t>
      </w:r>
      <w:r>
        <w:t xml:space="preserve">. </w:t>
      </w:r>
    </w:p>
    <w:p w14:paraId="4FD29A9B" w14:textId="77777777" w:rsidR="006C1601" w:rsidRPr="007950E4" w:rsidRDefault="006C1601" w:rsidP="006C1601">
      <w:r>
        <w:t>W</w:t>
      </w:r>
      <w:r w:rsidRPr="007950E4">
        <w:t xml:space="preserve">hile mobile phone use appears to have reached saturation levels, </w:t>
      </w:r>
      <w:r>
        <w:t>demand for smartphones</w:t>
      </w:r>
      <w:r w:rsidRPr="007950E4">
        <w:t xml:space="preserve"> continue</w:t>
      </w:r>
      <w:r>
        <w:t>s</w:t>
      </w:r>
      <w:r w:rsidRPr="007950E4">
        <w:t xml:space="preserve"> to increase</w:t>
      </w:r>
      <w:r>
        <w:t xml:space="preserve">. </w:t>
      </w:r>
      <w:r w:rsidR="006B7F97">
        <w:t>At June 2017, e</w:t>
      </w:r>
      <w:r w:rsidRPr="007950E4">
        <w:t xml:space="preserve">ight in </w:t>
      </w:r>
      <w:r w:rsidR="006B7F97">
        <w:t>10</w:t>
      </w:r>
      <w:r w:rsidRPr="007950E4">
        <w:t xml:space="preserve"> (81 per cent) Australian adults </w:t>
      </w:r>
      <w:r>
        <w:t xml:space="preserve">owned a smartphone, </w:t>
      </w:r>
      <w:r w:rsidRPr="007950E4">
        <w:t>up 17</w:t>
      </w:r>
      <w:r w:rsidR="006B7F97">
        <w:t> </w:t>
      </w:r>
      <w:r w:rsidRPr="007950E4">
        <w:t>percentage points from 64</w:t>
      </w:r>
      <w:r w:rsidR="006B7F97">
        <w:t> </w:t>
      </w:r>
      <w:r w:rsidRPr="007950E4">
        <w:t>per cent five years ago</w:t>
      </w:r>
      <w:r>
        <w:t xml:space="preserve">. This </w:t>
      </w:r>
      <w:r w:rsidRPr="007950E4">
        <w:t>reflect</w:t>
      </w:r>
      <w:r w:rsidR="006B7F97">
        <w:t>s</w:t>
      </w:r>
      <w:r w:rsidRPr="007950E4">
        <w:t xml:space="preserve"> consumer demand for new technologies rather than an increase in subscriber numbers. </w:t>
      </w:r>
    </w:p>
    <w:p w14:paraId="5D81FF8D" w14:textId="794896FF" w:rsidR="006C1601" w:rsidRPr="00172F7A" w:rsidRDefault="006C1601" w:rsidP="006C1601">
      <w:r>
        <w:t>M</w:t>
      </w:r>
      <w:r w:rsidRPr="00172F7A">
        <w:t xml:space="preserve">obile phones </w:t>
      </w:r>
      <w:r>
        <w:t xml:space="preserve">were </w:t>
      </w:r>
      <w:r w:rsidRPr="00172F7A">
        <w:t xml:space="preserve">clearly the most used device to access the internet, both in terms of </w:t>
      </w:r>
      <w:r>
        <w:t xml:space="preserve">the </w:t>
      </w:r>
      <w:r w:rsidRPr="00172F7A">
        <w:t>proportion of</w:t>
      </w:r>
      <w:r w:rsidR="004F3D89">
        <w:t> </w:t>
      </w:r>
      <w:r w:rsidRPr="00172F7A">
        <w:t>people using and frequency of use</w:t>
      </w:r>
      <w:r>
        <w:t xml:space="preserve">. </w:t>
      </w:r>
      <w:r w:rsidR="001E69FC">
        <w:t>Eighty-four</w:t>
      </w:r>
      <w:r w:rsidR="006B7F97">
        <w:t> </w:t>
      </w:r>
      <w:r w:rsidR="001E69FC">
        <w:t>per cent of</w:t>
      </w:r>
      <w:r>
        <w:t xml:space="preserve"> online Australians used a mobile to access the internet at least once a day</w:t>
      </w:r>
      <w:r w:rsidR="006B7F97">
        <w:t>,</w:t>
      </w:r>
      <w:r>
        <w:t xml:space="preserve"> well ahead of laptop computers (69</w:t>
      </w:r>
      <w:r w:rsidR="006B7F97">
        <w:t> </w:t>
      </w:r>
      <w:r>
        <w:t>per cent) and desktop computers (54</w:t>
      </w:r>
      <w:r w:rsidR="006B7F97">
        <w:t> </w:t>
      </w:r>
      <w:r>
        <w:t>per cent).</w:t>
      </w:r>
    </w:p>
    <w:p w14:paraId="5F35BCDB" w14:textId="77777777" w:rsidR="006C1601" w:rsidRDefault="006C1601" w:rsidP="006C1601">
      <w:r w:rsidRPr="00172F7A">
        <w:t xml:space="preserve">Apps proved a popular way to communicate with family and friends. </w:t>
      </w:r>
      <w:r w:rsidR="006B7F97">
        <w:t>I</w:t>
      </w:r>
      <w:r w:rsidR="006B7F97" w:rsidRPr="00172F7A">
        <w:t>n the six months to June 2017</w:t>
      </w:r>
      <w:r w:rsidR="006B7F97">
        <w:t>, 88 </w:t>
      </w:r>
      <w:r w:rsidRPr="00172F7A">
        <w:t>per cent of online Australians used an app to communicate via either messages or voice or video calls.</w:t>
      </w:r>
    </w:p>
    <w:p w14:paraId="2B9B0855" w14:textId="77777777" w:rsidR="006C1601" w:rsidRPr="000E09BD" w:rsidRDefault="00C72E4F" w:rsidP="001E1DFC">
      <w:pPr>
        <w:pStyle w:val="Heading2"/>
      </w:pPr>
      <w:bookmarkStart w:id="69" w:name="_Toc500320878"/>
      <w:r>
        <w:t>C</w:t>
      </w:r>
      <w:r w:rsidR="006C1601" w:rsidRPr="003B06F0">
        <w:t xml:space="preserve">ontinued intensity of </w:t>
      </w:r>
      <w:r w:rsidR="006B7F97">
        <w:t>i</w:t>
      </w:r>
      <w:r w:rsidR="006C1601" w:rsidRPr="003B06F0">
        <w:t>nternet</w:t>
      </w:r>
      <w:r w:rsidR="006C1601" w:rsidRPr="000E09BD">
        <w:t xml:space="preserve"> use</w:t>
      </w:r>
      <w:bookmarkEnd w:id="69"/>
      <w:r w:rsidR="006C1601" w:rsidRPr="000E09BD">
        <w:t xml:space="preserve"> </w:t>
      </w:r>
    </w:p>
    <w:p w14:paraId="759B787F" w14:textId="77777777" w:rsidR="006C1601" w:rsidRPr="003C64B3" w:rsidRDefault="006C1601" w:rsidP="006C1601">
      <w:r w:rsidRPr="003C64B3">
        <w:t xml:space="preserve">The majority of </w:t>
      </w:r>
      <w:r w:rsidRPr="00B6638C">
        <w:t>Australian</w:t>
      </w:r>
      <w:r w:rsidRPr="003B06F0">
        <w:t xml:space="preserve"> adult</w:t>
      </w:r>
      <w:r w:rsidRPr="000E09BD">
        <w:t xml:space="preserve">s </w:t>
      </w:r>
      <w:r>
        <w:t>are</w:t>
      </w:r>
      <w:r w:rsidRPr="000E09BD">
        <w:t xml:space="preserve"> frequent internet users and </w:t>
      </w:r>
      <w:r w:rsidR="00BC45FB">
        <w:t>go online</w:t>
      </w:r>
      <w:r w:rsidRPr="000E09BD">
        <w:t xml:space="preserve"> multiple times a da</w:t>
      </w:r>
      <w:r w:rsidRPr="000E09BD">
        <w:rPr>
          <w:rFonts w:cs="Arial"/>
        </w:rPr>
        <w:t xml:space="preserve">y. </w:t>
      </w:r>
      <w:r>
        <w:t>I</w:t>
      </w:r>
      <w:r w:rsidRPr="003B06F0">
        <w:t>n the six months to June 2017</w:t>
      </w:r>
      <w:r>
        <w:t>, 89</w:t>
      </w:r>
      <w:r w:rsidR="00C76808">
        <w:t> </w:t>
      </w:r>
      <w:r w:rsidRPr="003B06F0">
        <w:t>per</w:t>
      </w:r>
      <w:r w:rsidR="00C76808">
        <w:t xml:space="preserve"> </w:t>
      </w:r>
      <w:r w:rsidRPr="003B06F0">
        <w:t xml:space="preserve">cent accessed the </w:t>
      </w:r>
      <w:r w:rsidR="003C12AA">
        <w:t>internet</w:t>
      </w:r>
      <w:r w:rsidR="00A26AA5">
        <w:t xml:space="preserve">, increasing to all of those </w:t>
      </w:r>
      <w:r w:rsidR="00C76808">
        <w:t xml:space="preserve">aged </w:t>
      </w:r>
      <w:r w:rsidRPr="003B06F0">
        <w:t>18</w:t>
      </w:r>
      <w:r w:rsidR="00C76808">
        <w:t xml:space="preserve"> to </w:t>
      </w:r>
      <w:r w:rsidRPr="003B06F0">
        <w:t>34</w:t>
      </w:r>
      <w:r w:rsidRPr="000E09BD">
        <w:t>. Almost 13</w:t>
      </w:r>
      <w:r>
        <w:t>.5</w:t>
      </w:r>
      <w:r w:rsidR="00BC45FB">
        <w:t> </w:t>
      </w:r>
      <w:r w:rsidRPr="000E09BD">
        <w:t>million Australians (71</w:t>
      </w:r>
      <w:r w:rsidR="00BC45FB">
        <w:t> </w:t>
      </w:r>
      <w:r w:rsidRPr="000E09BD">
        <w:t xml:space="preserve">per cent) accessed the internet three or more times a day. </w:t>
      </w:r>
    </w:p>
    <w:p w14:paraId="686A953F" w14:textId="77777777" w:rsidR="009E0E9C" w:rsidRDefault="006C1601" w:rsidP="006C1601">
      <w:r w:rsidRPr="00F92E62">
        <w:t>The majority of Australian</w:t>
      </w:r>
      <w:r>
        <w:t xml:space="preserve"> adult</w:t>
      </w:r>
      <w:r w:rsidRPr="00B6638C">
        <w:t>s were generally satisfied with their communications services. The highest levels of mobile phone dissatisfaction were with data speeds and internet access (both 20</w:t>
      </w:r>
      <w:r w:rsidR="00BC45FB">
        <w:t> </w:t>
      </w:r>
      <w:r w:rsidRPr="00B6638C">
        <w:t xml:space="preserve">per cent), </w:t>
      </w:r>
      <w:r w:rsidRPr="00F92E62">
        <w:t xml:space="preserve">consistent with the popularity of using </w:t>
      </w:r>
      <w:r w:rsidR="00BC45FB">
        <w:t>a</w:t>
      </w:r>
      <w:r w:rsidR="00BC45FB" w:rsidRPr="00F92E62">
        <w:t xml:space="preserve"> </w:t>
      </w:r>
      <w:r w:rsidRPr="00F92E62">
        <w:t>mobile phone to access the internet.</w:t>
      </w:r>
    </w:p>
    <w:p w14:paraId="5BEC8E7E" w14:textId="77777777" w:rsidR="006C1601" w:rsidRPr="00D47981" w:rsidRDefault="006C1601" w:rsidP="001E1DFC">
      <w:pPr>
        <w:pStyle w:val="Heading2"/>
      </w:pPr>
      <w:bookmarkStart w:id="70" w:name="_Toc500320879"/>
      <w:r w:rsidRPr="00D47981">
        <w:t>Media market</w:t>
      </w:r>
      <w:bookmarkEnd w:id="70"/>
    </w:p>
    <w:p w14:paraId="1D23543D" w14:textId="3B721F0E" w:rsidR="006C1601" w:rsidRDefault="006C1601" w:rsidP="006C1601">
      <w:r>
        <w:t xml:space="preserve">Australians continued to spend a majority of their viewing time watching television on the day of broadcast. While there has been a gradual decline in </w:t>
      </w:r>
      <w:r w:rsidR="00342A8A">
        <w:t>free-to-air (</w:t>
      </w:r>
      <w:r>
        <w:t>FTA</w:t>
      </w:r>
      <w:r w:rsidR="00342A8A">
        <w:t>)</w:t>
      </w:r>
      <w:r>
        <w:t xml:space="preserve"> viewing over the last six years, in 2016–17 it held the largest share of viewing hours at 50 per cent. FTA broadcast programs remained the most watched of any type of content, with older Australians spending most of their viewing time watching FTA</w:t>
      </w:r>
      <w:r w:rsidR="004F3D89">
        <w:t> </w:t>
      </w:r>
      <w:r>
        <w:t>TV.</w:t>
      </w:r>
    </w:p>
    <w:p w14:paraId="6F63612E" w14:textId="77777777" w:rsidR="006C1601" w:rsidRDefault="006C1601" w:rsidP="006C1601">
      <w:r>
        <w:t>Providers invested in the local market and enhancing user experience on their platforms</w:t>
      </w:r>
      <w:r w:rsidR="008C18CC">
        <w:t>—</w:t>
      </w:r>
      <w:r>
        <w:t>Netflix commission</w:t>
      </w:r>
      <w:r w:rsidR="008C18CC">
        <w:t>ed its</w:t>
      </w:r>
      <w:r>
        <w:t xml:space="preserve"> first Australian production, Seven West Media develop</w:t>
      </w:r>
      <w:r w:rsidR="008C18CC">
        <w:t>ed</w:t>
      </w:r>
      <w:r>
        <w:t xml:space="preserve"> a new catch-up app and Optus launch</w:t>
      </w:r>
      <w:r w:rsidR="008C18CC">
        <w:t>ed</w:t>
      </w:r>
      <w:r>
        <w:t xml:space="preserve"> Yes TV by Fetch Multiroom. </w:t>
      </w:r>
    </w:p>
    <w:p w14:paraId="52940451" w14:textId="77777777" w:rsidR="006C1601" w:rsidRPr="005F493F" w:rsidRDefault="006C1601" w:rsidP="00201102">
      <w:pPr>
        <w:keepLines/>
      </w:pPr>
      <w:r>
        <w:t>More than three</w:t>
      </w:r>
      <w:r w:rsidR="008C18CC">
        <w:t>-</w:t>
      </w:r>
      <w:r>
        <w:t>quarters (80</w:t>
      </w:r>
      <w:r w:rsidR="008C18CC">
        <w:t> </w:t>
      </w:r>
      <w:r>
        <w:t xml:space="preserve">per cent) of adults who accessed the internet viewed video content online in the six months to June 2017, while 60 per cent of Australians who accessed the internet listened to audio content online, such as internet radio or podcasts. </w:t>
      </w:r>
      <w:r>
        <w:rPr>
          <w:rFonts w:cs="Arial"/>
        </w:rPr>
        <w:t>Younger</w:t>
      </w:r>
      <w:r>
        <w:t xml:space="preserve"> Australians aged 18–34 spent most of their total viewing time watching online content.</w:t>
      </w:r>
    </w:p>
    <w:p w14:paraId="137672C4" w14:textId="77777777" w:rsidR="006C1601" w:rsidRDefault="006C1601" w:rsidP="006C1601">
      <w:r w:rsidRPr="00576C53">
        <w:t>Consumer enthusiasm for subscription video on demand (SVOD) continue</w:t>
      </w:r>
      <w:r>
        <w:t>d</w:t>
      </w:r>
      <w:r w:rsidRPr="00576C53">
        <w:t xml:space="preserve"> to increase</w:t>
      </w:r>
      <w:r>
        <w:t>. A</w:t>
      </w:r>
      <w:r w:rsidRPr="00D47981">
        <w:t xml:space="preserve">t June 2017, Netflix </w:t>
      </w:r>
      <w:r w:rsidR="001E69FC">
        <w:t xml:space="preserve">Australia </w:t>
      </w:r>
      <w:r w:rsidRPr="00D47981">
        <w:t>had an estimated 2.02</w:t>
      </w:r>
      <w:r w:rsidR="008C18CC">
        <w:t> </w:t>
      </w:r>
      <w:r w:rsidRPr="00D47981">
        <w:t>million subscribers (paid and non-paid)</w:t>
      </w:r>
      <w:r w:rsidR="008C18CC">
        <w:t>,</w:t>
      </w:r>
      <w:r w:rsidRPr="00D47981">
        <w:t xml:space="preserve"> with a 55</w:t>
      </w:r>
      <w:r w:rsidR="008C18CC">
        <w:t> </w:t>
      </w:r>
      <w:r w:rsidRPr="00D47981">
        <w:t>per cent share of the SVOD market</w:t>
      </w:r>
      <w:r>
        <w:t>.</w:t>
      </w:r>
      <w:r w:rsidRPr="00D47981">
        <w:t xml:space="preserve"> Stan </w:t>
      </w:r>
      <w:r w:rsidR="008C18CC">
        <w:t>had</w:t>
      </w:r>
      <w:r w:rsidRPr="00D47981">
        <w:t xml:space="preserve"> the second largest share with 24</w:t>
      </w:r>
      <w:r w:rsidR="008C18CC">
        <w:t> </w:t>
      </w:r>
      <w:r w:rsidRPr="00D47981">
        <w:t xml:space="preserve">per cent, </w:t>
      </w:r>
      <w:r>
        <w:t xml:space="preserve">and </w:t>
      </w:r>
      <w:r w:rsidRPr="00D47981">
        <w:t>other services</w:t>
      </w:r>
      <w:r>
        <w:t xml:space="preserve"> </w:t>
      </w:r>
      <w:r w:rsidRPr="00D47981">
        <w:t>the remaining 21</w:t>
      </w:r>
      <w:r w:rsidR="008C18CC">
        <w:t> </w:t>
      </w:r>
      <w:r w:rsidRPr="00D47981">
        <w:t>per cent.</w:t>
      </w:r>
    </w:p>
    <w:p w14:paraId="421D8CCA" w14:textId="77777777" w:rsidR="006C1601" w:rsidRDefault="006C1601" w:rsidP="006C1601">
      <w:r>
        <w:t>In the four months to August 2017, there was a 25</w:t>
      </w:r>
      <w:r w:rsidR="008C18CC">
        <w:t> </w:t>
      </w:r>
      <w:r>
        <w:t>per cent increase in streaming television</w:t>
      </w:r>
      <w:r w:rsidR="008C18CC">
        <w:t>,</w:t>
      </w:r>
      <w:r>
        <w:t xml:space="preserve"> as more Australians turned to online catch-up and live</w:t>
      </w:r>
      <w:r w:rsidR="001E69FC">
        <w:t xml:space="preserve"> </w:t>
      </w:r>
      <w:r>
        <w:t>viewing services to watch broadcast TV.</w:t>
      </w:r>
    </w:p>
    <w:p w14:paraId="02AEF515" w14:textId="77777777" w:rsidR="006C1601" w:rsidRDefault="006C1601" w:rsidP="006C1601">
      <w:r w:rsidRPr="003250F0">
        <w:t>Online and television media</w:t>
      </w:r>
      <w:r>
        <w:t xml:space="preserve"> continued to</w:t>
      </w:r>
      <w:r w:rsidRPr="003250F0">
        <w:t xml:space="preserve"> attract the major share of advertising expenditure</w:t>
      </w:r>
      <w:r>
        <w:t xml:space="preserve">. </w:t>
      </w:r>
      <w:r w:rsidR="008C18CC">
        <w:t>In the 2016 calendar year, t</w:t>
      </w:r>
      <w:r>
        <w:t>otal advertising expenditure across the main media categories—print, television, radio, online</w:t>
      </w:r>
      <w:r w:rsidR="008C18CC">
        <w:t>,</w:t>
      </w:r>
      <w:r>
        <w:t xml:space="preserve"> outdoor and cinema—increased to $15.3</w:t>
      </w:r>
      <w:r w:rsidR="008C18CC">
        <w:t> </w:t>
      </w:r>
      <w:r>
        <w:t>billion</w:t>
      </w:r>
      <w:r w:rsidR="008C18CC">
        <w:t>,</w:t>
      </w:r>
      <w:r>
        <w:t xml:space="preserve"> an increase of 7.8</w:t>
      </w:r>
      <w:r w:rsidR="008C18CC">
        <w:t> </w:t>
      </w:r>
      <w:r>
        <w:t xml:space="preserve">per cent. The share of expenditure devoted to online </w:t>
      </w:r>
      <w:r w:rsidRPr="0064200E">
        <w:t>a</w:t>
      </w:r>
      <w:r>
        <w:t>dvertising increased substantially</w:t>
      </w:r>
      <w:r w:rsidRPr="0064200E">
        <w:t xml:space="preserve"> by 23</w:t>
      </w:r>
      <w:r w:rsidR="008C18CC">
        <w:t> </w:t>
      </w:r>
      <w:r w:rsidRPr="0064200E">
        <w:t xml:space="preserve">per cent to </w:t>
      </w:r>
      <w:r>
        <w:t xml:space="preserve">reach </w:t>
      </w:r>
      <w:r w:rsidRPr="0064200E">
        <w:t>$7.4 billi</w:t>
      </w:r>
      <w:r>
        <w:t xml:space="preserve">on over the 2016 calendar year. </w:t>
      </w:r>
    </w:p>
    <w:p w14:paraId="0CFCD5FD" w14:textId="77777777" w:rsidR="006C1601" w:rsidRPr="00576C53" w:rsidRDefault="006C1601" w:rsidP="001E1DFC">
      <w:pPr>
        <w:pStyle w:val="Heading2"/>
      </w:pPr>
      <w:bookmarkStart w:id="71" w:name="_Toc500320880"/>
      <w:r w:rsidRPr="00576C53">
        <w:t>Telecommunications consumer safeguards</w:t>
      </w:r>
      <w:bookmarkEnd w:id="71"/>
    </w:p>
    <w:p w14:paraId="5AA9F698" w14:textId="77777777" w:rsidR="006C1601" w:rsidRPr="001A634E" w:rsidRDefault="006C1601" w:rsidP="006C1601">
      <w:r w:rsidRPr="001A634E">
        <w:t>The number of services subject to the CSG Standard increased for the first time in a number of years (up two</w:t>
      </w:r>
      <w:r w:rsidR="008C18CC" w:rsidRPr="001A634E">
        <w:t> </w:t>
      </w:r>
      <w:r w:rsidRPr="001A634E">
        <w:t>per cent to 6.22</w:t>
      </w:r>
      <w:r w:rsidR="008C18CC" w:rsidRPr="001A634E">
        <w:t> </w:t>
      </w:r>
      <w:r w:rsidRPr="001A634E">
        <w:t>million services). The number of instances in which consumers waived their rights under the CSG Standard increased by 43</w:t>
      </w:r>
      <w:r w:rsidR="008C18CC" w:rsidRPr="001A634E">
        <w:t> </w:t>
      </w:r>
      <w:r w:rsidRPr="001A634E">
        <w:t>per cent to over 1.45</w:t>
      </w:r>
      <w:r w:rsidR="008C18CC" w:rsidRPr="001A634E">
        <w:t> </w:t>
      </w:r>
      <w:r w:rsidRPr="001A634E">
        <w:t>million. TPG accounted for 56</w:t>
      </w:r>
      <w:r w:rsidR="008C18CC" w:rsidRPr="001A634E">
        <w:t> </w:t>
      </w:r>
      <w:r w:rsidRPr="001A634E">
        <w:t>per cent of waivers and iiNet for 30</w:t>
      </w:r>
      <w:r w:rsidR="008C18CC" w:rsidRPr="001A634E">
        <w:t> </w:t>
      </w:r>
      <w:r w:rsidRPr="001A634E">
        <w:t>per cent.</w:t>
      </w:r>
    </w:p>
    <w:p w14:paraId="45661215" w14:textId="60CC184F" w:rsidR="000220D7" w:rsidRPr="009F2CCA" w:rsidRDefault="000220D7" w:rsidP="000220D7">
      <w:r w:rsidRPr="001A634E">
        <w:t xml:space="preserve">All qualifying </w:t>
      </w:r>
      <w:r w:rsidRPr="001630DE">
        <w:t xml:space="preserve">CSPs </w:t>
      </w:r>
      <w:r w:rsidR="002217B5" w:rsidRPr="001630DE">
        <w:t xml:space="preserve">reported that they </w:t>
      </w:r>
      <w:r w:rsidRPr="001A634E">
        <w:t>met the CSG performance benchmarks. Compensation paid to customers as a result of service providers failing to meet CSG Standard time frames totalled $20.80</w:t>
      </w:r>
      <w:r w:rsidR="00BB4776">
        <w:t> </w:t>
      </w:r>
      <w:r w:rsidRPr="001A634E">
        <w:t>million for 2016–17, compared to $16.17 million during 2015–16—an increase of 29 per cent. This increase is</w:t>
      </w:r>
      <w:r w:rsidR="00471AE8">
        <w:t>,</w:t>
      </w:r>
      <w:r w:rsidRPr="001A634E">
        <w:t xml:space="preserve"> in part</w:t>
      </w:r>
      <w:r w:rsidR="00471AE8">
        <w:t>,</w:t>
      </w:r>
      <w:r w:rsidRPr="001A634E">
        <w:t xml:space="preserve"> a reflection of the transition to services over the </w:t>
      </w:r>
      <w:r w:rsidR="00AB6341" w:rsidRPr="001A634E">
        <w:t>NBN</w:t>
      </w:r>
      <w:r w:rsidRPr="001A634E">
        <w:t xml:space="preserve"> and retailers of these services claiming fewer exemptions from the CSG service standards.</w:t>
      </w:r>
      <w:r w:rsidRPr="009F2CCA">
        <w:t xml:space="preserve"> </w:t>
      </w:r>
    </w:p>
    <w:p w14:paraId="77D07742" w14:textId="11A398DF" w:rsidR="00D84B14" w:rsidRPr="00C32AD1" w:rsidRDefault="006C1601" w:rsidP="00D84B14">
      <w:r w:rsidRPr="006134FA">
        <w:t xml:space="preserve">There </w:t>
      </w:r>
      <w:r w:rsidRPr="00472D3B">
        <w:t xml:space="preserve">were 158,016 new complaints made to the </w:t>
      </w:r>
      <w:r>
        <w:t>TIO</w:t>
      </w:r>
      <w:r w:rsidRPr="00472D3B">
        <w:t xml:space="preserve"> </w:t>
      </w:r>
      <w:r>
        <w:t>in</w:t>
      </w:r>
      <w:r w:rsidRPr="00472D3B">
        <w:t xml:space="preserve"> 2016–17. </w:t>
      </w:r>
      <w:r>
        <w:t>While t</w:t>
      </w:r>
      <w:r w:rsidRPr="00472D3B">
        <w:t xml:space="preserve">his represents an increase of </w:t>
      </w:r>
      <w:r w:rsidR="00B31816">
        <w:t>41.1</w:t>
      </w:r>
      <w:r w:rsidR="00395CAD">
        <w:t> </w:t>
      </w:r>
      <w:r w:rsidRPr="00472D3B">
        <w:t>per</w:t>
      </w:r>
      <w:r>
        <w:t xml:space="preserve"> </w:t>
      </w:r>
      <w:r w:rsidRPr="00472D3B">
        <w:t>cent from 2015–16</w:t>
      </w:r>
      <w:r>
        <w:t>, the number of complaints made to the TIO was significantly lower than the peak year for complaints in 2011</w:t>
      </w:r>
      <w:r w:rsidR="00AC5B5F">
        <w:t>–</w:t>
      </w:r>
      <w:r>
        <w:t>12</w:t>
      </w:r>
      <w:r w:rsidRPr="00472D3B">
        <w:t>.</w:t>
      </w:r>
      <w:r w:rsidR="00D84B14">
        <w:t xml:space="preserve"> </w:t>
      </w:r>
      <w:r w:rsidR="00F604C2">
        <w:t>NBN</w:t>
      </w:r>
      <w:r w:rsidR="00360266">
        <w:t>-</w:t>
      </w:r>
      <w:r w:rsidR="00F604C2">
        <w:t xml:space="preserve">specific complaints rose by 159 per cent, </w:t>
      </w:r>
      <w:r w:rsidR="00B16EDA">
        <w:rPr>
          <w:rFonts w:cs="Arial"/>
          <w:szCs w:val="20"/>
        </w:rPr>
        <w:t>comprising fault complaints (</w:t>
      </w:r>
      <w:r w:rsidR="00B16EDA" w:rsidRPr="00360266">
        <w:rPr>
          <w:rFonts w:cs="Arial"/>
          <w:szCs w:val="20"/>
        </w:rPr>
        <w:t>16,221</w:t>
      </w:r>
      <w:r w:rsidR="00B16EDA">
        <w:rPr>
          <w:rFonts w:cs="Arial"/>
          <w:szCs w:val="20"/>
        </w:rPr>
        <w:t>) and connection delays (</w:t>
      </w:r>
      <w:r w:rsidR="00B16EDA" w:rsidRPr="00360266">
        <w:rPr>
          <w:rFonts w:cs="Arial"/>
          <w:szCs w:val="20"/>
        </w:rPr>
        <w:t>11,224</w:t>
      </w:r>
      <w:r w:rsidR="00B16EDA">
        <w:rPr>
          <w:rFonts w:cs="Arial"/>
          <w:szCs w:val="20"/>
        </w:rPr>
        <w:t>)</w:t>
      </w:r>
      <w:r w:rsidR="00F604C2">
        <w:t>.</w:t>
      </w:r>
    </w:p>
    <w:p w14:paraId="137C11B2" w14:textId="77777777" w:rsidR="006C1601" w:rsidRPr="00C32AD1" w:rsidRDefault="006C1601" w:rsidP="00D84B14">
      <w:r>
        <w:t xml:space="preserve">ACMA consumer survey data shows that, while </w:t>
      </w:r>
      <w:r w:rsidRPr="00DD3878">
        <w:t>Australians aged 18 and over experience</w:t>
      </w:r>
      <w:r>
        <w:t>d</w:t>
      </w:r>
      <w:r w:rsidRPr="00DD3878">
        <w:t xml:space="preserve"> relatively high satisfaction with fixed telephone, mobile and int</w:t>
      </w:r>
      <w:r>
        <w:t>ernet communications services, they wer</w:t>
      </w:r>
      <w:r w:rsidRPr="00DD3878">
        <w:t>e the least satisfied with internet services.</w:t>
      </w:r>
      <w:r>
        <w:t xml:space="preserve"> </w:t>
      </w:r>
    </w:p>
    <w:p w14:paraId="19BF90BD" w14:textId="77777777" w:rsidR="006C1601" w:rsidRPr="00EA384B" w:rsidRDefault="006C1601" w:rsidP="006C1601">
      <w:r>
        <w:t>T</w:t>
      </w:r>
      <w:r w:rsidRPr="006134FA">
        <w:t xml:space="preserve">he number of complaints </w:t>
      </w:r>
      <w:r>
        <w:t xml:space="preserve">received by the ACMA </w:t>
      </w:r>
      <w:r w:rsidRPr="006134FA">
        <w:t xml:space="preserve">about telemarketing increased by </w:t>
      </w:r>
      <w:r>
        <w:t>22.5</w:t>
      </w:r>
      <w:r w:rsidR="00AC5B5F">
        <w:t> </w:t>
      </w:r>
      <w:r w:rsidRPr="006134FA">
        <w:t>per cent</w:t>
      </w:r>
      <w:r>
        <w:t xml:space="preserve"> </w:t>
      </w:r>
      <w:r w:rsidRPr="00255CCD">
        <w:t xml:space="preserve">from </w:t>
      </w:r>
      <w:r w:rsidRPr="000E09BD">
        <w:t>23,014</w:t>
      </w:r>
      <w:r w:rsidRPr="00255CCD">
        <w:t xml:space="preserve"> </w:t>
      </w:r>
      <w:r>
        <w:t xml:space="preserve">in </w:t>
      </w:r>
      <w:r w:rsidRPr="00472D3B">
        <w:t>2015–16</w:t>
      </w:r>
      <w:r>
        <w:t xml:space="preserve"> </w:t>
      </w:r>
      <w:r w:rsidRPr="00255CCD">
        <w:t xml:space="preserve">to </w:t>
      </w:r>
      <w:r w:rsidRPr="003B06F0">
        <w:t>28,197</w:t>
      </w:r>
      <w:r w:rsidR="001E69FC">
        <w:t xml:space="preserve"> in 2016–17</w:t>
      </w:r>
      <w:r>
        <w:t xml:space="preserve">. </w:t>
      </w:r>
    </w:p>
    <w:p w14:paraId="6520698A" w14:textId="77777777" w:rsidR="006C1601" w:rsidRPr="00576C53" w:rsidRDefault="006C1601" w:rsidP="006C1601">
      <w:pPr>
        <w:rPr>
          <w:highlight w:val="yellow"/>
        </w:rPr>
      </w:pPr>
      <w:r w:rsidRPr="00D22898">
        <w:t>The number of telephone numbers</w:t>
      </w:r>
      <w:r>
        <w:t xml:space="preserve"> listed on the </w:t>
      </w:r>
      <w:r w:rsidR="00AC5B5F">
        <w:t>Do Not Call Register (</w:t>
      </w:r>
      <w:r>
        <w:t>DNCR</w:t>
      </w:r>
      <w:r w:rsidR="00AC5B5F">
        <w:t>)</w:t>
      </w:r>
      <w:r>
        <w:t xml:space="preserve"> rose by 3.5</w:t>
      </w:r>
      <w:r w:rsidR="00AC5B5F">
        <w:t> </w:t>
      </w:r>
      <w:r w:rsidRPr="00D22898">
        <w:t>per cent in 201</w:t>
      </w:r>
      <w:r>
        <w:t>6</w:t>
      </w:r>
      <w:r w:rsidRPr="00D22898">
        <w:t>–1</w:t>
      </w:r>
      <w:r>
        <w:t>7 to 11.02</w:t>
      </w:r>
      <w:r w:rsidR="00AC5B5F">
        <w:t> </w:t>
      </w:r>
      <w:r>
        <w:t>million</w:t>
      </w:r>
      <w:r w:rsidRPr="00D22898">
        <w:t xml:space="preserve">. </w:t>
      </w:r>
    </w:p>
    <w:p w14:paraId="277DCCE5" w14:textId="77777777" w:rsidR="006C1601" w:rsidRPr="00BA1865" w:rsidRDefault="006C1601" w:rsidP="001E1DFC">
      <w:pPr>
        <w:pStyle w:val="Heading2"/>
        <w:keepLines/>
      </w:pPr>
      <w:bookmarkStart w:id="72" w:name="_Toc500320881"/>
      <w:r>
        <w:t>National interests</w:t>
      </w:r>
      <w:bookmarkEnd w:id="72"/>
    </w:p>
    <w:p w14:paraId="202A270A" w14:textId="0C3DA6E6" w:rsidR="006C1601" w:rsidRDefault="006C1601" w:rsidP="001E1DFC">
      <w:pPr>
        <w:keepNext/>
        <w:keepLines/>
      </w:pPr>
      <w:r>
        <w:t>In 2016–17, there were just over 8.5</w:t>
      </w:r>
      <w:r w:rsidR="00AC5B5F">
        <w:t> </w:t>
      </w:r>
      <w:r>
        <w:t xml:space="preserve">million calls made to </w:t>
      </w:r>
      <w:r w:rsidR="00CF2EFF">
        <w:t xml:space="preserve">the </w:t>
      </w:r>
      <w:r>
        <w:t xml:space="preserve">emergency </w:t>
      </w:r>
      <w:r w:rsidR="00CF2EFF">
        <w:t xml:space="preserve">call </w:t>
      </w:r>
      <w:r>
        <w:t>service</w:t>
      </w:r>
      <w:r w:rsidR="009C0C46">
        <w:t xml:space="preserve"> numbers</w:t>
      </w:r>
      <w:r w:rsidRPr="00F25524">
        <w:rPr>
          <w:rFonts w:cs="Arial"/>
        </w:rPr>
        <w:t>—</w:t>
      </w:r>
      <w:r>
        <w:t xml:space="preserve">Triple Zero and 112. </w:t>
      </w:r>
      <w:r>
        <w:rPr>
          <w:snapToGrid w:val="0"/>
        </w:rPr>
        <w:t>Almost 70</w:t>
      </w:r>
      <w:r w:rsidR="00AC5B5F">
        <w:rPr>
          <w:snapToGrid w:val="0"/>
        </w:rPr>
        <w:t> </w:t>
      </w:r>
      <w:r>
        <w:rPr>
          <w:snapToGrid w:val="0"/>
        </w:rPr>
        <w:t xml:space="preserve">per cent of </w:t>
      </w:r>
      <w:r w:rsidRPr="00F93BEF">
        <w:t>emergency calls were made from mobile phones, up from 6</w:t>
      </w:r>
      <w:r w:rsidR="001E69FC">
        <w:t>9</w:t>
      </w:r>
      <w:r w:rsidRPr="00F93BEF">
        <w:t>.7</w:t>
      </w:r>
      <w:r w:rsidR="00AC5B5F">
        <w:t> </w:t>
      </w:r>
      <w:r w:rsidRPr="00F93BEF">
        <w:t>per cent (5,7</w:t>
      </w:r>
      <w:r w:rsidR="001E69FC">
        <w:t>77,477</w:t>
      </w:r>
      <w:r w:rsidRPr="00F93BEF">
        <w:t xml:space="preserve"> calls) in the previous 12-month period</w:t>
      </w:r>
      <w:r w:rsidR="00BB4776">
        <w:t>, while</w:t>
      </w:r>
      <w:r>
        <w:t xml:space="preserve"> </w:t>
      </w:r>
      <w:r w:rsidR="00932269">
        <w:rPr>
          <w:snapToGrid w:val="0"/>
        </w:rPr>
        <w:t>29.5</w:t>
      </w:r>
      <w:r w:rsidR="00AC5B5F">
        <w:t> </w:t>
      </w:r>
      <w:r w:rsidRPr="00F93BEF">
        <w:t xml:space="preserve">per cent </w:t>
      </w:r>
      <w:r w:rsidR="00932269">
        <w:t>came from fixed-line telephones, including public payphones (</w:t>
      </w:r>
      <w:r w:rsidRPr="00F93BEF">
        <w:t>2.3</w:t>
      </w:r>
      <w:r w:rsidR="00AC5B5F">
        <w:t> </w:t>
      </w:r>
      <w:r w:rsidRPr="00F93BEF">
        <w:t xml:space="preserve">per cent </w:t>
      </w:r>
      <w:r w:rsidR="00932269">
        <w:t>of the total)</w:t>
      </w:r>
      <w:r w:rsidRPr="00F93BEF">
        <w:t xml:space="preserve">. </w:t>
      </w:r>
    </w:p>
    <w:p w14:paraId="0C2866CE" w14:textId="77777777" w:rsidR="00EF2018" w:rsidRDefault="00EF2018" w:rsidP="001E1DFC">
      <w:pPr>
        <w:keepNext/>
        <w:keepLines/>
      </w:pPr>
      <w:r>
        <w:rPr>
          <w:szCs w:val="20"/>
        </w:rPr>
        <w:t xml:space="preserve">In April 2017, the ACMA revised the regulatory arrangements for prepaid mobile services to </w:t>
      </w:r>
      <w:r w:rsidR="005C300D">
        <w:rPr>
          <w:szCs w:val="20"/>
        </w:rPr>
        <w:t>(</w:t>
      </w:r>
      <w:r>
        <w:rPr>
          <w:szCs w:val="20"/>
        </w:rPr>
        <w:t>among other things</w:t>
      </w:r>
      <w:r w:rsidR="005C300D">
        <w:rPr>
          <w:szCs w:val="20"/>
        </w:rPr>
        <w:t>)</w:t>
      </w:r>
      <w:r>
        <w:rPr>
          <w:szCs w:val="20"/>
        </w:rPr>
        <w:t xml:space="preserve"> make </w:t>
      </w:r>
      <w:r>
        <w:t>it simpler for mobile providers to supply prepaid mobile services for people in emergency situations where they can’t return home due to natural disasters or because of family violence</w:t>
      </w:r>
      <w:r w:rsidR="005C300D">
        <w:t>.</w:t>
      </w:r>
    </w:p>
    <w:p w14:paraId="36D96D54" w14:textId="481225E7" w:rsidR="00342A8A" w:rsidRDefault="006C1601" w:rsidP="00060772">
      <w:r w:rsidRPr="00530A2E">
        <w:t xml:space="preserve">The number of disclosures made by CSPs and carriers </w:t>
      </w:r>
      <w:r>
        <w:t>(</w:t>
      </w:r>
      <w:r w:rsidRPr="00530A2E">
        <w:t>reported under section 308 of the Telecommunications Act</w:t>
      </w:r>
      <w:r>
        <w:t>)</w:t>
      </w:r>
      <w:r w:rsidRPr="00530A2E">
        <w:t xml:space="preserve"> decreased by 4.4</w:t>
      </w:r>
      <w:r w:rsidR="005C300D">
        <w:t> </w:t>
      </w:r>
      <w:r w:rsidRPr="00530A2E">
        <w:t>per cent in the year to June 201</w:t>
      </w:r>
      <w:r w:rsidR="001E69FC">
        <w:t>7</w:t>
      </w:r>
      <w:r w:rsidRPr="00530A2E">
        <w:t>.</w:t>
      </w:r>
      <w:r>
        <w:t xml:space="preserve"> </w:t>
      </w:r>
      <w:r w:rsidRPr="00530A2E">
        <w:t>The cost to industry of providing interception capabilities decreased by 2.7</w:t>
      </w:r>
      <w:r w:rsidR="005C300D">
        <w:t> </w:t>
      </w:r>
      <w:r w:rsidRPr="00530A2E">
        <w:t>per cent from $22.6 million</w:t>
      </w:r>
      <w:r>
        <w:t xml:space="preserve"> </w:t>
      </w:r>
      <w:r w:rsidR="005C300D">
        <w:t xml:space="preserve">in </w:t>
      </w:r>
      <w:r w:rsidRPr="00472D3B">
        <w:t>2015–16</w:t>
      </w:r>
      <w:r w:rsidRPr="00530A2E">
        <w:t xml:space="preserve"> to $22</w:t>
      </w:r>
      <w:r w:rsidR="008B77A4">
        <w:t> </w:t>
      </w:r>
      <w:r w:rsidRPr="00530A2E">
        <w:t>million.</w:t>
      </w:r>
      <w:r w:rsidR="00060772" w:rsidRPr="00060772">
        <w:rPr>
          <w:rStyle w:val="FootnoteReference"/>
          <w:color w:val="FFFFFF" w:themeColor="background1"/>
        </w:rPr>
        <w:footnoteReference w:id="2"/>
      </w:r>
    </w:p>
    <w:p w14:paraId="49AB4EAC" w14:textId="77777777" w:rsidR="00244C97" w:rsidRPr="00313AEA" w:rsidRDefault="00244C97" w:rsidP="00871ECF">
      <w:pPr>
        <w:pStyle w:val="Heading1"/>
      </w:pPr>
      <w:bookmarkStart w:id="73" w:name="_Toc399316055"/>
      <w:bookmarkStart w:id="74" w:name="_Toc399331709"/>
      <w:bookmarkStart w:id="75" w:name="_Toc399336890"/>
      <w:bookmarkStart w:id="76" w:name="_Toc402337488"/>
      <w:bookmarkStart w:id="77" w:name="_Toc433790286"/>
      <w:bookmarkStart w:id="78" w:name="_Toc463528995"/>
      <w:bookmarkStart w:id="79" w:name="_Toc462899515"/>
      <w:bookmarkStart w:id="80" w:name="_Toc500320882"/>
      <w:bookmarkEnd w:id="73"/>
      <w:bookmarkEnd w:id="74"/>
      <w:bookmarkEnd w:id="75"/>
      <w:bookmarkEnd w:id="76"/>
      <w:r w:rsidRPr="00313AEA">
        <w:t>Key indicators—at a glance</w:t>
      </w:r>
      <w:bookmarkEnd w:id="32"/>
      <w:bookmarkEnd w:id="33"/>
      <w:bookmarkEnd w:id="34"/>
      <w:bookmarkEnd w:id="77"/>
      <w:bookmarkEnd w:id="78"/>
      <w:bookmarkEnd w:id="79"/>
      <w:bookmarkEnd w:id="80"/>
    </w:p>
    <w:p w14:paraId="4BF604C9" w14:textId="77777777" w:rsidR="00B321E1" w:rsidRDefault="00B321E1" w:rsidP="00B321E1">
      <w:pPr>
        <w:pStyle w:val="Heading2"/>
      </w:pPr>
      <w:bookmarkStart w:id="81" w:name="_Toc465842819"/>
      <w:bookmarkStart w:id="82" w:name="_Toc465178908"/>
      <w:bookmarkStart w:id="83" w:name="_Toc463528996"/>
      <w:bookmarkStart w:id="84" w:name="_Toc462899516"/>
      <w:bookmarkStart w:id="85" w:name="_Toc399336884"/>
      <w:bookmarkStart w:id="86" w:name="_Toc399331703"/>
      <w:bookmarkStart w:id="87" w:name="_Toc494799307"/>
      <w:bookmarkStart w:id="88" w:name="_Toc494805610"/>
      <w:bookmarkStart w:id="89" w:name="_Toc494805839"/>
      <w:bookmarkStart w:id="90" w:name="_Toc494808069"/>
      <w:bookmarkStart w:id="91" w:name="_Toc494808473"/>
      <w:bookmarkStart w:id="92" w:name="_Toc494815875"/>
      <w:bookmarkStart w:id="93" w:name="_Toc494818736"/>
      <w:bookmarkStart w:id="94" w:name="_Toc494819003"/>
      <w:bookmarkStart w:id="95" w:name="_Toc500320883"/>
      <w:r>
        <w:t>Telecommunications services</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14:paraId="382266DD" w14:textId="77777777" w:rsidR="00B321E1" w:rsidRDefault="00B321E1" w:rsidP="00CE059B">
      <w:pPr>
        <w:pStyle w:val="Heading3"/>
        <w:spacing w:after="120"/>
      </w:pPr>
      <w:bookmarkStart w:id="96" w:name="_Toc465842820"/>
      <w:bookmarkStart w:id="97" w:name="_Toc465178909"/>
      <w:bookmarkStart w:id="98" w:name="_Toc463528997"/>
      <w:bookmarkStart w:id="99" w:name="_Toc462899517"/>
      <w:bookmarkStart w:id="100" w:name="_Toc494799308"/>
      <w:bookmarkStart w:id="101" w:name="_Toc494805611"/>
      <w:bookmarkStart w:id="102" w:name="_Toc494805840"/>
      <w:bookmarkStart w:id="103" w:name="_Toc494808070"/>
      <w:bookmarkStart w:id="104" w:name="_Toc494808474"/>
      <w:bookmarkStart w:id="105" w:name="_Toc494815876"/>
      <w:bookmarkStart w:id="106" w:name="_Toc494818737"/>
      <w:bookmarkStart w:id="107" w:name="_Toc494819004"/>
      <w:r>
        <w:t>Number of telecommunications services</w:t>
      </w:r>
      <w:bookmarkEnd w:id="96"/>
      <w:bookmarkEnd w:id="97"/>
      <w:bookmarkEnd w:id="98"/>
      <w:bookmarkEnd w:id="99"/>
      <w:r>
        <w:t xml:space="preserve"> in operation</w:t>
      </w:r>
      <w:bookmarkEnd w:id="100"/>
      <w:bookmarkEnd w:id="101"/>
      <w:bookmarkEnd w:id="102"/>
      <w:bookmarkEnd w:id="103"/>
      <w:bookmarkEnd w:id="104"/>
      <w:bookmarkEnd w:id="105"/>
      <w:bookmarkEnd w:id="106"/>
      <w:bookmarkEnd w:id="107"/>
      <w:r>
        <w:t xml:space="preserve"> (millions)</w:t>
      </w:r>
    </w:p>
    <w:tbl>
      <w:tblPr>
        <w:tblStyle w:val="Commsreport2017"/>
        <w:tblW w:w="9498" w:type="dxa"/>
        <w:tblLayout w:type="fixed"/>
        <w:tblCellMar>
          <w:top w:w="57" w:type="dxa"/>
          <w:left w:w="57" w:type="dxa"/>
          <w:bottom w:w="57" w:type="dxa"/>
          <w:right w:w="57" w:type="dxa"/>
        </w:tblCellMar>
        <w:tblLook w:val="04A0" w:firstRow="1" w:lastRow="0" w:firstColumn="1" w:lastColumn="0" w:noHBand="0" w:noVBand="1"/>
        <w:tblCaption w:val="Telecommunications services: Number of services"/>
      </w:tblPr>
      <w:tblGrid>
        <w:gridCol w:w="2977"/>
        <w:gridCol w:w="1011"/>
        <w:gridCol w:w="1058"/>
        <w:gridCol w:w="1058"/>
        <w:gridCol w:w="1058"/>
        <w:gridCol w:w="1058"/>
        <w:gridCol w:w="1278"/>
      </w:tblGrid>
      <w:tr w:rsidR="004E1233" w14:paraId="26FF0AF6" w14:textId="77777777" w:rsidTr="00EC183A">
        <w:trPr>
          <w:cnfStyle w:val="100000000000" w:firstRow="1" w:lastRow="0" w:firstColumn="0" w:lastColumn="0" w:oddVBand="0" w:evenVBand="0" w:oddHBand="0" w:evenHBand="0" w:firstRowFirstColumn="0" w:firstRowLastColumn="0" w:lastRowFirstColumn="0" w:lastRowLastColumn="0"/>
          <w:trHeight w:val="267"/>
          <w:tblHeader/>
        </w:trPr>
        <w:tc>
          <w:tcPr>
            <w:cnfStyle w:val="001000000000" w:firstRow="0" w:lastRow="0" w:firstColumn="1" w:lastColumn="0" w:oddVBand="0" w:evenVBand="0" w:oddHBand="0" w:evenHBand="0" w:firstRowFirstColumn="0" w:firstRowLastColumn="0" w:lastRowFirstColumn="0" w:lastRowLastColumn="0"/>
            <w:tcW w:w="2977" w:type="dxa"/>
            <w:tcBorders>
              <w:top w:val="nil"/>
              <w:left w:val="nil"/>
              <w:bottom w:val="single" w:sz="4" w:space="0" w:color="BFBFBF" w:themeColor="background1" w:themeShade="BF"/>
              <w:right w:val="nil"/>
            </w:tcBorders>
            <w:shd w:val="clear" w:color="auto" w:fill="auto"/>
          </w:tcPr>
          <w:p w14:paraId="1AD10FF1" w14:textId="77777777" w:rsidR="004E1233" w:rsidRPr="00054A14" w:rsidRDefault="004E1233" w:rsidP="00DE0C7F">
            <w:pPr>
              <w:pStyle w:val="ACMATableText"/>
              <w:spacing w:beforeLines="0" w:before="0" w:afterLines="0" w:after="0"/>
            </w:pPr>
          </w:p>
        </w:tc>
        <w:tc>
          <w:tcPr>
            <w:tcW w:w="1011" w:type="dxa"/>
            <w:tcBorders>
              <w:left w:val="nil"/>
            </w:tcBorders>
          </w:tcPr>
          <w:p w14:paraId="615D5A5A"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b/>
              </w:rPr>
              <w:t xml:space="preserve">Jun 13 </w:t>
            </w:r>
          </w:p>
        </w:tc>
        <w:tc>
          <w:tcPr>
            <w:tcW w:w="1058" w:type="dxa"/>
          </w:tcPr>
          <w:p w14:paraId="55602BAD"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b/>
              </w:rPr>
              <w:t xml:space="preserve">Jun 14 </w:t>
            </w:r>
          </w:p>
        </w:tc>
        <w:tc>
          <w:tcPr>
            <w:tcW w:w="1058" w:type="dxa"/>
          </w:tcPr>
          <w:p w14:paraId="657864C9"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b/>
              </w:rPr>
              <w:t>Jun 15</w:t>
            </w:r>
          </w:p>
        </w:tc>
        <w:tc>
          <w:tcPr>
            <w:tcW w:w="1058" w:type="dxa"/>
          </w:tcPr>
          <w:p w14:paraId="56BF6429"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b/>
              </w:rPr>
              <w:t xml:space="preserve">Jun 16 </w:t>
            </w:r>
          </w:p>
        </w:tc>
        <w:tc>
          <w:tcPr>
            <w:tcW w:w="1058" w:type="dxa"/>
          </w:tcPr>
          <w:p w14:paraId="07725D61"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b/>
              </w:rPr>
              <w:t xml:space="preserve">Jun 17 </w:t>
            </w:r>
          </w:p>
        </w:tc>
        <w:tc>
          <w:tcPr>
            <w:tcW w:w="1278" w:type="dxa"/>
          </w:tcPr>
          <w:p w14:paraId="4974F59B" w14:textId="77777777" w:rsidR="004E1233" w:rsidRPr="00430CCA" w:rsidRDefault="004E1233"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b/>
              </w:rPr>
            </w:pPr>
            <w:r w:rsidRPr="00430CCA">
              <w:rPr>
                <w:rFonts w:cs="Arial"/>
                <w:b/>
                <w:szCs w:val="18"/>
              </w:rPr>
              <w:t>2016–17 change (%)</w:t>
            </w:r>
          </w:p>
        </w:tc>
      </w:tr>
      <w:tr w:rsidR="004E1233" w14:paraId="312B0CD2" w14:textId="77777777" w:rsidTr="000F3E58">
        <w:trPr>
          <w:trHeight w:val="16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BFBFBF" w:themeColor="background1" w:themeShade="BF"/>
            </w:tcBorders>
            <w:hideMark/>
          </w:tcPr>
          <w:p w14:paraId="21543611" w14:textId="77777777" w:rsidR="004E1233" w:rsidRPr="00054A14" w:rsidRDefault="004E1233" w:rsidP="00DE0C7F">
            <w:pPr>
              <w:pStyle w:val="ACMATableText"/>
              <w:spacing w:before="0" w:after="0"/>
            </w:pPr>
            <w:r w:rsidRPr="00054A14">
              <w:t>Mobile services (voice and data)*</w:t>
            </w:r>
          </w:p>
        </w:tc>
        <w:tc>
          <w:tcPr>
            <w:tcW w:w="1011" w:type="dxa"/>
            <w:hideMark/>
          </w:tcPr>
          <w:p w14:paraId="36AAF495"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31.09</w:t>
            </w:r>
          </w:p>
        </w:tc>
        <w:tc>
          <w:tcPr>
            <w:tcW w:w="1058" w:type="dxa"/>
            <w:hideMark/>
          </w:tcPr>
          <w:p w14:paraId="5775B9C4"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31.01</w:t>
            </w:r>
          </w:p>
        </w:tc>
        <w:tc>
          <w:tcPr>
            <w:tcW w:w="1058" w:type="dxa"/>
            <w:hideMark/>
          </w:tcPr>
          <w:p w14:paraId="5A647289"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31.77</w:t>
            </w:r>
          </w:p>
        </w:tc>
        <w:tc>
          <w:tcPr>
            <w:tcW w:w="1058" w:type="dxa"/>
            <w:hideMark/>
          </w:tcPr>
          <w:p w14:paraId="5A8AE5E8"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32.59</w:t>
            </w:r>
          </w:p>
        </w:tc>
        <w:tc>
          <w:tcPr>
            <w:tcW w:w="1058" w:type="dxa"/>
          </w:tcPr>
          <w:p w14:paraId="1DA2E3F4"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33.64</w:t>
            </w:r>
          </w:p>
        </w:tc>
        <w:tc>
          <w:tcPr>
            <w:tcW w:w="1278" w:type="dxa"/>
          </w:tcPr>
          <w:p w14:paraId="0D0FC5FC"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3.2</w:t>
            </w:r>
          </w:p>
        </w:tc>
      </w:tr>
      <w:tr w:rsidR="004E1233" w14:paraId="442F5342" w14:textId="77777777" w:rsidTr="000F3E58">
        <w:trPr>
          <w:trHeight w:val="109"/>
        </w:trPr>
        <w:tc>
          <w:tcPr>
            <w:cnfStyle w:val="001000000000" w:firstRow="0" w:lastRow="0" w:firstColumn="1" w:lastColumn="0" w:oddVBand="0" w:evenVBand="0" w:oddHBand="0" w:evenHBand="0" w:firstRowFirstColumn="0" w:firstRowLastColumn="0" w:lastRowFirstColumn="0" w:lastRowLastColumn="0"/>
            <w:tcW w:w="2977" w:type="dxa"/>
            <w:hideMark/>
          </w:tcPr>
          <w:p w14:paraId="5B979793" w14:textId="77777777" w:rsidR="004E1233" w:rsidRPr="00054A14" w:rsidRDefault="004E1233" w:rsidP="00DE0C7F">
            <w:pPr>
              <w:pStyle w:val="ACMATableText"/>
              <w:spacing w:before="0" w:after="0"/>
            </w:pPr>
            <w:r w:rsidRPr="00054A14">
              <w:t>Fixed-line telephone services</w:t>
            </w:r>
            <w:r w:rsidRPr="00054A14">
              <w:rPr>
                <w:vertAlign w:val="superscript"/>
              </w:rPr>
              <w:t>§</w:t>
            </w:r>
          </w:p>
        </w:tc>
        <w:tc>
          <w:tcPr>
            <w:tcW w:w="1011" w:type="dxa"/>
            <w:hideMark/>
          </w:tcPr>
          <w:p w14:paraId="619EC096"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9.42</w:t>
            </w:r>
          </w:p>
        </w:tc>
        <w:tc>
          <w:tcPr>
            <w:tcW w:w="1058" w:type="dxa"/>
            <w:hideMark/>
          </w:tcPr>
          <w:p w14:paraId="224F20B2"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9.19</w:t>
            </w:r>
          </w:p>
        </w:tc>
        <w:tc>
          <w:tcPr>
            <w:tcW w:w="1058" w:type="dxa"/>
            <w:hideMark/>
          </w:tcPr>
          <w:p w14:paraId="50A61D36"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8.50</w:t>
            </w:r>
            <w:r>
              <w:rPr>
                <w:vertAlign w:val="superscript"/>
              </w:rPr>
              <w:t>#</w:t>
            </w:r>
          </w:p>
        </w:tc>
        <w:tc>
          <w:tcPr>
            <w:tcW w:w="1058" w:type="dxa"/>
            <w:hideMark/>
          </w:tcPr>
          <w:p w14:paraId="0FBB8493" w14:textId="77777777" w:rsidR="004E1233" w:rsidRDefault="004E1233"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8.</w:t>
            </w:r>
            <w:r w:rsidR="004320FF">
              <w:t>4</w:t>
            </w:r>
            <w:r>
              <w:t>8</w:t>
            </w:r>
            <w:r>
              <w:rPr>
                <w:vertAlign w:val="superscript"/>
              </w:rPr>
              <w:t>#</w:t>
            </w:r>
            <w:r w:rsidR="004320FF">
              <w:rPr>
                <w:rFonts w:cs="Arial"/>
                <w:vertAlign w:val="superscript"/>
              </w:rPr>
              <w:t>†</w:t>
            </w:r>
          </w:p>
        </w:tc>
        <w:tc>
          <w:tcPr>
            <w:tcW w:w="1058" w:type="dxa"/>
          </w:tcPr>
          <w:p w14:paraId="27D9BAB8" w14:textId="77777777" w:rsidR="004E1233" w:rsidRDefault="004320FF"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8.46</w:t>
            </w:r>
          </w:p>
        </w:tc>
        <w:tc>
          <w:tcPr>
            <w:tcW w:w="1278" w:type="dxa"/>
          </w:tcPr>
          <w:p w14:paraId="66DCEAF9" w14:textId="77777777" w:rsidR="004E1233" w:rsidRDefault="00FA1094"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–0.2</w:t>
            </w:r>
          </w:p>
        </w:tc>
      </w:tr>
    </w:tbl>
    <w:p w14:paraId="6699EE08" w14:textId="77777777" w:rsidR="00B321E1" w:rsidRDefault="00B321E1" w:rsidP="00B02A48">
      <w:pPr>
        <w:pStyle w:val="ACMANotes"/>
        <w:spacing w:before="120"/>
      </w:pPr>
      <w:r>
        <w:t xml:space="preserve">*Change in data source from ACMA annual industry data request in June 2013 to company annual reports from June 2014. </w:t>
      </w:r>
    </w:p>
    <w:p w14:paraId="3A4D87B1" w14:textId="77777777" w:rsidR="00B321E1" w:rsidRDefault="00B321E1" w:rsidP="00B321E1">
      <w:pPr>
        <w:pStyle w:val="ACMANotes"/>
      </w:pPr>
      <w:r>
        <w:rPr>
          <w:sz w:val="18"/>
          <w:vertAlign w:val="superscript"/>
        </w:rPr>
        <w:t>§</w:t>
      </w:r>
      <w:r>
        <w:t xml:space="preserve">Includes </w:t>
      </w:r>
      <w:r w:rsidRPr="00FB6FC9">
        <w:rPr>
          <w:szCs w:val="20"/>
        </w:rPr>
        <w:t>public switched telecommunications network</w:t>
      </w:r>
      <w:r w:rsidDel="00197024">
        <w:t xml:space="preserve"> </w:t>
      </w:r>
      <w:r>
        <w:t xml:space="preserve">and other fixed-line telephone services. </w:t>
      </w:r>
    </w:p>
    <w:p w14:paraId="4B5B6286" w14:textId="77777777" w:rsidR="00B321E1" w:rsidRDefault="00B321E1" w:rsidP="00B321E1">
      <w:pPr>
        <w:pStyle w:val="ACMANotes"/>
      </w:pPr>
      <w:r>
        <w:rPr>
          <w:vertAlign w:val="superscript"/>
        </w:rPr>
        <w:t>#</w:t>
      </w:r>
      <w:r>
        <w:t>Methodology change from 2015 to report total resale (retail services directly connected via another network) and retail services in operation</w:t>
      </w:r>
      <w:r w:rsidR="009C2852">
        <w:t>, but not wholesale services in operation</w:t>
      </w:r>
      <w:r>
        <w:t>. Previously</w:t>
      </w:r>
      <w:r w:rsidR="008E4B9D">
        <w:t>,</w:t>
      </w:r>
      <w:r>
        <w:t xml:space="preserve"> the ACMA reported total retail and wholesale services</w:t>
      </w:r>
      <w:r w:rsidR="009C2852">
        <w:t xml:space="preserve"> but not resale services.</w:t>
      </w:r>
      <w:r>
        <w:t xml:space="preserve"> </w:t>
      </w:r>
    </w:p>
    <w:p w14:paraId="0BDF84A0" w14:textId="77777777" w:rsidR="004320FF" w:rsidRDefault="004320FF" w:rsidP="00B321E1">
      <w:pPr>
        <w:pStyle w:val="ACMANotes"/>
      </w:pPr>
      <w:r>
        <w:rPr>
          <w:vertAlign w:val="superscript"/>
        </w:rPr>
        <w:t>†</w:t>
      </w:r>
      <w:r>
        <w:t>June 2016 data was revised by the ACCC and differs from what was reported in 2016.</w:t>
      </w:r>
    </w:p>
    <w:p w14:paraId="18EFAEB7" w14:textId="77777777" w:rsidR="00B321E1" w:rsidRDefault="00B321E1" w:rsidP="00DE0C7F">
      <w:pPr>
        <w:pStyle w:val="ACMANotesspaceafter"/>
        <w:spacing w:after="360"/>
      </w:pPr>
      <w:r>
        <w:t>Source: See Chapter 1. Further explanatory details for this data can be found in the source chapter.</w:t>
      </w:r>
    </w:p>
    <w:p w14:paraId="3E0E6BFC" w14:textId="77777777" w:rsidR="00B321E1" w:rsidRDefault="00B321E1" w:rsidP="00CE059B">
      <w:pPr>
        <w:pStyle w:val="Heading3"/>
        <w:spacing w:before="0" w:after="120"/>
      </w:pPr>
      <w:bookmarkStart w:id="108" w:name="_Toc494799309"/>
      <w:bookmarkStart w:id="109" w:name="_Toc494805612"/>
      <w:bookmarkStart w:id="110" w:name="_Toc494805841"/>
      <w:bookmarkStart w:id="111" w:name="_Toc494808071"/>
      <w:bookmarkStart w:id="112" w:name="_Toc494808475"/>
      <w:bookmarkStart w:id="113" w:name="_Toc494815877"/>
      <w:bookmarkStart w:id="114" w:name="_Toc494818738"/>
      <w:bookmarkStart w:id="115" w:name="_Toc494819005"/>
      <w:r>
        <w:t xml:space="preserve">Number of </w:t>
      </w:r>
      <w:r w:rsidR="008E4B9D">
        <w:t>i</w:t>
      </w:r>
      <w:r>
        <w:t>nternet subscribers</w:t>
      </w:r>
      <w:bookmarkEnd w:id="108"/>
      <w:bookmarkEnd w:id="109"/>
      <w:bookmarkEnd w:id="110"/>
      <w:bookmarkEnd w:id="111"/>
      <w:bookmarkEnd w:id="112"/>
      <w:bookmarkEnd w:id="113"/>
      <w:bookmarkEnd w:id="114"/>
      <w:bookmarkEnd w:id="115"/>
      <w:r>
        <w:t xml:space="preserve"> (millions)</w:t>
      </w:r>
    </w:p>
    <w:tbl>
      <w:tblPr>
        <w:tblStyle w:val="Commsreport2017"/>
        <w:tblW w:w="9498" w:type="dxa"/>
        <w:tblInd w:w="5" w:type="dxa"/>
        <w:tblLayout w:type="fixed"/>
        <w:tblCellMar>
          <w:top w:w="57" w:type="dxa"/>
          <w:left w:w="57" w:type="dxa"/>
          <w:bottom w:w="57" w:type="dxa"/>
          <w:right w:w="57" w:type="dxa"/>
        </w:tblCellMar>
        <w:tblLook w:val="04A0" w:firstRow="1" w:lastRow="0" w:firstColumn="1" w:lastColumn="0" w:noHBand="0" w:noVBand="1"/>
        <w:tblCaption w:val="Telecommunications services: Number of services"/>
      </w:tblPr>
      <w:tblGrid>
        <w:gridCol w:w="2972"/>
        <w:gridCol w:w="1087"/>
        <w:gridCol w:w="1088"/>
        <w:gridCol w:w="1088"/>
        <w:gridCol w:w="1087"/>
        <w:gridCol w:w="1088"/>
        <w:gridCol w:w="1088"/>
      </w:tblGrid>
      <w:tr w:rsidR="00B321E1" w14:paraId="15727412" w14:textId="77777777" w:rsidTr="00EC183A">
        <w:trPr>
          <w:cnfStyle w:val="100000000000" w:firstRow="1" w:lastRow="0" w:firstColumn="0" w:lastColumn="0" w:oddVBand="0" w:evenVBand="0" w:oddHBand="0" w:evenHBand="0" w:firstRowFirstColumn="0" w:firstRowLastColumn="0" w:lastRowFirstColumn="0" w:lastRowLastColumn="0"/>
          <w:trHeight w:val="334"/>
          <w:tblHeader/>
        </w:trPr>
        <w:tc>
          <w:tcPr>
            <w:cnfStyle w:val="001000000000" w:firstRow="0" w:lastRow="0" w:firstColumn="1" w:lastColumn="0" w:oddVBand="0" w:evenVBand="0" w:oddHBand="0" w:evenHBand="0" w:firstRowFirstColumn="0" w:firstRowLastColumn="0" w:lastRowFirstColumn="0" w:lastRowLastColumn="0"/>
            <w:tcW w:w="2972" w:type="dxa"/>
            <w:tcBorders>
              <w:top w:val="nil"/>
              <w:left w:val="nil"/>
              <w:right w:val="nil"/>
            </w:tcBorders>
            <w:shd w:val="clear" w:color="auto" w:fill="auto"/>
          </w:tcPr>
          <w:p w14:paraId="4A5183A7" w14:textId="77777777" w:rsidR="00B321E1" w:rsidRDefault="00B321E1" w:rsidP="00DE0C7F">
            <w:pPr>
              <w:pStyle w:val="ACMATableText"/>
              <w:spacing w:beforeLines="0" w:before="0" w:afterLines="0" w:after="0"/>
              <w:jc w:val="right"/>
            </w:pPr>
          </w:p>
        </w:tc>
        <w:tc>
          <w:tcPr>
            <w:tcW w:w="1087" w:type="dxa"/>
            <w:tcBorders>
              <w:left w:val="nil"/>
            </w:tcBorders>
            <w:hideMark/>
          </w:tcPr>
          <w:p w14:paraId="34348718"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t xml:space="preserve">Jun 13 </w:t>
            </w:r>
          </w:p>
        </w:tc>
        <w:tc>
          <w:tcPr>
            <w:tcW w:w="1088" w:type="dxa"/>
            <w:hideMark/>
          </w:tcPr>
          <w:p w14:paraId="5E2F6CFF"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t xml:space="preserve">Jun 14 </w:t>
            </w:r>
          </w:p>
        </w:tc>
        <w:tc>
          <w:tcPr>
            <w:tcW w:w="1088" w:type="dxa"/>
            <w:hideMark/>
          </w:tcPr>
          <w:p w14:paraId="5C756533"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t xml:space="preserve">Jun 15 </w:t>
            </w:r>
          </w:p>
        </w:tc>
        <w:tc>
          <w:tcPr>
            <w:tcW w:w="1087" w:type="dxa"/>
            <w:hideMark/>
          </w:tcPr>
          <w:p w14:paraId="1EB84B51"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t xml:space="preserve">Jun 16 </w:t>
            </w:r>
          </w:p>
        </w:tc>
        <w:tc>
          <w:tcPr>
            <w:tcW w:w="1088" w:type="dxa"/>
            <w:hideMark/>
          </w:tcPr>
          <w:p w14:paraId="1F2E2A96"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t xml:space="preserve">Jun 17 </w:t>
            </w:r>
          </w:p>
        </w:tc>
        <w:tc>
          <w:tcPr>
            <w:tcW w:w="1088" w:type="dxa"/>
            <w:hideMark/>
          </w:tcPr>
          <w:p w14:paraId="49246CE5" w14:textId="77777777" w:rsidR="00B321E1" w:rsidRPr="00F44992" w:rsidRDefault="00B321E1" w:rsidP="00DE0C7F">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F44992">
              <w:rPr>
                <w:rFonts w:cs="Arial"/>
                <w:szCs w:val="18"/>
              </w:rPr>
              <w:t>2016–17 change (%)</w:t>
            </w:r>
          </w:p>
        </w:tc>
      </w:tr>
      <w:tr w:rsidR="00B321E1" w14:paraId="4AD88CBE" w14:textId="77777777" w:rsidTr="000F3E58">
        <w:trPr>
          <w:trHeight w:val="156"/>
        </w:trPr>
        <w:tc>
          <w:tcPr>
            <w:cnfStyle w:val="001000000000" w:firstRow="0" w:lastRow="0" w:firstColumn="1" w:lastColumn="0" w:oddVBand="0" w:evenVBand="0" w:oddHBand="0" w:evenHBand="0" w:firstRowFirstColumn="0" w:firstRowLastColumn="0" w:lastRowFirstColumn="0" w:lastRowLastColumn="0"/>
            <w:tcW w:w="2972" w:type="dxa"/>
            <w:hideMark/>
          </w:tcPr>
          <w:p w14:paraId="62DB9913" w14:textId="77777777" w:rsidR="00B321E1" w:rsidRPr="00A5114A" w:rsidRDefault="00B321E1" w:rsidP="00DE0C7F">
            <w:pPr>
              <w:pStyle w:val="ACMATableText"/>
              <w:spacing w:before="0" w:after="0"/>
              <w:rPr>
                <w:b/>
                <w:i/>
              </w:rPr>
            </w:pPr>
            <w:r w:rsidRPr="00A5114A">
              <w:rPr>
                <w:b/>
                <w:i/>
              </w:rPr>
              <w:t>Total mobile subscribers</w:t>
            </w:r>
            <w:r w:rsidRPr="00313AEA">
              <w:rPr>
                <w:b/>
                <w:i/>
                <w:vertAlign w:val="superscript"/>
              </w:rPr>
              <w:t>†</w:t>
            </w:r>
          </w:p>
        </w:tc>
        <w:tc>
          <w:tcPr>
            <w:tcW w:w="1087" w:type="dxa"/>
            <w:hideMark/>
          </w:tcPr>
          <w:p w14:paraId="1D8C5322"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25.80</w:t>
            </w:r>
          </w:p>
        </w:tc>
        <w:tc>
          <w:tcPr>
            <w:tcW w:w="1088" w:type="dxa"/>
            <w:hideMark/>
          </w:tcPr>
          <w:p w14:paraId="2B5E020A"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26.52</w:t>
            </w:r>
          </w:p>
        </w:tc>
        <w:tc>
          <w:tcPr>
            <w:tcW w:w="1088" w:type="dxa"/>
            <w:hideMark/>
          </w:tcPr>
          <w:p w14:paraId="5081066F"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29.66</w:t>
            </w:r>
          </w:p>
        </w:tc>
        <w:tc>
          <w:tcPr>
            <w:tcW w:w="1087" w:type="dxa"/>
            <w:hideMark/>
          </w:tcPr>
          <w:p w14:paraId="00E0B123"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30.86</w:t>
            </w:r>
          </w:p>
        </w:tc>
        <w:tc>
          <w:tcPr>
            <w:tcW w:w="1088" w:type="dxa"/>
          </w:tcPr>
          <w:p w14:paraId="46F832E7"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32.44</w:t>
            </w:r>
          </w:p>
        </w:tc>
        <w:tc>
          <w:tcPr>
            <w:tcW w:w="1088" w:type="dxa"/>
          </w:tcPr>
          <w:p w14:paraId="3AC5A1AF" w14:textId="77777777" w:rsidR="00B321E1" w:rsidRPr="00F44992"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color w:val="000000" w:themeColor="text1"/>
              </w:rPr>
            </w:pPr>
            <w:r w:rsidRPr="00F44992">
              <w:rPr>
                <w:color w:val="000000" w:themeColor="text1"/>
              </w:rPr>
              <w:t>5.1</w:t>
            </w:r>
          </w:p>
        </w:tc>
      </w:tr>
      <w:tr w:rsidR="00B321E1" w14:paraId="1B290AFF" w14:textId="77777777" w:rsidTr="000F3E58">
        <w:trPr>
          <w:trHeight w:val="104"/>
        </w:trPr>
        <w:tc>
          <w:tcPr>
            <w:cnfStyle w:val="001000000000" w:firstRow="0" w:lastRow="0" w:firstColumn="1" w:lastColumn="0" w:oddVBand="0" w:evenVBand="0" w:oddHBand="0" w:evenHBand="0" w:firstRowFirstColumn="0" w:firstRowLastColumn="0" w:lastRowFirstColumn="0" w:lastRowLastColumn="0"/>
            <w:tcW w:w="2972" w:type="dxa"/>
            <w:hideMark/>
          </w:tcPr>
          <w:p w14:paraId="709C2A84" w14:textId="77777777" w:rsidR="00B321E1" w:rsidRPr="00054A14" w:rsidRDefault="00B321E1" w:rsidP="00DE0C7F">
            <w:pPr>
              <w:pStyle w:val="ACMATableText"/>
              <w:spacing w:before="0" w:after="0"/>
            </w:pPr>
            <w:r w:rsidRPr="00054A14">
              <w:t>Mobile handset subscribers</w:t>
            </w:r>
          </w:p>
        </w:tc>
        <w:tc>
          <w:tcPr>
            <w:tcW w:w="1087" w:type="dxa"/>
            <w:hideMark/>
          </w:tcPr>
          <w:p w14:paraId="3217ED76"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19.65</w:t>
            </w:r>
          </w:p>
        </w:tc>
        <w:tc>
          <w:tcPr>
            <w:tcW w:w="1088" w:type="dxa"/>
            <w:hideMark/>
          </w:tcPr>
          <w:p w14:paraId="5AFD83BC"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20.57</w:t>
            </w:r>
          </w:p>
        </w:tc>
        <w:tc>
          <w:tcPr>
            <w:tcW w:w="1088" w:type="dxa"/>
            <w:hideMark/>
          </w:tcPr>
          <w:p w14:paraId="4AB3A228"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23.65</w:t>
            </w:r>
          </w:p>
        </w:tc>
        <w:tc>
          <w:tcPr>
            <w:tcW w:w="1087" w:type="dxa"/>
            <w:hideMark/>
          </w:tcPr>
          <w:p w14:paraId="6860B0B8"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24.82</w:t>
            </w:r>
          </w:p>
        </w:tc>
        <w:tc>
          <w:tcPr>
            <w:tcW w:w="1088" w:type="dxa"/>
          </w:tcPr>
          <w:p w14:paraId="60687B07"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26.33</w:t>
            </w:r>
          </w:p>
        </w:tc>
        <w:tc>
          <w:tcPr>
            <w:tcW w:w="1088" w:type="dxa"/>
          </w:tcPr>
          <w:p w14:paraId="2344A2DF"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6.1</w:t>
            </w:r>
          </w:p>
        </w:tc>
      </w:tr>
      <w:tr w:rsidR="00B321E1" w14:paraId="1C8F3B1B" w14:textId="77777777" w:rsidTr="007A27B1">
        <w:trPr>
          <w:trHeight w:val="350"/>
        </w:trPr>
        <w:tc>
          <w:tcPr>
            <w:cnfStyle w:val="001000000000" w:firstRow="0" w:lastRow="0" w:firstColumn="1" w:lastColumn="0" w:oddVBand="0" w:evenVBand="0" w:oddHBand="0" w:evenHBand="0" w:firstRowFirstColumn="0" w:firstRowLastColumn="0" w:lastRowFirstColumn="0" w:lastRowLastColumn="0"/>
            <w:tcW w:w="2972" w:type="dxa"/>
            <w:hideMark/>
          </w:tcPr>
          <w:p w14:paraId="1097A524" w14:textId="77777777" w:rsidR="00B321E1" w:rsidRPr="00054A14" w:rsidRDefault="00B321E1" w:rsidP="00DE0C7F">
            <w:pPr>
              <w:pStyle w:val="ACMATableText"/>
              <w:spacing w:before="0" w:after="0"/>
            </w:pPr>
            <w:r w:rsidRPr="00054A14">
              <w:t>Mobile wireless broadband (e.g., dongle/datacard)</w:t>
            </w:r>
            <w:r>
              <w:t xml:space="preserve"> subscribers</w:t>
            </w:r>
          </w:p>
        </w:tc>
        <w:tc>
          <w:tcPr>
            <w:tcW w:w="1087" w:type="dxa"/>
            <w:hideMark/>
          </w:tcPr>
          <w:p w14:paraId="24A71B04"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6.15</w:t>
            </w:r>
          </w:p>
        </w:tc>
        <w:tc>
          <w:tcPr>
            <w:tcW w:w="1088" w:type="dxa"/>
            <w:hideMark/>
          </w:tcPr>
          <w:p w14:paraId="39C42020"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5.95</w:t>
            </w:r>
          </w:p>
        </w:tc>
        <w:tc>
          <w:tcPr>
            <w:tcW w:w="1088" w:type="dxa"/>
            <w:hideMark/>
          </w:tcPr>
          <w:p w14:paraId="341143E4"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6.00</w:t>
            </w:r>
          </w:p>
        </w:tc>
        <w:tc>
          <w:tcPr>
            <w:tcW w:w="1087" w:type="dxa"/>
            <w:hideMark/>
          </w:tcPr>
          <w:p w14:paraId="15665A9F"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6.04</w:t>
            </w:r>
          </w:p>
        </w:tc>
        <w:tc>
          <w:tcPr>
            <w:tcW w:w="1088" w:type="dxa"/>
          </w:tcPr>
          <w:p w14:paraId="12AF429B"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6.11</w:t>
            </w:r>
          </w:p>
        </w:tc>
        <w:tc>
          <w:tcPr>
            <w:tcW w:w="1088" w:type="dxa"/>
          </w:tcPr>
          <w:p w14:paraId="689AFAAA"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pPr>
            <w:r>
              <w:t>1.1</w:t>
            </w:r>
          </w:p>
        </w:tc>
      </w:tr>
      <w:tr w:rsidR="00B321E1" w14:paraId="152121A0" w14:textId="77777777" w:rsidTr="000F3E58">
        <w:trPr>
          <w:trHeight w:val="89"/>
        </w:trPr>
        <w:tc>
          <w:tcPr>
            <w:cnfStyle w:val="001000000000" w:firstRow="0" w:lastRow="0" w:firstColumn="1" w:lastColumn="0" w:oddVBand="0" w:evenVBand="0" w:oddHBand="0" w:evenHBand="0" w:firstRowFirstColumn="0" w:firstRowLastColumn="0" w:lastRowFirstColumn="0" w:lastRowLastColumn="0"/>
            <w:tcW w:w="2972" w:type="dxa"/>
          </w:tcPr>
          <w:p w14:paraId="3DDB2B23" w14:textId="77777777" w:rsidR="00B321E1" w:rsidRPr="00D546F9" w:rsidRDefault="00B321E1" w:rsidP="00DE0C7F">
            <w:pPr>
              <w:pStyle w:val="ACMATableText"/>
              <w:spacing w:before="0" w:after="0"/>
              <w:rPr>
                <w:b/>
                <w:i/>
              </w:rPr>
            </w:pPr>
            <w:r w:rsidRPr="00D546F9">
              <w:rPr>
                <w:b/>
                <w:i/>
              </w:rPr>
              <w:t>Total fixed internet subscribers</w:t>
            </w:r>
          </w:p>
        </w:tc>
        <w:tc>
          <w:tcPr>
            <w:tcW w:w="1087" w:type="dxa"/>
          </w:tcPr>
          <w:p w14:paraId="1C12BDA0"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Pr>
                <w:b/>
                <w:i/>
              </w:rPr>
              <w:t>6.21</w:t>
            </w:r>
          </w:p>
        </w:tc>
        <w:tc>
          <w:tcPr>
            <w:tcW w:w="1088" w:type="dxa"/>
          </w:tcPr>
          <w:p w14:paraId="160169C9"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Pr>
                <w:b/>
                <w:i/>
              </w:rPr>
              <w:t>6.53</w:t>
            </w:r>
          </w:p>
        </w:tc>
        <w:tc>
          <w:tcPr>
            <w:tcW w:w="1088" w:type="dxa"/>
          </w:tcPr>
          <w:p w14:paraId="4F440282"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Pr>
                <w:b/>
                <w:i/>
              </w:rPr>
              <w:t>6.76</w:t>
            </w:r>
          </w:p>
        </w:tc>
        <w:tc>
          <w:tcPr>
            <w:tcW w:w="1087" w:type="dxa"/>
          </w:tcPr>
          <w:p w14:paraId="7F2121CB"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Pr>
                <w:b/>
                <w:i/>
              </w:rPr>
              <w:t>7.26</w:t>
            </w:r>
          </w:p>
        </w:tc>
        <w:tc>
          <w:tcPr>
            <w:tcW w:w="1088" w:type="dxa"/>
          </w:tcPr>
          <w:p w14:paraId="351A7084"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Pr>
                <w:b/>
                <w:i/>
              </w:rPr>
              <w:t>7.64</w:t>
            </w:r>
          </w:p>
        </w:tc>
        <w:tc>
          <w:tcPr>
            <w:tcW w:w="1088" w:type="dxa"/>
          </w:tcPr>
          <w:p w14:paraId="525B56E3"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i/>
              </w:rPr>
            </w:pPr>
            <w:r w:rsidRPr="00411057">
              <w:rPr>
                <w:b/>
                <w:i/>
              </w:rPr>
              <w:t>5</w:t>
            </w:r>
            <w:r>
              <w:rPr>
                <w:b/>
                <w:i/>
              </w:rPr>
              <w:t>.3</w:t>
            </w:r>
          </w:p>
        </w:tc>
      </w:tr>
      <w:tr w:rsidR="00B321E1" w14:paraId="32A11D20" w14:textId="77777777" w:rsidTr="000F3E58">
        <w:trPr>
          <w:trHeight w:val="237"/>
        </w:trPr>
        <w:tc>
          <w:tcPr>
            <w:cnfStyle w:val="001000000000" w:firstRow="0" w:lastRow="0" w:firstColumn="1" w:lastColumn="0" w:oddVBand="0" w:evenVBand="0" w:oddHBand="0" w:evenHBand="0" w:firstRowFirstColumn="0" w:firstRowLastColumn="0" w:lastRowFirstColumn="0" w:lastRowLastColumn="0"/>
            <w:tcW w:w="2972" w:type="dxa"/>
            <w:shd w:val="clear" w:color="auto" w:fill="F2F2F2" w:themeFill="background1" w:themeFillShade="F2"/>
            <w:hideMark/>
          </w:tcPr>
          <w:p w14:paraId="3313C4D4" w14:textId="77777777" w:rsidR="00B321E1" w:rsidRPr="00411057" w:rsidRDefault="00B321E1" w:rsidP="00DE0C7F">
            <w:pPr>
              <w:pStyle w:val="ACMATableText"/>
              <w:spacing w:before="0" w:after="0"/>
              <w:rPr>
                <w:b/>
              </w:rPr>
            </w:pPr>
            <w:r w:rsidRPr="00411057">
              <w:rPr>
                <w:b/>
              </w:rPr>
              <w:t>Total internet service subscribers</w:t>
            </w:r>
            <w:r w:rsidRPr="00411057">
              <w:rPr>
                <w:b/>
                <w:sz w:val="16"/>
                <w:szCs w:val="16"/>
                <w:vertAlign w:val="superscript"/>
              </w:rPr>
              <w:t>‡</w:t>
            </w:r>
          </w:p>
        </w:tc>
        <w:tc>
          <w:tcPr>
            <w:tcW w:w="1087" w:type="dxa"/>
            <w:shd w:val="clear" w:color="auto" w:fill="F2F2F2" w:themeFill="background1" w:themeFillShade="F2"/>
            <w:hideMark/>
          </w:tcPr>
          <w:p w14:paraId="1872BA5B"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Pr>
                <w:b/>
              </w:rPr>
              <w:t>32.00</w:t>
            </w:r>
          </w:p>
        </w:tc>
        <w:tc>
          <w:tcPr>
            <w:tcW w:w="1088" w:type="dxa"/>
            <w:shd w:val="clear" w:color="auto" w:fill="F2F2F2" w:themeFill="background1" w:themeFillShade="F2"/>
            <w:hideMark/>
          </w:tcPr>
          <w:p w14:paraId="0463F786"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Pr>
                <w:b/>
              </w:rPr>
              <w:t>33.05</w:t>
            </w:r>
          </w:p>
        </w:tc>
        <w:tc>
          <w:tcPr>
            <w:tcW w:w="1088" w:type="dxa"/>
            <w:shd w:val="clear" w:color="auto" w:fill="F2F2F2" w:themeFill="background1" w:themeFillShade="F2"/>
            <w:hideMark/>
          </w:tcPr>
          <w:p w14:paraId="0A1B8794"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Pr>
                <w:b/>
              </w:rPr>
              <w:t>36.41</w:t>
            </w:r>
          </w:p>
        </w:tc>
        <w:tc>
          <w:tcPr>
            <w:tcW w:w="1087" w:type="dxa"/>
            <w:shd w:val="clear" w:color="auto" w:fill="F2F2F2" w:themeFill="background1" w:themeFillShade="F2"/>
            <w:hideMark/>
          </w:tcPr>
          <w:p w14:paraId="5D2CFF92"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Pr>
                <w:b/>
              </w:rPr>
              <w:t>38.12</w:t>
            </w:r>
          </w:p>
        </w:tc>
        <w:tc>
          <w:tcPr>
            <w:tcW w:w="1088" w:type="dxa"/>
            <w:shd w:val="clear" w:color="auto" w:fill="F2F2F2" w:themeFill="background1" w:themeFillShade="F2"/>
          </w:tcPr>
          <w:p w14:paraId="225576D5"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Pr>
                <w:b/>
              </w:rPr>
              <w:t>40.08</w:t>
            </w:r>
          </w:p>
        </w:tc>
        <w:tc>
          <w:tcPr>
            <w:tcW w:w="1088" w:type="dxa"/>
            <w:shd w:val="clear" w:color="auto" w:fill="F2F2F2" w:themeFill="background1" w:themeFillShade="F2"/>
          </w:tcPr>
          <w:p w14:paraId="43BC8758" w14:textId="77777777" w:rsidR="00B321E1" w:rsidRPr="00411057"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b/>
              </w:rPr>
            </w:pPr>
            <w:r w:rsidRPr="00411057">
              <w:rPr>
                <w:b/>
              </w:rPr>
              <w:t>5.2</w:t>
            </w:r>
          </w:p>
        </w:tc>
      </w:tr>
    </w:tbl>
    <w:p w14:paraId="69E72C83" w14:textId="77777777" w:rsidR="00B321E1" w:rsidRDefault="00B321E1" w:rsidP="00B02A48">
      <w:pPr>
        <w:pStyle w:val="ACMANotes"/>
        <w:spacing w:before="120"/>
      </w:pPr>
      <w:r>
        <w:rPr>
          <w:vertAlign w:val="superscript"/>
        </w:rPr>
        <w:t>†</w:t>
      </w:r>
      <w:r>
        <w:t>Sum of mobile phone handset and mobile wireless broadband subscribers. ABS has revised 2015 and 2016 figures for mobile handset subscribers and they are different fr</w:t>
      </w:r>
      <w:r w:rsidR="00114A34">
        <w:t>om those previously published.</w:t>
      </w:r>
    </w:p>
    <w:p w14:paraId="64A3A043" w14:textId="77777777" w:rsidR="00B321E1" w:rsidRDefault="00B321E1" w:rsidP="00B321E1">
      <w:pPr>
        <w:pStyle w:val="ACMANotes"/>
      </w:pPr>
      <w:r>
        <w:rPr>
          <w:vertAlign w:val="superscript"/>
        </w:rPr>
        <w:t>‡</w:t>
      </w:r>
      <w:r>
        <w:t>Including mobile phone handset, mobile wireless broadband, fixed-broadband, satellite, fixed-wireless, other broadband and dial-up subscribers.</w:t>
      </w:r>
    </w:p>
    <w:p w14:paraId="74482226" w14:textId="77777777" w:rsidR="00B321E1" w:rsidRDefault="00B321E1" w:rsidP="00B321E1">
      <w:pPr>
        <w:pStyle w:val="ACMANotes"/>
      </w:pPr>
      <w:r>
        <w:t xml:space="preserve">Note: Counts of subscribers published in previous communications reports may vary due to revisions by the ABS. Percentage changes are calculated on non-rounded data. </w:t>
      </w:r>
    </w:p>
    <w:p w14:paraId="0E52F6A8" w14:textId="77777777" w:rsidR="00B321E1" w:rsidRDefault="00B321E1" w:rsidP="00DE0C7F">
      <w:pPr>
        <w:pStyle w:val="ACMANotesspaceafter"/>
        <w:spacing w:after="360"/>
      </w:pPr>
      <w:r>
        <w:t>Source: See Chapter 1. Further explanatory details for this data can be found in the source chapter.</w:t>
      </w:r>
    </w:p>
    <w:p w14:paraId="1FCD3F69" w14:textId="77777777" w:rsidR="00B321E1" w:rsidRDefault="00E03F99" w:rsidP="00CE059B">
      <w:pPr>
        <w:pStyle w:val="Heading3"/>
        <w:spacing w:before="0" w:after="120"/>
      </w:pPr>
      <w:bookmarkStart w:id="116" w:name="_Toc494799310"/>
      <w:bookmarkStart w:id="117" w:name="_Toc494805613"/>
      <w:bookmarkStart w:id="118" w:name="_Toc494805842"/>
      <w:bookmarkStart w:id="119" w:name="_Toc494808072"/>
      <w:bookmarkStart w:id="120" w:name="_Toc494808476"/>
      <w:bookmarkStart w:id="121" w:name="_Toc494815878"/>
      <w:bookmarkStart w:id="122" w:name="_Toc494818739"/>
      <w:bookmarkStart w:id="123" w:name="_Toc494819006"/>
      <w:bookmarkStart w:id="124" w:name="_Toc465842821"/>
      <w:bookmarkStart w:id="125" w:name="_Toc465178910"/>
      <w:bookmarkStart w:id="126" w:name="_Toc463528998"/>
      <w:bookmarkStart w:id="127" w:name="_Toc462899518"/>
      <w:r>
        <w:t>Have a</w:t>
      </w:r>
      <w:r w:rsidR="00B321E1">
        <w:t xml:space="preserve"> fixed-line telephone, smartphone or </w:t>
      </w:r>
      <w:r>
        <w:t xml:space="preserve">are </w:t>
      </w:r>
      <w:r w:rsidR="00B321E1">
        <w:t>mobile</w:t>
      </w:r>
      <w:r w:rsidR="008E4B9D">
        <w:t>-</w:t>
      </w:r>
      <w:r w:rsidR="00B321E1">
        <w:t>phone</w:t>
      </w:r>
      <w:r w:rsidR="008E4B9D">
        <w:t>-</w:t>
      </w:r>
      <w:r w:rsidR="00B321E1">
        <w:t>only (millions)</w:t>
      </w:r>
      <w:bookmarkEnd w:id="116"/>
      <w:bookmarkEnd w:id="117"/>
      <w:bookmarkEnd w:id="118"/>
      <w:bookmarkEnd w:id="119"/>
      <w:bookmarkEnd w:id="120"/>
      <w:bookmarkEnd w:id="121"/>
      <w:bookmarkEnd w:id="122"/>
      <w:bookmarkEnd w:id="123"/>
    </w:p>
    <w:tbl>
      <w:tblPr>
        <w:tblStyle w:val="Commsreport2017"/>
        <w:tblW w:w="9493" w:type="dxa"/>
        <w:tblInd w:w="5" w:type="dxa"/>
        <w:tblLayout w:type="fixed"/>
        <w:tblCellMar>
          <w:top w:w="57" w:type="dxa"/>
          <w:left w:w="57" w:type="dxa"/>
          <w:bottom w:w="57" w:type="dxa"/>
          <w:right w:w="57" w:type="dxa"/>
        </w:tblCellMar>
        <w:tblLook w:val="04A0" w:firstRow="1" w:lastRow="0" w:firstColumn="1" w:lastColumn="0" w:noHBand="0" w:noVBand="1"/>
        <w:tblCaption w:val="Telecommunications services:  Use of services"/>
      </w:tblPr>
      <w:tblGrid>
        <w:gridCol w:w="2972"/>
        <w:gridCol w:w="1086"/>
        <w:gridCol w:w="1087"/>
        <w:gridCol w:w="1087"/>
        <w:gridCol w:w="1087"/>
        <w:gridCol w:w="1087"/>
        <w:gridCol w:w="1087"/>
      </w:tblGrid>
      <w:tr w:rsidR="00773ABE" w:rsidRPr="00773ABE" w14:paraId="386C69A1" w14:textId="77777777" w:rsidTr="00EC183A">
        <w:trPr>
          <w:cnfStyle w:val="100000000000" w:firstRow="1" w:lastRow="0" w:firstColumn="0" w:lastColumn="0" w:oddVBand="0" w:evenVBand="0" w:oddHBand="0" w:evenHBand="0" w:firstRowFirstColumn="0" w:firstRowLastColumn="0" w:lastRowFirstColumn="0" w:lastRowLastColumn="0"/>
          <w:trHeight w:val="218"/>
          <w:tblHeader/>
        </w:trPr>
        <w:tc>
          <w:tcPr>
            <w:cnfStyle w:val="001000000000" w:firstRow="0" w:lastRow="0" w:firstColumn="1" w:lastColumn="0" w:oddVBand="0" w:evenVBand="0" w:oddHBand="0" w:evenHBand="0" w:firstRowFirstColumn="0" w:firstRowLastColumn="0" w:lastRowFirstColumn="0" w:lastRowLastColumn="0"/>
            <w:tcW w:w="2972" w:type="dxa"/>
            <w:tcBorders>
              <w:top w:val="nil"/>
              <w:left w:val="nil"/>
              <w:right w:val="nil"/>
            </w:tcBorders>
            <w:shd w:val="clear" w:color="auto" w:fill="auto"/>
          </w:tcPr>
          <w:p w14:paraId="20065159" w14:textId="77777777" w:rsidR="00773ABE" w:rsidRPr="00773ABE" w:rsidRDefault="00773ABE" w:rsidP="00DE0C7F">
            <w:pPr>
              <w:pStyle w:val="ACMATableText"/>
              <w:spacing w:beforeLines="0" w:before="0" w:afterLines="0" w:after="0"/>
              <w:rPr>
                <w:rFonts w:cs="Arial"/>
                <w:b/>
              </w:rPr>
            </w:pPr>
          </w:p>
        </w:tc>
        <w:tc>
          <w:tcPr>
            <w:tcW w:w="1086" w:type="dxa"/>
            <w:tcBorders>
              <w:left w:val="nil"/>
            </w:tcBorders>
          </w:tcPr>
          <w:p w14:paraId="2D6B91A2" w14:textId="77777777" w:rsidR="00773ABE" w:rsidRPr="00773ABE" w:rsidRDefault="00773ABE"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773ABE">
              <w:rPr>
                <w:rFonts w:cs="Arial"/>
                <w:b/>
                <w:szCs w:val="18"/>
              </w:rPr>
              <w:t>Jun 13</w:t>
            </w:r>
          </w:p>
        </w:tc>
        <w:tc>
          <w:tcPr>
            <w:tcW w:w="1087" w:type="dxa"/>
          </w:tcPr>
          <w:p w14:paraId="12BEC693" w14:textId="77777777" w:rsidR="00773ABE" w:rsidRPr="00773ABE" w:rsidRDefault="00773ABE"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773ABE">
              <w:rPr>
                <w:rFonts w:cs="Arial"/>
                <w:b/>
                <w:szCs w:val="18"/>
              </w:rPr>
              <w:t>Jun 14</w:t>
            </w:r>
          </w:p>
        </w:tc>
        <w:tc>
          <w:tcPr>
            <w:tcW w:w="1087" w:type="dxa"/>
          </w:tcPr>
          <w:p w14:paraId="3BD4BD42" w14:textId="77777777" w:rsidR="00773ABE" w:rsidRPr="00773ABE" w:rsidRDefault="00773ABE"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773ABE">
              <w:rPr>
                <w:rFonts w:cs="Arial"/>
                <w:b/>
                <w:szCs w:val="18"/>
              </w:rPr>
              <w:t>Jun 15</w:t>
            </w:r>
          </w:p>
        </w:tc>
        <w:tc>
          <w:tcPr>
            <w:tcW w:w="1087" w:type="dxa"/>
          </w:tcPr>
          <w:p w14:paraId="6B6D6E3B" w14:textId="77777777" w:rsidR="00773ABE" w:rsidRPr="00773ABE" w:rsidRDefault="00773ABE" w:rsidP="00DE0C7F">
            <w:pPr>
              <w:pStyle w:val="ACMATableText"/>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szCs w:val="18"/>
              </w:rPr>
            </w:pPr>
            <w:r w:rsidRPr="00773ABE">
              <w:rPr>
                <w:rFonts w:cs="Arial"/>
                <w:b/>
                <w:szCs w:val="18"/>
              </w:rPr>
              <w:t>Jun 16</w:t>
            </w:r>
          </w:p>
        </w:tc>
        <w:tc>
          <w:tcPr>
            <w:tcW w:w="1087" w:type="dxa"/>
          </w:tcPr>
          <w:p w14:paraId="602AC4CB" w14:textId="77777777" w:rsidR="00773ABE" w:rsidRPr="00773ABE" w:rsidRDefault="00773ABE"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773ABE">
              <w:rPr>
                <w:rFonts w:cs="Arial"/>
                <w:b/>
                <w:szCs w:val="18"/>
              </w:rPr>
              <w:t>Jun 17</w:t>
            </w:r>
          </w:p>
        </w:tc>
        <w:tc>
          <w:tcPr>
            <w:tcW w:w="1087" w:type="dxa"/>
          </w:tcPr>
          <w:p w14:paraId="63CC8738" w14:textId="2E93B32A" w:rsidR="00773ABE" w:rsidRPr="00773ABE" w:rsidRDefault="005A10D6" w:rsidP="00DE0C7F">
            <w:pPr>
              <w:pStyle w:val="ACMATableText"/>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Pr>
                <w:rFonts w:cs="Arial"/>
                <w:b/>
                <w:szCs w:val="18"/>
              </w:rPr>
              <w:t>2016–</w:t>
            </w:r>
            <w:r w:rsidR="00DE0C7F">
              <w:rPr>
                <w:rFonts w:cs="Arial"/>
                <w:b/>
                <w:szCs w:val="18"/>
              </w:rPr>
              <w:t xml:space="preserve">17 change </w:t>
            </w:r>
            <w:r w:rsidR="00773ABE" w:rsidRPr="00773ABE">
              <w:rPr>
                <w:rFonts w:cs="Arial"/>
                <w:b/>
                <w:szCs w:val="18"/>
              </w:rPr>
              <w:t>(%)</w:t>
            </w:r>
          </w:p>
        </w:tc>
      </w:tr>
      <w:bookmarkEnd w:id="124"/>
      <w:bookmarkEnd w:id="125"/>
      <w:bookmarkEnd w:id="126"/>
      <w:bookmarkEnd w:id="127"/>
      <w:tr w:rsidR="00B321E1" w14:paraId="1F5C2172" w14:textId="77777777" w:rsidTr="000F3E58">
        <w:trPr>
          <w:trHeight w:val="142"/>
        </w:trPr>
        <w:tc>
          <w:tcPr>
            <w:cnfStyle w:val="001000000000" w:firstRow="0" w:lastRow="0" w:firstColumn="1" w:lastColumn="0" w:oddVBand="0" w:evenVBand="0" w:oddHBand="0" w:evenHBand="0" w:firstRowFirstColumn="0" w:firstRowLastColumn="0" w:lastRowFirstColumn="0" w:lastRowLastColumn="0"/>
            <w:tcW w:w="2972" w:type="dxa"/>
            <w:hideMark/>
          </w:tcPr>
          <w:p w14:paraId="321D09C0" w14:textId="77777777" w:rsidR="00B321E1" w:rsidRPr="00054A14" w:rsidRDefault="00B321E1" w:rsidP="00DE0C7F">
            <w:pPr>
              <w:pStyle w:val="ACMATableText"/>
              <w:spacing w:before="0" w:after="0"/>
              <w:rPr>
                <w:rFonts w:cs="Arial"/>
              </w:rPr>
            </w:pPr>
            <w:r w:rsidRPr="00054A14">
              <w:rPr>
                <w:rFonts w:cs="Arial"/>
              </w:rPr>
              <w:t xml:space="preserve">Fixed-line telephone </w:t>
            </w:r>
            <w:r w:rsidR="001F6B08">
              <w:rPr>
                <w:rFonts w:cs="Arial"/>
              </w:rPr>
              <w:t>at home</w:t>
            </w:r>
          </w:p>
        </w:tc>
        <w:tc>
          <w:tcPr>
            <w:tcW w:w="1086" w:type="dxa"/>
            <w:hideMark/>
          </w:tcPr>
          <w:p w14:paraId="1F0BD070"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13.34</w:t>
            </w:r>
          </w:p>
        </w:tc>
        <w:tc>
          <w:tcPr>
            <w:tcW w:w="1087" w:type="dxa"/>
          </w:tcPr>
          <w:p w14:paraId="23480951"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13.37</w:t>
            </w:r>
          </w:p>
        </w:tc>
        <w:tc>
          <w:tcPr>
            <w:tcW w:w="1087" w:type="dxa"/>
          </w:tcPr>
          <w:p w14:paraId="1D9A3DD9"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13.07</w:t>
            </w:r>
          </w:p>
        </w:tc>
        <w:tc>
          <w:tcPr>
            <w:tcW w:w="1087" w:type="dxa"/>
          </w:tcPr>
          <w:p w14:paraId="41436401"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12.56</w:t>
            </w:r>
          </w:p>
        </w:tc>
        <w:tc>
          <w:tcPr>
            <w:tcW w:w="1087" w:type="dxa"/>
          </w:tcPr>
          <w:p w14:paraId="516060B7"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11.92</w:t>
            </w:r>
          </w:p>
        </w:tc>
        <w:tc>
          <w:tcPr>
            <w:tcW w:w="1087" w:type="dxa"/>
          </w:tcPr>
          <w:p w14:paraId="796B2AF6" w14:textId="77777777" w:rsidR="00B321E1" w:rsidRDefault="000B0CE4"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w:t>
            </w:r>
            <w:r w:rsidR="00B321E1">
              <w:rPr>
                <w:rFonts w:cs="Arial"/>
                <w:szCs w:val="18"/>
              </w:rPr>
              <w:t xml:space="preserve">5.0 </w:t>
            </w:r>
          </w:p>
        </w:tc>
      </w:tr>
      <w:tr w:rsidR="00B321E1" w14:paraId="6A724030" w14:textId="77777777" w:rsidTr="000F3E58">
        <w:trPr>
          <w:trHeight w:val="232"/>
        </w:trPr>
        <w:tc>
          <w:tcPr>
            <w:cnfStyle w:val="001000000000" w:firstRow="0" w:lastRow="0" w:firstColumn="1" w:lastColumn="0" w:oddVBand="0" w:evenVBand="0" w:oddHBand="0" w:evenHBand="0" w:firstRowFirstColumn="0" w:firstRowLastColumn="0" w:lastRowFirstColumn="0" w:lastRowLastColumn="0"/>
            <w:tcW w:w="2972" w:type="dxa"/>
            <w:hideMark/>
          </w:tcPr>
          <w:p w14:paraId="2C7BD27B" w14:textId="77777777" w:rsidR="00B321E1" w:rsidRPr="00054A14" w:rsidRDefault="00E03F99" w:rsidP="00DE0C7F">
            <w:pPr>
              <w:pStyle w:val="ACMATableText"/>
              <w:spacing w:before="0" w:after="0"/>
              <w:rPr>
                <w:rFonts w:cs="Arial"/>
                <w:szCs w:val="18"/>
              </w:rPr>
            </w:pPr>
            <w:r>
              <w:rPr>
                <w:rFonts w:cs="Arial"/>
              </w:rPr>
              <w:t>Own or use a smartphone</w:t>
            </w:r>
          </w:p>
        </w:tc>
        <w:tc>
          <w:tcPr>
            <w:tcW w:w="1086" w:type="dxa"/>
            <w:hideMark/>
          </w:tcPr>
          <w:p w14:paraId="254677C6"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11.19</w:t>
            </w:r>
          </w:p>
        </w:tc>
        <w:tc>
          <w:tcPr>
            <w:tcW w:w="1087" w:type="dxa"/>
          </w:tcPr>
          <w:p w14:paraId="1B6DBE86"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12.07</w:t>
            </w:r>
          </w:p>
        </w:tc>
        <w:tc>
          <w:tcPr>
            <w:tcW w:w="1087" w:type="dxa"/>
          </w:tcPr>
          <w:p w14:paraId="5C32DB1E"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13.41</w:t>
            </w:r>
          </w:p>
        </w:tc>
        <w:tc>
          <w:tcPr>
            <w:tcW w:w="1087" w:type="dxa"/>
          </w:tcPr>
          <w:p w14:paraId="260CEFD5"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13.75</w:t>
            </w:r>
          </w:p>
        </w:tc>
        <w:tc>
          <w:tcPr>
            <w:tcW w:w="1087" w:type="dxa"/>
          </w:tcPr>
          <w:p w14:paraId="5959815D" w14:textId="77777777" w:rsidR="00B321E1" w:rsidRDefault="00765E24"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15.45</w:t>
            </w:r>
          </w:p>
        </w:tc>
        <w:tc>
          <w:tcPr>
            <w:tcW w:w="1087" w:type="dxa"/>
          </w:tcPr>
          <w:p w14:paraId="59C4B575"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n/a</w:t>
            </w:r>
            <w:r>
              <w:rPr>
                <w:vertAlign w:val="superscript"/>
              </w:rPr>
              <w:t>†</w:t>
            </w:r>
          </w:p>
        </w:tc>
      </w:tr>
      <w:tr w:rsidR="00B321E1" w14:paraId="42F896AC" w14:textId="77777777" w:rsidTr="000F3E58">
        <w:trPr>
          <w:trHeight w:val="286"/>
        </w:trPr>
        <w:tc>
          <w:tcPr>
            <w:cnfStyle w:val="001000000000" w:firstRow="0" w:lastRow="0" w:firstColumn="1" w:lastColumn="0" w:oddVBand="0" w:evenVBand="0" w:oddHBand="0" w:evenHBand="0" w:firstRowFirstColumn="0" w:firstRowLastColumn="0" w:lastRowFirstColumn="0" w:lastRowLastColumn="0"/>
            <w:tcW w:w="2972" w:type="dxa"/>
            <w:hideMark/>
          </w:tcPr>
          <w:p w14:paraId="3C1566DA" w14:textId="77777777" w:rsidR="00B321E1" w:rsidRPr="00054A14" w:rsidRDefault="00B321E1" w:rsidP="00DE0C7F">
            <w:pPr>
              <w:pStyle w:val="ACMATableText"/>
              <w:spacing w:before="0" w:after="0"/>
              <w:rPr>
                <w:rFonts w:cs="Arial"/>
                <w:szCs w:val="18"/>
              </w:rPr>
            </w:pPr>
            <w:r w:rsidRPr="00054A14">
              <w:rPr>
                <w:rFonts w:cs="Arial"/>
              </w:rPr>
              <w:t>Mobile phone users without a home fixed-line telephone</w:t>
            </w:r>
          </w:p>
        </w:tc>
        <w:tc>
          <w:tcPr>
            <w:tcW w:w="1086" w:type="dxa"/>
            <w:hideMark/>
          </w:tcPr>
          <w:p w14:paraId="1C1784E0"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4.01</w:t>
            </w:r>
          </w:p>
        </w:tc>
        <w:tc>
          <w:tcPr>
            <w:tcW w:w="1087" w:type="dxa"/>
          </w:tcPr>
          <w:p w14:paraId="4D514A62"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4.90</w:t>
            </w:r>
          </w:p>
        </w:tc>
        <w:tc>
          <w:tcPr>
            <w:tcW w:w="1087" w:type="dxa"/>
          </w:tcPr>
          <w:p w14:paraId="429F769B"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5.32</w:t>
            </w:r>
          </w:p>
        </w:tc>
        <w:tc>
          <w:tcPr>
            <w:tcW w:w="1087" w:type="dxa"/>
          </w:tcPr>
          <w:p w14:paraId="7A95EC73"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5.78</w:t>
            </w:r>
          </w:p>
        </w:tc>
        <w:tc>
          <w:tcPr>
            <w:tcW w:w="1087" w:type="dxa"/>
          </w:tcPr>
          <w:p w14:paraId="649CF74E"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6.67</w:t>
            </w:r>
          </w:p>
        </w:tc>
        <w:tc>
          <w:tcPr>
            <w:tcW w:w="1087" w:type="dxa"/>
          </w:tcPr>
          <w:p w14:paraId="74C84B2B" w14:textId="77777777" w:rsidR="00B321E1" w:rsidRDefault="00B321E1" w:rsidP="00DE0C7F">
            <w:pPr>
              <w:pStyle w:val="ACMATableText"/>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15.4</w:t>
            </w:r>
          </w:p>
        </w:tc>
      </w:tr>
    </w:tbl>
    <w:p w14:paraId="3C178D71" w14:textId="77777777" w:rsidR="00B321E1" w:rsidRDefault="00B321E1" w:rsidP="00A45509">
      <w:pPr>
        <w:pStyle w:val="ACMANotes"/>
        <w:spacing w:before="120"/>
      </w:pPr>
      <w:r>
        <w:rPr>
          <w:vertAlign w:val="superscript"/>
        </w:rPr>
        <w:t>†</w:t>
      </w:r>
      <w:r>
        <w:t>2017 data for smartphone users is not comparable with previous years due to a change in methodology.</w:t>
      </w:r>
    </w:p>
    <w:p w14:paraId="22905F0F" w14:textId="3526A181" w:rsidR="00A45509" w:rsidRDefault="00A45509" w:rsidP="00A45509">
      <w:pPr>
        <w:pStyle w:val="ACMANotes"/>
      </w:pPr>
      <w:r>
        <w:t xml:space="preserve">Note: Data relates to people aged 18 years and over. Percentage changes are calculated on non-rounded data. </w:t>
      </w:r>
    </w:p>
    <w:p w14:paraId="6E9A04BC" w14:textId="77777777" w:rsidR="00555643" w:rsidRPr="00531CD0" w:rsidRDefault="00B321E1" w:rsidP="00A65F02">
      <w:pPr>
        <w:pStyle w:val="ACMANotes"/>
        <w:spacing w:after="240"/>
      </w:pPr>
      <w:r>
        <w:t>Source: See Chapter 1. Further explanatory details for this data can be found in the source chapter</w:t>
      </w:r>
      <w:r w:rsidR="00555643" w:rsidRPr="00531CD0">
        <w:t>.</w:t>
      </w:r>
    </w:p>
    <w:p w14:paraId="25B49496" w14:textId="77777777" w:rsidR="00B321E1" w:rsidRDefault="00B321E1" w:rsidP="00CE059B">
      <w:pPr>
        <w:pStyle w:val="Heading3"/>
        <w:spacing w:before="0" w:after="120"/>
      </w:pPr>
      <w:bookmarkStart w:id="128" w:name="_Toc494799311"/>
      <w:bookmarkStart w:id="129" w:name="_Toc494805614"/>
      <w:bookmarkStart w:id="130" w:name="_Toc494805843"/>
      <w:bookmarkStart w:id="131" w:name="_Toc494808073"/>
      <w:bookmarkStart w:id="132" w:name="_Toc494808477"/>
      <w:bookmarkStart w:id="133" w:name="_Toc494815879"/>
      <w:bookmarkStart w:id="134" w:name="_Toc494818740"/>
      <w:bookmarkStart w:id="135" w:name="_Toc494819007"/>
      <w:r>
        <w:t>Payphones</w:t>
      </w:r>
      <w:bookmarkEnd w:id="128"/>
      <w:bookmarkEnd w:id="129"/>
      <w:bookmarkEnd w:id="130"/>
      <w:bookmarkEnd w:id="131"/>
      <w:bookmarkEnd w:id="132"/>
      <w:bookmarkEnd w:id="133"/>
      <w:bookmarkEnd w:id="134"/>
      <w:bookmarkEnd w:id="135"/>
      <w:r>
        <w:t xml:space="preserve"> (number)</w:t>
      </w:r>
    </w:p>
    <w:tbl>
      <w:tblPr>
        <w:tblW w:w="9435" w:type="dxa"/>
        <w:tblInd w:w="5" w:type="dxa"/>
        <w:tblBorders>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elecommunications services: Regulated or contracted services"/>
      </w:tblPr>
      <w:tblGrid>
        <w:gridCol w:w="2855"/>
        <w:gridCol w:w="1096"/>
        <w:gridCol w:w="1097"/>
        <w:gridCol w:w="1097"/>
        <w:gridCol w:w="1096"/>
        <w:gridCol w:w="1097"/>
        <w:gridCol w:w="1097"/>
      </w:tblGrid>
      <w:tr w:rsidR="005B6D94" w14:paraId="36DCFB12" w14:textId="77777777" w:rsidTr="000F3E58">
        <w:trPr>
          <w:trHeight w:val="341"/>
          <w:tblHeader/>
        </w:trPr>
        <w:tc>
          <w:tcPr>
            <w:tcW w:w="2855" w:type="dxa"/>
            <w:tcBorders>
              <w:bottom w:val="single" w:sz="4" w:space="0" w:color="BFBFBF" w:themeColor="background1" w:themeShade="BF"/>
            </w:tcBorders>
            <w:shd w:val="clear" w:color="auto" w:fill="FFFFFF" w:themeFill="background1"/>
            <w:vAlign w:val="center"/>
          </w:tcPr>
          <w:p w14:paraId="1BB514BD" w14:textId="77777777" w:rsidR="005B6D94" w:rsidRDefault="005B6D94" w:rsidP="001E3210">
            <w:pPr>
              <w:pStyle w:val="ACMATableText"/>
              <w:spacing w:before="0" w:after="0"/>
              <w:jc w:val="right"/>
            </w:pPr>
          </w:p>
        </w:tc>
        <w:tc>
          <w:tcPr>
            <w:tcW w:w="1096" w:type="dxa"/>
            <w:tcBorders>
              <w:bottom w:val="single" w:sz="4" w:space="0" w:color="BFBFBF" w:themeColor="background1" w:themeShade="BF"/>
            </w:tcBorders>
            <w:shd w:val="clear" w:color="auto" w:fill="37897E"/>
            <w:vAlign w:val="center"/>
            <w:hideMark/>
          </w:tcPr>
          <w:p w14:paraId="0CE94CC3" w14:textId="77777777" w:rsidR="005B6D94" w:rsidRPr="00F44992" w:rsidRDefault="005B6D94" w:rsidP="001E3210">
            <w:pPr>
              <w:pStyle w:val="TableHeading"/>
              <w:spacing w:before="0"/>
              <w:jc w:val="right"/>
            </w:pPr>
            <w:r w:rsidRPr="00430CCA">
              <w:rPr>
                <w:szCs w:val="18"/>
              </w:rPr>
              <w:t>2012–13</w:t>
            </w:r>
          </w:p>
        </w:tc>
        <w:tc>
          <w:tcPr>
            <w:tcW w:w="1097" w:type="dxa"/>
            <w:tcBorders>
              <w:bottom w:val="single" w:sz="4" w:space="0" w:color="BFBFBF" w:themeColor="background1" w:themeShade="BF"/>
            </w:tcBorders>
            <w:shd w:val="clear" w:color="auto" w:fill="37897E"/>
            <w:vAlign w:val="center"/>
            <w:hideMark/>
          </w:tcPr>
          <w:p w14:paraId="6D328DDC" w14:textId="77777777" w:rsidR="005B6D94" w:rsidRPr="00F44992" w:rsidRDefault="005B6D94" w:rsidP="001E3210">
            <w:pPr>
              <w:pStyle w:val="TableHeading"/>
              <w:spacing w:before="0"/>
              <w:jc w:val="right"/>
            </w:pPr>
            <w:r w:rsidRPr="00430CCA">
              <w:rPr>
                <w:szCs w:val="18"/>
              </w:rPr>
              <w:t>2013–14</w:t>
            </w:r>
          </w:p>
        </w:tc>
        <w:tc>
          <w:tcPr>
            <w:tcW w:w="1097" w:type="dxa"/>
            <w:tcBorders>
              <w:bottom w:val="single" w:sz="4" w:space="0" w:color="BFBFBF" w:themeColor="background1" w:themeShade="BF"/>
            </w:tcBorders>
            <w:shd w:val="clear" w:color="auto" w:fill="37897E"/>
            <w:vAlign w:val="center"/>
            <w:hideMark/>
          </w:tcPr>
          <w:p w14:paraId="47791387" w14:textId="77777777" w:rsidR="005B6D94" w:rsidRPr="00F44992" w:rsidRDefault="005B6D94" w:rsidP="001E3210">
            <w:pPr>
              <w:pStyle w:val="TableHeading"/>
              <w:spacing w:before="0"/>
              <w:jc w:val="right"/>
            </w:pPr>
            <w:r w:rsidRPr="00430CCA">
              <w:rPr>
                <w:szCs w:val="18"/>
              </w:rPr>
              <w:t>2014–15</w:t>
            </w:r>
          </w:p>
        </w:tc>
        <w:tc>
          <w:tcPr>
            <w:tcW w:w="1096" w:type="dxa"/>
            <w:tcBorders>
              <w:bottom w:val="single" w:sz="4" w:space="0" w:color="BFBFBF" w:themeColor="background1" w:themeShade="BF"/>
            </w:tcBorders>
            <w:shd w:val="clear" w:color="auto" w:fill="37897E"/>
            <w:vAlign w:val="center"/>
            <w:hideMark/>
          </w:tcPr>
          <w:p w14:paraId="0AEEFD62" w14:textId="77777777" w:rsidR="005B6D94" w:rsidRPr="00F44992" w:rsidRDefault="005B6D94" w:rsidP="001E3210">
            <w:pPr>
              <w:pStyle w:val="TableHeading"/>
              <w:spacing w:before="0"/>
              <w:jc w:val="right"/>
            </w:pPr>
            <w:r w:rsidRPr="00430CCA">
              <w:rPr>
                <w:szCs w:val="18"/>
              </w:rPr>
              <w:t>2015–16</w:t>
            </w:r>
          </w:p>
        </w:tc>
        <w:tc>
          <w:tcPr>
            <w:tcW w:w="1097" w:type="dxa"/>
            <w:tcBorders>
              <w:bottom w:val="single" w:sz="4" w:space="0" w:color="BFBFBF" w:themeColor="background1" w:themeShade="BF"/>
            </w:tcBorders>
            <w:shd w:val="clear" w:color="auto" w:fill="37897E"/>
            <w:vAlign w:val="center"/>
            <w:hideMark/>
          </w:tcPr>
          <w:p w14:paraId="0D7B5C31" w14:textId="77777777" w:rsidR="005B6D94" w:rsidRPr="00F44992" w:rsidRDefault="005B6D94" w:rsidP="001E3210">
            <w:pPr>
              <w:pStyle w:val="TableHeading"/>
              <w:spacing w:before="0"/>
              <w:jc w:val="right"/>
            </w:pPr>
            <w:r w:rsidRPr="00430CCA">
              <w:rPr>
                <w:szCs w:val="18"/>
              </w:rPr>
              <w:t>2016–17</w:t>
            </w:r>
          </w:p>
        </w:tc>
        <w:tc>
          <w:tcPr>
            <w:tcW w:w="1097" w:type="dxa"/>
            <w:tcBorders>
              <w:bottom w:val="single" w:sz="4" w:space="0" w:color="BFBFBF" w:themeColor="background1" w:themeShade="BF"/>
            </w:tcBorders>
            <w:shd w:val="clear" w:color="auto" w:fill="37897E"/>
            <w:vAlign w:val="center"/>
            <w:hideMark/>
          </w:tcPr>
          <w:p w14:paraId="508C7122" w14:textId="77777777" w:rsidR="005B6D94" w:rsidRPr="00F44992" w:rsidRDefault="005B6D94" w:rsidP="005A10D6">
            <w:pPr>
              <w:pStyle w:val="TableHeading"/>
              <w:spacing w:before="0" w:line="240" w:lineRule="auto"/>
              <w:jc w:val="right"/>
            </w:pPr>
            <w:r w:rsidRPr="00430CCA">
              <w:rPr>
                <w:szCs w:val="18"/>
              </w:rPr>
              <w:t>2016–17 change (%)</w:t>
            </w:r>
          </w:p>
        </w:tc>
      </w:tr>
      <w:tr w:rsidR="00B321E1" w14:paraId="3FB2A540" w14:textId="77777777" w:rsidTr="000F3E58">
        <w:trPr>
          <w:trHeight w:val="111"/>
        </w:trPr>
        <w:tc>
          <w:tcPr>
            <w:tcW w:w="285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698B396" w14:textId="77777777" w:rsidR="00B321E1" w:rsidRPr="00430CCA" w:rsidRDefault="00B321E1" w:rsidP="001E3210">
            <w:pPr>
              <w:pStyle w:val="ACMATableText"/>
              <w:spacing w:before="0" w:after="0"/>
              <w:rPr>
                <w:rFonts w:cs="Arial"/>
                <w:sz w:val="18"/>
                <w:szCs w:val="18"/>
              </w:rPr>
            </w:pPr>
            <w:r w:rsidRPr="00430CCA">
              <w:rPr>
                <w:rFonts w:cs="Arial"/>
                <w:sz w:val="18"/>
                <w:szCs w:val="18"/>
              </w:rPr>
              <w:t>Payphones (Telstra-operated and privately owned)</w:t>
            </w:r>
          </w:p>
        </w:tc>
        <w:tc>
          <w:tcPr>
            <w:tcW w:w="10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3B2E575C"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29,523</w:t>
            </w:r>
          </w:p>
        </w:tc>
        <w:tc>
          <w:tcPr>
            <w:tcW w:w="10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BDA4467"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28,068</w:t>
            </w:r>
          </w:p>
        </w:tc>
        <w:tc>
          <w:tcPr>
            <w:tcW w:w="10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F7F1767"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25,876</w:t>
            </w:r>
          </w:p>
        </w:tc>
        <w:tc>
          <w:tcPr>
            <w:tcW w:w="109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49B1D183"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24,573</w:t>
            </w:r>
          </w:p>
        </w:tc>
        <w:tc>
          <w:tcPr>
            <w:tcW w:w="10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45BF7B9C"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23,226</w:t>
            </w:r>
          </w:p>
        </w:tc>
        <w:tc>
          <w:tcPr>
            <w:tcW w:w="1097"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hideMark/>
          </w:tcPr>
          <w:p w14:paraId="5DF5F486" w14:textId="77777777" w:rsidR="00B321E1" w:rsidRPr="00430CCA" w:rsidRDefault="00762269" w:rsidP="001E3210">
            <w:pPr>
              <w:pStyle w:val="ACMATableText"/>
              <w:spacing w:before="0" w:after="0"/>
              <w:jc w:val="right"/>
              <w:rPr>
                <w:rFonts w:cs="Arial"/>
                <w:sz w:val="18"/>
                <w:szCs w:val="18"/>
              </w:rPr>
            </w:pPr>
            <w:r>
              <w:rPr>
                <w:rFonts w:cs="Arial"/>
                <w:sz w:val="18"/>
                <w:szCs w:val="18"/>
              </w:rPr>
              <w:t>–</w:t>
            </w:r>
            <w:r w:rsidR="00B321E1" w:rsidRPr="00430CCA">
              <w:rPr>
                <w:rFonts w:cs="Arial"/>
                <w:sz w:val="18"/>
                <w:szCs w:val="18"/>
              </w:rPr>
              <w:t>5.5</w:t>
            </w:r>
          </w:p>
        </w:tc>
      </w:tr>
    </w:tbl>
    <w:p w14:paraId="437A69A8" w14:textId="77777777" w:rsidR="00B321E1" w:rsidRDefault="00B321E1" w:rsidP="007607B4">
      <w:pPr>
        <w:pStyle w:val="ACMANotesspaceafter"/>
        <w:spacing w:before="120" w:after="360"/>
      </w:pPr>
      <w:r>
        <w:t>Source: See Chapter 5. Further explanatory details for this data can be found in the source chapter.</w:t>
      </w:r>
    </w:p>
    <w:p w14:paraId="4A3430F7" w14:textId="77777777" w:rsidR="00B321E1" w:rsidRDefault="00B321E1" w:rsidP="001E3210">
      <w:pPr>
        <w:pStyle w:val="Heading3"/>
        <w:spacing w:before="0" w:after="120"/>
      </w:pPr>
      <w:bookmarkStart w:id="136" w:name="_Toc494799312"/>
      <w:bookmarkStart w:id="137" w:name="_Toc494805615"/>
      <w:bookmarkStart w:id="138" w:name="_Toc494805844"/>
      <w:bookmarkStart w:id="139" w:name="_Toc494808074"/>
      <w:bookmarkStart w:id="140" w:name="_Toc494808478"/>
      <w:bookmarkStart w:id="141" w:name="_Toc494815880"/>
      <w:bookmarkStart w:id="142" w:name="_Toc494818741"/>
      <w:bookmarkStart w:id="143" w:name="_Toc494819008"/>
      <w:bookmarkStart w:id="144" w:name="_Toc465842823"/>
      <w:bookmarkStart w:id="145" w:name="_Toc465178912"/>
      <w:bookmarkStart w:id="146" w:name="_Toc463529000"/>
      <w:bookmarkStart w:id="147" w:name="_Toc462899520"/>
      <w:r>
        <w:t>Customer Service Guarantee (CSG)</w:t>
      </w:r>
      <w:bookmarkEnd w:id="136"/>
      <w:bookmarkEnd w:id="137"/>
      <w:bookmarkEnd w:id="138"/>
      <w:bookmarkEnd w:id="139"/>
      <w:bookmarkEnd w:id="140"/>
      <w:bookmarkEnd w:id="141"/>
      <w:bookmarkEnd w:id="142"/>
      <w:bookmarkEnd w:id="143"/>
      <w:r w:rsidR="00762269">
        <w:t>—</w:t>
      </w:r>
      <w:r>
        <w:t>services covered and waivers (millions)</w:t>
      </w:r>
    </w:p>
    <w:tbl>
      <w:tblPr>
        <w:tblW w:w="9435"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elecommunications services: Regulated or contracted services"/>
      </w:tblPr>
      <w:tblGrid>
        <w:gridCol w:w="2845"/>
        <w:gridCol w:w="1098"/>
        <w:gridCol w:w="1098"/>
        <w:gridCol w:w="1099"/>
        <w:gridCol w:w="1098"/>
        <w:gridCol w:w="1098"/>
        <w:gridCol w:w="1099"/>
      </w:tblGrid>
      <w:tr w:rsidR="00B50BAA" w14:paraId="58128DEC" w14:textId="77777777" w:rsidTr="000F3E58">
        <w:trPr>
          <w:trHeight w:val="233"/>
        </w:trPr>
        <w:tc>
          <w:tcPr>
            <w:tcW w:w="2845" w:type="dxa"/>
            <w:tcBorders>
              <w:top w:val="nil"/>
              <w:left w:val="nil"/>
            </w:tcBorders>
            <w:shd w:val="clear" w:color="auto" w:fill="FFFFFF" w:themeFill="background1"/>
            <w:vAlign w:val="center"/>
          </w:tcPr>
          <w:p w14:paraId="4F4752E4" w14:textId="77777777" w:rsidR="00B50BAA" w:rsidRPr="00054A14" w:rsidRDefault="00B50BAA" w:rsidP="001E3210">
            <w:pPr>
              <w:pStyle w:val="ACMATableText"/>
              <w:spacing w:before="0" w:after="0"/>
              <w:jc w:val="right"/>
              <w:rPr>
                <w:rFonts w:cs="Arial"/>
                <w:szCs w:val="18"/>
              </w:rPr>
            </w:pPr>
          </w:p>
        </w:tc>
        <w:tc>
          <w:tcPr>
            <w:tcW w:w="1098" w:type="dxa"/>
            <w:shd w:val="clear" w:color="auto" w:fill="37897E"/>
            <w:vAlign w:val="center"/>
            <w:hideMark/>
          </w:tcPr>
          <w:p w14:paraId="7E43C286" w14:textId="77777777" w:rsidR="00B50BAA" w:rsidRPr="009D3979" w:rsidRDefault="00341D84" w:rsidP="001E3210">
            <w:pPr>
              <w:pStyle w:val="TableHeading"/>
              <w:spacing w:before="0"/>
              <w:jc w:val="right"/>
            </w:pPr>
            <w:r>
              <w:rPr>
                <w:szCs w:val="18"/>
              </w:rPr>
              <w:t>Jun 13</w:t>
            </w:r>
          </w:p>
        </w:tc>
        <w:tc>
          <w:tcPr>
            <w:tcW w:w="1098" w:type="dxa"/>
            <w:shd w:val="clear" w:color="auto" w:fill="37897E"/>
            <w:vAlign w:val="center"/>
            <w:hideMark/>
          </w:tcPr>
          <w:p w14:paraId="088A9CBF" w14:textId="77777777" w:rsidR="00B50BAA" w:rsidRPr="00054A14" w:rsidRDefault="00341D84" w:rsidP="001E3210">
            <w:pPr>
              <w:pStyle w:val="TableHeading"/>
              <w:spacing w:before="0"/>
              <w:jc w:val="right"/>
            </w:pPr>
            <w:r>
              <w:rPr>
                <w:szCs w:val="18"/>
              </w:rPr>
              <w:t>Jun 14</w:t>
            </w:r>
          </w:p>
        </w:tc>
        <w:tc>
          <w:tcPr>
            <w:tcW w:w="1099" w:type="dxa"/>
            <w:shd w:val="clear" w:color="auto" w:fill="37897E"/>
            <w:vAlign w:val="center"/>
            <w:hideMark/>
          </w:tcPr>
          <w:p w14:paraId="48AC0DD9" w14:textId="77777777" w:rsidR="00B50BAA" w:rsidRPr="00054A14" w:rsidRDefault="00341D84" w:rsidP="001E3210">
            <w:pPr>
              <w:pStyle w:val="TableHeading"/>
              <w:spacing w:before="0"/>
              <w:jc w:val="right"/>
            </w:pPr>
            <w:r>
              <w:rPr>
                <w:szCs w:val="18"/>
              </w:rPr>
              <w:t>Jun 15</w:t>
            </w:r>
          </w:p>
        </w:tc>
        <w:tc>
          <w:tcPr>
            <w:tcW w:w="1098" w:type="dxa"/>
            <w:shd w:val="clear" w:color="auto" w:fill="37897E"/>
            <w:vAlign w:val="center"/>
            <w:hideMark/>
          </w:tcPr>
          <w:p w14:paraId="0B9C1C18" w14:textId="77777777" w:rsidR="00B50BAA" w:rsidRPr="00054A14" w:rsidRDefault="00341D84" w:rsidP="001E3210">
            <w:pPr>
              <w:pStyle w:val="TableHeading"/>
              <w:spacing w:before="0"/>
              <w:jc w:val="right"/>
            </w:pPr>
            <w:r>
              <w:rPr>
                <w:szCs w:val="18"/>
              </w:rPr>
              <w:t>Jun 16</w:t>
            </w:r>
          </w:p>
        </w:tc>
        <w:tc>
          <w:tcPr>
            <w:tcW w:w="1098" w:type="dxa"/>
            <w:shd w:val="clear" w:color="auto" w:fill="37897E"/>
            <w:vAlign w:val="center"/>
            <w:hideMark/>
          </w:tcPr>
          <w:p w14:paraId="7EEE8B86" w14:textId="77777777" w:rsidR="00B50BAA" w:rsidRPr="00054A14" w:rsidRDefault="00341D84" w:rsidP="001E3210">
            <w:pPr>
              <w:pStyle w:val="TableHeading"/>
              <w:spacing w:before="0"/>
              <w:jc w:val="right"/>
            </w:pPr>
            <w:r>
              <w:rPr>
                <w:szCs w:val="18"/>
              </w:rPr>
              <w:t>Jun 17</w:t>
            </w:r>
          </w:p>
        </w:tc>
        <w:tc>
          <w:tcPr>
            <w:tcW w:w="1099" w:type="dxa"/>
            <w:shd w:val="clear" w:color="auto" w:fill="37897E"/>
            <w:vAlign w:val="center"/>
            <w:hideMark/>
          </w:tcPr>
          <w:p w14:paraId="206B8679" w14:textId="77777777" w:rsidR="00B50BAA" w:rsidRPr="00054A14" w:rsidRDefault="00B50BAA" w:rsidP="005A10D6">
            <w:pPr>
              <w:pStyle w:val="TableHeading"/>
              <w:spacing w:before="0" w:line="240" w:lineRule="auto"/>
              <w:jc w:val="right"/>
            </w:pPr>
            <w:r w:rsidRPr="00430CCA">
              <w:rPr>
                <w:szCs w:val="18"/>
              </w:rPr>
              <w:t>2016–17 change (%)</w:t>
            </w:r>
          </w:p>
        </w:tc>
      </w:tr>
      <w:tr w:rsidR="00B321E1" w14:paraId="65F9C0ED" w14:textId="77777777" w:rsidTr="000F3E58">
        <w:trPr>
          <w:trHeight w:val="252"/>
        </w:trPr>
        <w:tc>
          <w:tcPr>
            <w:tcW w:w="2845" w:type="dxa"/>
            <w:shd w:val="clear" w:color="auto" w:fill="auto"/>
            <w:vAlign w:val="center"/>
            <w:hideMark/>
          </w:tcPr>
          <w:p w14:paraId="5ADB78E4" w14:textId="77777777" w:rsidR="00B321E1" w:rsidRPr="00430CCA" w:rsidRDefault="00B321E1" w:rsidP="001E3210">
            <w:pPr>
              <w:pStyle w:val="ACMATableText"/>
              <w:spacing w:before="0" w:after="0"/>
              <w:rPr>
                <w:rFonts w:cs="Arial"/>
                <w:sz w:val="18"/>
                <w:szCs w:val="18"/>
              </w:rPr>
            </w:pPr>
            <w:r w:rsidRPr="00430CCA">
              <w:rPr>
                <w:rFonts w:cs="Arial"/>
                <w:sz w:val="18"/>
                <w:szCs w:val="18"/>
              </w:rPr>
              <w:t>Number of telephone services covered by the CSG Standard*</w:t>
            </w:r>
          </w:p>
        </w:tc>
        <w:tc>
          <w:tcPr>
            <w:tcW w:w="1098" w:type="dxa"/>
            <w:shd w:val="clear" w:color="auto" w:fill="auto"/>
            <w:vAlign w:val="center"/>
            <w:hideMark/>
          </w:tcPr>
          <w:p w14:paraId="30B99AB8"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6.68</w:t>
            </w:r>
          </w:p>
        </w:tc>
        <w:tc>
          <w:tcPr>
            <w:tcW w:w="1098" w:type="dxa"/>
            <w:shd w:val="clear" w:color="auto" w:fill="auto"/>
            <w:vAlign w:val="center"/>
          </w:tcPr>
          <w:p w14:paraId="5B716127"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6.54</w:t>
            </w:r>
          </w:p>
        </w:tc>
        <w:tc>
          <w:tcPr>
            <w:tcW w:w="1099" w:type="dxa"/>
            <w:shd w:val="clear" w:color="auto" w:fill="auto"/>
            <w:vAlign w:val="center"/>
          </w:tcPr>
          <w:p w14:paraId="27A90CFB"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6.34</w:t>
            </w:r>
          </w:p>
        </w:tc>
        <w:tc>
          <w:tcPr>
            <w:tcW w:w="1098" w:type="dxa"/>
            <w:shd w:val="clear" w:color="auto" w:fill="auto"/>
            <w:vAlign w:val="center"/>
          </w:tcPr>
          <w:p w14:paraId="1B63BDAC"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6.11</w:t>
            </w:r>
          </w:p>
        </w:tc>
        <w:tc>
          <w:tcPr>
            <w:tcW w:w="1098" w:type="dxa"/>
            <w:shd w:val="clear" w:color="auto" w:fill="auto"/>
            <w:vAlign w:val="center"/>
          </w:tcPr>
          <w:p w14:paraId="5C7023B5"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6.22</w:t>
            </w:r>
          </w:p>
        </w:tc>
        <w:tc>
          <w:tcPr>
            <w:tcW w:w="1099" w:type="dxa"/>
            <w:shd w:val="clear" w:color="auto" w:fill="auto"/>
            <w:vAlign w:val="center"/>
          </w:tcPr>
          <w:p w14:paraId="5516C7BF"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1.8</w:t>
            </w:r>
          </w:p>
        </w:tc>
      </w:tr>
      <w:tr w:rsidR="00B321E1" w14:paraId="5BE29DCC" w14:textId="77777777" w:rsidTr="000F3E58">
        <w:trPr>
          <w:trHeight w:val="218"/>
        </w:trPr>
        <w:tc>
          <w:tcPr>
            <w:tcW w:w="2845" w:type="dxa"/>
            <w:shd w:val="clear" w:color="auto" w:fill="auto"/>
            <w:vAlign w:val="center"/>
            <w:hideMark/>
          </w:tcPr>
          <w:p w14:paraId="396B3C6F" w14:textId="77777777" w:rsidR="00B321E1" w:rsidRPr="00430CCA" w:rsidRDefault="00B321E1" w:rsidP="001E3210">
            <w:pPr>
              <w:pStyle w:val="ACMATableText"/>
              <w:spacing w:before="0" w:after="0"/>
              <w:rPr>
                <w:rFonts w:cs="Arial"/>
                <w:sz w:val="18"/>
                <w:szCs w:val="18"/>
              </w:rPr>
            </w:pPr>
            <w:r w:rsidRPr="00430CCA">
              <w:rPr>
                <w:rFonts w:cs="Arial"/>
                <w:sz w:val="18"/>
                <w:szCs w:val="18"/>
              </w:rPr>
              <w:t>CSP customers who have waived their rights under the CSG</w:t>
            </w:r>
          </w:p>
        </w:tc>
        <w:tc>
          <w:tcPr>
            <w:tcW w:w="1098" w:type="dxa"/>
            <w:shd w:val="clear" w:color="auto" w:fill="auto"/>
            <w:vAlign w:val="center"/>
            <w:hideMark/>
          </w:tcPr>
          <w:p w14:paraId="61FA3D39"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0.248</w:t>
            </w:r>
          </w:p>
        </w:tc>
        <w:tc>
          <w:tcPr>
            <w:tcW w:w="1098" w:type="dxa"/>
            <w:shd w:val="clear" w:color="auto" w:fill="auto"/>
            <w:vAlign w:val="center"/>
          </w:tcPr>
          <w:p w14:paraId="580B97CF"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0.324</w:t>
            </w:r>
          </w:p>
        </w:tc>
        <w:tc>
          <w:tcPr>
            <w:tcW w:w="1099" w:type="dxa"/>
            <w:shd w:val="clear" w:color="auto" w:fill="auto"/>
            <w:vAlign w:val="center"/>
          </w:tcPr>
          <w:p w14:paraId="4FCBD3D0"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0.867</w:t>
            </w:r>
          </w:p>
        </w:tc>
        <w:tc>
          <w:tcPr>
            <w:tcW w:w="1098" w:type="dxa"/>
            <w:shd w:val="clear" w:color="auto" w:fill="auto"/>
            <w:vAlign w:val="center"/>
          </w:tcPr>
          <w:p w14:paraId="5989B6D1"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1.024</w:t>
            </w:r>
          </w:p>
        </w:tc>
        <w:tc>
          <w:tcPr>
            <w:tcW w:w="1098" w:type="dxa"/>
            <w:shd w:val="clear" w:color="auto" w:fill="auto"/>
            <w:vAlign w:val="center"/>
          </w:tcPr>
          <w:p w14:paraId="13374B1E"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1.446</w:t>
            </w:r>
          </w:p>
        </w:tc>
        <w:tc>
          <w:tcPr>
            <w:tcW w:w="1099" w:type="dxa"/>
            <w:shd w:val="clear" w:color="auto" w:fill="auto"/>
            <w:vAlign w:val="center"/>
          </w:tcPr>
          <w:p w14:paraId="4B49738C" w14:textId="77777777" w:rsidR="00B321E1" w:rsidRPr="00430CCA" w:rsidRDefault="00B321E1" w:rsidP="001E3210">
            <w:pPr>
              <w:pStyle w:val="ACMATableText"/>
              <w:spacing w:before="0" w:after="0"/>
              <w:jc w:val="right"/>
              <w:rPr>
                <w:rFonts w:cs="Arial"/>
                <w:sz w:val="18"/>
                <w:szCs w:val="18"/>
              </w:rPr>
            </w:pPr>
            <w:r w:rsidRPr="00430CCA">
              <w:rPr>
                <w:rFonts w:cs="Arial"/>
                <w:sz w:val="18"/>
                <w:szCs w:val="18"/>
              </w:rPr>
              <w:t>41.3</w:t>
            </w:r>
          </w:p>
        </w:tc>
      </w:tr>
    </w:tbl>
    <w:p w14:paraId="1FCC7015" w14:textId="77777777" w:rsidR="00B321E1" w:rsidRDefault="00B321E1" w:rsidP="007607B4">
      <w:pPr>
        <w:pStyle w:val="ACMANotes"/>
        <w:spacing w:before="120"/>
      </w:pPr>
      <w:r>
        <w:t>*Relates to the number and value of compensation payments made by CSPs to customers occurring during the financial year.</w:t>
      </w:r>
    </w:p>
    <w:p w14:paraId="00F4885C" w14:textId="77777777" w:rsidR="00B321E1" w:rsidRDefault="00B321E1" w:rsidP="0055318E">
      <w:pPr>
        <w:pStyle w:val="ACMANotesspaceafter"/>
        <w:spacing w:after="360"/>
      </w:pPr>
      <w:bookmarkStart w:id="148" w:name="_Toc494799313"/>
      <w:bookmarkStart w:id="149" w:name="_Toc494805616"/>
      <w:bookmarkStart w:id="150" w:name="_Toc494805845"/>
      <w:bookmarkStart w:id="151" w:name="_Toc494808075"/>
      <w:bookmarkStart w:id="152" w:name="_Toc494808479"/>
      <w:bookmarkStart w:id="153" w:name="_Toc494815881"/>
      <w:bookmarkStart w:id="154" w:name="_Toc494818742"/>
      <w:bookmarkStart w:id="155" w:name="_Toc494819009"/>
      <w:r>
        <w:t>Source: See Chapter 5. Further explanatory details for this data can be found in the source chapter.</w:t>
      </w:r>
    </w:p>
    <w:p w14:paraId="401FE3C6" w14:textId="77777777" w:rsidR="00B321E1" w:rsidRDefault="00B321E1" w:rsidP="00CE059B">
      <w:pPr>
        <w:pStyle w:val="Heading3"/>
        <w:spacing w:before="0" w:after="120"/>
      </w:pPr>
      <w:r>
        <w:t>Communications network and service providers</w:t>
      </w:r>
      <w:bookmarkEnd w:id="144"/>
      <w:bookmarkEnd w:id="145"/>
      <w:bookmarkEnd w:id="146"/>
      <w:bookmarkEnd w:id="147"/>
      <w:r>
        <w:t xml:space="preserve"> (number)</w:t>
      </w:r>
      <w:bookmarkEnd w:id="148"/>
      <w:bookmarkEnd w:id="149"/>
      <w:bookmarkEnd w:id="150"/>
      <w:bookmarkEnd w:id="151"/>
      <w:bookmarkEnd w:id="152"/>
      <w:bookmarkEnd w:id="153"/>
      <w:bookmarkEnd w:id="154"/>
      <w:bookmarkEnd w:id="155"/>
    </w:p>
    <w:tbl>
      <w:tblPr>
        <w:tblW w:w="9435" w:type="dxa"/>
        <w:tblBorders>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elecommunications services: Communications network and service providers"/>
      </w:tblPr>
      <w:tblGrid>
        <w:gridCol w:w="2860"/>
        <w:gridCol w:w="1095"/>
        <w:gridCol w:w="1096"/>
        <w:gridCol w:w="1096"/>
        <w:gridCol w:w="1096"/>
        <w:gridCol w:w="1096"/>
        <w:gridCol w:w="1096"/>
      </w:tblGrid>
      <w:tr w:rsidR="00B321E1" w:rsidRPr="00B50BAA" w14:paraId="3B2729BD" w14:textId="77777777" w:rsidTr="000F3E58">
        <w:trPr>
          <w:trHeight w:val="313"/>
          <w:tblHeader/>
        </w:trPr>
        <w:tc>
          <w:tcPr>
            <w:tcW w:w="2860" w:type="dxa"/>
            <w:tcBorders>
              <w:bottom w:val="single" w:sz="4" w:space="0" w:color="BFBFBF" w:themeColor="background1" w:themeShade="BF"/>
            </w:tcBorders>
            <w:shd w:val="clear" w:color="auto" w:fill="FFFFFF" w:themeFill="background1"/>
            <w:vAlign w:val="center"/>
          </w:tcPr>
          <w:p w14:paraId="2271FF2B" w14:textId="77777777" w:rsidR="00B321E1" w:rsidRDefault="00B321E1" w:rsidP="00CE059B">
            <w:pPr>
              <w:pStyle w:val="TableHeading"/>
              <w:spacing w:before="0"/>
              <w:jc w:val="right"/>
            </w:pPr>
          </w:p>
        </w:tc>
        <w:tc>
          <w:tcPr>
            <w:tcW w:w="1095" w:type="dxa"/>
            <w:shd w:val="clear" w:color="auto" w:fill="37897E"/>
            <w:vAlign w:val="center"/>
            <w:hideMark/>
          </w:tcPr>
          <w:p w14:paraId="0A56EA91" w14:textId="77777777" w:rsidR="00B321E1" w:rsidRPr="00F44992" w:rsidRDefault="00B321E1" w:rsidP="00CE059B">
            <w:pPr>
              <w:pStyle w:val="TableHeading"/>
              <w:spacing w:before="0"/>
              <w:jc w:val="right"/>
            </w:pPr>
            <w:r w:rsidRPr="00F44992">
              <w:t>Jun 13</w:t>
            </w:r>
          </w:p>
        </w:tc>
        <w:tc>
          <w:tcPr>
            <w:tcW w:w="1096" w:type="dxa"/>
            <w:shd w:val="clear" w:color="auto" w:fill="37897E"/>
            <w:vAlign w:val="center"/>
            <w:hideMark/>
          </w:tcPr>
          <w:p w14:paraId="43717D44" w14:textId="77777777" w:rsidR="00B321E1" w:rsidRPr="00F44992" w:rsidRDefault="00B321E1" w:rsidP="00CE059B">
            <w:pPr>
              <w:pStyle w:val="TableHeading"/>
              <w:spacing w:before="0"/>
              <w:jc w:val="right"/>
            </w:pPr>
            <w:r w:rsidRPr="00F44992">
              <w:t>Jun 14</w:t>
            </w:r>
          </w:p>
        </w:tc>
        <w:tc>
          <w:tcPr>
            <w:tcW w:w="1096" w:type="dxa"/>
            <w:shd w:val="clear" w:color="auto" w:fill="37897E"/>
            <w:vAlign w:val="center"/>
            <w:hideMark/>
          </w:tcPr>
          <w:p w14:paraId="73DF6334" w14:textId="77777777" w:rsidR="00B321E1" w:rsidRPr="00F44992" w:rsidRDefault="00B321E1" w:rsidP="00CE059B">
            <w:pPr>
              <w:pStyle w:val="TableHeading"/>
              <w:spacing w:before="0"/>
              <w:jc w:val="right"/>
            </w:pPr>
            <w:r w:rsidRPr="00F44992">
              <w:t>Jun 15</w:t>
            </w:r>
          </w:p>
        </w:tc>
        <w:tc>
          <w:tcPr>
            <w:tcW w:w="1096" w:type="dxa"/>
            <w:shd w:val="clear" w:color="auto" w:fill="37897E"/>
            <w:vAlign w:val="center"/>
            <w:hideMark/>
          </w:tcPr>
          <w:p w14:paraId="5BEDC95C" w14:textId="77777777" w:rsidR="00B321E1" w:rsidRPr="00F44992" w:rsidRDefault="00B321E1" w:rsidP="00CE059B">
            <w:pPr>
              <w:pStyle w:val="TableHeading"/>
              <w:spacing w:before="0"/>
              <w:jc w:val="right"/>
            </w:pPr>
            <w:r w:rsidRPr="00F44992">
              <w:t>Jun 16</w:t>
            </w:r>
          </w:p>
        </w:tc>
        <w:tc>
          <w:tcPr>
            <w:tcW w:w="1096" w:type="dxa"/>
            <w:shd w:val="clear" w:color="auto" w:fill="37897E"/>
            <w:vAlign w:val="center"/>
            <w:hideMark/>
          </w:tcPr>
          <w:p w14:paraId="4C52B7D8" w14:textId="77777777" w:rsidR="00B321E1" w:rsidRPr="00F44992" w:rsidRDefault="00B321E1" w:rsidP="00CE059B">
            <w:pPr>
              <w:pStyle w:val="TableHeading"/>
              <w:spacing w:before="0"/>
              <w:jc w:val="right"/>
            </w:pPr>
            <w:r w:rsidRPr="00F44992">
              <w:t>Jun 17</w:t>
            </w:r>
          </w:p>
        </w:tc>
        <w:tc>
          <w:tcPr>
            <w:tcW w:w="1096" w:type="dxa"/>
            <w:shd w:val="clear" w:color="auto" w:fill="37897E"/>
            <w:vAlign w:val="center"/>
            <w:hideMark/>
          </w:tcPr>
          <w:p w14:paraId="1C63C91D" w14:textId="77777777" w:rsidR="00B321E1" w:rsidRPr="00F44992" w:rsidRDefault="00B321E1" w:rsidP="005A10D6">
            <w:pPr>
              <w:pStyle w:val="TableHeading"/>
              <w:spacing w:before="0" w:line="240" w:lineRule="auto"/>
              <w:jc w:val="right"/>
            </w:pPr>
            <w:r w:rsidRPr="00F44992">
              <w:t>2016–17 change (%)</w:t>
            </w:r>
          </w:p>
        </w:tc>
      </w:tr>
      <w:tr w:rsidR="00B321E1" w:rsidRPr="00B50BAA" w14:paraId="4A0E88CC" w14:textId="77777777" w:rsidTr="000F3E58">
        <w:trPr>
          <w:trHeight w:val="202"/>
        </w:trPr>
        <w:tc>
          <w:tcPr>
            <w:tcW w:w="2860" w:type="dxa"/>
            <w:tcBorders>
              <w:top w:val="single" w:sz="4" w:space="0" w:color="BFBFBF" w:themeColor="background1" w:themeShade="BF"/>
              <w:left w:val="single" w:sz="4" w:space="0" w:color="BFBFBF" w:themeColor="background1" w:themeShade="BF"/>
            </w:tcBorders>
            <w:shd w:val="clear" w:color="auto" w:fill="auto"/>
            <w:vAlign w:val="center"/>
            <w:hideMark/>
          </w:tcPr>
          <w:p w14:paraId="68790715" w14:textId="77777777" w:rsidR="00B321E1" w:rsidRPr="00430CCA" w:rsidRDefault="00B321E1" w:rsidP="00CE059B">
            <w:pPr>
              <w:pStyle w:val="ACMATableText"/>
              <w:spacing w:before="0" w:after="0"/>
              <w:rPr>
                <w:rFonts w:cs="Arial"/>
                <w:sz w:val="18"/>
                <w:szCs w:val="18"/>
              </w:rPr>
            </w:pPr>
            <w:r w:rsidRPr="00430CCA">
              <w:rPr>
                <w:rFonts w:cs="Arial"/>
                <w:sz w:val="18"/>
                <w:szCs w:val="18"/>
              </w:rPr>
              <w:t xml:space="preserve">Members of the TIO scheme* </w:t>
            </w:r>
          </w:p>
        </w:tc>
        <w:tc>
          <w:tcPr>
            <w:tcW w:w="1095" w:type="dxa"/>
            <w:shd w:val="clear" w:color="auto" w:fill="auto"/>
            <w:vAlign w:val="center"/>
            <w:hideMark/>
          </w:tcPr>
          <w:p w14:paraId="06119F27"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1,360</w:t>
            </w:r>
          </w:p>
        </w:tc>
        <w:tc>
          <w:tcPr>
            <w:tcW w:w="1096" w:type="dxa"/>
            <w:shd w:val="clear" w:color="auto" w:fill="auto"/>
            <w:vAlign w:val="center"/>
          </w:tcPr>
          <w:p w14:paraId="6D134B92"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1,384</w:t>
            </w:r>
          </w:p>
        </w:tc>
        <w:tc>
          <w:tcPr>
            <w:tcW w:w="1096" w:type="dxa"/>
            <w:shd w:val="clear" w:color="auto" w:fill="auto"/>
            <w:vAlign w:val="center"/>
          </w:tcPr>
          <w:p w14:paraId="184706E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1,539</w:t>
            </w:r>
          </w:p>
        </w:tc>
        <w:tc>
          <w:tcPr>
            <w:tcW w:w="1096" w:type="dxa"/>
            <w:shd w:val="clear" w:color="auto" w:fill="auto"/>
            <w:vAlign w:val="center"/>
          </w:tcPr>
          <w:p w14:paraId="77E127F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1,599</w:t>
            </w:r>
          </w:p>
        </w:tc>
        <w:tc>
          <w:tcPr>
            <w:tcW w:w="1096" w:type="dxa"/>
            <w:shd w:val="clear" w:color="auto" w:fill="auto"/>
            <w:vAlign w:val="center"/>
          </w:tcPr>
          <w:p w14:paraId="13C7B462"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1,518</w:t>
            </w:r>
          </w:p>
        </w:tc>
        <w:tc>
          <w:tcPr>
            <w:tcW w:w="1096" w:type="dxa"/>
            <w:shd w:val="clear" w:color="auto" w:fill="auto"/>
            <w:vAlign w:val="center"/>
          </w:tcPr>
          <w:p w14:paraId="6F5FD22A" w14:textId="77777777" w:rsidR="00B321E1" w:rsidRPr="00430CCA" w:rsidRDefault="00762269" w:rsidP="00CE059B">
            <w:pPr>
              <w:pStyle w:val="ACMATableText"/>
              <w:spacing w:before="0" w:after="0"/>
              <w:jc w:val="right"/>
              <w:rPr>
                <w:rFonts w:cs="Arial"/>
                <w:sz w:val="18"/>
                <w:szCs w:val="18"/>
              </w:rPr>
            </w:pPr>
            <w:r>
              <w:rPr>
                <w:rFonts w:cs="Arial"/>
                <w:sz w:val="18"/>
                <w:szCs w:val="18"/>
              </w:rPr>
              <w:t>–</w:t>
            </w:r>
            <w:r w:rsidR="00B321E1" w:rsidRPr="00430CCA">
              <w:rPr>
                <w:rFonts w:cs="Arial"/>
                <w:sz w:val="18"/>
                <w:szCs w:val="18"/>
              </w:rPr>
              <w:t>5.1</w:t>
            </w:r>
          </w:p>
        </w:tc>
      </w:tr>
      <w:tr w:rsidR="00B321E1" w:rsidRPr="00B50BAA" w14:paraId="1029B965" w14:textId="77777777" w:rsidTr="000F3E58">
        <w:trPr>
          <w:trHeight w:val="108"/>
        </w:trPr>
        <w:tc>
          <w:tcPr>
            <w:tcW w:w="2860" w:type="dxa"/>
            <w:tcBorders>
              <w:top w:val="single" w:sz="4" w:space="0" w:color="BFBFBF" w:themeColor="background1" w:themeShade="BF"/>
              <w:left w:val="single" w:sz="4" w:space="0" w:color="BFBFBF" w:themeColor="background1" w:themeShade="BF"/>
            </w:tcBorders>
            <w:shd w:val="clear" w:color="auto" w:fill="auto"/>
            <w:vAlign w:val="center"/>
            <w:hideMark/>
          </w:tcPr>
          <w:p w14:paraId="2AA2D78C" w14:textId="77777777" w:rsidR="00B321E1" w:rsidRPr="00430CCA" w:rsidRDefault="00B321E1" w:rsidP="00CE059B">
            <w:pPr>
              <w:pStyle w:val="ACMATableText"/>
              <w:spacing w:before="0" w:after="0"/>
              <w:rPr>
                <w:rFonts w:cs="Arial"/>
                <w:sz w:val="18"/>
                <w:szCs w:val="18"/>
              </w:rPr>
            </w:pPr>
            <w:r w:rsidRPr="00430CCA">
              <w:rPr>
                <w:rFonts w:cs="Arial"/>
                <w:sz w:val="18"/>
                <w:szCs w:val="18"/>
              </w:rPr>
              <w:t>Licensed carriers</w:t>
            </w:r>
          </w:p>
        </w:tc>
        <w:tc>
          <w:tcPr>
            <w:tcW w:w="1095" w:type="dxa"/>
            <w:shd w:val="clear" w:color="auto" w:fill="auto"/>
            <w:vAlign w:val="center"/>
            <w:hideMark/>
          </w:tcPr>
          <w:p w14:paraId="4433DCBE"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201</w:t>
            </w:r>
          </w:p>
        </w:tc>
        <w:tc>
          <w:tcPr>
            <w:tcW w:w="1096" w:type="dxa"/>
            <w:shd w:val="clear" w:color="auto" w:fill="auto"/>
            <w:vAlign w:val="center"/>
          </w:tcPr>
          <w:p w14:paraId="14A8386C"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208</w:t>
            </w:r>
          </w:p>
        </w:tc>
        <w:tc>
          <w:tcPr>
            <w:tcW w:w="1096" w:type="dxa"/>
            <w:shd w:val="clear" w:color="auto" w:fill="auto"/>
            <w:vAlign w:val="center"/>
          </w:tcPr>
          <w:p w14:paraId="14894115"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229</w:t>
            </w:r>
          </w:p>
        </w:tc>
        <w:tc>
          <w:tcPr>
            <w:tcW w:w="1096" w:type="dxa"/>
            <w:shd w:val="clear" w:color="auto" w:fill="auto"/>
            <w:vAlign w:val="center"/>
          </w:tcPr>
          <w:p w14:paraId="70927EC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250</w:t>
            </w:r>
          </w:p>
        </w:tc>
        <w:tc>
          <w:tcPr>
            <w:tcW w:w="1096" w:type="dxa"/>
            <w:shd w:val="clear" w:color="auto" w:fill="auto"/>
            <w:vAlign w:val="center"/>
          </w:tcPr>
          <w:p w14:paraId="3F172C7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276</w:t>
            </w:r>
          </w:p>
        </w:tc>
        <w:tc>
          <w:tcPr>
            <w:tcW w:w="1096" w:type="dxa"/>
            <w:shd w:val="clear" w:color="auto" w:fill="auto"/>
            <w:vAlign w:val="center"/>
          </w:tcPr>
          <w:p w14:paraId="77123289"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10.4</w:t>
            </w:r>
          </w:p>
        </w:tc>
      </w:tr>
      <w:tr w:rsidR="00B321E1" w:rsidRPr="00B50BAA" w14:paraId="4F0B01DA" w14:textId="77777777" w:rsidTr="000F3E58">
        <w:trPr>
          <w:trHeight w:val="156"/>
        </w:trPr>
        <w:tc>
          <w:tcPr>
            <w:tcW w:w="2860" w:type="dxa"/>
            <w:tcBorders>
              <w:top w:val="single" w:sz="4" w:space="0" w:color="BFBFBF" w:themeColor="background1" w:themeShade="BF"/>
              <w:left w:val="single" w:sz="4" w:space="0" w:color="BFBFBF" w:themeColor="background1" w:themeShade="BF"/>
            </w:tcBorders>
            <w:shd w:val="clear" w:color="auto" w:fill="auto"/>
            <w:vAlign w:val="center"/>
            <w:hideMark/>
          </w:tcPr>
          <w:p w14:paraId="2BBA027A" w14:textId="77777777" w:rsidR="00B321E1" w:rsidRPr="00430CCA" w:rsidRDefault="00B321E1" w:rsidP="00CE059B">
            <w:pPr>
              <w:pStyle w:val="ACMATableText"/>
              <w:spacing w:before="0" w:after="0"/>
              <w:rPr>
                <w:rFonts w:cs="Arial"/>
                <w:sz w:val="18"/>
                <w:szCs w:val="18"/>
              </w:rPr>
            </w:pPr>
            <w:r w:rsidRPr="00430CCA">
              <w:rPr>
                <w:rFonts w:cs="Arial"/>
                <w:sz w:val="18"/>
                <w:szCs w:val="18"/>
              </w:rPr>
              <w:t>Number of ISPs</w:t>
            </w:r>
            <w:r w:rsidRPr="00430CCA">
              <w:rPr>
                <w:sz w:val="18"/>
                <w:szCs w:val="18"/>
                <w:vertAlign w:val="superscript"/>
              </w:rPr>
              <w:t>†</w:t>
            </w:r>
          </w:p>
        </w:tc>
        <w:tc>
          <w:tcPr>
            <w:tcW w:w="1095" w:type="dxa"/>
            <w:shd w:val="clear" w:color="auto" w:fill="auto"/>
            <w:vAlign w:val="center"/>
            <w:hideMark/>
          </w:tcPr>
          <w:p w14:paraId="19FDD14C"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77</w:t>
            </w:r>
          </w:p>
        </w:tc>
        <w:tc>
          <w:tcPr>
            <w:tcW w:w="1096" w:type="dxa"/>
            <w:shd w:val="clear" w:color="auto" w:fill="auto"/>
            <w:vAlign w:val="center"/>
          </w:tcPr>
          <w:p w14:paraId="39531552"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71</w:t>
            </w:r>
          </w:p>
        </w:tc>
        <w:tc>
          <w:tcPr>
            <w:tcW w:w="1096" w:type="dxa"/>
            <w:shd w:val="clear" w:color="auto" w:fill="auto"/>
            <w:vAlign w:val="center"/>
          </w:tcPr>
          <w:p w14:paraId="4365B3E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69</w:t>
            </w:r>
          </w:p>
        </w:tc>
        <w:tc>
          <w:tcPr>
            <w:tcW w:w="1096" w:type="dxa"/>
            <w:shd w:val="clear" w:color="auto" w:fill="auto"/>
            <w:vAlign w:val="center"/>
          </w:tcPr>
          <w:p w14:paraId="2FB42300"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66</w:t>
            </w:r>
          </w:p>
        </w:tc>
        <w:tc>
          <w:tcPr>
            <w:tcW w:w="1096" w:type="dxa"/>
            <w:shd w:val="clear" w:color="auto" w:fill="auto"/>
            <w:vAlign w:val="center"/>
          </w:tcPr>
          <w:p w14:paraId="2CAF8EAB" w14:textId="77777777" w:rsidR="00B321E1" w:rsidRPr="00430CCA" w:rsidRDefault="00B321E1" w:rsidP="00CE059B">
            <w:pPr>
              <w:pStyle w:val="ACMATableText"/>
              <w:spacing w:before="0" w:after="0"/>
              <w:jc w:val="right"/>
              <w:rPr>
                <w:rFonts w:cs="Arial"/>
                <w:sz w:val="18"/>
                <w:szCs w:val="18"/>
              </w:rPr>
            </w:pPr>
            <w:r w:rsidRPr="00430CCA">
              <w:rPr>
                <w:rFonts w:cs="Arial"/>
                <w:sz w:val="18"/>
                <w:szCs w:val="18"/>
              </w:rPr>
              <w:t>63</w:t>
            </w:r>
          </w:p>
        </w:tc>
        <w:tc>
          <w:tcPr>
            <w:tcW w:w="1096" w:type="dxa"/>
            <w:shd w:val="clear" w:color="auto" w:fill="auto"/>
            <w:vAlign w:val="center"/>
          </w:tcPr>
          <w:p w14:paraId="6600FD87" w14:textId="77777777" w:rsidR="00B321E1" w:rsidRPr="00430CCA" w:rsidRDefault="00762269" w:rsidP="00CE059B">
            <w:pPr>
              <w:pStyle w:val="ACMATableText"/>
              <w:spacing w:before="0" w:after="0"/>
              <w:jc w:val="right"/>
              <w:rPr>
                <w:rFonts w:cs="Arial"/>
                <w:sz w:val="18"/>
                <w:szCs w:val="18"/>
              </w:rPr>
            </w:pPr>
            <w:r>
              <w:rPr>
                <w:rFonts w:cs="Arial"/>
                <w:sz w:val="18"/>
                <w:szCs w:val="18"/>
              </w:rPr>
              <w:t>–</w:t>
            </w:r>
            <w:r w:rsidR="00B321E1" w:rsidRPr="00430CCA">
              <w:rPr>
                <w:rFonts w:cs="Arial"/>
                <w:sz w:val="18"/>
                <w:szCs w:val="18"/>
              </w:rPr>
              <w:t>4.5</w:t>
            </w:r>
          </w:p>
        </w:tc>
      </w:tr>
    </w:tbl>
    <w:p w14:paraId="7452F1EB" w14:textId="77777777" w:rsidR="00B321E1" w:rsidRDefault="00B321E1" w:rsidP="007607B4">
      <w:pPr>
        <w:pStyle w:val="ACMANotes"/>
        <w:spacing w:before="120"/>
        <w:rPr>
          <w:vertAlign w:val="superscript"/>
        </w:rPr>
      </w:pPr>
      <w:r>
        <w:rPr>
          <w:sz w:val="18"/>
        </w:rPr>
        <w:t>*</w:t>
      </w:r>
      <w:r>
        <w:t>Carriers and eligible CSPs to join the TIO scheme. Eligible CSPs are those providers who supply fixed standard telephone, mobile or internet services to residential and small-business customers.</w:t>
      </w:r>
    </w:p>
    <w:p w14:paraId="2D17A987" w14:textId="77777777" w:rsidR="00B321E1" w:rsidRDefault="00B321E1" w:rsidP="00B321E1">
      <w:pPr>
        <w:pStyle w:val="ACMANotes"/>
        <w:rPr>
          <w:vertAlign w:val="superscript"/>
        </w:rPr>
      </w:pPr>
      <w:r>
        <w:rPr>
          <w:vertAlign w:val="superscript"/>
        </w:rPr>
        <w:t>†</w:t>
      </w:r>
      <w:r>
        <w:t>I</w:t>
      </w:r>
      <w:r w:rsidR="003B355B">
        <w:t xml:space="preserve">nternet service providers </w:t>
      </w:r>
      <w:r>
        <w:t>with more than 1,000 subscribers operating in Australia as reported by the ABS.</w:t>
      </w:r>
    </w:p>
    <w:p w14:paraId="7FCF5BE8" w14:textId="77777777" w:rsidR="00B321E1" w:rsidRDefault="00B321E1" w:rsidP="00CE059B">
      <w:pPr>
        <w:pStyle w:val="ACMANotesspaceafter"/>
        <w:spacing w:after="360"/>
      </w:pPr>
      <w:r>
        <w:t>Source: See Chapter 1. Further explanatory details for this data can be found in the source chapter.</w:t>
      </w:r>
    </w:p>
    <w:p w14:paraId="5105D881" w14:textId="77777777" w:rsidR="002448FB" w:rsidRDefault="002448FB" w:rsidP="00F97D91">
      <w:pPr>
        <w:pStyle w:val="Heading3"/>
        <w:keepLines/>
        <w:spacing w:before="0" w:after="120"/>
      </w:pPr>
      <w:bookmarkStart w:id="156" w:name="_Toc465842826"/>
      <w:bookmarkStart w:id="157" w:name="_Toc465178915"/>
      <w:bookmarkStart w:id="158" w:name="_Toc462899523"/>
      <w:bookmarkStart w:id="159" w:name="_Toc463529003"/>
      <w:bookmarkStart w:id="160" w:name="_Toc494799316"/>
      <w:bookmarkStart w:id="161" w:name="_Toc494805619"/>
      <w:bookmarkStart w:id="162" w:name="_Toc494805848"/>
      <w:bookmarkStart w:id="163" w:name="_Toc494808078"/>
      <w:bookmarkStart w:id="164" w:name="_Toc494808482"/>
      <w:bookmarkStart w:id="165" w:name="_Toc494815884"/>
      <w:bookmarkStart w:id="166" w:name="_Toc494818745"/>
      <w:bookmarkStart w:id="167" w:name="_Toc494819012"/>
      <w:r>
        <w:t>Volume of broadband and mobile data downloaded</w:t>
      </w:r>
      <w:bookmarkEnd w:id="156"/>
      <w:bookmarkEnd w:id="157"/>
      <w:bookmarkEnd w:id="158"/>
      <w:bookmarkEnd w:id="159"/>
      <w:r>
        <w:t xml:space="preserve"> (TB and GB)</w:t>
      </w:r>
      <w:bookmarkEnd w:id="160"/>
      <w:bookmarkEnd w:id="161"/>
      <w:bookmarkEnd w:id="162"/>
      <w:bookmarkEnd w:id="163"/>
      <w:bookmarkEnd w:id="164"/>
      <w:bookmarkEnd w:id="165"/>
      <w:bookmarkEnd w:id="166"/>
      <w:bookmarkEnd w:id="167"/>
    </w:p>
    <w:tbl>
      <w:tblPr>
        <w:tblW w:w="9690" w:type="dxa"/>
        <w:tblInd w:w="25" w:type="dxa"/>
        <w:tblBorders>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Digital services and engagement: Volume of data downloaded"/>
      </w:tblPr>
      <w:tblGrid>
        <w:gridCol w:w="2825"/>
        <w:gridCol w:w="1144"/>
        <w:gridCol w:w="1144"/>
        <w:gridCol w:w="1144"/>
        <w:gridCol w:w="1144"/>
        <w:gridCol w:w="1144"/>
        <w:gridCol w:w="1145"/>
      </w:tblGrid>
      <w:tr w:rsidR="002448FB" w:rsidRPr="00054A14" w14:paraId="161C87AD" w14:textId="77777777" w:rsidTr="000F3E58">
        <w:trPr>
          <w:trHeight w:val="454"/>
          <w:tblHeader/>
        </w:trPr>
        <w:tc>
          <w:tcPr>
            <w:tcW w:w="2825" w:type="dxa"/>
            <w:tcBorders>
              <w:bottom w:val="single" w:sz="4" w:space="0" w:color="BFBFBF" w:themeColor="background1" w:themeShade="BF"/>
            </w:tcBorders>
            <w:shd w:val="clear" w:color="auto" w:fill="FFFFFF" w:themeFill="background1"/>
            <w:vAlign w:val="center"/>
          </w:tcPr>
          <w:p w14:paraId="684FA534" w14:textId="77777777" w:rsidR="002448FB" w:rsidRPr="00054A14" w:rsidRDefault="002448FB" w:rsidP="00F97D91">
            <w:pPr>
              <w:pStyle w:val="ACMATableText"/>
              <w:keepNext/>
              <w:keepLines/>
              <w:spacing w:before="0" w:after="0"/>
              <w:jc w:val="right"/>
              <w:rPr>
                <w:rFonts w:cs="Arial"/>
                <w:color w:val="FFFFFF" w:themeColor="background1"/>
              </w:rPr>
            </w:pPr>
          </w:p>
        </w:tc>
        <w:tc>
          <w:tcPr>
            <w:tcW w:w="1144" w:type="dxa"/>
            <w:shd w:val="clear" w:color="auto" w:fill="37897E"/>
            <w:vAlign w:val="center"/>
            <w:hideMark/>
          </w:tcPr>
          <w:p w14:paraId="52819BA6" w14:textId="77777777" w:rsidR="004E1233" w:rsidRDefault="002448FB" w:rsidP="005A10D6">
            <w:pPr>
              <w:pStyle w:val="TableHeading"/>
              <w:keepNext/>
              <w:keepLines/>
              <w:spacing w:before="0" w:line="240" w:lineRule="auto"/>
              <w:jc w:val="right"/>
            </w:pPr>
            <w:r w:rsidRPr="00F44992">
              <w:t xml:space="preserve">Qtr to </w:t>
            </w:r>
          </w:p>
          <w:p w14:paraId="513D0E63" w14:textId="77777777" w:rsidR="002448FB" w:rsidRPr="00F44992" w:rsidRDefault="002448FB" w:rsidP="005A10D6">
            <w:pPr>
              <w:pStyle w:val="TableHeading"/>
              <w:keepNext/>
              <w:keepLines/>
              <w:spacing w:before="0" w:line="240" w:lineRule="auto"/>
              <w:jc w:val="right"/>
            </w:pPr>
            <w:r w:rsidRPr="00F44992">
              <w:t>Jun 13 (TB)</w:t>
            </w:r>
          </w:p>
        </w:tc>
        <w:tc>
          <w:tcPr>
            <w:tcW w:w="1144" w:type="dxa"/>
            <w:shd w:val="clear" w:color="auto" w:fill="37897E"/>
            <w:vAlign w:val="center"/>
            <w:hideMark/>
          </w:tcPr>
          <w:p w14:paraId="2E5DD910" w14:textId="77777777" w:rsidR="002448FB" w:rsidRPr="00F44992" w:rsidRDefault="002448FB" w:rsidP="005A10D6">
            <w:pPr>
              <w:pStyle w:val="TableHeading"/>
              <w:keepNext/>
              <w:keepLines/>
              <w:spacing w:before="0" w:line="240" w:lineRule="auto"/>
              <w:jc w:val="right"/>
            </w:pPr>
            <w:r w:rsidRPr="00F44992">
              <w:t>Qtr to Jun 14 (TB)</w:t>
            </w:r>
          </w:p>
        </w:tc>
        <w:tc>
          <w:tcPr>
            <w:tcW w:w="1144" w:type="dxa"/>
            <w:shd w:val="clear" w:color="auto" w:fill="37897E"/>
            <w:vAlign w:val="center"/>
            <w:hideMark/>
          </w:tcPr>
          <w:p w14:paraId="615D0045" w14:textId="77777777" w:rsidR="002448FB" w:rsidRPr="00F44992" w:rsidRDefault="002448FB" w:rsidP="005A10D6">
            <w:pPr>
              <w:pStyle w:val="TableHeading"/>
              <w:keepNext/>
              <w:keepLines/>
              <w:spacing w:before="0" w:line="240" w:lineRule="auto"/>
              <w:jc w:val="right"/>
            </w:pPr>
            <w:r w:rsidRPr="00F44992">
              <w:t>Qtr to Jun 15 (TB)</w:t>
            </w:r>
          </w:p>
        </w:tc>
        <w:tc>
          <w:tcPr>
            <w:tcW w:w="1144" w:type="dxa"/>
            <w:shd w:val="clear" w:color="auto" w:fill="37897E"/>
            <w:vAlign w:val="center"/>
            <w:hideMark/>
          </w:tcPr>
          <w:p w14:paraId="47E03F84" w14:textId="77777777" w:rsidR="002448FB" w:rsidRPr="00F44992" w:rsidRDefault="002448FB" w:rsidP="005A10D6">
            <w:pPr>
              <w:pStyle w:val="TableHeading"/>
              <w:keepNext/>
              <w:keepLines/>
              <w:spacing w:before="0" w:line="240" w:lineRule="auto"/>
              <w:jc w:val="right"/>
            </w:pPr>
            <w:r w:rsidRPr="00F44992">
              <w:t>Qtr to Jun 16 (TB)</w:t>
            </w:r>
          </w:p>
        </w:tc>
        <w:tc>
          <w:tcPr>
            <w:tcW w:w="1144" w:type="dxa"/>
            <w:shd w:val="clear" w:color="auto" w:fill="37897E"/>
            <w:vAlign w:val="center"/>
            <w:hideMark/>
          </w:tcPr>
          <w:p w14:paraId="00F18CBD" w14:textId="77777777" w:rsidR="002448FB" w:rsidRPr="00F44992" w:rsidRDefault="002448FB" w:rsidP="005A10D6">
            <w:pPr>
              <w:pStyle w:val="TableHeading"/>
              <w:keepNext/>
              <w:keepLines/>
              <w:spacing w:before="0" w:line="240" w:lineRule="auto"/>
              <w:jc w:val="right"/>
            </w:pPr>
            <w:r w:rsidRPr="00F44992">
              <w:t>Qtr to Jun 17 (TB)</w:t>
            </w:r>
          </w:p>
        </w:tc>
        <w:tc>
          <w:tcPr>
            <w:tcW w:w="1145" w:type="dxa"/>
            <w:shd w:val="clear" w:color="auto" w:fill="37897E"/>
            <w:vAlign w:val="center"/>
            <w:hideMark/>
          </w:tcPr>
          <w:p w14:paraId="4DB0E3B5" w14:textId="77777777" w:rsidR="002448FB" w:rsidRPr="00F44992" w:rsidRDefault="002448FB" w:rsidP="005A10D6">
            <w:pPr>
              <w:pStyle w:val="TableHeading"/>
              <w:keepNext/>
              <w:keepLines/>
              <w:spacing w:before="0" w:line="240" w:lineRule="auto"/>
              <w:jc w:val="right"/>
            </w:pPr>
            <w:r w:rsidRPr="00F44992">
              <w:t>2016–17 change (%)</w:t>
            </w:r>
          </w:p>
        </w:tc>
      </w:tr>
      <w:tr w:rsidR="002448FB" w14:paraId="0DE8A6FD" w14:textId="77777777" w:rsidTr="000F3E58">
        <w:trPr>
          <w:trHeight w:val="143"/>
        </w:trPr>
        <w:tc>
          <w:tcPr>
            <w:tcW w:w="2825" w:type="dxa"/>
            <w:tcBorders>
              <w:top w:val="single" w:sz="4" w:space="0" w:color="BFBFBF" w:themeColor="background1" w:themeShade="BF"/>
              <w:left w:val="single" w:sz="4" w:space="0" w:color="BFBFBF" w:themeColor="background1" w:themeShade="BF"/>
            </w:tcBorders>
            <w:shd w:val="clear" w:color="auto" w:fill="auto"/>
            <w:vAlign w:val="center"/>
            <w:hideMark/>
          </w:tcPr>
          <w:p w14:paraId="5F8DAC85"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Fixed-line broadband*</w:t>
            </w:r>
          </w:p>
        </w:tc>
        <w:tc>
          <w:tcPr>
            <w:tcW w:w="1144" w:type="dxa"/>
            <w:shd w:val="clear" w:color="auto" w:fill="auto"/>
            <w:vAlign w:val="center"/>
            <w:hideMark/>
          </w:tcPr>
          <w:p w14:paraId="59205EC1"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629,964</w:t>
            </w:r>
          </w:p>
        </w:tc>
        <w:tc>
          <w:tcPr>
            <w:tcW w:w="1144" w:type="dxa"/>
            <w:shd w:val="clear" w:color="auto" w:fill="auto"/>
            <w:vAlign w:val="center"/>
          </w:tcPr>
          <w:p w14:paraId="49DFF64B"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963,429</w:t>
            </w:r>
          </w:p>
        </w:tc>
        <w:tc>
          <w:tcPr>
            <w:tcW w:w="1144" w:type="dxa"/>
            <w:shd w:val="clear" w:color="auto" w:fill="auto"/>
            <w:vAlign w:val="center"/>
          </w:tcPr>
          <w:p w14:paraId="2FF86F78"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1,349,975</w:t>
            </w:r>
          </w:p>
        </w:tc>
        <w:tc>
          <w:tcPr>
            <w:tcW w:w="1144" w:type="dxa"/>
            <w:shd w:val="clear" w:color="auto" w:fill="auto"/>
            <w:vAlign w:val="center"/>
          </w:tcPr>
          <w:p w14:paraId="68D9085C"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2,049,553</w:t>
            </w:r>
          </w:p>
        </w:tc>
        <w:tc>
          <w:tcPr>
            <w:tcW w:w="1144" w:type="dxa"/>
            <w:shd w:val="clear" w:color="auto" w:fill="auto"/>
            <w:vAlign w:val="center"/>
          </w:tcPr>
          <w:p w14:paraId="6922B358"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2,913,245</w:t>
            </w:r>
          </w:p>
        </w:tc>
        <w:tc>
          <w:tcPr>
            <w:tcW w:w="1145" w:type="dxa"/>
            <w:shd w:val="clear" w:color="auto" w:fill="auto"/>
            <w:vAlign w:val="center"/>
          </w:tcPr>
          <w:p w14:paraId="734735D2"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42.1</w:t>
            </w:r>
          </w:p>
        </w:tc>
      </w:tr>
      <w:tr w:rsidR="002448FB" w14:paraId="355C6E7F" w14:textId="77777777" w:rsidTr="000F3E58">
        <w:trPr>
          <w:trHeight w:val="117"/>
        </w:trPr>
        <w:tc>
          <w:tcPr>
            <w:tcW w:w="2825" w:type="dxa"/>
            <w:tcBorders>
              <w:top w:val="single" w:sz="4" w:space="0" w:color="BFBFBF" w:themeColor="background1" w:themeShade="BF"/>
              <w:left w:val="single" w:sz="4" w:space="0" w:color="BFBFBF" w:themeColor="background1" w:themeShade="BF"/>
            </w:tcBorders>
            <w:shd w:val="clear" w:color="auto" w:fill="auto"/>
            <w:vAlign w:val="center"/>
            <w:hideMark/>
          </w:tcPr>
          <w:p w14:paraId="315AE864"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Wireless broadband</w:t>
            </w:r>
            <w:r w:rsidRPr="00430CCA">
              <w:rPr>
                <w:rFonts w:cs="Arial"/>
                <w:sz w:val="18"/>
                <w:szCs w:val="18"/>
                <w:vertAlign w:val="superscript"/>
              </w:rPr>
              <w:t>†</w:t>
            </w:r>
          </w:p>
        </w:tc>
        <w:tc>
          <w:tcPr>
            <w:tcW w:w="1144" w:type="dxa"/>
            <w:shd w:val="clear" w:color="auto" w:fill="auto"/>
            <w:vAlign w:val="center"/>
            <w:hideMark/>
          </w:tcPr>
          <w:p w14:paraId="07920BD0"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27,232</w:t>
            </w:r>
          </w:p>
        </w:tc>
        <w:tc>
          <w:tcPr>
            <w:tcW w:w="1144" w:type="dxa"/>
            <w:shd w:val="clear" w:color="auto" w:fill="auto"/>
            <w:vAlign w:val="center"/>
          </w:tcPr>
          <w:p w14:paraId="08DBE8FB"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32,731</w:t>
            </w:r>
          </w:p>
        </w:tc>
        <w:tc>
          <w:tcPr>
            <w:tcW w:w="1144" w:type="dxa"/>
            <w:shd w:val="clear" w:color="auto" w:fill="auto"/>
            <w:vAlign w:val="center"/>
          </w:tcPr>
          <w:p w14:paraId="7785A46C"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38,673</w:t>
            </w:r>
          </w:p>
        </w:tc>
        <w:tc>
          <w:tcPr>
            <w:tcW w:w="1144" w:type="dxa"/>
            <w:shd w:val="clear" w:color="auto" w:fill="auto"/>
            <w:vAlign w:val="center"/>
          </w:tcPr>
          <w:p w14:paraId="5D01A8C3"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48,100</w:t>
            </w:r>
          </w:p>
        </w:tc>
        <w:tc>
          <w:tcPr>
            <w:tcW w:w="1144" w:type="dxa"/>
            <w:shd w:val="clear" w:color="auto" w:fill="auto"/>
            <w:vAlign w:val="center"/>
          </w:tcPr>
          <w:p w14:paraId="23B41F7A"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82,727</w:t>
            </w:r>
          </w:p>
        </w:tc>
        <w:tc>
          <w:tcPr>
            <w:tcW w:w="1145" w:type="dxa"/>
            <w:shd w:val="clear" w:color="auto" w:fill="auto"/>
            <w:vAlign w:val="center"/>
          </w:tcPr>
          <w:p w14:paraId="50284E9B"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72.0</w:t>
            </w:r>
          </w:p>
        </w:tc>
      </w:tr>
      <w:tr w:rsidR="002448FB" w14:paraId="7CFBA698" w14:textId="77777777" w:rsidTr="000F3E58">
        <w:trPr>
          <w:trHeight w:val="151"/>
        </w:trPr>
        <w:tc>
          <w:tcPr>
            <w:tcW w:w="2825" w:type="dxa"/>
            <w:tcBorders>
              <w:top w:val="single" w:sz="4" w:space="0" w:color="BFBFBF" w:themeColor="background1" w:themeShade="BF"/>
              <w:left w:val="single" w:sz="4" w:space="0" w:color="BFBFBF" w:themeColor="background1" w:themeShade="BF"/>
            </w:tcBorders>
            <w:shd w:val="clear" w:color="auto" w:fill="auto"/>
            <w:vAlign w:val="center"/>
            <w:hideMark/>
          </w:tcPr>
          <w:p w14:paraId="3607BDFA"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Mobile handset internet</w:t>
            </w:r>
          </w:p>
        </w:tc>
        <w:tc>
          <w:tcPr>
            <w:tcW w:w="1144" w:type="dxa"/>
            <w:shd w:val="clear" w:color="auto" w:fill="auto"/>
            <w:vAlign w:val="center"/>
            <w:hideMark/>
          </w:tcPr>
          <w:p w14:paraId="620FF05E"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19,636</w:t>
            </w:r>
          </w:p>
        </w:tc>
        <w:tc>
          <w:tcPr>
            <w:tcW w:w="1144" w:type="dxa"/>
            <w:shd w:val="clear" w:color="auto" w:fill="auto"/>
            <w:vAlign w:val="center"/>
          </w:tcPr>
          <w:p w14:paraId="18852A1B"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38,734</w:t>
            </w:r>
          </w:p>
        </w:tc>
        <w:tc>
          <w:tcPr>
            <w:tcW w:w="1144" w:type="dxa"/>
            <w:shd w:val="clear" w:color="auto" w:fill="auto"/>
            <w:vAlign w:val="center"/>
          </w:tcPr>
          <w:p w14:paraId="47AD0D1F"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71,572</w:t>
            </w:r>
          </w:p>
        </w:tc>
        <w:tc>
          <w:tcPr>
            <w:tcW w:w="1144" w:type="dxa"/>
            <w:shd w:val="clear" w:color="auto" w:fill="auto"/>
            <w:vAlign w:val="center"/>
          </w:tcPr>
          <w:p w14:paraId="54DD4AC2"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121,147</w:t>
            </w:r>
          </w:p>
        </w:tc>
        <w:tc>
          <w:tcPr>
            <w:tcW w:w="1144" w:type="dxa"/>
            <w:shd w:val="clear" w:color="auto" w:fill="auto"/>
            <w:vAlign w:val="center"/>
          </w:tcPr>
          <w:p w14:paraId="4889CEEA"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175,076</w:t>
            </w:r>
          </w:p>
        </w:tc>
        <w:tc>
          <w:tcPr>
            <w:tcW w:w="1145" w:type="dxa"/>
            <w:shd w:val="clear" w:color="auto" w:fill="auto"/>
            <w:vAlign w:val="center"/>
          </w:tcPr>
          <w:p w14:paraId="69D3CA10"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44.5</w:t>
            </w:r>
          </w:p>
        </w:tc>
      </w:tr>
      <w:tr w:rsidR="002448FB" w14:paraId="0CB2951D" w14:textId="77777777" w:rsidTr="007A27B1">
        <w:trPr>
          <w:trHeight w:val="285"/>
        </w:trPr>
        <w:tc>
          <w:tcPr>
            <w:tcW w:w="2825"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uto"/>
            <w:vAlign w:val="center"/>
            <w:hideMark/>
          </w:tcPr>
          <w:p w14:paraId="5D330CCE"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Total volume of data downloaded</w:t>
            </w:r>
            <w:r w:rsidRPr="00430CCA">
              <w:rPr>
                <w:rFonts w:cs="Arial"/>
                <w:sz w:val="18"/>
                <w:szCs w:val="18"/>
                <w:vertAlign w:val="superscript"/>
              </w:rPr>
              <w:t>‡</w:t>
            </w:r>
          </w:p>
        </w:tc>
        <w:tc>
          <w:tcPr>
            <w:tcW w:w="1144" w:type="dxa"/>
            <w:shd w:val="clear" w:color="auto" w:fill="auto"/>
            <w:vAlign w:val="center"/>
            <w:hideMark/>
          </w:tcPr>
          <w:p w14:paraId="0A7F10C8" w14:textId="2914CC7C"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676,</w:t>
            </w:r>
            <w:r w:rsidR="00F45A3D" w:rsidRPr="00430CCA">
              <w:rPr>
                <w:rFonts w:cs="Arial"/>
                <w:sz w:val="18"/>
                <w:szCs w:val="18"/>
              </w:rPr>
              <w:t>8</w:t>
            </w:r>
            <w:r w:rsidR="00F45A3D">
              <w:rPr>
                <w:rFonts w:cs="Arial"/>
                <w:sz w:val="18"/>
                <w:szCs w:val="18"/>
              </w:rPr>
              <w:t>32</w:t>
            </w:r>
          </w:p>
        </w:tc>
        <w:tc>
          <w:tcPr>
            <w:tcW w:w="1144" w:type="dxa"/>
            <w:shd w:val="clear" w:color="auto" w:fill="auto"/>
            <w:vAlign w:val="center"/>
          </w:tcPr>
          <w:p w14:paraId="47B3893F" w14:textId="1DF56DD1"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1,034,</w:t>
            </w:r>
            <w:r w:rsidR="00F45A3D">
              <w:rPr>
                <w:rFonts w:cs="Arial"/>
                <w:sz w:val="18"/>
                <w:szCs w:val="18"/>
              </w:rPr>
              <w:t>894</w:t>
            </w:r>
          </w:p>
        </w:tc>
        <w:tc>
          <w:tcPr>
            <w:tcW w:w="1144" w:type="dxa"/>
            <w:shd w:val="clear" w:color="auto" w:fill="auto"/>
            <w:vAlign w:val="center"/>
          </w:tcPr>
          <w:p w14:paraId="4DA4FF64" w14:textId="6B82AA50"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1,460,</w:t>
            </w:r>
            <w:r w:rsidR="00F45A3D" w:rsidRPr="00430CCA">
              <w:rPr>
                <w:rFonts w:cs="Arial"/>
                <w:sz w:val="18"/>
                <w:szCs w:val="18"/>
              </w:rPr>
              <w:t>2</w:t>
            </w:r>
            <w:r w:rsidR="00F45A3D">
              <w:rPr>
                <w:rFonts w:cs="Arial"/>
                <w:sz w:val="18"/>
                <w:szCs w:val="18"/>
              </w:rPr>
              <w:t>20</w:t>
            </w:r>
          </w:p>
        </w:tc>
        <w:tc>
          <w:tcPr>
            <w:tcW w:w="1144" w:type="dxa"/>
            <w:shd w:val="clear" w:color="auto" w:fill="auto"/>
            <w:vAlign w:val="center"/>
          </w:tcPr>
          <w:p w14:paraId="4DE6806F" w14:textId="0ECCB288"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2,218,</w:t>
            </w:r>
            <w:r w:rsidR="00F45A3D" w:rsidRPr="00430CCA">
              <w:rPr>
                <w:rFonts w:cs="Arial"/>
                <w:sz w:val="18"/>
                <w:szCs w:val="18"/>
              </w:rPr>
              <w:t>8</w:t>
            </w:r>
            <w:r w:rsidR="00F45A3D">
              <w:rPr>
                <w:rFonts w:cs="Arial"/>
                <w:sz w:val="18"/>
                <w:szCs w:val="18"/>
              </w:rPr>
              <w:t>01</w:t>
            </w:r>
          </w:p>
        </w:tc>
        <w:tc>
          <w:tcPr>
            <w:tcW w:w="1144" w:type="dxa"/>
            <w:shd w:val="clear" w:color="auto" w:fill="auto"/>
            <w:vAlign w:val="center"/>
          </w:tcPr>
          <w:p w14:paraId="1EDA0BC0"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3,171,048</w:t>
            </w:r>
          </w:p>
        </w:tc>
        <w:tc>
          <w:tcPr>
            <w:tcW w:w="1145" w:type="dxa"/>
            <w:shd w:val="clear" w:color="auto" w:fill="auto"/>
            <w:vAlign w:val="center"/>
          </w:tcPr>
          <w:p w14:paraId="2E018E08"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42.9</w:t>
            </w:r>
          </w:p>
        </w:tc>
      </w:tr>
      <w:tr w:rsidR="002448FB" w:rsidRPr="009D3979" w14:paraId="145475F4" w14:textId="77777777" w:rsidTr="000F3E58">
        <w:trPr>
          <w:trHeight w:val="90"/>
        </w:trPr>
        <w:tc>
          <w:tcPr>
            <w:tcW w:w="2825" w:type="dxa"/>
            <w:tcBorders>
              <w:top w:val="single" w:sz="4" w:space="0" w:color="BFBFBF" w:themeColor="background1" w:themeShade="BF"/>
              <w:left w:val="nil"/>
            </w:tcBorders>
            <w:shd w:val="clear" w:color="auto" w:fill="FFFFFF" w:themeFill="background1"/>
            <w:vAlign w:val="center"/>
          </w:tcPr>
          <w:p w14:paraId="3A0F2299" w14:textId="77777777" w:rsidR="002448FB" w:rsidRPr="00430CCA" w:rsidRDefault="002448FB" w:rsidP="00F97D91">
            <w:pPr>
              <w:pStyle w:val="ACMATableText"/>
              <w:keepNext/>
              <w:keepLines/>
              <w:spacing w:before="0" w:after="0"/>
              <w:rPr>
                <w:rFonts w:cs="Arial"/>
                <w:color w:val="FFFFFF" w:themeColor="background1"/>
                <w:sz w:val="18"/>
                <w:szCs w:val="18"/>
              </w:rPr>
            </w:pPr>
          </w:p>
        </w:tc>
        <w:tc>
          <w:tcPr>
            <w:tcW w:w="1144" w:type="dxa"/>
            <w:shd w:val="clear" w:color="auto" w:fill="37897E"/>
            <w:vAlign w:val="center"/>
            <w:hideMark/>
          </w:tcPr>
          <w:p w14:paraId="71AF0FBC" w14:textId="77777777" w:rsidR="002448FB" w:rsidRPr="009D3979" w:rsidRDefault="002448FB" w:rsidP="005A10D6">
            <w:pPr>
              <w:pStyle w:val="TableHeading"/>
              <w:keepNext/>
              <w:keepLines/>
              <w:spacing w:before="0" w:line="240" w:lineRule="auto"/>
              <w:jc w:val="right"/>
            </w:pPr>
            <w:r w:rsidRPr="00054A14">
              <w:t>(GB)</w:t>
            </w:r>
          </w:p>
        </w:tc>
        <w:tc>
          <w:tcPr>
            <w:tcW w:w="1144" w:type="dxa"/>
            <w:shd w:val="clear" w:color="auto" w:fill="37897E"/>
            <w:vAlign w:val="center"/>
            <w:hideMark/>
          </w:tcPr>
          <w:p w14:paraId="63FB9C6D" w14:textId="77777777" w:rsidR="002448FB" w:rsidRPr="00054A14" w:rsidRDefault="002448FB" w:rsidP="005A10D6">
            <w:pPr>
              <w:pStyle w:val="TableHeading"/>
              <w:keepNext/>
              <w:keepLines/>
              <w:spacing w:before="0" w:line="240" w:lineRule="auto"/>
              <w:jc w:val="right"/>
            </w:pPr>
            <w:r w:rsidRPr="00054A14">
              <w:t>(GB)</w:t>
            </w:r>
          </w:p>
        </w:tc>
        <w:tc>
          <w:tcPr>
            <w:tcW w:w="1144" w:type="dxa"/>
            <w:shd w:val="clear" w:color="auto" w:fill="37897E"/>
            <w:vAlign w:val="center"/>
            <w:hideMark/>
          </w:tcPr>
          <w:p w14:paraId="46ACE8A0" w14:textId="77777777" w:rsidR="002448FB" w:rsidRPr="00054A14" w:rsidRDefault="002448FB" w:rsidP="005A10D6">
            <w:pPr>
              <w:pStyle w:val="TableHeading"/>
              <w:keepNext/>
              <w:keepLines/>
              <w:spacing w:before="0" w:line="240" w:lineRule="auto"/>
              <w:jc w:val="right"/>
            </w:pPr>
            <w:r w:rsidRPr="00054A14">
              <w:t>(GB)</w:t>
            </w:r>
          </w:p>
        </w:tc>
        <w:tc>
          <w:tcPr>
            <w:tcW w:w="1144" w:type="dxa"/>
            <w:shd w:val="clear" w:color="auto" w:fill="37897E"/>
            <w:vAlign w:val="center"/>
            <w:hideMark/>
          </w:tcPr>
          <w:p w14:paraId="72651298" w14:textId="77777777" w:rsidR="002448FB" w:rsidRPr="00054A14" w:rsidRDefault="002448FB" w:rsidP="005A10D6">
            <w:pPr>
              <w:pStyle w:val="TableHeading"/>
              <w:keepNext/>
              <w:keepLines/>
              <w:spacing w:before="0" w:line="240" w:lineRule="auto"/>
              <w:jc w:val="right"/>
            </w:pPr>
            <w:r w:rsidRPr="00054A14">
              <w:t>(GB)</w:t>
            </w:r>
          </w:p>
        </w:tc>
        <w:tc>
          <w:tcPr>
            <w:tcW w:w="1144" w:type="dxa"/>
            <w:shd w:val="clear" w:color="auto" w:fill="37897E"/>
            <w:vAlign w:val="center"/>
            <w:hideMark/>
          </w:tcPr>
          <w:p w14:paraId="2A875492" w14:textId="77777777" w:rsidR="002448FB" w:rsidRPr="00054A14" w:rsidRDefault="002448FB" w:rsidP="005A10D6">
            <w:pPr>
              <w:pStyle w:val="TableHeading"/>
              <w:keepNext/>
              <w:keepLines/>
              <w:spacing w:before="0" w:line="240" w:lineRule="auto"/>
              <w:jc w:val="right"/>
            </w:pPr>
            <w:r w:rsidRPr="00054A14">
              <w:t>(GB)</w:t>
            </w:r>
          </w:p>
        </w:tc>
        <w:tc>
          <w:tcPr>
            <w:tcW w:w="1145" w:type="dxa"/>
            <w:shd w:val="clear" w:color="auto" w:fill="37897E"/>
            <w:vAlign w:val="center"/>
            <w:hideMark/>
          </w:tcPr>
          <w:p w14:paraId="24C4288D" w14:textId="77777777" w:rsidR="002448FB" w:rsidRPr="00054A14" w:rsidRDefault="002448FB" w:rsidP="005A10D6">
            <w:pPr>
              <w:pStyle w:val="TableHeading"/>
              <w:keepNext/>
              <w:keepLines/>
              <w:spacing w:before="0" w:line="240" w:lineRule="auto"/>
              <w:jc w:val="right"/>
            </w:pPr>
            <w:r w:rsidRPr="00054A14">
              <w:t>(GB)</w:t>
            </w:r>
          </w:p>
        </w:tc>
      </w:tr>
      <w:tr w:rsidR="002448FB" w14:paraId="5ED59ADD" w14:textId="77777777" w:rsidTr="000F3E58">
        <w:trPr>
          <w:trHeight w:val="268"/>
        </w:trPr>
        <w:tc>
          <w:tcPr>
            <w:tcW w:w="2825" w:type="dxa"/>
            <w:tcBorders>
              <w:top w:val="single" w:sz="4" w:space="0" w:color="BFBFBF" w:themeColor="background1" w:themeShade="BF"/>
              <w:left w:val="single" w:sz="4" w:space="0" w:color="BFBFBF" w:themeColor="background1" w:themeShade="BF"/>
            </w:tcBorders>
            <w:shd w:val="clear" w:color="auto" w:fill="auto"/>
            <w:vAlign w:val="center"/>
            <w:hideMark/>
          </w:tcPr>
          <w:p w14:paraId="073DC51F"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Average per fixed-line broadband subscriber</w:t>
            </w:r>
          </w:p>
        </w:tc>
        <w:tc>
          <w:tcPr>
            <w:tcW w:w="1144" w:type="dxa"/>
            <w:shd w:val="clear" w:color="auto" w:fill="auto"/>
            <w:vAlign w:val="center"/>
            <w:hideMark/>
          </w:tcPr>
          <w:p w14:paraId="67BFE191"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107.9</w:t>
            </w:r>
          </w:p>
        </w:tc>
        <w:tc>
          <w:tcPr>
            <w:tcW w:w="1144" w:type="dxa"/>
            <w:shd w:val="clear" w:color="auto" w:fill="auto"/>
            <w:vAlign w:val="center"/>
          </w:tcPr>
          <w:p w14:paraId="473D776E"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155.0</w:t>
            </w:r>
          </w:p>
        </w:tc>
        <w:tc>
          <w:tcPr>
            <w:tcW w:w="1144" w:type="dxa"/>
            <w:shd w:val="clear" w:color="auto" w:fill="auto"/>
            <w:vAlign w:val="center"/>
          </w:tcPr>
          <w:p w14:paraId="1C1B8530"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207.0</w:t>
            </w:r>
          </w:p>
        </w:tc>
        <w:tc>
          <w:tcPr>
            <w:tcW w:w="1144" w:type="dxa"/>
            <w:shd w:val="clear" w:color="auto" w:fill="auto"/>
            <w:vAlign w:val="center"/>
          </w:tcPr>
          <w:p w14:paraId="66D14E30"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291.9</w:t>
            </w:r>
          </w:p>
        </w:tc>
        <w:tc>
          <w:tcPr>
            <w:tcW w:w="1144" w:type="dxa"/>
            <w:shd w:val="clear" w:color="auto" w:fill="auto"/>
            <w:vAlign w:val="center"/>
          </w:tcPr>
          <w:p w14:paraId="06B179C8"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394.4</w:t>
            </w:r>
          </w:p>
        </w:tc>
        <w:tc>
          <w:tcPr>
            <w:tcW w:w="1145" w:type="dxa"/>
            <w:shd w:val="clear" w:color="auto" w:fill="auto"/>
            <w:vAlign w:val="center"/>
          </w:tcPr>
          <w:p w14:paraId="6199A82C"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35.1</w:t>
            </w:r>
          </w:p>
        </w:tc>
      </w:tr>
      <w:tr w:rsidR="00A57E93" w14:paraId="107946F8" w14:textId="77777777" w:rsidTr="000F3E58">
        <w:trPr>
          <w:trHeight w:val="274"/>
        </w:trPr>
        <w:tc>
          <w:tcPr>
            <w:tcW w:w="2825" w:type="dxa"/>
            <w:tcBorders>
              <w:top w:val="single" w:sz="4" w:space="0" w:color="BFBFBF" w:themeColor="background1" w:themeShade="BF"/>
              <w:left w:val="single" w:sz="4" w:space="0" w:color="BFBFBF" w:themeColor="background1" w:themeShade="BF"/>
            </w:tcBorders>
            <w:shd w:val="clear" w:color="auto" w:fill="auto"/>
            <w:vAlign w:val="center"/>
          </w:tcPr>
          <w:p w14:paraId="43A30C4B" w14:textId="77777777" w:rsidR="00A57E93" w:rsidRPr="00430CCA" w:rsidRDefault="00A57E93" w:rsidP="00F97D91">
            <w:pPr>
              <w:pStyle w:val="ACMATableText"/>
              <w:keepNext/>
              <w:keepLines/>
              <w:spacing w:before="0" w:after="0"/>
              <w:rPr>
                <w:rFonts w:cs="Arial"/>
                <w:sz w:val="18"/>
                <w:szCs w:val="18"/>
              </w:rPr>
            </w:pPr>
            <w:r w:rsidRPr="00430CCA">
              <w:rPr>
                <w:rFonts w:cs="Arial"/>
                <w:sz w:val="18"/>
                <w:szCs w:val="18"/>
              </w:rPr>
              <w:t xml:space="preserve">Average per </w:t>
            </w:r>
            <w:r>
              <w:rPr>
                <w:rFonts w:cs="Arial"/>
                <w:sz w:val="18"/>
                <w:szCs w:val="18"/>
              </w:rPr>
              <w:t>wireless</w:t>
            </w:r>
            <w:r w:rsidRPr="00430CCA">
              <w:rPr>
                <w:rFonts w:cs="Arial"/>
                <w:sz w:val="18"/>
                <w:szCs w:val="18"/>
              </w:rPr>
              <w:t xml:space="preserve"> broadband subscriber</w:t>
            </w:r>
          </w:p>
        </w:tc>
        <w:tc>
          <w:tcPr>
            <w:tcW w:w="1144" w:type="dxa"/>
            <w:shd w:val="clear" w:color="auto" w:fill="auto"/>
            <w:vAlign w:val="center"/>
          </w:tcPr>
          <w:p w14:paraId="611B6453" w14:textId="77777777" w:rsidR="00A57E93" w:rsidRPr="00430CCA" w:rsidRDefault="00FA1B7A" w:rsidP="00F97D91">
            <w:pPr>
              <w:pStyle w:val="ACMATableText"/>
              <w:keepNext/>
              <w:keepLines/>
              <w:spacing w:before="0" w:after="0"/>
              <w:jc w:val="right"/>
              <w:rPr>
                <w:rFonts w:cs="Arial"/>
                <w:sz w:val="18"/>
                <w:szCs w:val="18"/>
              </w:rPr>
            </w:pPr>
            <w:r>
              <w:rPr>
                <w:rFonts w:cs="Arial"/>
                <w:sz w:val="18"/>
                <w:szCs w:val="18"/>
              </w:rPr>
              <w:t>4.3</w:t>
            </w:r>
          </w:p>
        </w:tc>
        <w:tc>
          <w:tcPr>
            <w:tcW w:w="1144" w:type="dxa"/>
            <w:shd w:val="clear" w:color="auto" w:fill="auto"/>
            <w:vAlign w:val="center"/>
          </w:tcPr>
          <w:p w14:paraId="72E49E23" w14:textId="77777777" w:rsidR="00A57E93" w:rsidRPr="00430CCA" w:rsidRDefault="00FA1B7A" w:rsidP="00F97D91">
            <w:pPr>
              <w:pStyle w:val="ACMATableText"/>
              <w:keepNext/>
              <w:keepLines/>
              <w:spacing w:before="0" w:after="0"/>
              <w:jc w:val="right"/>
              <w:rPr>
                <w:rFonts w:cs="Arial"/>
                <w:sz w:val="18"/>
                <w:szCs w:val="18"/>
              </w:rPr>
            </w:pPr>
            <w:r>
              <w:rPr>
                <w:rFonts w:cs="Arial"/>
                <w:sz w:val="18"/>
                <w:szCs w:val="18"/>
              </w:rPr>
              <w:t>5.4</w:t>
            </w:r>
          </w:p>
        </w:tc>
        <w:tc>
          <w:tcPr>
            <w:tcW w:w="1144" w:type="dxa"/>
            <w:shd w:val="clear" w:color="auto" w:fill="auto"/>
            <w:vAlign w:val="center"/>
          </w:tcPr>
          <w:p w14:paraId="4793AAB0" w14:textId="77777777" w:rsidR="00A57E93" w:rsidRPr="00430CCA" w:rsidRDefault="00FA1B7A" w:rsidP="00F97D91">
            <w:pPr>
              <w:pStyle w:val="ACMATableText"/>
              <w:keepNext/>
              <w:keepLines/>
              <w:spacing w:before="0" w:after="0"/>
              <w:jc w:val="right"/>
              <w:rPr>
                <w:rFonts w:cs="Arial"/>
                <w:sz w:val="18"/>
                <w:szCs w:val="18"/>
              </w:rPr>
            </w:pPr>
            <w:r>
              <w:rPr>
                <w:rFonts w:cs="Arial"/>
                <w:sz w:val="18"/>
                <w:szCs w:val="18"/>
              </w:rPr>
              <w:t>6.3</w:t>
            </w:r>
          </w:p>
        </w:tc>
        <w:tc>
          <w:tcPr>
            <w:tcW w:w="1144" w:type="dxa"/>
            <w:shd w:val="clear" w:color="auto" w:fill="auto"/>
            <w:vAlign w:val="center"/>
          </w:tcPr>
          <w:p w14:paraId="0707F317" w14:textId="77777777" w:rsidR="00A57E93" w:rsidRPr="00430CCA" w:rsidRDefault="00A57E93" w:rsidP="00F97D91">
            <w:pPr>
              <w:pStyle w:val="ACMATableText"/>
              <w:keepNext/>
              <w:keepLines/>
              <w:spacing w:before="0" w:after="0"/>
              <w:jc w:val="right"/>
              <w:rPr>
                <w:rFonts w:cs="Arial"/>
                <w:sz w:val="18"/>
                <w:szCs w:val="18"/>
              </w:rPr>
            </w:pPr>
            <w:r>
              <w:rPr>
                <w:rFonts w:cs="Arial"/>
                <w:sz w:val="18"/>
                <w:szCs w:val="18"/>
              </w:rPr>
              <w:t>7.8</w:t>
            </w:r>
          </w:p>
        </w:tc>
        <w:tc>
          <w:tcPr>
            <w:tcW w:w="1144" w:type="dxa"/>
            <w:shd w:val="clear" w:color="auto" w:fill="auto"/>
            <w:vAlign w:val="center"/>
          </w:tcPr>
          <w:p w14:paraId="570561F7" w14:textId="77777777" w:rsidR="00A57E93" w:rsidRPr="00430CCA" w:rsidRDefault="00A57E93" w:rsidP="00F97D91">
            <w:pPr>
              <w:pStyle w:val="ACMATableText"/>
              <w:keepNext/>
              <w:keepLines/>
              <w:spacing w:before="0" w:after="0"/>
              <w:jc w:val="right"/>
              <w:rPr>
                <w:rFonts w:cs="Arial"/>
                <w:sz w:val="18"/>
                <w:szCs w:val="18"/>
              </w:rPr>
            </w:pPr>
            <w:r>
              <w:rPr>
                <w:rFonts w:cs="Arial"/>
                <w:sz w:val="18"/>
                <w:szCs w:val="18"/>
              </w:rPr>
              <w:t>13.0</w:t>
            </w:r>
          </w:p>
        </w:tc>
        <w:tc>
          <w:tcPr>
            <w:tcW w:w="1145" w:type="dxa"/>
            <w:shd w:val="clear" w:color="auto" w:fill="auto"/>
            <w:vAlign w:val="center"/>
          </w:tcPr>
          <w:p w14:paraId="048C2BCF" w14:textId="77777777" w:rsidR="00A57E93" w:rsidRPr="00430CCA" w:rsidRDefault="00A57E93" w:rsidP="00F97D91">
            <w:pPr>
              <w:pStyle w:val="ACMATableText"/>
              <w:keepNext/>
              <w:keepLines/>
              <w:spacing w:before="0" w:after="0"/>
              <w:jc w:val="right"/>
              <w:rPr>
                <w:rFonts w:cs="Arial"/>
                <w:sz w:val="18"/>
                <w:szCs w:val="18"/>
              </w:rPr>
            </w:pPr>
            <w:r>
              <w:rPr>
                <w:rFonts w:cs="Arial"/>
                <w:sz w:val="18"/>
                <w:szCs w:val="18"/>
              </w:rPr>
              <w:t>66.7</w:t>
            </w:r>
          </w:p>
        </w:tc>
      </w:tr>
      <w:tr w:rsidR="002448FB" w14:paraId="618DB34F" w14:textId="77777777" w:rsidTr="000F3E58">
        <w:trPr>
          <w:trHeight w:val="274"/>
        </w:trPr>
        <w:tc>
          <w:tcPr>
            <w:tcW w:w="2825" w:type="dxa"/>
            <w:tcBorders>
              <w:top w:val="single" w:sz="4" w:space="0" w:color="BFBFBF" w:themeColor="background1" w:themeShade="BF"/>
              <w:left w:val="single" w:sz="4" w:space="0" w:color="BFBFBF" w:themeColor="background1" w:themeShade="BF"/>
            </w:tcBorders>
            <w:shd w:val="clear" w:color="auto" w:fill="auto"/>
            <w:vAlign w:val="center"/>
            <w:hideMark/>
          </w:tcPr>
          <w:p w14:paraId="17A4565D" w14:textId="77777777" w:rsidR="002448FB" w:rsidRPr="00430CCA" w:rsidRDefault="002448FB" w:rsidP="00F97D91">
            <w:pPr>
              <w:pStyle w:val="ACMATableText"/>
              <w:keepNext/>
              <w:keepLines/>
              <w:spacing w:before="0" w:after="0"/>
              <w:rPr>
                <w:rFonts w:cs="Arial"/>
                <w:sz w:val="18"/>
                <w:szCs w:val="18"/>
              </w:rPr>
            </w:pPr>
            <w:r w:rsidRPr="00430CCA">
              <w:rPr>
                <w:rFonts w:cs="Arial"/>
                <w:sz w:val="18"/>
                <w:szCs w:val="18"/>
              </w:rPr>
              <w:t>Average per mobile phone handset internet subscriber</w:t>
            </w:r>
          </w:p>
        </w:tc>
        <w:tc>
          <w:tcPr>
            <w:tcW w:w="1144" w:type="dxa"/>
            <w:shd w:val="clear" w:color="auto" w:fill="auto"/>
            <w:vAlign w:val="center"/>
            <w:hideMark/>
          </w:tcPr>
          <w:p w14:paraId="1691DF17"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1.0</w:t>
            </w:r>
          </w:p>
        </w:tc>
        <w:tc>
          <w:tcPr>
            <w:tcW w:w="1144" w:type="dxa"/>
            <w:shd w:val="clear" w:color="auto" w:fill="auto"/>
            <w:vAlign w:val="center"/>
          </w:tcPr>
          <w:p w14:paraId="75283CC2"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1.9</w:t>
            </w:r>
          </w:p>
        </w:tc>
        <w:tc>
          <w:tcPr>
            <w:tcW w:w="1144" w:type="dxa"/>
            <w:shd w:val="clear" w:color="auto" w:fill="auto"/>
            <w:vAlign w:val="center"/>
          </w:tcPr>
          <w:p w14:paraId="23AFE2A7"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3.</w:t>
            </w:r>
            <w:r w:rsidR="00831052">
              <w:rPr>
                <w:rFonts w:cs="Arial"/>
                <w:sz w:val="18"/>
                <w:szCs w:val="18"/>
              </w:rPr>
              <w:t>0</w:t>
            </w:r>
          </w:p>
        </w:tc>
        <w:tc>
          <w:tcPr>
            <w:tcW w:w="1144" w:type="dxa"/>
            <w:shd w:val="clear" w:color="auto" w:fill="auto"/>
            <w:vAlign w:val="center"/>
          </w:tcPr>
          <w:p w14:paraId="2D96E408" w14:textId="77777777" w:rsidR="002448FB" w:rsidRPr="00430CCA" w:rsidRDefault="00180FE4" w:rsidP="00F97D91">
            <w:pPr>
              <w:pStyle w:val="ACMATableText"/>
              <w:keepNext/>
              <w:keepLines/>
              <w:spacing w:before="0" w:after="0"/>
              <w:jc w:val="right"/>
              <w:rPr>
                <w:rFonts w:cs="Arial"/>
                <w:sz w:val="18"/>
                <w:szCs w:val="18"/>
              </w:rPr>
            </w:pPr>
            <w:r>
              <w:rPr>
                <w:rFonts w:cs="Arial"/>
                <w:sz w:val="18"/>
                <w:szCs w:val="18"/>
              </w:rPr>
              <w:t>4.9</w:t>
            </w:r>
          </w:p>
        </w:tc>
        <w:tc>
          <w:tcPr>
            <w:tcW w:w="1144" w:type="dxa"/>
            <w:shd w:val="clear" w:color="auto" w:fill="auto"/>
            <w:vAlign w:val="center"/>
          </w:tcPr>
          <w:p w14:paraId="10B6C5B3" w14:textId="77777777" w:rsidR="002448FB" w:rsidRPr="00430CCA" w:rsidRDefault="002448FB" w:rsidP="00F97D91">
            <w:pPr>
              <w:pStyle w:val="ACMATableText"/>
              <w:keepNext/>
              <w:keepLines/>
              <w:spacing w:before="0" w:after="0"/>
              <w:jc w:val="right"/>
              <w:rPr>
                <w:rFonts w:cs="Arial"/>
                <w:sz w:val="18"/>
                <w:szCs w:val="18"/>
              </w:rPr>
            </w:pPr>
            <w:r w:rsidRPr="00430CCA">
              <w:rPr>
                <w:rFonts w:cs="Arial"/>
                <w:sz w:val="18"/>
                <w:szCs w:val="18"/>
              </w:rPr>
              <w:t>6.6</w:t>
            </w:r>
          </w:p>
        </w:tc>
        <w:tc>
          <w:tcPr>
            <w:tcW w:w="1145" w:type="dxa"/>
            <w:shd w:val="clear" w:color="auto" w:fill="auto"/>
            <w:vAlign w:val="center"/>
          </w:tcPr>
          <w:p w14:paraId="4ECB1FBF" w14:textId="77777777" w:rsidR="002448FB" w:rsidRPr="00430CCA" w:rsidRDefault="00831052" w:rsidP="00F97D91">
            <w:pPr>
              <w:pStyle w:val="ACMATableText"/>
              <w:keepNext/>
              <w:keepLines/>
              <w:spacing w:before="0" w:after="0"/>
              <w:jc w:val="right"/>
              <w:rPr>
                <w:rFonts w:cs="Arial"/>
                <w:sz w:val="18"/>
                <w:szCs w:val="18"/>
              </w:rPr>
            </w:pPr>
            <w:r>
              <w:rPr>
                <w:rFonts w:cs="Arial"/>
                <w:sz w:val="18"/>
                <w:szCs w:val="18"/>
              </w:rPr>
              <w:t>36.</w:t>
            </w:r>
            <w:r w:rsidR="00CC276C">
              <w:rPr>
                <w:rFonts w:cs="Arial"/>
                <w:sz w:val="18"/>
                <w:szCs w:val="18"/>
              </w:rPr>
              <w:t>2</w:t>
            </w:r>
          </w:p>
        </w:tc>
      </w:tr>
    </w:tbl>
    <w:p w14:paraId="1424BE23" w14:textId="77777777" w:rsidR="002448FB" w:rsidRDefault="002448FB" w:rsidP="00F97D91">
      <w:pPr>
        <w:pStyle w:val="ACMANotes"/>
        <w:keepNext/>
        <w:keepLines/>
        <w:spacing w:before="120"/>
      </w:pPr>
      <w:r>
        <w:t>TB=terabyte, GB=gigabyte.</w:t>
      </w:r>
    </w:p>
    <w:p w14:paraId="609EEF6C" w14:textId="77777777" w:rsidR="002448FB" w:rsidRDefault="002448FB" w:rsidP="00F97D91">
      <w:pPr>
        <w:pStyle w:val="ACMANotes"/>
        <w:keepNext/>
        <w:keepLines/>
      </w:pPr>
      <w:r>
        <w:t>*ADSL, cable, fibre and other fixed-line broadband.</w:t>
      </w:r>
    </w:p>
    <w:p w14:paraId="4B423323" w14:textId="3E897F23" w:rsidR="002448FB" w:rsidRPr="004447D3" w:rsidRDefault="002448FB" w:rsidP="00F97D91">
      <w:pPr>
        <w:pStyle w:val="ACMANotes"/>
        <w:keepNext/>
        <w:keepLines/>
      </w:pPr>
      <w:r w:rsidRPr="004447D3">
        <w:rPr>
          <w:vertAlign w:val="superscript"/>
        </w:rPr>
        <w:t>†</w:t>
      </w:r>
      <w:r w:rsidRPr="004447D3">
        <w:t>Includes satellite; fixed wireless; mobile wireless via a datacard, dongle or USB modem; and other wireless broadb</w:t>
      </w:r>
      <w:r w:rsidR="004447D3" w:rsidRPr="004447D3">
        <w:t xml:space="preserve">and. </w:t>
      </w:r>
      <w:r w:rsidRPr="004447D3">
        <w:t>Excludes subscriptions via mobile handsets.</w:t>
      </w:r>
      <w:r w:rsidRPr="004447D3">
        <w:rPr>
          <w:vertAlign w:val="superscript"/>
        </w:rPr>
        <w:t xml:space="preserve"> </w:t>
      </w:r>
    </w:p>
    <w:p w14:paraId="45B0B4D5" w14:textId="77777777" w:rsidR="002448FB" w:rsidRDefault="002448FB" w:rsidP="00F97D91">
      <w:pPr>
        <w:pStyle w:val="ACMANotes"/>
        <w:keepNext/>
        <w:keepLines/>
      </w:pPr>
      <w:r>
        <w:rPr>
          <w:vertAlign w:val="superscript"/>
        </w:rPr>
        <w:t>‡</w:t>
      </w:r>
      <w:r>
        <w:t>Total includes dial-up volume.</w:t>
      </w:r>
    </w:p>
    <w:p w14:paraId="27163788" w14:textId="77777777" w:rsidR="002448FB" w:rsidRDefault="002448FB" w:rsidP="00F97D91">
      <w:pPr>
        <w:pStyle w:val="ACMANotesspaceafter"/>
        <w:keepNext/>
        <w:keepLines/>
        <w:spacing w:after="360"/>
      </w:pPr>
      <w:r>
        <w:t>Source: See Chapter 2. Further explanatory details for this data can be found in the source chapter.</w:t>
      </w:r>
    </w:p>
    <w:p w14:paraId="1A5D2251" w14:textId="77777777" w:rsidR="002448FB" w:rsidRDefault="00761C42" w:rsidP="00CE059B">
      <w:pPr>
        <w:pStyle w:val="Heading3"/>
        <w:spacing w:before="0" w:after="120"/>
      </w:pPr>
      <w:bookmarkStart w:id="168" w:name="_Toc465842827"/>
      <w:bookmarkStart w:id="169" w:name="_Toc465178916"/>
      <w:bookmarkStart w:id="170" w:name="_Toc463529004"/>
      <w:bookmarkStart w:id="171" w:name="_Toc462899524"/>
      <w:bookmarkStart w:id="172" w:name="_Toc494799317"/>
      <w:bookmarkStart w:id="173" w:name="_Toc494805620"/>
      <w:bookmarkStart w:id="174" w:name="_Toc494805849"/>
      <w:bookmarkStart w:id="175" w:name="_Toc494808079"/>
      <w:bookmarkStart w:id="176" w:name="_Toc494808483"/>
      <w:bookmarkStart w:id="177" w:name="_Toc494815885"/>
      <w:bookmarkStart w:id="178" w:name="_Toc494818746"/>
      <w:bookmarkStart w:id="179" w:name="_Toc494819013"/>
      <w:r>
        <w:t>Australians accessing p</w:t>
      </w:r>
      <w:r w:rsidR="002448FB">
        <w:t>rofessionally produced online content services</w:t>
      </w:r>
      <w:bookmarkEnd w:id="168"/>
      <w:bookmarkEnd w:id="169"/>
      <w:bookmarkEnd w:id="170"/>
      <w:bookmarkEnd w:id="171"/>
      <w:r w:rsidR="002448FB">
        <w:t xml:space="preserve"> (millions)</w:t>
      </w:r>
      <w:bookmarkEnd w:id="172"/>
      <w:bookmarkEnd w:id="173"/>
      <w:bookmarkEnd w:id="174"/>
      <w:bookmarkEnd w:id="175"/>
      <w:bookmarkEnd w:id="176"/>
      <w:bookmarkEnd w:id="177"/>
      <w:bookmarkEnd w:id="178"/>
      <w:bookmarkEnd w:id="179"/>
    </w:p>
    <w:tbl>
      <w:tblPr>
        <w:tblW w:w="936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Digital services and engagement: Professionally produced online content services"/>
      </w:tblPr>
      <w:tblGrid>
        <w:gridCol w:w="2835"/>
        <w:gridCol w:w="1088"/>
        <w:gridCol w:w="1089"/>
        <w:gridCol w:w="1089"/>
        <w:gridCol w:w="1089"/>
        <w:gridCol w:w="1089"/>
        <w:gridCol w:w="1089"/>
      </w:tblGrid>
      <w:tr w:rsidR="002448FB" w:rsidRPr="00B50BAA" w14:paraId="4E526179" w14:textId="77777777" w:rsidTr="000F3E58">
        <w:trPr>
          <w:trHeight w:val="403"/>
          <w:tblHeader/>
        </w:trPr>
        <w:tc>
          <w:tcPr>
            <w:tcW w:w="2835" w:type="dxa"/>
            <w:tcBorders>
              <w:top w:val="nil"/>
              <w:left w:val="nil"/>
            </w:tcBorders>
            <w:shd w:val="clear" w:color="auto" w:fill="FFFFFF" w:themeFill="background1"/>
            <w:vAlign w:val="center"/>
          </w:tcPr>
          <w:p w14:paraId="01FA42F7" w14:textId="77777777" w:rsidR="002448FB" w:rsidRPr="00430CCA" w:rsidRDefault="002448FB" w:rsidP="00F97D91">
            <w:pPr>
              <w:pStyle w:val="ACMATableText"/>
              <w:spacing w:before="0" w:after="0"/>
              <w:jc w:val="right"/>
              <w:rPr>
                <w:sz w:val="18"/>
                <w:szCs w:val="18"/>
              </w:rPr>
            </w:pPr>
          </w:p>
        </w:tc>
        <w:tc>
          <w:tcPr>
            <w:tcW w:w="1088" w:type="dxa"/>
            <w:shd w:val="clear" w:color="auto" w:fill="37897E"/>
            <w:vAlign w:val="center"/>
            <w:hideMark/>
          </w:tcPr>
          <w:p w14:paraId="78E7A06B" w14:textId="77777777" w:rsidR="002448FB" w:rsidRPr="00F44992" w:rsidRDefault="002448FB" w:rsidP="005A10D6">
            <w:pPr>
              <w:pStyle w:val="TableHeading"/>
              <w:spacing w:before="0" w:line="240" w:lineRule="auto"/>
              <w:jc w:val="right"/>
            </w:pPr>
            <w:r w:rsidRPr="00F44992">
              <w:t xml:space="preserve">May 13 </w:t>
            </w:r>
          </w:p>
        </w:tc>
        <w:tc>
          <w:tcPr>
            <w:tcW w:w="1089" w:type="dxa"/>
            <w:shd w:val="clear" w:color="auto" w:fill="37897E"/>
            <w:vAlign w:val="center"/>
            <w:hideMark/>
          </w:tcPr>
          <w:p w14:paraId="69022CE5" w14:textId="77777777" w:rsidR="002448FB" w:rsidRPr="00F44992" w:rsidRDefault="002448FB" w:rsidP="005A10D6">
            <w:pPr>
              <w:pStyle w:val="TableHeading"/>
              <w:spacing w:before="0" w:line="240" w:lineRule="auto"/>
              <w:jc w:val="right"/>
            </w:pPr>
            <w:r w:rsidRPr="00F44992">
              <w:t>May 14</w:t>
            </w:r>
          </w:p>
        </w:tc>
        <w:tc>
          <w:tcPr>
            <w:tcW w:w="1089" w:type="dxa"/>
            <w:shd w:val="clear" w:color="auto" w:fill="37897E"/>
            <w:vAlign w:val="center"/>
            <w:hideMark/>
          </w:tcPr>
          <w:p w14:paraId="1381400F" w14:textId="77777777" w:rsidR="002448FB" w:rsidRPr="00F44992" w:rsidRDefault="002448FB" w:rsidP="005A10D6">
            <w:pPr>
              <w:pStyle w:val="TableHeading"/>
              <w:spacing w:before="0" w:line="240" w:lineRule="auto"/>
              <w:jc w:val="right"/>
            </w:pPr>
            <w:r w:rsidRPr="00F44992">
              <w:t xml:space="preserve">May 15 </w:t>
            </w:r>
          </w:p>
        </w:tc>
        <w:tc>
          <w:tcPr>
            <w:tcW w:w="1089" w:type="dxa"/>
            <w:shd w:val="clear" w:color="auto" w:fill="37897E"/>
            <w:vAlign w:val="center"/>
            <w:hideMark/>
          </w:tcPr>
          <w:p w14:paraId="60834462" w14:textId="77777777" w:rsidR="002448FB" w:rsidRPr="00F44992" w:rsidRDefault="002448FB" w:rsidP="005A10D6">
            <w:pPr>
              <w:pStyle w:val="TableHeading"/>
              <w:spacing w:before="0" w:line="240" w:lineRule="auto"/>
              <w:jc w:val="right"/>
            </w:pPr>
            <w:r w:rsidRPr="00F44992">
              <w:t xml:space="preserve">Jun 16 </w:t>
            </w:r>
          </w:p>
        </w:tc>
        <w:tc>
          <w:tcPr>
            <w:tcW w:w="1089" w:type="dxa"/>
            <w:shd w:val="clear" w:color="auto" w:fill="37897E"/>
            <w:vAlign w:val="center"/>
          </w:tcPr>
          <w:p w14:paraId="26E341A3" w14:textId="77777777" w:rsidR="002448FB" w:rsidRPr="00F44992" w:rsidDel="009D3979" w:rsidRDefault="002448FB" w:rsidP="005A10D6">
            <w:pPr>
              <w:pStyle w:val="TableHeading"/>
              <w:spacing w:before="0" w:line="240" w:lineRule="auto"/>
              <w:jc w:val="right"/>
            </w:pPr>
            <w:r w:rsidRPr="00902587">
              <w:t>Jun 17</w:t>
            </w:r>
          </w:p>
        </w:tc>
        <w:tc>
          <w:tcPr>
            <w:tcW w:w="1089" w:type="dxa"/>
            <w:shd w:val="clear" w:color="auto" w:fill="37897E"/>
            <w:vAlign w:val="center"/>
            <w:hideMark/>
          </w:tcPr>
          <w:p w14:paraId="7759E27A" w14:textId="77777777" w:rsidR="002448FB" w:rsidRPr="00F44992" w:rsidRDefault="002448FB" w:rsidP="005A10D6">
            <w:pPr>
              <w:pStyle w:val="TableHeading"/>
              <w:spacing w:before="0" w:line="240" w:lineRule="auto"/>
              <w:jc w:val="right"/>
            </w:pPr>
            <w:r w:rsidRPr="00F44992">
              <w:t>2016–17 change (%)</w:t>
            </w:r>
          </w:p>
        </w:tc>
      </w:tr>
      <w:tr w:rsidR="002448FB" w:rsidRPr="00B50BAA" w14:paraId="2BE032F1" w14:textId="77777777" w:rsidTr="000F3E58">
        <w:trPr>
          <w:trHeight w:val="174"/>
        </w:trPr>
        <w:tc>
          <w:tcPr>
            <w:tcW w:w="2835" w:type="dxa"/>
            <w:shd w:val="clear" w:color="auto" w:fill="auto"/>
            <w:vAlign w:val="center"/>
            <w:hideMark/>
          </w:tcPr>
          <w:p w14:paraId="4972423D" w14:textId="77777777" w:rsidR="002448FB" w:rsidRPr="00430CCA" w:rsidRDefault="002448FB" w:rsidP="00F97D91">
            <w:pPr>
              <w:pStyle w:val="ACMATableText"/>
              <w:spacing w:before="0" w:after="0"/>
              <w:rPr>
                <w:rFonts w:cs="Arial"/>
                <w:sz w:val="18"/>
                <w:szCs w:val="18"/>
              </w:rPr>
            </w:pPr>
            <w:r w:rsidRPr="00430CCA">
              <w:rPr>
                <w:rFonts w:cs="Arial"/>
                <w:sz w:val="18"/>
                <w:szCs w:val="18"/>
              </w:rPr>
              <w:t>Accessed professionally produced online video content</w:t>
            </w:r>
          </w:p>
        </w:tc>
        <w:tc>
          <w:tcPr>
            <w:tcW w:w="1088" w:type="dxa"/>
            <w:shd w:val="clear" w:color="auto" w:fill="auto"/>
            <w:vAlign w:val="center"/>
            <w:hideMark/>
          </w:tcPr>
          <w:p w14:paraId="3F63EB7D"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7.86</w:t>
            </w:r>
          </w:p>
        </w:tc>
        <w:tc>
          <w:tcPr>
            <w:tcW w:w="1089" w:type="dxa"/>
            <w:shd w:val="clear" w:color="auto" w:fill="auto"/>
            <w:vAlign w:val="center"/>
            <w:hideMark/>
          </w:tcPr>
          <w:p w14:paraId="774DDF44"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8.22</w:t>
            </w:r>
          </w:p>
        </w:tc>
        <w:tc>
          <w:tcPr>
            <w:tcW w:w="1089" w:type="dxa"/>
            <w:shd w:val="clear" w:color="auto" w:fill="auto"/>
            <w:vAlign w:val="center"/>
            <w:hideMark/>
          </w:tcPr>
          <w:p w14:paraId="017B3123"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9.62*</w:t>
            </w:r>
          </w:p>
        </w:tc>
        <w:tc>
          <w:tcPr>
            <w:tcW w:w="1089" w:type="dxa"/>
            <w:shd w:val="clear" w:color="auto" w:fill="auto"/>
            <w:vAlign w:val="center"/>
            <w:hideMark/>
          </w:tcPr>
          <w:p w14:paraId="6E18C1E3" w14:textId="77777777" w:rsidR="002448FB" w:rsidRPr="00430CCA" w:rsidRDefault="002448FB" w:rsidP="00F97D91">
            <w:pPr>
              <w:pStyle w:val="ACMATableText"/>
              <w:spacing w:before="0" w:after="0"/>
              <w:jc w:val="right"/>
              <w:rPr>
                <w:rFonts w:cs="Arial"/>
                <w:sz w:val="18"/>
                <w:szCs w:val="18"/>
                <w:vertAlign w:val="superscript"/>
              </w:rPr>
            </w:pPr>
            <w:r w:rsidRPr="00430CCA">
              <w:rPr>
                <w:rFonts w:cs="Arial"/>
                <w:sz w:val="18"/>
                <w:szCs w:val="18"/>
              </w:rPr>
              <w:t>11.50</w:t>
            </w:r>
          </w:p>
        </w:tc>
        <w:tc>
          <w:tcPr>
            <w:tcW w:w="1089" w:type="dxa"/>
            <w:shd w:val="clear" w:color="auto" w:fill="auto"/>
            <w:vAlign w:val="center"/>
          </w:tcPr>
          <w:p w14:paraId="46D307D1" w14:textId="77777777" w:rsidR="002448FB" w:rsidRPr="00430CCA" w:rsidRDefault="00036F8A" w:rsidP="00F97D91">
            <w:pPr>
              <w:pStyle w:val="ACMATableText"/>
              <w:spacing w:before="0" w:after="0"/>
              <w:jc w:val="right"/>
              <w:rPr>
                <w:rFonts w:cs="Arial"/>
                <w:sz w:val="18"/>
                <w:szCs w:val="18"/>
              </w:rPr>
            </w:pPr>
            <w:r>
              <w:rPr>
                <w:rFonts w:cs="Arial"/>
                <w:sz w:val="18"/>
                <w:szCs w:val="18"/>
              </w:rPr>
              <w:t>11.35</w:t>
            </w:r>
          </w:p>
        </w:tc>
        <w:tc>
          <w:tcPr>
            <w:tcW w:w="1089" w:type="dxa"/>
            <w:shd w:val="clear" w:color="auto" w:fill="auto"/>
            <w:vAlign w:val="center"/>
            <w:hideMark/>
          </w:tcPr>
          <w:p w14:paraId="28DFC6F3"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n/a</w:t>
            </w:r>
            <w:r w:rsidRPr="00430CCA">
              <w:rPr>
                <w:rFonts w:cs="Arial"/>
                <w:sz w:val="18"/>
                <w:szCs w:val="18"/>
                <w:vertAlign w:val="superscript"/>
              </w:rPr>
              <w:t>†</w:t>
            </w:r>
          </w:p>
        </w:tc>
      </w:tr>
      <w:tr w:rsidR="002448FB" w:rsidRPr="00B50BAA" w14:paraId="4ABF7911" w14:textId="77777777" w:rsidTr="000F3E58">
        <w:trPr>
          <w:trHeight w:val="27"/>
        </w:trPr>
        <w:tc>
          <w:tcPr>
            <w:tcW w:w="2835" w:type="dxa"/>
            <w:shd w:val="clear" w:color="auto" w:fill="auto"/>
            <w:vAlign w:val="center"/>
            <w:hideMark/>
          </w:tcPr>
          <w:p w14:paraId="530F1926" w14:textId="77777777" w:rsidR="002448FB" w:rsidRPr="00430CCA" w:rsidRDefault="002448FB" w:rsidP="00F97D91">
            <w:pPr>
              <w:pStyle w:val="ACMATableText"/>
              <w:spacing w:before="0" w:after="0"/>
              <w:rPr>
                <w:rFonts w:cs="Arial"/>
                <w:sz w:val="18"/>
                <w:szCs w:val="18"/>
              </w:rPr>
            </w:pPr>
            <w:r w:rsidRPr="00430CCA">
              <w:rPr>
                <w:rFonts w:cs="Arial"/>
                <w:sz w:val="18"/>
                <w:szCs w:val="18"/>
              </w:rPr>
              <w:t>Accessed online news sites</w:t>
            </w:r>
          </w:p>
        </w:tc>
        <w:tc>
          <w:tcPr>
            <w:tcW w:w="1088" w:type="dxa"/>
            <w:shd w:val="clear" w:color="auto" w:fill="auto"/>
            <w:vAlign w:val="center"/>
            <w:hideMark/>
          </w:tcPr>
          <w:p w14:paraId="0544993B"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11.39</w:t>
            </w:r>
          </w:p>
        </w:tc>
        <w:tc>
          <w:tcPr>
            <w:tcW w:w="1089" w:type="dxa"/>
            <w:shd w:val="clear" w:color="auto" w:fill="auto"/>
            <w:vAlign w:val="center"/>
            <w:hideMark/>
          </w:tcPr>
          <w:p w14:paraId="33B7186B"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10.79</w:t>
            </w:r>
          </w:p>
        </w:tc>
        <w:tc>
          <w:tcPr>
            <w:tcW w:w="1089" w:type="dxa"/>
            <w:shd w:val="clear" w:color="auto" w:fill="auto"/>
            <w:vAlign w:val="center"/>
            <w:hideMark/>
          </w:tcPr>
          <w:p w14:paraId="12308C41"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10.28</w:t>
            </w:r>
          </w:p>
        </w:tc>
        <w:tc>
          <w:tcPr>
            <w:tcW w:w="1089" w:type="dxa"/>
            <w:shd w:val="clear" w:color="auto" w:fill="auto"/>
            <w:vAlign w:val="center"/>
            <w:hideMark/>
          </w:tcPr>
          <w:p w14:paraId="6B8142BF"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13.01</w:t>
            </w:r>
          </w:p>
        </w:tc>
        <w:tc>
          <w:tcPr>
            <w:tcW w:w="1089" w:type="dxa"/>
            <w:shd w:val="clear" w:color="auto" w:fill="auto"/>
            <w:vAlign w:val="center"/>
          </w:tcPr>
          <w:p w14:paraId="58EA8EE0" w14:textId="77777777" w:rsidR="002448FB" w:rsidRPr="00430CCA" w:rsidRDefault="00036F8A" w:rsidP="00F97D91">
            <w:pPr>
              <w:pStyle w:val="ACMATableText"/>
              <w:spacing w:before="0" w:after="0"/>
              <w:jc w:val="right"/>
              <w:rPr>
                <w:rFonts w:cs="Arial"/>
                <w:sz w:val="18"/>
                <w:szCs w:val="18"/>
              </w:rPr>
            </w:pPr>
            <w:r>
              <w:rPr>
                <w:rFonts w:cs="Arial"/>
                <w:sz w:val="18"/>
                <w:szCs w:val="18"/>
              </w:rPr>
              <w:t>12.73</w:t>
            </w:r>
          </w:p>
        </w:tc>
        <w:tc>
          <w:tcPr>
            <w:tcW w:w="1089" w:type="dxa"/>
            <w:shd w:val="clear" w:color="auto" w:fill="auto"/>
            <w:vAlign w:val="center"/>
            <w:hideMark/>
          </w:tcPr>
          <w:p w14:paraId="3977FA06"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n/a</w:t>
            </w:r>
            <w:r w:rsidRPr="00430CCA">
              <w:rPr>
                <w:rFonts w:cs="Arial"/>
                <w:sz w:val="18"/>
                <w:szCs w:val="18"/>
                <w:vertAlign w:val="superscript"/>
              </w:rPr>
              <w:t>†</w:t>
            </w:r>
          </w:p>
        </w:tc>
      </w:tr>
      <w:tr w:rsidR="002448FB" w:rsidRPr="00B50BAA" w14:paraId="419FE6E4" w14:textId="77777777" w:rsidTr="000F3E58">
        <w:trPr>
          <w:trHeight w:val="274"/>
        </w:trPr>
        <w:tc>
          <w:tcPr>
            <w:tcW w:w="2835" w:type="dxa"/>
            <w:shd w:val="clear" w:color="auto" w:fill="auto"/>
            <w:vAlign w:val="center"/>
            <w:hideMark/>
          </w:tcPr>
          <w:p w14:paraId="2E94668E" w14:textId="77777777" w:rsidR="002448FB" w:rsidRPr="00430CCA" w:rsidRDefault="002448FB" w:rsidP="00F97D91">
            <w:pPr>
              <w:pStyle w:val="ACMATableText"/>
              <w:spacing w:before="0" w:after="0"/>
              <w:rPr>
                <w:rFonts w:cs="Arial"/>
                <w:sz w:val="18"/>
                <w:szCs w:val="18"/>
              </w:rPr>
            </w:pPr>
            <w:r w:rsidRPr="00430CCA">
              <w:rPr>
                <w:rFonts w:cs="Arial"/>
                <w:sz w:val="18"/>
                <w:szCs w:val="18"/>
              </w:rPr>
              <w:t>Paid for an online news subscription</w:t>
            </w:r>
          </w:p>
        </w:tc>
        <w:tc>
          <w:tcPr>
            <w:tcW w:w="1088" w:type="dxa"/>
            <w:shd w:val="clear" w:color="auto" w:fill="auto"/>
            <w:vAlign w:val="center"/>
            <w:hideMark/>
          </w:tcPr>
          <w:p w14:paraId="0E2F2636"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1.08</w:t>
            </w:r>
          </w:p>
        </w:tc>
        <w:tc>
          <w:tcPr>
            <w:tcW w:w="1089" w:type="dxa"/>
            <w:shd w:val="clear" w:color="auto" w:fill="auto"/>
            <w:vAlign w:val="center"/>
            <w:hideMark/>
          </w:tcPr>
          <w:p w14:paraId="41D9AA2D"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1.18</w:t>
            </w:r>
          </w:p>
        </w:tc>
        <w:tc>
          <w:tcPr>
            <w:tcW w:w="1089" w:type="dxa"/>
            <w:shd w:val="clear" w:color="auto" w:fill="auto"/>
            <w:vAlign w:val="center"/>
            <w:hideMark/>
          </w:tcPr>
          <w:p w14:paraId="566261E7"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1.24</w:t>
            </w:r>
          </w:p>
        </w:tc>
        <w:tc>
          <w:tcPr>
            <w:tcW w:w="1089" w:type="dxa"/>
            <w:shd w:val="clear" w:color="auto" w:fill="auto"/>
            <w:vAlign w:val="center"/>
            <w:hideMark/>
          </w:tcPr>
          <w:p w14:paraId="1752C7CB"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1.39</w:t>
            </w:r>
          </w:p>
        </w:tc>
        <w:tc>
          <w:tcPr>
            <w:tcW w:w="1089" w:type="dxa"/>
            <w:shd w:val="clear" w:color="auto" w:fill="auto"/>
            <w:vAlign w:val="center"/>
          </w:tcPr>
          <w:p w14:paraId="5DC7674C"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n/a</w:t>
            </w:r>
          </w:p>
        </w:tc>
        <w:tc>
          <w:tcPr>
            <w:tcW w:w="1089" w:type="dxa"/>
            <w:shd w:val="clear" w:color="auto" w:fill="auto"/>
            <w:vAlign w:val="center"/>
            <w:hideMark/>
          </w:tcPr>
          <w:p w14:paraId="45D2C36C" w14:textId="77777777" w:rsidR="002448FB" w:rsidRPr="00430CCA" w:rsidRDefault="002448FB" w:rsidP="00F97D91">
            <w:pPr>
              <w:pStyle w:val="ACMATableText"/>
              <w:spacing w:before="0" w:after="0"/>
              <w:jc w:val="right"/>
              <w:rPr>
                <w:rFonts w:cs="Arial"/>
                <w:sz w:val="18"/>
                <w:szCs w:val="18"/>
              </w:rPr>
            </w:pPr>
            <w:r w:rsidRPr="00430CCA">
              <w:rPr>
                <w:rFonts w:cs="Arial"/>
                <w:sz w:val="18"/>
                <w:szCs w:val="18"/>
              </w:rPr>
              <w:t>n/a</w:t>
            </w:r>
            <w:r w:rsidRPr="00430CCA">
              <w:rPr>
                <w:rFonts w:cs="Arial"/>
                <w:sz w:val="18"/>
                <w:szCs w:val="18"/>
                <w:vertAlign w:val="superscript"/>
              </w:rPr>
              <w:t>†</w:t>
            </w:r>
          </w:p>
        </w:tc>
      </w:tr>
    </w:tbl>
    <w:p w14:paraId="2E699ECF" w14:textId="77777777" w:rsidR="002448FB" w:rsidRDefault="002448FB" w:rsidP="00F97D91">
      <w:pPr>
        <w:pStyle w:val="ACMANotes"/>
        <w:spacing w:before="120"/>
      </w:pPr>
      <w:r>
        <w:t>n/a=not available.</w:t>
      </w:r>
    </w:p>
    <w:p w14:paraId="24FE26D8" w14:textId="77777777" w:rsidR="002448FB" w:rsidRDefault="002448FB" w:rsidP="002448FB">
      <w:pPr>
        <w:pStyle w:val="ACMANotes"/>
      </w:pPr>
      <w:r>
        <w:t>*Calculated on changed basis from 2015. Data is at June 2015.</w:t>
      </w:r>
    </w:p>
    <w:p w14:paraId="4524F66C" w14:textId="77777777" w:rsidR="002448FB" w:rsidRDefault="002448FB" w:rsidP="002448FB">
      <w:pPr>
        <w:pStyle w:val="ACMANotes"/>
      </w:pPr>
      <w:r>
        <w:rPr>
          <w:vertAlign w:val="superscript"/>
        </w:rPr>
        <w:t>†</w:t>
      </w:r>
      <w:r>
        <w:t>2017 data is not comparable with previous years due to a change in methodology.</w:t>
      </w:r>
    </w:p>
    <w:p w14:paraId="63302314" w14:textId="77777777" w:rsidR="002448FB" w:rsidRDefault="002448FB" w:rsidP="002448FB">
      <w:pPr>
        <w:pStyle w:val="ACMANotes"/>
      </w:pPr>
      <w:r>
        <w:t xml:space="preserve">Base: Australians aged 18 years and over. </w:t>
      </w:r>
    </w:p>
    <w:p w14:paraId="1B7F0E55" w14:textId="6F28258C" w:rsidR="00A45509" w:rsidRDefault="00A45509" w:rsidP="002448FB">
      <w:pPr>
        <w:pStyle w:val="ACMANotes"/>
      </w:pPr>
      <w:r>
        <w:t>Note: Content accessed in the six months to each date.</w:t>
      </w:r>
    </w:p>
    <w:p w14:paraId="48BEA828" w14:textId="77777777" w:rsidR="009A7FAF" w:rsidRDefault="002448FB" w:rsidP="00CE059B">
      <w:pPr>
        <w:pStyle w:val="ACMANotes"/>
        <w:spacing w:after="360"/>
        <w:rPr>
          <w:b/>
          <w:bCs/>
          <w:szCs w:val="26"/>
        </w:rPr>
      </w:pPr>
      <w:r>
        <w:t>Source: See Chapter 3. Further explanatory details for this data can be found in the source chapter</w:t>
      </w:r>
      <w:r w:rsidR="00555643" w:rsidRPr="00531CD0">
        <w:t>.</w:t>
      </w:r>
      <w:bookmarkStart w:id="180" w:name="_Toc462899525"/>
      <w:bookmarkStart w:id="181" w:name="_Toc463529005"/>
    </w:p>
    <w:p w14:paraId="5545E3F7" w14:textId="77777777" w:rsidR="00404E46" w:rsidRDefault="00761C42" w:rsidP="00CE059B">
      <w:pPr>
        <w:pStyle w:val="Heading3"/>
        <w:spacing w:before="0" w:after="120"/>
      </w:pPr>
      <w:bookmarkStart w:id="182" w:name="_Toc494805850"/>
      <w:bookmarkStart w:id="183" w:name="_Toc494808080"/>
      <w:bookmarkStart w:id="184" w:name="_Toc494808484"/>
      <w:bookmarkStart w:id="185" w:name="_Toc494818747"/>
      <w:bookmarkStart w:id="186" w:name="_Toc465842828"/>
      <w:bookmarkStart w:id="187" w:name="_Toc465178917"/>
      <w:bookmarkStart w:id="188" w:name="_Toc494799318"/>
      <w:bookmarkStart w:id="189" w:name="_Toc494805621"/>
      <w:bookmarkStart w:id="190" w:name="_Toc494815886"/>
      <w:bookmarkStart w:id="191" w:name="_Toc494819014"/>
      <w:bookmarkEnd w:id="180"/>
      <w:bookmarkEnd w:id="181"/>
      <w:r>
        <w:t>Australians’ o</w:t>
      </w:r>
      <w:r w:rsidR="00404E46">
        <w:t>nline participation</w:t>
      </w:r>
      <w:r>
        <w:t>—</w:t>
      </w:r>
      <w:r w:rsidR="00404E46">
        <w:t>have broadband or accessed the internet via mobile phone (millions)</w:t>
      </w:r>
      <w:bookmarkEnd w:id="182"/>
      <w:bookmarkEnd w:id="183"/>
      <w:bookmarkEnd w:id="184"/>
      <w:bookmarkEnd w:id="185"/>
      <w:r w:rsidR="00404E46">
        <w:t xml:space="preserve"> </w:t>
      </w:r>
      <w:bookmarkEnd w:id="186"/>
      <w:bookmarkEnd w:id="187"/>
      <w:bookmarkEnd w:id="188"/>
      <w:bookmarkEnd w:id="189"/>
      <w:bookmarkEnd w:id="190"/>
      <w:bookmarkEnd w:id="191"/>
    </w:p>
    <w:tbl>
      <w:tblPr>
        <w:tblW w:w="943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Digital services and engagement: Online participation by Australians"/>
      </w:tblPr>
      <w:tblGrid>
        <w:gridCol w:w="2860"/>
        <w:gridCol w:w="1095"/>
        <w:gridCol w:w="1096"/>
        <w:gridCol w:w="1096"/>
        <w:gridCol w:w="1096"/>
        <w:gridCol w:w="1096"/>
        <w:gridCol w:w="1096"/>
      </w:tblGrid>
      <w:tr w:rsidR="00404E46" w14:paraId="6025615F" w14:textId="77777777" w:rsidTr="000F3E58">
        <w:trPr>
          <w:trHeight w:val="341"/>
          <w:tblHeader/>
        </w:trPr>
        <w:tc>
          <w:tcPr>
            <w:tcW w:w="2860" w:type="dxa"/>
            <w:tcBorders>
              <w:top w:val="nil"/>
              <w:left w:val="nil"/>
            </w:tcBorders>
            <w:shd w:val="clear" w:color="auto" w:fill="FFFFFF" w:themeFill="background1"/>
            <w:vAlign w:val="center"/>
          </w:tcPr>
          <w:p w14:paraId="754767F9" w14:textId="77777777" w:rsidR="00404E46" w:rsidRPr="00F44992" w:rsidRDefault="00404E46" w:rsidP="00F97D91">
            <w:pPr>
              <w:pStyle w:val="ACMATableText"/>
              <w:keepNext/>
              <w:keepLines/>
              <w:spacing w:before="0" w:after="0"/>
              <w:jc w:val="right"/>
              <w:rPr>
                <w:rFonts w:cs="Arial"/>
                <w:color w:val="FFFFFF" w:themeColor="background1"/>
              </w:rPr>
            </w:pPr>
          </w:p>
        </w:tc>
        <w:tc>
          <w:tcPr>
            <w:tcW w:w="1095" w:type="dxa"/>
            <w:shd w:val="clear" w:color="auto" w:fill="37897E"/>
            <w:vAlign w:val="center"/>
            <w:hideMark/>
          </w:tcPr>
          <w:p w14:paraId="4F6CB537" w14:textId="77777777" w:rsidR="00404E46" w:rsidRPr="000F64BD" w:rsidRDefault="00404E46" w:rsidP="005A10D6">
            <w:pPr>
              <w:pStyle w:val="TableHeading"/>
              <w:spacing w:before="0" w:line="240" w:lineRule="auto"/>
              <w:jc w:val="right"/>
            </w:pPr>
            <w:r w:rsidRPr="00F44992">
              <w:t xml:space="preserve">Jun 13 </w:t>
            </w:r>
          </w:p>
        </w:tc>
        <w:tc>
          <w:tcPr>
            <w:tcW w:w="1096" w:type="dxa"/>
            <w:shd w:val="clear" w:color="auto" w:fill="37897E"/>
            <w:vAlign w:val="center"/>
            <w:hideMark/>
          </w:tcPr>
          <w:p w14:paraId="1870DF44" w14:textId="77777777" w:rsidR="00404E46" w:rsidRPr="000F64BD" w:rsidRDefault="00404E46" w:rsidP="005A10D6">
            <w:pPr>
              <w:pStyle w:val="TableHeading"/>
              <w:spacing w:before="0" w:line="240" w:lineRule="auto"/>
              <w:jc w:val="right"/>
            </w:pPr>
            <w:r w:rsidRPr="00F44992">
              <w:t>Jun 14</w:t>
            </w:r>
          </w:p>
        </w:tc>
        <w:tc>
          <w:tcPr>
            <w:tcW w:w="1096" w:type="dxa"/>
            <w:shd w:val="clear" w:color="auto" w:fill="37897E"/>
            <w:vAlign w:val="center"/>
            <w:hideMark/>
          </w:tcPr>
          <w:p w14:paraId="3D31F6D7" w14:textId="77777777" w:rsidR="00404E46" w:rsidRPr="000F64BD" w:rsidRDefault="00404E46" w:rsidP="005A10D6">
            <w:pPr>
              <w:pStyle w:val="TableHeading"/>
              <w:spacing w:before="0" w:line="240" w:lineRule="auto"/>
              <w:jc w:val="right"/>
            </w:pPr>
            <w:r w:rsidRPr="00F44992">
              <w:t xml:space="preserve">Jun 15 </w:t>
            </w:r>
          </w:p>
        </w:tc>
        <w:tc>
          <w:tcPr>
            <w:tcW w:w="1096" w:type="dxa"/>
            <w:shd w:val="clear" w:color="auto" w:fill="37897E"/>
            <w:vAlign w:val="center"/>
            <w:hideMark/>
          </w:tcPr>
          <w:p w14:paraId="40D7665B" w14:textId="77777777" w:rsidR="00404E46" w:rsidRPr="000F64BD" w:rsidRDefault="00404E46" w:rsidP="005A10D6">
            <w:pPr>
              <w:pStyle w:val="TableHeading"/>
              <w:spacing w:before="0" w:line="240" w:lineRule="auto"/>
              <w:jc w:val="right"/>
            </w:pPr>
            <w:r w:rsidRPr="00F44992">
              <w:t xml:space="preserve">Jun 16 </w:t>
            </w:r>
          </w:p>
        </w:tc>
        <w:tc>
          <w:tcPr>
            <w:tcW w:w="1096" w:type="dxa"/>
            <w:shd w:val="clear" w:color="auto" w:fill="37897E"/>
            <w:vAlign w:val="center"/>
            <w:hideMark/>
          </w:tcPr>
          <w:p w14:paraId="227E7924" w14:textId="77777777" w:rsidR="00404E46" w:rsidRPr="000F64BD" w:rsidRDefault="00404E46" w:rsidP="005A10D6">
            <w:pPr>
              <w:pStyle w:val="TableHeading"/>
              <w:spacing w:before="0" w:line="240" w:lineRule="auto"/>
              <w:jc w:val="right"/>
            </w:pPr>
            <w:r w:rsidRPr="00F44992">
              <w:t xml:space="preserve">Jun 17 </w:t>
            </w:r>
          </w:p>
        </w:tc>
        <w:tc>
          <w:tcPr>
            <w:tcW w:w="1096" w:type="dxa"/>
            <w:shd w:val="clear" w:color="auto" w:fill="37897E"/>
            <w:vAlign w:val="center"/>
            <w:hideMark/>
          </w:tcPr>
          <w:p w14:paraId="68FA29E0" w14:textId="77777777" w:rsidR="00404E46" w:rsidRPr="000F64BD" w:rsidRDefault="00404E46" w:rsidP="005A10D6">
            <w:pPr>
              <w:pStyle w:val="TableHeading"/>
              <w:spacing w:before="0" w:line="240" w:lineRule="auto"/>
              <w:jc w:val="right"/>
            </w:pPr>
            <w:r w:rsidRPr="00F44992">
              <w:t>2016–17 change (%)</w:t>
            </w:r>
          </w:p>
        </w:tc>
      </w:tr>
      <w:tr w:rsidR="00404E46" w14:paraId="7D7B0284" w14:textId="77777777" w:rsidTr="000F3E58">
        <w:trPr>
          <w:trHeight w:val="359"/>
        </w:trPr>
        <w:tc>
          <w:tcPr>
            <w:tcW w:w="2860" w:type="dxa"/>
            <w:shd w:val="clear" w:color="auto" w:fill="auto"/>
            <w:vAlign w:val="center"/>
            <w:hideMark/>
          </w:tcPr>
          <w:p w14:paraId="1515620A" w14:textId="0A7B322F" w:rsidR="00404E46" w:rsidRPr="00430CCA" w:rsidRDefault="00404E46" w:rsidP="007607B4">
            <w:pPr>
              <w:pStyle w:val="ACMATableText"/>
              <w:keepNext/>
              <w:keepLines/>
              <w:spacing w:before="0" w:after="0"/>
              <w:rPr>
                <w:rFonts w:cs="Arial"/>
                <w:sz w:val="18"/>
                <w:szCs w:val="18"/>
              </w:rPr>
            </w:pPr>
            <w:r w:rsidRPr="00430CCA">
              <w:rPr>
                <w:rFonts w:cs="Arial"/>
                <w:sz w:val="18"/>
                <w:szCs w:val="18"/>
              </w:rPr>
              <w:t>Have a broadband connection at</w:t>
            </w:r>
            <w:r w:rsidR="007607B4">
              <w:rPr>
                <w:rFonts w:cs="Arial"/>
                <w:sz w:val="18"/>
                <w:szCs w:val="18"/>
              </w:rPr>
              <w:t> </w:t>
            </w:r>
            <w:r w:rsidRPr="00430CCA">
              <w:rPr>
                <w:rFonts w:cs="Arial"/>
                <w:sz w:val="18"/>
                <w:szCs w:val="18"/>
              </w:rPr>
              <w:t xml:space="preserve">home </w:t>
            </w:r>
          </w:p>
        </w:tc>
        <w:tc>
          <w:tcPr>
            <w:tcW w:w="1095" w:type="dxa"/>
            <w:shd w:val="clear" w:color="auto" w:fill="auto"/>
            <w:vAlign w:val="center"/>
            <w:hideMark/>
          </w:tcPr>
          <w:p w14:paraId="705EDC04"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13.15</w:t>
            </w:r>
          </w:p>
        </w:tc>
        <w:tc>
          <w:tcPr>
            <w:tcW w:w="1096" w:type="dxa"/>
            <w:shd w:val="clear" w:color="auto" w:fill="auto"/>
            <w:vAlign w:val="center"/>
            <w:hideMark/>
          </w:tcPr>
          <w:p w14:paraId="022B831D"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14.64</w:t>
            </w:r>
          </w:p>
        </w:tc>
        <w:tc>
          <w:tcPr>
            <w:tcW w:w="1096" w:type="dxa"/>
            <w:shd w:val="clear" w:color="auto" w:fill="auto"/>
            <w:vAlign w:val="center"/>
            <w:hideMark/>
          </w:tcPr>
          <w:p w14:paraId="5A51942C"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15.72</w:t>
            </w:r>
          </w:p>
        </w:tc>
        <w:tc>
          <w:tcPr>
            <w:tcW w:w="1096" w:type="dxa"/>
            <w:shd w:val="clear" w:color="auto" w:fill="auto"/>
            <w:vAlign w:val="center"/>
            <w:hideMark/>
          </w:tcPr>
          <w:p w14:paraId="06AE5560"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15.76</w:t>
            </w:r>
          </w:p>
        </w:tc>
        <w:tc>
          <w:tcPr>
            <w:tcW w:w="1096" w:type="dxa"/>
            <w:shd w:val="clear" w:color="auto" w:fill="auto"/>
            <w:vAlign w:val="center"/>
          </w:tcPr>
          <w:p w14:paraId="690DF1E1"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16.04</w:t>
            </w:r>
          </w:p>
        </w:tc>
        <w:tc>
          <w:tcPr>
            <w:tcW w:w="1096" w:type="dxa"/>
            <w:shd w:val="clear" w:color="auto" w:fill="auto"/>
            <w:vAlign w:val="center"/>
          </w:tcPr>
          <w:p w14:paraId="570532CF"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1.8</w:t>
            </w:r>
          </w:p>
        </w:tc>
      </w:tr>
      <w:tr w:rsidR="00404E46" w14:paraId="7E6ECE5C" w14:textId="77777777" w:rsidTr="000F3E58">
        <w:trPr>
          <w:trHeight w:val="23"/>
        </w:trPr>
        <w:tc>
          <w:tcPr>
            <w:tcW w:w="2860" w:type="dxa"/>
            <w:shd w:val="clear" w:color="auto" w:fill="auto"/>
            <w:vAlign w:val="center"/>
            <w:hideMark/>
          </w:tcPr>
          <w:p w14:paraId="731C818E" w14:textId="77777777" w:rsidR="00404E46" w:rsidRPr="00430CCA" w:rsidRDefault="00404E46" w:rsidP="00F97D91">
            <w:pPr>
              <w:pStyle w:val="ACMATableText"/>
              <w:keepNext/>
              <w:keepLines/>
              <w:spacing w:before="0" w:after="0"/>
              <w:rPr>
                <w:rFonts w:cs="Arial"/>
                <w:sz w:val="18"/>
                <w:szCs w:val="18"/>
              </w:rPr>
            </w:pPr>
            <w:r w:rsidRPr="00430CCA">
              <w:rPr>
                <w:rFonts w:cs="Arial"/>
                <w:sz w:val="18"/>
                <w:szCs w:val="18"/>
              </w:rPr>
              <w:t>Accessed internet via mobile phone during last six months*</w:t>
            </w:r>
          </w:p>
        </w:tc>
        <w:tc>
          <w:tcPr>
            <w:tcW w:w="1095" w:type="dxa"/>
            <w:shd w:val="clear" w:color="auto" w:fill="auto"/>
            <w:vAlign w:val="center"/>
            <w:hideMark/>
          </w:tcPr>
          <w:p w14:paraId="27A30B50"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10.91</w:t>
            </w:r>
          </w:p>
        </w:tc>
        <w:tc>
          <w:tcPr>
            <w:tcW w:w="1096" w:type="dxa"/>
            <w:shd w:val="clear" w:color="auto" w:fill="auto"/>
            <w:vAlign w:val="center"/>
            <w:hideMark/>
          </w:tcPr>
          <w:p w14:paraId="34F5D71A"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12.50</w:t>
            </w:r>
          </w:p>
        </w:tc>
        <w:tc>
          <w:tcPr>
            <w:tcW w:w="1096" w:type="dxa"/>
            <w:shd w:val="clear" w:color="auto" w:fill="auto"/>
            <w:vAlign w:val="center"/>
            <w:hideMark/>
          </w:tcPr>
          <w:p w14:paraId="5649CE85"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13.21</w:t>
            </w:r>
          </w:p>
        </w:tc>
        <w:tc>
          <w:tcPr>
            <w:tcW w:w="1096" w:type="dxa"/>
            <w:shd w:val="clear" w:color="auto" w:fill="auto"/>
            <w:vAlign w:val="center"/>
            <w:hideMark/>
          </w:tcPr>
          <w:p w14:paraId="6884A87E"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12.75</w:t>
            </w:r>
          </w:p>
        </w:tc>
        <w:tc>
          <w:tcPr>
            <w:tcW w:w="1096" w:type="dxa"/>
            <w:shd w:val="clear" w:color="auto" w:fill="auto"/>
            <w:vAlign w:val="center"/>
          </w:tcPr>
          <w:p w14:paraId="4440E45B" w14:textId="77777777" w:rsidR="00404E46" w:rsidRPr="00430CCA" w:rsidRDefault="00036F8A" w:rsidP="00F97D91">
            <w:pPr>
              <w:pStyle w:val="ACMATableText"/>
              <w:keepNext/>
              <w:keepLines/>
              <w:spacing w:before="0" w:after="0"/>
              <w:jc w:val="right"/>
              <w:rPr>
                <w:rFonts w:cs="Arial"/>
                <w:sz w:val="18"/>
                <w:szCs w:val="18"/>
              </w:rPr>
            </w:pPr>
            <w:r>
              <w:rPr>
                <w:rFonts w:cs="Arial"/>
                <w:sz w:val="18"/>
                <w:szCs w:val="18"/>
              </w:rPr>
              <w:t>14.37</w:t>
            </w:r>
          </w:p>
        </w:tc>
        <w:tc>
          <w:tcPr>
            <w:tcW w:w="1096" w:type="dxa"/>
            <w:shd w:val="clear" w:color="auto" w:fill="auto"/>
            <w:vAlign w:val="center"/>
          </w:tcPr>
          <w:p w14:paraId="08855732"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n/a</w:t>
            </w:r>
          </w:p>
        </w:tc>
      </w:tr>
      <w:tr w:rsidR="00404E46" w14:paraId="63413FB7" w14:textId="77777777" w:rsidTr="000F3E58">
        <w:trPr>
          <w:trHeight w:val="104"/>
        </w:trPr>
        <w:tc>
          <w:tcPr>
            <w:tcW w:w="2860" w:type="dxa"/>
            <w:tcBorders>
              <w:bottom w:val="single" w:sz="4" w:space="0" w:color="BFBFBF" w:themeColor="background1" w:themeShade="BF"/>
            </w:tcBorders>
            <w:shd w:val="clear" w:color="auto" w:fill="auto"/>
            <w:vAlign w:val="center"/>
            <w:hideMark/>
          </w:tcPr>
          <w:p w14:paraId="7BEF9E46" w14:textId="77777777" w:rsidR="00404E46" w:rsidRPr="00430CCA" w:rsidRDefault="00404E46" w:rsidP="00F97D91">
            <w:pPr>
              <w:pStyle w:val="ACMATableText"/>
              <w:keepNext/>
              <w:keepLines/>
              <w:spacing w:before="0" w:after="0"/>
              <w:rPr>
                <w:rFonts w:cs="Arial"/>
                <w:sz w:val="18"/>
                <w:szCs w:val="18"/>
              </w:rPr>
            </w:pPr>
            <w:r w:rsidRPr="00430CCA">
              <w:rPr>
                <w:rFonts w:cs="Arial"/>
                <w:sz w:val="18"/>
                <w:szCs w:val="18"/>
              </w:rPr>
              <w:t>Number of ‘.au’ domain name registrations</w:t>
            </w:r>
            <w:r w:rsidRPr="00430CCA">
              <w:rPr>
                <w:rFonts w:cs="Arial"/>
                <w:sz w:val="18"/>
                <w:szCs w:val="18"/>
                <w:vertAlign w:val="superscript"/>
              </w:rPr>
              <w:t>†</w:t>
            </w:r>
          </w:p>
        </w:tc>
        <w:tc>
          <w:tcPr>
            <w:tcW w:w="1095" w:type="dxa"/>
            <w:shd w:val="clear" w:color="auto" w:fill="auto"/>
            <w:vAlign w:val="center"/>
            <w:hideMark/>
          </w:tcPr>
          <w:p w14:paraId="3297D133"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2.67</w:t>
            </w:r>
          </w:p>
        </w:tc>
        <w:tc>
          <w:tcPr>
            <w:tcW w:w="1096" w:type="dxa"/>
            <w:shd w:val="clear" w:color="auto" w:fill="auto"/>
            <w:vAlign w:val="center"/>
            <w:hideMark/>
          </w:tcPr>
          <w:p w14:paraId="05416F6B"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2.86</w:t>
            </w:r>
          </w:p>
        </w:tc>
        <w:tc>
          <w:tcPr>
            <w:tcW w:w="1096" w:type="dxa"/>
            <w:shd w:val="clear" w:color="auto" w:fill="auto"/>
            <w:vAlign w:val="center"/>
            <w:hideMark/>
          </w:tcPr>
          <w:p w14:paraId="3A5BFFD6"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2.97</w:t>
            </w:r>
          </w:p>
        </w:tc>
        <w:tc>
          <w:tcPr>
            <w:tcW w:w="1096" w:type="dxa"/>
            <w:shd w:val="clear" w:color="auto" w:fill="auto"/>
            <w:vAlign w:val="center"/>
            <w:hideMark/>
          </w:tcPr>
          <w:p w14:paraId="767295C5"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3.04</w:t>
            </w:r>
          </w:p>
        </w:tc>
        <w:tc>
          <w:tcPr>
            <w:tcW w:w="1096" w:type="dxa"/>
            <w:shd w:val="clear" w:color="auto" w:fill="auto"/>
            <w:vAlign w:val="center"/>
          </w:tcPr>
          <w:p w14:paraId="24E8AF63"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3.11</w:t>
            </w:r>
          </w:p>
        </w:tc>
        <w:tc>
          <w:tcPr>
            <w:tcW w:w="1096" w:type="dxa"/>
            <w:shd w:val="clear" w:color="auto" w:fill="auto"/>
            <w:vAlign w:val="center"/>
          </w:tcPr>
          <w:p w14:paraId="0D9D3685"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2.3</w:t>
            </w:r>
          </w:p>
        </w:tc>
      </w:tr>
      <w:tr w:rsidR="00404E46" w:rsidRPr="009D3979" w14:paraId="121D454C" w14:textId="77777777" w:rsidTr="000F3E58">
        <w:trPr>
          <w:trHeight w:val="240"/>
        </w:trPr>
        <w:tc>
          <w:tcPr>
            <w:tcW w:w="2860" w:type="dxa"/>
            <w:tcBorders>
              <w:left w:val="nil"/>
            </w:tcBorders>
            <w:shd w:val="clear" w:color="auto" w:fill="FFFFFF" w:themeFill="background1"/>
            <w:vAlign w:val="center"/>
          </w:tcPr>
          <w:p w14:paraId="5936408C" w14:textId="77777777" w:rsidR="00404E46" w:rsidRPr="00F61B8E" w:rsidRDefault="00404E46" w:rsidP="00F97D91">
            <w:pPr>
              <w:pStyle w:val="ACMATableText"/>
              <w:keepNext/>
              <w:keepLines/>
              <w:spacing w:before="0" w:after="0"/>
              <w:rPr>
                <w:rFonts w:cs="Arial"/>
                <w:color w:val="FFFFFF" w:themeColor="background1"/>
                <w:szCs w:val="18"/>
              </w:rPr>
            </w:pPr>
          </w:p>
        </w:tc>
        <w:tc>
          <w:tcPr>
            <w:tcW w:w="1095" w:type="dxa"/>
            <w:shd w:val="clear" w:color="auto" w:fill="37897E"/>
            <w:vAlign w:val="center"/>
            <w:hideMark/>
          </w:tcPr>
          <w:p w14:paraId="11571860" w14:textId="77777777" w:rsidR="00404E46" w:rsidRPr="009D3979" w:rsidRDefault="00404E46" w:rsidP="005A10D6">
            <w:pPr>
              <w:pStyle w:val="TableHeading"/>
              <w:spacing w:before="0" w:line="240" w:lineRule="auto"/>
              <w:jc w:val="right"/>
            </w:pPr>
            <w:r w:rsidRPr="0071125D">
              <w:t>2012–13 (billion</w:t>
            </w:r>
            <w:r w:rsidR="00B50BAA">
              <w:t>s</w:t>
            </w:r>
            <w:r w:rsidRPr="0071125D">
              <w:t>)</w:t>
            </w:r>
          </w:p>
        </w:tc>
        <w:tc>
          <w:tcPr>
            <w:tcW w:w="1096" w:type="dxa"/>
            <w:shd w:val="clear" w:color="auto" w:fill="37897E"/>
            <w:vAlign w:val="center"/>
            <w:hideMark/>
          </w:tcPr>
          <w:p w14:paraId="554EC25C" w14:textId="77777777" w:rsidR="00404E46" w:rsidRPr="00054A14" w:rsidRDefault="00404E46" w:rsidP="005A10D6">
            <w:pPr>
              <w:pStyle w:val="TableHeading"/>
              <w:spacing w:before="0" w:line="240" w:lineRule="auto"/>
              <w:jc w:val="right"/>
            </w:pPr>
            <w:r w:rsidRPr="0071125D">
              <w:t>2013–14 (billion</w:t>
            </w:r>
            <w:r w:rsidR="00B50BAA">
              <w:t>s</w:t>
            </w:r>
            <w:r w:rsidRPr="0071125D">
              <w:t>)</w:t>
            </w:r>
          </w:p>
        </w:tc>
        <w:tc>
          <w:tcPr>
            <w:tcW w:w="1096" w:type="dxa"/>
            <w:shd w:val="clear" w:color="auto" w:fill="37897E"/>
            <w:vAlign w:val="center"/>
            <w:hideMark/>
          </w:tcPr>
          <w:p w14:paraId="4983390F" w14:textId="77777777" w:rsidR="00404E46" w:rsidRPr="00054A14" w:rsidRDefault="00404E46" w:rsidP="005A10D6">
            <w:pPr>
              <w:pStyle w:val="TableHeading"/>
              <w:spacing w:before="0" w:line="240" w:lineRule="auto"/>
              <w:jc w:val="right"/>
            </w:pPr>
            <w:r w:rsidRPr="0071125D">
              <w:t>2014–15 (billion</w:t>
            </w:r>
            <w:r w:rsidR="00B50BAA">
              <w:t>s</w:t>
            </w:r>
            <w:r w:rsidRPr="0071125D">
              <w:t>)</w:t>
            </w:r>
          </w:p>
        </w:tc>
        <w:tc>
          <w:tcPr>
            <w:tcW w:w="1096" w:type="dxa"/>
            <w:shd w:val="clear" w:color="auto" w:fill="37897E"/>
            <w:vAlign w:val="center"/>
            <w:hideMark/>
          </w:tcPr>
          <w:p w14:paraId="4A30D508" w14:textId="77777777" w:rsidR="00404E46" w:rsidRPr="00054A14" w:rsidRDefault="00404E46" w:rsidP="005A10D6">
            <w:pPr>
              <w:pStyle w:val="TableHeading"/>
              <w:spacing w:before="0" w:line="240" w:lineRule="auto"/>
              <w:jc w:val="right"/>
            </w:pPr>
            <w:r w:rsidRPr="0071125D">
              <w:t>2015–16 (billion</w:t>
            </w:r>
            <w:r w:rsidR="00B50BAA">
              <w:t>s</w:t>
            </w:r>
            <w:r w:rsidRPr="0071125D">
              <w:t>)</w:t>
            </w:r>
          </w:p>
        </w:tc>
        <w:tc>
          <w:tcPr>
            <w:tcW w:w="1096" w:type="dxa"/>
            <w:shd w:val="clear" w:color="auto" w:fill="37897E"/>
            <w:vAlign w:val="center"/>
            <w:hideMark/>
          </w:tcPr>
          <w:p w14:paraId="4E6972EA" w14:textId="77777777" w:rsidR="00404E46" w:rsidRPr="00054A14" w:rsidRDefault="00404E46" w:rsidP="005A10D6">
            <w:pPr>
              <w:pStyle w:val="TableHeading"/>
              <w:spacing w:before="0" w:line="240" w:lineRule="auto"/>
              <w:jc w:val="right"/>
            </w:pPr>
            <w:r w:rsidRPr="00054A14">
              <w:t>201</w:t>
            </w:r>
            <w:r>
              <w:t>6</w:t>
            </w:r>
            <w:r w:rsidRPr="00054A14">
              <w:t>–1</w:t>
            </w:r>
            <w:r>
              <w:t>7</w:t>
            </w:r>
            <w:r w:rsidRPr="00054A14">
              <w:t xml:space="preserve"> (billion</w:t>
            </w:r>
            <w:r w:rsidR="00B50BAA">
              <w:t>s</w:t>
            </w:r>
            <w:r w:rsidRPr="00054A14">
              <w:t>)</w:t>
            </w:r>
          </w:p>
        </w:tc>
        <w:tc>
          <w:tcPr>
            <w:tcW w:w="1096" w:type="dxa"/>
            <w:shd w:val="clear" w:color="auto" w:fill="37897E"/>
            <w:vAlign w:val="center"/>
            <w:hideMark/>
          </w:tcPr>
          <w:p w14:paraId="3E6A6123" w14:textId="77777777" w:rsidR="00404E46" w:rsidRPr="00054A14" w:rsidRDefault="00404E46" w:rsidP="005A10D6">
            <w:pPr>
              <w:pStyle w:val="TableHeading"/>
              <w:spacing w:before="0" w:line="240" w:lineRule="auto"/>
              <w:jc w:val="right"/>
            </w:pPr>
            <w:r w:rsidRPr="00054A14">
              <w:t>2016–17 change (%)</w:t>
            </w:r>
          </w:p>
        </w:tc>
      </w:tr>
      <w:tr w:rsidR="00404E46" w14:paraId="62E54FFF" w14:textId="77777777" w:rsidTr="000F3E58">
        <w:trPr>
          <w:trHeight w:val="190"/>
        </w:trPr>
        <w:tc>
          <w:tcPr>
            <w:tcW w:w="2860" w:type="dxa"/>
            <w:shd w:val="clear" w:color="auto" w:fill="auto"/>
            <w:vAlign w:val="center"/>
            <w:hideMark/>
          </w:tcPr>
          <w:p w14:paraId="07F83653" w14:textId="77777777" w:rsidR="00404E46" w:rsidRPr="00430CCA" w:rsidRDefault="00404E46" w:rsidP="00F97D91">
            <w:pPr>
              <w:pStyle w:val="ACMATableText"/>
              <w:keepNext/>
              <w:keepLines/>
              <w:spacing w:before="0" w:after="0"/>
              <w:rPr>
                <w:rFonts w:cs="Arial"/>
                <w:color w:val="FFFFFF" w:themeColor="background1"/>
                <w:sz w:val="18"/>
                <w:szCs w:val="18"/>
              </w:rPr>
            </w:pPr>
            <w:r w:rsidRPr="00430CCA">
              <w:rPr>
                <w:rFonts w:cs="Arial"/>
                <w:sz w:val="18"/>
                <w:szCs w:val="18"/>
              </w:rPr>
              <w:t xml:space="preserve">Value of </w:t>
            </w:r>
            <w:r w:rsidR="00234840">
              <w:rPr>
                <w:rFonts w:cs="Arial"/>
                <w:sz w:val="18"/>
                <w:szCs w:val="18"/>
              </w:rPr>
              <w:t>e-</w:t>
            </w:r>
            <w:r w:rsidRPr="00430CCA">
              <w:rPr>
                <w:rFonts w:cs="Arial"/>
                <w:sz w:val="18"/>
                <w:szCs w:val="18"/>
              </w:rPr>
              <w:t>commerce ($A)</w:t>
            </w:r>
            <w:r w:rsidRPr="00430CCA">
              <w:rPr>
                <w:rFonts w:cs="Arial"/>
                <w:sz w:val="18"/>
                <w:szCs w:val="18"/>
                <w:vertAlign w:val="superscript"/>
              </w:rPr>
              <w:t>‡</w:t>
            </w:r>
            <w:r w:rsidRPr="00430CCA">
              <w:rPr>
                <w:rFonts w:cs="Arial"/>
                <w:color w:val="FFFFFF" w:themeColor="background1"/>
                <w:sz w:val="18"/>
                <w:szCs w:val="18"/>
              </w:rPr>
              <w:t xml:space="preserve"> </w:t>
            </w:r>
          </w:p>
        </w:tc>
        <w:tc>
          <w:tcPr>
            <w:tcW w:w="1095" w:type="dxa"/>
            <w:shd w:val="clear" w:color="auto" w:fill="auto"/>
            <w:vAlign w:val="center"/>
            <w:hideMark/>
          </w:tcPr>
          <w:p w14:paraId="5848CD17"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$246</w:t>
            </w:r>
          </w:p>
        </w:tc>
        <w:tc>
          <w:tcPr>
            <w:tcW w:w="1096" w:type="dxa"/>
            <w:shd w:val="clear" w:color="auto" w:fill="auto"/>
            <w:vAlign w:val="center"/>
            <w:hideMark/>
          </w:tcPr>
          <w:p w14:paraId="7BF0DB5F"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$267</w:t>
            </w:r>
          </w:p>
        </w:tc>
        <w:tc>
          <w:tcPr>
            <w:tcW w:w="1096" w:type="dxa"/>
            <w:shd w:val="clear" w:color="auto" w:fill="auto"/>
            <w:vAlign w:val="center"/>
            <w:hideMark/>
          </w:tcPr>
          <w:p w14:paraId="621CBA8E"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$286</w:t>
            </w:r>
          </w:p>
        </w:tc>
        <w:tc>
          <w:tcPr>
            <w:tcW w:w="1096" w:type="dxa"/>
            <w:shd w:val="clear" w:color="auto" w:fill="auto"/>
            <w:vAlign w:val="center"/>
            <w:hideMark/>
          </w:tcPr>
          <w:p w14:paraId="032DBAEC"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$321</w:t>
            </w:r>
          </w:p>
        </w:tc>
        <w:tc>
          <w:tcPr>
            <w:tcW w:w="1096" w:type="dxa"/>
            <w:shd w:val="clear" w:color="auto" w:fill="auto"/>
            <w:vAlign w:val="center"/>
            <w:hideMark/>
          </w:tcPr>
          <w:p w14:paraId="0C68A157" w14:textId="77777777" w:rsidR="00404E46" w:rsidRPr="00430CCA" w:rsidRDefault="00404E46" w:rsidP="00F97D91">
            <w:pPr>
              <w:pStyle w:val="ACMATableText"/>
              <w:keepNext/>
              <w:keepLines/>
              <w:spacing w:before="0" w:after="0"/>
              <w:jc w:val="right"/>
              <w:rPr>
                <w:rFonts w:cs="Arial"/>
                <w:sz w:val="18"/>
                <w:szCs w:val="18"/>
              </w:rPr>
            </w:pPr>
            <w:r w:rsidRPr="00430CCA" w:rsidDel="007A0CAF">
              <w:rPr>
                <w:rFonts w:cs="Arial"/>
                <w:sz w:val="18"/>
                <w:szCs w:val="18"/>
              </w:rPr>
              <w:t>n/a</w:t>
            </w:r>
          </w:p>
        </w:tc>
        <w:tc>
          <w:tcPr>
            <w:tcW w:w="1096" w:type="dxa"/>
            <w:shd w:val="clear" w:color="auto" w:fill="auto"/>
            <w:vAlign w:val="center"/>
            <w:hideMark/>
          </w:tcPr>
          <w:p w14:paraId="25024387" w14:textId="77777777" w:rsidR="00404E46" w:rsidRPr="00430CCA" w:rsidRDefault="00404E46" w:rsidP="00F97D91">
            <w:pPr>
              <w:pStyle w:val="ACMATableText"/>
              <w:keepNext/>
              <w:keepLines/>
              <w:spacing w:before="0" w:after="0"/>
              <w:jc w:val="right"/>
              <w:rPr>
                <w:rFonts w:cs="Arial"/>
                <w:sz w:val="18"/>
                <w:szCs w:val="18"/>
              </w:rPr>
            </w:pPr>
            <w:r w:rsidRPr="00430CCA">
              <w:rPr>
                <w:rFonts w:cs="Arial"/>
                <w:sz w:val="18"/>
                <w:szCs w:val="18"/>
              </w:rPr>
              <w:t>n/a</w:t>
            </w:r>
          </w:p>
        </w:tc>
      </w:tr>
    </w:tbl>
    <w:p w14:paraId="123AE2E9" w14:textId="77777777" w:rsidR="00404E46" w:rsidRDefault="00404E46" w:rsidP="00F97D91">
      <w:pPr>
        <w:pStyle w:val="ACMANotes"/>
        <w:spacing w:before="120"/>
      </w:pPr>
      <w:r>
        <w:t>n/a=not available.</w:t>
      </w:r>
    </w:p>
    <w:p w14:paraId="781FCAC6" w14:textId="77777777" w:rsidR="00404E46" w:rsidRDefault="00404E46" w:rsidP="00404E46">
      <w:pPr>
        <w:pStyle w:val="ACMANotes"/>
      </w:pPr>
      <w:r>
        <w:t>*In six months to May 2013 and May 2014. 2017 data is not comparable with previous years due to a change in methodology.</w:t>
      </w:r>
    </w:p>
    <w:p w14:paraId="76B30EBA" w14:textId="77777777" w:rsidR="00404E46" w:rsidRDefault="00404E46" w:rsidP="00404E46">
      <w:pPr>
        <w:pStyle w:val="ACMANotes"/>
      </w:pPr>
      <w:r>
        <w:rPr>
          <w:vertAlign w:val="superscript"/>
        </w:rPr>
        <w:t>†</w:t>
      </w:r>
      <w:r>
        <w:t>Excludes domain names registered under ‘.gov.au’.</w:t>
      </w:r>
    </w:p>
    <w:p w14:paraId="4E48FF10" w14:textId="77777777" w:rsidR="00404E46" w:rsidRDefault="00404E46" w:rsidP="00404E46">
      <w:pPr>
        <w:pStyle w:val="ACMANotes"/>
      </w:pPr>
      <w:r>
        <w:rPr>
          <w:vertAlign w:val="superscript"/>
        </w:rPr>
        <w:t>‡</w:t>
      </w:r>
      <w:r>
        <w:t xml:space="preserve">The ABS defines internet e-commerce as the purchase/order of goods and services online regardless of whether or not the purchases were paid for online. </w:t>
      </w:r>
    </w:p>
    <w:p w14:paraId="616DEEA3" w14:textId="77777777" w:rsidR="00404E46" w:rsidRDefault="00404E46" w:rsidP="00404E46">
      <w:pPr>
        <w:pStyle w:val="ACMANotes"/>
      </w:pPr>
      <w:r>
        <w:t>Note: Data relates to people aged 18 years and over.</w:t>
      </w:r>
    </w:p>
    <w:p w14:paraId="5168DDA6" w14:textId="77777777" w:rsidR="00555643" w:rsidRPr="00531CD0" w:rsidRDefault="00404E46" w:rsidP="00CE059B">
      <w:pPr>
        <w:pStyle w:val="ACMANotes"/>
        <w:spacing w:after="360"/>
      </w:pPr>
      <w:r>
        <w:t>Source: See Chapter 2. Further explanatory details for this data can be found in the source chapter</w:t>
      </w:r>
      <w:r w:rsidR="00555643" w:rsidRPr="00531CD0">
        <w:t>.</w:t>
      </w:r>
      <w:bookmarkStart w:id="192" w:name="_Toc308517086"/>
      <w:bookmarkStart w:id="193" w:name="_Toc308523546"/>
      <w:bookmarkStart w:id="194" w:name="_Toc310326773"/>
      <w:bookmarkStart w:id="195" w:name="_Toc341428274"/>
      <w:bookmarkStart w:id="196" w:name="_Toc370381855"/>
      <w:bookmarkStart w:id="197" w:name="_Toc371588969"/>
      <w:bookmarkStart w:id="198" w:name="_Toc373149031"/>
      <w:bookmarkStart w:id="199" w:name="_Toc399331706"/>
      <w:bookmarkStart w:id="200" w:name="_Toc399336887"/>
    </w:p>
    <w:p w14:paraId="3F0BFB80" w14:textId="77777777" w:rsidR="00434012" w:rsidRDefault="00434012" w:rsidP="00434012">
      <w:pPr>
        <w:pStyle w:val="Heading2"/>
      </w:pPr>
      <w:bookmarkStart w:id="201" w:name="_Toc399336886"/>
      <w:bookmarkStart w:id="202" w:name="_Toc399331705"/>
      <w:bookmarkStart w:id="203" w:name="_Toc465842829"/>
      <w:bookmarkStart w:id="204" w:name="_Toc465178918"/>
      <w:bookmarkStart w:id="205" w:name="_Toc463529006"/>
      <w:bookmarkStart w:id="206" w:name="_Toc462899526"/>
      <w:bookmarkStart w:id="207" w:name="_Toc494799319"/>
      <w:bookmarkStart w:id="208" w:name="_Toc494805622"/>
      <w:bookmarkStart w:id="209" w:name="_Toc494805851"/>
      <w:bookmarkStart w:id="210" w:name="_Toc494808081"/>
      <w:bookmarkStart w:id="211" w:name="_Toc494808485"/>
      <w:bookmarkStart w:id="212" w:name="_Toc494815887"/>
      <w:bookmarkStart w:id="213" w:name="_Toc494818748"/>
      <w:bookmarkStart w:id="214" w:name="_Toc494819015"/>
      <w:bookmarkStart w:id="215" w:name="_Toc500320884"/>
      <w:bookmarkEnd w:id="192"/>
      <w:bookmarkEnd w:id="193"/>
      <w:bookmarkEnd w:id="194"/>
      <w:bookmarkEnd w:id="195"/>
      <w:bookmarkEnd w:id="196"/>
      <w:bookmarkEnd w:id="197"/>
      <w:bookmarkEnd w:id="198"/>
      <w:bookmarkEnd w:id="199"/>
      <w:bookmarkEnd w:id="200"/>
      <w:r w:rsidRPr="00B02A48">
        <w:t>Broadcasting</w:t>
      </w:r>
      <w:r>
        <w:t xml:space="preserve"> l</w:t>
      </w:r>
      <w:bookmarkEnd w:id="201"/>
      <w:bookmarkEnd w:id="202"/>
      <w:r>
        <w:t>icences</w:t>
      </w:r>
      <w:bookmarkEnd w:id="203"/>
      <w:bookmarkEnd w:id="204"/>
      <w:bookmarkEnd w:id="205"/>
      <w:bookmarkEnd w:id="206"/>
      <w:bookmarkEnd w:id="207"/>
      <w:bookmarkEnd w:id="208"/>
      <w:bookmarkEnd w:id="209"/>
      <w:bookmarkEnd w:id="210"/>
      <w:bookmarkEnd w:id="211"/>
      <w:bookmarkEnd w:id="212"/>
      <w:bookmarkEnd w:id="213"/>
      <w:bookmarkEnd w:id="214"/>
      <w:bookmarkEnd w:id="215"/>
    </w:p>
    <w:p w14:paraId="49BC414E" w14:textId="77777777" w:rsidR="00434012" w:rsidRDefault="00434012" w:rsidP="00CE059B">
      <w:pPr>
        <w:pStyle w:val="Heading3"/>
        <w:spacing w:before="0" w:after="120"/>
      </w:pPr>
      <w:bookmarkStart w:id="216" w:name="_Toc494799320"/>
      <w:bookmarkStart w:id="217" w:name="_Toc494805623"/>
      <w:bookmarkStart w:id="218" w:name="_Toc494805852"/>
      <w:bookmarkStart w:id="219" w:name="_Toc494808082"/>
      <w:bookmarkStart w:id="220" w:name="_Toc494808486"/>
      <w:bookmarkStart w:id="221" w:name="_Toc494815888"/>
      <w:bookmarkStart w:id="222" w:name="_Toc494818749"/>
      <w:bookmarkStart w:id="223" w:name="_Toc494819016"/>
      <w:bookmarkStart w:id="224" w:name="_Toc465842830"/>
      <w:bookmarkStart w:id="225" w:name="_Toc465178919"/>
      <w:bookmarkStart w:id="226" w:name="_Toc463529007"/>
      <w:bookmarkStart w:id="227" w:name="_Toc462899527"/>
      <w:r>
        <w:t>Broadcasting licences for commercial radio and TV, and subscription TV (number)</w:t>
      </w:r>
      <w:bookmarkEnd w:id="216"/>
      <w:bookmarkEnd w:id="217"/>
      <w:bookmarkEnd w:id="218"/>
      <w:bookmarkEnd w:id="219"/>
      <w:bookmarkEnd w:id="220"/>
      <w:bookmarkEnd w:id="221"/>
      <w:bookmarkEnd w:id="222"/>
      <w:bookmarkEnd w:id="223"/>
    </w:p>
    <w:bookmarkEnd w:id="224"/>
    <w:bookmarkEnd w:id="225"/>
    <w:bookmarkEnd w:id="226"/>
    <w:bookmarkEnd w:id="227"/>
    <w:tbl>
      <w:tblPr>
        <w:tblW w:w="9435"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Broadcasting licences: Commercial broadcasting and subscription television"/>
      </w:tblPr>
      <w:tblGrid>
        <w:gridCol w:w="2855"/>
        <w:gridCol w:w="1096"/>
        <w:gridCol w:w="1097"/>
        <w:gridCol w:w="1097"/>
        <w:gridCol w:w="1096"/>
        <w:gridCol w:w="1097"/>
        <w:gridCol w:w="1097"/>
      </w:tblGrid>
      <w:tr w:rsidR="00B50BAA" w14:paraId="113E349F" w14:textId="77777777" w:rsidTr="000F3E58">
        <w:trPr>
          <w:trHeight w:val="336"/>
          <w:tblHeader/>
        </w:trPr>
        <w:tc>
          <w:tcPr>
            <w:tcW w:w="2855" w:type="dxa"/>
            <w:tcBorders>
              <w:top w:val="nil"/>
              <w:left w:val="nil"/>
            </w:tcBorders>
            <w:shd w:val="clear" w:color="auto" w:fill="FFFFFF" w:themeFill="background1"/>
            <w:vAlign w:val="center"/>
          </w:tcPr>
          <w:p w14:paraId="56222513" w14:textId="77777777" w:rsidR="00B50BAA" w:rsidRDefault="00B50BAA" w:rsidP="00F97D91">
            <w:pPr>
              <w:pStyle w:val="ACMATableText"/>
              <w:spacing w:before="0" w:after="0"/>
              <w:jc w:val="right"/>
            </w:pPr>
          </w:p>
        </w:tc>
        <w:tc>
          <w:tcPr>
            <w:tcW w:w="1096" w:type="dxa"/>
            <w:shd w:val="clear" w:color="auto" w:fill="37897E"/>
            <w:vAlign w:val="center"/>
            <w:hideMark/>
          </w:tcPr>
          <w:p w14:paraId="76F53EA3" w14:textId="77777777" w:rsidR="00B50BAA" w:rsidRPr="00F44992" w:rsidRDefault="00B50BAA" w:rsidP="005A10D6">
            <w:pPr>
              <w:pStyle w:val="TableHeading"/>
              <w:spacing w:before="0" w:line="240" w:lineRule="auto"/>
              <w:jc w:val="right"/>
            </w:pPr>
            <w:r w:rsidRPr="003D67C0">
              <w:rPr>
                <w:szCs w:val="18"/>
              </w:rPr>
              <w:t>2012–13</w:t>
            </w:r>
          </w:p>
        </w:tc>
        <w:tc>
          <w:tcPr>
            <w:tcW w:w="1097" w:type="dxa"/>
            <w:shd w:val="clear" w:color="auto" w:fill="37897E"/>
            <w:vAlign w:val="center"/>
            <w:hideMark/>
          </w:tcPr>
          <w:p w14:paraId="3970F345" w14:textId="77777777" w:rsidR="00B50BAA" w:rsidRPr="00F44992" w:rsidRDefault="00B50BAA" w:rsidP="005A10D6">
            <w:pPr>
              <w:pStyle w:val="TableHeading"/>
              <w:spacing w:before="0" w:line="240" w:lineRule="auto"/>
              <w:jc w:val="right"/>
            </w:pPr>
            <w:r w:rsidRPr="003D67C0">
              <w:rPr>
                <w:szCs w:val="18"/>
              </w:rPr>
              <w:t>2013–14</w:t>
            </w:r>
          </w:p>
        </w:tc>
        <w:tc>
          <w:tcPr>
            <w:tcW w:w="1097" w:type="dxa"/>
            <w:shd w:val="clear" w:color="auto" w:fill="37897E"/>
            <w:vAlign w:val="center"/>
            <w:hideMark/>
          </w:tcPr>
          <w:p w14:paraId="3D3161E1" w14:textId="77777777" w:rsidR="00B50BAA" w:rsidRPr="00F44992" w:rsidRDefault="00B50BAA" w:rsidP="005A10D6">
            <w:pPr>
              <w:pStyle w:val="TableHeading"/>
              <w:spacing w:before="0" w:line="240" w:lineRule="auto"/>
              <w:jc w:val="right"/>
            </w:pPr>
            <w:r w:rsidRPr="003D67C0">
              <w:rPr>
                <w:szCs w:val="18"/>
              </w:rPr>
              <w:t>2014–15</w:t>
            </w:r>
          </w:p>
        </w:tc>
        <w:tc>
          <w:tcPr>
            <w:tcW w:w="1096" w:type="dxa"/>
            <w:shd w:val="clear" w:color="auto" w:fill="37897E"/>
            <w:vAlign w:val="center"/>
            <w:hideMark/>
          </w:tcPr>
          <w:p w14:paraId="2A84B6FA" w14:textId="77777777" w:rsidR="00B50BAA" w:rsidRPr="00F44992" w:rsidRDefault="00B50BAA" w:rsidP="005A10D6">
            <w:pPr>
              <w:pStyle w:val="TableHeading"/>
              <w:spacing w:before="0" w:line="240" w:lineRule="auto"/>
              <w:jc w:val="right"/>
            </w:pPr>
            <w:r w:rsidRPr="003D67C0">
              <w:rPr>
                <w:szCs w:val="18"/>
              </w:rPr>
              <w:t>2015–16</w:t>
            </w:r>
          </w:p>
        </w:tc>
        <w:tc>
          <w:tcPr>
            <w:tcW w:w="1097" w:type="dxa"/>
            <w:shd w:val="clear" w:color="auto" w:fill="37897E"/>
            <w:vAlign w:val="center"/>
            <w:hideMark/>
          </w:tcPr>
          <w:p w14:paraId="406C5E2D" w14:textId="77777777" w:rsidR="00B50BAA" w:rsidRPr="00F44992" w:rsidRDefault="00B50BAA" w:rsidP="005A10D6">
            <w:pPr>
              <w:pStyle w:val="TableHeading"/>
              <w:spacing w:before="0" w:line="240" w:lineRule="auto"/>
              <w:jc w:val="right"/>
            </w:pPr>
            <w:r w:rsidRPr="003D67C0">
              <w:rPr>
                <w:szCs w:val="18"/>
              </w:rPr>
              <w:t>2016–17</w:t>
            </w:r>
          </w:p>
        </w:tc>
        <w:tc>
          <w:tcPr>
            <w:tcW w:w="1097" w:type="dxa"/>
            <w:shd w:val="clear" w:color="auto" w:fill="37897E"/>
            <w:vAlign w:val="center"/>
            <w:hideMark/>
          </w:tcPr>
          <w:p w14:paraId="1865B785" w14:textId="77777777" w:rsidR="00B50BAA" w:rsidRPr="00F44992" w:rsidRDefault="00B50BAA" w:rsidP="005A10D6">
            <w:pPr>
              <w:pStyle w:val="TableHeading"/>
              <w:spacing w:before="0" w:line="240" w:lineRule="auto"/>
              <w:jc w:val="right"/>
            </w:pPr>
            <w:r w:rsidRPr="003D67C0">
              <w:rPr>
                <w:szCs w:val="18"/>
              </w:rPr>
              <w:t>2016–17 change (%)</w:t>
            </w:r>
          </w:p>
        </w:tc>
      </w:tr>
      <w:tr w:rsidR="00434012" w14:paraId="09617BC0" w14:textId="77777777" w:rsidTr="000F3E58">
        <w:trPr>
          <w:trHeight w:val="205"/>
        </w:trPr>
        <w:tc>
          <w:tcPr>
            <w:tcW w:w="2855" w:type="dxa"/>
            <w:shd w:val="clear" w:color="auto" w:fill="auto"/>
            <w:vAlign w:val="center"/>
            <w:hideMark/>
          </w:tcPr>
          <w:p w14:paraId="1A75804C" w14:textId="77777777" w:rsidR="00434012" w:rsidRPr="003D67C0" w:rsidRDefault="00434012" w:rsidP="00F97D91">
            <w:pPr>
              <w:pStyle w:val="ACMATableText"/>
              <w:spacing w:before="0" w:after="0"/>
              <w:rPr>
                <w:rFonts w:cs="Arial"/>
                <w:sz w:val="18"/>
                <w:szCs w:val="18"/>
              </w:rPr>
            </w:pPr>
            <w:r w:rsidRPr="003D67C0">
              <w:rPr>
                <w:rFonts w:cs="Arial"/>
                <w:sz w:val="18"/>
                <w:szCs w:val="18"/>
              </w:rPr>
              <w:t>Commercial radio</w:t>
            </w:r>
          </w:p>
        </w:tc>
        <w:tc>
          <w:tcPr>
            <w:tcW w:w="1096" w:type="dxa"/>
            <w:shd w:val="clear" w:color="auto" w:fill="auto"/>
            <w:vAlign w:val="center"/>
            <w:hideMark/>
          </w:tcPr>
          <w:p w14:paraId="28C7907E" w14:textId="3785C535" w:rsidR="00434012" w:rsidRPr="003D67C0" w:rsidRDefault="00434012" w:rsidP="008D6BB4">
            <w:pPr>
              <w:pStyle w:val="ACMATableText"/>
              <w:spacing w:before="0" w:after="0"/>
              <w:jc w:val="right"/>
              <w:rPr>
                <w:rFonts w:cs="Arial"/>
                <w:sz w:val="18"/>
                <w:szCs w:val="18"/>
              </w:rPr>
            </w:pPr>
            <w:r w:rsidRPr="003D67C0">
              <w:rPr>
                <w:rFonts w:cs="Arial"/>
                <w:sz w:val="18"/>
                <w:szCs w:val="18"/>
              </w:rPr>
              <w:t>27</w:t>
            </w:r>
            <w:r w:rsidR="008D6BB4">
              <w:rPr>
                <w:rFonts w:cs="Arial"/>
                <w:sz w:val="18"/>
                <w:szCs w:val="18"/>
              </w:rPr>
              <w:t>4</w:t>
            </w:r>
          </w:p>
        </w:tc>
        <w:tc>
          <w:tcPr>
            <w:tcW w:w="1097" w:type="dxa"/>
            <w:shd w:val="clear" w:color="auto" w:fill="auto"/>
            <w:vAlign w:val="center"/>
            <w:hideMark/>
          </w:tcPr>
          <w:p w14:paraId="0AFF040C" w14:textId="09D3A1AA" w:rsidR="00434012" w:rsidRPr="003D67C0" w:rsidRDefault="008D6BB4" w:rsidP="00F97D91">
            <w:pPr>
              <w:pStyle w:val="ACMATableText"/>
              <w:spacing w:before="0" w:after="0"/>
              <w:jc w:val="right"/>
              <w:rPr>
                <w:rFonts w:cs="Arial"/>
                <w:sz w:val="18"/>
                <w:szCs w:val="18"/>
              </w:rPr>
            </w:pPr>
            <w:r w:rsidRPr="003D67C0">
              <w:rPr>
                <w:rFonts w:cs="Arial"/>
                <w:sz w:val="18"/>
                <w:szCs w:val="18"/>
              </w:rPr>
              <w:t>27</w:t>
            </w:r>
            <w:r>
              <w:rPr>
                <w:rFonts w:cs="Arial"/>
                <w:sz w:val="18"/>
                <w:szCs w:val="18"/>
              </w:rPr>
              <w:t>4</w:t>
            </w:r>
          </w:p>
        </w:tc>
        <w:tc>
          <w:tcPr>
            <w:tcW w:w="1097" w:type="dxa"/>
            <w:shd w:val="clear" w:color="auto" w:fill="auto"/>
            <w:vAlign w:val="center"/>
            <w:hideMark/>
          </w:tcPr>
          <w:p w14:paraId="744B04C4" w14:textId="34558C3D" w:rsidR="00434012" w:rsidRPr="003D67C0" w:rsidRDefault="008D6BB4" w:rsidP="00F97D91">
            <w:pPr>
              <w:pStyle w:val="ACMATableText"/>
              <w:spacing w:before="0" w:after="0"/>
              <w:jc w:val="right"/>
              <w:rPr>
                <w:rFonts w:cs="Arial"/>
                <w:sz w:val="18"/>
                <w:szCs w:val="18"/>
              </w:rPr>
            </w:pPr>
            <w:r w:rsidRPr="003D67C0">
              <w:rPr>
                <w:rFonts w:cs="Arial"/>
                <w:sz w:val="18"/>
                <w:szCs w:val="18"/>
              </w:rPr>
              <w:t>27</w:t>
            </w:r>
            <w:r>
              <w:rPr>
                <w:rFonts w:cs="Arial"/>
                <w:sz w:val="18"/>
                <w:szCs w:val="18"/>
              </w:rPr>
              <w:t>4</w:t>
            </w:r>
          </w:p>
        </w:tc>
        <w:tc>
          <w:tcPr>
            <w:tcW w:w="1096" w:type="dxa"/>
            <w:shd w:val="clear" w:color="auto" w:fill="auto"/>
            <w:vAlign w:val="center"/>
            <w:hideMark/>
          </w:tcPr>
          <w:p w14:paraId="7D02CD2F" w14:textId="6A8F94CC" w:rsidR="00434012" w:rsidRPr="003D67C0" w:rsidRDefault="008D6BB4" w:rsidP="00F97D91">
            <w:pPr>
              <w:pStyle w:val="ACMATableText"/>
              <w:spacing w:before="0" w:after="0"/>
              <w:jc w:val="right"/>
              <w:rPr>
                <w:rFonts w:cs="Arial"/>
                <w:sz w:val="18"/>
                <w:szCs w:val="18"/>
              </w:rPr>
            </w:pPr>
            <w:r w:rsidRPr="003D67C0">
              <w:rPr>
                <w:rFonts w:cs="Arial"/>
                <w:sz w:val="18"/>
                <w:szCs w:val="18"/>
              </w:rPr>
              <w:t>27</w:t>
            </w:r>
            <w:r>
              <w:rPr>
                <w:rFonts w:cs="Arial"/>
                <w:sz w:val="18"/>
                <w:szCs w:val="18"/>
              </w:rPr>
              <w:t>4</w:t>
            </w:r>
          </w:p>
        </w:tc>
        <w:tc>
          <w:tcPr>
            <w:tcW w:w="1097" w:type="dxa"/>
            <w:shd w:val="clear" w:color="auto" w:fill="auto"/>
            <w:vAlign w:val="center"/>
          </w:tcPr>
          <w:p w14:paraId="6F86792F"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274</w:t>
            </w:r>
          </w:p>
        </w:tc>
        <w:tc>
          <w:tcPr>
            <w:tcW w:w="1097" w:type="dxa"/>
            <w:shd w:val="clear" w:color="auto" w:fill="auto"/>
            <w:vAlign w:val="center"/>
          </w:tcPr>
          <w:p w14:paraId="14E3FCAF" w14:textId="2E4C5E4B" w:rsidR="00434012" w:rsidRPr="003D67C0" w:rsidRDefault="00B31816" w:rsidP="00F97D91">
            <w:pPr>
              <w:pStyle w:val="ACMATableText"/>
              <w:spacing w:before="0" w:after="0"/>
              <w:jc w:val="right"/>
              <w:rPr>
                <w:rFonts w:cs="Arial"/>
                <w:sz w:val="18"/>
                <w:szCs w:val="18"/>
              </w:rPr>
            </w:pPr>
            <w:r w:rsidRPr="003D67C0">
              <w:rPr>
                <w:rFonts w:cs="Arial"/>
                <w:sz w:val="18"/>
                <w:szCs w:val="18"/>
              </w:rPr>
              <w:t>0.0</w:t>
            </w:r>
          </w:p>
        </w:tc>
      </w:tr>
      <w:tr w:rsidR="00434012" w14:paraId="7076713A" w14:textId="77777777" w:rsidTr="000F3E58">
        <w:trPr>
          <w:trHeight w:val="110"/>
        </w:trPr>
        <w:tc>
          <w:tcPr>
            <w:tcW w:w="2855" w:type="dxa"/>
            <w:shd w:val="clear" w:color="auto" w:fill="auto"/>
            <w:vAlign w:val="center"/>
            <w:hideMark/>
          </w:tcPr>
          <w:p w14:paraId="7BD534BC" w14:textId="77777777" w:rsidR="00434012" w:rsidRPr="003D67C0" w:rsidRDefault="00434012" w:rsidP="00F97D91">
            <w:pPr>
              <w:pStyle w:val="ACMATableText"/>
              <w:spacing w:before="0" w:after="0"/>
              <w:rPr>
                <w:rFonts w:cs="Arial"/>
                <w:sz w:val="18"/>
                <w:szCs w:val="18"/>
              </w:rPr>
            </w:pPr>
            <w:r w:rsidRPr="003D67C0">
              <w:rPr>
                <w:rFonts w:cs="Arial"/>
                <w:sz w:val="18"/>
                <w:szCs w:val="18"/>
              </w:rPr>
              <w:t>Commercial television</w:t>
            </w:r>
          </w:p>
        </w:tc>
        <w:tc>
          <w:tcPr>
            <w:tcW w:w="1096" w:type="dxa"/>
            <w:shd w:val="clear" w:color="auto" w:fill="auto"/>
            <w:vAlign w:val="center"/>
            <w:hideMark/>
          </w:tcPr>
          <w:p w14:paraId="3D551525" w14:textId="5817BD90" w:rsidR="00434012" w:rsidRPr="003D67C0" w:rsidRDefault="008D6BB4" w:rsidP="00F97D91">
            <w:pPr>
              <w:pStyle w:val="ACMATableText"/>
              <w:spacing w:before="0" w:after="0"/>
              <w:jc w:val="right"/>
              <w:rPr>
                <w:rFonts w:cs="Arial"/>
                <w:sz w:val="18"/>
                <w:szCs w:val="18"/>
              </w:rPr>
            </w:pPr>
            <w:r>
              <w:rPr>
                <w:rFonts w:cs="Arial"/>
                <w:sz w:val="18"/>
                <w:szCs w:val="18"/>
              </w:rPr>
              <w:t>73</w:t>
            </w:r>
          </w:p>
        </w:tc>
        <w:tc>
          <w:tcPr>
            <w:tcW w:w="1097" w:type="dxa"/>
            <w:shd w:val="clear" w:color="auto" w:fill="auto"/>
            <w:vAlign w:val="center"/>
            <w:hideMark/>
          </w:tcPr>
          <w:p w14:paraId="0419083C"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69</w:t>
            </w:r>
          </w:p>
        </w:tc>
        <w:tc>
          <w:tcPr>
            <w:tcW w:w="1097" w:type="dxa"/>
            <w:shd w:val="clear" w:color="auto" w:fill="auto"/>
            <w:vAlign w:val="center"/>
            <w:hideMark/>
          </w:tcPr>
          <w:p w14:paraId="4F5D8677"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69</w:t>
            </w:r>
          </w:p>
        </w:tc>
        <w:tc>
          <w:tcPr>
            <w:tcW w:w="1096" w:type="dxa"/>
            <w:shd w:val="clear" w:color="auto" w:fill="auto"/>
            <w:vAlign w:val="center"/>
            <w:hideMark/>
          </w:tcPr>
          <w:p w14:paraId="51FC6490"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69</w:t>
            </w:r>
          </w:p>
        </w:tc>
        <w:tc>
          <w:tcPr>
            <w:tcW w:w="1097" w:type="dxa"/>
            <w:shd w:val="clear" w:color="auto" w:fill="auto"/>
            <w:vAlign w:val="center"/>
          </w:tcPr>
          <w:p w14:paraId="5AAAC047"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69</w:t>
            </w:r>
          </w:p>
        </w:tc>
        <w:tc>
          <w:tcPr>
            <w:tcW w:w="1097" w:type="dxa"/>
            <w:shd w:val="clear" w:color="auto" w:fill="auto"/>
            <w:vAlign w:val="center"/>
          </w:tcPr>
          <w:p w14:paraId="639F4712"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0.0</w:t>
            </w:r>
          </w:p>
        </w:tc>
      </w:tr>
      <w:tr w:rsidR="00434012" w14:paraId="757D5109" w14:textId="77777777" w:rsidTr="000F3E58">
        <w:trPr>
          <w:trHeight w:val="102"/>
        </w:trPr>
        <w:tc>
          <w:tcPr>
            <w:tcW w:w="2855" w:type="dxa"/>
            <w:shd w:val="clear" w:color="auto" w:fill="auto"/>
            <w:vAlign w:val="center"/>
            <w:hideMark/>
          </w:tcPr>
          <w:p w14:paraId="0AE2A94C" w14:textId="77777777" w:rsidR="00434012" w:rsidRPr="003D67C0" w:rsidRDefault="00434012" w:rsidP="00F97D91">
            <w:pPr>
              <w:pStyle w:val="ACMATableText"/>
              <w:spacing w:before="0" w:after="0"/>
              <w:rPr>
                <w:rFonts w:cs="Arial"/>
                <w:sz w:val="18"/>
                <w:szCs w:val="18"/>
              </w:rPr>
            </w:pPr>
            <w:r w:rsidRPr="003D67C0">
              <w:rPr>
                <w:rFonts w:cs="Arial"/>
                <w:sz w:val="18"/>
                <w:szCs w:val="18"/>
              </w:rPr>
              <w:t>Subscription television*</w:t>
            </w:r>
          </w:p>
        </w:tc>
        <w:tc>
          <w:tcPr>
            <w:tcW w:w="1096" w:type="dxa"/>
            <w:shd w:val="clear" w:color="auto" w:fill="auto"/>
            <w:vAlign w:val="center"/>
            <w:hideMark/>
          </w:tcPr>
          <w:p w14:paraId="34857964"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2,735</w:t>
            </w:r>
          </w:p>
        </w:tc>
        <w:tc>
          <w:tcPr>
            <w:tcW w:w="1097" w:type="dxa"/>
            <w:shd w:val="clear" w:color="auto" w:fill="auto"/>
            <w:vAlign w:val="center"/>
            <w:hideMark/>
          </w:tcPr>
          <w:p w14:paraId="7F8EAE51"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2,735</w:t>
            </w:r>
          </w:p>
        </w:tc>
        <w:tc>
          <w:tcPr>
            <w:tcW w:w="1097" w:type="dxa"/>
            <w:shd w:val="clear" w:color="auto" w:fill="auto"/>
            <w:vAlign w:val="center"/>
            <w:hideMark/>
          </w:tcPr>
          <w:p w14:paraId="1FC25416"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2,735</w:t>
            </w:r>
          </w:p>
        </w:tc>
        <w:tc>
          <w:tcPr>
            <w:tcW w:w="1096" w:type="dxa"/>
            <w:shd w:val="clear" w:color="auto" w:fill="auto"/>
            <w:vAlign w:val="center"/>
            <w:hideMark/>
          </w:tcPr>
          <w:p w14:paraId="7D2090CD"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2,835</w:t>
            </w:r>
          </w:p>
        </w:tc>
        <w:tc>
          <w:tcPr>
            <w:tcW w:w="1097" w:type="dxa"/>
            <w:shd w:val="clear" w:color="auto" w:fill="auto"/>
            <w:vAlign w:val="center"/>
          </w:tcPr>
          <w:p w14:paraId="65600D3E"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2,835</w:t>
            </w:r>
          </w:p>
        </w:tc>
        <w:tc>
          <w:tcPr>
            <w:tcW w:w="1097" w:type="dxa"/>
            <w:shd w:val="clear" w:color="auto" w:fill="auto"/>
            <w:vAlign w:val="center"/>
          </w:tcPr>
          <w:p w14:paraId="30E8FEA2" w14:textId="77777777" w:rsidR="00434012" w:rsidRPr="003D67C0" w:rsidRDefault="00434012" w:rsidP="00F97D91">
            <w:pPr>
              <w:pStyle w:val="ACMATableText"/>
              <w:spacing w:before="0" w:after="0"/>
              <w:jc w:val="right"/>
              <w:rPr>
                <w:rFonts w:cs="Arial"/>
                <w:sz w:val="18"/>
                <w:szCs w:val="18"/>
              </w:rPr>
            </w:pPr>
            <w:r w:rsidRPr="003D67C0">
              <w:rPr>
                <w:rFonts w:cs="Arial"/>
                <w:sz w:val="18"/>
                <w:szCs w:val="18"/>
              </w:rPr>
              <w:t>0.0</w:t>
            </w:r>
          </w:p>
        </w:tc>
      </w:tr>
    </w:tbl>
    <w:p w14:paraId="639AAB59" w14:textId="5379DC53" w:rsidR="00434012" w:rsidRDefault="00434012" w:rsidP="00F97D91">
      <w:pPr>
        <w:pStyle w:val="ACMANotes"/>
        <w:spacing w:before="120"/>
      </w:pPr>
      <w:r>
        <w:t>*Each subscription service is licensed separately.</w:t>
      </w:r>
    </w:p>
    <w:p w14:paraId="0506451F" w14:textId="7A02D9B9" w:rsidR="00B31816" w:rsidRPr="00B31816" w:rsidRDefault="00B31816" w:rsidP="00B31816">
      <w:pPr>
        <w:pStyle w:val="ACMANotes"/>
        <w:rPr>
          <w:szCs w:val="16"/>
        </w:rPr>
      </w:pPr>
      <w:r>
        <w:t>Note: Commercial radio and television licence numbers for the periods 2012–13, 2013–14, 2014–15 and 2015–16 have been amended to correct a reporting error.</w:t>
      </w:r>
    </w:p>
    <w:p w14:paraId="3FAC5085" w14:textId="77777777" w:rsidR="00434012" w:rsidRDefault="00434012" w:rsidP="00CE059B">
      <w:pPr>
        <w:pStyle w:val="ACMANotesspaceafter"/>
        <w:spacing w:after="360"/>
      </w:pPr>
      <w:r>
        <w:t>Source: See Chapter 1. Further explanatory details for this data can be found in the source chapter.</w:t>
      </w:r>
    </w:p>
    <w:p w14:paraId="5099DA54" w14:textId="77777777" w:rsidR="00434012" w:rsidRDefault="00434012" w:rsidP="00434012">
      <w:pPr>
        <w:pStyle w:val="Heading2"/>
      </w:pPr>
      <w:bookmarkStart w:id="228" w:name="_Toc494805357"/>
      <w:bookmarkStart w:id="229" w:name="_Toc465842831"/>
      <w:bookmarkStart w:id="230" w:name="_Toc465178920"/>
      <w:bookmarkStart w:id="231" w:name="_Toc463529008"/>
      <w:bookmarkStart w:id="232" w:name="_Toc462899528"/>
      <w:bookmarkStart w:id="233" w:name="_Toc494799321"/>
      <w:bookmarkStart w:id="234" w:name="_Toc494805624"/>
      <w:bookmarkStart w:id="235" w:name="_Toc494805853"/>
      <w:bookmarkStart w:id="236" w:name="_Toc494808083"/>
      <w:bookmarkStart w:id="237" w:name="_Toc494808487"/>
      <w:bookmarkStart w:id="238" w:name="_Toc494815889"/>
      <w:bookmarkStart w:id="239" w:name="_Toc494818750"/>
      <w:bookmarkStart w:id="240" w:name="_Toc494819017"/>
      <w:bookmarkStart w:id="241" w:name="_Toc500320885"/>
      <w:bookmarkEnd w:id="228"/>
      <w:r>
        <w:t>Number portability</w:t>
      </w:r>
      <w:bookmarkEnd w:id="229"/>
      <w:bookmarkEnd w:id="230"/>
      <w:bookmarkEnd w:id="231"/>
      <w:bookmarkEnd w:id="232"/>
      <w:bookmarkEnd w:id="233"/>
      <w:bookmarkEnd w:id="234"/>
      <w:bookmarkEnd w:id="235"/>
      <w:bookmarkEnd w:id="236"/>
      <w:bookmarkEnd w:id="237"/>
      <w:bookmarkEnd w:id="238"/>
      <w:bookmarkEnd w:id="239"/>
      <w:bookmarkEnd w:id="240"/>
      <w:bookmarkEnd w:id="241"/>
      <w:r>
        <w:t xml:space="preserve"> </w:t>
      </w:r>
    </w:p>
    <w:p w14:paraId="3959A474" w14:textId="77777777" w:rsidR="00434012" w:rsidRDefault="00434012" w:rsidP="00CE059B">
      <w:pPr>
        <w:pStyle w:val="Heading3"/>
        <w:spacing w:before="0" w:after="120"/>
      </w:pPr>
      <w:bookmarkStart w:id="242" w:name="_Toc465842832"/>
      <w:bookmarkStart w:id="243" w:name="_Toc465178921"/>
      <w:bookmarkStart w:id="244" w:name="_Toc463529009"/>
      <w:bookmarkStart w:id="245" w:name="_Toc462899529"/>
      <w:bookmarkStart w:id="246" w:name="_Toc494799322"/>
      <w:bookmarkStart w:id="247" w:name="_Toc494805625"/>
      <w:bookmarkStart w:id="248" w:name="_Toc494805854"/>
      <w:bookmarkStart w:id="249" w:name="_Toc494808084"/>
      <w:bookmarkStart w:id="250" w:name="_Toc494808488"/>
      <w:bookmarkStart w:id="251" w:name="_Toc494815890"/>
      <w:bookmarkStart w:id="252" w:name="_Toc494818751"/>
      <w:bookmarkStart w:id="253" w:name="_Toc494819018"/>
      <w:r>
        <w:t>Local and mobile numbers ported</w:t>
      </w:r>
      <w:bookmarkEnd w:id="242"/>
      <w:bookmarkEnd w:id="243"/>
      <w:bookmarkEnd w:id="244"/>
      <w:bookmarkEnd w:id="245"/>
      <w:r>
        <w:t xml:space="preserve"> (millions)</w:t>
      </w:r>
      <w:bookmarkEnd w:id="246"/>
      <w:bookmarkEnd w:id="247"/>
      <w:bookmarkEnd w:id="248"/>
      <w:bookmarkEnd w:id="249"/>
      <w:bookmarkEnd w:id="250"/>
      <w:bookmarkEnd w:id="251"/>
      <w:bookmarkEnd w:id="252"/>
      <w:bookmarkEnd w:id="253"/>
    </w:p>
    <w:tbl>
      <w:tblPr>
        <w:tblW w:w="9435"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Number portability: Local and mobile numbers ported"/>
      </w:tblPr>
      <w:tblGrid>
        <w:gridCol w:w="2855"/>
        <w:gridCol w:w="1096"/>
        <w:gridCol w:w="1097"/>
        <w:gridCol w:w="1097"/>
        <w:gridCol w:w="1096"/>
        <w:gridCol w:w="1097"/>
        <w:gridCol w:w="1097"/>
      </w:tblGrid>
      <w:tr w:rsidR="00B50BAA" w14:paraId="35B6F852" w14:textId="77777777" w:rsidTr="000F3E58">
        <w:trPr>
          <w:trHeight w:val="400"/>
          <w:tblHeader/>
        </w:trPr>
        <w:tc>
          <w:tcPr>
            <w:tcW w:w="2855" w:type="dxa"/>
            <w:tcBorders>
              <w:top w:val="nil"/>
              <w:left w:val="nil"/>
            </w:tcBorders>
            <w:shd w:val="clear" w:color="auto" w:fill="FFFFFF" w:themeFill="background1"/>
            <w:vAlign w:val="center"/>
          </w:tcPr>
          <w:p w14:paraId="3F06CB1C" w14:textId="77777777" w:rsidR="00B50BAA" w:rsidRDefault="00B50BAA" w:rsidP="00B50BAA">
            <w:pPr>
              <w:pStyle w:val="ACMATableText"/>
              <w:keepNext/>
              <w:keepLines/>
              <w:spacing w:before="0" w:after="0"/>
              <w:jc w:val="right"/>
            </w:pPr>
          </w:p>
        </w:tc>
        <w:tc>
          <w:tcPr>
            <w:tcW w:w="1096" w:type="dxa"/>
            <w:shd w:val="clear" w:color="auto" w:fill="37897E"/>
            <w:vAlign w:val="center"/>
            <w:hideMark/>
          </w:tcPr>
          <w:p w14:paraId="02AACA44"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2012–13</w:t>
            </w:r>
          </w:p>
        </w:tc>
        <w:tc>
          <w:tcPr>
            <w:tcW w:w="1097" w:type="dxa"/>
            <w:shd w:val="clear" w:color="auto" w:fill="37897E"/>
            <w:vAlign w:val="center"/>
            <w:hideMark/>
          </w:tcPr>
          <w:p w14:paraId="6D1E450D"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2013–14</w:t>
            </w:r>
          </w:p>
        </w:tc>
        <w:tc>
          <w:tcPr>
            <w:tcW w:w="1097" w:type="dxa"/>
            <w:shd w:val="clear" w:color="auto" w:fill="37897E"/>
            <w:vAlign w:val="center"/>
            <w:hideMark/>
          </w:tcPr>
          <w:p w14:paraId="3D4C0653"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2014–15</w:t>
            </w:r>
          </w:p>
        </w:tc>
        <w:tc>
          <w:tcPr>
            <w:tcW w:w="1096" w:type="dxa"/>
            <w:shd w:val="clear" w:color="auto" w:fill="37897E"/>
            <w:vAlign w:val="center"/>
            <w:hideMark/>
          </w:tcPr>
          <w:p w14:paraId="289B7FA3"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2015–16</w:t>
            </w:r>
          </w:p>
        </w:tc>
        <w:tc>
          <w:tcPr>
            <w:tcW w:w="1097" w:type="dxa"/>
            <w:shd w:val="clear" w:color="auto" w:fill="37897E"/>
            <w:vAlign w:val="center"/>
            <w:hideMark/>
          </w:tcPr>
          <w:p w14:paraId="707C4FC0"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2016–17</w:t>
            </w:r>
          </w:p>
        </w:tc>
        <w:tc>
          <w:tcPr>
            <w:tcW w:w="1097" w:type="dxa"/>
            <w:shd w:val="clear" w:color="auto" w:fill="37897E"/>
            <w:vAlign w:val="center"/>
            <w:hideMark/>
          </w:tcPr>
          <w:p w14:paraId="6C0C7A26" w14:textId="77777777" w:rsidR="00B50BAA" w:rsidRPr="003D67C0" w:rsidRDefault="00B50BAA" w:rsidP="00B50BAA">
            <w:pPr>
              <w:pStyle w:val="ACMATableText"/>
              <w:keepNext/>
              <w:keepLines/>
              <w:spacing w:before="0" w:after="0"/>
              <w:jc w:val="right"/>
              <w:rPr>
                <w:b/>
                <w:color w:val="FFFFFF" w:themeColor="background1"/>
                <w:sz w:val="18"/>
                <w:szCs w:val="18"/>
                <w:lang w:eastAsia="en-AU"/>
              </w:rPr>
            </w:pPr>
            <w:r w:rsidRPr="00A52843">
              <w:rPr>
                <w:b/>
                <w:color w:val="FFFFFF" w:themeColor="background1"/>
                <w:sz w:val="18"/>
                <w:szCs w:val="18"/>
              </w:rPr>
              <w:t>2016–17 change (%)</w:t>
            </w:r>
          </w:p>
        </w:tc>
      </w:tr>
      <w:tr w:rsidR="00434012" w14:paraId="3D4C7584" w14:textId="77777777" w:rsidTr="000F3E58">
        <w:trPr>
          <w:trHeight w:val="145"/>
        </w:trPr>
        <w:tc>
          <w:tcPr>
            <w:tcW w:w="2855" w:type="dxa"/>
            <w:shd w:val="clear" w:color="auto" w:fill="auto"/>
            <w:vAlign w:val="center"/>
            <w:hideMark/>
          </w:tcPr>
          <w:p w14:paraId="476126A6" w14:textId="77777777" w:rsidR="00434012" w:rsidRPr="003D67C0" w:rsidRDefault="00434012" w:rsidP="00434012">
            <w:pPr>
              <w:pStyle w:val="ACMATableText"/>
              <w:keepNext/>
              <w:keepLines/>
              <w:spacing w:before="0" w:after="0"/>
              <w:rPr>
                <w:rFonts w:cs="Arial"/>
                <w:i/>
                <w:sz w:val="18"/>
                <w:szCs w:val="18"/>
              </w:rPr>
            </w:pPr>
            <w:r w:rsidRPr="003D67C0">
              <w:rPr>
                <w:rFonts w:cs="Arial"/>
                <w:sz w:val="18"/>
                <w:szCs w:val="18"/>
              </w:rPr>
              <w:t>Local geographic numbers</w:t>
            </w:r>
          </w:p>
        </w:tc>
        <w:tc>
          <w:tcPr>
            <w:tcW w:w="1096" w:type="dxa"/>
            <w:shd w:val="clear" w:color="auto" w:fill="auto"/>
            <w:vAlign w:val="center"/>
            <w:hideMark/>
          </w:tcPr>
          <w:p w14:paraId="7514855E"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0.763</w:t>
            </w:r>
          </w:p>
        </w:tc>
        <w:tc>
          <w:tcPr>
            <w:tcW w:w="1097" w:type="dxa"/>
            <w:shd w:val="clear" w:color="auto" w:fill="auto"/>
            <w:vAlign w:val="center"/>
            <w:hideMark/>
          </w:tcPr>
          <w:p w14:paraId="2F4D69E6"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0.866</w:t>
            </w:r>
          </w:p>
        </w:tc>
        <w:tc>
          <w:tcPr>
            <w:tcW w:w="1097" w:type="dxa"/>
            <w:shd w:val="clear" w:color="auto" w:fill="auto"/>
            <w:vAlign w:val="center"/>
            <w:hideMark/>
          </w:tcPr>
          <w:p w14:paraId="47E4750B"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1.224</w:t>
            </w:r>
          </w:p>
        </w:tc>
        <w:tc>
          <w:tcPr>
            <w:tcW w:w="1096" w:type="dxa"/>
            <w:shd w:val="clear" w:color="auto" w:fill="auto"/>
            <w:vAlign w:val="center"/>
            <w:hideMark/>
          </w:tcPr>
          <w:p w14:paraId="226B14B1"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0.991</w:t>
            </w:r>
          </w:p>
        </w:tc>
        <w:tc>
          <w:tcPr>
            <w:tcW w:w="1097" w:type="dxa"/>
            <w:shd w:val="clear" w:color="auto" w:fill="auto"/>
            <w:vAlign w:val="center"/>
          </w:tcPr>
          <w:p w14:paraId="0105A126" w14:textId="77777777" w:rsidR="00434012" w:rsidRPr="003D67C0" w:rsidRDefault="00434012" w:rsidP="00FC0DDC">
            <w:pPr>
              <w:pStyle w:val="ACMATableText"/>
              <w:keepNext/>
              <w:keepLines/>
              <w:spacing w:before="0" w:after="0"/>
              <w:jc w:val="right"/>
              <w:rPr>
                <w:rFonts w:cs="Arial"/>
                <w:sz w:val="18"/>
                <w:szCs w:val="18"/>
              </w:rPr>
            </w:pPr>
            <w:r w:rsidRPr="003D67C0">
              <w:rPr>
                <w:rFonts w:cs="Arial"/>
                <w:sz w:val="18"/>
                <w:szCs w:val="18"/>
              </w:rPr>
              <w:t>1.320</w:t>
            </w:r>
          </w:p>
        </w:tc>
        <w:tc>
          <w:tcPr>
            <w:tcW w:w="1097" w:type="dxa"/>
            <w:shd w:val="clear" w:color="auto" w:fill="auto"/>
            <w:vAlign w:val="center"/>
          </w:tcPr>
          <w:p w14:paraId="5003CFEC"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33.2</w:t>
            </w:r>
          </w:p>
        </w:tc>
      </w:tr>
      <w:tr w:rsidR="00434012" w14:paraId="107A3A98" w14:textId="77777777" w:rsidTr="000F3E58">
        <w:trPr>
          <w:trHeight w:val="51"/>
        </w:trPr>
        <w:tc>
          <w:tcPr>
            <w:tcW w:w="2855" w:type="dxa"/>
            <w:shd w:val="clear" w:color="auto" w:fill="auto"/>
            <w:vAlign w:val="center"/>
            <w:hideMark/>
          </w:tcPr>
          <w:p w14:paraId="394513A8" w14:textId="77777777" w:rsidR="00434012" w:rsidRPr="003D67C0" w:rsidRDefault="00434012" w:rsidP="00434012">
            <w:pPr>
              <w:pStyle w:val="ACMATableText"/>
              <w:keepNext/>
              <w:keepLines/>
              <w:spacing w:before="0" w:after="0"/>
              <w:rPr>
                <w:rFonts w:cs="Arial"/>
                <w:sz w:val="18"/>
                <w:szCs w:val="18"/>
              </w:rPr>
            </w:pPr>
            <w:r w:rsidRPr="003D67C0">
              <w:rPr>
                <w:rFonts w:cs="Arial"/>
                <w:sz w:val="18"/>
                <w:szCs w:val="18"/>
              </w:rPr>
              <w:t>Mobile numbers</w:t>
            </w:r>
          </w:p>
        </w:tc>
        <w:tc>
          <w:tcPr>
            <w:tcW w:w="1096" w:type="dxa"/>
            <w:shd w:val="clear" w:color="auto" w:fill="auto"/>
            <w:vAlign w:val="center"/>
            <w:hideMark/>
          </w:tcPr>
          <w:p w14:paraId="2A0FF18B" w14:textId="77777777" w:rsidR="00434012" w:rsidRPr="003D67C0" w:rsidRDefault="00434012" w:rsidP="00FC0DDC">
            <w:pPr>
              <w:pStyle w:val="ACMATableText"/>
              <w:keepNext/>
              <w:keepLines/>
              <w:spacing w:before="0" w:after="0"/>
              <w:jc w:val="right"/>
              <w:rPr>
                <w:rFonts w:cs="Arial"/>
                <w:sz w:val="18"/>
                <w:szCs w:val="18"/>
              </w:rPr>
            </w:pPr>
            <w:r w:rsidRPr="003D67C0">
              <w:rPr>
                <w:rFonts w:cs="Arial"/>
                <w:sz w:val="18"/>
                <w:szCs w:val="18"/>
              </w:rPr>
              <w:t>1.743</w:t>
            </w:r>
          </w:p>
        </w:tc>
        <w:tc>
          <w:tcPr>
            <w:tcW w:w="1097" w:type="dxa"/>
            <w:shd w:val="clear" w:color="auto" w:fill="auto"/>
            <w:vAlign w:val="center"/>
            <w:hideMark/>
          </w:tcPr>
          <w:p w14:paraId="40B22F59" w14:textId="77777777" w:rsidR="00434012" w:rsidRPr="003D67C0" w:rsidRDefault="00434012" w:rsidP="00FC0DDC">
            <w:pPr>
              <w:pStyle w:val="ACMATableText"/>
              <w:keepNext/>
              <w:keepLines/>
              <w:spacing w:before="0" w:after="0"/>
              <w:jc w:val="right"/>
              <w:rPr>
                <w:rFonts w:cs="Arial"/>
                <w:sz w:val="18"/>
                <w:szCs w:val="18"/>
              </w:rPr>
            </w:pPr>
            <w:r w:rsidRPr="003D67C0">
              <w:rPr>
                <w:rFonts w:cs="Arial"/>
                <w:sz w:val="18"/>
                <w:szCs w:val="18"/>
              </w:rPr>
              <w:t>1.668</w:t>
            </w:r>
          </w:p>
        </w:tc>
        <w:tc>
          <w:tcPr>
            <w:tcW w:w="1097" w:type="dxa"/>
            <w:shd w:val="clear" w:color="auto" w:fill="auto"/>
            <w:vAlign w:val="center"/>
            <w:hideMark/>
          </w:tcPr>
          <w:p w14:paraId="0ECF389C" w14:textId="77777777" w:rsidR="00434012" w:rsidRPr="003D67C0" w:rsidRDefault="00434012" w:rsidP="00FC0DDC">
            <w:pPr>
              <w:pStyle w:val="ACMATableText"/>
              <w:keepNext/>
              <w:keepLines/>
              <w:spacing w:before="0" w:after="0"/>
              <w:jc w:val="right"/>
              <w:rPr>
                <w:rFonts w:cs="Arial"/>
                <w:sz w:val="18"/>
                <w:szCs w:val="18"/>
              </w:rPr>
            </w:pPr>
            <w:r w:rsidRPr="003D67C0">
              <w:rPr>
                <w:rFonts w:cs="Arial"/>
                <w:sz w:val="18"/>
                <w:szCs w:val="18"/>
              </w:rPr>
              <w:t>1.721</w:t>
            </w:r>
          </w:p>
        </w:tc>
        <w:tc>
          <w:tcPr>
            <w:tcW w:w="1096" w:type="dxa"/>
            <w:shd w:val="clear" w:color="auto" w:fill="auto"/>
            <w:vAlign w:val="center"/>
            <w:hideMark/>
          </w:tcPr>
          <w:p w14:paraId="3EBB72E4"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1.734*</w:t>
            </w:r>
          </w:p>
        </w:tc>
        <w:tc>
          <w:tcPr>
            <w:tcW w:w="1097" w:type="dxa"/>
            <w:shd w:val="clear" w:color="auto" w:fill="auto"/>
            <w:vAlign w:val="center"/>
          </w:tcPr>
          <w:p w14:paraId="383373D7"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1.871</w:t>
            </w:r>
          </w:p>
        </w:tc>
        <w:tc>
          <w:tcPr>
            <w:tcW w:w="1097" w:type="dxa"/>
            <w:shd w:val="clear" w:color="auto" w:fill="auto"/>
            <w:vAlign w:val="center"/>
          </w:tcPr>
          <w:p w14:paraId="28EFBEDF"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7.9</w:t>
            </w:r>
          </w:p>
        </w:tc>
      </w:tr>
      <w:tr w:rsidR="00434012" w14:paraId="3F26FD79" w14:textId="77777777" w:rsidTr="000F3E58">
        <w:trPr>
          <w:trHeight w:val="84"/>
        </w:trPr>
        <w:tc>
          <w:tcPr>
            <w:tcW w:w="2855" w:type="dxa"/>
            <w:shd w:val="clear" w:color="auto" w:fill="auto"/>
            <w:vAlign w:val="center"/>
            <w:hideMark/>
          </w:tcPr>
          <w:p w14:paraId="3C269AEE" w14:textId="77777777" w:rsidR="00434012" w:rsidRPr="003D67C0" w:rsidRDefault="00434012" w:rsidP="00434012">
            <w:pPr>
              <w:pStyle w:val="ACMATableText"/>
              <w:keepNext/>
              <w:keepLines/>
              <w:spacing w:before="0" w:after="0"/>
              <w:rPr>
                <w:rFonts w:cs="Arial"/>
                <w:sz w:val="18"/>
                <w:szCs w:val="18"/>
              </w:rPr>
            </w:pPr>
            <w:r w:rsidRPr="003D67C0">
              <w:rPr>
                <w:rFonts w:cs="Arial"/>
                <w:sz w:val="18"/>
                <w:szCs w:val="18"/>
              </w:rPr>
              <w:t>Freephone and local rate</w:t>
            </w:r>
          </w:p>
        </w:tc>
        <w:tc>
          <w:tcPr>
            <w:tcW w:w="1096" w:type="dxa"/>
            <w:shd w:val="clear" w:color="auto" w:fill="auto"/>
            <w:vAlign w:val="center"/>
            <w:hideMark/>
          </w:tcPr>
          <w:p w14:paraId="301281C4" w14:textId="77777777" w:rsidR="00434012" w:rsidRPr="003D67C0" w:rsidRDefault="00434012" w:rsidP="00CC276C">
            <w:pPr>
              <w:pStyle w:val="ACMATableText"/>
              <w:keepNext/>
              <w:keepLines/>
              <w:spacing w:before="0" w:after="0"/>
              <w:jc w:val="right"/>
              <w:rPr>
                <w:rFonts w:cs="Arial"/>
                <w:sz w:val="18"/>
                <w:szCs w:val="18"/>
              </w:rPr>
            </w:pPr>
            <w:r w:rsidRPr="003D67C0">
              <w:rPr>
                <w:rFonts w:cs="Arial"/>
                <w:sz w:val="18"/>
                <w:szCs w:val="18"/>
              </w:rPr>
              <w:t>0.</w:t>
            </w:r>
            <w:r w:rsidR="00CC276C">
              <w:rPr>
                <w:rFonts w:cs="Arial"/>
                <w:sz w:val="18"/>
                <w:szCs w:val="18"/>
              </w:rPr>
              <w:t>0</w:t>
            </w:r>
            <w:r w:rsidRPr="003D67C0">
              <w:rPr>
                <w:rFonts w:cs="Arial"/>
                <w:sz w:val="18"/>
                <w:szCs w:val="18"/>
              </w:rPr>
              <w:t>13</w:t>
            </w:r>
          </w:p>
        </w:tc>
        <w:tc>
          <w:tcPr>
            <w:tcW w:w="1097" w:type="dxa"/>
            <w:shd w:val="clear" w:color="auto" w:fill="auto"/>
            <w:vAlign w:val="center"/>
            <w:hideMark/>
          </w:tcPr>
          <w:p w14:paraId="510905DB"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0.011</w:t>
            </w:r>
          </w:p>
        </w:tc>
        <w:tc>
          <w:tcPr>
            <w:tcW w:w="1097" w:type="dxa"/>
            <w:shd w:val="clear" w:color="auto" w:fill="auto"/>
            <w:vAlign w:val="center"/>
            <w:hideMark/>
          </w:tcPr>
          <w:p w14:paraId="6232919A"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0.0125</w:t>
            </w:r>
          </w:p>
        </w:tc>
        <w:tc>
          <w:tcPr>
            <w:tcW w:w="1096" w:type="dxa"/>
            <w:shd w:val="clear" w:color="auto" w:fill="auto"/>
            <w:vAlign w:val="center"/>
            <w:hideMark/>
          </w:tcPr>
          <w:p w14:paraId="4908A221"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0.012</w:t>
            </w:r>
          </w:p>
        </w:tc>
        <w:tc>
          <w:tcPr>
            <w:tcW w:w="1097" w:type="dxa"/>
            <w:shd w:val="clear" w:color="auto" w:fill="auto"/>
            <w:vAlign w:val="center"/>
          </w:tcPr>
          <w:p w14:paraId="6B409604"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0.011</w:t>
            </w:r>
          </w:p>
        </w:tc>
        <w:tc>
          <w:tcPr>
            <w:tcW w:w="1097" w:type="dxa"/>
            <w:shd w:val="clear" w:color="auto" w:fill="auto"/>
            <w:vAlign w:val="center"/>
          </w:tcPr>
          <w:p w14:paraId="27C802FA" w14:textId="77777777" w:rsidR="00434012" w:rsidRPr="003D67C0" w:rsidRDefault="00434012" w:rsidP="00434012">
            <w:pPr>
              <w:pStyle w:val="ACMATableText"/>
              <w:keepNext/>
              <w:keepLines/>
              <w:spacing w:before="0" w:after="0"/>
              <w:jc w:val="right"/>
              <w:rPr>
                <w:rFonts w:cs="Arial"/>
                <w:sz w:val="18"/>
                <w:szCs w:val="18"/>
              </w:rPr>
            </w:pPr>
            <w:r w:rsidRPr="003D67C0">
              <w:rPr>
                <w:rFonts w:cs="Arial"/>
                <w:sz w:val="18"/>
                <w:szCs w:val="18"/>
              </w:rPr>
              <w:t>–10.7</w:t>
            </w:r>
          </w:p>
        </w:tc>
      </w:tr>
    </w:tbl>
    <w:p w14:paraId="55D6DDD4" w14:textId="77777777" w:rsidR="00434012" w:rsidRDefault="00434012" w:rsidP="00F97D91">
      <w:pPr>
        <w:pStyle w:val="ACMANotes"/>
        <w:spacing w:before="120"/>
      </w:pPr>
      <w:r>
        <w:t>*Mobile number portability figure for June 2016 has been revised.</w:t>
      </w:r>
    </w:p>
    <w:p w14:paraId="2F08E3CF" w14:textId="77777777" w:rsidR="00795834" w:rsidRPr="00913602" w:rsidRDefault="00434012" w:rsidP="00CE059B">
      <w:pPr>
        <w:pStyle w:val="ACMANotes"/>
        <w:spacing w:after="360"/>
      </w:pPr>
      <w:r>
        <w:t>Source: See Chapter 5. Further explanatory details for this data can be found in the source chapter</w:t>
      </w:r>
      <w:r w:rsidR="00555643" w:rsidRPr="00531CD0">
        <w:t>.</w:t>
      </w:r>
    </w:p>
    <w:p w14:paraId="03185538" w14:textId="77777777" w:rsidR="00434012" w:rsidRDefault="00434012" w:rsidP="00434012">
      <w:pPr>
        <w:pStyle w:val="Heading2"/>
      </w:pPr>
      <w:bookmarkStart w:id="254" w:name="_Toc465842833"/>
      <w:bookmarkStart w:id="255" w:name="_Toc465178922"/>
      <w:bookmarkStart w:id="256" w:name="_Toc399336888"/>
      <w:bookmarkStart w:id="257" w:name="_Toc399331707"/>
      <w:bookmarkStart w:id="258" w:name="_Toc373149032"/>
      <w:bookmarkStart w:id="259" w:name="_Toc371588970"/>
      <w:bookmarkStart w:id="260" w:name="_Toc370381856"/>
      <w:bookmarkStart w:id="261" w:name="_Toc341428275"/>
      <w:bookmarkStart w:id="262" w:name="_Toc310326774"/>
      <w:bookmarkStart w:id="263" w:name="_Toc308523547"/>
      <w:bookmarkStart w:id="264" w:name="_Toc308517087"/>
      <w:bookmarkStart w:id="265" w:name="_Toc494799323"/>
      <w:bookmarkStart w:id="266" w:name="_Toc494805626"/>
      <w:bookmarkStart w:id="267" w:name="_Toc494805855"/>
      <w:bookmarkStart w:id="268" w:name="_Toc494808085"/>
      <w:bookmarkStart w:id="269" w:name="_Toc494808489"/>
      <w:bookmarkStart w:id="270" w:name="_Toc494815891"/>
      <w:bookmarkStart w:id="271" w:name="_Toc494818752"/>
      <w:bookmarkStart w:id="272" w:name="_Toc494819019"/>
      <w:bookmarkStart w:id="273" w:name="_Toc500320886"/>
      <w:r>
        <w:t>National interest matters</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5789F0BA" w14:textId="77777777" w:rsidR="00434012" w:rsidRDefault="00434012" w:rsidP="00CE059B">
      <w:pPr>
        <w:pStyle w:val="Heading3"/>
        <w:spacing w:before="0" w:after="120"/>
      </w:pPr>
      <w:bookmarkStart w:id="274" w:name="_Toc494799324"/>
      <w:bookmarkStart w:id="275" w:name="_Toc494805627"/>
      <w:bookmarkStart w:id="276" w:name="_Toc494805856"/>
      <w:bookmarkStart w:id="277" w:name="_Toc494808086"/>
      <w:bookmarkStart w:id="278" w:name="_Toc494808490"/>
      <w:bookmarkStart w:id="279" w:name="_Toc494815892"/>
      <w:bookmarkStart w:id="280" w:name="_Toc494818753"/>
      <w:bookmarkStart w:id="281" w:name="_Toc494819020"/>
      <w:bookmarkStart w:id="282" w:name="_Toc465842834"/>
      <w:bookmarkStart w:id="283" w:name="_Toc465178923"/>
      <w:bookmarkStart w:id="284" w:name="_Toc463529010"/>
      <w:bookmarkStart w:id="285" w:name="_Toc462899530"/>
      <w:r>
        <w:t xml:space="preserve">Calls to emergency service numbers Triple Zero and 112 </w:t>
      </w:r>
      <w:bookmarkEnd w:id="274"/>
      <w:bookmarkEnd w:id="275"/>
      <w:bookmarkEnd w:id="276"/>
      <w:bookmarkEnd w:id="277"/>
      <w:bookmarkEnd w:id="278"/>
      <w:bookmarkEnd w:id="279"/>
      <w:bookmarkEnd w:id="280"/>
      <w:bookmarkEnd w:id="281"/>
    </w:p>
    <w:bookmarkEnd w:id="282"/>
    <w:bookmarkEnd w:id="283"/>
    <w:bookmarkEnd w:id="284"/>
    <w:bookmarkEnd w:id="285"/>
    <w:tbl>
      <w:tblPr>
        <w:tblW w:w="943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Complaints and investigations: TIO, telemarketing and spam complaints/reports/enquiries"/>
      </w:tblPr>
      <w:tblGrid>
        <w:gridCol w:w="2977"/>
        <w:gridCol w:w="1076"/>
        <w:gridCol w:w="1076"/>
        <w:gridCol w:w="1077"/>
        <w:gridCol w:w="1076"/>
        <w:gridCol w:w="1076"/>
        <w:gridCol w:w="1077"/>
      </w:tblGrid>
      <w:tr w:rsidR="00434012" w:rsidRPr="00B50BAA" w14:paraId="2774EDD3" w14:textId="77777777" w:rsidTr="000F3E58">
        <w:trPr>
          <w:trHeight w:val="324"/>
          <w:tblHeader/>
        </w:trPr>
        <w:tc>
          <w:tcPr>
            <w:tcW w:w="2977" w:type="dxa"/>
            <w:tcBorders>
              <w:top w:val="nil"/>
              <w:left w:val="nil"/>
              <w:bottom w:val="single" w:sz="6" w:space="0" w:color="BFBFBF" w:themeColor="background1" w:themeShade="BF"/>
            </w:tcBorders>
            <w:shd w:val="clear" w:color="auto" w:fill="FFFFFF" w:themeFill="background1"/>
            <w:vAlign w:val="center"/>
          </w:tcPr>
          <w:p w14:paraId="61E4EFEE" w14:textId="77777777" w:rsidR="00434012" w:rsidRPr="003D67C0" w:rsidRDefault="00434012" w:rsidP="00434012">
            <w:pPr>
              <w:pStyle w:val="ACMATableText"/>
              <w:keepNext/>
              <w:keepLines/>
              <w:spacing w:before="0" w:after="0"/>
              <w:jc w:val="right"/>
              <w:rPr>
                <w:b/>
                <w:color w:val="FFFFFF" w:themeColor="background1"/>
                <w:sz w:val="18"/>
                <w:szCs w:val="18"/>
              </w:rPr>
            </w:pPr>
          </w:p>
        </w:tc>
        <w:tc>
          <w:tcPr>
            <w:tcW w:w="1076" w:type="dxa"/>
            <w:tcBorders>
              <w:bottom w:val="single" w:sz="6" w:space="0" w:color="BFBFBF" w:themeColor="background1" w:themeShade="BF"/>
            </w:tcBorders>
            <w:shd w:val="clear" w:color="auto" w:fill="37897E"/>
            <w:vAlign w:val="center"/>
            <w:hideMark/>
          </w:tcPr>
          <w:p w14:paraId="26D55E92"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2012–13</w:t>
            </w:r>
          </w:p>
        </w:tc>
        <w:tc>
          <w:tcPr>
            <w:tcW w:w="1076" w:type="dxa"/>
            <w:tcBorders>
              <w:bottom w:val="single" w:sz="6" w:space="0" w:color="BFBFBF" w:themeColor="background1" w:themeShade="BF"/>
            </w:tcBorders>
            <w:shd w:val="clear" w:color="auto" w:fill="37897E"/>
            <w:vAlign w:val="center"/>
            <w:hideMark/>
          </w:tcPr>
          <w:p w14:paraId="6299CA19"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2013–14</w:t>
            </w:r>
          </w:p>
        </w:tc>
        <w:tc>
          <w:tcPr>
            <w:tcW w:w="1077" w:type="dxa"/>
            <w:tcBorders>
              <w:bottom w:val="single" w:sz="6" w:space="0" w:color="BFBFBF" w:themeColor="background1" w:themeShade="BF"/>
            </w:tcBorders>
            <w:shd w:val="clear" w:color="auto" w:fill="37897E"/>
            <w:vAlign w:val="center"/>
            <w:hideMark/>
          </w:tcPr>
          <w:p w14:paraId="40EB10BA"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2014–15</w:t>
            </w:r>
          </w:p>
        </w:tc>
        <w:tc>
          <w:tcPr>
            <w:tcW w:w="1076" w:type="dxa"/>
            <w:tcBorders>
              <w:bottom w:val="single" w:sz="6" w:space="0" w:color="BFBFBF" w:themeColor="background1" w:themeShade="BF"/>
            </w:tcBorders>
            <w:shd w:val="clear" w:color="auto" w:fill="37897E"/>
            <w:vAlign w:val="center"/>
            <w:hideMark/>
          </w:tcPr>
          <w:p w14:paraId="14ED7BC6"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2015–16</w:t>
            </w:r>
          </w:p>
        </w:tc>
        <w:tc>
          <w:tcPr>
            <w:tcW w:w="1076" w:type="dxa"/>
            <w:tcBorders>
              <w:bottom w:val="single" w:sz="6" w:space="0" w:color="BFBFBF" w:themeColor="background1" w:themeShade="BF"/>
            </w:tcBorders>
            <w:shd w:val="clear" w:color="auto" w:fill="37897E"/>
            <w:vAlign w:val="center"/>
            <w:hideMark/>
          </w:tcPr>
          <w:p w14:paraId="75B22A5A"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2016–17</w:t>
            </w:r>
          </w:p>
        </w:tc>
        <w:tc>
          <w:tcPr>
            <w:tcW w:w="1077" w:type="dxa"/>
            <w:tcBorders>
              <w:bottom w:val="single" w:sz="6" w:space="0" w:color="BFBFBF" w:themeColor="background1" w:themeShade="BF"/>
            </w:tcBorders>
            <w:shd w:val="clear" w:color="auto" w:fill="37897E"/>
            <w:vAlign w:val="center"/>
            <w:hideMark/>
          </w:tcPr>
          <w:p w14:paraId="4F0FAD37" w14:textId="77777777" w:rsidR="00434012" w:rsidRPr="003D67C0" w:rsidRDefault="00434012" w:rsidP="00434012">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2016–17 change (%)</w:t>
            </w:r>
          </w:p>
        </w:tc>
      </w:tr>
      <w:tr w:rsidR="00434012" w:rsidRPr="00B50BAA" w14:paraId="42486074" w14:textId="77777777" w:rsidTr="000F3E58">
        <w:trPr>
          <w:trHeight w:val="356"/>
        </w:trPr>
        <w:tc>
          <w:tcPr>
            <w:tcW w:w="2977" w:type="dxa"/>
            <w:tcBorders>
              <w:top w:val="single" w:sz="6" w:space="0" w:color="BFBFBF" w:themeColor="background1" w:themeShade="BF"/>
              <w:bottom w:val="single" w:sz="6" w:space="0" w:color="BFBFBF" w:themeColor="background1" w:themeShade="BF"/>
            </w:tcBorders>
            <w:shd w:val="clear" w:color="auto" w:fill="auto"/>
            <w:vAlign w:val="center"/>
            <w:hideMark/>
          </w:tcPr>
          <w:p w14:paraId="4BD47F22" w14:textId="77777777" w:rsidR="00434012" w:rsidRPr="00B50BAA" w:rsidRDefault="00434012" w:rsidP="00434012">
            <w:pPr>
              <w:spacing w:after="0"/>
              <w:rPr>
                <w:rFonts w:cs="Arial"/>
                <w:sz w:val="18"/>
                <w:szCs w:val="18"/>
              </w:rPr>
            </w:pPr>
            <w:r w:rsidRPr="00F44992">
              <w:rPr>
                <w:rFonts w:cs="Arial"/>
                <w:sz w:val="18"/>
                <w:szCs w:val="18"/>
              </w:rPr>
              <w:t>Total num</w:t>
            </w:r>
            <w:r w:rsidRPr="00B50BAA">
              <w:rPr>
                <w:rFonts w:cs="Arial"/>
                <w:sz w:val="18"/>
                <w:szCs w:val="18"/>
              </w:rPr>
              <w:t>ber of calls offered</w:t>
            </w:r>
            <w:r w:rsidR="00204D06">
              <w:rPr>
                <w:rFonts w:cs="Arial"/>
                <w:sz w:val="18"/>
                <w:szCs w:val="18"/>
              </w:rPr>
              <w:t xml:space="preserve"> (millions)</w:t>
            </w:r>
          </w:p>
        </w:tc>
        <w:tc>
          <w:tcPr>
            <w:tcW w:w="1076" w:type="dxa"/>
            <w:tcBorders>
              <w:top w:val="single" w:sz="6" w:space="0" w:color="BFBFBF" w:themeColor="background1" w:themeShade="BF"/>
              <w:bottom w:val="single" w:sz="6" w:space="0" w:color="BFBFBF" w:themeColor="background1" w:themeShade="BF"/>
            </w:tcBorders>
            <w:shd w:val="clear" w:color="auto" w:fill="auto"/>
            <w:vAlign w:val="center"/>
            <w:hideMark/>
          </w:tcPr>
          <w:p w14:paraId="321E2022" w14:textId="77777777" w:rsidR="00434012" w:rsidRPr="00F44992" w:rsidRDefault="00434012" w:rsidP="00434012">
            <w:pPr>
              <w:spacing w:after="0"/>
              <w:jc w:val="right"/>
              <w:rPr>
                <w:sz w:val="18"/>
                <w:szCs w:val="18"/>
              </w:rPr>
            </w:pPr>
            <w:r w:rsidRPr="00F44992">
              <w:rPr>
                <w:sz w:val="18"/>
                <w:szCs w:val="18"/>
              </w:rPr>
              <w:t>8.855</w:t>
            </w:r>
          </w:p>
        </w:tc>
        <w:tc>
          <w:tcPr>
            <w:tcW w:w="1076" w:type="dxa"/>
            <w:tcBorders>
              <w:top w:val="single" w:sz="6" w:space="0" w:color="BFBFBF" w:themeColor="background1" w:themeShade="BF"/>
              <w:bottom w:val="single" w:sz="6" w:space="0" w:color="BFBFBF" w:themeColor="background1" w:themeShade="BF"/>
            </w:tcBorders>
            <w:shd w:val="clear" w:color="auto" w:fill="auto"/>
            <w:vAlign w:val="center"/>
            <w:hideMark/>
          </w:tcPr>
          <w:p w14:paraId="48C37797" w14:textId="77777777" w:rsidR="00434012" w:rsidRPr="00F44992" w:rsidRDefault="00434012" w:rsidP="00434012">
            <w:pPr>
              <w:spacing w:after="0"/>
              <w:jc w:val="right"/>
              <w:rPr>
                <w:sz w:val="18"/>
                <w:szCs w:val="18"/>
              </w:rPr>
            </w:pPr>
            <w:r w:rsidRPr="00F44992">
              <w:rPr>
                <w:sz w:val="18"/>
                <w:szCs w:val="18"/>
              </w:rPr>
              <w:t>8.481</w:t>
            </w:r>
          </w:p>
        </w:tc>
        <w:tc>
          <w:tcPr>
            <w:tcW w:w="1077" w:type="dxa"/>
            <w:tcBorders>
              <w:top w:val="single" w:sz="6" w:space="0" w:color="BFBFBF" w:themeColor="background1" w:themeShade="BF"/>
              <w:bottom w:val="single" w:sz="6" w:space="0" w:color="BFBFBF" w:themeColor="background1" w:themeShade="BF"/>
            </w:tcBorders>
            <w:shd w:val="clear" w:color="auto" w:fill="auto"/>
            <w:vAlign w:val="center"/>
            <w:hideMark/>
          </w:tcPr>
          <w:p w14:paraId="0DCFC163" w14:textId="77777777" w:rsidR="00434012" w:rsidRPr="00F44992" w:rsidRDefault="00434012" w:rsidP="00FC0DDC">
            <w:pPr>
              <w:spacing w:after="0"/>
              <w:jc w:val="right"/>
              <w:rPr>
                <w:sz w:val="18"/>
                <w:szCs w:val="18"/>
              </w:rPr>
            </w:pPr>
            <w:r w:rsidRPr="00F44992">
              <w:rPr>
                <w:sz w:val="18"/>
                <w:szCs w:val="18"/>
              </w:rPr>
              <w:t>8.377</w:t>
            </w:r>
          </w:p>
        </w:tc>
        <w:tc>
          <w:tcPr>
            <w:tcW w:w="1076" w:type="dxa"/>
            <w:tcBorders>
              <w:top w:val="single" w:sz="6" w:space="0" w:color="BFBFBF" w:themeColor="background1" w:themeShade="BF"/>
              <w:bottom w:val="single" w:sz="6" w:space="0" w:color="BFBFBF" w:themeColor="background1" w:themeShade="BF"/>
            </w:tcBorders>
            <w:shd w:val="clear" w:color="auto" w:fill="auto"/>
            <w:vAlign w:val="center"/>
            <w:hideMark/>
          </w:tcPr>
          <w:p w14:paraId="763AAB28" w14:textId="77777777" w:rsidR="00434012" w:rsidRPr="00F44992" w:rsidRDefault="00434012" w:rsidP="00434012">
            <w:pPr>
              <w:spacing w:after="0"/>
              <w:jc w:val="right"/>
              <w:rPr>
                <w:sz w:val="18"/>
                <w:szCs w:val="18"/>
              </w:rPr>
            </w:pPr>
            <w:r w:rsidRPr="00F44992">
              <w:rPr>
                <w:sz w:val="18"/>
                <w:szCs w:val="18"/>
              </w:rPr>
              <w:t>8.351</w:t>
            </w:r>
          </w:p>
        </w:tc>
        <w:tc>
          <w:tcPr>
            <w:tcW w:w="1076" w:type="dxa"/>
            <w:tcBorders>
              <w:top w:val="single" w:sz="6" w:space="0" w:color="BFBFBF" w:themeColor="background1" w:themeShade="BF"/>
              <w:bottom w:val="single" w:sz="6" w:space="0" w:color="BFBFBF" w:themeColor="background1" w:themeShade="BF"/>
            </w:tcBorders>
            <w:shd w:val="clear" w:color="auto" w:fill="auto"/>
            <w:vAlign w:val="center"/>
          </w:tcPr>
          <w:p w14:paraId="43C52693" w14:textId="77777777" w:rsidR="00434012" w:rsidRPr="00F44992" w:rsidRDefault="00434012">
            <w:pPr>
              <w:spacing w:after="0"/>
              <w:jc w:val="right"/>
              <w:rPr>
                <w:sz w:val="18"/>
                <w:szCs w:val="18"/>
              </w:rPr>
            </w:pPr>
            <w:r w:rsidRPr="00F44992">
              <w:rPr>
                <w:sz w:val="18"/>
                <w:szCs w:val="18"/>
              </w:rPr>
              <w:t>8.580</w:t>
            </w:r>
          </w:p>
        </w:tc>
        <w:tc>
          <w:tcPr>
            <w:tcW w:w="1077" w:type="dxa"/>
            <w:tcBorders>
              <w:top w:val="single" w:sz="6" w:space="0" w:color="BFBFBF" w:themeColor="background1" w:themeShade="BF"/>
              <w:bottom w:val="single" w:sz="6" w:space="0" w:color="BFBFBF" w:themeColor="background1" w:themeShade="BF"/>
            </w:tcBorders>
            <w:shd w:val="clear" w:color="auto" w:fill="auto"/>
            <w:vAlign w:val="center"/>
          </w:tcPr>
          <w:p w14:paraId="7D65B7C8" w14:textId="77777777" w:rsidR="00434012" w:rsidRPr="00F44992" w:rsidRDefault="00434012" w:rsidP="00434012">
            <w:pPr>
              <w:spacing w:after="0"/>
              <w:jc w:val="right"/>
              <w:rPr>
                <w:sz w:val="18"/>
                <w:szCs w:val="18"/>
              </w:rPr>
            </w:pPr>
            <w:r w:rsidRPr="00F44992">
              <w:rPr>
                <w:sz w:val="18"/>
                <w:szCs w:val="18"/>
              </w:rPr>
              <w:t>2.7</w:t>
            </w:r>
          </w:p>
        </w:tc>
      </w:tr>
      <w:tr w:rsidR="00434012" w:rsidRPr="00B50BAA" w14:paraId="15A949F6" w14:textId="77777777" w:rsidTr="000F3E58">
        <w:trPr>
          <w:trHeight w:val="76"/>
        </w:trPr>
        <w:tc>
          <w:tcPr>
            <w:tcW w:w="2977" w:type="dxa"/>
            <w:tcBorders>
              <w:top w:val="single" w:sz="6" w:space="0" w:color="BFBFBF" w:themeColor="background1" w:themeShade="BF"/>
              <w:bottom w:val="single" w:sz="4" w:space="0" w:color="BFBFBF" w:themeColor="background1" w:themeShade="BF"/>
            </w:tcBorders>
            <w:shd w:val="clear" w:color="auto" w:fill="auto"/>
            <w:vAlign w:val="center"/>
            <w:hideMark/>
          </w:tcPr>
          <w:p w14:paraId="6DA91216" w14:textId="77777777" w:rsidR="00434012" w:rsidRPr="00F44992" w:rsidRDefault="00434012" w:rsidP="00434012">
            <w:pPr>
              <w:spacing w:after="0"/>
              <w:rPr>
                <w:rFonts w:cs="Arial"/>
                <w:sz w:val="18"/>
                <w:szCs w:val="18"/>
              </w:rPr>
            </w:pPr>
            <w:r w:rsidRPr="00F44992">
              <w:rPr>
                <w:rFonts w:cs="Arial"/>
                <w:sz w:val="18"/>
                <w:szCs w:val="18"/>
              </w:rPr>
              <w:t>Total percentage of calls answered</w:t>
            </w:r>
          </w:p>
        </w:tc>
        <w:tc>
          <w:tcPr>
            <w:tcW w:w="1076" w:type="dxa"/>
            <w:tcBorders>
              <w:top w:val="single" w:sz="6" w:space="0" w:color="BFBFBF" w:themeColor="background1" w:themeShade="BF"/>
              <w:bottom w:val="single" w:sz="4" w:space="0" w:color="BFBFBF" w:themeColor="background1" w:themeShade="BF"/>
            </w:tcBorders>
            <w:shd w:val="clear" w:color="auto" w:fill="auto"/>
            <w:vAlign w:val="center"/>
            <w:hideMark/>
          </w:tcPr>
          <w:p w14:paraId="0A27CEEE" w14:textId="77777777" w:rsidR="00434012" w:rsidRPr="00F44992" w:rsidRDefault="00434012">
            <w:pPr>
              <w:spacing w:after="0"/>
              <w:jc w:val="right"/>
              <w:rPr>
                <w:sz w:val="18"/>
                <w:szCs w:val="18"/>
              </w:rPr>
            </w:pPr>
            <w:r w:rsidRPr="00F44992">
              <w:rPr>
                <w:sz w:val="18"/>
                <w:szCs w:val="18"/>
              </w:rPr>
              <w:t>96.0</w:t>
            </w:r>
          </w:p>
        </w:tc>
        <w:tc>
          <w:tcPr>
            <w:tcW w:w="1076" w:type="dxa"/>
            <w:tcBorders>
              <w:top w:val="single" w:sz="6" w:space="0" w:color="BFBFBF" w:themeColor="background1" w:themeShade="BF"/>
              <w:bottom w:val="single" w:sz="4" w:space="0" w:color="BFBFBF" w:themeColor="background1" w:themeShade="BF"/>
            </w:tcBorders>
            <w:shd w:val="clear" w:color="auto" w:fill="auto"/>
            <w:vAlign w:val="center"/>
            <w:hideMark/>
          </w:tcPr>
          <w:p w14:paraId="343A3A88" w14:textId="77777777" w:rsidR="00434012" w:rsidRPr="00F44992" w:rsidRDefault="00434012">
            <w:pPr>
              <w:spacing w:after="0"/>
              <w:jc w:val="right"/>
              <w:rPr>
                <w:sz w:val="18"/>
                <w:szCs w:val="18"/>
              </w:rPr>
            </w:pPr>
            <w:r w:rsidRPr="00F44992">
              <w:rPr>
                <w:sz w:val="18"/>
                <w:szCs w:val="18"/>
              </w:rPr>
              <w:t>96.0</w:t>
            </w:r>
          </w:p>
        </w:tc>
        <w:tc>
          <w:tcPr>
            <w:tcW w:w="1077" w:type="dxa"/>
            <w:tcBorders>
              <w:top w:val="single" w:sz="6" w:space="0" w:color="BFBFBF" w:themeColor="background1" w:themeShade="BF"/>
              <w:bottom w:val="single" w:sz="4" w:space="0" w:color="BFBFBF" w:themeColor="background1" w:themeShade="BF"/>
            </w:tcBorders>
            <w:shd w:val="clear" w:color="auto" w:fill="auto"/>
            <w:vAlign w:val="center"/>
            <w:hideMark/>
          </w:tcPr>
          <w:p w14:paraId="38E4447B" w14:textId="77777777" w:rsidR="00434012" w:rsidRPr="00F44992" w:rsidRDefault="00434012">
            <w:pPr>
              <w:spacing w:after="0"/>
              <w:jc w:val="right"/>
              <w:rPr>
                <w:sz w:val="18"/>
                <w:szCs w:val="18"/>
              </w:rPr>
            </w:pPr>
            <w:r w:rsidRPr="00F44992">
              <w:rPr>
                <w:sz w:val="18"/>
                <w:szCs w:val="18"/>
              </w:rPr>
              <w:t>96.0</w:t>
            </w:r>
          </w:p>
        </w:tc>
        <w:tc>
          <w:tcPr>
            <w:tcW w:w="1076" w:type="dxa"/>
            <w:tcBorders>
              <w:top w:val="single" w:sz="6" w:space="0" w:color="BFBFBF" w:themeColor="background1" w:themeShade="BF"/>
              <w:bottom w:val="single" w:sz="4" w:space="0" w:color="BFBFBF" w:themeColor="background1" w:themeShade="BF"/>
            </w:tcBorders>
            <w:shd w:val="clear" w:color="auto" w:fill="auto"/>
            <w:vAlign w:val="center"/>
            <w:hideMark/>
          </w:tcPr>
          <w:p w14:paraId="2823EAB1" w14:textId="77777777" w:rsidR="00434012" w:rsidRPr="00F44992" w:rsidRDefault="00434012">
            <w:pPr>
              <w:spacing w:after="0"/>
              <w:jc w:val="right"/>
              <w:rPr>
                <w:sz w:val="18"/>
                <w:szCs w:val="18"/>
              </w:rPr>
            </w:pPr>
            <w:r w:rsidRPr="00F44992">
              <w:rPr>
                <w:sz w:val="18"/>
                <w:szCs w:val="18"/>
              </w:rPr>
              <w:t>96.0</w:t>
            </w:r>
          </w:p>
        </w:tc>
        <w:tc>
          <w:tcPr>
            <w:tcW w:w="1076" w:type="dxa"/>
            <w:tcBorders>
              <w:top w:val="single" w:sz="6" w:space="0" w:color="BFBFBF" w:themeColor="background1" w:themeShade="BF"/>
              <w:bottom w:val="single" w:sz="4" w:space="0" w:color="BFBFBF" w:themeColor="background1" w:themeShade="BF"/>
            </w:tcBorders>
            <w:shd w:val="clear" w:color="auto" w:fill="auto"/>
            <w:vAlign w:val="center"/>
          </w:tcPr>
          <w:p w14:paraId="04EF5123" w14:textId="77777777" w:rsidR="00434012" w:rsidRPr="00F44992" w:rsidRDefault="00434012">
            <w:pPr>
              <w:spacing w:after="0"/>
              <w:jc w:val="right"/>
              <w:rPr>
                <w:sz w:val="18"/>
                <w:szCs w:val="18"/>
              </w:rPr>
            </w:pPr>
            <w:r w:rsidRPr="00F44992">
              <w:rPr>
                <w:sz w:val="18"/>
                <w:szCs w:val="18"/>
              </w:rPr>
              <w:t>96.0</w:t>
            </w:r>
          </w:p>
        </w:tc>
        <w:tc>
          <w:tcPr>
            <w:tcW w:w="1077" w:type="dxa"/>
            <w:tcBorders>
              <w:top w:val="single" w:sz="6" w:space="0" w:color="BFBFBF" w:themeColor="background1" w:themeShade="BF"/>
              <w:bottom w:val="single" w:sz="4" w:space="0" w:color="BFBFBF" w:themeColor="background1" w:themeShade="BF"/>
            </w:tcBorders>
            <w:shd w:val="clear" w:color="auto" w:fill="auto"/>
            <w:vAlign w:val="center"/>
          </w:tcPr>
          <w:p w14:paraId="6C084E1B" w14:textId="77777777" w:rsidR="00434012" w:rsidRPr="00F44992" w:rsidRDefault="00434012" w:rsidP="00434012">
            <w:pPr>
              <w:spacing w:after="0"/>
              <w:jc w:val="right"/>
              <w:rPr>
                <w:sz w:val="18"/>
                <w:szCs w:val="18"/>
              </w:rPr>
            </w:pPr>
            <w:r w:rsidRPr="00F44992">
              <w:rPr>
                <w:sz w:val="18"/>
                <w:szCs w:val="18"/>
              </w:rPr>
              <w:t>0.0</w:t>
            </w:r>
          </w:p>
        </w:tc>
      </w:tr>
    </w:tbl>
    <w:p w14:paraId="1A87286E" w14:textId="5B316A75" w:rsidR="00434012" w:rsidRDefault="00434012" w:rsidP="00F97D91">
      <w:pPr>
        <w:pStyle w:val="ACMANotes"/>
        <w:spacing w:before="120"/>
      </w:pPr>
      <w:r>
        <w:t xml:space="preserve">Note: </w:t>
      </w:r>
      <w:r w:rsidR="00B62221">
        <w:t>‘</w:t>
      </w:r>
      <w:r>
        <w:t>Calls offered</w:t>
      </w:r>
      <w:r w:rsidR="00B62221">
        <w:t>’</w:t>
      </w:r>
      <w:r>
        <w:t xml:space="preserve"> refers to the number of calls waiting (at time zero) at the instant the four-second recorded voice announcement</w:t>
      </w:r>
      <w:r w:rsidR="007607B4">
        <w:t> </w:t>
      </w:r>
      <w:r>
        <w:t>finished.</w:t>
      </w:r>
    </w:p>
    <w:p w14:paraId="4E26B111" w14:textId="77777777" w:rsidR="00795834" w:rsidRPr="00ED2E02" w:rsidRDefault="00434012" w:rsidP="0055318E">
      <w:pPr>
        <w:pStyle w:val="ACMANotes"/>
        <w:spacing w:after="360"/>
      </w:pPr>
      <w:r>
        <w:t>Source: See Chapter 4. Further explanatory details for this data can be found in the source chapter</w:t>
      </w:r>
      <w:r w:rsidR="00555643" w:rsidRPr="00531CD0">
        <w:t>.</w:t>
      </w:r>
    </w:p>
    <w:p w14:paraId="3D63C05A" w14:textId="77777777" w:rsidR="00434012" w:rsidRDefault="00434012" w:rsidP="00CE059B">
      <w:pPr>
        <w:pStyle w:val="Heading3"/>
        <w:spacing w:before="0" w:after="120"/>
      </w:pPr>
      <w:bookmarkStart w:id="286" w:name="_Toc465842835"/>
      <w:bookmarkStart w:id="287" w:name="_Toc465178924"/>
      <w:bookmarkStart w:id="288" w:name="_Toc463529011"/>
      <w:bookmarkStart w:id="289" w:name="_Toc462899531"/>
      <w:bookmarkStart w:id="290" w:name="_Toc494799325"/>
      <w:bookmarkStart w:id="291" w:name="_Toc494805628"/>
      <w:bookmarkStart w:id="292" w:name="_Toc494805857"/>
      <w:bookmarkStart w:id="293" w:name="_Toc494808087"/>
      <w:bookmarkStart w:id="294" w:name="_Toc494808491"/>
      <w:bookmarkStart w:id="295" w:name="_Toc494815893"/>
      <w:bookmarkStart w:id="296" w:name="_Toc494818754"/>
      <w:bookmarkStart w:id="297" w:name="_Toc494819021"/>
      <w:bookmarkStart w:id="298" w:name="_Toc462899534"/>
      <w:bookmarkStart w:id="299" w:name="_Toc463529014"/>
      <w:bookmarkStart w:id="300" w:name="_Toc465178927"/>
      <w:bookmarkStart w:id="301" w:name="_Toc465842838"/>
      <w:r>
        <w:t>Disclosures of customer information by carriers and CSPs to support law enforcement and national security agencies</w:t>
      </w:r>
      <w:bookmarkEnd w:id="286"/>
      <w:bookmarkEnd w:id="287"/>
      <w:bookmarkEnd w:id="288"/>
      <w:bookmarkEnd w:id="289"/>
      <w:bookmarkEnd w:id="290"/>
      <w:bookmarkEnd w:id="291"/>
      <w:bookmarkEnd w:id="292"/>
      <w:bookmarkEnd w:id="293"/>
      <w:bookmarkEnd w:id="294"/>
      <w:bookmarkEnd w:id="295"/>
      <w:bookmarkEnd w:id="296"/>
      <w:bookmarkEnd w:id="297"/>
      <w:r>
        <w:t xml:space="preserve"> (number)</w:t>
      </w:r>
    </w:p>
    <w:tbl>
      <w:tblPr>
        <w:tblW w:w="9435" w:type="dxa"/>
        <w:tblInd w:w="2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Complaints and investigations: TIO, telemarketing and spam complaints/reports/enquiries"/>
      </w:tblPr>
      <w:tblGrid>
        <w:gridCol w:w="2957"/>
        <w:gridCol w:w="1079"/>
        <w:gridCol w:w="1080"/>
        <w:gridCol w:w="1080"/>
        <w:gridCol w:w="1079"/>
        <w:gridCol w:w="1080"/>
        <w:gridCol w:w="1080"/>
      </w:tblGrid>
      <w:tr w:rsidR="00BF4DB3" w:rsidRPr="007F1C69" w14:paraId="625940A2" w14:textId="77777777" w:rsidTr="000F3E58">
        <w:trPr>
          <w:trHeight w:val="356"/>
          <w:tblHeader/>
        </w:trPr>
        <w:tc>
          <w:tcPr>
            <w:tcW w:w="2957" w:type="dxa"/>
            <w:tcBorders>
              <w:top w:val="nil"/>
              <w:left w:val="nil"/>
            </w:tcBorders>
            <w:shd w:val="clear" w:color="auto" w:fill="FFFFFF" w:themeFill="background1"/>
            <w:vAlign w:val="center"/>
          </w:tcPr>
          <w:p w14:paraId="36D71B1B" w14:textId="77777777" w:rsidR="00BF4DB3" w:rsidRPr="003D67C0" w:rsidRDefault="00BF4DB3" w:rsidP="00434012">
            <w:pPr>
              <w:pStyle w:val="ACMATableText"/>
              <w:keepNext/>
              <w:keepLines/>
              <w:spacing w:before="0" w:after="0"/>
              <w:jc w:val="right"/>
              <w:rPr>
                <w:b/>
                <w:color w:val="FFFFFF" w:themeColor="background1"/>
                <w:sz w:val="18"/>
                <w:szCs w:val="18"/>
              </w:rPr>
            </w:pPr>
          </w:p>
        </w:tc>
        <w:tc>
          <w:tcPr>
            <w:tcW w:w="1079" w:type="dxa"/>
            <w:shd w:val="clear" w:color="auto" w:fill="37897E"/>
            <w:vAlign w:val="center"/>
            <w:hideMark/>
          </w:tcPr>
          <w:p w14:paraId="7537AF8D"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2012–13</w:t>
            </w:r>
          </w:p>
        </w:tc>
        <w:tc>
          <w:tcPr>
            <w:tcW w:w="1080" w:type="dxa"/>
            <w:shd w:val="clear" w:color="auto" w:fill="37897E"/>
            <w:vAlign w:val="center"/>
            <w:hideMark/>
          </w:tcPr>
          <w:p w14:paraId="74569EC5"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2013–14</w:t>
            </w:r>
          </w:p>
        </w:tc>
        <w:tc>
          <w:tcPr>
            <w:tcW w:w="1080" w:type="dxa"/>
            <w:shd w:val="clear" w:color="auto" w:fill="37897E"/>
            <w:vAlign w:val="center"/>
            <w:hideMark/>
          </w:tcPr>
          <w:p w14:paraId="3A15D0CC"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2014–15</w:t>
            </w:r>
          </w:p>
        </w:tc>
        <w:tc>
          <w:tcPr>
            <w:tcW w:w="1079" w:type="dxa"/>
            <w:shd w:val="clear" w:color="auto" w:fill="37897E"/>
            <w:vAlign w:val="center"/>
            <w:hideMark/>
          </w:tcPr>
          <w:p w14:paraId="71F7E4DE"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2015–16</w:t>
            </w:r>
          </w:p>
        </w:tc>
        <w:tc>
          <w:tcPr>
            <w:tcW w:w="1080" w:type="dxa"/>
            <w:shd w:val="clear" w:color="auto" w:fill="37897E"/>
            <w:vAlign w:val="center"/>
            <w:hideMark/>
          </w:tcPr>
          <w:p w14:paraId="4E1412C8"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2016–17</w:t>
            </w:r>
          </w:p>
        </w:tc>
        <w:tc>
          <w:tcPr>
            <w:tcW w:w="1080" w:type="dxa"/>
            <w:shd w:val="clear" w:color="auto" w:fill="37897E"/>
            <w:vAlign w:val="center"/>
            <w:hideMark/>
          </w:tcPr>
          <w:p w14:paraId="73215F7D" w14:textId="77777777" w:rsidR="00BF4DB3" w:rsidRPr="003D67C0" w:rsidRDefault="00BF4DB3" w:rsidP="00434012">
            <w:pPr>
              <w:pStyle w:val="ACMATableText"/>
              <w:keepNext/>
              <w:keepLines/>
              <w:spacing w:before="0" w:after="0"/>
              <w:jc w:val="right"/>
              <w:rPr>
                <w:b/>
                <w:color w:val="FFFFFF" w:themeColor="background1"/>
                <w:sz w:val="18"/>
                <w:szCs w:val="18"/>
              </w:rPr>
            </w:pPr>
            <w:r w:rsidRPr="003D67C0">
              <w:rPr>
                <w:b/>
                <w:color w:val="FFFFFF" w:themeColor="background1"/>
                <w:sz w:val="18"/>
                <w:szCs w:val="18"/>
              </w:rPr>
              <w:t>2016–17 change (%)</w:t>
            </w:r>
          </w:p>
        </w:tc>
      </w:tr>
      <w:tr w:rsidR="00BF4DB3" w:rsidRPr="006B3D0C" w14:paraId="048033A1" w14:textId="77777777" w:rsidTr="000F3E58">
        <w:trPr>
          <w:trHeight w:val="156"/>
        </w:trPr>
        <w:tc>
          <w:tcPr>
            <w:tcW w:w="2957" w:type="dxa"/>
            <w:shd w:val="clear" w:color="auto" w:fill="auto"/>
            <w:vAlign w:val="center"/>
          </w:tcPr>
          <w:p w14:paraId="15117B5E" w14:textId="77777777" w:rsidR="00BF4DB3" w:rsidRPr="00F44992" w:rsidRDefault="00BF4DB3" w:rsidP="00434012">
            <w:pPr>
              <w:spacing w:after="0"/>
              <w:rPr>
                <w:rFonts w:cs="Arial"/>
                <w:sz w:val="18"/>
                <w:szCs w:val="18"/>
              </w:rPr>
            </w:pPr>
            <w:r w:rsidRPr="003A23E7">
              <w:rPr>
                <w:rFonts w:cs="Arial"/>
                <w:sz w:val="18"/>
                <w:szCs w:val="18"/>
              </w:rPr>
              <w:t>Total number of disclosures</w:t>
            </w:r>
          </w:p>
        </w:tc>
        <w:tc>
          <w:tcPr>
            <w:tcW w:w="1079" w:type="dxa"/>
            <w:shd w:val="clear" w:color="auto" w:fill="auto"/>
            <w:vAlign w:val="center"/>
          </w:tcPr>
          <w:p w14:paraId="5AB689EE" w14:textId="77777777" w:rsidR="00BF4DB3" w:rsidRPr="00FA1F00" w:rsidRDefault="00BF4DB3" w:rsidP="00434012">
            <w:pPr>
              <w:spacing w:after="0"/>
              <w:jc w:val="right"/>
              <w:rPr>
                <w:rFonts w:cs="Arial"/>
                <w:sz w:val="18"/>
                <w:szCs w:val="18"/>
              </w:rPr>
            </w:pPr>
            <w:r w:rsidRPr="003A23E7">
              <w:rPr>
                <w:rFonts w:cs="Arial"/>
                <w:sz w:val="18"/>
                <w:szCs w:val="18"/>
              </w:rPr>
              <w:t>685,757</w:t>
            </w:r>
          </w:p>
        </w:tc>
        <w:tc>
          <w:tcPr>
            <w:tcW w:w="1080" w:type="dxa"/>
            <w:shd w:val="clear" w:color="auto" w:fill="auto"/>
            <w:vAlign w:val="center"/>
          </w:tcPr>
          <w:p w14:paraId="27D665ED" w14:textId="77777777" w:rsidR="00BF4DB3" w:rsidRPr="00FA1F00" w:rsidRDefault="00BF4DB3" w:rsidP="00434012">
            <w:pPr>
              <w:spacing w:after="0"/>
              <w:jc w:val="right"/>
              <w:rPr>
                <w:rFonts w:cs="Arial"/>
                <w:sz w:val="18"/>
                <w:szCs w:val="18"/>
              </w:rPr>
            </w:pPr>
            <w:r w:rsidRPr="003A23E7">
              <w:rPr>
                <w:rFonts w:cs="Arial"/>
                <w:sz w:val="18"/>
                <w:szCs w:val="18"/>
              </w:rPr>
              <w:t>748,079</w:t>
            </w:r>
          </w:p>
        </w:tc>
        <w:tc>
          <w:tcPr>
            <w:tcW w:w="1080" w:type="dxa"/>
            <w:shd w:val="clear" w:color="auto" w:fill="auto"/>
            <w:vAlign w:val="center"/>
          </w:tcPr>
          <w:p w14:paraId="6710EF3D" w14:textId="77777777" w:rsidR="00BF4DB3" w:rsidRPr="00FA1F00" w:rsidRDefault="00BF4DB3" w:rsidP="00434012">
            <w:pPr>
              <w:spacing w:after="0"/>
              <w:jc w:val="right"/>
              <w:rPr>
                <w:rFonts w:cs="Arial"/>
                <w:sz w:val="18"/>
                <w:szCs w:val="18"/>
              </w:rPr>
            </w:pPr>
            <w:r w:rsidRPr="003A23E7">
              <w:rPr>
                <w:rFonts w:cs="Arial"/>
                <w:sz w:val="18"/>
                <w:szCs w:val="18"/>
              </w:rPr>
              <w:t>824,841</w:t>
            </w:r>
          </w:p>
        </w:tc>
        <w:tc>
          <w:tcPr>
            <w:tcW w:w="1079" w:type="dxa"/>
            <w:shd w:val="clear" w:color="auto" w:fill="auto"/>
            <w:vAlign w:val="center"/>
          </w:tcPr>
          <w:p w14:paraId="0FB6F591" w14:textId="77777777" w:rsidR="00BF4DB3" w:rsidRPr="00FA1F00" w:rsidRDefault="00BF4DB3" w:rsidP="00434012">
            <w:pPr>
              <w:spacing w:after="0"/>
              <w:jc w:val="right"/>
              <w:rPr>
                <w:rFonts w:cs="Arial"/>
                <w:sz w:val="18"/>
                <w:szCs w:val="18"/>
              </w:rPr>
            </w:pPr>
            <w:r w:rsidRPr="003A23E7">
              <w:rPr>
                <w:rFonts w:cs="Arial"/>
                <w:sz w:val="18"/>
                <w:szCs w:val="18"/>
              </w:rPr>
              <w:t>667,792</w:t>
            </w:r>
          </w:p>
        </w:tc>
        <w:tc>
          <w:tcPr>
            <w:tcW w:w="1080" w:type="dxa"/>
            <w:shd w:val="clear" w:color="auto" w:fill="auto"/>
            <w:vAlign w:val="center"/>
          </w:tcPr>
          <w:p w14:paraId="78F77F8F" w14:textId="77777777" w:rsidR="00BF4DB3" w:rsidRPr="00FA1F00" w:rsidRDefault="00BF4DB3" w:rsidP="00434012">
            <w:pPr>
              <w:spacing w:after="0"/>
              <w:jc w:val="right"/>
              <w:rPr>
                <w:rFonts w:cs="Arial"/>
                <w:sz w:val="18"/>
                <w:szCs w:val="18"/>
              </w:rPr>
            </w:pPr>
            <w:r w:rsidRPr="003A23E7">
              <w:rPr>
                <w:rFonts w:cs="Arial"/>
                <w:sz w:val="18"/>
                <w:szCs w:val="18"/>
              </w:rPr>
              <w:t>638,371</w:t>
            </w:r>
          </w:p>
        </w:tc>
        <w:tc>
          <w:tcPr>
            <w:tcW w:w="1080" w:type="dxa"/>
            <w:shd w:val="clear" w:color="auto" w:fill="auto"/>
            <w:vAlign w:val="center"/>
          </w:tcPr>
          <w:p w14:paraId="49E58084" w14:textId="77777777" w:rsidR="00BF4DB3" w:rsidRPr="00FA1F00" w:rsidRDefault="00BF4DB3" w:rsidP="00434012">
            <w:pPr>
              <w:spacing w:after="0"/>
              <w:jc w:val="right"/>
              <w:rPr>
                <w:rFonts w:cs="Arial"/>
                <w:sz w:val="18"/>
                <w:szCs w:val="18"/>
              </w:rPr>
            </w:pPr>
            <w:r w:rsidRPr="003A23E7">
              <w:rPr>
                <w:rFonts w:cs="Arial"/>
                <w:sz w:val="18"/>
                <w:szCs w:val="18"/>
              </w:rPr>
              <w:t>–4.4</w:t>
            </w:r>
          </w:p>
        </w:tc>
      </w:tr>
    </w:tbl>
    <w:p w14:paraId="45495BA3" w14:textId="77777777" w:rsidR="00434012" w:rsidRDefault="00434012" w:rsidP="00F97D91">
      <w:pPr>
        <w:pStyle w:val="ACMANotesspaceafter"/>
        <w:spacing w:before="120" w:after="360"/>
      </w:pPr>
      <w:r>
        <w:t>Source: See Chapter 4. Further explanatory details for this data can be found in the source chapter</w:t>
      </w:r>
      <w:r w:rsidR="0055318E">
        <w:t>.</w:t>
      </w:r>
    </w:p>
    <w:p w14:paraId="2A4D663D" w14:textId="77777777" w:rsidR="000F4FB4" w:rsidRDefault="000F4FB4" w:rsidP="00BB3B9F">
      <w:pPr>
        <w:pStyle w:val="Heading2"/>
        <w:keepLines/>
      </w:pPr>
      <w:bookmarkStart w:id="302" w:name="_Toc399331708"/>
      <w:bookmarkStart w:id="303" w:name="_Toc399336889"/>
      <w:bookmarkStart w:id="304" w:name="_Toc462899532"/>
      <w:bookmarkStart w:id="305" w:name="_Toc463529012"/>
      <w:bookmarkStart w:id="306" w:name="_Toc465178925"/>
      <w:bookmarkStart w:id="307" w:name="_Toc465842836"/>
      <w:bookmarkStart w:id="308" w:name="_Toc494799326"/>
      <w:bookmarkStart w:id="309" w:name="_Toc494805629"/>
      <w:bookmarkStart w:id="310" w:name="_Toc494805858"/>
      <w:bookmarkStart w:id="311" w:name="_Toc494808088"/>
      <w:bookmarkStart w:id="312" w:name="_Toc494808492"/>
      <w:bookmarkStart w:id="313" w:name="_Toc494815894"/>
      <w:bookmarkStart w:id="314" w:name="_Toc494818755"/>
      <w:bookmarkStart w:id="315" w:name="_Toc494819022"/>
      <w:bookmarkStart w:id="316" w:name="_Toc500320887"/>
      <w:bookmarkEnd w:id="298"/>
      <w:bookmarkEnd w:id="299"/>
      <w:bookmarkEnd w:id="300"/>
      <w:bookmarkEnd w:id="301"/>
      <w:r>
        <w:t>C</w:t>
      </w:r>
      <w:bookmarkStart w:id="317" w:name="_Toc373149033"/>
      <w:bookmarkStart w:id="318" w:name="_Toc371588971"/>
      <w:bookmarkStart w:id="319" w:name="_Toc370381857"/>
      <w:bookmarkStart w:id="320" w:name="_Toc341428276"/>
      <w:bookmarkStart w:id="321" w:name="_Toc310326775"/>
      <w:bookmarkStart w:id="322" w:name="_Toc308523548"/>
      <w:bookmarkStart w:id="323" w:name="_Toc308517088"/>
      <w:bookmarkStart w:id="324" w:name="_Toc287540088"/>
      <w:r>
        <w:t>omplaints and investigations</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7"/>
      <w:bookmarkEnd w:id="318"/>
      <w:bookmarkEnd w:id="319"/>
      <w:bookmarkEnd w:id="320"/>
      <w:bookmarkEnd w:id="321"/>
      <w:bookmarkEnd w:id="322"/>
      <w:bookmarkEnd w:id="323"/>
      <w:bookmarkEnd w:id="324"/>
      <w:bookmarkEnd w:id="316"/>
    </w:p>
    <w:p w14:paraId="76580CD2" w14:textId="77777777" w:rsidR="000F4FB4" w:rsidRDefault="008C1456" w:rsidP="00CE059B">
      <w:pPr>
        <w:pStyle w:val="Heading3"/>
        <w:keepLines/>
        <w:spacing w:before="0" w:after="120"/>
      </w:pPr>
      <w:bookmarkStart w:id="325" w:name="_Toc465842837"/>
      <w:bookmarkStart w:id="326" w:name="_Toc465178926"/>
      <w:bookmarkStart w:id="327" w:name="_Toc463529013"/>
      <w:bookmarkStart w:id="328" w:name="_Toc462899533"/>
      <w:bookmarkStart w:id="329" w:name="_Toc494799327"/>
      <w:bookmarkStart w:id="330" w:name="_Toc494805630"/>
      <w:bookmarkStart w:id="331" w:name="_Toc494805859"/>
      <w:bookmarkStart w:id="332" w:name="_Toc494808089"/>
      <w:bookmarkStart w:id="333" w:name="_Toc494808493"/>
      <w:bookmarkStart w:id="334" w:name="_Toc494815895"/>
      <w:bookmarkStart w:id="335" w:name="_Toc494818756"/>
      <w:bookmarkStart w:id="336" w:name="_Toc494819023"/>
      <w:r>
        <w:t>T</w:t>
      </w:r>
      <w:r w:rsidR="000F4FB4">
        <w:t>elemarketing and spam complaints/reports/enquiries</w:t>
      </w:r>
      <w:bookmarkEnd w:id="325"/>
      <w:bookmarkEnd w:id="326"/>
      <w:bookmarkEnd w:id="327"/>
      <w:bookmarkEnd w:id="328"/>
      <w:bookmarkEnd w:id="329"/>
      <w:bookmarkEnd w:id="330"/>
      <w:bookmarkEnd w:id="331"/>
      <w:bookmarkEnd w:id="332"/>
      <w:bookmarkEnd w:id="333"/>
      <w:bookmarkEnd w:id="334"/>
      <w:bookmarkEnd w:id="335"/>
      <w:bookmarkEnd w:id="336"/>
      <w:r w:rsidR="000F4FB4">
        <w:t xml:space="preserve"> (number)</w:t>
      </w:r>
    </w:p>
    <w:tbl>
      <w:tblPr>
        <w:tblW w:w="9435" w:type="dxa"/>
        <w:tblInd w:w="1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1E0" w:firstRow="1" w:lastRow="1" w:firstColumn="1" w:lastColumn="1" w:noHBand="0" w:noVBand="0"/>
        <w:tblCaption w:val="Complaints and investigations: TIO, telemarketing and spam complaints/reports/enquiries"/>
      </w:tblPr>
      <w:tblGrid>
        <w:gridCol w:w="2967"/>
        <w:gridCol w:w="1078"/>
        <w:gridCol w:w="1078"/>
        <w:gridCol w:w="1078"/>
        <w:gridCol w:w="1078"/>
        <w:gridCol w:w="1078"/>
        <w:gridCol w:w="1078"/>
      </w:tblGrid>
      <w:tr w:rsidR="000F4FB4" w:rsidRPr="00B50BAA" w14:paraId="5BE9408E" w14:textId="77777777" w:rsidTr="000F3E58">
        <w:trPr>
          <w:trHeight w:val="304"/>
          <w:tblHeader/>
        </w:trPr>
        <w:tc>
          <w:tcPr>
            <w:tcW w:w="2967" w:type="dxa"/>
            <w:tcBorders>
              <w:top w:val="nil"/>
              <w:left w:val="nil"/>
            </w:tcBorders>
            <w:shd w:val="clear" w:color="auto" w:fill="FFFFFF" w:themeFill="background1"/>
            <w:vAlign w:val="center"/>
          </w:tcPr>
          <w:p w14:paraId="2AF0CC40" w14:textId="77777777" w:rsidR="000F4FB4" w:rsidRPr="003D67C0" w:rsidRDefault="000F4FB4" w:rsidP="00BB3B9F">
            <w:pPr>
              <w:pStyle w:val="ACMATableText"/>
              <w:keepNext/>
              <w:keepLines/>
              <w:spacing w:before="0" w:after="0"/>
              <w:jc w:val="right"/>
              <w:rPr>
                <w:sz w:val="18"/>
                <w:szCs w:val="18"/>
              </w:rPr>
            </w:pPr>
          </w:p>
        </w:tc>
        <w:tc>
          <w:tcPr>
            <w:tcW w:w="1078" w:type="dxa"/>
            <w:shd w:val="clear" w:color="auto" w:fill="37897E"/>
            <w:vAlign w:val="center"/>
            <w:hideMark/>
          </w:tcPr>
          <w:p w14:paraId="72D885BE"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2012–13</w:t>
            </w:r>
          </w:p>
        </w:tc>
        <w:tc>
          <w:tcPr>
            <w:tcW w:w="1078" w:type="dxa"/>
            <w:shd w:val="clear" w:color="auto" w:fill="37897E"/>
            <w:vAlign w:val="center"/>
            <w:hideMark/>
          </w:tcPr>
          <w:p w14:paraId="778FC9B3"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2013–14</w:t>
            </w:r>
          </w:p>
        </w:tc>
        <w:tc>
          <w:tcPr>
            <w:tcW w:w="1078" w:type="dxa"/>
            <w:shd w:val="clear" w:color="auto" w:fill="37897E"/>
            <w:vAlign w:val="center"/>
            <w:hideMark/>
          </w:tcPr>
          <w:p w14:paraId="6239C5A5"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2014–15</w:t>
            </w:r>
          </w:p>
        </w:tc>
        <w:tc>
          <w:tcPr>
            <w:tcW w:w="1078" w:type="dxa"/>
            <w:shd w:val="clear" w:color="auto" w:fill="37897E"/>
            <w:vAlign w:val="center"/>
            <w:hideMark/>
          </w:tcPr>
          <w:p w14:paraId="5D604140"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2015–16</w:t>
            </w:r>
          </w:p>
        </w:tc>
        <w:tc>
          <w:tcPr>
            <w:tcW w:w="1078" w:type="dxa"/>
            <w:shd w:val="clear" w:color="auto" w:fill="37897E"/>
            <w:vAlign w:val="center"/>
            <w:hideMark/>
          </w:tcPr>
          <w:p w14:paraId="50B42D2F" w14:textId="77777777" w:rsidR="000F4FB4" w:rsidRPr="003D67C0" w:rsidRDefault="000F4FB4" w:rsidP="00FF0434">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w:t>
            </w:r>
            <w:r w:rsidR="007B0457">
              <w:rPr>
                <w:b/>
                <w:color w:val="FFFFFF" w:themeColor="background1"/>
                <w:sz w:val="18"/>
                <w:szCs w:val="18"/>
                <w:lang w:eastAsia="en-AU"/>
              </w:rPr>
              <w:t>6</w:t>
            </w:r>
            <w:r w:rsidRPr="003D67C0">
              <w:rPr>
                <w:b/>
                <w:color w:val="FFFFFF" w:themeColor="background1"/>
                <w:sz w:val="18"/>
                <w:szCs w:val="18"/>
                <w:lang w:eastAsia="en-AU"/>
              </w:rPr>
              <w:t>–1</w:t>
            </w:r>
            <w:r w:rsidR="007B0457">
              <w:rPr>
                <w:b/>
                <w:color w:val="FFFFFF" w:themeColor="background1"/>
                <w:sz w:val="18"/>
                <w:szCs w:val="18"/>
                <w:lang w:eastAsia="en-AU"/>
              </w:rPr>
              <w:t>7</w:t>
            </w:r>
          </w:p>
        </w:tc>
        <w:tc>
          <w:tcPr>
            <w:tcW w:w="1078" w:type="dxa"/>
            <w:shd w:val="clear" w:color="auto" w:fill="37897E"/>
            <w:vAlign w:val="center"/>
            <w:hideMark/>
          </w:tcPr>
          <w:p w14:paraId="2B36445C"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2016–17 change (%)</w:t>
            </w:r>
          </w:p>
        </w:tc>
      </w:tr>
      <w:tr w:rsidR="000F4FB4" w:rsidRPr="00B50BAA" w14:paraId="3AC7F090" w14:textId="77777777" w:rsidTr="000F3E58">
        <w:trPr>
          <w:trHeight w:val="219"/>
        </w:trPr>
        <w:tc>
          <w:tcPr>
            <w:tcW w:w="2967" w:type="dxa"/>
            <w:shd w:val="clear" w:color="auto" w:fill="auto"/>
            <w:vAlign w:val="center"/>
            <w:hideMark/>
          </w:tcPr>
          <w:p w14:paraId="1E5E7E33" w14:textId="77777777" w:rsidR="000F4FB4" w:rsidRPr="003D67C0" w:rsidRDefault="000F4FB4" w:rsidP="00BB3B9F">
            <w:pPr>
              <w:pStyle w:val="ACMATableText"/>
              <w:keepNext/>
              <w:keepLines/>
              <w:spacing w:before="0" w:after="0"/>
              <w:rPr>
                <w:sz w:val="18"/>
                <w:szCs w:val="18"/>
              </w:rPr>
            </w:pPr>
            <w:r w:rsidRPr="003D67C0">
              <w:rPr>
                <w:sz w:val="18"/>
                <w:szCs w:val="18"/>
              </w:rPr>
              <w:t xml:space="preserve">TIO </w:t>
            </w:r>
            <w:r w:rsidR="008656C9">
              <w:rPr>
                <w:sz w:val="18"/>
                <w:szCs w:val="18"/>
              </w:rPr>
              <w:t xml:space="preserve">total </w:t>
            </w:r>
            <w:r w:rsidRPr="003D67C0">
              <w:rPr>
                <w:sz w:val="18"/>
                <w:szCs w:val="18"/>
              </w:rPr>
              <w:t>new complaints</w:t>
            </w:r>
          </w:p>
        </w:tc>
        <w:tc>
          <w:tcPr>
            <w:tcW w:w="1078" w:type="dxa"/>
            <w:shd w:val="clear" w:color="auto" w:fill="auto"/>
            <w:vAlign w:val="center"/>
            <w:hideMark/>
          </w:tcPr>
          <w:p w14:paraId="2A1C329C"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158,652</w:t>
            </w:r>
          </w:p>
        </w:tc>
        <w:tc>
          <w:tcPr>
            <w:tcW w:w="1078" w:type="dxa"/>
            <w:shd w:val="clear" w:color="auto" w:fill="auto"/>
            <w:vAlign w:val="center"/>
            <w:hideMark/>
          </w:tcPr>
          <w:p w14:paraId="16CE5A79"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138,946</w:t>
            </w:r>
          </w:p>
        </w:tc>
        <w:tc>
          <w:tcPr>
            <w:tcW w:w="1078" w:type="dxa"/>
            <w:shd w:val="clear" w:color="auto" w:fill="auto"/>
            <w:vAlign w:val="center"/>
            <w:hideMark/>
          </w:tcPr>
          <w:p w14:paraId="05719898"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124,417</w:t>
            </w:r>
          </w:p>
        </w:tc>
        <w:tc>
          <w:tcPr>
            <w:tcW w:w="1078" w:type="dxa"/>
            <w:shd w:val="clear" w:color="auto" w:fill="auto"/>
            <w:vAlign w:val="center"/>
            <w:hideMark/>
          </w:tcPr>
          <w:p w14:paraId="71F7C161" w14:textId="77777777" w:rsidR="000F4FB4" w:rsidRPr="003D67C0" w:rsidRDefault="008656C9" w:rsidP="00BB3B9F">
            <w:pPr>
              <w:pStyle w:val="ACMATableText"/>
              <w:keepNext/>
              <w:keepLines/>
              <w:spacing w:before="0" w:after="0"/>
              <w:jc w:val="right"/>
              <w:rPr>
                <w:rFonts w:cs="Arial"/>
                <w:sz w:val="18"/>
                <w:szCs w:val="18"/>
              </w:rPr>
            </w:pPr>
            <w:r>
              <w:rPr>
                <w:rFonts w:cs="Arial"/>
                <w:sz w:val="18"/>
                <w:szCs w:val="18"/>
              </w:rPr>
              <w:t>111,989*</w:t>
            </w:r>
          </w:p>
        </w:tc>
        <w:tc>
          <w:tcPr>
            <w:tcW w:w="1078" w:type="dxa"/>
            <w:shd w:val="clear" w:color="auto" w:fill="auto"/>
            <w:vAlign w:val="center"/>
          </w:tcPr>
          <w:p w14:paraId="48C28EFD"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158,016</w:t>
            </w:r>
          </w:p>
        </w:tc>
        <w:tc>
          <w:tcPr>
            <w:tcW w:w="1078" w:type="dxa"/>
            <w:shd w:val="clear" w:color="auto" w:fill="auto"/>
            <w:vAlign w:val="center"/>
          </w:tcPr>
          <w:p w14:paraId="6AF45759" w14:textId="023C1B94" w:rsidR="000F4FB4" w:rsidRPr="003D67C0" w:rsidRDefault="00B31816" w:rsidP="00BB3B9F">
            <w:pPr>
              <w:pStyle w:val="ACMATableText"/>
              <w:keepNext/>
              <w:keepLines/>
              <w:spacing w:before="0" w:after="0"/>
              <w:jc w:val="right"/>
              <w:rPr>
                <w:rFonts w:cs="Arial"/>
                <w:sz w:val="18"/>
                <w:szCs w:val="18"/>
              </w:rPr>
            </w:pPr>
            <w:r w:rsidRPr="00B31816">
              <w:rPr>
                <w:rFonts w:cs="Arial"/>
                <w:sz w:val="18"/>
                <w:szCs w:val="18"/>
              </w:rPr>
              <w:t>41.1</w:t>
            </w:r>
          </w:p>
        </w:tc>
      </w:tr>
      <w:tr w:rsidR="000F4FB4" w:rsidRPr="00B50BAA" w14:paraId="02A3B1CE" w14:textId="77777777" w:rsidTr="000F3E58">
        <w:trPr>
          <w:trHeight w:val="110"/>
        </w:trPr>
        <w:tc>
          <w:tcPr>
            <w:tcW w:w="2967" w:type="dxa"/>
            <w:shd w:val="clear" w:color="auto" w:fill="auto"/>
            <w:vAlign w:val="center"/>
            <w:hideMark/>
          </w:tcPr>
          <w:p w14:paraId="23648846" w14:textId="77777777" w:rsidR="000F4FB4" w:rsidRPr="003D67C0" w:rsidRDefault="000F4FB4" w:rsidP="00BB3B9F">
            <w:pPr>
              <w:pStyle w:val="ACMATableText"/>
              <w:keepNext/>
              <w:keepLines/>
              <w:spacing w:before="0" w:after="0"/>
              <w:rPr>
                <w:sz w:val="18"/>
                <w:szCs w:val="18"/>
              </w:rPr>
            </w:pPr>
            <w:r w:rsidRPr="003D67C0">
              <w:rPr>
                <w:sz w:val="18"/>
                <w:szCs w:val="18"/>
              </w:rPr>
              <w:t>Telemarketing complaints and enquiries</w:t>
            </w:r>
          </w:p>
        </w:tc>
        <w:tc>
          <w:tcPr>
            <w:tcW w:w="1078" w:type="dxa"/>
            <w:shd w:val="clear" w:color="auto" w:fill="auto"/>
            <w:vAlign w:val="center"/>
            <w:hideMark/>
          </w:tcPr>
          <w:p w14:paraId="62CCB59A"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30,604</w:t>
            </w:r>
          </w:p>
        </w:tc>
        <w:tc>
          <w:tcPr>
            <w:tcW w:w="1078" w:type="dxa"/>
            <w:shd w:val="clear" w:color="auto" w:fill="auto"/>
            <w:vAlign w:val="center"/>
            <w:hideMark/>
          </w:tcPr>
          <w:p w14:paraId="625FBC6B"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31,797</w:t>
            </w:r>
          </w:p>
        </w:tc>
        <w:tc>
          <w:tcPr>
            <w:tcW w:w="1078" w:type="dxa"/>
            <w:shd w:val="clear" w:color="auto" w:fill="auto"/>
            <w:vAlign w:val="center"/>
            <w:hideMark/>
          </w:tcPr>
          <w:p w14:paraId="0DCC4F28"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30,293</w:t>
            </w:r>
          </w:p>
        </w:tc>
        <w:tc>
          <w:tcPr>
            <w:tcW w:w="1078" w:type="dxa"/>
            <w:shd w:val="clear" w:color="auto" w:fill="auto"/>
            <w:vAlign w:val="center"/>
            <w:hideMark/>
          </w:tcPr>
          <w:p w14:paraId="720575CA"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29,799</w:t>
            </w:r>
          </w:p>
        </w:tc>
        <w:tc>
          <w:tcPr>
            <w:tcW w:w="1078" w:type="dxa"/>
            <w:shd w:val="clear" w:color="auto" w:fill="auto"/>
            <w:vAlign w:val="center"/>
          </w:tcPr>
          <w:p w14:paraId="5684B26E"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33,743</w:t>
            </w:r>
          </w:p>
        </w:tc>
        <w:tc>
          <w:tcPr>
            <w:tcW w:w="1078" w:type="dxa"/>
            <w:shd w:val="clear" w:color="auto" w:fill="auto"/>
            <w:vAlign w:val="center"/>
          </w:tcPr>
          <w:p w14:paraId="3BBDFD1A"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13.2</w:t>
            </w:r>
          </w:p>
        </w:tc>
      </w:tr>
      <w:tr w:rsidR="000F4FB4" w:rsidRPr="00B50BAA" w14:paraId="28078400" w14:textId="77777777" w:rsidTr="000F3E58">
        <w:trPr>
          <w:trHeight w:val="232"/>
        </w:trPr>
        <w:tc>
          <w:tcPr>
            <w:tcW w:w="2967" w:type="dxa"/>
            <w:shd w:val="clear" w:color="auto" w:fill="auto"/>
            <w:vAlign w:val="center"/>
            <w:hideMark/>
          </w:tcPr>
          <w:p w14:paraId="5CE8D9C4" w14:textId="77777777" w:rsidR="000F4FB4" w:rsidRPr="003D67C0" w:rsidRDefault="000F4FB4" w:rsidP="00BB3B9F">
            <w:pPr>
              <w:pStyle w:val="ACMATableText"/>
              <w:keepNext/>
              <w:keepLines/>
              <w:spacing w:before="0" w:after="0"/>
              <w:rPr>
                <w:sz w:val="18"/>
                <w:szCs w:val="18"/>
              </w:rPr>
            </w:pPr>
            <w:r w:rsidRPr="003D67C0">
              <w:rPr>
                <w:sz w:val="18"/>
                <w:szCs w:val="18"/>
              </w:rPr>
              <w:t>Spam complaints, reports and enquiries</w:t>
            </w:r>
          </w:p>
        </w:tc>
        <w:tc>
          <w:tcPr>
            <w:tcW w:w="1078" w:type="dxa"/>
            <w:shd w:val="clear" w:color="auto" w:fill="auto"/>
            <w:vAlign w:val="center"/>
            <w:hideMark/>
          </w:tcPr>
          <w:p w14:paraId="6BF71B4E"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412,725</w:t>
            </w:r>
          </w:p>
        </w:tc>
        <w:tc>
          <w:tcPr>
            <w:tcW w:w="1078" w:type="dxa"/>
            <w:shd w:val="clear" w:color="auto" w:fill="auto"/>
            <w:vAlign w:val="center"/>
            <w:hideMark/>
          </w:tcPr>
          <w:p w14:paraId="01DF6DC9"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349,319</w:t>
            </w:r>
          </w:p>
        </w:tc>
        <w:tc>
          <w:tcPr>
            <w:tcW w:w="1078" w:type="dxa"/>
            <w:shd w:val="clear" w:color="auto" w:fill="auto"/>
            <w:vAlign w:val="center"/>
            <w:hideMark/>
          </w:tcPr>
          <w:p w14:paraId="7383619A" w14:textId="77777777" w:rsidR="000F4FB4" w:rsidRPr="003D67C0" w:rsidRDefault="000F4FB4" w:rsidP="00BB3B9F">
            <w:pPr>
              <w:pStyle w:val="ACMATableText"/>
              <w:keepNext/>
              <w:keepLines/>
              <w:spacing w:before="0" w:after="0"/>
              <w:jc w:val="right"/>
              <w:rPr>
                <w:rFonts w:cs="Arial"/>
                <w:sz w:val="18"/>
                <w:szCs w:val="18"/>
              </w:rPr>
            </w:pPr>
            <w:r w:rsidRPr="003D67C0">
              <w:rPr>
                <w:rFonts w:cs="Arial"/>
                <w:sz w:val="18"/>
                <w:szCs w:val="18"/>
              </w:rPr>
              <w:t>352,362</w:t>
            </w:r>
          </w:p>
        </w:tc>
        <w:tc>
          <w:tcPr>
            <w:tcW w:w="1078" w:type="dxa"/>
            <w:shd w:val="clear" w:color="auto" w:fill="auto"/>
            <w:vAlign w:val="center"/>
            <w:hideMark/>
          </w:tcPr>
          <w:p w14:paraId="124449E3" w14:textId="77777777" w:rsidR="000F4FB4" w:rsidRPr="003D67C0" w:rsidRDefault="007B0457" w:rsidP="00FF0434">
            <w:pPr>
              <w:pStyle w:val="ACMATableText"/>
              <w:keepNext/>
              <w:keepLines/>
              <w:spacing w:before="0" w:after="0"/>
              <w:jc w:val="right"/>
              <w:rPr>
                <w:rFonts w:cs="Arial"/>
                <w:sz w:val="18"/>
                <w:szCs w:val="18"/>
              </w:rPr>
            </w:pPr>
            <w:r w:rsidRPr="003D67C0">
              <w:rPr>
                <w:sz w:val="18"/>
                <w:szCs w:val="18"/>
              </w:rPr>
              <w:t>53</w:t>
            </w:r>
            <w:r w:rsidR="00FF0434" w:rsidRPr="003D67C0">
              <w:rPr>
                <w:sz w:val="18"/>
                <w:szCs w:val="18"/>
              </w:rPr>
              <w:t>5</w:t>
            </w:r>
            <w:r w:rsidRPr="003D67C0">
              <w:rPr>
                <w:sz w:val="18"/>
                <w:szCs w:val="18"/>
              </w:rPr>
              <w:t>,</w:t>
            </w:r>
            <w:r w:rsidR="00FF0434" w:rsidRPr="003D67C0">
              <w:rPr>
                <w:sz w:val="18"/>
                <w:szCs w:val="18"/>
              </w:rPr>
              <w:t>198</w:t>
            </w:r>
          </w:p>
        </w:tc>
        <w:tc>
          <w:tcPr>
            <w:tcW w:w="1078" w:type="dxa"/>
            <w:shd w:val="clear" w:color="auto" w:fill="auto"/>
            <w:vAlign w:val="center"/>
          </w:tcPr>
          <w:p w14:paraId="60D33419" w14:textId="77777777" w:rsidR="000F4FB4" w:rsidRPr="003D67C0" w:rsidRDefault="007B0457" w:rsidP="00FF0434">
            <w:pPr>
              <w:pStyle w:val="ACMATableText"/>
              <w:keepNext/>
              <w:keepLines/>
              <w:spacing w:before="0" w:after="0"/>
              <w:jc w:val="right"/>
              <w:rPr>
                <w:rFonts w:cs="Arial"/>
                <w:sz w:val="18"/>
                <w:szCs w:val="18"/>
              </w:rPr>
            </w:pPr>
            <w:r w:rsidRPr="003D67C0">
              <w:rPr>
                <w:sz w:val="18"/>
                <w:szCs w:val="18"/>
              </w:rPr>
              <w:t>8</w:t>
            </w:r>
            <w:r w:rsidR="00FF0434" w:rsidRPr="003D67C0">
              <w:rPr>
                <w:sz w:val="18"/>
                <w:szCs w:val="18"/>
              </w:rPr>
              <w:t>51</w:t>
            </w:r>
            <w:r w:rsidRPr="003D67C0">
              <w:rPr>
                <w:sz w:val="18"/>
                <w:szCs w:val="18"/>
              </w:rPr>
              <w:t>,</w:t>
            </w:r>
            <w:r w:rsidR="00FF0434" w:rsidRPr="003D67C0">
              <w:rPr>
                <w:sz w:val="18"/>
                <w:szCs w:val="18"/>
              </w:rPr>
              <w:t>386</w:t>
            </w:r>
          </w:p>
        </w:tc>
        <w:tc>
          <w:tcPr>
            <w:tcW w:w="1078" w:type="dxa"/>
            <w:shd w:val="clear" w:color="auto" w:fill="auto"/>
            <w:vAlign w:val="center"/>
          </w:tcPr>
          <w:p w14:paraId="21828A7C" w14:textId="77777777" w:rsidR="000F4FB4" w:rsidRPr="003D67C0" w:rsidRDefault="00FF0434" w:rsidP="007B0457">
            <w:pPr>
              <w:pStyle w:val="ACMATableText"/>
              <w:keepNext/>
              <w:keepLines/>
              <w:spacing w:before="0" w:after="0"/>
              <w:jc w:val="right"/>
              <w:rPr>
                <w:rFonts w:cs="Arial"/>
                <w:sz w:val="18"/>
                <w:szCs w:val="18"/>
              </w:rPr>
            </w:pPr>
            <w:r w:rsidRPr="003D67C0">
              <w:rPr>
                <w:rFonts w:cs="Arial"/>
                <w:sz w:val="18"/>
                <w:szCs w:val="18"/>
              </w:rPr>
              <w:t>59.1</w:t>
            </w:r>
          </w:p>
        </w:tc>
      </w:tr>
    </w:tbl>
    <w:p w14:paraId="435FBC61" w14:textId="25DC5F3E" w:rsidR="00315CD1" w:rsidRDefault="008656C9" w:rsidP="00F97D91">
      <w:pPr>
        <w:pStyle w:val="ACMANotes"/>
        <w:spacing w:before="120"/>
      </w:pPr>
      <w:r>
        <w:t>*</w:t>
      </w:r>
      <w:r w:rsidR="00315CD1">
        <w:t>The figure for 2015</w:t>
      </w:r>
      <w:r w:rsidR="003D3962">
        <w:t>–</w:t>
      </w:r>
      <w:r w:rsidR="00315CD1">
        <w:t xml:space="preserve">16 has been revised to be consistent with </w:t>
      </w:r>
      <w:r w:rsidR="00F94D1E">
        <w:t>data</w:t>
      </w:r>
      <w:r w:rsidR="00315CD1">
        <w:t xml:space="preserve"> published in the TIO </w:t>
      </w:r>
      <w:r w:rsidR="00F94D1E">
        <w:t>2016–17 annual report</w:t>
      </w:r>
      <w:r w:rsidR="00315CD1">
        <w:t>.</w:t>
      </w:r>
    </w:p>
    <w:p w14:paraId="5F578528" w14:textId="77777777" w:rsidR="000F4FB4" w:rsidRDefault="000F4FB4" w:rsidP="00F94D1E">
      <w:pPr>
        <w:pStyle w:val="ACMANotesspaceafter"/>
      </w:pPr>
      <w:r>
        <w:t>Source: See Chapter 5. Further explanatory details for this data can be found in the source chapter.</w:t>
      </w:r>
    </w:p>
    <w:p w14:paraId="3B9C398E" w14:textId="77777777" w:rsidR="000F4FB4" w:rsidRDefault="000F4FB4" w:rsidP="00CE059B">
      <w:pPr>
        <w:pStyle w:val="Heading3"/>
        <w:keepLines/>
        <w:spacing w:before="0" w:after="120"/>
      </w:pPr>
      <w:bookmarkStart w:id="337" w:name="_Toc494799328"/>
      <w:bookmarkStart w:id="338" w:name="_Toc494805631"/>
      <w:bookmarkStart w:id="339" w:name="_Toc494805860"/>
      <w:bookmarkStart w:id="340" w:name="_Toc494808090"/>
      <w:bookmarkStart w:id="341" w:name="_Toc494808494"/>
      <w:bookmarkStart w:id="342" w:name="_Toc494815896"/>
      <w:bookmarkStart w:id="343" w:name="_Toc494818757"/>
      <w:bookmarkStart w:id="344" w:name="_Toc494819024"/>
      <w:r>
        <w:t>Broadcasting complaints</w:t>
      </w:r>
      <w:bookmarkEnd w:id="337"/>
      <w:bookmarkEnd w:id="338"/>
      <w:bookmarkEnd w:id="339"/>
      <w:bookmarkEnd w:id="340"/>
      <w:bookmarkEnd w:id="341"/>
      <w:bookmarkEnd w:id="342"/>
      <w:bookmarkEnd w:id="343"/>
      <w:bookmarkEnd w:id="344"/>
      <w:r>
        <w:t xml:space="preserve"> (number)</w:t>
      </w:r>
    </w:p>
    <w:tbl>
      <w:tblPr>
        <w:tblW w:w="9435"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1E0" w:firstRow="1" w:lastRow="1" w:firstColumn="1" w:lastColumn="1" w:noHBand="0" w:noVBand="0"/>
        <w:tblCaption w:val="Complaints and investigations: Broadcasting and internet content complaints"/>
      </w:tblPr>
      <w:tblGrid>
        <w:gridCol w:w="2972"/>
        <w:gridCol w:w="1077"/>
        <w:gridCol w:w="1077"/>
        <w:gridCol w:w="1077"/>
        <w:gridCol w:w="1077"/>
        <w:gridCol w:w="1077"/>
        <w:gridCol w:w="1078"/>
      </w:tblGrid>
      <w:tr w:rsidR="000F4FB4" w:rsidRPr="00B50BAA" w14:paraId="5641623E" w14:textId="77777777" w:rsidTr="000F3E58">
        <w:trPr>
          <w:trHeight w:val="151"/>
          <w:tblHeader/>
        </w:trPr>
        <w:tc>
          <w:tcPr>
            <w:tcW w:w="2972" w:type="dxa"/>
            <w:tcBorders>
              <w:top w:val="nil"/>
              <w:left w:val="nil"/>
            </w:tcBorders>
            <w:shd w:val="clear" w:color="auto" w:fill="FFFFFF" w:themeFill="background1"/>
            <w:vAlign w:val="center"/>
          </w:tcPr>
          <w:p w14:paraId="7358D73F" w14:textId="77777777" w:rsidR="000F4FB4" w:rsidRPr="003D67C0" w:rsidRDefault="000F4FB4" w:rsidP="00BB3B9F">
            <w:pPr>
              <w:pStyle w:val="ACMATableText"/>
              <w:spacing w:before="0" w:after="0"/>
              <w:jc w:val="right"/>
              <w:rPr>
                <w:sz w:val="18"/>
                <w:szCs w:val="18"/>
              </w:rPr>
            </w:pPr>
          </w:p>
        </w:tc>
        <w:tc>
          <w:tcPr>
            <w:tcW w:w="1077" w:type="dxa"/>
            <w:shd w:val="clear" w:color="auto" w:fill="37897E"/>
            <w:vAlign w:val="center"/>
            <w:hideMark/>
          </w:tcPr>
          <w:p w14:paraId="324683D9"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2012–13</w:t>
            </w:r>
          </w:p>
        </w:tc>
        <w:tc>
          <w:tcPr>
            <w:tcW w:w="1077" w:type="dxa"/>
            <w:shd w:val="clear" w:color="auto" w:fill="37897E"/>
            <w:vAlign w:val="center"/>
            <w:hideMark/>
          </w:tcPr>
          <w:p w14:paraId="563CEE54"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2013–14</w:t>
            </w:r>
          </w:p>
        </w:tc>
        <w:tc>
          <w:tcPr>
            <w:tcW w:w="1077" w:type="dxa"/>
            <w:shd w:val="clear" w:color="auto" w:fill="37897E"/>
            <w:vAlign w:val="center"/>
            <w:hideMark/>
          </w:tcPr>
          <w:p w14:paraId="7A8FE5D4"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2014–15</w:t>
            </w:r>
          </w:p>
        </w:tc>
        <w:tc>
          <w:tcPr>
            <w:tcW w:w="1077" w:type="dxa"/>
            <w:shd w:val="clear" w:color="auto" w:fill="37897E"/>
            <w:vAlign w:val="center"/>
            <w:hideMark/>
          </w:tcPr>
          <w:p w14:paraId="7D70E3A2"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2015–16</w:t>
            </w:r>
          </w:p>
        </w:tc>
        <w:tc>
          <w:tcPr>
            <w:tcW w:w="1077" w:type="dxa"/>
            <w:shd w:val="clear" w:color="auto" w:fill="37897E"/>
            <w:vAlign w:val="center"/>
            <w:hideMark/>
          </w:tcPr>
          <w:p w14:paraId="6ED9B429"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2016–17</w:t>
            </w:r>
          </w:p>
        </w:tc>
        <w:tc>
          <w:tcPr>
            <w:tcW w:w="1078" w:type="dxa"/>
            <w:shd w:val="clear" w:color="auto" w:fill="37897E"/>
            <w:vAlign w:val="center"/>
            <w:hideMark/>
          </w:tcPr>
          <w:p w14:paraId="30E181E8" w14:textId="77777777" w:rsidR="000F4FB4" w:rsidRPr="003D67C0" w:rsidRDefault="000F4FB4" w:rsidP="00BB3B9F">
            <w:pPr>
              <w:pStyle w:val="ACMATableText"/>
              <w:keepNext/>
              <w:keepLines/>
              <w:spacing w:before="0" w:after="0"/>
              <w:jc w:val="right"/>
              <w:rPr>
                <w:b/>
                <w:color w:val="FFFFFF" w:themeColor="background1"/>
                <w:sz w:val="18"/>
                <w:szCs w:val="18"/>
                <w:lang w:eastAsia="en-AU"/>
              </w:rPr>
            </w:pPr>
            <w:r w:rsidRPr="003D67C0">
              <w:rPr>
                <w:b/>
                <w:color w:val="FFFFFF" w:themeColor="background1"/>
                <w:sz w:val="18"/>
                <w:szCs w:val="18"/>
                <w:lang w:eastAsia="en-AU"/>
              </w:rPr>
              <w:t>2016–17 change (%)</w:t>
            </w:r>
          </w:p>
        </w:tc>
      </w:tr>
      <w:tr w:rsidR="000F4FB4" w:rsidRPr="00B50BAA" w14:paraId="636B35E9" w14:textId="77777777" w:rsidTr="000F3E58">
        <w:trPr>
          <w:trHeight w:val="290"/>
        </w:trPr>
        <w:tc>
          <w:tcPr>
            <w:tcW w:w="2972" w:type="dxa"/>
            <w:shd w:val="clear" w:color="auto" w:fill="auto"/>
            <w:vAlign w:val="center"/>
            <w:hideMark/>
          </w:tcPr>
          <w:p w14:paraId="2562D0DF" w14:textId="545D42EB" w:rsidR="000F4FB4" w:rsidRPr="003D67C0" w:rsidRDefault="000F4FB4" w:rsidP="007607B4">
            <w:pPr>
              <w:pStyle w:val="ACMATableText"/>
              <w:spacing w:before="0" w:after="0"/>
              <w:rPr>
                <w:rFonts w:cs="Arial"/>
                <w:sz w:val="18"/>
                <w:szCs w:val="18"/>
              </w:rPr>
            </w:pPr>
            <w:r w:rsidRPr="003D67C0">
              <w:rPr>
                <w:rFonts w:cs="Arial"/>
                <w:sz w:val="18"/>
                <w:szCs w:val="18"/>
              </w:rPr>
              <w:t>Broadcasting written enquiries and</w:t>
            </w:r>
            <w:r w:rsidR="007607B4">
              <w:rPr>
                <w:rFonts w:cs="Arial"/>
                <w:sz w:val="18"/>
                <w:szCs w:val="18"/>
              </w:rPr>
              <w:t> </w:t>
            </w:r>
            <w:r w:rsidRPr="003D67C0">
              <w:rPr>
                <w:rFonts w:cs="Arial"/>
                <w:sz w:val="18"/>
                <w:szCs w:val="18"/>
              </w:rPr>
              <w:t>complaints</w:t>
            </w:r>
          </w:p>
        </w:tc>
        <w:tc>
          <w:tcPr>
            <w:tcW w:w="1077" w:type="dxa"/>
            <w:shd w:val="clear" w:color="auto" w:fill="auto"/>
            <w:vAlign w:val="center"/>
            <w:hideMark/>
          </w:tcPr>
          <w:p w14:paraId="5AF3C783"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2,178*</w:t>
            </w:r>
          </w:p>
        </w:tc>
        <w:tc>
          <w:tcPr>
            <w:tcW w:w="1077" w:type="dxa"/>
            <w:shd w:val="clear" w:color="auto" w:fill="auto"/>
            <w:vAlign w:val="center"/>
            <w:hideMark/>
          </w:tcPr>
          <w:p w14:paraId="5539D7E3"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1,593</w:t>
            </w:r>
          </w:p>
        </w:tc>
        <w:tc>
          <w:tcPr>
            <w:tcW w:w="1077" w:type="dxa"/>
            <w:shd w:val="clear" w:color="auto" w:fill="auto"/>
            <w:vAlign w:val="center"/>
            <w:hideMark/>
          </w:tcPr>
          <w:p w14:paraId="271BFD80"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1,012</w:t>
            </w:r>
          </w:p>
        </w:tc>
        <w:tc>
          <w:tcPr>
            <w:tcW w:w="1077" w:type="dxa"/>
            <w:shd w:val="clear" w:color="auto" w:fill="auto"/>
            <w:vAlign w:val="center"/>
            <w:hideMark/>
          </w:tcPr>
          <w:p w14:paraId="77D8EFC3"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1,232</w:t>
            </w:r>
          </w:p>
        </w:tc>
        <w:tc>
          <w:tcPr>
            <w:tcW w:w="1077" w:type="dxa"/>
            <w:shd w:val="clear" w:color="auto" w:fill="auto"/>
            <w:vAlign w:val="center"/>
            <w:hideMark/>
          </w:tcPr>
          <w:p w14:paraId="58730AFE"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1,028</w:t>
            </w:r>
          </w:p>
        </w:tc>
        <w:tc>
          <w:tcPr>
            <w:tcW w:w="1078" w:type="dxa"/>
            <w:shd w:val="clear" w:color="auto" w:fill="auto"/>
            <w:vAlign w:val="center"/>
            <w:hideMark/>
          </w:tcPr>
          <w:p w14:paraId="5079958E" w14:textId="77777777" w:rsidR="000F4FB4" w:rsidRPr="003D67C0" w:rsidRDefault="000F4FB4" w:rsidP="00BB3B9F">
            <w:pPr>
              <w:pStyle w:val="ACMATableText"/>
              <w:spacing w:before="0" w:after="0"/>
              <w:jc w:val="right"/>
              <w:rPr>
                <w:rFonts w:cs="Arial"/>
                <w:sz w:val="18"/>
                <w:szCs w:val="18"/>
              </w:rPr>
            </w:pPr>
            <w:r w:rsidRPr="003D67C0">
              <w:rPr>
                <w:rFonts w:cs="Arial"/>
                <w:sz w:val="18"/>
                <w:szCs w:val="18"/>
              </w:rPr>
              <w:t>–16.6</w:t>
            </w:r>
          </w:p>
        </w:tc>
      </w:tr>
    </w:tbl>
    <w:p w14:paraId="230016DE" w14:textId="77777777" w:rsidR="000F4FB4" w:rsidRDefault="000F4FB4" w:rsidP="00F97D91">
      <w:pPr>
        <w:pStyle w:val="ACMANotes"/>
        <w:spacing w:before="120"/>
      </w:pPr>
      <w:r>
        <w:t xml:space="preserve">*This does not include 2,680 complaints and enquiries received about 2DAY’s </w:t>
      </w:r>
      <w:r w:rsidRPr="00F94D1E">
        <w:rPr>
          <w:i w:val="0"/>
        </w:rPr>
        <w:t>Summer 30</w:t>
      </w:r>
      <w:r>
        <w:t xml:space="preserve"> program broadcast on 4 December 2012.</w:t>
      </w:r>
    </w:p>
    <w:p w14:paraId="557A19B7" w14:textId="77777777" w:rsidR="00244C97" w:rsidRPr="00FD7E86" w:rsidRDefault="000F4FB4" w:rsidP="00F97D91">
      <w:pPr>
        <w:pStyle w:val="ACMANotesspaceafter"/>
        <w:spacing w:after="360"/>
      </w:pPr>
      <w:r>
        <w:t>Source: See Chapter 3. Further explanatory details for this data can be found in the source chapter.</w:t>
      </w:r>
    </w:p>
    <w:p w14:paraId="48395DDE" w14:textId="77777777" w:rsidR="00172A9C" w:rsidRPr="00AA19E2" w:rsidRDefault="00AA19E2" w:rsidP="00EA149D">
      <w:pPr>
        <w:pStyle w:val="Heading1"/>
        <w:numPr>
          <w:ilvl w:val="0"/>
          <w:numId w:val="12"/>
        </w:numPr>
        <w:ind w:left="851" w:hanging="851"/>
      </w:pPr>
      <w:bookmarkStart w:id="345" w:name="_Toc399257334"/>
      <w:bookmarkStart w:id="346" w:name="_Toc402337477"/>
      <w:bookmarkStart w:id="347" w:name="_Toc494799329"/>
      <w:bookmarkStart w:id="348" w:name="_Toc494805632"/>
      <w:bookmarkStart w:id="349" w:name="_Toc494805861"/>
      <w:bookmarkStart w:id="350" w:name="_Toc494808091"/>
      <w:bookmarkStart w:id="351" w:name="_Toc494808495"/>
      <w:bookmarkStart w:id="352" w:name="_Toc494815897"/>
      <w:bookmarkStart w:id="353" w:name="_Toc494818758"/>
      <w:bookmarkStart w:id="354" w:name="_Toc494819025"/>
      <w:bookmarkStart w:id="355" w:name="_Toc500320888"/>
      <w:bookmarkEnd w:id="1"/>
      <w:bookmarkEnd w:id="345"/>
      <w:bookmarkEnd w:id="346"/>
      <w:r w:rsidRPr="00AA19E2">
        <w:t>Industry supply of communications se</w:t>
      </w:r>
      <w:r w:rsidRPr="008D6BB4">
        <w:t>rvices</w:t>
      </w:r>
      <w:bookmarkEnd w:id="347"/>
      <w:bookmarkEnd w:id="348"/>
      <w:bookmarkEnd w:id="349"/>
      <w:bookmarkEnd w:id="350"/>
      <w:bookmarkEnd w:id="351"/>
      <w:bookmarkEnd w:id="352"/>
      <w:bookmarkEnd w:id="353"/>
      <w:bookmarkEnd w:id="354"/>
      <w:bookmarkEnd w:id="355"/>
    </w:p>
    <w:p w14:paraId="1B5CBB19" w14:textId="2F7829A3" w:rsidR="000A1CD9" w:rsidRPr="008D6BB4" w:rsidRDefault="00AA19E2" w:rsidP="000A1CD9">
      <w:pPr>
        <w:rPr>
          <w:rStyle w:val="Strong"/>
          <w:rFonts w:cs="Arial"/>
          <w:b w:val="0"/>
          <w:bCs w:val="0"/>
          <w:color w:val="37897E"/>
        </w:rPr>
      </w:pPr>
      <w:r w:rsidRPr="008D6BB4">
        <w:rPr>
          <w:rFonts w:cs="Arial"/>
          <w:color w:val="37897E"/>
        </w:rPr>
        <w:t xml:space="preserve">This chapter </w:t>
      </w:r>
      <w:r w:rsidR="003A7AE0" w:rsidRPr="008D6BB4">
        <w:rPr>
          <w:rFonts w:cs="Arial"/>
          <w:color w:val="37897E"/>
        </w:rPr>
        <w:t>reports on the adequacy, quality and efficiency of the supply of communications services</w:t>
      </w:r>
      <w:r w:rsidRPr="008D6BB4">
        <w:rPr>
          <w:rFonts w:cs="Arial"/>
          <w:color w:val="37897E"/>
        </w:rPr>
        <w:t>. It examines the major developments that have occurred in the availability and use of communications and media services in Australia. This includes communications products and services, consumer take-up and use of services, and communications infrastructure developments</w:t>
      </w:r>
      <w:r w:rsidR="000A1CD9" w:rsidRPr="008D6BB4">
        <w:rPr>
          <w:rStyle w:val="Strong"/>
          <w:b w:val="0"/>
          <w:color w:val="37897E"/>
        </w:rPr>
        <w:t>.</w:t>
      </w:r>
      <w:r w:rsidR="005A10D6">
        <w:rPr>
          <w:rFonts w:cs="Arial"/>
          <w:color w:val="37897E"/>
        </w:rPr>
        <w:t xml:space="preserve"> This chapter</w:t>
      </w:r>
      <w:r w:rsidR="009946A4" w:rsidRPr="008D6BB4">
        <w:rPr>
          <w:rFonts w:cs="Arial"/>
          <w:color w:val="37897E"/>
        </w:rPr>
        <w:t xml:space="preserve"> addresses the statutory requirements under paragraphs 105(3)(a) and (b), and 105(5A) of the Telecommunications Act.</w:t>
      </w:r>
    </w:p>
    <w:p w14:paraId="4F827530" w14:textId="5674C525" w:rsidR="003106AF" w:rsidRDefault="005A10D6" w:rsidP="003106AF">
      <w:pPr>
        <w:pStyle w:val="Heading3"/>
      </w:pPr>
      <w:r>
        <w:t>Key points</w:t>
      </w:r>
      <w:r w:rsidR="003106AF">
        <w:t xml:space="preserve"> for </w:t>
      </w:r>
      <w:r w:rsidR="003106AF" w:rsidRPr="001A4BCF">
        <w:t>2016–17</w:t>
      </w:r>
    </w:p>
    <w:p w14:paraId="5AD69ABD" w14:textId="77777777" w:rsidR="000E3AF0" w:rsidRPr="00CC6472" w:rsidRDefault="003106AF" w:rsidP="00C61BDB">
      <w:pPr>
        <w:pStyle w:val="ListBullet"/>
      </w:pPr>
      <w:r w:rsidRPr="00CC6472">
        <w:t xml:space="preserve">Smartphone ownership continued to grow, in contrast to the downward trend in the number of fixed-line telephone services in operation. Mobile network operators reported strong growth </w:t>
      </w:r>
      <w:r w:rsidR="00475E88">
        <w:t xml:space="preserve">in </w:t>
      </w:r>
      <w:r w:rsidRPr="00CC6472">
        <w:t xml:space="preserve">machine-to-machine (M2M) communications services. Increasingly, growth continued to be driven by </w:t>
      </w:r>
      <w:r w:rsidR="00257197">
        <w:t>rising</w:t>
      </w:r>
      <w:r w:rsidR="00257197" w:rsidRPr="00CC6472">
        <w:t xml:space="preserve"> </w:t>
      </w:r>
      <w:r w:rsidRPr="00CC6472">
        <w:t>appetite for data</w:t>
      </w:r>
      <w:r w:rsidR="000E3AF0" w:rsidRPr="00CC6472">
        <w:t xml:space="preserve">. </w:t>
      </w:r>
    </w:p>
    <w:p w14:paraId="75FB1880" w14:textId="513DFFE0" w:rsidR="000A1CD9" w:rsidRPr="00CC6472" w:rsidRDefault="003106AF" w:rsidP="00C61BDB">
      <w:pPr>
        <w:pStyle w:val="ListBullet"/>
      </w:pPr>
      <w:r w:rsidRPr="00CC6472">
        <w:t>Reliance on the mobile phone as the sole communication device increased, with 36</w:t>
      </w:r>
      <w:r w:rsidR="00CC6472" w:rsidRPr="00CC6472">
        <w:t> </w:t>
      </w:r>
      <w:r w:rsidRPr="00CC6472">
        <w:t>per cent of the Australian adult population becoming mobile-only phone users (without a fixed-line telephone in their</w:t>
      </w:r>
      <w:r w:rsidR="00CE059B">
        <w:t> </w:t>
      </w:r>
      <w:r w:rsidRPr="00CC6472">
        <w:t>home)</w:t>
      </w:r>
      <w:r w:rsidR="000A1CD9" w:rsidRPr="00CC6472">
        <w:t>.</w:t>
      </w:r>
    </w:p>
    <w:p w14:paraId="3CE7F085" w14:textId="77777777" w:rsidR="000A1CD9" w:rsidRPr="00CC6472" w:rsidRDefault="00765CE9" w:rsidP="00C61BDB">
      <w:pPr>
        <w:pStyle w:val="ListBullet"/>
      </w:pPr>
      <w:r>
        <w:t>Providers announced a range of t</w:t>
      </w:r>
      <w:r w:rsidR="003106AF" w:rsidRPr="00CC6472">
        <w:t>echnology network investments</w:t>
      </w:r>
      <w:r w:rsidR="005E074F">
        <w:t xml:space="preserve"> and </w:t>
      </w:r>
      <w:r w:rsidR="003106AF" w:rsidRPr="00CC6472">
        <w:t>technology trials</w:t>
      </w:r>
      <w:r w:rsidR="00257197">
        <w:t>,</w:t>
      </w:r>
      <w:r w:rsidR="003106AF" w:rsidRPr="00CC6472">
        <w:t xml:space="preserve"> </w:t>
      </w:r>
      <w:r w:rsidR="005E074F">
        <w:t xml:space="preserve">along with </w:t>
      </w:r>
      <w:r w:rsidR="003106AF" w:rsidRPr="00CC6472">
        <w:t>commercial developments for IoT</w:t>
      </w:r>
      <w:r w:rsidR="000A1CD9" w:rsidRPr="00CC6472">
        <w:t>.</w:t>
      </w:r>
    </w:p>
    <w:p w14:paraId="2902E846" w14:textId="77777777" w:rsidR="003106AF" w:rsidRPr="00E57AD7" w:rsidRDefault="003106AF" w:rsidP="00C61BDB">
      <w:pPr>
        <w:pStyle w:val="ListBullet"/>
      </w:pPr>
      <w:r w:rsidRPr="00CC6472">
        <w:t>The</w:t>
      </w:r>
      <w:r w:rsidRPr="00E57AD7">
        <w:t xml:space="preserve"> expansion of key communications infrastructure continued with:</w:t>
      </w:r>
    </w:p>
    <w:p w14:paraId="6F95839E" w14:textId="77777777" w:rsidR="003106AF" w:rsidRPr="00E7726C" w:rsidRDefault="003106AF" w:rsidP="003106AF">
      <w:pPr>
        <w:pStyle w:val="ListBullet2"/>
        <w:rPr>
          <w:rFonts w:cs="Arial"/>
        </w:rPr>
      </w:pPr>
      <w:r>
        <w:t xml:space="preserve">acceleration of </w:t>
      </w:r>
      <w:r w:rsidRPr="00966880">
        <w:t xml:space="preserve">the </w:t>
      </w:r>
      <w:r>
        <w:t xml:space="preserve">NBN rollout </w:t>
      </w:r>
    </w:p>
    <w:p w14:paraId="55E73B75" w14:textId="77777777" w:rsidR="003106AF" w:rsidRPr="00E7726C" w:rsidRDefault="003106AF" w:rsidP="003106AF">
      <w:pPr>
        <w:pStyle w:val="ListBullet2"/>
        <w:rPr>
          <w:rFonts w:cs="Arial"/>
        </w:rPr>
      </w:pPr>
      <w:r>
        <w:t>improvements to the 4G network</w:t>
      </w:r>
      <w:r>
        <w:rPr>
          <w:rFonts w:cs="Arial"/>
        </w:rPr>
        <w:t xml:space="preserve"> in preparation for increased data usage and to allow for unprecedented level of connectivity arising from the IoT</w:t>
      </w:r>
    </w:p>
    <w:p w14:paraId="22E0E979" w14:textId="77777777" w:rsidR="003106AF" w:rsidRPr="00E7726C" w:rsidRDefault="003106AF" w:rsidP="003106AF">
      <w:pPr>
        <w:pStyle w:val="ListBullet2"/>
        <w:rPr>
          <w:rFonts w:cs="Arial"/>
        </w:rPr>
      </w:pPr>
      <w:r w:rsidRPr="00097BC2">
        <w:t>new mobile base stations</w:t>
      </w:r>
      <w:r>
        <w:t xml:space="preserve"> as part of the Mobile Black Spot Program</w:t>
      </w:r>
    </w:p>
    <w:p w14:paraId="29698500" w14:textId="77777777" w:rsidR="003106AF" w:rsidRPr="00E7726C" w:rsidRDefault="003106AF" w:rsidP="003106AF">
      <w:pPr>
        <w:pStyle w:val="ListBullet2"/>
        <w:rPr>
          <w:rFonts w:cs="Arial"/>
        </w:rPr>
      </w:pPr>
      <w:r>
        <w:t>continued testing of 5G technology</w:t>
      </w:r>
    </w:p>
    <w:p w14:paraId="502013C3" w14:textId="77777777" w:rsidR="000A1CD9" w:rsidRDefault="003106AF" w:rsidP="003106AF">
      <w:pPr>
        <w:pStyle w:val="ListBullet2"/>
      </w:pPr>
      <w:r>
        <w:t xml:space="preserve">proposed installation of submarine cables and exploration of </w:t>
      </w:r>
      <w:r w:rsidRPr="00966880">
        <w:t xml:space="preserve">emerging mobile technologies, particularly </w:t>
      </w:r>
      <w:r w:rsidRPr="00966880">
        <w:rPr>
          <w:rFonts w:eastAsiaTheme="minorHAnsi"/>
          <w:color w:val="000000" w:themeColor="text1"/>
          <w:szCs w:val="20"/>
          <w:lang w:eastAsia="en-US"/>
        </w:rPr>
        <w:t>VoWiFi product offering</w:t>
      </w:r>
      <w:r w:rsidR="008268DE">
        <w:rPr>
          <w:rFonts w:eastAsiaTheme="minorHAnsi"/>
          <w:color w:val="000000" w:themeColor="text1"/>
          <w:szCs w:val="20"/>
          <w:lang w:eastAsia="en-US"/>
        </w:rPr>
        <w:t>s</w:t>
      </w:r>
      <w:r>
        <w:rPr>
          <w:rFonts w:eastAsiaTheme="minorHAnsi"/>
          <w:color w:val="000000" w:themeColor="text1"/>
          <w:szCs w:val="20"/>
          <w:lang w:eastAsia="en-US"/>
        </w:rPr>
        <w:t xml:space="preserve"> and</w:t>
      </w:r>
      <w:r w:rsidRPr="00966880">
        <w:t xml:space="preserve"> LTE-B technology</w:t>
      </w:r>
      <w:r w:rsidR="008268DE">
        <w:t>.</w:t>
      </w:r>
    </w:p>
    <w:p w14:paraId="79A2F39B" w14:textId="77777777" w:rsidR="003106AF" w:rsidRDefault="003106AF" w:rsidP="00F3697E">
      <w:pPr>
        <w:pStyle w:val="ListBullet"/>
      </w:pPr>
      <w:r>
        <w:t>Mobile n</w:t>
      </w:r>
      <w:r w:rsidRPr="0086198D">
        <w:t xml:space="preserve">etwork operators </w:t>
      </w:r>
      <w:r>
        <w:t>closed down</w:t>
      </w:r>
      <w:r w:rsidRPr="0086198D">
        <w:t xml:space="preserve"> networks that rely on legacy technologies such as 2G (GSM network)</w:t>
      </w:r>
      <w:r>
        <w:t xml:space="preserve">, with the last 2G network, owned by </w:t>
      </w:r>
      <w:r w:rsidRPr="0086198D">
        <w:t>Vodafone</w:t>
      </w:r>
      <w:r>
        <w:t>,</w:t>
      </w:r>
      <w:r w:rsidRPr="0086198D">
        <w:t xml:space="preserve"> to close down by 31 March 2018.</w:t>
      </w:r>
    </w:p>
    <w:p w14:paraId="7B68845B" w14:textId="495690BA" w:rsidR="000A1CD9" w:rsidRDefault="003106AF" w:rsidP="0015315C">
      <w:pPr>
        <w:pStyle w:val="ListBullet"/>
        <w:spacing w:after="240"/>
      </w:pPr>
      <w:r w:rsidRPr="0064200E">
        <w:t xml:space="preserve">Online advertising expenditure </w:t>
      </w:r>
      <w:r>
        <w:t>grew</w:t>
      </w:r>
      <w:r w:rsidRPr="0064200E">
        <w:t>, along with total advertising expenditure across the main media categories</w:t>
      </w:r>
      <w:r w:rsidR="000A1CD9" w:rsidRPr="00F76693">
        <w:t>.</w:t>
      </w:r>
    </w:p>
    <w:p w14:paraId="73AA8B6B" w14:textId="77777777" w:rsidR="00601755" w:rsidRPr="00FD7E86" w:rsidRDefault="00601755" w:rsidP="002210F1">
      <w:pPr>
        <w:pStyle w:val="Heading2"/>
        <w:numPr>
          <w:ilvl w:val="1"/>
          <w:numId w:val="14"/>
        </w:numPr>
      </w:pPr>
      <w:bookmarkStart w:id="356" w:name="_Toc399331711"/>
      <w:bookmarkStart w:id="357" w:name="_Toc399336892"/>
      <w:bookmarkStart w:id="358" w:name="_Toc402337491"/>
      <w:bookmarkStart w:id="359" w:name="_Toc462132189"/>
      <w:bookmarkStart w:id="360" w:name="_Toc462899537"/>
      <w:bookmarkStart w:id="361" w:name="_Toc433790289"/>
      <w:bookmarkStart w:id="362" w:name="_Toc463529017"/>
      <w:bookmarkStart w:id="363" w:name="_Toc494799331"/>
      <w:bookmarkStart w:id="364" w:name="_Toc494805634"/>
      <w:bookmarkStart w:id="365" w:name="_Toc494805863"/>
      <w:bookmarkStart w:id="366" w:name="_Toc494808093"/>
      <w:bookmarkStart w:id="367" w:name="_Toc494808497"/>
      <w:bookmarkStart w:id="368" w:name="_Toc494815899"/>
      <w:bookmarkStart w:id="369" w:name="_Toc494818760"/>
      <w:bookmarkStart w:id="370" w:name="_Toc494819027"/>
      <w:bookmarkStart w:id="371" w:name="_Toc500320889"/>
      <w:r w:rsidRPr="00FD7E86">
        <w:t>Fixed-line service availability</w:t>
      </w:r>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r w:rsidRPr="00FD7E86">
        <w:t xml:space="preserve"> </w:t>
      </w:r>
    </w:p>
    <w:p w14:paraId="70B38B84" w14:textId="77777777" w:rsidR="00601755" w:rsidRPr="006D17C9" w:rsidRDefault="00601755" w:rsidP="00601755">
      <w:r>
        <w:rPr>
          <w:rFonts w:cs="Arial"/>
        </w:rPr>
        <w:t xml:space="preserve">There were </w:t>
      </w:r>
      <w:r w:rsidR="00D3779D">
        <w:rPr>
          <w:rFonts w:cs="Arial"/>
        </w:rPr>
        <w:t>8.46</w:t>
      </w:r>
      <w:r w:rsidRPr="006D17C9">
        <w:rPr>
          <w:rFonts w:cs="Arial"/>
        </w:rPr>
        <w:t xml:space="preserve"> million retail and resale fixed-line telephone services in operatio</w:t>
      </w:r>
      <w:r>
        <w:rPr>
          <w:rFonts w:cs="Arial"/>
        </w:rPr>
        <w:t>n at June 2017, compared to 8.</w:t>
      </w:r>
      <w:r w:rsidR="00640110">
        <w:rPr>
          <w:rFonts w:cs="Arial"/>
        </w:rPr>
        <w:t xml:space="preserve">48 </w:t>
      </w:r>
      <w:r>
        <w:rPr>
          <w:rFonts w:cs="Arial"/>
        </w:rPr>
        <w:t>million services at June 2016</w:t>
      </w:r>
      <w:r w:rsidRPr="006D17C9">
        <w:rPr>
          <w:rFonts w:cs="Arial"/>
        </w:rPr>
        <w:t xml:space="preserve"> (Table 1.1</w:t>
      </w:r>
      <w:r w:rsidRPr="00D3779D">
        <w:rPr>
          <w:rFonts w:cs="Arial"/>
        </w:rPr>
        <w:t xml:space="preserve">), a net decline of </w:t>
      </w:r>
      <w:r w:rsidR="00D3779D">
        <w:rPr>
          <w:rFonts w:cs="Arial"/>
        </w:rPr>
        <w:t>0.2</w:t>
      </w:r>
      <w:r w:rsidR="00D3779D" w:rsidRPr="006D17C9">
        <w:rPr>
          <w:rFonts w:cs="Arial"/>
        </w:rPr>
        <w:t xml:space="preserve"> </w:t>
      </w:r>
      <w:r w:rsidRPr="006D17C9">
        <w:rPr>
          <w:rFonts w:cs="Arial"/>
        </w:rPr>
        <w:t xml:space="preserve">per cent. </w:t>
      </w:r>
      <w:r w:rsidRPr="00046096">
        <w:t xml:space="preserve">Telstra retail services accounted for </w:t>
      </w:r>
      <w:r w:rsidR="00D3779D">
        <w:t>63</w:t>
      </w:r>
      <w:r w:rsidR="00D3779D" w:rsidRPr="00046096">
        <w:t xml:space="preserve"> </w:t>
      </w:r>
      <w:r w:rsidRPr="00046096">
        <w:t>per cent of fixed-line telephone retail and resale services at June 2017</w:t>
      </w:r>
      <w:r w:rsidR="00D3779D">
        <w:t>, a decline of four percentage points from June 2016.</w:t>
      </w:r>
    </w:p>
    <w:p w14:paraId="32FC4CB4" w14:textId="77777777" w:rsidR="00601755" w:rsidRPr="00EF62C7" w:rsidRDefault="00601755" w:rsidP="00601755">
      <w:r>
        <w:t>In 2017</w:t>
      </w:r>
      <w:r w:rsidRPr="006D17C9">
        <w:t xml:space="preserve">, Telstra </w:t>
      </w:r>
      <w:r w:rsidRPr="00046096">
        <w:t xml:space="preserve">experienced a decline in the number of retail fixed voice lines in operation, </w:t>
      </w:r>
      <w:r w:rsidRPr="00EF62C7">
        <w:t xml:space="preserve">reporting a loss of 347,000 services—a reduction of 6.1 per cent (Table 1.1). </w:t>
      </w:r>
    </w:p>
    <w:p w14:paraId="141751B6" w14:textId="77777777" w:rsidR="00601755" w:rsidRPr="00746D35" w:rsidRDefault="00601755" w:rsidP="00601755">
      <w:r w:rsidRPr="00EF62C7">
        <w:t>Telstra’s fixed voice revenue decreased by 9.1 per cent to $3.1 billion</w:t>
      </w:r>
      <w:r w:rsidR="00F20FA2">
        <w:t>,</w:t>
      </w:r>
      <w:r w:rsidRPr="00EF62C7">
        <w:t xml:space="preserve"> while fixed data revenue grew by 1.6 per cent to $2.6 billion.</w:t>
      </w:r>
      <w:r w:rsidRPr="00EF62C7">
        <w:rPr>
          <w:rStyle w:val="EndnoteReference"/>
        </w:rPr>
        <w:endnoteReference w:id="2"/>
      </w:r>
      <w:r w:rsidRPr="00EF62C7">
        <w:t xml:space="preserve"> </w:t>
      </w:r>
    </w:p>
    <w:p w14:paraId="5DA66F0F" w14:textId="77777777" w:rsidR="00601755" w:rsidRPr="002E0DE0" w:rsidRDefault="00601755" w:rsidP="000276D0">
      <w:pPr>
        <w:pStyle w:val="ACMATableHeader"/>
        <w:keepNext/>
        <w:keepLines/>
        <w:numPr>
          <w:ilvl w:val="0"/>
          <w:numId w:val="0"/>
        </w:numPr>
      </w:pPr>
      <w:r w:rsidRPr="002E0DE0">
        <w:t>Table 1.1</w:t>
      </w:r>
      <w:r w:rsidRPr="002E0DE0">
        <w:tab/>
        <w:t>Fixed-line telephone services in operation (millions)</w:t>
      </w:r>
    </w:p>
    <w:tbl>
      <w:tblPr>
        <w:tblW w:w="886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1E0" w:firstRow="1" w:lastRow="1" w:firstColumn="1" w:lastColumn="1" w:noHBand="0" w:noVBand="0"/>
        <w:tblCaption w:val="Table 1.1 Number of fixed-line telephone services in operation"/>
      </w:tblPr>
      <w:tblGrid>
        <w:gridCol w:w="1839"/>
        <w:gridCol w:w="1210"/>
        <w:gridCol w:w="1210"/>
        <w:gridCol w:w="1210"/>
        <w:gridCol w:w="1130"/>
        <w:gridCol w:w="1134"/>
        <w:gridCol w:w="1134"/>
      </w:tblGrid>
      <w:tr w:rsidR="00601755" w:rsidRPr="00313AEA" w14:paraId="0E1AF92D" w14:textId="77777777" w:rsidTr="000F3E58">
        <w:trPr>
          <w:trHeight w:val="249"/>
          <w:tblHeader/>
        </w:trPr>
        <w:tc>
          <w:tcPr>
            <w:tcW w:w="1839" w:type="dxa"/>
            <w:tcBorders>
              <w:top w:val="nil"/>
              <w:left w:val="nil"/>
              <w:bottom w:val="single" w:sz="4" w:space="0" w:color="BFBFBF" w:themeColor="background1" w:themeShade="BF"/>
              <w:right w:val="nil"/>
            </w:tcBorders>
            <w:shd w:val="clear" w:color="auto" w:fill="auto"/>
            <w:vAlign w:val="center"/>
          </w:tcPr>
          <w:p w14:paraId="54FF7847" w14:textId="77777777" w:rsidR="00601755" w:rsidRPr="00007A30" w:rsidRDefault="00601755" w:rsidP="00BB3B9F">
            <w:pPr>
              <w:pStyle w:val="ACMATableText"/>
              <w:keepNext/>
              <w:keepLines/>
              <w:spacing w:before="0" w:after="0"/>
              <w:rPr>
                <w:sz w:val="18"/>
                <w:szCs w:val="18"/>
              </w:rPr>
            </w:pPr>
          </w:p>
        </w:tc>
        <w:tc>
          <w:tcPr>
            <w:tcW w:w="1210" w:type="dxa"/>
            <w:tcBorders>
              <w:left w:val="nil"/>
            </w:tcBorders>
            <w:shd w:val="clear" w:color="auto" w:fill="37897E"/>
            <w:vAlign w:val="center"/>
          </w:tcPr>
          <w:p w14:paraId="67B60FDC" w14:textId="4079DF9F" w:rsidR="00601755" w:rsidRPr="00007A30" w:rsidRDefault="00EE3FD2">
            <w:pPr>
              <w:pStyle w:val="ACMATableText"/>
              <w:keepNext/>
              <w:keepLines/>
              <w:spacing w:before="0" w:after="0"/>
              <w:jc w:val="right"/>
              <w:rPr>
                <w:b/>
                <w:color w:val="FFFFFF" w:themeColor="background1"/>
                <w:sz w:val="18"/>
                <w:szCs w:val="18"/>
                <w:lang w:eastAsia="en-AU"/>
              </w:rPr>
            </w:pPr>
            <w:r>
              <w:rPr>
                <w:b/>
                <w:color w:val="FFFFFF" w:themeColor="background1"/>
                <w:sz w:val="18"/>
                <w:szCs w:val="18"/>
                <w:lang w:eastAsia="en-AU"/>
              </w:rPr>
              <w:t>Jun 13</w:t>
            </w:r>
          </w:p>
        </w:tc>
        <w:tc>
          <w:tcPr>
            <w:tcW w:w="1210" w:type="dxa"/>
            <w:shd w:val="clear" w:color="auto" w:fill="37897E"/>
            <w:vAlign w:val="center"/>
          </w:tcPr>
          <w:p w14:paraId="4E8B637B" w14:textId="6363B685" w:rsidR="00601755" w:rsidRPr="00007A30" w:rsidRDefault="00EE3FD2">
            <w:pPr>
              <w:pStyle w:val="ACMATableText"/>
              <w:keepNext/>
              <w:keepLines/>
              <w:spacing w:before="0" w:after="0"/>
              <w:jc w:val="right"/>
              <w:rPr>
                <w:b/>
                <w:color w:val="FFFFFF" w:themeColor="background1"/>
                <w:sz w:val="18"/>
                <w:szCs w:val="18"/>
                <w:lang w:eastAsia="en-AU"/>
              </w:rPr>
            </w:pPr>
            <w:r>
              <w:rPr>
                <w:b/>
                <w:color w:val="FFFFFF" w:themeColor="background1"/>
                <w:sz w:val="18"/>
                <w:szCs w:val="18"/>
                <w:lang w:eastAsia="en-AU"/>
              </w:rPr>
              <w:t>Jun 14</w:t>
            </w:r>
          </w:p>
        </w:tc>
        <w:tc>
          <w:tcPr>
            <w:tcW w:w="1210" w:type="dxa"/>
            <w:shd w:val="clear" w:color="auto" w:fill="37897E"/>
            <w:vAlign w:val="center"/>
          </w:tcPr>
          <w:p w14:paraId="5474497D" w14:textId="035E028F" w:rsidR="00601755" w:rsidRPr="00007A30" w:rsidRDefault="00601755">
            <w:pPr>
              <w:pStyle w:val="ACMATableText"/>
              <w:keepNext/>
              <w:keepLines/>
              <w:spacing w:before="0" w:after="0"/>
              <w:jc w:val="right"/>
              <w:rPr>
                <w:b/>
                <w:color w:val="FFFFFF" w:themeColor="background1"/>
                <w:sz w:val="18"/>
                <w:szCs w:val="18"/>
                <w:lang w:eastAsia="en-AU"/>
              </w:rPr>
            </w:pPr>
            <w:r w:rsidRPr="00007A30">
              <w:rPr>
                <w:b/>
                <w:color w:val="FFFFFF" w:themeColor="background1"/>
                <w:sz w:val="18"/>
                <w:szCs w:val="18"/>
                <w:lang w:eastAsia="en-AU"/>
              </w:rPr>
              <w:t>Jun 15</w:t>
            </w:r>
            <w:r w:rsidR="00E92144" w:rsidRPr="00177EB0">
              <w:rPr>
                <w:b/>
                <w:color w:val="FFFFFF" w:themeColor="background1"/>
                <w:vertAlign w:val="superscript"/>
              </w:rPr>
              <w:t>#</w:t>
            </w:r>
          </w:p>
        </w:tc>
        <w:tc>
          <w:tcPr>
            <w:tcW w:w="1130" w:type="dxa"/>
            <w:shd w:val="clear" w:color="auto" w:fill="37897E"/>
            <w:vAlign w:val="center"/>
          </w:tcPr>
          <w:p w14:paraId="0C341828" w14:textId="0F908ED8" w:rsidR="00601755" w:rsidRPr="00007A30" w:rsidRDefault="00EE3FD2">
            <w:pPr>
              <w:pStyle w:val="ACMATableText"/>
              <w:keepNext/>
              <w:keepLines/>
              <w:spacing w:before="0" w:after="0"/>
              <w:jc w:val="right"/>
              <w:rPr>
                <w:b/>
                <w:color w:val="FFFFFF" w:themeColor="background1"/>
                <w:sz w:val="18"/>
                <w:szCs w:val="18"/>
                <w:lang w:eastAsia="en-AU"/>
              </w:rPr>
            </w:pPr>
            <w:r>
              <w:rPr>
                <w:b/>
                <w:color w:val="FFFFFF" w:themeColor="background1"/>
                <w:sz w:val="18"/>
                <w:szCs w:val="18"/>
                <w:lang w:eastAsia="en-AU"/>
              </w:rPr>
              <w:t>Jun 16</w:t>
            </w:r>
          </w:p>
        </w:tc>
        <w:tc>
          <w:tcPr>
            <w:tcW w:w="1134" w:type="dxa"/>
            <w:shd w:val="clear" w:color="auto" w:fill="37897E"/>
            <w:vAlign w:val="center"/>
            <w:hideMark/>
          </w:tcPr>
          <w:p w14:paraId="458F5E8B" w14:textId="77777777" w:rsidR="00601755" w:rsidRPr="00007A30" w:rsidRDefault="00601755">
            <w:pPr>
              <w:pStyle w:val="ACMATableText"/>
              <w:keepNext/>
              <w:keepLines/>
              <w:spacing w:before="0" w:after="0"/>
              <w:jc w:val="right"/>
              <w:rPr>
                <w:b/>
                <w:color w:val="FFFFFF" w:themeColor="background1"/>
                <w:sz w:val="18"/>
                <w:szCs w:val="18"/>
                <w:lang w:eastAsia="en-AU"/>
              </w:rPr>
            </w:pPr>
            <w:r w:rsidRPr="00007A30">
              <w:rPr>
                <w:b/>
                <w:color w:val="FFFFFF" w:themeColor="background1"/>
                <w:sz w:val="18"/>
                <w:szCs w:val="18"/>
                <w:lang w:eastAsia="en-AU"/>
              </w:rPr>
              <w:t xml:space="preserve">Jun 17 </w:t>
            </w:r>
          </w:p>
        </w:tc>
        <w:tc>
          <w:tcPr>
            <w:tcW w:w="1134" w:type="dxa"/>
            <w:shd w:val="clear" w:color="auto" w:fill="37897E"/>
            <w:vAlign w:val="center"/>
          </w:tcPr>
          <w:p w14:paraId="282AD430" w14:textId="77777777" w:rsidR="00601755" w:rsidRPr="00007A30" w:rsidRDefault="00601755" w:rsidP="00BB3B9F">
            <w:pPr>
              <w:pStyle w:val="ACMATableText"/>
              <w:keepNext/>
              <w:keepLines/>
              <w:spacing w:before="0" w:after="0"/>
              <w:jc w:val="right"/>
              <w:rPr>
                <w:b/>
                <w:color w:val="FFFFFF" w:themeColor="background1"/>
                <w:sz w:val="18"/>
                <w:szCs w:val="18"/>
                <w:lang w:eastAsia="en-AU"/>
              </w:rPr>
            </w:pPr>
            <w:r w:rsidRPr="00007A30">
              <w:rPr>
                <w:b/>
                <w:color w:val="FFFFFF" w:themeColor="background1"/>
                <w:sz w:val="18"/>
                <w:szCs w:val="18"/>
                <w:lang w:eastAsia="en-AU"/>
              </w:rPr>
              <w:t>2016–17 change (%)</w:t>
            </w:r>
          </w:p>
        </w:tc>
      </w:tr>
      <w:tr w:rsidR="00601755" w:rsidRPr="00313AEA" w14:paraId="779579B7" w14:textId="77777777" w:rsidTr="000F3E58">
        <w:trPr>
          <w:trHeight w:val="86"/>
        </w:trPr>
        <w:tc>
          <w:tcPr>
            <w:tcW w:w="1839" w:type="dxa"/>
            <w:tcBorders>
              <w:top w:val="single" w:sz="4" w:space="0" w:color="BFBFBF" w:themeColor="background1" w:themeShade="BF"/>
            </w:tcBorders>
            <w:shd w:val="clear" w:color="auto" w:fill="auto"/>
            <w:vAlign w:val="center"/>
          </w:tcPr>
          <w:p w14:paraId="3BD5EE9E" w14:textId="77777777" w:rsidR="00601755" w:rsidRPr="00007A30" w:rsidRDefault="00601755" w:rsidP="00BB3B9F">
            <w:pPr>
              <w:pStyle w:val="ACMATableText"/>
              <w:keepNext/>
              <w:keepLines/>
              <w:spacing w:before="0" w:after="0"/>
              <w:rPr>
                <w:sz w:val="18"/>
                <w:szCs w:val="18"/>
              </w:rPr>
            </w:pPr>
            <w:r w:rsidRPr="00007A30">
              <w:rPr>
                <w:sz w:val="18"/>
                <w:szCs w:val="18"/>
              </w:rPr>
              <w:t xml:space="preserve">Total retail </w:t>
            </w:r>
            <w:r w:rsidRPr="00007A30">
              <w:rPr>
                <w:sz w:val="18"/>
                <w:szCs w:val="18"/>
              </w:rPr>
              <w:br/>
              <w:t>and resale</w:t>
            </w:r>
          </w:p>
        </w:tc>
        <w:tc>
          <w:tcPr>
            <w:tcW w:w="1210" w:type="dxa"/>
            <w:shd w:val="clear" w:color="auto" w:fill="auto"/>
            <w:vAlign w:val="center"/>
          </w:tcPr>
          <w:p w14:paraId="192FF0E1" w14:textId="77777777" w:rsidR="00601755" w:rsidRPr="00007A30" w:rsidRDefault="00601755">
            <w:pPr>
              <w:pStyle w:val="ACMATableText"/>
              <w:keepNext/>
              <w:keepLines/>
              <w:spacing w:before="0" w:after="0"/>
              <w:jc w:val="right"/>
              <w:rPr>
                <w:sz w:val="18"/>
                <w:szCs w:val="18"/>
              </w:rPr>
            </w:pPr>
            <w:r w:rsidRPr="00007A30">
              <w:rPr>
                <w:sz w:val="18"/>
                <w:szCs w:val="18"/>
              </w:rPr>
              <w:t>9.42</w:t>
            </w:r>
          </w:p>
        </w:tc>
        <w:tc>
          <w:tcPr>
            <w:tcW w:w="1210" w:type="dxa"/>
            <w:shd w:val="clear" w:color="auto" w:fill="auto"/>
            <w:vAlign w:val="center"/>
          </w:tcPr>
          <w:p w14:paraId="5F38942B" w14:textId="77777777" w:rsidR="00601755" w:rsidRPr="00007A30" w:rsidRDefault="00601755">
            <w:pPr>
              <w:pStyle w:val="ACMATableText"/>
              <w:keepNext/>
              <w:keepLines/>
              <w:spacing w:before="0" w:after="0"/>
              <w:jc w:val="right"/>
              <w:rPr>
                <w:sz w:val="18"/>
                <w:szCs w:val="18"/>
              </w:rPr>
            </w:pPr>
            <w:r w:rsidRPr="00007A30">
              <w:rPr>
                <w:sz w:val="18"/>
                <w:szCs w:val="18"/>
              </w:rPr>
              <w:t>9.19</w:t>
            </w:r>
          </w:p>
        </w:tc>
        <w:tc>
          <w:tcPr>
            <w:tcW w:w="1210" w:type="dxa"/>
            <w:shd w:val="clear" w:color="auto" w:fill="auto"/>
            <w:vAlign w:val="center"/>
          </w:tcPr>
          <w:p w14:paraId="18992AD0" w14:textId="77777777" w:rsidR="00601755" w:rsidRPr="00007A30" w:rsidRDefault="00601755">
            <w:pPr>
              <w:pStyle w:val="ACMATableText"/>
              <w:keepNext/>
              <w:keepLines/>
              <w:spacing w:before="0" w:after="0"/>
              <w:jc w:val="right"/>
              <w:rPr>
                <w:sz w:val="18"/>
                <w:szCs w:val="18"/>
              </w:rPr>
            </w:pPr>
            <w:r w:rsidRPr="00007A30">
              <w:rPr>
                <w:sz w:val="18"/>
                <w:szCs w:val="18"/>
              </w:rPr>
              <w:t>8.50</w:t>
            </w:r>
          </w:p>
        </w:tc>
        <w:tc>
          <w:tcPr>
            <w:tcW w:w="1130" w:type="dxa"/>
            <w:shd w:val="clear" w:color="auto" w:fill="auto"/>
            <w:vAlign w:val="center"/>
          </w:tcPr>
          <w:p w14:paraId="470C2456" w14:textId="77777777" w:rsidR="00601755" w:rsidRPr="00007A30" w:rsidRDefault="00601755" w:rsidP="00BB3B9F">
            <w:pPr>
              <w:pStyle w:val="ACMATableText"/>
              <w:keepNext/>
              <w:keepLines/>
              <w:spacing w:before="0" w:after="0"/>
              <w:jc w:val="right"/>
              <w:rPr>
                <w:sz w:val="18"/>
                <w:szCs w:val="18"/>
              </w:rPr>
            </w:pPr>
            <w:r w:rsidRPr="00007A30">
              <w:rPr>
                <w:sz w:val="18"/>
                <w:szCs w:val="18"/>
              </w:rPr>
              <w:t>8.</w:t>
            </w:r>
            <w:r w:rsidR="00677A95" w:rsidRPr="00007A30">
              <w:rPr>
                <w:sz w:val="18"/>
                <w:szCs w:val="18"/>
              </w:rPr>
              <w:t>4</w:t>
            </w:r>
            <w:r w:rsidRPr="00007A30">
              <w:rPr>
                <w:sz w:val="18"/>
                <w:szCs w:val="18"/>
              </w:rPr>
              <w:t>8</w:t>
            </w:r>
            <w:r w:rsidR="00677A95" w:rsidRPr="00007A30">
              <w:rPr>
                <w:rFonts w:eastAsia="Malgun Gothic"/>
                <w:sz w:val="18"/>
                <w:szCs w:val="18"/>
              </w:rPr>
              <w:t>*</w:t>
            </w:r>
          </w:p>
        </w:tc>
        <w:tc>
          <w:tcPr>
            <w:tcW w:w="1134" w:type="dxa"/>
            <w:shd w:val="clear" w:color="auto" w:fill="auto"/>
            <w:vAlign w:val="center"/>
          </w:tcPr>
          <w:p w14:paraId="37DAC89D" w14:textId="77777777" w:rsidR="00601755" w:rsidRPr="00007A30" w:rsidRDefault="00677A95" w:rsidP="00BB3B9F">
            <w:pPr>
              <w:pStyle w:val="ACMATableText"/>
              <w:keepNext/>
              <w:keepLines/>
              <w:spacing w:before="0" w:after="0"/>
              <w:jc w:val="right"/>
              <w:rPr>
                <w:sz w:val="18"/>
                <w:szCs w:val="18"/>
              </w:rPr>
            </w:pPr>
            <w:r w:rsidRPr="00007A30">
              <w:rPr>
                <w:sz w:val="18"/>
                <w:szCs w:val="18"/>
              </w:rPr>
              <w:t>8.46</w:t>
            </w:r>
          </w:p>
        </w:tc>
        <w:tc>
          <w:tcPr>
            <w:tcW w:w="1134" w:type="dxa"/>
            <w:shd w:val="clear" w:color="auto" w:fill="auto"/>
            <w:vAlign w:val="center"/>
          </w:tcPr>
          <w:p w14:paraId="5F4F12EA" w14:textId="77777777" w:rsidR="00601755" w:rsidRPr="00007A30" w:rsidRDefault="00601755" w:rsidP="00677A95">
            <w:pPr>
              <w:pStyle w:val="ACMATableText"/>
              <w:keepNext/>
              <w:keepLines/>
              <w:spacing w:before="0" w:after="0"/>
              <w:jc w:val="right"/>
              <w:rPr>
                <w:sz w:val="18"/>
                <w:szCs w:val="18"/>
              </w:rPr>
            </w:pPr>
            <w:r w:rsidRPr="00007A30">
              <w:rPr>
                <w:sz w:val="18"/>
                <w:szCs w:val="18"/>
              </w:rPr>
              <w:t>–</w:t>
            </w:r>
            <w:r w:rsidR="00677A95" w:rsidRPr="00007A30">
              <w:rPr>
                <w:sz w:val="18"/>
                <w:szCs w:val="18"/>
              </w:rPr>
              <w:t>0.2</w:t>
            </w:r>
          </w:p>
        </w:tc>
      </w:tr>
      <w:tr w:rsidR="00601755" w:rsidRPr="00313AEA" w14:paraId="5BFE20A6" w14:textId="77777777" w:rsidTr="000F3E58">
        <w:trPr>
          <w:trHeight w:val="207"/>
        </w:trPr>
        <w:tc>
          <w:tcPr>
            <w:tcW w:w="1839" w:type="dxa"/>
            <w:shd w:val="clear" w:color="auto" w:fill="auto"/>
            <w:vAlign w:val="center"/>
          </w:tcPr>
          <w:p w14:paraId="3C6B5219" w14:textId="77777777" w:rsidR="00601755" w:rsidRPr="00007A30" w:rsidRDefault="00601755" w:rsidP="00BB3B9F">
            <w:pPr>
              <w:pStyle w:val="ACMATableText"/>
              <w:keepNext/>
              <w:keepLines/>
              <w:spacing w:before="0" w:after="0"/>
              <w:rPr>
                <w:sz w:val="18"/>
                <w:szCs w:val="18"/>
              </w:rPr>
            </w:pPr>
            <w:r w:rsidRPr="00007A30">
              <w:rPr>
                <w:sz w:val="18"/>
                <w:szCs w:val="18"/>
              </w:rPr>
              <w:t xml:space="preserve">Total Telstra </w:t>
            </w:r>
            <w:r w:rsidRPr="00007A30">
              <w:rPr>
                <w:sz w:val="18"/>
                <w:szCs w:val="18"/>
              </w:rPr>
              <w:br/>
              <w:t>(retail only)</w:t>
            </w:r>
          </w:p>
        </w:tc>
        <w:tc>
          <w:tcPr>
            <w:tcW w:w="1210" w:type="dxa"/>
            <w:shd w:val="clear" w:color="auto" w:fill="auto"/>
            <w:vAlign w:val="center"/>
          </w:tcPr>
          <w:p w14:paraId="7C396338" w14:textId="77777777" w:rsidR="00601755" w:rsidRPr="00007A30" w:rsidRDefault="00601755">
            <w:pPr>
              <w:pStyle w:val="ACMATableText"/>
              <w:keepNext/>
              <w:keepLines/>
              <w:spacing w:before="0" w:after="0"/>
              <w:jc w:val="right"/>
              <w:rPr>
                <w:sz w:val="18"/>
                <w:szCs w:val="18"/>
              </w:rPr>
            </w:pPr>
            <w:r w:rsidRPr="00007A30">
              <w:rPr>
                <w:sz w:val="18"/>
                <w:szCs w:val="18"/>
              </w:rPr>
              <w:t>6.53</w:t>
            </w:r>
          </w:p>
        </w:tc>
        <w:tc>
          <w:tcPr>
            <w:tcW w:w="1210" w:type="dxa"/>
            <w:shd w:val="clear" w:color="auto" w:fill="auto"/>
            <w:vAlign w:val="center"/>
          </w:tcPr>
          <w:p w14:paraId="40A048E4" w14:textId="77777777" w:rsidR="00601755" w:rsidRPr="00007A30" w:rsidRDefault="00601755">
            <w:pPr>
              <w:pStyle w:val="ACMATableText"/>
              <w:keepNext/>
              <w:keepLines/>
              <w:spacing w:before="0" w:after="0"/>
              <w:jc w:val="right"/>
              <w:rPr>
                <w:sz w:val="18"/>
                <w:szCs w:val="18"/>
              </w:rPr>
            </w:pPr>
            <w:r w:rsidRPr="00007A30">
              <w:rPr>
                <w:sz w:val="18"/>
                <w:szCs w:val="18"/>
              </w:rPr>
              <w:t>6.25</w:t>
            </w:r>
          </w:p>
        </w:tc>
        <w:tc>
          <w:tcPr>
            <w:tcW w:w="1210" w:type="dxa"/>
            <w:shd w:val="clear" w:color="auto" w:fill="auto"/>
            <w:vAlign w:val="center"/>
          </w:tcPr>
          <w:p w14:paraId="60191BE2" w14:textId="77777777" w:rsidR="00601755" w:rsidRPr="00007A30" w:rsidRDefault="00601755">
            <w:pPr>
              <w:pStyle w:val="ACMATableText"/>
              <w:keepNext/>
              <w:keepLines/>
              <w:spacing w:before="0" w:after="0"/>
              <w:jc w:val="right"/>
              <w:rPr>
                <w:sz w:val="18"/>
                <w:szCs w:val="18"/>
              </w:rPr>
            </w:pPr>
            <w:r w:rsidRPr="00007A30">
              <w:rPr>
                <w:sz w:val="18"/>
                <w:szCs w:val="18"/>
              </w:rPr>
              <w:t>5.98</w:t>
            </w:r>
          </w:p>
        </w:tc>
        <w:tc>
          <w:tcPr>
            <w:tcW w:w="1130" w:type="dxa"/>
            <w:shd w:val="clear" w:color="auto" w:fill="auto"/>
            <w:vAlign w:val="center"/>
          </w:tcPr>
          <w:p w14:paraId="3E4F8AC3" w14:textId="77777777" w:rsidR="00601755" w:rsidRPr="00007A30" w:rsidRDefault="00601755">
            <w:pPr>
              <w:pStyle w:val="ACMATableText"/>
              <w:keepNext/>
              <w:keepLines/>
              <w:spacing w:before="0" w:after="0"/>
              <w:jc w:val="right"/>
              <w:rPr>
                <w:sz w:val="18"/>
                <w:szCs w:val="18"/>
                <w:highlight w:val="yellow"/>
              </w:rPr>
            </w:pPr>
            <w:r w:rsidRPr="00007A30">
              <w:rPr>
                <w:sz w:val="18"/>
                <w:szCs w:val="18"/>
              </w:rPr>
              <w:t>5.71</w:t>
            </w:r>
          </w:p>
        </w:tc>
        <w:tc>
          <w:tcPr>
            <w:tcW w:w="1134" w:type="dxa"/>
            <w:shd w:val="clear" w:color="auto" w:fill="auto"/>
            <w:vAlign w:val="center"/>
          </w:tcPr>
          <w:p w14:paraId="0C8B36A1" w14:textId="77777777" w:rsidR="00601755" w:rsidRPr="00007A30" w:rsidRDefault="00601755" w:rsidP="00BB3B9F">
            <w:pPr>
              <w:pStyle w:val="ACMATableText"/>
              <w:keepNext/>
              <w:keepLines/>
              <w:spacing w:before="0" w:after="0"/>
              <w:jc w:val="right"/>
              <w:rPr>
                <w:sz w:val="18"/>
                <w:szCs w:val="18"/>
                <w:highlight w:val="cyan"/>
              </w:rPr>
            </w:pPr>
            <w:r w:rsidRPr="00007A30">
              <w:rPr>
                <w:rFonts w:cs="Arial"/>
                <w:sz w:val="18"/>
                <w:szCs w:val="18"/>
              </w:rPr>
              <w:t>5.36</w:t>
            </w:r>
          </w:p>
        </w:tc>
        <w:tc>
          <w:tcPr>
            <w:tcW w:w="1134" w:type="dxa"/>
            <w:shd w:val="clear" w:color="auto" w:fill="auto"/>
            <w:vAlign w:val="center"/>
          </w:tcPr>
          <w:p w14:paraId="53BB8585" w14:textId="77777777" w:rsidR="00601755" w:rsidRPr="00007A30" w:rsidRDefault="00601755" w:rsidP="00BB3B9F">
            <w:pPr>
              <w:pStyle w:val="ACMATableText"/>
              <w:keepNext/>
              <w:keepLines/>
              <w:spacing w:before="0" w:after="0"/>
              <w:jc w:val="right"/>
              <w:rPr>
                <w:rFonts w:cs="Arial"/>
                <w:sz w:val="18"/>
                <w:szCs w:val="18"/>
                <w:highlight w:val="cyan"/>
              </w:rPr>
            </w:pPr>
            <w:r w:rsidRPr="00007A30">
              <w:rPr>
                <w:rFonts w:cs="Arial"/>
                <w:sz w:val="18"/>
                <w:szCs w:val="18"/>
              </w:rPr>
              <w:t>−</w:t>
            </w:r>
            <w:r w:rsidRPr="00007A30">
              <w:rPr>
                <w:sz w:val="18"/>
                <w:szCs w:val="18"/>
              </w:rPr>
              <w:t>6.1</w:t>
            </w:r>
          </w:p>
        </w:tc>
      </w:tr>
    </w:tbl>
    <w:p w14:paraId="3F375845" w14:textId="18FB1B52" w:rsidR="005C4D7C" w:rsidRDefault="005C4D7C" w:rsidP="00B5395A">
      <w:pPr>
        <w:pStyle w:val="ACMANotes"/>
        <w:spacing w:before="120"/>
      </w:pPr>
      <w:bookmarkStart w:id="372" w:name="_Toc371588978"/>
      <w:bookmarkStart w:id="373" w:name="_Toc373149040"/>
      <w:bookmarkStart w:id="374" w:name="_Toc399331713"/>
      <w:bookmarkStart w:id="375" w:name="_Toc399336894"/>
      <w:r>
        <w:t>*</w:t>
      </w:r>
      <w:r w:rsidR="00E92144">
        <w:t>ACCC has revised the 2016 figures for total retail and resale subscribers and they are different from those previously published.</w:t>
      </w:r>
    </w:p>
    <w:p w14:paraId="49423259" w14:textId="77777777" w:rsidR="00E92144" w:rsidRDefault="00E92144" w:rsidP="00E92144">
      <w:pPr>
        <w:pStyle w:val="ACMANotes"/>
      </w:pPr>
      <w:r>
        <w:rPr>
          <w:vertAlign w:val="superscript"/>
        </w:rPr>
        <w:t>#</w:t>
      </w:r>
      <w:r>
        <w:t>Methodology change from 2015 to report total resale (retail services directly connected via another network) and retail</w:t>
      </w:r>
      <w:r w:rsidR="00827004">
        <w:t xml:space="preserve">, excluding </w:t>
      </w:r>
      <w:r>
        <w:t xml:space="preserve">wholesale services in operation. Previously, the ACMA reported total retail and wholesale, excluding resale services in operation. </w:t>
      </w:r>
    </w:p>
    <w:p w14:paraId="0B924DA9" w14:textId="77777777" w:rsidR="00601755" w:rsidRDefault="00601755" w:rsidP="00B5395A">
      <w:pPr>
        <w:pStyle w:val="ACMANotesspaceafter"/>
        <w:spacing w:after="360"/>
      </w:pPr>
      <w:r w:rsidRPr="009660A5">
        <w:t xml:space="preserve">Source: </w:t>
      </w:r>
      <w:r w:rsidRPr="00F32859">
        <w:t>Total retail and resale data: 2015</w:t>
      </w:r>
      <w:r w:rsidR="00CA684A">
        <w:t>–</w:t>
      </w:r>
      <w:r w:rsidRPr="00F32859">
        <w:t>17</w:t>
      </w:r>
      <w:r w:rsidRPr="00103BE7">
        <w:t xml:space="preserve"> figures are ACCC data collected from the providers stated in the Division 12 </w:t>
      </w:r>
      <w:r w:rsidR="00A45B9B">
        <w:t xml:space="preserve">Report </w:t>
      </w:r>
      <w:r w:rsidRPr="00103BE7">
        <w:t xml:space="preserve">Record Keeping </w:t>
      </w:r>
      <w:r w:rsidR="00A45B9B">
        <w:t xml:space="preserve">and Reporting </w:t>
      </w:r>
      <w:r w:rsidRPr="00103BE7">
        <w:t>Rules. 2014 figure is ACCC and ACMA data collected from the top six service providers. 2013 figure is A</w:t>
      </w:r>
      <w:r w:rsidRPr="009660A5">
        <w:t xml:space="preserve">CMA </w:t>
      </w:r>
      <w:r w:rsidRPr="00F32859">
        <w:t>d</w:t>
      </w:r>
      <w:r w:rsidRPr="00103BE7">
        <w:t>ata collected from these service providers. Total Telstra (retail only): Telstra annual reports.</w:t>
      </w:r>
    </w:p>
    <w:bookmarkEnd w:id="372"/>
    <w:bookmarkEnd w:id="373"/>
    <w:bookmarkEnd w:id="374"/>
    <w:bookmarkEnd w:id="375"/>
    <w:p w14:paraId="06BA1142" w14:textId="77777777" w:rsidR="000A1CD9" w:rsidRPr="00FD7E86" w:rsidRDefault="00601755" w:rsidP="00A476E2">
      <w:pPr>
        <w:keepLines/>
        <w:rPr>
          <w:rFonts w:cs="Arial"/>
        </w:rPr>
      </w:pPr>
      <w:r>
        <w:t xml:space="preserve">The number of Australian adults with a fixed-line telephone service at home </w:t>
      </w:r>
      <w:r w:rsidRPr="00C0250A">
        <w:t>continued to decline—</w:t>
      </w:r>
      <w:r>
        <w:t>64</w:t>
      </w:r>
      <w:r w:rsidRPr="00C0250A">
        <w:t xml:space="preserve"> per cent </w:t>
      </w:r>
      <w:r w:rsidR="001F6B08">
        <w:t xml:space="preserve">(11.92 million) </w:t>
      </w:r>
      <w:r w:rsidRPr="00C0250A">
        <w:t xml:space="preserve">had a fixed-line telephone at </w:t>
      </w:r>
      <w:r>
        <w:t xml:space="preserve">home at </w:t>
      </w:r>
      <w:r w:rsidRPr="00C0250A">
        <w:t>June 201</w:t>
      </w:r>
      <w:r>
        <w:t>7</w:t>
      </w:r>
      <w:r w:rsidRPr="00C0250A">
        <w:t>, down from 7</w:t>
      </w:r>
      <w:r>
        <w:t>5</w:t>
      </w:r>
      <w:r w:rsidRPr="00C0250A">
        <w:t xml:space="preserve"> per</w:t>
      </w:r>
      <w:r>
        <w:t xml:space="preserve"> cent four years ago (Figure 1.1</w:t>
      </w:r>
      <w:r w:rsidRPr="00C0250A">
        <w:t>)</w:t>
      </w:r>
      <w:r w:rsidR="000A1CD9" w:rsidRPr="00FD7E86">
        <w:rPr>
          <w:rFonts w:cs="Arial"/>
        </w:rPr>
        <w:t xml:space="preserve">. </w:t>
      </w:r>
      <w:bookmarkStart w:id="376" w:name="_Ref398119410"/>
    </w:p>
    <w:bookmarkEnd w:id="376"/>
    <w:p w14:paraId="2B34C1AE" w14:textId="77777777" w:rsidR="00274A43" w:rsidRDefault="00274A43" w:rsidP="000276D0">
      <w:pPr>
        <w:pStyle w:val="ACMAFigureHeader"/>
        <w:keepNext/>
        <w:keepLines/>
      </w:pPr>
      <w:r w:rsidRPr="00F6101B">
        <w:t>Figure 1.1</w:t>
      </w:r>
      <w:r w:rsidRPr="00F6101B">
        <w:tab/>
      </w:r>
      <w:r>
        <w:t xml:space="preserve">Australians with a </w:t>
      </w:r>
      <w:r w:rsidRPr="00F6101B">
        <w:t xml:space="preserve">fixed-line telephone </w:t>
      </w:r>
      <w:r>
        <w:t xml:space="preserve">service at home </w:t>
      </w:r>
      <w:r w:rsidRPr="00F6101B">
        <w:t>(percentage)</w:t>
      </w:r>
    </w:p>
    <w:p w14:paraId="21F70C9A" w14:textId="77777777" w:rsidR="000A1CD9" w:rsidRPr="00231854" w:rsidRDefault="00EB564E" w:rsidP="0023192D">
      <w:pPr>
        <w:pStyle w:val="ACMATableText"/>
        <w:spacing w:before="0" w:after="0"/>
      </w:pPr>
      <w:r>
        <w:rPr>
          <w:noProof/>
          <w:lang w:eastAsia="en-AU"/>
        </w:rPr>
        <w:drawing>
          <wp:inline distT="0" distB="0" distL="0" distR="0" wp14:anchorId="3BADE560" wp14:editId="631DE6BB">
            <wp:extent cx="5940425" cy="2221865"/>
            <wp:effectExtent l="0" t="0" r="3175" b="6985"/>
            <wp:docPr id="22" name="Picture 22" descr="Data for Figure 1.1 is in the .ods file for Chapter 1 on the landing page ‘Communications report 2016-17’, available from the ACMA website." title="Figure 1.1  Australians with a fixed-line telephone servi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H1 - charts_Figure 1.1.png"/>
                    <pic:cNvPicPr/>
                  </pic:nvPicPr>
                  <pic:blipFill>
                    <a:blip r:embed="rId38">
                      <a:extLst>
                        <a:ext uri="{28A0092B-C50C-407E-A947-70E740481C1C}">
                          <a14:useLocalDpi xmlns:a14="http://schemas.microsoft.com/office/drawing/2010/main" val="0"/>
                        </a:ext>
                      </a:extLst>
                    </a:blip>
                    <a:stretch>
                      <a:fillRect/>
                    </a:stretch>
                  </pic:blipFill>
                  <pic:spPr>
                    <a:xfrm>
                      <a:off x="0" y="0"/>
                      <a:ext cx="5940425" cy="2221865"/>
                    </a:xfrm>
                    <a:prstGeom prst="rect">
                      <a:avLst/>
                    </a:prstGeom>
                  </pic:spPr>
                </pic:pic>
              </a:graphicData>
            </a:graphic>
          </wp:inline>
        </w:drawing>
      </w:r>
    </w:p>
    <w:p w14:paraId="1DAB2200" w14:textId="77777777" w:rsidR="00274A43" w:rsidRDefault="00274A43" w:rsidP="0023192D">
      <w:pPr>
        <w:pStyle w:val="ACMANotes"/>
        <w:spacing w:before="240"/>
      </w:pPr>
      <w:r>
        <w:t xml:space="preserve">Base: Australians </w:t>
      </w:r>
      <w:r w:rsidRPr="004E0B3E">
        <w:t>aged 18 years and over, in the 12 months to June of each year</w:t>
      </w:r>
      <w:r>
        <w:t>.</w:t>
      </w:r>
    </w:p>
    <w:p w14:paraId="49441A5D" w14:textId="77777777" w:rsidR="00274A43" w:rsidRDefault="00274A43" w:rsidP="00274A43">
      <w:pPr>
        <w:pStyle w:val="ACMANotes"/>
      </w:pPr>
      <w:r w:rsidRPr="00900BEF">
        <w:t>Note: Roy Morgan Research changed methodology for this question in 2013.</w:t>
      </w:r>
    </w:p>
    <w:p w14:paraId="54B43CBF" w14:textId="77777777" w:rsidR="000A1CD9" w:rsidRDefault="00274A43" w:rsidP="0023192D">
      <w:pPr>
        <w:pStyle w:val="ACMANotesspaceafter"/>
        <w:spacing w:after="360"/>
      </w:pPr>
      <w:r w:rsidRPr="004E0B3E">
        <w:t>Source: Roy Morgan Single Source</w:t>
      </w:r>
      <w:r w:rsidR="000A1CD9" w:rsidRPr="00795834">
        <w:t>.</w:t>
      </w:r>
    </w:p>
    <w:p w14:paraId="218B58DC" w14:textId="77777777" w:rsidR="005E7721" w:rsidRDefault="005E7721" w:rsidP="0023192D">
      <w:pPr>
        <w:pStyle w:val="Heading2"/>
        <w:keepNext w:val="0"/>
        <w:numPr>
          <w:ilvl w:val="1"/>
          <w:numId w:val="14"/>
        </w:numPr>
      </w:pPr>
      <w:bookmarkStart w:id="377" w:name="_Toc494799332"/>
      <w:bookmarkStart w:id="378" w:name="_Toc494805635"/>
      <w:bookmarkStart w:id="379" w:name="_Toc494805864"/>
      <w:bookmarkStart w:id="380" w:name="_Toc494808094"/>
      <w:bookmarkStart w:id="381" w:name="_Toc494808498"/>
      <w:bookmarkStart w:id="382" w:name="_Toc494815900"/>
      <w:bookmarkStart w:id="383" w:name="_Toc494818761"/>
      <w:bookmarkStart w:id="384" w:name="_Toc494819028"/>
      <w:bookmarkStart w:id="385" w:name="_Toc500320890"/>
      <w:r w:rsidRPr="00FD7E86">
        <w:t>Mobile service availability</w:t>
      </w:r>
      <w:bookmarkEnd w:id="377"/>
      <w:bookmarkEnd w:id="378"/>
      <w:bookmarkEnd w:id="379"/>
      <w:bookmarkEnd w:id="380"/>
      <w:bookmarkEnd w:id="381"/>
      <w:bookmarkEnd w:id="382"/>
      <w:bookmarkEnd w:id="383"/>
      <w:bookmarkEnd w:id="384"/>
      <w:bookmarkEnd w:id="385"/>
    </w:p>
    <w:p w14:paraId="79DCB1DB" w14:textId="77777777" w:rsidR="005E7721" w:rsidRDefault="005E7721" w:rsidP="0023192D">
      <w:pPr>
        <w:rPr>
          <w:rFonts w:cs="Arial"/>
          <w:color w:val="000000" w:themeColor="text1"/>
        </w:rPr>
      </w:pPr>
      <w:r>
        <w:rPr>
          <w:rFonts w:cs="Arial"/>
          <w:color w:val="000000" w:themeColor="text1"/>
        </w:rPr>
        <w:t xml:space="preserve">An estimated 33.64 </w:t>
      </w:r>
      <w:r w:rsidRPr="00505DBD">
        <w:rPr>
          <w:rFonts w:cs="Arial"/>
          <w:color w:val="000000" w:themeColor="text1"/>
        </w:rPr>
        <w:t>million mobile voice and data services were in operation in Au</w:t>
      </w:r>
      <w:r>
        <w:rPr>
          <w:rFonts w:cs="Arial"/>
          <w:color w:val="000000" w:themeColor="text1"/>
        </w:rPr>
        <w:t xml:space="preserve">stralia at June 2017—an increase of 3.2 per cent on the previous year (Figure 1.2). The rate of growth observed in 2017 was similar to that seen in the previous two years. </w:t>
      </w:r>
    </w:p>
    <w:p w14:paraId="22A018C5" w14:textId="77777777" w:rsidR="005E7721" w:rsidRDefault="005E7721" w:rsidP="0023192D">
      <w:pPr>
        <w:rPr>
          <w:rFonts w:cs="Arial"/>
          <w:color w:val="000000" w:themeColor="text1"/>
        </w:rPr>
      </w:pPr>
      <w:r w:rsidDel="001163B8">
        <w:rPr>
          <w:rFonts w:cs="Arial"/>
          <w:color w:val="000000" w:themeColor="text1"/>
        </w:rPr>
        <w:t>Machine-to-machine (</w:t>
      </w:r>
      <w:r>
        <w:rPr>
          <w:rFonts w:cs="Arial"/>
          <w:color w:val="000000" w:themeColor="text1"/>
        </w:rPr>
        <w:t>M2M</w:t>
      </w:r>
      <w:r w:rsidDel="001163B8">
        <w:rPr>
          <w:rFonts w:cs="Arial"/>
          <w:color w:val="000000" w:themeColor="text1"/>
        </w:rPr>
        <w:t>)</w:t>
      </w:r>
      <w:r>
        <w:rPr>
          <w:rFonts w:cs="Arial"/>
          <w:color w:val="000000" w:themeColor="text1"/>
        </w:rPr>
        <w:t xml:space="preserve"> and wholesale services continued to be the largest contributors to the growth in mobile services. Telstra reported M2M revenues growing by 14.7 per cent in 2017.</w:t>
      </w:r>
      <w:r>
        <w:rPr>
          <w:rStyle w:val="EndnoteReference"/>
          <w:rFonts w:cs="Arial"/>
          <w:color w:val="000000" w:themeColor="text1"/>
        </w:rPr>
        <w:endnoteReference w:id="3"/>
      </w:r>
      <w:r>
        <w:rPr>
          <w:rFonts w:cs="Arial"/>
          <w:color w:val="000000" w:themeColor="text1"/>
        </w:rPr>
        <w:t xml:space="preserve"> Vodafone reported large increase in wholesale (MVNO</w:t>
      </w:r>
      <w:r w:rsidR="00765CE9">
        <w:rPr>
          <w:rFonts w:cs="Arial"/>
          <w:color w:val="000000" w:themeColor="text1"/>
        </w:rPr>
        <w:t>—</w:t>
      </w:r>
      <w:r w:rsidR="00765CE9">
        <w:t>mobile virtual network operator</w:t>
      </w:r>
      <w:r>
        <w:rPr>
          <w:rFonts w:cs="Arial"/>
          <w:color w:val="000000" w:themeColor="text1"/>
        </w:rPr>
        <w:t>) customers of 28.7 per cent.</w:t>
      </w:r>
      <w:r>
        <w:rPr>
          <w:rStyle w:val="EndnoteReference"/>
          <w:rFonts w:cs="Arial"/>
          <w:color w:val="000000" w:themeColor="text1"/>
        </w:rPr>
        <w:endnoteReference w:id="4"/>
      </w:r>
      <w:r>
        <w:rPr>
          <w:rFonts w:cs="Arial"/>
          <w:color w:val="000000" w:themeColor="text1"/>
        </w:rPr>
        <w:t xml:space="preserve"> </w:t>
      </w:r>
    </w:p>
    <w:p w14:paraId="72E2FAEE" w14:textId="77777777" w:rsidR="005E7721" w:rsidRDefault="005E7721" w:rsidP="0023192D">
      <w:pPr>
        <w:rPr>
          <w:rFonts w:cs="Arial"/>
          <w:color w:val="000000" w:themeColor="text1"/>
        </w:rPr>
      </w:pPr>
      <w:r>
        <w:rPr>
          <w:rFonts w:cs="Arial"/>
          <w:color w:val="000000" w:themeColor="text1"/>
        </w:rPr>
        <w:t xml:space="preserve">In 2016–17, postpaid mobile services (47 per cent) continued to </w:t>
      </w:r>
      <w:r w:rsidR="00CC6C2C">
        <w:rPr>
          <w:rFonts w:cs="Arial"/>
          <w:color w:val="000000" w:themeColor="text1"/>
        </w:rPr>
        <w:t>comprise</w:t>
      </w:r>
      <w:r>
        <w:rPr>
          <w:rFonts w:cs="Arial"/>
          <w:color w:val="000000" w:themeColor="text1"/>
        </w:rPr>
        <w:t xml:space="preserve"> the largest proportion of all mobile voice and data services in Australia. This was followed by prepaid mobile services (27 per cent), mobile broadband (15 per cent), M2M (seven per cent) and wholesale services, including mobile virtual networks (four per cent). See Figure 1.2 for the actual numbers of mobile services in operation in Australia, in each category. </w:t>
      </w:r>
    </w:p>
    <w:p w14:paraId="08C1739A" w14:textId="77777777" w:rsidR="005E7721" w:rsidRPr="00FD7E86" w:rsidRDefault="005E7721" w:rsidP="000276D0">
      <w:pPr>
        <w:pStyle w:val="ACMAFigureHeader"/>
        <w:keepNext/>
        <w:keepLines/>
      </w:pPr>
      <w:r w:rsidRPr="00947471">
        <w:t>Figure 1.2</w:t>
      </w:r>
      <w:r>
        <w:tab/>
        <w:t>Mobile services in operation by product category (millions)</w:t>
      </w:r>
    </w:p>
    <w:p w14:paraId="007C873B" w14:textId="77777777" w:rsidR="000A1CD9" w:rsidRPr="00231854" w:rsidRDefault="005E7721" w:rsidP="0023192D">
      <w:pPr>
        <w:spacing w:after="0" w:line="240" w:lineRule="auto"/>
      </w:pPr>
      <w:r>
        <w:rPr>
          <w:noProof/>
        </w:rPr>
        <w:drawing>
          <wp:inline distT="0" distB="0" distL="0" distR="0" wp14:anchorId="1555B0C3" wp14:editId="446A07FD">
            <wp:extent cx="5940425" cy="4102100"/>
            <wp:effectExtent l="0" t="0" r="3175" b="0"/>
            <wp:docPr id="11" name="Picture 11" descr="Data for Figure 1.2 is in the .ods file for Chapter 1 on the landing page ‘Communications report 2016-17’, available from the ACMA website." title="Figure 1.2  Mobile services in operation by product category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H1 - charts_Figure 1.2.png"/>
                    <pic:cNvPicPr/>
                  </pic:nvPicPr>
                  <pic:blipFill rotWithShape="1">
                    <a:blip r:embed="rId39">
                      <a:extLst>
                        <a:ext uri="{28A0092B-C50C-407E-A947-70E740481C1C}">
                          <a14:useLocalDpi xmlns:a14="http://schemas.microsoft.com/office/drawing/2010/main" val="0"/>
                        </a:ext>
                      </a:extLst>
                    </a:blip>
                    <a:srcRect t="2766" b="3230"/>
                    <a:stretch/>
                  </pic:blipFill>
                  <pic:spPr bwMode="auto">
                    <a:xfrm>
                      <a:off x="0" y="0"/>
                      <a:ext cx="5940425" cy="4102100"/>
                    </a:xfrm>
                    <a:prstGeom prst="rect">
                      <a:avLst/>
                    </a:prstGeom>
                    <a:ln>
                      <a:noFill/>
                    </a:ln>
                    <a:extLst>
                      <a:ext uri="{53640926-AAD7-44D8-BBD7-CCE9431645EC}">
                        <a14:shadowObscured xmlns:a14="http://schemas.microsoft.com/office/drawing/2010/main"/>
                      </a:ext>
                    </a:extLst>
                  </pic:spPr>
                </pic:pic>
              </a:graphicData>
            </a:graphic>
          </wp:inline>
        </w:drawing>
      </w:r>
    </w:p>
    <w:p w14:paraId="445CA352" w14:textId="77777777" w:rsidR="005E7721" w:rsidRDefault="005E7721" w:rsidP="0023192D">
      <w:pPr>
        <w:pStyle w:val="ACMANotes"/>
        <w:spacing w:before="240"/>
      </w:pPr>
      <w:r>
        <w:t xml:space="preserve">Note: The </w:t>
      </w:r>
      <w:r w:rsidRPr="00EF723A">
        <w:t>total figure includes retail (excluding resale) and wholesale mobile services. The retail services component includes postpaid and prepaid mobile services, mobile broadband, M2M</w:t>
      </w:r>
      <w:r>
        <w:t xml:space="preserve"> and satellite services.</w:t>
      </w:r>
    </w:p>
    <w:p w14:paraId="30F2662B" w14:textId="77777777" w:rsidR="005E7721" w:rsidRDefault="005E7721" w:rsidP="00B5395A">
      <w:pPr>
        <w:pStyle w:val="ACMANotesspaceafter"/>
        <w:spacing w:after="360"/>
      </w:pPr>
      <w:r>
        <w:t xml:space="preserve">Source: </w:t>
      </w:r>
      <w:hyperlink r:id="rId40" w:history="1">
        <w:r w:rsidRPr="00716804">
          <w:rPr>
            <w:rStyle w:val="Hyperlink"/>
          </w:rPr>
          <w:t>Telstra Corporation Limited – Financial results for the full year ended 30 June 2017 – CEO/CFO Analyst Briefing Presentation and Materials</w:t>
        </w:r>
      </w:hyperlink>
      <w:r w:rsidRPr="009C2A8D">
        <w:t>,</w:t>
      </w:r>
      <w:r>
        <w:t xml:space="preserve"> 17 August 2017; </w:t>
      </w:r>
      <w:r w:rsidRPr="007E7E4A">
        <w:t>Singtel Optus Management discussion and analysis of financial condition, results of operations and cash flows for the first quarter ended 30 June 2017</w:t>
      </w:r>
      <w:r>
        <w:t xml:space="preserve">; and Hutchison Telecommunications (Australia) Limited ASX Half Year Information 30 June 2017. </w:t>
      </w:r>
    </w:p>
    <w:p w14:paraId="5E465BB5" w14:textId="77777777" w:rsidR="005E7721" w:rsidRPr="00FD7E86" w:rsidRDefault="005E7721" w:rsidP="00240010">
      <w:pPr>
        <w:pStyle w:val="Heading3"/>
        <w:keepLines/>
        <w:spacing w:before="120"/>
      </w:pPr>
      <w:bookmarkStart w:id="386" w:name="_Toc494799333"/>
      <w:bookmarkStart w:id="387" w:name="_Toc494805636"/>
      <w:bookmarkStart w:id="388" w:name="_Toc494805865"/>
      <w:bookmarkStart w:id="389" w:name="_Toc494808095"/>
      <w:bookmarkStart w:id="390" w:name="_Toc494808499"/>
      <w:bookmarkStart w:id="391" w:name="_Toc494815901"/>
      <w:bookmarkStart w:id="392" w:name="_Toc494818762"/>
      <w:bookmarkStart w:id="393" w:name="_Toc494819029"/>
      <w:r>
        <w:t>Carrier market share</w:t>
      </w:r>
      <w:bookmarkEnd w:id="386"/>
      <w:bookmarkEnd w:id="387"/>
      <w:bookmarkEnd w:id="388"/>
      <w:bookmarkEnd w:id="389"/>
      <w:bookmarkEnd w:id="390"/>
      <w:bookmarkEnd w:id="391"/>
      <w:bookmarkEnd w:id="392"/>
      <w:bookmarkEnd w:id="393"/>
    </w:p>
    <w:p w14:paraId="4C3911A9" w14:textId="77777777" w:rsidR="000A1CD9" w:rsidRDefault="005E7721" w:rsidP="00240010">
      <w:pPr>
        <w:keepNext/>
        <w:keepLines/>
      </w:pPr>
      <w:r w:rsidRPr="00B65BAF">
        <w:rPr>
          <w:rFonts w:cs="Arial"/>
          <w:color w:val="000000" w:themeColor="text1"/>
        </w:rPr>
        <w:t>D</w:t>
      </w:r>
      <w:r>
        <w:rPr>
          <w:color w:val="000000" w:themeColor="text1"/>
        </w:rPr>
        <w:t>uring 2016–17</w:t>
      </w:r>
      <w:r w:rsidRPr="00B65BAF">
        <w:rPr>
          <w:color w:val="000000" w:themeColor="text1"/>
        </w:rPr>
        <w:t xml:space="preserve">, the market share for </w:t>
      </w:r>
      <w:r>
        <w:rPr>
          <w:color w:val="000000" w:themeColor="text1"/>
        </w:rPr>
        <w:t>Australia’s</w:t>
      </w:r>
      <w:r w:rsidRPr="00B65BAF">
        <w:rPr>
          <w:color w:val="000000" w:themeColor="text1"/>
        </w:rPr>
        <w:t xml:space="preserve"> three mobile carriers remained l</w:t>
      </w:r>
      <w:r>
        <w:rPr>
          <w:color w:val="000000" w:themeColor="text1"/>
        </w:rPr>
        <w:t>argely stable.</w:t>
      </w:r>
      <w:r>
        <w:rPr>
          <w:rFonts w:cs="Arial"/>
          <w:color w:val="000000" w:themeColor="text1"/>
        </w:rPr>
        <w:t xml:space="preserve"> Telstra’s share of mobile services decreased slightly by 0.4 of a percentage point to 54.1 per cent. </w:t>
      </w:r>
      <w:r>
        <w:rPr>
          <w:color w:val="000000" w:themeColor="text1"/>
        </w:rPr>
        <w:t>Optus’</w:t>
      </w:r>
      <w:r w:rsidR="005C3C3F">
        <w:rPr>
          <w:color w:val="000000" w:themeColor="text1"/>
        </w:rPr>
        <w:t>s</w:t>
      </w:r>
      <w:r>
        <w:rPr>
          <w:color w:val="000000" w:themeColor="text1"/>
        </w:rPr>
        <w:t xml:space="preserve"> share increased by 0.4 of a percentage point to 29.0</w:t>
      </w:r>
      <w:r w:rsidRPr="00DF7BC7">
        <w:rPr>
          <w:color w:val="000000" w:themeColor="text1"/>
        </w:rPr>
        <w:t xml:space="preserve"> per cent, while </w:t>
      </w:r>
      <w:r>
        <w:rPr>
          <w:color w:val="000000" w:themeColor="text1"/>
        </w:rPr>
        <w:t>Vodafone Australia</w:t>
      </w:r>
      <w:r w:rsidR="005C3C3F">
        <w:rPr>
          <w:color w:val="000000" w:themeColor="text1"/>
        </w:rPr>
        <w:t>’s share</w:t>
      </w:r>
      <w:r>
        <w:rPr>
          <w:color w:val="000000" w:themeColor="text1"/>
        </w:rPr>
        <w:t xml:space="preserve"> remained unchanged at </w:t>
      </w:r>
      <w:r w:rsidRPr="00DF7BC7">
        <w:rPr>
          <w:color w:val="000000" w:themeColor="text1"/>
        </w:rPr>
        <w:t>16.9 per cent (Figure 1.3)</w:t>
      </w:r>
      <w:r w:rsidR="000A1CD9" w:rsidRPr="00FD7E86">
        <w:t>.</w:t>
      </w:r>
    </w:p>
    <w:p w14:paraId="4467513E" w14:textId="77777777" w:rsidR="005E7721" w:rsidRDefault="005E7721" w:rsidP="000276D0">
      <w:pPr>
        <w:pStyle w:val="ACMAFigureHeader"/>
        <w:keepNext/>
        <w:keepLines/>
      </w:pPr>
      <w:r w:rsidRPr="00CA2559">
        <w:t>Figure 1.3</w:t>
      </w:r>
      <w:r w:rsidRPr="00CA2559">
        <w:tab/>
        <w:t>Mobile services in operation—carrier share and customer base</w:t>
      </w:r>
      <w:r>
        <w:t xml:space="preserve"> (percentage)</w:t>
      </w:r>
    </w:p>
    <w:p w14:paraId="4AA490FD" w14:textId="77777777" w:rsidR="000A1CD9" w:rsidRPr="00231854" w:rsidRDefault="005E7721" w:rsidP="00B5395A">
      <w:pPr>
        <w:spacing w:after="0"/>
      </w:pPr>
      <w:r>
        <w:rPr>
          <w:noProof/>
        </w:rPr>
        <w:drawing>
          <wp:inline distT="0" distB="0" distL="0" distR="0" wp14:anchorId="070E5008" wp14:editId="1CE36E5D">
            <wp:extent cx="5940425" cy="1149350"/>
            <wp:effectExtent l="0" t="0" r="3175" b="0"/>
            <wp:docPr id="17" name="Picture 17" descr="Data for Figure 1.3 is in the .ods file for Chapter 1 on the landing page ‘Communications report 2016-17’, available from the ACMA website." title="Figure 1.3  Mobile services i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H1 - charts_Figure 1.3.png"/>
                    <pic:cNvPicPr/>
                  </pic:nvPicPr>
                  <pic:blipFill rotWithShape="1">
                    <a:blip r:embed="rId41">
                      <a:extLst>
                        <a:ext uri="{28A0092B-C50C-407E-A947-70E740481C1C}">
                          <a14:useLocalDpi xmlns:a14="http://schemas.microsoft.com/office/drawing/2010/main" val="0"/>
                        </a:ext>
                      </a:extLst>
                    </a:blip>
                    <a:srcRect/>
                    <a:stretch/>
                  </pic:blipFill>
                  <pic:spPr bwMode="auto">
                    <a:xfrm>
                      <a:off x="0" y="0"/>
                      <a:ext cx="5940425" cy="1149350"/>
                    </a:xfrm>
                    <a:prstGeom prst="rect">
                      <a:avLst/>
                    </a:prstGeom>
                    <a:ln>
                      <a:noFill/>
                    </a:ln>
                    <a:extLst>
                      <a:ext uri="{53640926-AAD7-44D8-BBD7-CCE9431645EC}">
                        <a14:shadowObscured xmlns:a14="http://schemas.microsoft.com/office/drawing/2010/main"/>
                      </a:ext>
                    </a:extLst>
                  </pic:spPr>
                </pic:pic>
              </a:graphicData>
            </a:graphic>
          </wp:inline>
        </w:drawing>
      </w:r>
    </w:p>
    <w:p w14:paraId="265B0F1B" w14:textId="77777777" w:rsidR="005E7721" w:rsidRDefault="005E7721" w:rsidP="0023192D">
      <w:pPr>
        <w:pStyle w:val="ACMANotesspaceafter"/>
        <w:spacing w:before="240" w:after="360"/>
      </w:pPr>
      <w:r>
        <w:t xml:space="preserve">Source: </w:t>
      </w:r>
      <w:hyperlink r:id="rId42" w:history="1">
        <w:r w:rsidRPr="00716804">
          <w:rPr>
            <w:rStyle w:val="Hyperlink"/>
          </w:rPr>
          <w:t>Telstra Corporation Limited – Financial results for the full year ended 30 June 2017 – CEO/CFO Analyst Briefing Presentation and Materials</w:t>
        </w:r>
      </w:hyperlink>
      <w:r w:rsidRPr="009C2A8D">
        <w:t>,</w:t>
      </w:r>
      <w:r>
        <w:t xml:space="preserve"> 17 August 2017; Singtel Management discussion and analysis of financial condition, results of operations and cash slows for the first quarter and year ended 30 June 2017; and Hutchison Telecommunications (Australia) Limited ASX Half Year Information 30 June 2017. </w:t>
      </w:r>
    </w:p>
    <w:p w14:paraId="0E5F4672" w14:textId="77777777" w:rsidR="005E7721" w:rsidRPr="00FD7E86" w:rsidRDefault="005E7721" w:rsidP="005E7721">
      <w:pPr>
        <w:pStyle w:val="Heading3"/>
        <w:spacing w:before="240"/>
      </w:pPr>
      <w:bookmarkStart w:id="394" w:name="_Toc494799334"/>
      <w:bookmarkStart w:id="395" w:name="_Toc494805637"/>
      <w:bookmarkStart w:id="396" w:name="_Toc494805866"/>
      <w:bookmarkStart w:id="397" w:name="_Toc494808096"/>
      <w:bookmarkStart w:id="398" w:name="_Toc494808528"/>
      <w:bookmarkStart w:id="399" w:name="_Toc494815902"/>
      <w:bookmarkStart w:id="400" w:name="_Toc494818763"/>
      <w:bookmarkStart w:id="401" w:name="_Toc494819030"/>
      <w:bookmarkStart w:id="402" w:name="_Toc462132193"/>
      <w:bookmarkStart w:id="403" w:name="_Toc462899540"/>
      <w:bookmarkStart w:id="404" w:name="_Toc433790293"/>
      <w:bookmarkStart w:id="405" w:name="_Toc463529020"/>
      <w:r w:rsidRPr="00FD7E86">
        <w:t xml:space="preserve">Mobile network </w:t>
      </w:r>
      <w:r>
        <w:t>coverage</w:t>
      </w:r>
      <w:bookmarkEnd w:id="394"/>
      <w:bookmarkEnd w:id="395"/>
      <w:bookmarkEnd w:id="396"/>
      <w:bookmarkEnd w:id="397"/>
      <w:bookmarkEnd w:id="398"/>
      <w:bookmarkEnd w:id="399"/>
      <w:bookmarkEnd w:id="400"/>
      <w:bookmarkEnd w:id="401"/>
      <w:r>
        <w:t xml:space="preserve"> </w:t>
      </w:r>
    </w:p>
    <w:p w14:paraId="781E2966" w14:textId="77777777" w:rsidR="005E7721" w:rsidRPr="0060626F" w:rsidRDefault="005E7721" w:rsidP="005E7721">
      <w:r>
        <w:t xml:space="preserve">Mobile network operators continued to expand their network coverage and have committed substantial resources to further extend and enhance their network </w:t>
      </w:r>
      <w:r w:rsidRPr="0060626F">
        <w:t>performance</w:t>
      </w:r>
      <w:r w:rsidR="005C3C3F">
        <w:t>.</w:t>
      </w:r>
    </w:p>
    <w:p w14:paraId="382731C8" w14:textId="77777777" w:rsidR="005E7721" w:rsidRPr="00E07CAE" w:rsidRDefault="005E7721" w:rsidP="003D67C0">
      <w:pPr>
        <w:rPr>
          <w:rFonts w:cs="Arial"/>
        </w:rPr>
      </w:pPr>
      <w:r w:rsidRPr="00E07CAE">
        <w:rPr>
          <w:rFonts w:cs="Arial"/>
        </w:rPr>
        <w:t xml:space="preserve">On 1 August 2017, Telstra announced its 4G coverage would reach 99 per cent of the population, following a completion of mobile sites in regional Victoria and regional Western Australia, coupled with </w:t>
      </w:r>
      <w:r w:rsidRPr="004447D3">
        <w:rPr>
          <w:rFonts w:cs="Arial"/>
        </w:rPr>
        <w:t>4GX</w:t>
      </w:r>
      <w:r w:rsidRPr="00E07CAE">
        <w:rPr>
          <w:rFonts w:cs="Arial"/>
        </w:rPr>
        <w:t xml:space="preserve"> upgrades on the east coast.</w:t>
      </w:r>
      <w:r w:rsidRPr="003D67C0">
        <w:rPr>
          <w:vertAlign w:val="superscript"/>
        </w:rPr>
        <w:endnoteReference w:id="5"/>
      </w:r>
      <w:r w:rsidRPr="003D67C0">
        <w:rPr>
          <w:vertAlign w:val="superscript"/>
        </w:rPr>
        <w:t xml:space="preserve"> </w:t>
      </w:r>
      <w:r w:rsidRPr="00E07CAE">
        <w:rPr>
          <w:rFonts w:cs="Arial"/>
        </w:rPr>
        <w:t>In August 2017, Telstra had more than 7,000 4G sites across the country and 800 of these were upgraded to 4GX in the last six months.</w:t>
      </w:r>
      <w:r w:rsidRPr="003D67C0">
        <w:rPr>
          <w:vertAlign w:val="superscript"/>
        </w:rPr>
        <w:endnoteReference w:id="6"/>
      </w:r>
    </w:p>
    <w:p w14:paraId="52AD85B8" w14:textId="77777777" w:rsidR="005E7721" w:rsidRPr="00E07CAE" w:rsidRDefault="005E7721" w:rsidP="003D67C0">
      <w:pPr>
        <w:rPr>
          <w:rFonts w:cs="Arial"/>
        </w:rPr>
      </w:pPr>
      <w:r w:rsidRPr="00E07CAE">
        <w:rPr>
          <w:rFonts w:cs="Arial"/>
        </w:rPr>
        <w:t>Optus continued to invest in its 4G coverage and deepen its network for seamless delivery of bandwidth-intensive content</w:t>
      </w:r>
      <w:r w:rsidRPr="00F12945">
        <w:rPr>
          <w:rFonts w:cs="Arial"/>
          <w:vertAlign w:val="superscript"/>
        </w:rPr>
        <w:endnoteReference w:id="7"/>
      </w:r>
      <w:r w:rsidRPr="00E07CAE">
        <w:rPr>
          <w:rFonts w:cs="Arial"/>
        </w:rPr>
        <w:t>, reaching 96 per cent of 4G population coverage with 5,872 sites upgraded to 4G</w:t>
      </w:r>
      <w:r w:rsidR="005C3C3F">
        <w:rPr>
          <w:rFonts w:cs="Arial"/>
        </w:rPr>
        <w:t>. Of</w:t>
      </w:r>
      <w:r w:rsidRPr="00E07CAE">
        <w:rPr>
          <w:rFonts w:cs="Arial"/>
        </w:rPr>
        <w:t xml:space="preserve"> </w:t>
      </w:r>
      <w:r w:rsidR="005C3C3F">
        <w:rPr>
          <w:rFonts w:cs="Arial"/>
        </w:rPr>
        <w:t>these,</w:t>
      </w:r>
      <w:r w:rsidRPr="00E07CAE">
        <w:rPr>
          <w:rFonts w:cs="Arial"/>
        </w:rPr>
        <w:t xml:space="preserve"> 4,893 have been upgraded to 700 MHz spectrum.</w:t>
      </w:r>
      <w:r w:rsidRPr="003D67C0">
        <w:rPr>
          <w:vertAlign w:val="superscript"/>
        </w:rPr>
        <w:endnoteReference w:id="8"/>
      </w:r>
      <w:r w:rsidRPr="00E07CAE">
        <w:rPr>
          <w:rFonts w:cs="Arial"/>
        </w:rPr>
        <w:t xml:space="preserve"> </w:t>
      </w:r>
    </w:p>
    <w:p w14:paraId="65EFC94B" w14:textId="77777777" w:rsidR="005E7721" w:rsidRPr="00E07CAE" w:rsidRDefault="005E7721" w:rsidP="003D67C0">
      <w:pPr>
        <w:rPr>
          <w:rFonts w:cs="Arial"/>
        </w:rPr>
      </w:pPr>
      <w:r w:rsidRPr="00E07CAE">
        <w:rPr>
          <w:rFonts w:cs="Arial"/>
        </w:rPr>
        <w:t xml:space="preserve">Vodafone’s 4G services reached more than 22 million Australians. During the </w:t>
      </w:r>
      <w:r w:rsidR="006D6897">
        <w:rPr>
          <w:rFonts w:cs="Arial"/>
        </w:rPr>
        <w:t xml:space="preserve">2016 </w:t>
      </w:r>
      <w:r w:rsidRPr="00E07CAE">
        <w:rPr>
          <w:rFonts w:cs="Arial"/>
        </w:rPr>
        <w:t>calendar year, Vodafone added 111 new sites and performed over 2,200 upgrades across the country.</w:t>
      </w:r>
      <w:r w:rsidRPr="003D67C0">
        <w:rPr>
          <w:vertAlign w:val="superscript"/>
        </w:rPr>
        <w:endnoteReference w:id="9"/>
      </w:r>
    </w:p>
    <w:p w14:paraId="3B0A4034" w14:textId="77777777" w:rsidR="005E7721" w:rsidRDefault="005E7721" w:rsidP="005E7721">
      <w:r>
        <w:t xml:space="preserve">Network operators are increasing </w:t>
      </w:r>
      <w:r w:rsidR="006D6897">
        <w:t xml:space="preserve">service </w:t>
      </w:r>
      <w:r>
        <w:t>efficiency by closing legacy technologies such as the 2G (GSM network). T</w:t>
      </w:r>
      <w:r w:rsidRPr="005927DE">
        <w:t>elstra’s 2G network was closed on 1 December 2016 across Australia (excluding Christmas Island). Optus closed its 2G mobile services in Northern Territory and Western</w:t>
      </w:r>
      <w:r>
        <w:t xml:space="preserve"> Australia on 3 April 2017, with </w:t>
      </w:r>
      <w:r w:rsidRPr="005927DE">
        <w:t xml:space="preserve">remaining states and </w:t>
      </w:r>
      <w:r w:rsidRPr="00417EAF">
        <w:t>territories</w:t>
      </w:r>
      <w:r>
        <w:t xml:space="preserve"> closed down</w:t>
      </w:r>
      <w:r w:rsidRPr="00417EAF">
        <w:t xml:space="preserve"> </w:t>
      </w:r>
      <w:r>
        <w:t xml:space="preserve">in </w:t>
      </w:r>
      <w:r w:rsidRPr="00417EAF">
        <w:t>August 2017.</w:t>
      </w:r>
      <w:r w:rsidRPr="005927DE">
        <w:t xml:space="preserve"> Vodafone </w:t>
      </w:r>
      <w:r w:rsidRPr="009F6292">
        <w:t xml:space="preserve">plans to </w:t>
      </w:r>
      <w:r>
        <w:t>close</w:t>
      </w:r>
      <w:r w:rsidRPr="009F6292">
        <w:t xml:space="preserve"> down its 2G</w:t>
      </w:r>
      <w:r w:rsidRPr="005927DE">
        <w:t xml:space="preserve"> </w:t>
      </w:r>
      <w:r w:rsidRPr="00417EAF">
        <w:t>networks by 31 March 2018</w:t>
      </w:r>
      <w:r w:rsidRPr="005927DE">
        <w:t>.</w:t>
      </w:r>
      <w:r>
        <w:rPr>
          <w:rStyle w:val="EndnoteReference"/>
        </w:rPr>
        <w:endnoteReference w:id="10"/>
      </w:r>
    </w:p>
    <w:p w14:paraId="134DCB55" w14:textId="77777777" w:rsidR="005E7721" w:rsidRPr="00DA07A9" w:rsidRDefault="005E7721" w:rsidP="005E7721">
      <w:pPr>
        <w:pStyle w:val="Heading3"/>
      </w:pPr>
      <w:bookmarkStart w:id="406" w:name="_Toc494799335"/>
      <w:bookmarkStart w:id="407" w:name="_Toc494805638"/>
      <w:bookmarkStart w:id="408" w:name="_Toc494805867"/>
      <w:bookmarkStart w:id="409" w:name="_Toc494808097"/>
      <w:bookmarkStart w:id="410" w:name="_Toc494808529"/>
      <w:bookmarkStart w:id="411" w:name="_Toc494815903"/>
      <w:bookmarkStart w:id="412" w:name="_Toc494818764"/>
      <w:bookmarkStart w:id="413" w:name="_Toc494819031"/>
      <w:r w:rsidRPr="00746D35">
        <w:t>Future</w:t>
      </w:r>
      <w:r>
        <w:t xml:space="preserve"> investments in 4G networks</w:t>
      </w:r>
      <w:bookmarkEnd w:id="406"/>
      <w:bookmarkEnd w:id="407"/>
      <w:bookmarkEnd w:id="408"/>
      <w:bookmarkEnd w:id="409"/>
      <w:bookmarkEnd w:id="410"/>
      <w:bookmarkEnd w:id="411"/>
      <w:bookmarkEnd w:id="412"/>
      <w:bookmarkEnd w:id="413"/>
      <w:r>
        <w:t xml:space="preserve"> </w:t>
      </w:r>
    </w:p>
    <w:p w14:paraId="2A7E3773" w14:textId="77777777" w:rsidR="005E7721" w:rsidRPr="00DD5C96" w:rsidRDefault="005E7721" w:rsidP="005E7721">
      <w:r>
        <w:t>Telstra announced it would invest $1.5 billion in its networks over the next three years, with the aim of delivering double the speeds of standard 4G to 87 per cent of Australians by the end of June 2019. A significant proportion of capital expenditure is to be spent on extending their 4G and 4GX networks to deliver more coverage, more reliable voice and data, fewer dropouts and faster download speeds.</w:t>
      </w:r>
      <w:r>
        <w:rPr>
          <w:rStyle w:val="EndnoteReference"/>
        </w:rPr>
        <w:endnoteReference w:id="11"/>
      </w:r>
    </w:p>
    <w:p w14:paraId="4721F9C3" w14:textId="77777777" w:rsidR="005E7721" w:rsidRPr="00DD5C96" w:rsidRDefault="005E7721" w:rsidP="005E7721">
      <w:r>
        <w:t>Optus committed $1</w:t>
      </w:r>
      <w:r w:rsidR="00A53950">
        <w:t> </w:t>
      </w:r>
      <w:r>
        <w:t>billion to improve and expand its mobile network in regional Australia by June 2018, building 500 new mobile sites in regional and remote areas</w:t>
      </w:r>
      <w:r w:rsidR="001F52B5">
        <w:t>,</w:t>
      </w:r>
      <w:r>
        <w:t xml:space="preserve"> and upgrading more than 1,800 sites to 4G, as well as adding additional 4G capacity to more than 200 sites.</w:t>
      </w:r>
      <w:r>
        <w:rPr>
          <w:rStyle w:val="EndnoteReference"/>
        </w:rPr>
        <w:endnoteReference w:id="12"/>
      </w:r>
      <w:r>
        <w:t xml:space="preserve"> Optus also pledged $17.5 million to improve 4G coverage in Devonport, Launceston, Hobart and the east coast</w:t>
      </w:r>
      <w:r>
        <w:rPr>
          <w:rStyle w:val="EndnoteReference"/>
        </w:rPr>
        <w:endnoteReference w:id="13"/>
      </w:r>
      <w:r w:rsidR="006C518F">
        <w:t>,</w:t>
      </w:r>
      <w:r>
        <w:t xml:space="preserve"> and another $20 million to its mobile network across the Gold Coast ahead of the 2018 Commonwealth Games.</w:t>
      </w:r>
      <w:r>
        <w:rPr>
          <w:rStyle w:val="EndnoteReference"/>
        </w:rPr>
        <w:endnoteReference w:id="14"/>
      </w:r>
      <w:r>
        <w:t xml:space="preserve"> </w:t>
      </w:r>
    </w:p>
    <w:p w14:paraId="7D779683" w14:textId="77777777" w:rsidR="005E7721" w:rsidRDefault="005E7721" w:rsidP="005E7721">
      <w:r>
        <w:t>On 1 August 2017, Vodafone announced an almost $2 billion spend to increase coverage, capacity and performance of its mobile network, including almost 1,800 new and upgraded sites, with approximately 450 new sites and site upgrades in regional Australia.</w:t>
      </w:r>
      <w:r>
        <w:rPr>
          <w:rStyle w:val="EndnoteReference"/>
        </w:rPr>
        <w:endnoteReference w:id="15"/>
      </w:r>
      <w:r>
        <w:t xml:space="preserve"> </w:t>
      </w:r>
      <w:r>
        <w:rPr>
          <w:rStyle w:val="EndnoteReference"/>
        </w:rPr>
        <w:endnoteReference w:id="16"/>
      </w:r>
      <w:r>
        <w:t xml:space="preserve"> </w:t>
      </w:r>
    </w:p>
    <w:p w14:paraId="6FD61646" w14:textId="77777777" w:rsidR="005E7721" w:rsidRDefault="005E7721" w:rsidP="005E7721">
      <w:pPr>
        <w:rPr>
          <w:lang w:val="en"/>
        </w:rPr>
      </w:pPr>
      <w:r w:rsidRPr="00467A39">
        <w:t xml:space="preserve">The future ability of mobile carriers to </w:t>
      </w:r>
      <w:r w:rsidRPr="00C6689D">
        <w:t>extend</w:t>
      </w:r>
      <w:r w:rsidRPr="00467A39">
        <w:t xml:space="preserve"> the reach and perfo</w:t>
      </w:r>
      <w:r>
        <w:t>rmance of their 4G networks relies</w:t>
      </w:r>
      <w:r w:rsidRPr="00467A39">
        <w:t xml:space="preserve"> on the availability and access of suitable spectrum. On 10 April 2017, the</w:t>
      </w:r>
      <w:r>
        <w:t xml:space="preserve"> ACMA</w:t>
      </w:r>
      <w:r w:rsidRPr="00467A39">
        <w:t xml:space="preserve"> completed the auction of the remaining unallocated portion of the 700 MHz ‘digital dividend’ spectrum. This spectrum band is highly valued for mobile broadband, particular</w:t>
      </w:r>
      <w:r>
        <w:t>ly</w:t>
      </w:r>
      <w:r w:rsidRPr="00467A39">
        <w:t xml:space="preserve"> 4G services. TPG Internet Pty Ltd secured 2x10 MHz for $1.26 billion</w:t>
      </w:r>
      <w:r w:rsidR="006C518F">
        <w:t>,</w:t>
      </w:r>
      <w:r w:rsidRPr="00467A39">
        <w:t xml:space="preserve"> </w:t>
      </w:r>
      <w:r>
        <w:t xml:space="preserve">while </w:t>
      </w:r>
      <w:r w:rsidRPr="00467A39">
        <w:t>Vodafone Hutchison Australia Pty Ltd secured 2x5 MHz for $286 million</w:t>
      </w:r>
      <w:r>
        <w:rPr>
          <w:lang w:val="en"/>
        </w:rPr>
        <w:t>.</w:t>
      </w:r>
      <w:r>
        <w:rPr>
          <w:rStyle w:val="EndnoteReference"/>
          <w:lang w:val="en"/>
        </w:rPr>
        <w:endnoteReference w:id="17"/>
      </w:r>
      <w:r>
        <w:rPr>
          <w:lang w:val="en"/>
        </w:rPr>
        <w:t xml:space="preserve"> </w:t>
      </w:r>
      <w:r>
        <w:rPr>
          <w:rStyle w:val="EndnoteReference"/>
          <w:lang w:val="en"/>
        </w:rPr>
        <w:endnoteReference w:id="18"/>
      </w:r>
      <w:r>
        <w:rPr>
          <w:lang w:val="en"/>
        </w:rPr>
        <w:t xml:space="preserve"> </w:t>
      </w:r>
    </w:p>
    <w:p w14:paraId="032170D9" w14:textId="77777777" w:rsidR="005E7721" w:rsidRDefault="005E7721" w:rsidP="005E7721">
      <w:pPr>
        <w:rPr>
          <w:lang w:val="en"/>
        </w:rPr>
      </w:pPr>
      <w:r>
        <w:rPr>
          <w:lang w:val="en"/>
        </w:rPr>
        <w:t>In early August 2017, the ACMA announced plans for a multi-band spectrum auction to be launched before the end of 2017, comprising lots from the 1800</w:t>
      </w:r>
      <w:r w:rsidR="006C518F">
        <w:rPr>
          <w:lang w:val="en"/>
        </w:rPr>
        <w:t> </w:t>
      </w:r>
      <w:r>
        <w:rPr>
          <w:lang w:val="en"/>
        </w:rPr>
        <w:t>MHz, 2</w:t>
      </w:r>
      <w:r w:rsidR="006C518F">
        <w:rPr>
          <w:lang w:val="en"/>
        </w:rPr>
        <w:t> </w:t>
      </w:r>
      <w:r>
        <w:rPr>
          <w:lang w:val="en"/>
        </w:rPr>
        <w:t>GHz, 2.3</w:t>
      </w:r>
      <w:r w:rsidR="006C518F">
        <w:rPr>
          <w:lang w:val="en"/>
        </w:rPr>
        <w:t> </w:t>
      </w:r>
      <w:r>
        <w:rPr>
          <w:lang w:val="en"/>
        </w:rPr>
        <w:t>GHz and 3.4</w:t>
      </w:r>
      <w:r w:rsidR="006C518F">
        <w:rPr>
          <w:lang w:val="en"/>
        </w:rPr>
        <w:t> </w:t>
      </w:r>
      <w:r>
        <w:rPr>
          <w:lang w:val="en"/>
        </w:rPr>
        <w:t>GHz bands. The spectrum auction is expected to be open to any organisation, though it is anticipated most of the interest will come from carriers for 4G and future 5G mobile broadband services.</w:t>
      </w:r>
      <w:r>
        <w:rPr>
          <w:rStyle w:val="EndnoteReference"/>
          <w:lang w:val="en"/>
        </w:rPr>
        <w:endnoteReference w:id="19"/>
      </w:r>
      <w:r>
        <w:rPr>
          <w:lang w:val="en"/>
        </w:rPr>
        <w:t xml:space="preserve"> </w:t>
      </w:r>
    </w:p>
    <w:p w14:paraId="34F2DA39" w14:textId="77777777" w:rsidR="005E7721" w:rsidRPr="00FA6CDC" w:rsidRDefault="005E7721" w:rsidP="005E7721">
      <w:pPr>
        <w:pStyle w:val="Heading3"/>
      </w:pPr>
      <w:bookmarkStart w:id="414" w:name="_Toc494799336"/>
      <w:bookmarkStart w:id="415" w:name="_Toc494805639"/>
      <w:bookmarkStart w:id="416" w:name="_Toc494805868"/>
      <w:bookmarkStart w:id="417" w:name="_Toc494808098"/>
      <w:bookmarkStart w:id="418" w:name="_Toc494808530"/>
      <w:bookmarkStart w:id="419" w:name="_Toc494815904"/>
      <w:bookmarkStart w:id="420" w:name="_Toc494818765"/>
      <w:bookmarkStart w:id="421" w:name="_Toc494819032"/>
      <w:r w:rsidRPr="00FA6CDC">
        <w:t>Mobile Black Spot Program</w:t>
      </w:r>
      <w:bookmarkEnd w:id="414"/>
      <w:bookmarkEnd w:id="415"/>
      <w:bookmarkEnd w:id="416"/>
      <w:bookmarkEnd w:id="417"/>
      <w:bookmarkEnd w:id="418"/>
      <w:bookmarkEnd w:id="419"/>
      <w:bookmarkEnd w:id="420"/>
      <w:bookmarkEnd w:id="421"/>
    </w:p>
    <w:p w14:paraId="63AA88AF" w14:textId="77777777" w:rsidR="005E7721" w:rsidRDefault="005E7721" w:rsidP="0055318E">
      <w:pPr>
        <w:keepNext/>
        <w:keepLines/>
      </w:pPr>
      <w:r>
        <w:t xml:space="preserve">The Australian </w:t>
      </w:r>
      <w:r w:rsidR="006C518F">
        <w:t>G</w:t>
      </w:r>
      <w:r>
        <w:t xml:space="preserve">overnment continued to invest in the Mobile Black Spot Program, which aims to improve mobile coverage and competition </w:t>
      </w:r>
      <w:r w:rsidR="005556EE">
        <w:t>across</w:t>
      </w:r>
      <w:r>
        <w:t xml:space="preserve"> Australia. </w:t>
      </w:r>
      <w:r w:rsidR="005556EE">
        <w:t xml:space="preserve">The </w:t>
      </w:r>
      <w:r w:rsidR="00257197">
        <w:t>g</w:t>
      </w:r>
      <w:r w:rsidR="005556EE">
        <w:t>overnment’s $220 million commitment to the program is being supported by co</w:t>
      </w:r>
      <w:r w:rsidR="005556EE">
        <w:noBreakHyphen/>
        <w:t>contributions from the mobile carriers Telstra, Optus and Vodafone, state and local governments, businesses and community organisations</w:t>
      </w:r>
      <w:r w:rsidR="0055318E">
        <w:t>.</w:t>
      </w:r>
    </w:p>
    <w:p w14:paraId="204A9976" w14:textId="77777777" w:rsidR="005E7721" w:rsidRDefault="005556EE" w:rsidP="005E7721">
      <w:r>
        <w:t>Collectively</w:t>
      </w:r>
      <w:r w:rsidR="00281AFE">
        <w:t>,</w:t>
      </w:r>
      <w:r>
        <w:t xml:space="preserve"> $385 million is being invested in round 1 to deliver 499 new mobile base stations across the country. On 1 December 2016, the government announced that round 2 of the program would deliver 266 new mobile base stations, for a combined total investment of $213 million for round 2</w:t>
      </w:r>
      <w:r w:rsidR="005E7721">
        <w:t>.</w:t>
      </w:r>
      <w:r w:rsidR="005E7721">
        <w:rPr>
          <w:rStyle w:val="EndnoteReference"/>
        </w:rPr>
        <w:endnoteReference w:id="20"/>
      </w:r>
      <w:r w:rsidR="005E7721">
        <w:t xml:space="preserve"> </w:t>
      </w:r>
    </w:p>
    <w:p w14:paraId="68EE0F51" w14:textId="11DAC687" w:rsidR="005E7721" w:rsidRDefault="00D662BA" w:rsidP="005E7721">
      <w:r>
        <w:t>T</w:t>
      </w:r>
      <w:r w:rsidR="005556EE">
        <w:t>he government has allocated $60</w:t>
      </w:r>
      <w:r w:rsidR="00281AFE">
        <w:t> </w:t>
      </w:r>
      <w:r w:rsidR="005556EE">
        <w:t>million to target 125 specific priority locations across Australia</w:t>
      </w:r>
      <w:r w:rsidR="005E7721">
        <w:t>.</w:t>
      </w:r>
      <w:r w:rsidR="005E7721">
        <w:rPr>
          <w:rStyle w:val="EndnoteReference"/>
        </w:rPr>
        <w:endnoteReference w:id="21"/>
      </w:r>
      <w:r w:rsidR="005E7721">
        <w:t xml:space="preserve"> </w:t>
      </w:r>
    </w:p>
    <w:p w14:paraId="1006092C" w14:textId="77777777" w:rsidR="00D662BA" w:rsidRDefault="005E7721" w:rsidP="00D662BA">
      <w:pPr>
        <w:spacing w:after="80"/>
      </w:pPr>
      <w:r>
        <w:t xml:space="preserve">As part of the </w:t>
      </w:r>
      <w:r w:rsidR="00825FB3">
        <w:t>p</w:t>
      </w:r>
      <w:r>
        <w:t>rogram</w:t>
      </w:r>
      <w:r w:rsidR="00D662BA">
        <w:t>:</w:t>
      </w:r>
    </w:p>
    <w:p w14:paraId="0FCE9342" w14:textId="0B155AD9" w:rsidR="005E7721" w:rsidRDefault="005E7721" w:rsidP="0086095B">
      <w:pPr>
        <w:pStyle w:val="ListBullet"/>
      </w:pPr>
      <w:r>
        <w:t xml:space="preserve">Vodafone is building </w:t>
      </w:r>
      <w:r w:rsidR="008813FC">
        <w:t>74 base stations</w:t>
      </w:r>
      <w:r w:rsidR="00F10D39">
        <w:t>.</w:t>
      </w:r>
      <w:r>
        <w:rPr>
          <w:rStyle w:val="EndnoteReference"/>
        </w:rPr>
        <w:endnoteReference w:id="22"/>
      </w:r>
    </w:p>
    <w:p w14:paraId="02F415FC" w14:textId="115D98ED" w:rsidR="005E7721" w:rsidRDefault="005E7721" w:rsidP="0086095B">
      <w:pPr>
        <w:pStyle w:val="ListBullet"/>
      </w:pPr>
      <w:r>
        <w:t xml:space="preserve">Optus </w:t>
      </w:r>
      <w:r w:rsidR="00D662BA">
        <w:t xml:space="preserve">has </w:t>
      </w:r>
      <w:r>
        <w:t>secured $26.4 million in funding</w:t>
      </w:r>
      <w:r w:rsidR="00D662BA">
        <w:t>, and</w:t>
      </w:r>
      <w:r w:rsidR="00825FB3">
        <w:t xml:space="preserve"> </w:t>
      </w:r>
      <w:r>
        <w:t>has pledged a further $36.4 million to provide connectivity to thousands of people across regional and rural Australia</w:t>
      </w:r>
      <w:r>
        <w:rPr>
          <w:rStyle w:val="EndnoteReference"/>
        </w:rPr>
        <w:endnoteReference w:id="23"/>
      </w:r>
      <w:r>
        <w:t>, with a commitment to build 114 sites.</w:t>
      </w:r>
      <w:r>
        <w:rPr>
          <w:rStyle w:val="EndnoteReference"/>
        </w:rPr>
        <w:endnoteReference w:id="24"/>
      </w:r>
      <w:r>
        <w:t xml:space="preserve"> </w:t>
      </w:r>
    </w:p>
    <w:p w14:paraId="68FC1134" w14:textId="3CFBF40D" w:rsidR="005E7721" w:rsidRPr="008226F3" w:rsidRDefault="005E7721" w:rsidP="0086095B">
      <w:pPr>
        <w:pStyle w:val="ListBulletLast"/>
      </w:pPr>
      <w:r>
        <w:t xml:space="preserve">Telstra is deploying 577 new base stations and up to 250 </w:t>
      </w:r>
      <w:r w:rsidR="005556EE">
        <w:t xml:space="preserve">4G </w:t>
      </w:r>
      <w:r>
        <w:t>small cells to improve and expand mobile coverage</w:t>
      </w:r>
      <w:r w:rsidRPr="008D6BB4">
        <w:t>.</w:t>
      </w:r>
      <w:r w:rsidRPr="008D6BB4">
        <w:rPr>
          <w:rStyle w:val="EndnoteReference"/>
        </w:rPr>
        <w:endnoteReference w:id="25"/>
      </w:r>
      <w:r w:rsidRPr="008D6BB4">
        <w:t xml:space="preserve"> During 2016</w:t>
      </w:r>
      <w:r w:rsidRPr="008D6BB4">
        <w:rPr>
          <w:color w:val="000000" w:themeColor="text1"/>
        </w:rPr>
        <w:t>–</w:t>
      </w:r>
      <w:r w:rsidRPr="008D6BB4">
        <w:t>17, Telstra built 174 new mobile sites and more than 100 4G small cells in small regional and remote communities.</w:t>
      </w:r>
      <w:r w:rsidRPr="008D6BB4">
        <w:rPr>
          <w:rStyle w:val="EndnoteReference"/>
        </w:rPr>
        <w:endnoteReference w:id="26"/>
      </w:r>
    </w:p>
    <w:p w14:paraId="292CDBA0" w14:textId="77777777" w:rsidR="00973DFE" w:rsidRDefault="00973DFE" w:rsidP="0023192D">
      <w:pPr>
        <w:pStyle w:val="Heading2"/>
        <w:keepNext w:val="0"/>
        <w:numPr>
          <w:ilvl w:val="1"/>
          <w:numId w:val="14"/>
        </w:numPr>
      </w:pPr>
      <w:bookmarkStart w:id="422" w:name="_Toc494799337"/>
      <w:bookmarkStart w:id="423" w:name="_Toc494805640"/>
      <w:bookmarkStart w:id="424" w:name="_Toc494805869"/>
      <w:bookmarkStart w:id="425" w:name="_Toc494808099"/>
      <w:bookmarkStart w:id="426" w:name="_Toc494808531"/>
      <w:bookmarkStart w:id="427" w:name="_Toc494815905"/>
      <w:bookmarkStart w:id="428" w:name="_Toc494818766"/>
      <w:bookmarkStart w:id="429" w:name="_Toc494819033"/>
      <w:bookmarkStart w:id="430" w:name="_Toc500320891"/>
      <w:bookmarkStart w:id="431" w:name="_Toc462132194"/>
      <w:bookmarkStart w:id="432" w:name="_Toc462899541"/>
      <w:bookmarkStart w:id="433" w:name="_Toc463529021"/>
      <w:bookmarkStart w:id="434" w:name="_Toc433790294"/>
      <w:bookmarkEnd w:id="402"/>
      <w:bookmarkEnd w:id="403"/>
      <w:bookmarkEnd w:id="404"/>
      <w:bookmarkEnd w:id="405"/>
      <w:r>
        <w:t>Zooming</w:t>
      </w:r>
      <w:r w:rsidR="00825FB3">
        <w:t xml:space="preserve"> </w:t>
      </w:r>
      <w:r>
        <w:t>in on mobile</w:t>
      </w:r>
      <w:bookmarkEnd w:id="422"/>
      <w:bookmarkEnd w:id="423"/>
      <w:bookmarkEnd w:id="424"/>
      <w:bookmarkEnd w:id="425"/>
      <w:bookmarkEnd w:id="426"/>
      <w:bookmarkEnd w:id="427"/>
      <w:bookmarkEnd w:id="428"/>
      <w:bookmarkEnd w:id="429"/>
      <w:bookmarkEnd w:id="430"/>
      <w:r w:rsidRPr="00211F98">
        <w:t xml:space="preserve"> </w:t>
      </w:r>
    </w:p>
    <w:p w14:paraId="38F24A8A" w14:textId="77777777" w:rsidR="00973DFE" w:rsidRDefault="00973DFE" w:rsidP="0023192D">
      <w:pPr>
        <w:pStyle w:val="Heading3"/>
        <w:keepNext w:val="0"/>
      </w:pPr>
      <w:bookmarkStart w:id="435" w:name="_Toc494799338"/>
      <w:bookmarkStart w:id="436" w:name="_Toc494805641"/>
      <w:bookmarkStart w:id="437" w:name="_Toc494805870"/>
      <w:bookmarkStart w:id="438" w:name="_Toc494808100"/>
      <w:bookmarkStart w:id="439" w:name="_Toc494808532"/>
      <w:bookmarkStart w:id="440" w:name="_Toc494815906"/>
      <w:bookmarkStart w:id="441" w:name="_Toc494818767"/>
      <w:bookmarkStart w:id="442" w:name="_Toc494819034"/>
      <w:bookmarkStart w:id="443" w:name="_Ref398814651"/>
      <w:bookmarkEnd w:id="431"/>
      <w:bookmarkEnd w:id="432"/>
      <w:bookmarkEnd w:id="433"/>
      <w:bookmarkEnd w:id="434"/>
      <w:r>
        <w:t>Mobile phone use and ownership</w:t>
      </w:r>
      <w:bookmarkEnd w:id="435"/>
      <w:bookmarkEnd w:id="436"/>
      <w:bookmarkEnd w:id="437"/>
      <w:bookmarkEnd w:id="438"/>
      <w:bookmarkEnd w:id="439"/>
      <w:bookmarkEnd w:id="440"/>
      <w:bookmarkEnd w:id="441"/>
      <w:bookmarkEnd w:id="442"/>
    </w:p>
    <w:p w14:paraId="42225990" w14:textId="2DD4B08B" w:rsidR="00973DFE" w:rsidRDefault="00973DFE" w:rsidP="0023192D">
      <w:pPr>
        <w:rPr>
          <w:rFonts w:cs="Arial"/>
        </w:rPr>
      </w:pPr>
      <w:r>
        <w:rPr>
          <w:rFonts w:cs="Arial"/>
        </w:rPr>
        <w:t xml:space="preserve">At June 2017, eight in </w:t>
      </w:r>
      <w:r w:rsidR="00333446">
        <w:rPr>
          <w:rFonts w:cs="Arial"/>
        </w:rPr>
        <w:t xml:space="preserve">10 </w:t>
      </w:r>
      <w:r>
        <w:rPr>
          <w:rFonts w:cs="Arial"/>
        </w:rPr>
        <w:t>Australian adults owned a smartphone</w:t>
      </w:r>
      <w:r w:rsidRPr="00FE3081">
        <w:rPr>
          <w:rFonts w:cs="Arial"/>
        </w:rPr>
        <w:t xml:space="preserve"> (</w:t>
      </w:r>
      <w:r w:rsidR="001F6B08">
        <w:rPr>
          <w:rFonts w:cs="Arial"/>
        </w:rPr>
        <w:t>1</w:t>
      </w:r>
      <w:r w:rsidR="008D6BB4">
        <w:rPr>
          <w:rFonts w:cs="Arial"/>
        </w:rPr>
        <w:t>5</w:t>
      </w:r>
      <w:r w:rsidR="001F6B08">
        <w:rPr>
          <w:rFonts w:cs="Arial"/>
        </w:rPr>
        <w:t>.4</w:t>
      </w:r>
      <w:r w:rsidR="008D6BB4">
        <w:rPr>
          <w:rFonts w:cs="Arial"/>
        </w:rPr>
        <w:t>5</w:t>
      </w:r>
      <w:r w:rsidR="001F6B08">
        <w:rPr>
          <w:rFonts w:cs="Arial"/>
        </w:rPr>
        <w:t xml:space="preserve"> million</w:t>
      </w:r>
      <w:r w:rsidRPr="00FE3081">
        <w:rPr>
          <w:rFonts w:cs="Arial"/>
        </w:rPr>
        <w:t>). This number increase</w:t>
      </w:r>
      <w:r>
        <w:rPr>
          <w:rFonts w:cs="Arial"/>
        </w:rPr>
        <w:t>d</w:t>
      </w:r>
      <w:r w:rsidRPr="00FE3081">
        <w:rPr>
          <w:rFonts w:cs="Arial"/>
        </w:rPr>
        <w:t xml:space="preserve"> to 95 per cent for mobile phone</w:t>
      </w:r>
      <w:r>
        <w:rPr>
          <w:rFonts w:cs="Arial"/>
        </w:rPr>
        <w:t xml:space="preserve"> use </w:t>
      </w:r>
      <w:r w:rsidRPr="00FE3081">
        <w:rPr>
          <w:rFonts w:cs="Arial"/>
        </w:rPr>
        <w:t>of any kind (‘smart’ or ‘dumb’ phone) and has remained steady over the past five years</w:t>
      </w:r>
      <w:r w:rsidR="00333446">
        <w:rPr>
          <w:rFonts w:cs="Arial"/>
        </w:rPr>
        <w:t>—</w:t>
      </w:r>
      <w:r w:rsidRPr="00FE3081">
        <w:rPr>
          <w:rFonts w:cs="Arial"/>
        </w:rPr>
        <w:t>betwee</w:t>
      </w:r>
      <w:r>
        <w:rPr>
          <w:rFonts w:cs="Arial"/>
        </w:rPr>
        <w:t>n 93 and 95 per cent (Figure 1.4</w:t>
      </w:r>
      <w:r w:rsidRPr="00FE3081">
        <w:rPr>
          <w:rFonts w:cs="Arial"/>
        </w:rPr>
        <w:t xml:space="preserve">). </w:t>
      </w:r>
    </w:p>
    <w:p w14:paraId="3AD2C374" w14:textId="77777777" w:rsidR="00973DFE" w:rsidRPr="00FE3081" w:rsidRDefault="00973DFE" w:rsidP="0023192D">
      <w:pPr>
        <w:rPr>
          <w:rFonts w:cs="Arial"/>
        </w:rPr>
      </w:pPr>
      <w:r w:rsidRPr="00FE3081">
        <w:rPr>
          <w:rFonts w:cs="Arial"/>
        </w:rPr>
        <w:t xml:space="preserve">While </w:t>
      </w:r>
      <w:r>
        <w:rPr>
          <w:rFonts w:cs="Arial"/>
        </w:rPr>
        <w:t xml:space="preserve">the use of a </w:t>
      </w:r>
      <w:r w:rsidRPr="00FE3081">
        <w:rPr>
          <w:rFonts w:cs="Arial"/>
        </w:rPr>
        <w:t>mobile phone</w:t>
      </w:r>
      <w:r>
        <w:rPr>
          <w:rFonts w:cs="Arial"/>
        </w:rPr>
        <w:t xml:space="preserve"> overall </w:t>
      </w:r>
      <w:r w:rsidRPr="00FE3081">
        <w:rPr>
          <w:rFonts w:cs="Arial"/>
        </w:rPr>
        <w:t xml:space="preserve">appears to </w:t>
      </w:r>
      <w:r>
        <w:rPr>
          <w:rFonts w:cs="Arial"/>
        </w:rPr>
        <w:t xml:space="preserve">have reached </w:t>
      </w:r>
      <w:r w:rsidRPr="00FE3081">
        <w:rPr>
          <w:rFonts w:cs="Arial"/>
        </w:rPr>
        <w:t xml:space="preserve">saturation levels, smartphone ownership </w:t>
      </w:r>
      <w:r>
        <w:rPr>
          <w:rFonts w:cs="Arial"/>
        </w:rPr>
        <w:t>grew in 2016–17, increasing by</w:t>
      </w:r>
      <w:r w:rsidRPr="00FE3081">
        <w:rPr>
          <w:rFonts w:cs="Arial"/>
        </w:rPr>
        <w:t xml:space="preserve"> </w:t>
      </w:r>
      <w:r>
        <w:rPr>
          <w:rFonts w:cs="Arial"/>
        </w:rPr>
        <w:t xml:space="preserve">17 percentage points </w:t>
      </w:r>
      <w:r w:rsidRPr="00FE3081">
        <w:rPr>
          <w:rFonts w:cs="Arial"/>
        </w:rPr>
        <w:t>from 64 per cent f</w:t>
      </w:r>
      <w:r w:rsidR="00001FDA">
        <w:rPr>
          <w:rFonts w:cs="Arial"/>
        </w:rPr>
        <w:t>our</w:t>
      </w:r>
      <w:r w:rsidR="00281AFE">
        <w:rPr>
          <w:rFonts w:cs="Arial"/>
        </w:rPr>
        <w:t xml:space="preserve"> </w:t>
      </w:r>
      <w:r w:rsidRPr="00FE3081">
        <w:rPr>
          <w:rFonts w:cs="Arial"/>
        </w:rPr>
        <w:t>years ago.</w:t>
      </w:r>
      <w:r>
        <w:rPr>
          <w:rFonts w:cs="Arial"/>
        </w:rPr>
        <w:t xml:space="preserve"> This growth is reflected by the number of mobile phone shipments to Australia, which grew by 18.4 per</w:t>
      </w:r>
      <w:r w:rsidR="00333446">
        <w:rPr>
          <w:rFonts w:cs="Arial"/>
        </w:rPr>
        <w:t xml:space="preserve"> </w:t>
      </w:r>
      <w:r>
        <w:rPr>
          <w:rFonts w:cs="Arial"/>
        </w:rPr>
        <w:t>cent to reach 2.16 million phones for Q2 2017.</w:t>
      </w:r>
      <w:r>
        <w:rPr>
          <w:rStyle w:val="EndnoteReference"/>
          <w:rFonts w:cs="Arial"/>
        </w:rPr>
        <w:endnoteReference w:id="27"/>
      </w:r>
      <w:r>
        <w:rPr>
          <w:rFonts w:cs="Arial"/>
        </w:rPr>
        <w:t xml:space="preserve"> This number is forecast to rise to over nine million handsets in 2018, boosted by Nokia’s re-entry into the market under HMD and Amazon’s launch into Australia.</w:t>
      </w:r>
      <w:r>
        <w:rPr>
          <w:rStyle w:val="EndnoteReference"/>
          <w:rFonts w:cs="Arial"/>
        </w:rPr>
        <w:endnoteReference w:id="28"/>
      </w:r>
    </w:p>
    <w:p w14:paraId="42A10053" w14:textId="77777777" w:rsidR="00973DFE" w:rsidRDefault="00973DFE" w:rsidP="0023192D">
      <w:r>
        <w:t>The mobile phone was also the most often accessed internet device</w:t>
      </w:r>
      <w:r w:rsidR="00095FF3">
        <w:t>. In the six months to June 2017</w:t>
      </w:r>
      <w:r>
        <w:t xml:space="preserve">, eight in </w:t>
      </w:r>
      <w:r w:rsidR="00095FF3">
        <w:t xml:space="preserve">10 </w:t>
      </w:r>
      <w:r>
        <w:t>online Australians (79 per cent) us</w:t>
      </w:r>
      <w:r w:rsidR="00095FF3">
        <w:t>ed</w:t>
      </w:r>
      <w:r>
        <w:t xml:space="preserve"> a mobile phone multiple times a day to access the internet. </w:t>
      </w:r>
      <w:r w:rsidR="00095FF3">
        <w:t>T</w:t>
      </w:r>
      <w:r>
        <w:t xml:space="preserve">his figure dropped to between 41 and 45 per cent for devices </w:t>
      </w:r>
      <w:r w:rsidRPr="00E63516">
        <w:t xml:space="preserve">such as tablet, laptop and desktop computer. </w:t>
      </w:r>
      <w:r>
        <w:t xml:space="preserve">Chapter 2 provides </w:t>
      </w:r>
      <w:r w:rsidRPr="00E63516">
        <w:t xml:space="preserve">more </w:t>
      </w:r>
      <w:r>
        <w:t xml:space="preserve">detailed </w:t>
      </w:r>
      <w:r w:rsidRPr="00E63516">
        <w:t>information on internet activities and devices</w:t>
      </w:r>
      <w:r>
        <w:t>.</w:t>
      </w:r>
    </w:p>
    <w:bookmarkEnd w:id="443"/>
    <w:p w14:paraId="3596390F" w14:textId="77777777" w:rsidR="00973DFE" w:rsidRDefault="00973DFE" w:rsidP="000276D0">
      <w:pPr>
        <w:pStyle w:val="ACMAFigureHeader"/>
        <w:keepNext/>
      </w:pPr>
      <w:r w:rsidRPr="006B7E9A">
        <w:t>Figure 1.4</w:t>
      </w:r>
      <w:r w:rsidRPr="006B7E9A">
        <w:tab/>
        <w:t>Use of mobile phones and ownership of smartphones (percentage)</w:t>
      </w:r>
    </w:p>
    <w:p w14:paraId="5F17C42C" w14:textId="77777777" w:rsidR="000A1CD9" w:rsidRPr="00FD7E86" w:rsidRDefault="00696D63" w:rsidP="0023192D">
      <w:pPr>
        <w:keepNext/>
        <w:keepLines/>
        <w:spacing w:after="0"/>
        <w:rPr>
          <w:rFonts w:cs="Arial"/>
        </w:rPr>
      </w:pPr>
      <w:r w:rsidRPr="00313675">
        <w:rPr>
          <w:rFonts w:cs="Arial"/>
          <w:noProof/>
        </w:rPr>
        <w:drawing>
          <wp:inline distT="0" distB="0" distL="0" distR="0" wp14:anchorId="497F2BF2" wp14:editId="5756E56A">
            <wp:extent cx="5410848" cy="2246400"/>
            <wp:effectExtent l="0" t="0" r="0" b="1905"/>
            <wp:docPr id="5" name="Picture 5" descr="Data for Figure 1.4 is in the .ods file for Chapter 1 on the landing page ‘Communications report 2016-17’, available from the ACMA website." title="Figure 1.4  Use of mobile phones and ownership of smartphone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H1 - charts_Figure 1.4.png"/>
                    <pic:cNvPicPr/>
                  </pic:nvPicPr>
                  <pic:blipFill rotWithShape="1">
                    <a:blip r:embed="rId43">
                      <a:extLst>
                        <a:ext uri="{28A0092B-C50C-407E-A947-70E740481C1C}">
                          <a14:useLocalDpi xmlns:a14="http://schemas.microsoft.com/office/drawing/2010/main" val="0"/>
                        </a:ext>
                      </a:extLst>
                    </a:blip>
                    <a:srcRect r="13860" b="2517"/>
                    <a:stretch/>
                  </pic:blipFill>
                  <pic:spPr bwMode="auto">
                    <a:xfrm>
                      <a:off x="0" y="0"/>
                      <a:ext cx="5418479" cy="2249568"/>
                    </a:xfrm>
                    <a:prstGeom prst="rect">
                      <a:avLst/>
                    </a:prstGeom>
                    <a:ln>
                      <a:noFill/>
                    </a:ln>
                    <a:extLst>
                      <a:ext uri="{53640926-AAD7-44D8-BBD7-CCE9431645EC}">
                        <a14:shadowObscured xmlns:a14="http://schemas.microsoft.com/office/drawing/2010/main"/>
                      </a:ext>
                    </a:extLst>
                  </pic:spPr>
                </pic:pic>
              </a:graphicData>
            </a:graphic>
          </wp:inline>
        </w:drawing>
      </w:r>
    </w:p>
    <w:p w14:paraId="2DCDB004" w14:textId="77777777" w:rsidR="00450452" w:rsidRPr="009D4C34" w:rsidRDefault="00450452" w:rsidP="0023192D">
      <w:pPr>
        <w:pStyle w:val="ACMANotes"/>
        <w:spacing w:before="240"/>
      </w:pPr>
      <w:r w:rsidRPr="009D4C34">
        <w:t>Base: Australians aged 18 and over</w:t>
      </w:r>
      <w:r>
        <w:t>,</w:t>
      </w:r>
      <w:r w:rsidRPr="009D4C34">
        <w:t xml:space="preserve"> in the last six months</w:t>
      </w:r>
      <w:r>
        <w:t xml:space="preserve"> to May/June</w:t>
      </w:r>
      <w:r w:rsidRPr="009D4C34">
        <w:t xml:space="preserve">. </w:t>
      </w:r>
    </w:p>
    <w:p w14:paraId="46E64FBC" w14:textId="7B769ACE" w:rsidR="00450452" w:rsidRDefault="00450452" w:rsidP="00450452">
      <w:pPr>
        <w:pStyle w:val="ACMANotes"/>
      </w:pPr>
      <w:r>
        <w:t xml:space="preserve">Note: </w:t>
      </w:r>
      <w:r w:rsidR="005024A1" w:rsidRPr="005024A1">
        <w:t>The change</w:t>
      </w:r>
      <w:r w:rsidR="00493FF2">
        <w:t>s</w:t>
      </w:r>
      <w:r w:rsidR="005024A1" w:rsidRPr="005024A1">
        <w:t xml:space="preserve"> in me</w:t>
      </w:r>
      <w:r w:rsidR="00493FF2">
        <w:t>thodology in 2016 and 2017 mean</w:t>
      </w:r>
      <w:r w:rsidR="005024A1" w:rsidRPr="005024A1">
        <w:t xml:space="preserve"> that some differences between these years may be explained by the methodology rather than any significant difference.</w:t>
      </w:r>
    </w:p>
    <w:p w14:paraId="0C8DC7AD" w14:textId="77777777" w:rsidR="00450452" w:rsidRDefault="00450452" w:rsidP="00B5395A">
      <w:pPr>
        <w:pStyle w:val="ACMANotesspaceafter"/>
        <w:spacing w:after="360"/>
      </w:pPr>
      <w:r w:rsidRPr="00642317">
        <w:t>Source: ACMA-commissioned survey</w:t>
      </w:r>
      <w:r>
        <w:t>s</w:t>
      </w:r>
      <w:r w:rsidRPr="00642317">
        <w:t>.</w:t>
      </w:r>
    </w:p>
    <w:p w14:paraId="3631EC4C" w14:textId="77777777" w:rsidR="00450452" w:rsidRDefault="00450452" w:rsidP="00450452">
      <w:pPr>
        <w:pStyle w:val="Heading3"/>
      </w:pPr>
      <w:bookmarkStart w:id="444" w:name="_Toc494815907"/>
      <w:bookmarkStart w:id="445" w:name="_Toc494818768"/>
      <w:bookmarkStart w:id="446" w:name="_Toc494819035"/>
      <w:r>
        <w:t>Apps used for communication</w:t>
      </w:r>
      <w:bookmarkEnd w:id="444"/>
      <w:bookmarkEnd w:id="445"/>
      <w:bookmarkEnd w:id="446"/>
    </w:p>
    <w:p w14:paraId="3442FF25" w14:textId="77777777" w:rsidR="00450452" w:rsidRDefault="00450452" w:rsidP="00450452">
      <w:r>
        <w:t>Over-the-top (OTT) services are delivered over the internet and bypass traditional distribution by network operators.</w:t>
      </w:r>
      <w:r>
        <w:rPr>
          <w:rStyle w:val="EndnoteReference"/>
        </w:rPr>
        <w:endnoteReference w:id="29"/>
      </w:r>
      <w:r>
        <w:t xml:space="preserve"> Examples include communications apps such as Facebook, WhatsApp, Skype, Snapchat</w:t>
      </w:r>
      <w:r w:rsidR="0023641E">
        <w:t xml:space="preserve"> and</w:t>
      </w:r>
      <w:r>
        <w:t xml:space="preserve"> FaceTime.</w:t>
      </w:r>
    </w:p>
    <w:p w14:paraId="0942F8A0" w14:textId="77777777" w:rsidR="00450452" w:rsidRDefault="00450452" w:rsidP="00450452">
      <w:r>
        <w:t>At June 2017, 80 per cent of Australian internet users</w:t>
      </w:r>
      <w:r w:rsidRPr="00BA1158">
        <w:t xml:space="preserve"> had used an app to communicate</w:t>
      </w:r>
      <w:r>
        <w:t xml:space="preserve"> with others in the past six months. Sending messages was the most popular way of communicating via apps (84 per cent of app users). More than half (55 per cent) used an app to make voice calls, while 52 per cent used an app to make video calls.</w:t>
      </w:r>
      <w:r>
        <w:rPr>
          <w:rStyle w:val="EndnoteReference"/>
        </w:rPr>
        <w:endnoteReference w:id="30"/>
      </w:r>
    </w:p>
    <w:p w14:paraId="6948BEDB" w14:textId="77777777" w:rsidR="00450452" w:rsidRDefault="00450452" w:rsidP="00450452">
      <w:r>
        <w:t>Nearly three in 10 (29 per cent) app users preferred to use an app over mobile credit to send messages. Just over one in five (22 per cent) app users preferred to use an app for phone calls</w:t>
      </w:r>
      <w:r w:rsidR="0023641E">
        <w:t>,</w:t>
      </w:r>
      <w:r>
        <w:t xml:space="preserve"> while 73 per cent used apps over mobile credit for video calls. </w:t>
      </w:r>
    </w:p>
    <w:p w14:paraId="26CEC242" w14:textId="77777777" w:rsidR="00450452" w:rsidRDefault="00450452" w:rsidP="00450452">
      <w:r>
        <w:t xml:space="preserve">Sixty-seven per cent of those who preferred to use apps over mobile credit </w:t>
      </w:r>
      <w:r w:rsidR="0023641E">
        <w:t>did so</w:t>
      </w:r>
      <w:r>
        <w:t xml:space="preserve"> because their friends or family chose to communicate via apps. Saving on mobile credit, lower international call costs and having a better experience were other popular responses offered by this group (50 per cent for each). </w:t>
      </w:r>
      <w:r w:rsidDel="00E22DFE">
        <w:t>Interestingly, b</w:t>
      </w:r>
      <w:r>
        <w:t xml:space="preserve">eing able to tell when recipients read their messages was a reason reported by one third of those who preferred to use apps. </w:t>
      </w:r>
    </w:p>
    <w:p w14:paraId="64FF2AA0" w14:textId="77777777" w:rsidR="00450452" w:rsidRDefault="00450452" w:rsidP="00450452">
      <w:r>
        <w:t>Further details about mobile app use can be found in Chapter 2.</w:t>
      </w:r>
    </w:p>
    <w:p w14:paraId="2C13355C" w14:textId="77777777" w:rsidR="00450452" w:rsidRPr="00FD7E86" w:rsidRDefault="00450452" w:rsidP="00450452">
      <w:pPr>
        <w:pStyle w:val="Heading3"/>
      </w:pPr>
      <w:bookmarkStart w:id="447" w:name="_Toc494805872"/>
      <w:bookmarkStart w:id="448" w:name="_Toc494808102"/>
      <w:bookmarkStart w:id="449" w:name="_Toc494808535"/>
      <w:bookmarkStart w:id="450" w:name="_Toc494818769"/>
      <w:bookmarkStart w:id="451" w:name="_Toc494799340"/>
      <w:bookmarkStart w:id="452" w:name="_Toc494805643"/>
      <w:bookmarkStart w:id="453" w:name="_Toc494815908"/>
      <w:bookmarkStart w:id="454" w:name="_Toc494819036"/>
      <w:r>
        <w:t>Mobile</w:t>
      </w:r>
      <w:r w:rsidR="0023641E">
        <w:t>-</w:t>
      </w:r>
      <w:r>
        <w:t>only phone use</w:t>
      </w:r>
      <w:bookmarkEnd w:id="447"/>
      <w:bookmarkEnd w:id="448"/>
      <w:bookmarkEnd w:id="449"/>
      <w:bookmarkEnd w:id="450"/>
      <w:bookmarkEnd w:id="451"/>
      <w:bookmarkEnd w:id="452"/>
      <w:bookmarkEnd w:id="453"/>
      <w:bookmarkEnd w:id="454"/>
    </w:p>
    <w:p w14:paraId="77F2E036" w14:textId="77777777" w:rsidR="00450452" w:rsidRDefault="00450452" w:rsidP="00450452">
      <w:pPr>
        <w:rPr>
          <w:rFonts w:cs="Arial"/>
        </w:rPr>
      </w:pPr>
      <w:r>
        <w:t>Many mobile providers now offer unlimited calls and texts</w:t>
      </w:r>
      <w:r w:rsidR="0023641E">
        <w:t>. F</w:t>
      </w:r>
      <w:r>
        <w:t>or many Australians, it has become more economical to use a mobile phone and a lot harder to justify the expense of keeping a landline.</w:t>
      </w:r>
      <w:r>
        <w:rPr>
          <w:rStyle w:val="EndnoteReference"/>
        </w:rPr>
        <w:endnoteReference w:id="31"/>
      </w:r>
      <w:r>
        <w:t xml:space="preserve"> An increasing proportion now rely solely on their mobile </w:t>
      </w:r>
      <w:r w:rsidRPr="00084A99">
        <w:t>phones to stay in touch with others</w:t>
      </w:r>
      <w:r w:rsidR="0023641E">
        <w:t>, with m</w:t>
      </w:r>
      <w:r w:rsidRPr="00084A99">
        <w:t>obile-only consumers</w:t>
      </w:r>
      <w:r>
        <w:t>—</w:t>
      </w:r>
      <w:r w:rsidRPr="00084A99">
        <w:t xml:space="preserve">those who only </w:t>
      </w:r>
      <w:r>
        <w:t>have a</w:t>
      </w:r>
      <w:r w:rsidRPr="00084A99">
        <w:t xml:space="preserve"> mobile phone and no fixed-line telephone at home</w:t>
      </w:r>
      <w:r>
        <w:t>—</w:t>
      </w:r>
      <w:r w:rsidRPr="00084A99">
        <w:t>continu</w:t>
      </w:r>
      <w:r w:rsidR="0023641E">
        <w:t>ing</w:t>
      </w:r>
      <w:r w:rsidRPr="00084A99">
        <w:t xml:space="preserve"> to grow. </w:t>
      </w:r>
      <w:r w:rsidRPr="00084A99">
        <w:rPr>
          <w:rFonts w:cs="Arial"/>
        </w:rPr>
        <w:t xml:space="preserve">At June 2017, </w:t>
      </w:r>
      <w:r>
        <w:rPr>
          <w:rFonts w:cs="Arial"/>
        </w:rPr>
        <w:t>36 per cent of</w:t>
      </w:r>
      <w:r w:rsidRPr="00084A99">
        <w:rPr>
          <w:rFonts w:cs="Arial"/>
        </w:rPr>
        <w:t xml:space="preserve"> Australian adults</w:t>
      </w:r>
      <w:r w:rsidR="00E03F99">
        <w:rPr>
          <w:rFonts w:cs="Arial"/>
        </w:rPr>
        <w:t xml:space="preserve"> (6.67 million)</w:t>
      </w:r>
      <w:r>
        <w:rPr>
          <w:rFonts w:cs="Arial"/>
        </w:rPr>
        <w:t xml:space="preserve"> </w:t>
      </w:r>
      <w:r w:rsidRPr="00084A99">
        <w:rPr>
          <w:rFonts w:cs="Arial"/>
        </w:rPr>
        <w:t xml:space="preserve">were </w:t>
      </w:r>
      <w:r>
        <w:rPr>
          <w:rFonts w:cs="Arial"/>
        </w:rPr>
        <w:t>‘</w:t>
      </w:r>
      <w:r w:rsidRPr="00084A99">
        <w:rPr>
          <w:rFonts w:cs="Arial"/>
        </w:rPr>
        <w:t>mobile-only</w:t>
      </w:r>
      <w:r>
        <w:rPr>
          <w:rFonts w:cs="Arial"/>
        </w:rPr>
        <w:t xml:space="preserve"> for phone</w:t>
      </w:r>
      <w:r w:rsidRPr="00084A99">
        <w:rPr>
          <w:rFonts w:cs="Arial"/>
        </w:rPr>
        <w:t>’</w:t>
      </w:r>
      <w:r>
        <w:rPr>
          <w:rFonts w:cs="Arial"/>
        </w:rPr>
        <w:t xml:space="preserve">, up from 31 per cent in 2016 (Figure 1.5). </w:t>
      </w:r>
    </w:p>
    <w:p w14:paraId="3B9076FF" w14:textId="77777777" w:rsidR="00450452" w:rsidRPr="00DB2026" w:rsidRDefault="00450452" w:rsidP="005A10D6">
      <w:pPr>
        <w:keepNext/>
        <w:keepLines/>
      </w:pPr>
      <w:r>
        <w:t>The trend to go mobile</w:t>
      </w:r>
      <w:r w:rsidR="0023641E">
        <w:t>-</w:t>
      </w:r>
      <w:r>
        <w:t>only for phone is being echoed internationally. In the second half of 2016, 51 per cent of American households were mobile-only, an increase of three percentage points on the same period in 2015.</w:t>
      </w:r>
      <w:r>
        <w:rPr>
          <w:rStyle w:val="EndnoteReference"/>
          <w:rFonts w:cs="Arial"/>
        </w:rPr>
        <w:endnoteReference w:id="32"/>
      </w:r>
      <w:r>
        <w:t xml:space="preserve"> In the UK, Q1 2017 data shows that 18 per cent of adults lived in mobile-only households, an increase from 14 per cent a year earlier.</w:t>
      </w:r>
      <w:r w:rsidR="0023641E">
        <w:rPr>
          <w:rStyle w:val="EndnoteReference"/>
          <w:rFonts w:cs="Arial"/>
        </w:rPr>
        <w:endnoteReference w:id="33"/>
      </w:r>
      <w:r>
        <w:t xml:space="preserve"> </w:t>
      </w:r>
    </w:p>
    <w:p w14:paraId="3031E663" w14:textId="77777777" w:rsidR="00450452" w:rsidRDefault="00450452" w:rsidP="000276D0">
      <w:pPr>
        <w:pStyle w:val="ACMAFigureHeader"/>
        <w:keepNext/>
      </w:pPr>
      <w:r w:rsidRPr="006D1E7E">
        <w:t>Figure 1.5</w:t>
      </w:r>
      <w:r w:rsidRPr="006D1E7E">
        <w:tab/>
      </w:r>
      <w:r>
        <w:t>Mobile</w:t>
      </w:r>
      <w:r w:rsidR="0023641E">
        <w:t>-</w:t>
      </w:r>
      <w:r>
        <w:t>only for</w:t>
      </w:r>
      <w:r w:rsidRPr="006D1E7E">
        <w:t xml:space="preserve"> phone</w:t>
      </w:r>
      <w:r>
        <w:t xml:space="preserve"> and </w:t>
      </w:r>
      <w:r w:rsidRPr="006D1E7E">
        <w:t xml:space="preserve">no fixed-line telephone </w:t>
      </w:r>
      <w:r>
        <w:t xml:space="preserve">at home </w:t>
      </w:r>
      <w:r w:rsidRPr="006D1E7E">
        <w:t>(percentage)</w:t>
      </w:r>
    </w:p>
    <w:p w14:paraId="05601DF7" w14:textId="77777777" w:rsidR="000A1CD9" w:rsidRDefault="008F6478" w:rsidP="0023192D">
      <w:pPr>
        <w:pStyle w:val="ACMANotes"/>
        <w:spacing w:before="0"/>
      </w:pPr>
      <w:r>
        <w:rPr>
          <w:noProof/>
        </w:rPr>
        <w:drawing>
          <wp:inline distT="0" distB="0" distL="0" distR="0" wp14:anchorId="75DDE7A4" wp14:editId="02E93063">
            <wp:extent cx="4554662" cy="2146274"/>
            <wp:effectExtent l="0" t="0" r="0" b="6985"/>
            <wp:docPr id="12" name="Picture 12" descr="Data for Figure 1.5 is in the .ods file for Chapter 1 on the landing page ‘Communications report 2016-17’, available from the ACMA website." title="Figure 1.5  Mobile-only for phone and no fixed-line telephone at hom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H1 - charts_Figure 1.5.png"/>
                    <pic:cNvPicPr/>
                  </pic:nvPicPr>
                  <pic:blipFill rotWithShape="1">
                    <a:blip r:embed="rId44">
                      <a:extLst>
                        <a:ext uri="{28A0092B-C50C-407E-A947-70E740481C1C}">
                          <a14:useLocalDpi xmlns:a14="http://schemas.microsoft.com/office/drawing/2010/main" val="0"/>
                        </a:ext>
                      </a:extLst>
                    </a:blip>
                    <a:srcRect r="33988" b="4871"/>
                    <a:stretch/>
                  </pic:blipFill>
                  <pic:spPr bwMode="auto">
                    <a:xfrm>
                      <a:off x="0" y="0"/>
                      <a:ext cx="4569152" cy="2153102"/>
                    </a:xfrm>
                    <a:prstGeom prst="rect">
                      <a:avLst/>
                    </a:prstGeom>
                    <a:ln>
                      <a:noFill/>
                    </a:ln>
                    <a:extLst>
                      <a:ext uri="{53640926-AAD7-44D8-BBD7-CCE9431645EC}">
                        <a14:shadowObscured xmlns:a14="http://schemas.microsoft.com/office/drawing/2010/main"/>
                      </a:ext>
                    </a:extLst>
                  </pic:spPr>
                </pic:pic>
              </a:graphicData>
            </a:graphic>
          </wp:inline>
        </w:drawing>
      </w:r>
    </w:p>
    <w:p w14:paraId="536A3078" w14:textId="77777777" w:rsidR="00DC6757" w:rsidRDefault="00DC6757" w:rsidP="0023192D">
      <w:pPr>
        <w:pStyle w:val="ACMANotes"/>
        <w:spacing w:before="240"/>
      </w:pPr>
      <w:r w:rsidRPr="00C2219D">
        <w:t xml:space="preserve">Base: Australians aged 18 years and over in the 12 months to June of each year. </w:t>
      </w:r>
    </w:p>
    <w:p w14:paraId="2BD25E16" w14:textId="77777777" w:rsidR="00DC6757" w:rsidRPr="00C2219D" w:rsidRDefault="00DC6757" w:rsidP="00DC6757">
      <w:pPr>
        <w:pStyle w:val="ACMANotes"/>
      </w:pPr>
      <w:r w:rsidRPr="004623C3">
        <w:t>Note: Roy Morgan Research changed methodology for this question in 2013.</w:t>
      </w:r>
    </w:p>
    <w:p w14:paraId="40703A73" w14:textId="77777777" w:rsidR="00DC6757" w:rsidRDefault="00DC6757" w:rsidP="00B5395A">
      <w:pPr>
        <w:pStyle w:val="ACMANotesspaceafter"/>
        <w:spacing w:after="360"/>
      </w:pPr>
      <w:r w:rsidRPr="00C2219D">
        <w:t>Source: Roy Morgan Single Source.</w:t>
      </w:r>
    </w:p>
    <w:p w14:paraId="2C7F1A0E" w14:textId="77777777" w:rsidR="00DC6757" w:rsidRPr="00795834" w:rsidRDefault="00DC6757" w:rsidP="00240010">
      <w:pPr>
        <w:pStyle w:val="Heading3"/>
        <w:keepNext w:val="0"/>
      </w:pPr>
      <w:bookmarkStart w:id="455" w:name="_Toc494799341"/>
      <w:bookmarkStart w:id="456" w:name="_Toc494805644"/>
      <w:bookmarkStart w:id="457" w:name="_Toc494805873"/>
      <w:bookmarkStart w:id="458" w:name="_Toc494808103"/>
      <w:bookmarkStart w:id="459" w:name="_Toc494808538"/>
      <w:bookmarkStart w:id="460" w:name="_Toc494815909"/>
      <w:bookmarkStart w:id="461" w:name="_Toc494818770"/>
      <w:bookmarkStart w:id="462" w:name="_Toc494819037"/>
      <w:r>
        <w:t>Mobile</w:t>
      </w:r>
      <w:r w:rsidR="00E27E5E">
        <w:t>-</w:t>
      </w:r>
      <w:r>
        <w:t>only for internet</w:t>
      </w:r>
      <w:bookmarkEnd w:id="455"/>
      <w:bookmarkEnd w:id="456"/>
      <w:bookmarkEnd w:id="457"/>
      <w:bookmarkEnd w:id="458"/>
      <w:bookmarkEnd w:id="459"/>
      <w:bookmarkEnd w:id="460"/>
      <w:bookmarkEnd w:id="461"/>
      <w:bookmarkEnd w:id="462"/>
      <w:r>
        <w:t xml:space="preserve"> </w:t>
      </w:r>
    </w:p>
    <w:p w14:paraId="2317617B" w14:textId="77777777" w:rsidR="00DC6757" w:rsidRDefault="00DC6757" w:rsidP="00240010">
      <w:pPr>
        <w:keepLines/>
      </w:pPr>
      <w:r>
        <w:t xml:space="preserve">Mobile-only can also be extended to internet access, giving rise to an emerging concept of ‘mobile-only for </w:t>
      </w:r>
      <w:r w:rsidRPr="00844418">
        <w:t>internet’. This refers to those who only use their mobile phone to access the internet and do not have a fixed</w:t>
      </w:r>
      <w:r>
        <w:t>-</w:t>
      </w:r>
      <w:r w:rsidRPr="00844418">
        <w:t>internet connection</w:t>
      </w:r>
      <w:r>
        <w:t xml:space="preserve"> at home. At June 2017, 19 per cent of Australian adults used either a mobile phone or mobile broadband to go online, or accessed the internet from a location outside of the home. </w:t>
      </w:r>
      <w:r w:rsidR="00E27E5E">
        <w:t>In the same period, s</w:t>
      </w:r>
      <w:r>
        <w:t>ix</w:t>
      </w:r>
      <w:r w:rsidR="00E27E5E">
        <w:t> </w:t>
      </w:r>
      <w:r>
        <w:t xml:space="preserve">per cent of Australian adults used only their </w:t>
      </w:r>
      <w:r w:rsidRPr="00341617">
        <w:t>smartphone</w:t>
      </w:r>
      <w:r>
        <w:t xml:space="preserve"> to access the internet.</w:t>
      </w:r>
      <w:r>
        <w:rPr>
          <w:rStyle w:val="EndnoteReference"/>
        </w:rPr>
        <w:endnoteReference w:id="34"/>
      </w:r>
    </w:p>
    <w:p w14:paraId="53036FB8" w14:textId="77777777" w:rsidR="00DC6757" w:rsidRPr="000C649C" w:rsidRDefault="00DC6757" w:rsidP="00240010">
      <w:pPr>
        <w:pStyle w:val="Heading2"/>
        <w:keepLines/>
        <w:numPr>
          <w:ilvl w:val="1"/>
          <w:numId w:val="14"/>
        </w:numPr>
      </w:pPr>
      <w:bookmarkStart w:id="463" w:name="_Toc494799342"/>
      <w:bookmarkStart w:id="464" w:name="_Toc494805645"/>
      <w:bookmarkStart w:id="465" w:name="_Toc494805874"/>
      <w:bookmarkStart w:id="466" w:name="_Toc494808104"/>
      <w:bookmarkStart w:id="467" w:name="_Toc494808539"/>
      <w:bookmarkStart w:id="468" w:name="_Toc494815910"/>
      <w:bookmarkStart w:id="469" w:name="_Toc494818771"/>
      <w:bookmarkStart w:id="470" w:name="_Toc494819038"/>
      <w:bookmarkStart w:id="471" w:name="_Toc500320892"/>
      <w:r w:rsidRPr="000C649C">
        <w:t>Internet service availability</w:t>
      </w:r>
      <w:bookmarkEnd w:id="463"/>
      <w:bookmarkEnd w:id="464"/>
      <w:bookmarkEnd w:id="465"/>
      <w:bookmarkEnd w:id="466"/>
      <w:bookmarkEnd w:id="467"/>
      <w:bookmarkEnd w:id="468"/>
      <w:bookmarkEnd w:id="469"/>
      <w:bookmarkEnd w:id="470"/>
      <w:bookmarkEnd w:id="471"/>
    </w:p>
    <w:p w14:paraId="45E1BCFC" w14:textId="77777777" w:rsidR="00DC6757" w:rsidRDefault="00DC6757" w:rsidP="00240010">
      <w:pPr>
        <w:pStyle w:val="Heading3"/>
        <w:keepLines/>
      </w:pPr>
      <w:bookmarkStart w:id="472" w:name="_Toc494799343"/>
      <w:bookmarkStart w:id="473" w:name="_Toc494805646"/>
      <w:bookmarkStart w:id="474" w:name="_Toc494805875"/>
      <w:bookmarkStart w:id="475" w:name="_Toc494808105"/>
      <w:bookmarkStart w:id="476" w:name="_Toc494808540"/>
      <w:bookmarkStart w:id="477" w:name="_Toc494815911"/>
      <w:bookmarkStart w:id="478" w:name="_Toc494818772"/>
      <w:bookmarkStart w:id="479" w:name="_Toc494819039"/>
      <w:r w:rsidRPr="00FD7E86">
        <w:t xml:space="preserve">Number of </w:t>
      </w:r>
      <w:r w:rsidR="003B355B">
        <w:t>internet service providers (I</w:t>
      </w:r>
      <w:r>
        <w:t>SPs</w:t>
      </w:r>
      <w:bookmarkEnd w:id="472"/>
      <w:bookmarkEnd w:id="473"/>
      <w:bookmarkEnd w:id="474"/>
      <w:bookmarkEnd w:id="475"/>
      <w:bookmarkEnd w:id="476"/>
      <w:bookmarkEnd w:id="477"/>
      <w:bookmarkEnd w:id="478"/>
      <w:bookmarkEnd w:id="479"/>
      <w:r w:rsidR="003B355B">
        <w:t>)</w:t>
      </w:r>
    </w:p>
    <w:p w14:paraId="001BF2E8" w14:textId="0625261B" w:rsidR="00DC6757" w:rsidRPr="00774662" w:rsidRDefault="00DC6757" w:rsidP="00240010">
      <w:pPr>
        <w:keepNext/>
        <w:keepLines/>
        <w:spacing w:after="80"/>
        <w:rPr>
          <w:rFonts w:cs="Arial"/>
        </w:rPr>
      </w:pPr>
      <w:r w:rsidRPr="00774662">
        <w:rPr>
          <w:rFonts w:cs="Arial"/>
        </w:rPr>
        <w:t xml:space="preserve">At June 2017, there were </w:t>
      </w:r>
      <w:r>
        <w:rPr>
          <w:rFonts w:cs="Arial"/>
        </w:rPr>
        <w:t>63</w:t>
      </w:r>
      <w:r w:rsidRPr="00774662">
        <w:rPr>
          <w:rFonts w:cs="Arial"/>
        </w:rPr>
        <w:t xml:space="preserve"> ISPs with more than 1,000 subscribers operating in Australia, </w:t>
      </w:r>
      <w:r w:rsidRPr="00774662">
        <w:t>down</w:t>
      </w:r>
      <w:r w:rsidR="00314325">
        <w:t xml:space="preserve"> 4.5 per cent</w:t>
      </w:r>
      <w:r w:rsidRPr="00774662">
        <w:rPr>
          <w:rFonts w:cs="Arial"/>
        </w:rPr>
        <w:t xml:space="preserve"> from </w:t>
      </w:r>
      <w:r>
        <w:rPr>
          <w:rFonts w:cs="Arial"/>
        </w:rPr>
        <w:t>66</w:t>
      </w:r>
      <w:r w:rsidRPr="00774662">
        <w:rPr>
          <w:rFonts w:cs="Arial"/>
        </w:rPr>
        <w:t xml:space="preserve"> at June 2016. </w:t>
      </w:r>
      <w:r w:rsidR="008F6478">
        <w:rPr>
          <w:rFonts w:cs="Arial"/>
        </w:rPr>
        <w:t>Compared to June 2016</w:t>
      </w:r>
      <w:r w:rsidR="00813F8A">
        <w:rPr>
          <w:rFonts w:cs="Arial"/>
        </w:rPr>
        <w:t>,</w:t>
      </w:r>
      <w:r w:rsidRPr="00774662">
        <w:rPr>
          <w:rFonts w:cs="Arial"/>
        </w:rPr>
        <w:t xml:space="preserve"> distribution of ISPs by number of internet subscribers was:</w:t>
      </w:r>
    </w:p>
    <w:p w14:paraId="4B425C36" w14:textId="06FF385A" w:rsidR="00DC6757" w:rsidRPr="00774662" w:rsidRDefault="00DC6757" w:rsidP="00240010">
      <w:pPr>
        <w:pStyle w:val="ListBullet"/>
        <w:keepNext/>
        <w:keepLines/>
      </w:pPr>
      <w:r>
        <w:t>32</w:t>
      </w:r>
      <w:r w:rsidRPr="00774662">
        <w:t xml:space="preserve"> with 1,001–10,000 subscribers, down from </w:t>
      </w:r>
      <w:r w:rsidR="00BE57C6">
        <w:t>33</w:t>
      </w:r>
    </w:p>
    <w:p w14:paraId="4BD86AB8" w14:textId="0749EA7E" w:rsidR="00DC6757" w:rsidRPr="00774662" w:rsidRDefault="00DC6757" w:rsidP="00240010">
      <w:pPr>
        <w:pStyle w:val="ListBullet"/>
        <w:keepNext/>
        <w:keepLines/>
      </w:pPr>
      <w:r>
        <w:t>22</w:t>
      </w:r>
      <w:r w:rsidRPr="00774662">
        <w:t xml:space="preserve"> with 10,001–100,000 subscribers, </w:t>
      </w:r>
      <w:r w:rsidR="003D46F3">
        <w:t>down</w:t>
      </w:r>
      <w:r w:rsidRPr="00774662">
        <w:t xml:space="preserve"> from </w:t>
      </w:r>
      <w:r w:rsidR="00BE57C6">
        <w:t>23</w:t>
      </w:r>
    </w:p>
    <w:p w14:paraId="4882FAAC" w14:textId="3508F6E3" w:rsidR="00DC6757" w:rsidRPr="00CC1998" w:rsidRDefault="007E3E0F" w:rsidP="00240010">
      <w:pPr>
        <w:pStyle w:val="ListBulletLast"/>
        <w:keepLines/>
        <w:ind w:left="357" w:hanging="357"/>
      </w:pPr>
      <w:r>
        <w:t>nine</w:t>
      </w:r>
      <w:r w:rsidR="00DC6757" w:rsidRPr="00CC1998">
        <w:t xml:space="preserve"> with 100,001 or more subscribers, </w:t>
      </w:r>
      <w:r w:rsidR="00C11C93">
        <w:t>down</w:t>
      </w:r>
      <w:r w:rsidR="00DC6757" w:rsidRPr="00CC1998">
        <w:t xml:space="preserve"> </w:t>
      </w:r>
      <w:r w:rsidR="003D46F3">
        <w:t>from 10</w:t>
      </w:r>
      <w:r w:rsidR="00DC6757" w:rsidRPr="00CC1998">
        <w:t>.</w:t>
      </w:r>
      <w:r w:rsidR="00DC6757" w:rsidRPr="00CC1998">
        <w:rPr>
          <w:vertAlign w:val="superscript"/>
        </w:rPr>
        <w:endnoteReference w:id="35"/>
      </w:r>
    </w:p>
    <w:p w14:paraId="63D76C8D" w14:textId="77777777" w:rsidR="00DC6757" w:rsidRDefault="00DC6757" w:rsidP="00240010">
      <w:pPr>
        <w:keepNext/>
        <w:keepLines/>
      </w:pPr>
      <w:r w:rsidRPr="001B7B26">
        <w:t>Table 1.2</w:t>
      </w:r>
      <w:r>
        <w:t xml:space="preserve"> provides a snapshot of </w:t>
      </w:r>
      <w:r w:rsidRPr="001B7B26">
        <w:t>intern</w:t>
      </w:r>
      <w:r>
        <w:t xml:space="preserve">et services in operation </w:t>
      </w:r>
      <w:r w:rsidR="00FE1866" w:rsidRPr="001B7B26">
        <w:t xml:space="preserve">by number of subscribers in the Australian market </w:t>
      </w:r>
      <w:r w:rsidRPr="001B7B26">
        <w:t>for the top four ISPs—Telstra, Optus, TPG (which includes iiNet) and Vocus Communications (which includes M2 Group).</w:t>
      </w:r>
      <w:r>
        <w:t xml:space="preserve"> </w:t>
      </w:r>
    </w:p>
    <w:p w14:paraId="5A6C55C8" w14:textId="77777777" w:rsidR="00DC6757" w:rsidRPr="001B7B26" w:rsidRDefault="00DC6757" w:rsidP="00240010">
      <w:r>
        <w:t xml:space="preserve">Telstra reported a decline in its fixed internet subscribers—a decrease of 1.9 per cent while the total number of broadband subscribers grew for Optus, TPG and Vocus. All providers at least doubled their NBN connections, with growth ranging from just over 100 per cent (Optus) to over 160 per cent (Vocus). </w:t>
      </w:r>
    </w:p>
    <w:p w14:paraId="0923BD77" w14:textId="77777777" w:rsidR="00DC6757" w:rsidRPr="004B6D8C" w:rsidRDefault="00DC6757" w:rsidP="00E14F15">
      <w:pPr>
        <w:pStyle w:val="ACMATableHeader"/>
        <w:keepNext/>
        <w:keepLines/>
        <w:pageBreakBefore/>
        <w:numPr>
          <w:ilvl w:val="0"/>
          <w:numId w:val="0"/>
        </w:numPr>
        <w:rPr>
          <w:color w:val="FFFFFF"/>
        </w:rPr>
      </w:pPr>
      <w:r w:rsidRPr="004B6D8C">
        <w:t>Table 1.2</w:t>
      </w:r>
      <w:r w:rsidRPr="004B6D8C">
        <w:tab/>
        <w:t>Internet services in operation for key Australian ISPs (number)</w:t>
      </w:r>
    </w:p>
    <w:tbl>
      <w:tblPr>
        <w:tblStyle w:val="Commsreport2017"/>
        <w:tblpPr w:leftFromText="180" w:rightFromText="180" w:vertAnchor="text" w:tblpY="1"/>
        <w:tblW w:w="9521" w:type="dxa"/>
        <w:tblLayout w:type="fixed"/>
        <w:tblCellMar>
          <w:top w:w="57" w:type="dxa"/>
          <w:left w:w="57" w:type="dxa"/>
          <w:bottom w:w="57" w:type="dxa"/>
          <w:right w:w="57" w:type="dxa"/>
        </w:tblCellMar>
        <w:tblLook w:val="01E0" w:firstRow="1" w:lastRow="1" w:firstColumn="1" w:lastColumn="1" w:noHBand="0" w:noVBand="0"/>
        <w:tblCaption w:val="Table 1.3 SIOs for key Australian ISPs"/>
      </w:tblPr>
      <w:tblGrid>
        <w:gridCol w:w="1696"/>
        <w:gridCol w:w="2977"/>
        <w:gridCol w:w="1212"/>
        <w:gridCol w:w="1212"/>
        <w:gridCol w:w="1212"/>
        <w:gridCol w:w="1212"/>
      </w:tblGrid>
      <w:tr w:rsidR="00513BC9" w:rsidRPr="00513BC9" w14:paraId="34B4C562" w14:textId="77777777" w:rsidTr="00EC183A">
        <w:trPr>
          <w:cnfStyle w:val="100000000000" w:firstRow="1" w:lastRow="0" w:firstColumn="0" w:lastColumn="0" w:oddVBand="0" w:evenVBand="0" w:oddHBand="0" w:evenHBand="0" w:firstRowFirstColumn="0" w:firstRowLastColumn="0" w:lastRowFirstColumn="0" w:lastRowLastColumn="0"/>
          <w:cantSplit/>
          <w:trHeight w:val="139"/>
          <w:tblHeader/>
        </w:trPr>
        <w:tc>
          <w:tcPr>
            <w:cnfStyle w:val="001000000000" w:firstRow="0" w:lastRow="0" w:firstColumn="1" w:lastColumn="0" w:oddVBand="0" w:evenVBand="0" w:oddHBand="0" w:evenHBand="0" w:firstRowFirstColumn="0" w:firstRowLastColumn="0" w:lastRowFirstColumn="0" w:lastRowLastColumn="0"/>
            <w:tcW w:w="1696" w:type="dxa"/>
          </w:tcPr>
          <w:p w14:paraId="5C6CC14C" w14:textId="5A51AFA8" w:rsidR="00513BC9" w:rsidRPr="00513BC9" w:rsidRDefault="00513BC9" w:rsidP="00513BC9">
            <w:pPr>
              <w:pStyle w:val="TableHeading"/>
              <w:spacing w:beforeLines="0" w:before="0" w:afterLines="0"/>
              <w:rPr>
                <w:rFonts w:cs="Arial"/>
                <w:szCs w:val="18"/>
              </w:rPr>
            </w:pPr>
            <w:r w:rsidRPr="00D86FF9">
              <w:rPr>
                <w:rFonts w:cs="Arial"/>
                <w:szCs w:val="18"/>
              </w:rPr>
              <w:t>ISP</w:t>
            </w:r>
          </w:p>
        </w:tc>
        <w:tc>
          <w:tcPr>
            <w:tcW w:w="2977" w:type="dxa"/>
          </w:tcPr>
          <w:p w14:paraId="53405CEC" w14:textId="0ACCAD81" w:rsidR="00513BC9" w:rsidRPr="00876718" w:rsidRDefault="00513BC9" w:rsidP="00513BC9">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Type of service</w:t>
            </w:r>
          </w:p>
        </w:tc>
        <w:tc>
          <w:tcPr>
            <w:tcW w:w="1212" w:type="dxa"/>
          </w:tcPr>
          <w:p w14:paraId="67399B2E" w14:textId="6928EFCC" w:rsidR="00513BC9" w:rsidRPr="00876718" w:rsidRDefault="00513BC9" w:rsidP="00513BC9">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 xml:space="preserve">2015 </w:t>
            </w:r>
            <w:r w:rsidRPr="00876718">
              <w:rPr>
                <w:rFonts w:cs="Arial"/>
                <w:szCs w:val="18"/>
              </w:rPr>
              <w:br/>
              <w:t>(‘000)</w:t>
            </w:r>
          </w:p>
        </w:tc>
        <w:tc>
          <w:tcPr>
            <w:tcW w:w="1212" w:type="dxa"/>
          </w:tcPr>
          <w:p w14:paraId="28031E8F" w14:textId="62845F51" w:rsidR="00513BC9" w:rsidRPr="00876718" w:rsidRDefault="00513BC9" w:rsidP="00513BC9">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 xml:space="preserve">2016 </w:t>
            </w:r>
            <w:r w:rsidRPr="00876718">
              <w:rPr>
                <w:rFonts w:cs="Arial"/>
                <w:szCs w:val="18"/>
              </w:rPr>
              <w:br/>
              <w:t>(‘000)</w:t>
            </w:r>
          </w:p>
        </w:tc>
        <w:tc>
          <w:tcPr>
            <w:tcW w:w="1212" w:type="dxa"/>
          </w:tcPr>
          <w:p w14:paraId="1AB82E8A" w14:textId="0B498A15" w:rsidR="00513BC9" w:rsidRPr="00876718" w:rsidRDefault="00513BC9" w:rsidP="00513BC9">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2017</w:t>
            </w:r>
            <w:r w:rsidRPr="00876718">
              <w:rPr>
                <w:rFonts w:cs="Arial"/>
                <w:szCs w:val="18"/>
              </w:rPr>
              <w:br/>
              <w:t>(‘000)</w:t>
            </w:r>
          </w:p>
        </w:tc>
        <w:tc>
          <w:tcPr>
            <w:tcW w:w="1212" w:type="dxa"/>
          </w:tcPr>
          <w:p w14:paraId="26DE2EC3" w14:textId="76267FB2" w:rsidR="00513BC9" w:rsidRPr="00876718" w:rsidRDefault="00513BC9" w:rsidP="00513BC9">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 xml:space="preserve">2016–17 </w:t>
            </w:r>
            <w:r>
              <w:rPr>
                <w:rFonts w:cs="Arial"/>
                <w:szCs w:val="18"/>
              </w:rPr>
              <w:t xml:space="preserve">change </w:t>
            </w:r>
            <w:r w:rsidRPr="00876718">
              <w:rPr>
                <w:rFonts w:cs="Arial"/>
                <w:szCs w:val="18"/>
              </w:rPr>
              <w:t>(%)</w:t>
            </w:r>
          </w:p>
        </w:tc>
      </w:tr>
      <w:tr w:rsidR="00DC6757" w:rsidRPr="00E8502A" w14:paraId="7674D731" w14:textId="77777777" w:rsidTr="00EE3FD2">
        <w:trPr>
          <w:cantSplit/>
          <w:trHeight w:val="139"/>
        </w:trPr>
        <w:tc>
          <w:tcPr>
            <w:cnfStyle w:val="001000000000" w:firstRow="0" w:lastRow="0" w:firstColumn="1" w:lastColumn="0" w:oddVBand="0" w:evenVBand="0" w:oddHBand="0" w:evenHBand="0" w:firstRowFirstColumn="0" w:firstRowLastColumn="0" w:lastRowFirstColumn="0" w:lastRowLastColumn="0"/>
            <w:tcW w:w="1696" w:type="dxa"/>
            <w:vMerge w:val="restart"/>
          </w:tcPr>
          <w:p w14:paraId="2BA29C73" w14:textId="77777777" w:rsidR="00DC6757" w:rsidRPr="00D86FF9" w:rsidRDefault="00DC6757" w:rsidP="0023192D">
            <w:pPr>
              <w:spacing w:before="0" w:after="0"/>
              <w:rPr>
                <w:rFonts w:cs="Arial"/>
                <w:b/>
                <w:szCs w:val="18"/>
              </w:rPr>
            </w:pPr>
            <w:r w:rsidRPr="00D86FF9">
              <w:rPr>
                <w:rFonts w:cs="Arial"/>
                <w:b/>
                <w:szCs w:val="18"/>
              </w:rPr>
              <w:t>Telstra</w:t>
            </w:r>
          </w:p>
        </w:tc>
        <w:tc>
          <w:tcPr>
            <w:tcW w:w="2977" w:type="dxa"/>
          </w:tcPr>
          <w:p w14:paraId="1858ACDD"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Fixed-broadband retail</w:t>
            </w:r>
          </w:p>
        </w:tc>
        <w:tc>
          <w:tcPr>
            <w:tcW w:w="1212" w:type="dxa"/>
          </w:tcPr>
          <w:p w14:paraId="1CEC5FE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3,145</w:t>
            </w:r>
          </w:p>
        </w:tc>
        <w:tc>
          <w:tcPr>
            <w:tcW w:w="1212" w:type="dxa"/>
          </w:tcPr>
          <w:p w14:paraId="3327A437"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3,379</w:t>
            </w:r>
          </w:p>
        </w:tc>
        <w:tc>
          <w:tcPr>
            <w:tcW w:w="1212" w:type="dxa"/>
          </w:tcPr>
          <w:p w14:paraId="12D3AB8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3,511</w:t>
            </w:r>
          </w:p>
        </w:tc>
        <w:tc>
          <w:tcPr>
            <w:tcW w:w="1212" w:type="dxa"/>
          </w:tcPr>
          <w:p w14:paraId="5D67E97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3.9</w:t>
            </w:r>
          </w:p>
        </w:tc>
      </w:tr>
      <w:tr w:rsidR="00DC6757" w:rsidRPr="00E8502A" w14:paraId="06358FB0" w14:textId="77777777" w:rsidTr="00EE3FD2">
        <w:trPr>
          <w:cantSplit/>
          <w:trHeight w:val="189"/>
        </w:trPr>
        <w:tc>
          <w:tcPr>
            <w:cnfStyle w:val="001000000000" w:firstRow="0" w:lastRow="0" w:firstColumn="1" w:lastColumn="0" w:oddVBand="0" w:evenVBand="0" w:oddHBand="0" w:evenHBand="0" w:firstRowFirstColumn="0" w:firstRowLastColumn="0" w:lastRowFirstColumn="0" w:lastRowLastColumn="0"/>
            <w:tcW w:w="1696" w:type="dxa"/>
            <w:vMerge/>
          </w:tcPr>
          <w:p w14:paraId="7B7065E3" w14:textId="77777777" w:rsidR="00DC6757" w:rsidRPr="00876718" w:rsidRDefault="00DC6757" w:rsidP="0023192D">
            <w:pPr>
              <w:spacing w:before="0" w:after="0"/>
              <w:rPr>
                <w:rFonts w:cs="Arial"/>
                <w:b/>
                <w:szCs w:val="18"/>
              </w:rPr>
            </w:pPr>
          </w:p>
        </w:tc>
        <w:tc>
          <w:tcPr>
            <w:tcW w:w="2977" w:type="dxa"/>
          </w:tcPr>
          <w:p w14:paraId="2201B5AB"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Fixed-broadband wholesale</w:t>
            </w:r>
          </w:p>
        </w:tc>
        <w:tc>
          <w:tcPr>
            <w:tcW w:w="1212" w:type="dxa"/>
          </w:tcPr>
          <w:p w14:paraId="36A332D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840</w:t>
            </w:r>
          </w:p>
        </w:tc>
        <w:tc>
          <w:tcPr>
            <w:tcW w:w="1212" w:type="dxa"/>
          </w:tcPr>
          <w:p w14:paraId="2DE34F0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840</w:t>
            </w:r>
          </w:p>
        </w:tc>
        <w:tc>
          <w:tcPr>
            <w:tcW w:w="1212" w:type="dxa"/>
          </w:tcPr>
          <w:p w14:paraId="045AC9D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683</w:t>
            </w:r>
          </w:p>
        </w:tc>
        <w:tc>
          <w:tcPr>
            <w:tcW w:w="1212" w:type="dxa"/>
          </w:tcPr>
          <w:p w14:paraId="29FDBC8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–18.7</w:t>
            </w:r>
          </w:p>
        </w:tc>
      </w:tr>
      <w:tr w:rsidR="00DC6757" w:rsidRPr="00E8502A" w14:paraId="129C5689" w14:textId="77777777" w:rsidTr="00EE3FD2">
        <w:trPr>
          <w:cantSplit/>
          <w:trHeight w:val="217"/>
        </w:trPr>
        <w:tc>
          <w:tcPr>
            <w:cnfStyle w:val="001000000000" w:firstRow="0" w:lastRow="0" w:firstColumn="1" w:lastColumn="0" w:oddVBand="0" w:evenVBand="0" w:oddHBand="0" w:evenHBand="0" w:firstRowFirstColumn="0" w:firstRowLastColumn="0" w:lastRowFirstColumn="0" w:lastRowLastColumn="0"/>
            <w:tcW w:w="1696" w:type="dxa"/>
            <w:vMerge/>
          </w:tcPr>
          <w:p w14:paraId="4FD5F8DA" w14:textId="77777777" w:rsidR="00DC6757" w:rsidRPr="00876718" w:rsidRDefault="00DC6757" w:rsidP="0023192D">
            <w:pPr>
              <w:spacing w:before="0" w:after="0"/>
              <w:rPr>
                <w:rFonts w:cs="Arial"/>
                <w:b/>
                <w:szCs w:val="18"/>
              </w:rPr>
            </w:pPr>
          </w:p>
        </w:tc>
        <w:tc>
          <w:tcPr>
            <w:tcW w:w="2977" w:type="dxa"/>
          </w:tcPr>
          <w:p w14:paraId="5EB89996"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szCs w:val="18"/>
              </w:rPr>
              <w:t>ISDN access (basic line equivalents)</w:t>
            </w:r>
          </w:p>
        </w:tc>
        <w:tc>
          <w:tcPr>
            <w:tcW w:w="1212" w:type="dxa"/>
          </w:tcPr>
          <w:p w14:paraId="6AE8F9E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1,137</w:t>
            </w:r>
          </w:p>
        </w:tc>
        <w:tc>
          <w:tcPr>
            <w:tcW w:w="1212" w:type="dxa"/>
          </w:tcPr>
          <w:p w14:paraId="06C776F9"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1,049</w:t>
            </w:r>
          </w:p>
        </w:tc>
        <w:tc>
          <w:tcPr>
            <w:tcW w:w="1212" w:type="dxa"/>
          </w:tcPr>
          <w:p w14:paraId="2D2BEB8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973</w:t>
            </w:r>
          </w:p>
        </w:tc>
        <w:tc>
          <w:tcPr>
            <w:tcW w:w="1212" w:type="dxa"/>
          </w:tcPr>
          <w:p w14:paraId="08F74EF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–7.2</w:t>
            </w:r>
          </w:p>
        </w:tc>
      </w:tr>
      <w:tr w:rsidR="00DC6757" w:rsidRPr="00795975" w14:paraId="181CCB3B" w14:textId="77777777" w:rsidTr="00EE3FD2">
        <w:trPr>
          <w:cantSplit/>
          <w:trHeight w:val="179"/>
        </w:trPr>
        <w:tc>
          <w:tcPr>
            <w:cnfStyle w:val="001000000000" w:firstRow="0" w:lastRow="0" w:firstColumn="1" w:lastColumn="0" w:oddVBand="0" w:evenVBand="0" w:oddHBand="0" w:evenHBand="0" w:firstRowFirstColumn="0" w:firstRowLastColumn="0" w:lastRowFirstColumn="0" w:lastRowLastColumn="0"/>
            <w:tcW w:w="1696" w:type="dxa"/>
            <w:vMerge/>
          </w:tcPr>
          <w:p w14:paraId="12B0773A" w14:textId="77777777" w:rsidR="00DC6757" w:rsidRPr="00876718" w:rsidRDefault="00DC6757" w:rsidP="0023192D">
            <w:pPr>
              <w:spacing w:before="0" w:after="0"/>
              <w:rPr>
                <w:rFonts w:cs="Arial"/>
                <w:b/>
                <w:spacing w:val="-28"/>
                <w:szCs w:val="18"/>
              </w:rPr>
            </w:pPr>
          </w:p>
        </w:tc>
        <w:tc>
          <w:tcPr>
            <w:tcW w:w="2977" w:type="dxa"/>
            <w:shd w:val="clear" w:color="auto" w:fill="F2F2F2" w:themeFill="background1" w:themeFillShade="F2"/>
          </w:tcPr>
          <w:p w14:paraId="16DA9B0E"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b/>
                <w:szCs w:val="18"/>
              </w:rPr>
              <w:t>Total fixed internet subscribers</w:t>
            </w:r>
          </w:p>
        </w:tc>
        <w:tc>
          <w:tcPr>
            <w:tcW w:w="1212" w:type="dxa"/>
            <w:shd w:val="clear" w:color="auto" w:fill="F2F2F2" w:themeFill="background1" w:themeFillShade="F2"/>
          </w:tcPr>
          <w:p w14:paraId="5B7B174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5,122</w:t>
            </w:r>
          </w:p>
        </w:tc>
        <w:tc>
          <w:tcPr>
            <w:tcW w:w="1212" w:type="dxa"/>
            <w:shd w:val="clear" w:color="auto" w:fill="F2F2F2" w:themeFill="background1" w:themeFillShade="F2"/>
          </w:tcPr>
          <w:p w14:paraId="1C395C5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5,268</w:t>
            </w:r>
          </w:p>
        </w:tc>
        <w:tc>
          <w:tcPr>
            <w:tcW w:w="1212" w:type="dxa"/>
            <w:shd w:val="clear" w:color="auto" w:fill="F2F2F2" w:themeFill="background1" w:themeFillShade="F2"/>
          </w:tcPr>
          <w:p w14:paraId="5F98ED2B"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5,167</w:t>
            </w:r>
          </w:p>
        </w:tc>
        <w:tc>
          <w:tcPr>
            <w:tcW w:w="1212" w:type="dxa"/>
            <w:shd w:val="clear" w:color="auto" w:fill="F2F2F2" w:themeFill="background1" w:themeFillShade="F2"/>
          </w:tcPr>
          <w:p w14:paraId="08CF69D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highlight w:val="cyan"/>
              </w:rPr>
            </w:pPr>
            <w:r w:rsidRPr="00876718">
              <w:rPr>
                <w:rFonts w:cs="Arial"/>
                <w:b/>
                <w:szCs w:val="18"/>
              </w:rPr>
              <w:t>–1.9</w:t>
            </w:r>
          </w:p>
        </w:tc>
      </w:tr>
      <w:tr w:rsidR="00DC6757" w:rsidRPr="00DC305D" w14:paraId="62F2D7BB" w14:textId="77777777" w:rsidTr="00EE3FD2">
        <w:trPr>
          <w:cantSplit/>
          <w:trHeight w:val="134"/>
        </w:trPr>
        <w:tc>
          <w:tcPr>
            <w:cnfStyle w:val="001000000000" w:firstRow="0" w:lastRow="0" w:firstColumn="1" w:lastColumn="0" w:oddVBand="0" w:evenVBand="0" w:oddHBand="0" w:evenHBand="0" w:firstRowFirstColumn="0" w:firstRowLastColumn="0" w:lastRowFirstColumn="0" w:lastRowLastColumn="0"/>
            <w:tcW w:w="1696" w:type="dxa"/>
            <w:vMerge/>
          </w:tcPr>
          <w:p w14:paraId="23AD53A7" w14:textId="77777777" w:rsidR="00DC6757" w:rsidRPr="00876718" w:rsidRDefault="00DC6757" w:rsidP="0023192D">
            <w:pPr>
              <w:spacing w:before="0" w:after="0"/>
              <w:rPr>
                <w:rFonts w:cs="Arial"/>
                <w:b/>
                <w:spacing w:val="-28"/>
                <w:szCs w:val="18"/>
              </w:rPr>
            </w:pPr>
          </w:p>
        </w:tc>
        <w:tc>
          <w:tcPr>
            <w:tcW w:w="2977" w:type="dxa"/>
          </w:tcPr>
          <w:p w14:paraId="4B6EF081"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szCs w:val="18"/>
              </w:rPr>
              <w:t>Mobile broadband (data card)</w:t>
            </w:r>
          </w:p>
        </w:tc>
        <w:tc>
          <w:tcPr>
            <w:tcW w:w="1212" w:type="dxa"/>
          </w:tcPr>
          <w:p w14:paraId="7A0D5F99"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3,866</w:t>
            </w:r>
          </w:p>
        </w:tc>
        <w:tc>
          <w:tcPr>
            <w:tcW w:w="1212" w:type="dxa"/>
          </w:tcPr>
          <w:p w14:paraId="6E196F8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3,960</w:t>
            </w:r>
          </w:p>
        </w:tc>
        <w:tc>
          <w:tcPr>
            <w:tcW w:w="1212" w:type="dxa"/>
          </w:tcPr>
          <w:p w14:paraId="60D7C30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4,007</w:t>
            </w:r>
          </w:p>
        </w:tc>
        <w:tc>
          <w:tcPr>
            <w:tcW w:w="1212" w:type="dxa"/>
          </w:tcPr>
          <w:p w14:paraId="5062375D"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highlight w:val="cyan"/>
              </w:rPr>
            </w:pPr>
            <w:r w:rsidRPr="00876718">
              <w:rPr>
                <w:rFonts w:cs="Arial"/>
                <w:szCs w:val="18"/>
              </w:rPr>
              <w:t>1.2</w:t>
            </w:r>
          </w:p>
        </w:tc>
      </w:tr>
      <w:tr w:rsidR="00DC6757" w:rsidRPr="00ED4FEE" w14:paraId="1A713E21" w14:textId="77777777" w:rsidTr="00EE3FD2">
        <w:trPr>
          <w:cantSplit/>
          <w:trHeight w:val="203"/>
        </w:trPr>
        <w:tc>
          <w:tcPr>
            <w:cnfStyle w:val="001000000000" w:firstRow="0" w:lastRow="0" w:firstColumn="1" w:lastColumn="0" w:oddVBand="0" w:evenVBand="0" w:oddHBand="0" w:evenHBand="0" w:firstRowFirstColumn="0" w:firstRowLastColumn="0" w:lastRowFirstColumn="0" w:lastRowLastColumn="0"/>
            <w:tcW w:w="1696" w:type="dxa"/>
            <w:vMerge w:val="restart"/>
          </w:tcPr>
          <w:p w14:paraId="194AFED2" w14:textId="77777777" w:rsidR="00DC6757" w:rsidRPr="00D86FF9" w:rsidRDefault="00DC6757" w:rsidP="0023192D">
            <w:pPr>
              <w:spacing w:before="0" w:after="0"/>
              <w:rPr>
                <w:rFonts w:cs="Arial"/>
                <w:b/>
                <w:szCs w:val="18"/>
              </w:rPr>
            </w:pPr>
            <w:r w:rsidRPr="00D86FF9">
              <w:rPr>
                <w:rFonts w:cs="Arial"/>
                <w:b/>
                <w:szCs w:val="18"/>
              </w:rPr>
              <w:t>Optus</w:t>
            </w:r>
          </w:p>
        </w:tc>
        <w:tc>
          <w:tcPr>
            <w:tcW w:w="2977" w:type="dxa"/>
          </w:tcPr>
          <w:p w14:paraId="6D1E889E"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On-net broadband customers*</w:t>
            </w:r>
            <w:r w:rsidRPr="00876718">
              <w:rPr>
                <w:rFonts w:cs="Arial"/>
                <w:szCs w:val="18"/>
                <w:vertAlign w:val="superscript"/>
              </w:rPr>
              <w:t>†</w:t>
            </w:r>
          </w:p>
        </w:tc>
        <w:tc>
          <w:tcPr>
            <w:tcW w:w="1212" w:type="dxa"/>
          </w:tcPr>
          <w:p w14:paraId="476BF66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979</w:t>
            </w:r>
          </w:p>
        </w:tc>
        <w:tc>
          <w:tcPr>
            <w:tcW w:w="1212" w:type="dxa"/>
          </w:tcPr>
          <w:p w14:paraId="13D9BC7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933</w:t>
            </w:r>
          </w:p>
        </w:tc>
        <w:tc>
          <w:tcPr>
            <w:tcW w:w="1212" w:type="dxa"/>
          </w:tcPr>
          <w:p w14:paraId="2321022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877</w:t>
            </w:r>
          </w:p>
        </w:tc>
        <w:tc>
          <w:tcPr>
            <w:tcW w:w="1212" w:type="dxa"/>
          </w:tcPr>
          <w:p w14:paraId="445C0D2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–6.0</w:t>
            </w:r>
          </w:p>
        </w:tc>
      </w:tr>
      <w:tr w:rsidR="00DC6757" w:rsidRPr="00ED4FEE" w14:paraId="3695F5C8" w14:textId="77777777" w:rsidTr="00EE3FD2">
        <w:trPr>
          <w:cantSplit/>
          <w:trHeight w:val="183"/>
        </w:trPr>
        <w:tc>
          <w:tcPr>
            <w:cnfStyle w:val="001000000000" w:firstRow="0" w:lastRow="0" w:firstColumn="1" w:lastColumn="0" w:oddVBand="0" w:evenVBand="0" w:oddHBand="0" w:evenHBand="0" w:firstRowFirstColumn="0" w:firstRowLastColumn="0" w:lastRowFirstColumn="0" w:lastRowLastColumn="0"/>
            <w:tcW w:w="1696" w:type="dxa"/>
            <w:vMerge/>
          </w:tcPr>
          <w:p w14:paraId="05692ADE" w14:textId="77777777" w:rsidR="00DC6757" w:rsidRPr="00876718" w:rsidRDefault="00DC6757" w:rsidP="0023192D">
            <w:pPr>
              <w:spacing w:before="0" w:after="0"/>
              <w:rPr>
                <w:rFonts w:cs="Arial"/>
                <w:b/>
                <w:szCs w:val="18"/>
              </w:rPr>
            </w:pPr>
          </w:p>
        </w:tc>
        <w:tc>
          <w:tcPr>
            <w:tcW w:w="2977" w:type="dxa"/>
          </w:tcPr>
          <w:p w14:paraId="2E9E46F0"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Off-net resale</w:t>
            </w:r>
            <w:r w:rsidRPr="00876718">
              <w:rPr>
                <w:rFonts w:cs="Arial"/>
                <w:szCs w:val="18"/>
                <w:vertAlign w:val="superscript"/>
              </w:rPr>
              <w:t>†</w:t>
            </w:r>
          </w:p>
        </w:tc>
        <w:tc>
          <w:tcPr>
            <w:tcW w:w="1212" w:type="dxa"/>
          </w:tcPr>
          <w:p w14:paraId="09143930"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7</w:t>
            </w:r>
          </w:p>
        </w:tc>
        <w:tc>
          <w:tcPr>
            <w:tcW w:w="1212" w:type="dxa"/>
          </w:tcPr>
          <w:p w14:paraId="67E28B4D"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22</w:t>
            </w:r>
          </w:p>
        </w:tc>
        <w:tc>
          <w:tcPr>
            <w:tcW w:w="1212" w:type="dxa"/>
          </w:tcPr>
          <w:p w14:paraId="7906F0E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42</w:t>
            </w:r>
          </w:p>
        </w:tc>
        <w:tc>
          <w:tcPr>
            <w:tcW w:w="1212" w:type="dxa"/>
          </w:tcPr>
          <w:p w14:paraId="1A547EE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90.9</w:t>
            </w:r>
          </w:p>
        </w:tc>
      </w:tr>
      <w:tr w:rsidR="00DC6757" w:rsidRPr="00ED4FEE" w14:paraId="73A01775" w14:textId="77777777" w:rsidTr="00EE3FD2">
        <w:trPr>
          <w:cantSplit/>
          <w:trHeight w:val="149"/>
        </w:trPr>
        <w:tc>
          <w:tcPr>
            <w:cnfStyle w:val="001000000000" w:firstRow="0" w:lastRow="0" w:firstColumn="1" w:lastColumn="0" w:oddVBand="0" w:evenVBand="0" w:oddHBand="0" w:evenHBand="0" w:firstRowFirstColumn="0" w:firstRowLastColumn="0" w:lastRowFirstColumn="0" w:lastRowLastColumn="0"/>
            <w:tcW w:w="1696" w:type="dxa"/>
            <w:vMerge/>
          </w:tcPr>
          <w:p w14:paraId="3202CF86" w14:textId="77777777" w:rsidR="00DC6757" w:rsidRPr="00876718" w:rsidRDefault="00DC6757" w:rsidP="0023192D">
            <w:pPr>
              <w:spacing w:before="0" w:after="0"/>
              <w:rPr>
                <w:rFonts w:cs="Arial"/>
                <w:b/>
                <w:szCs w:val="18"/>
              </w:rPr>
            </w:pPr>
          </w:p>
        </w:tc>
        <w:tc>
          <w:tcPr>
            <w:tcW w:w="2977" w:type="dxa"/>
          </w:tcPr>
          <w:p w14:paraId="30E027AA"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Off-net NBN</w:t>
            </w:r>
            <w:r w:rsidRPr="00876718">
              <w:rPr>
                <w:rFonts w:cs="Arial"/>
                <w:szCs w:val="18"/>
                <w:vertAlign w:val="superscript"/>
              </w:rPr>
              <w:t>†</w:t>
            </w:r>
          </w:p>
        </w:tc>
        <w:tc>
          <w:tcPr>
            <w:tcW w:w="1212" w:type="dxa"/>
          </w:tcPr>
          <w:p w14:paraId="225E726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54</w:t>
            </w:r>
          </w:p>
        </w:tc>
        <w:tc>
          <w:tcPr>
            <w:tcW w:w="1212" w:type="dxa"/>
          </w:tcPr>
          <w:p w14:paraId="1C56FA5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113</w:t>
            </w:r>
          </w:p>
        </w:tc>
        <w:tc>
          <w:tcPr>
            <w:tcW w:w="1212" w:type="dxa"/>
          </w:tcPr>
          <w:p w14:paraId="4FCE7BD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228</w:t>
            </w:r>
          </w:p>
        </w:tc>
        <w:tc>
          <w:tcPr>
            <w:tcW w:w="1212" w:type="dxa"/>
          </w:tcPr>
          <w:p w14:paraId="3F712B8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101.8</w:t>
            </w:r>
          </w:p>
        </w:tc>
      </w:tr>
      <w:tr w:rsidR="00DC6757" w:rsidRPr="00ED4FEE" w14:paraId="3653A6A8" w14:textId="77777777" w:rsidTr="00EE3FD2">
        <w:trPr>
          <w:cantSplit/>
          <w:trHeight w:val="81"/>
        </w:trPr>
        <w:tc>
          <w:tcPr>
            <w:cnfStyle w:val="001000000000" w:firstRow="0" w:lastRow="0" w:firstColumn="1" w:lastColumn="0" w:oddVBand="0" w:evenVBand="0" w:oddHBand="0" w:evenHBand="0" w:firstRowFirstColumn="0" w:firstRowLastColumn="0" w:lastRowFirstColumn="0" w:lastRowLastColumn="0"/>
            <w:tcW w:w="1696" w:type="dxa"/>
            <w:vMerge/>
          </w:tcPr>
          <w:p w14:paraId="5FB0EAE6" w14:textId="77777777" w:rsidR="00DC6757" w:rsidRPr="00876718" w:rsidRDefault="00DC6757" w:rsidP="0023192D">
            <w:pPr>
              <w:spacing w:before="0" w:after="0"/>
              <w:rPr>
                <w:rFonts w:cs="Arial"/>
                <w:b/>
                <w:szCs w:val="18"/>
              </w:rPr>
            </w:pPr>
          </w:p>
        </w:tc>
        <w:tc>
          <w:tcPr>
            <w:tcW w:w="2977" w:type="dxa"/>
          </w:tcPr>
          <w:p w14:paraId="21305C16"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Dial-up</w:t>
            </w:r>
          </w:p>
        </w:tc>
        <w:tc>
          <w:tcPr>
            <w:tcW w:w="1212" w:type="dxa"/>
          </w:tcPr>
          <w:p w14:paraId="57498C5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9</w:t>
            </w:r>
          </w:p>
        </w:tc>
        <w:tc>
          <w:tcPr>
            <w:tcW w:w="1212" w:type="dxa"/>
          </w:tcPr>
          <w:p w14:paraId="3B9A937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w:t>
            </w:r>
          </w:p>
        </w:tc>
        <w:tc>
          <w:tcPr>
            <w:tcW w:w="1212" w:type="dxa"/>
          </w:tcPr>
          <w:p w14:paraId="34191C18"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w:t>
            </w:r>
          </w:p>
        </w:tc>
        <w:tc>
          <w:tcPr>
            <w:tcW w:w="1212" w:type="dxa"/>
          </w:tcPr>
          <w:p w14:paraId="42579DF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0.0</w:t>
            </w:r>
          </w:p>
        </w:tc>
      </w:tr>
      <w:tr w:rsidR="00DC6757" w:rsidRPr="00795975" w14:paraId="42C0D5D9" w14:textId="77777777" w:rsidTr="00EE3FD2">
        <w:trPr>
          <w:cantSplit/>
          <w:trHeight w:val="124"/>
        </w:trPr>
        <w:tc>
          <w:tcPr>
            <w:cnfStyle w:val="001000000000" w:firstRow="0" w:lastRow="0" w:firstColumn="1" w:lastColumn="0" w:oddVBand="0" w:evenVBand="0" w:oddHBand="0" w:evenHBand="0" w:firstRowFirstColumn="0" w:firstRowLastColumn="0" w:lastRowFirstColumn="0" w:lastRowLastColumn="0"/>
            <w:tcW w:w="1696" w:type="dxa"/>
            <w:vMerge/>
          </w:tcPr>
          <w:p w14:paraId="422D4F07" w14:textId="77777777" w:rsidR="00DC6757" w:rsidRPr="00876718" w:rsidRDefault="00DC6757" w:rsidP="0023192D">
            <w:pPr>
              <w:spacing w:before="0" w:after="0"/>
              <w:rPr>
                <w:rFonts w:cs="Arial"/>
                <w:b/>
                <w:szCs w:val="18"/>
              </w:rPr>
            </w:pPr>
          </w:p>
        </w:tc>
        <w:tc>
          <w:tcPr>
            <w:tcW w:w="2977" w:type="dxa"/>
            <w:shd w:val="clear" w:color="auto" w:fill="F2F2F2" w:themeFill="background1" w:themeFillShade="F2"/>
          </w:tcPr>
          <w:p w14:paraId="5F3D8AC5"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b/>
                <w:szCs w:val="18"/>
              </w:rPr>
              <w:t>Total fixed internet subscribers</w:t>
            </w:r>
            <w:r w:rsidRPr="00876718">
              <w:rPr>
                <w:rFonts w:cs="Arial"/>
                <w:szCs w:val="18"/>
                <w:vertAlign w:val="superscript"/>
              </w:rPr>
              <w:t>†</w:t>
            </w:r>
          </w:p>
        </w:tc>
        <w:tc>
          <w:tcPr>
            <w:tcW w:w="1212" w:type="dxa"/>
            <w:shd w:val="clear" w:color="auto" w:fill="F2F2F2" w:themeFill="background1" w:themeFillShade="F2"/>
          </w:tcPr>
          <w:p w14:paraId="57018F7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1,049</w:t>
            </w:r>
          </w:p>
        </w:tc>
        <w:tc>
          <w:tcPr>
            <w:tcW w:w="1212" w:type="dxa"/>
            <w:shd w:val="clear" w:color="auto" w:fill="F2F2F2" w:themeFill="background1" w:themeFillShade="F2"/>
          </w:tcPr>
          <w:p w14:paraId="71EAAC2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1,071</w:t>
            </w:r>
          </w:p>
        </w:tc>
        <w:tc>
          <w:tcPr>
            <w:tcW w:w="1212" w:type="dxa"/>
            <w:shd w:val="clear" w:color="auto" w:fill="F2F2F2" w:themeFill="background1" w:themeFillShade="F2"/>
          </w:tcPr>
          <w:p w14:paraId="52DAB2F9"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1,150</w:t>
            </w:r>
          </w:p>
        </w:tc>
        <w:tc>
          <w:tcPr>
            <w:tcW w:w="1212" w:type="dxa"/>
            <w:shd w:val="clear" w:color="auto" w:fill="F2F2F2" w:themeFill="background1" w:themeFillShade="F2"/>
          </w:tcPr>
          <w:p w14:paraId="2B10E8D4"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highlight w:val="cyan"/>
              </w:rPr>
            </w:pPr>
            <w:r w:rsidRPr="00876718">
              <w:rPr>
                <w:rFonts w:cs="Arial"/>
                <w:b/>
                <w:szCs w:val="18"/>
              </w:rPr>
              <w:t>7.4</w:t>
            </w:r>
          </w:p>
        </w:tc>
      </w:tr>
      <w:tr w:rsidR="00DC6757" w:rsidRPr="0097355B" w14:paraId="3668DF59" w14:textId="77777777" w:rsidTr="00EE3FD2">
        <w:trPr>
          <w:cantSplit/>
          <w:trHeight w:val="95"/>
        </w:trPr>
        <w:tc>
          <w:tcPr>
            <w:cnfStyle w:val="001000000000" w:firstRow="0" w:lastRow="0" w:firstColumn="1" w:lastColumn="0" w:oddVBand="0" w:evenVBand="0" w:oddHBand="0" w:evenHBand="0" w:firstRowFirstColumn="0" w:firstRowLastColumn="0" w:lastRowFirstColumn="0" w:lastRowLastColumn="0"/>
            <w:tcW w:w="1696" w:type="dxa"/>
            <w:vMerge w:val="restart"/>
          </w:tcPr>
          <w:p w14:paraId="7AD8AE96" w14:textId="77777777" w:rsidR="00DC6757" w:rsidRPr="00D86FF9" w:rsidRDefault="00DC6757" w:rsidP="0023192D">
            <w:pPr>
              <w:spacing w:before="0" w:after="0"/>
              <w:rPr>
                <w:rFonts w:cs="Arial"/>
                <w:b/>
                <w:szCs w:val="18"/>
              </w:rPr>
            </w:pPr>
            <w:r w:rsidRPr="00D86FF9">
              <w:rPr>
                <w:rFonts w:cs="Arial"/>
                <w:b/>
                <w:szCs w:val="18"/>
              </w:rPr>
              <w:t xml:space="preserve">iiNet </w:t>
            </w:r>
            <w:r w:rsidRPr="00D86FF9">
              <w:rPr>
                <w:rFonts w:cs="Arial"/>
                <w:b/>
                <w:szCs w:val="18"/>
              </w:rPr>
              <w:br/>
              <w:t xml:space="preserve">(TPG Telecom) </w:t>
            </w:r>
          </w:p>
        </w:tc>
        <w:tc>
          <w:tcPr>
            <w:tcW w:w="2977" w:type="dxa"/>
          </w:tcPr>
          <w:p w14:paraId="65AE98A4"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On-net ADSL</w:t>
            </w:r>
          </w:p>
        </w:tc>
        <w:tc>
          <w:tcPr>
            <w:tcW w:w="1212" w:type="dxa"/>
          </w:tcPr>
          <w:p w14:paraId="7622B7F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587</w:t>
            </w:r>
          </w:p>
        </w:tc>
        <w:tc>
          <w:tcPr>
            <w:tcW w:w="1212" w:type="dxa"/>
          </w:tcPr>
          <w:p w14:paraId="2CF9AB79"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highlight w:val="yellow"/>
              </w:rPr>
            </w:pPr>
            <w:r w:rsidRPr="00876718">
              <w:rPr>
                <w:rFonts w:cs="Arial"/>
                <w:color w:val="000000" w:themeColor="text1"/>
                <w:szCs w:val="18"/>
              </w:rPr>
              <w:t>539</w:t>
            </w:r>
          </w:p>
        </w:tc>
        <w:tc>
          <w:tcPr>
            <w:tcW w:w="1212" w:type="dxa"/>
          </w:tcPr>
          <w:p w14:paraId="013401ED"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453</w:t>
            </w:r>
          </w:p>
        </w:tc>
        <w:tc>
          <w:tcPr>
            <w:tcW w:w="1212" w:type="dxa"/>
          </w:tcPr>
          <w:p w14:paraId="433A80B8"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szCs w:val="18"/>
              </w:rPr>
              <w:t>–16.0</w:t>
            </w:r>
          </w:p>
        </w:tc>
      </w:tr>
      <w:tr w:rsidR="00DC6757" w:rsidRPr="00382921" w14:paraId="6E9913F3" w14:textId="77777777" w:rsidTr="00EE3FD2">
        <w:trPr>
          <w:cantSplit/>
          <w:trHeight w:val="143"/>
        </w:trPr>
        <w:tc>
          <w:tcPr>
            <w:cnfStyle w:val="001000000000" w:firstRow="0" w:lastRow="0" w:firstColumn="1" w:lastColumn="0" w:oddVBand="0" w:evenVBand="0" w:oddHBand="0" w:evenHBand="0" w:firstRowFirstColumn="0" w:firstRowLastColumn="0" w:lastRowFirstColumn="0" w:lastRowLastColumn="0"/>
            <w:tcW w:w="1696" w:type="dxa"/>
            <w:vMerge/>
          </w:tcPr>
          <w:p w14:paraId="704D29BA" w14:textId="77777777" w:rsidR="00DC6757" w:rsidRPr="00876718" w:rsidRDefault="00DC6757" w:rsidP="0023192D">
            <w:pPr>
              <w:spacing w:before="0" w:after="0"/>
              <w:rPr>
                <w:rFonts w:cs="Arial"/>
                <w:b/>
                <w:szCs w:val="18"/>
              </w:rPr>
            </w:pPr>
          </w:p>
        </w:tc>
        <w:tc>
          <w:tcPr>
            <w:tcW w:w="2977" w:type="dxa"/>
          </w:tcPr>
          <w:p w14:paraId="5B46C0F3"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Other</w:t>
            </w:r>
          </w:p>
        </w:tc>
        <w:tc>
          <w:tcPr>
            <w:tcW w:w="1212" w:type="dxa"/>
          </w:tcPr>
          <w:p w14:paraId="4465183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62</w:t>
            </w:r>
          </w:p>
        </w:tc>
        <w:tc>
          <w:tcPr>
            <w:tcW w:w="1212" w:type="dxa"/>
          </w:tcPr>
          <w:p w14:paraId="755E21E8"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75</w:t>
            </w:r>
          </w:p>
        </w:tc>
        <w:tc>
          <w:tcPr>
            <w:tcW w:w="1212" w:type="dxa"/>
          </w:tcPr>
          <w:p w14:paraId="3747C921" w14:textId="77777777" w:rsidR="00DC6757" w:rsidRPr="00876718" w:rsidDel="004E52DD"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79</w:t>
            </w:r>
          </w:p>
        </w:tc>
        <w:tc>
          <w:tcPr>
            <w:tcW w:w="1212" w:type="dxa"/>
          </w:tcPr>
          <w:p w14:paraId="57FBB69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5.3</w:t>
            </w:r>
          </w:p>
        </w:tc>
      </w:tr>
      <w:tr w:rsidR="00DC6757" w:rsidRPr="0097355B" w14:paraId="7352DE4F" w14:textId="77777777" w:rsidTr="00EE3FD2">
        <w:trPr>
          <w:cantSplit/>
          <w:trHeight w:val="143"/>
        </w:trPr>
        <w:tc>
          <w:tcPr>
            <w:cnfStyle w:val="001000000000" w:firstRow="0" w:lastRow="0" w:firstColumn="1" w:lastColumn="0" w:oddVBand="0" w:evenVBand="0" w:oddHBand="0" w:evenHBand="0" w:firstRowFirstColumn="0" w:firstRowLastColumn="0" w:lastRowFirstColumn="0" w:lastRowLastColumn="0"/>
            <w:tcW w:w="1696" w:type="dxa"/>
            <w:vMerge/>
          </w:tcPr>
          <w:p w14:paraId="019F4199" w14:textId="77777777" w:rsidR="00DC6757" w:rsidRPr="00876718" w:rsidRDefault="00DC6757" w:rsidP="0023192D">
            <w:pPr>
              <w:spacing w:before="0" w:after="0"/>
              <w:rPr>
                <w:rFonts w:cs="Arial"/>
                <w:b/>
                <w:szCs w:val="18"/>
              </w:rPr>
            </w:pPr>
          </w:p>
        </w:tc>
        <w:tc>
          <w:tcPr>
            <w:tcW w:w="2977" w:type="dxa"/>
          </w:tcPr>
          <w:p w14:paraId="55A448D9"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szCs w:val="18"/>
              </w:rPr>
              <w:t>Off-net ADSL</w:t>
            </w:r>
          </w:p>
        </w:tc>
        <w:tc>
          <w:tcPr>
            <w:tcW w:w="1212" w:type="dxa"/>
          </w:tcPr>
          <w:p w14:paraId="1A8B8480"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258</w:t>
            </w:r>
          </w:p>
        </w:tc>
        <w:tc>
          <w:tcPr>
            <w:tcW w:w="1212" w:type="dxa"/>
          </w:tcPr>
          <w:p w14:paraId="7566F55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highlight w:val="yellow"/>
              </w:rPr>
            </w:pPr>
            <w:r w:rsidRPr="00876718">
              <w:rPr>
                <w:rFonts w:cs="Arial"/>
                <w:color w:val="000000" w:themeColor="text1"/>
                <w:szCs w:val="18"/>
              </w:rPr>
              <w:t>212</w:t>
            </w:r>
          </w:p>
        </w:tc>
        <w:tc>
          <w:tcPr>
            <w:tcW w:w="1212" w:type="dxa"/>
          </w:tcPr>
          <w:p w14:paraId="09E0134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148</w:t>
            </w:r>
          </w:p>
        </w:tc>
        <w:tc>
          <w:tcPr>
            <w:tcW w:w="1212" w:type="dxa"/>
          </w:tcPr>
          <w:p w14:paraId="7451706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szCs w:val="18"/>
              </w:rPr>
              <w:t>–30.2</w:t>
            </w:r>
          </w:p>
        </w:tc>
      </w:tr>
      <w:tr w:rsidR="00DC6757" w:rsidRPr="0097355B" w14:paraId="73C3D30E" w14:textId="77777777" w:rsidTr="00EE3FD2">
        <w:trPr>
          <w:cantSplit/>
          <w:trHeight w:val="177"/>
        </w:trPr>
        <w:tc>
          <w:tcPr>
            <w:cnfStyle w:val="001000000000" w:firstRow="0" w:lastRow="0" w:firstColumn="1" w:lastColumn="0" w:oddVBand="0" w:evenVBand="0" w:oddHBand="0" w:evenHBand="0" w:firstRowFirstColumn="0" w:firstRowLastColumn="0" w:lastRowFirstColumn="0" w:lastRowLastColumn="0"/>
            <w:tcW w:w="1696" w:type="dxa"/>
            <w:vMerge/>
          </w:tcPr>
          <w:p w14:paraId="4D277F4C" w14:textId="77777777" w:rsidR="00DC6757" w:rsidRPr="00876718" w:rsidRDefault="00DC6757" w:rsidP="0023192D">
            <w:pPr>
              <w:spacing w:before="0" w:after="0"/>
              <w:rPr>
                <w:rFonts w:cs="Arial"/>
                <w:b/>
                <w:szCs w:val="18"/>
              </w:rPr>
            </w:pPr>
          </w:p>
        </w:tc>
        <w:tc>
          <w:tcPr>
            <w:tcW w:w="2977" w:type="dxa"/>
          </w:tcPr>
          <w:p w14:paraId="7F4B7786"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szCs w:val="18"/>
              </w:rPr>
              <w:t>NBN</w:t>
            </w:r>
          </w:p>
        </w:tc>
        <w:tc>
          <w:tcPr>
            <w:tcW w:w="1212" w:type="dxa"/>
          </w:tcPr>
          <w:p w14:paraId="0D35459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82</w:t>
            </w:r>
          </w:p>
        </w:tc>
        <w:tc>
          <w:tcPr>
            <w:tcW w:w="1212" w:type="dxa"/>
          </w:tcPr>
          <w:p w14:paraId="4FBC94A4"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highlight w:val="yellow"/>
              </w:rPr>
            </w:pPr>
            <w:r w:rsidRPr="00876718">
              <w:rPr>
                <w:rFonts w:cs="Arial"/>
                <w:color w:val="000000" w:themeColor="text1"/>
                <w:szCs w:val="18"/>
              </w:rPr>
              <w:t>157</w:t>
            </w:r>
          </w:p>
        </w:tc>
        <w:tc>
          <w:tcPr>
            <w:tcW w:w="1212" w:type="dxa"/>
          </w:tcPr>
          <w:p w14:paraId="109F340B"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299</w:t>
            </w:r>
          </w:p>
        </w:tc>
        <w:tc>
          <w:tcPr>
            <w:tcW w:w="1212" w:type="dxa"/>
          </w:tcPr>
          <w:p w14:paraId="469C4304"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90.4</w:t>
            </w:r>
          </w:p>
        </w:tc>
      </w:tr>
      <w:tr w:rsidR="00DC6757" w:rsidRPr="0097355B" w14:paraId="037D358C" w14:textId="77777777" w:rsidTr="00EE3FD2">
        <w:trPr>
          <w:cantSplit/>
          <w:trHeight w:val="224"/>
        </w:trPr>
        <w:tc>
          <w:tcPr>
            <w:cnfStyle w:val="001000000000" w:firstRow="0" w:lastRow="0" w:firstColumn="1" w:lastColumn="0" w:oddVBand="0" w:evenVBand="0" w:oddHBand="0" w:evenHBand="0" w:firstRowFirstColumn="0" w:firstRowLastColumn="0" w:lastRowFirstColumn="0" w:lastRowLastColumn="0"/>
            <w:tcW w:w="1696" w:type="dxa"/>
            <w:vMerge/>
          </w:tcPr>
          <w:p w14:paraId="3A84C1CA" w14:textId="77777777" w:rsidR="00DC6757" w:rsidRPr="00876718" w:rsidRDefault="00DC6757" w:rsidP="0023192D">
            <w:pPr>
              <w:spacing w:before="0" w:after="0"/>
              <w:rPr>
                <w:rFonts w:cs="Arial"/>
                <w:b/>
                <w:szCs w:val="18"/>
              </w:rPr>
            </w:pPr>
          </w:p>
        </w:tc>
        <w:tc>
          <w:tcPr>
            <w:tcW w:w="2977" w:type="dxa"/>
            <w:shd w:val="clear" w:color="auto" w:fill="F2F2F2" w:themeFill="background1" w:themeFillShade="F2"/>
          </w:tcPr>
          <w:p w14:paraId="120B260C"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876718">
              <w:rPr>
                <w:rFonts w:cs="Arial"/>
                <w:b/>
                <w:szCs w:val="18"/>
              </w:rPr>
              <w:t>Total fixed internet subscribers</w:t>
            </w:r>
          </w:p>
        </w:tc>
        <w:tc>
          <w:tcPr>
            <w:tcW w:w="1212" w:type="dxa"/>
            <w:shd w:val="clear" w:color="auto" w:fill="F2F2F2" w:themeFill="background1" w:themeFillShade="F2"/>
          </w:tcPr>
          <w:p w14:paraId="50BF4EA9"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989</w:t>
            </w:r>
          </w:p>
        </w:tc>
        <w:tc>
          <w:tcPr>
            <w:tcW w:w="1212" w:type="dxa"/>
            <w:shd w:val="clear" w:color="auto" w:fill="F2F2F2" w:themeFill="background1" w:themeFillShade="F2"/>
          </w:tcPr>
          <w:p w14:paraId="56397AF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highlight w:val="yellow"/>
              </w:rPr>
            </w:pPr>
            <w:r w:rsidRPr="00876718">
              <w:rPr>
                <w:rFonts w:cs="Arial"/>
                <w:b/>
                <w:szCs w:val="18"/>
              </w:rPr>
              <w:t>983</w:t>
            </w:r>
          </w:p>
        </w:tc>
        <w:tc>
          <w:tcPr>
            <w:tcW w:w="1212" w:type="dxa"/>
            <w:shd w:val="clear" w:color="auto" w:fill="F2F2F2" w:themeFill="background1" w:themeFillShade="F2"/>
          </w:tcPr>
          <w:p w14:paraId="763034B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979</w:t>
            </w:r>
          </w:p>
        </w:tc>
        <w:tc>
          <w:tcPr>
            <w:tcW w:w="1212" w:type="dxa"/>
            <w:shd w:val="clear" w:color="auto" w:fill="F2F2F2" w:themeFill="background1" w:themeFillShade="F2"/>
          </w:tcPr>
          <w:p w14:paraId="3262630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–0.4</w:t>
            </w:r>
          </w:p>
        </w:tc>
      </w:tr>
      <w:tr w:rsidR="00DC6757" w:rsidRPr="005416E9" w14:paraId="1B0C5811" w14:textId="77777777" w:rsidTr="00EE3FD2">
        <w:trPr>
          <w:cantSplit/>
          <w:trHeight w:val="102"/>
        </w:trPr>
        <w:tc>
          <w:tcPr>
            <w:cnfStyle w:val="001000000000" w:firstRow="0" w:lastRow="0" w:firstColumn="1" w:lastColumn="0" w:oddVBand="0" w:evenVBand="0" w:oddHBand="0" w:evenHBand="0" w:firstRowFirstColumn="0" w:firstRowLastColumn="0" w:lastRowFirstColumn="0" w:lastRowLastColumn="0"/>
            <w:tcW w:w="1696" w:type="dxa"/>
            <w:vMerge w:val="restart"/>
          </w:tcPr>
          <w:p w14:paraId="757BEBF6" w14:textId="77777777" w:rsidR="00DC6757" w:rsidRPr="00D86FF9" w:rsidRDefault="00DC6757" w:rsidP="0023192D">
            <w:pPr>
              <w:spacing w:before="0" w:after="0"/>
              <w:rPr>
                <w:rFonts w:cs="Arial"/>
                <w:b/>
                <w:szCs w:val="18"/>
              </w:rPr>
            </w:pPr>
            <w:r w:rsidRPr="00D86FF9">
              <w:rPr>
                <w:rFonts w:cs="Arial"/>
                <w:b/>
                <w:szCs w:val="18"/>
              </w:rPr>
              <w:t>TPG Telecom (excluding iiNet)</w:t>
            </w:r>
          </w:p>
        </w:tc>
        <w:tc>
          <w:tcPr>
            <w:tcW w:w="2977" w:type="dxa"/>
          </w:tcPr>
          <w:p w14:paraId="2E182DBC"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On-net ADSL bundle</w:t>
            </w:r>
          </w:p>
        </w:tc>
        <w:tc>
          <w:tcPr>
            <w:tcW w:w="1212" w:type="dxa"/>
          </w:tcPr>
          <w:p w14:paraId="709F5864"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542</w:t>
            </w:r>
          </w:p>
        </w:tc>
        <w:tc>
          <w:tcPr>
            <w:tcW w:w="1212" w:type="dxa"/>
          </w:tcPr>
          <w:p w14:paraId="2C0EDF07"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582</w:t>
            </w:r>
          </w:p>
        </w:tc>
        <w:tc>
          <w:tcPr>
            <w:tcW w:w="1212" w:type="dxa"/>
          </w:tcPr>
          <w:p w14:paraId="518EDC3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520</w:t>
            </w:r>
          </w:p>
        </w:tc>
        <w:tc>
          <w:tcPr>
            <w:tcW w:w="1212" w:type="dxa"/>
          </w:tcPr>
          <w:p w14:paraId="70A23D08"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–10.7</w:t>
            </w:r>
          </w:p>
        </w:tc>
      </w:tr>
      <w:tr w:rsidR="00DC6757" w:rsidRPr="005416E9" w14:paraId="6EB659BC" w14:textId="77777777" w:rsidTr="00EE3FD2">
        <w:trPr>
          <w:cantSplit/>
          <w:trHeight w:val="20"/>
        </w:trPr>
        <w:tc>
          <w:tcPr>
            <w:cnfStyle w:val="001000000000" w:firstRow="0" w:lastRow="0" w:firstColumn="1" w:lastColumn="0" w:oddVBand="0" w:evenVBand="0" w:oddHBand="0" w:evenHBand="0" w:firstRowFirstColumn="0" w:firstRowLastColumn="0" w:lastRowFirstColumn="0" w:lastRowLastColumn="0"/>
            <w:tcW w:w="1696" w:type="dxa"/>
            <w:vMerge/>
          </w:tcPr>
          <w:p w14:paraId="439B36E7" w14:textId="77777777" w:rsidR="00DC6757" w:rsidRPr="00876718" w:rsidRDefault="00DC6757" w:rsidP="0023192D">
            <w:pPr>
              <w:spacing w:before="0" w:after="0"/>
              <w:rPr>
                <w:rFonts w:cs="Arial"/>
                <w:b/>
                <w:szCs w:val="18"/>
              </w:rPr>
            </w:pPr>
          </w:p>
        </w:tc>
        <w:tc>
          <w:tcPr>
            <w:tcW w:w="2977" w:type="dxa"/>
          </w:tcPr>
          <w:p w14:paraId="349614A2"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On-net ADSL</w:t>
            </w:r>
          </w:p>
        </w:tc>
        <w:tc>
          <w:tcPr>
            <w:tcW w:w="1212" w:type="dxa"/>
          </w:tcPr>
          <w:p w14:paraId="7CA2671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173</w:t>
            </w:r>
          </w:p>
        </w:tc>
        <w:tc>
          <w:tcPr>
            <w:tcW w:w="1212" w:type="dxa"/>
          </w:tcPr>
          <w:p w14:paraId="7D59A7D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141</w:t>
            </w:r>
          </w:p>
        </w:tc>
        <w:tc>
          <w:tcPr>
            <w:tcW w:w="1212" w:type="dxa"/>
          </w:tcPr>
          <w:p w14:paraId="7388857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110</w:t>
            </w:r>
          </w:p>
        </w:tc>
        <w:tc>
          <w:tcPr>
            <w:tcW w:w="1212" w:type="dxa"/>
          </w:tcPr>
          <w:p w14:paraId="5776415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–22.0</w:t>
            </w:r>
          </w:p>
        </w:tc>
      </w:tr>
      <w:tr w:rsidR="00DC6757" w:rsidRPr="002B1BBC" w14:paraId="4AD64F92"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tcPr>
          <w:p w14:paraId="649D700A" w14:textId="77777777" w:rsidR="00DC6757" w:rsidRPr="00876718" w:rsidRDefault="00DC6757" w:rsidP="0023192D">
            <w:pPr>
              <w:spacing w:before="0" w:after="0"/>
              <w:rPr>
                <w:rFonts w:cs="Arial"/>
                <w:b/>
                <w:szCs w:val="18"/>
              </w:rPr>
            </w:pPr>
          </w:p>
        </w:tc>
        <w:tc>
          <w:tcPr>
            <w:tcW w:w="2977" w:type="dxa"/>
          </w:tcPr>
          <w:p w14:paraId="06E01B75"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FTTB</w:t>
            </w:r>
          </w:p>
        </w:tc>
        <w:tc>
          <w:tcPr>
            <w:tcW w:w="1212" w:type="dxa"/>
          </w:tcPr>
          <w:p w14:paraId="5E8A1997"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n/a</w:t>
            </w:r>
          </w:p>
        </w:tc>
        <w:tc>
          <w:tcPr>
            <w:tcW w:w="1212" w:type="dxa"/>
          </w:tcPr>
          <w:p w14:paraId="730497A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n/a</w:t>
            </w:r>
          </w:p>
        </w:tc>
        <w:tc>
          <w:tcPr>
            <w:tcW w:w="1212" w:type="dxa"/>
          </w:tcPr>
          <w:p w14:paraId="123A23A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37</w:t>
            </w:r>
          </w:p>
        </w:tc>
        <w:tc>
          <w:tcPr>
            <w:tcW w:w="1212" w:type="dxa"/>
          </w:tcPr>
          <w:p w14:paraId="5B75A20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n/a</w:t>
            </w:r>
          </w:p>
        </w:tc>
      </w:tr>
      <w:tr w:rsidR="00DC6757" w:rsidRPr="005416E9" w14:paraId="28DB0B7F" w14:textId="77777777" w:rsidTr="00EE3FD2">
        <w:trPr>
          <w:cantSplit/>
          <w:trHeight w:val="185"/>
        </w:trPr>
        <w:tc>
          <w:tcPr>
            <w:cnfStyle w:val="001000000000" w:firstRow="0" w:lastRow="0" w:firstColumn="1" w:lastColumn="0" w:oddVBand="0" w:evenVBand="0" w:oddHBand="0" w:evenHBand="0" w:firstRowFirstColumn="0" w:firstRowLastColumn="0" w:lastRowFirstColumn="0" w:lastRowLastColumn="0"/>
            <w:tcW w:w="1696" w:type="dxa"/>
            <w:vMerge/>
          </w:tcPr>
          <w:p w14:paraId="1AB76A22" w14:textId="77777777" w:rsidR="00DC6757" w:rsidRPr="00876718" w:rsidRDefault="00DC6757" w:rsidP="0023192D">
            <w:pPr>
              <w:spacing w:before="0" w:after="0"/>
              <w:rPr>
                <w:rFonts w:cs="Arial"/>
                <w:b/>
                <w:szCs w:val="18"/>
              </w:rPr>
            </w:pPr>
          </w:p>
        </w:tc>
        <w:tc>
          <w:tcPr>
            <w:tcW w:w="2977" w:type="dxa"/>
          </w:tcPr>
          <w:p w14:paraId="096F68E1"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Off-net ADSL</w:t>
            </w:r>
          </w:p>
        </w:tc>
        <w:tc>
          <w:tcPr>
            <w:tcW w:w="1212" w:type="dxa"/>
          </w:tcPr>
          <w:p w14:paraId="1217410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62</w:t>
            </w:r>
          </w:p>
        </w:tc>
        <w:tc>
          <w:tcPr>
            <w:tcW w:w="1212" w:type="dxa"/>
          </w:tcPr>
          <w:p w14:paraId="21257ED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color w:val="000000" w:themeColor="text1"/>
                <w:szCs w:val="18"/>
              </w:rPr>
              <w:t>43</w:t>
            </w:r>
          </w:p>
        </w:tc>
        <w:tc>
          <w:tcPr>
            <w:tcW w:w="1212" w:type="dxa"/>
          </w:tcPr>
          <w:p w14:paraId="368079F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28</w:t>
            </w:r>
          </w:p>
        </w:tc>
        <w:tc>
          <w:tcPr>
            <w:tcW w:w="1212" w:type="dxa"/>
          </w:tcPr>
          <w:p w14:paraId="79D2D8FB"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color w:val="000000" w:themeColor="text1"/>
                <w:szCs w:val="18"/>
              </w:rPr>
              <w:t>–34.9</w:t>
            </w:r>
          </w:p>
        </w:tc>
      </w:tr>
      <w:tr w:rsidR="00DC6757" w:rsidRPr="005416E9" w:rsidDel="00C53ADD" w14:paraId="3043C092" w14:textId="77777777" w:rsidTr="00EE3FD2">
        <w:trPr>
          <w:cantSplit/>
          <w:trHeight w:val="185"/>
        </w:trPr>
        <w:tc>
          <w:tcPr>
            <w:cnfStyle w:val="001000000000" w:firstRow="0" w:lastRow="0" w:firstColumn="1" w:lastColumn="0" w:oddVBand="0" w:evenVBand="0" w:oddHBand="0" w:evenHBand="0" w:firstRowFirstColumn="0" w:firstRowLastColumn="0" w:lastRowFirstColumn="0" w:lastRowLastColumn="0"/>
            <w:tcW w:w="1696" w:type="dxa"/>
            <w:vMerge/>
          </w:tcPr>
          <w:p w14:paraId="7654D9C8" w14:textId="77777777" w:rsidR="00DC6757" w:rsidRPr="00876718" w:rsidRDefault="00DC6757" w:rsidP="0023192D">
            <w:pPr>
              <w:spacing w:before="0" w:after="0"/>
              <w:rPr>
                <w:rFonts w:cs="Arial"/>
                <w:b/>
                <w:szCs w:val="18"/>
              </w:rPr>
            </w:pPr>
          </w:p>
        </w:tc>
        <w:tc>
          <w:tcPr>
            <w:tcW w:w="2977" w:type="dxa"/>
          </w:tcPr>
          <w:p w14:paraId="3033B4E9"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NBN</w:t>
            </w:r>
          </w:p>
        </w:tc>
        <w:tc>
          <w:tcPr>
            <w:tcW w:w="1212" w:type="dxa"/>
          </w:tcPr>
          <w:p w14:paraId="4AB00DC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44</w:t>
            </w:r>
          </w:p>
        </w:tc>
        <w:tc>
          <w:tcPr>
            <w:tcW w:w="1212" w:type="dxa"/>
          </w:tcPr>
          <w:p w14:paraId="5F0E9CC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119</w:t>
            </w:r>
          </w:p>
        </w:tc>
        <w:tc>
          <w:tcPr>
            <w:tcW w:w="1212" w:type="dxa"/>
          </w:tcPr>
          <w:p w14:paraId="4EA0A128" w14:textId="77777777" w:rsidR="00DC6757" w:rsidRPr="00876718" w:rsidDel="00C53ADD"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262</w:t>
            </w:r>
          </w:p>
        </w:tc>
        <w:tc>
          <w:tcPr>
            <w:tcW w:w="1212" w:type="dxa"/>
          </w:tcPr>
          <w:p w14:paraId="03535DD7" w14:textId="77777777" w:rsidR="00DC6757" w:rsidRPr="00876718" w:rsidDel="00C53ADD"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876718">
              <w:rPr>
                <w:rFonts w:cs="Arial"/>
                <w:color w:val="000000" w:themeColor="text1"/>
                <w:szCs w:val="18"/>
              </w:rPr>
              <w:t>120.2</w:t>
            </w:r>
          </w:p>
        </w:tc>
      </w:tr>
      <w:tr w:rsidR="00DC6757" w:rsidRPr="005416E9" w14:paraId="1829287A"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tcPr>
          <w:p w14:paraId="323F751D" w14:textId="77777777" w:rsidR="00DC6757" w:rsidRPr="00876718" w:rsidRDefault="00DC6757" w:rsidP="0023192D">
            <w:pPr>
              <w:spacing w:before="0" w:after="0"/>
              <w:rPr>
                <w:rFonts w:cs="Arial"/>
                <w:b/>
                <w:szCs w:val="18"/>
              </w:rPr>
            </w:pPr>
          </w:p>
        </w:tc>
        <w:tc>
          <w:tcPr>
            <w:tcW w:w="2977" w:type="dxa"/>
            <w:shd w:val="clear" w:color="auto" w:fill="F2F2F2" w:themeFill="background1" w:themeFillShade="F2"/>
          </w:tcPr>
          <w:p w14:paraId="477C9C5F"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Total broadband subscribers</w:t>
            </w:r>
          </w:p>
        </w:tc>
        <w:tc>
          <w:tcPr>
            <w:tcW w:w="1212" w:type="dxa"/>
            <w:shd w:val="clear" w:color="auto" w:fill="F2F2F2" w:themeFill="background1" w:themeFillShade="F2"/>
          </w:tcPr>
          <w:p w14:paraId="1287C34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821</w:t>
            </w:r>
          </w:p>
        </w:tc>
        <w:tc>
          <w:tcPr>
            <w:tcW w:w="1212" w:type="dxa"/>
            <w:shd w:val="clear" w:color="auto" w:fill="F2F2F2" w:themeFill="background1" w:themeFillShade="F2"/>
          </w:tcPr>
          <w:p w14:paraId="7D5A46D0"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885</w:t>
            </w:r>
          </w:p>
        </w:tc>
        <w:tc>
          <w:tcPr>
            <w:tcW w:w="1212" w:type="dxa"/>
            <w:shd w:val="clear" w:color="auto" w:fill="F2F2F2" w:themeFill="background1" w:themeFillShade="F2"/>
          </w:tcPr>
          <w:p w14:paraId="0B5B8E3B"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957</w:t>
            </w:r>
          </w:p>
        </w:tc>
        <w:tc>
          <w:tcPr>
            <w:tcW w:w="1212" w:type="dxa"/>
            <w:shd w:val="clear" w:color="auto" w:fill="F2F2F2" w:themeFill="background1" w:themeFillShade="F2"/>
          </w:tcPr>
          <w:p w14:paraId="526C19DE"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8.1</w:t>
            </w:r>
          </w:p>
        </w:tc>
      </w:tr>
      <w:tr w:rsidR="00DC6757" w:rsidRPr="00ED7309" w14:paraId="42F65CB4"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val="restart"/>
          </w:tcPr>
          <w:p w14:paraId="7E028717" w14:textId="77777777" w:rsidR="00DC6757" w:rsidRPr="00876718" w:rsidRDefault="00DC6757" w:rsidP="0023192D">
            <w:pPr>
              <w:spacing w:before="0" w:after="0"/>
              <w:rPr>
                <w:rFonts w:cs="Arial"/>
                <w:b/>
                <w:szCs w:val="18"/>
              </w:rPr>
            </w:pPr>
            <w:r w:rsidRPr="00D86FF9">
              <w:rPr>
                <w:rFonts w:cs="Arial"/>
                <w:b/>
                <w:szCs w:val="18"/>
              </w:rPr>
              <w:t xml:space="preserve">Vocus </w:t>
            </w:r>
            <w:r w:rsidRPr="00D86FF9">
              <w:rPr>
                <w:rFonts w:cs="Arial"/>
                <w:b/>
                <w:szCs w:val="18"/>
              </w:rPr>
              <w:br/>
              <w:t>Communications</w:t>
            </w:r>
          </w:p>
        </w:tc>
        <w:tc>
          <w:tcPr>
            <w:tcW w:w="2977" w:type="dxa"/>
          </w:tcPr>
          <w:p w14:paraId="42057517"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Bundled</w:t>
            </w:r>
            <w:r w:rsidRPr="00876718">
              <w:rPr>
                <w:rFonts w:cs="Arial"/>
                <w:szCs w:val="18"/>
                <w:vertAlign w:val="superscript"/>
              </w:rPr>
              <w:t>†</w:t>
            </w:r>
            <w:r w:rsidRPr="00876718">
              <w:rPr>
                <w:rFonts w:cs="Arial"/>
                <w:szCs w:val="18"/>
              </w:rPr>
              <w:t xml:space="preserve"> </w:t>
            </w:r>
          </w:p>
        </w:tc>
        <w:tc>
          <w:tcPr>
            <w:tcW w:w="1212" w:type="dxa"/>
          </w:tcPr>
          <w:p w14:paraId="6669D762"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365</w:t>
            </w:r>
          </w:p>
        </w:tc>
        <w:tc>
          <w:tcPr>
            <w:tcW w:w="1212" w:type="dxa"/>
          </w:tcPr>
          <w:p w14:paraId="0578B740"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409</w:t>
            </w:r>
          </w:p>
        </w:tc>
        <w:tc>
          <w:tcPr>
            <w:tcW w:w="1212" w:type="dxa"/>
          </w:tcPr>
          <w:p w14:paraId="031AD444"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324</w:t>
            </w:r>
          </w:p>
        </w:tc>
        <w:tc>
          <w:tcPr>
            <w:tcW w:w="1212" w:type="dxa"/>
          </w:tcPr>
          <w:p w14:paraId="374DE927"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–20.8</w:t>
            </w:r>
          </w:p>
        </w:tc>
      </w:tr>
      <w:tr w:rsidR="00DC6757" w:rsidRPr="00ED7309" w14:paraId="0F112B48"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tcPr>
          <w:p w14:paraId="004F4694" w14:textId="77777777" w:rsidR="00DC6757" w:rsidRPr="00876718" w:rsidRDefault="00DC6757" w:rsidP="0023192D">
            <w:pPr>
              <w:spacing w:before="0" w:after="0"/>
              <w:rPr>
                <w:rFonts w:cs="Arial"/>
                <w:b/>
                <w:szCs w:val="18"/>
              </w:rPr>
            </w:pPr>
          </w:p>
        </w:tc>
        <w:tc>
          <w:tcPr>
            <w:tcW w:w="2977" w:type="dxa"/>
          </w:tcPr>
          <w:p w14:paraId="7C533F6E"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DSL</w:t>
            </w:r>
          </w:p>
        </w:tc>
        <w:tc>
          <w:tcPr>
            <w:tcW w:w="1212" w:type="dxa"/>
          </w:tcPr>
          <w:p w14:paraId="20B54A7D"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74</w:t>
            </w:r>
          </w:p>
        </w:tc>
        <w:tc>
          <w:tcPr>
            <w:tcW w:w="1212" w:type="dxa"/>
          </w:tcPr>
          <w:p w14:paraId="65F7521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51</w:t>
            </w:r>
          </w:p>
        </w:tc>
        <w:tc>
          <w:tcPr>
            <w:tcW w:w="1212" w:type="dxa"/>
          </w:tcPr>
          <w:p w14:paraId="5C14E411"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45</w:t>
            </w:r>
          </w:p>
        </w:tc>
        <w:tc>
          <w:tcPr>
            <w:tcW w:w="1212" w:type="dxa"/>
          </w:tcPr>
          <w:p w14:paraId="287E445B"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–11.8</w:t>
            </w:r>
          </w:p>
        </w:tc>
      </w:tr>
      <w:tr w:rsidR="00DC6757" w:rsidRPr="00ED7309" w14:paraId="2FD8810B"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tcPr>
          <w:p w14:paraId="20B622EE" w14:textId="77777777" w:rsidR="00DC6757" w:rsidRPr="00876718" w:rsidRDefault="00DC6757" w:rsidP="0023192D">
            <w:pPr>
              <w:spacing w:before="0" w:after="0"/>
              <w:rPr>
                <w:rFonts w:cs="Arial"/>
                <w:b/>
                <w:szCs w:val="18"/>
              </w:rPr>
            </w:pPr>
          </w:p>
        </w:tc>
        <w:tc>
          <w:tcPr>
            <w:tcW w:w="2977" w:type="dxa"/>
          </w:tcPr>
          <w:p w14:paraId="0666B9AA"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NBN</w:t>
            </w:r>
          </w:p>
        </w:tc>
        <w:tc>
          <w:tcPr>
            <w:tcW w:w="1212" w:type="dxa"/>
          </w:tcPr>
          <w:p w14:paraId="2DED60E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szCs w:val="18"/>
              </w:rPr>
              <w:t>26</w:t>
            </w:r>
          </w:p>
        </w:tc>
        <w:tc>
          <w:tcPr>
            <w:tcW w:w="1212" w:type="dxa"/>
          </w:tcPr>
          <w:p w14:paraId="06AAABCD"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68</w:t>
            </w:r>
          </w:p>
        </w:tc>
        <w:tc>
          <w:tcPr>
            <w:tcW w:w="1212" w:type="dxa"/>
          </w:tcPr>
          <w:p w14:paraId="5C8D87F3"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876718">
              <w:rPr>
                <w:rFonts w:cs="Arial"/>
                <w:szCs w:val="18"/>
              </w:rPr>
              <w:t>178</w:t>
            </w:r>
          </w:p>
        </w:tc>
        <w:tc>
          <w:tcPr>
            <w:tcW w:w="1212" w:type="dxa"/>
          </w:tcPr>
          <w:p w14:paraId="3CA5631F"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color w:val="000000" w:themeColor="text1"/>
                <w:szCs w:val="18"/>
              </w:rPr>
            </w:pPr>
            <w:r w:rsidRPr="00876718">
              <w:rPr>
                <w:rFonts w:cs="Arial"/>
                <w:szCs w:val="18"/>
              </w:rPr>
              <w:t>161.8</w:t>
            </w:r>
          </w:p>
        </w:tc>
      </w:tr>
      <w:tr w:rsidR="00DC6757" w:rsidRPr="00795975" w14:paraId="19148250" w14:textId="77777777" w:rsidTr="00EE3FD2">
        <w:trPr>
          <w:cantSplit/>
          <w:trHeight w:val="108"/>
        </w:trPr>
        <w:tc>
          <w:tcPr>
            <w:cnfStyle w:val="001000000000" w:firstRow="0" w:lastRow="0" w:firstColumn="1" w:lastColumn="0" w:oddVBand="0" w:evenVBand="0" w:oddHBand="0" w:evenHBand="0" w:firstRowFirstColumn="0" w:firstRowLastColumn="0" w:lastRowFirstColumn="0" w:lastRowLastColumn="0"/>
            <w:tcW w:w="1696" w:type="dxa"/>
            <w:vMerge/>
          </w:tcPr>
          <w:p w14:paraId="1FDB423D" w14:textId="77777777" w:rsidR="00DC6757" w:rsidRPr="00876718" w:rsidRDefault="00DC6757" w:rsidP="0023192D">
            <w:pPr>
              <w:spacing w:before="0" w:after="0"/>
              <w:rPr>
                <w:rFonts w:cs="Arial"/>
                <w:b/>
                <w:szCs w:val="18"/>
              </w:rPr>
            </w:pPr>
          </w:p>
        </w:tc>
        <w:tc>
          <w:tcPr>
            <w:tcW w:w="2977" w:type="dxa"/>
            <w:shd w:val="clear" w:color="auto" w:fill="F2F2F2" w:themeFill="background1" w:themeFillShade="F2"/>
          </w:tcPr>
          <w:p w14:paraId="3988DD53" w14:textId="77777777" w:rsidR="00DC6757" w:rsidRPr="00876718" w:rsidRDefault="00DC6757" w:rsidP="0023192D">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Total broadband subscribers</w:t>
            </w:r>
          </w:p>
        </w:tc>
        <w:tc>
          <w:tcPr>
            <w:tcW w:w="1212" w:type="dxa"/>
            <w:shd w:val="clear" w:color="auto" w:fill="F2F2F2" w:themeFill="background1" w:themeFillShade="F2"/>
          </w:tcPr>
          <w:p w14:paraId="529F97B6"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465</w:t>
            </w:r>
          </w:p>
        </w:tc>
        <w:tc>
          <w:tcPr>
            <w:tcW w:w="1212" w:type="dxa"/>
            <w:shd w:val="clear" w:color="auto" w:fill="F2F2F2" w:themeFill="background1" w:themeFillShade="F2"/>
          </w:tcPr>
          <w:p w14:paraId="4F8C03CC"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528</w:t>
            </w:r>
          </w:p>
        </w:tc>
        <w:tc>
          <w:tcPr>
            <w:tcW w:w="1212" w:type="dxa"/>
            <w:shd w:val="clear" w:color="auto" w:fill="F2F2F2" w:themeFill="background1" w:themeFillShade="F2"/>
          </w:tcPr>
          <w:p w14:paraId="497A8B6A"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547</w:t>
            </w:r>
          </w:p>
        </w:tc>
        <w:tc>
          <w:tcPr>
            <w:tcW w:w="1212" w:type="dxa"/>
            <w:shd w:val="clear" w:color="auto" w:fill="F2F2F2" w:themeFill="background1" w:themeFillShade="F2"/>
          </w:tcPr>
          <w:p w14:paraId="7D434755" w14:textId="77777777" w:rsidR="00DC6757" w:rsidRPr="00876718" w:rsidRDefault="00DC6757" w:rsidP="0023192D">
            <w:pPr>
              <w:tabs>
                <w:tab w:val="left" w:pos="723"/>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876718">
              <w:rPr>
                <w:rFonts w:cs="Arial"/>
                <w:b/>
                <w:szCs w:val="18"/>
              </w:rPr>
              <w:t>3.6</w:t>
            </w:r>
          </w:p>
        </w:tc>
      </w:tr>
    </w:tbl>
    <w:p w14:paraId="42D80969" w14:textId="77777777" w:rsidR="00DC6757" w:rsidRDefault="00DC6757" w:rsidP="00B5395A">
      <w:pPr>
        <w:pStyle w:val="ACMANotes"/>
        <w:spacing w:before="120"/>
      </w:pPr>
      <w:r w:rsidRPr="00F908C5">
        <w:t>*Optus on-net includes HFC, ULL and business-grade broadband customers.</w:t>
      </w:r>
    </w:p>
    <w:p w14:paraId="74EDCC85" w14:textId="77777777" w:rsidR="00691B70" w:rsidRPr="001B7B26" w:rsidRDefault="00691B70" w:rsidP="00240010">
      <w:pPr>
        <w:pStyle w:val="ACMANotes"/>
      </w:pPr>
      <w:r w:rsidRPr="00876718">
        <w:rPr>
          <w:sz w:val="18"/>
          <w:szCs w:val="18"/>
          <w:vertAlign w:val="superscript"/>
        </w:rPr>
        <w:t>†</w:t>
      </w:r>
      <w:r>
        <w:t>Revised from last year.</w:t>
      </w:r>
    </w:p>
    <w:p w14:paraId="61CC002D" w14:textId="77777777" w:rsidR="00DC6757" w:rsidRPr="00F908C5" w:rsidRDefault="00DC6757" w:rsidP="00240010">
      <w:pPr>
        <w:pStyle w:val="ACMANotes"/>
      </w:pPr>
      <w:r w:rsidRPr="00F908C5">
        <w:t xml:space="preserve">Note: Includes resale figures. Terminology used is consistent with that used in company annual reports. </w:t>
      </w:r>
      <w:r w:rsidR="007E3E0F">
        <w:t>‘</w:t>
      </w:r>
      <w:r w:rsidR="00C83B34">
        <w:t>On-net</w:t>
      </w:r>
      <w:r w:rsidR="007E3E0F">
        <w:t>’</w:t>
      </w:r>
      <w:r w:rsidR="00C83B34">
        <w:t xml:space="preserve"> refers to services provided by the ISP over its own network. Off-net and off-net resale refer to services provided by an ISP over another ISP’s network. </w:t>
      </w:r>
      <w:r w:rsidRPr="00F908C5">
        <w:t xml:space="preserve">The number of subscribers is measured using the number of subscriber lines rather than number of users. Subscribers may have multiple accounts with more than one ISP. Numbers presented in the table </w:t>
      </w:r>
      <w:r>
        <w:t>may also include</w:t>
      </w:r>
      <w:r w:rsidRPr="00F908C5">
        <w:t xml:space="preserve"> SIO of subsidiaries. Numbers may not add up due to rounding. </w:t>
      </w:r>
    </w:p>
    <w:p w14:paraId="6A2FB3E8" w14:textId="77777777" w:rsidR="000A1CD9" w:rsidRDefault="00DC6757" w:rsidP="00B5395A">
      <w:pPr>
        <w:pStyle w:val="ACMANotesspaceafter"/>
        <w:spacing w:after="360"/>
      </w:pPr>
      <w:r w:rsidRPr="00F908C5">
        <w:t>Source: Company annual reports and press releases</w:t>
      </w:r>
      <w:r>
        <w:t>.</w:t>
      </w:r>
    </w:p>
    <w:p w14:paraId="4315CB42" w14:textId="77777777" w:rsidR="00DC6757" w:rsidRPr="004E4C9A" w:rsidRDefault="00DC6757" w:rsidP="00DC6757">
      <w:pPr>
        <w:pStyle w:val="Heading3"/>
        <w:spacing w:before="240"/>
      </w:pPr>
      <w:bookmarkStart w:id="480" w:name="_Toc494799344"/>
      <w:bookmarkStart w:id="481" w:name="_Toc494805647"/>
      <w:bookmarkStart w:id="482" w:name="_Toc494805876"/>
      <w:bookmarkStart w:id="483" w:name="_Toc494808106"/>
      <w:bookmarkStart w:id="484" w:name="_Toc494808541"/>
      <w:bookmarkStart w:id="485" w:name="_Toc494815912"/>
      <w:bookmarkStart w:id="486" w:name="_Toc494818773"/>
      <w:bookmarkStart w:id="487" w:name="_Toc494819040"/>
      <w:r w:rsidRPr="004E4C9A">
        <w:t>Number of internet subscribers</w:t>
      </w:r>
      <w:bookmarkEnd w:id="480"/>
      <w:bookmarkEnd w:id="481"/>
      <w:bookmarkEnd w:id="482"/>
      <w:bookmarkEnd w:id="483"/>
      <w:bookmarkEnd w:id="484"/>
      <w:bookmarkEnd w:id="485"/>
      <w:bookmarkEnd w:id="486"/>
      <w:bookmarkEnd w:id="487"/>
    </w:p>
    <w:p w14:paraId="3623861C" w14:textId="77777777" w:rsidR="00DC6757" w:rsidRPr="004E4C9A" w:rsidRDefault="00DC6757" w:rsidP="00852644">
      <w:pPr>
        <w:keepNext/>
        <w:keepLines/>
      </w:pPr>
      <w:r w:rsidRPr="004E4C9A">
        <w:t xml:space="preserve">There were </w:t>
      </w:r>
      <w:r>
        <w:t>40.08</w:t>
      </w:r>
      <w:r w:rsidRPr="004E4C9A">
        <w:t xml:space="preserve"> million internet subscribers in Australia at June 2017, an increase of </w:t>
      </w:r>
      <w:r>
        <w:t xml:space="preserve">5.2 </w:t>
      </w:r>
      <w:r w:rsidRPr="004E4C9A">
        <w:t xml:space="preserve">per cent since June 2016 (Table 1.3). The increase reflects continued growth in NBN-related services and mobile-internet services. </w:t>
      </w:r>
    </w:p>
    <w:p w14:paraId="0BDC9F91" w14:textId="77777777" w:rsidR="00DC6757" w:rsidRPr="002E0DE0" w:rsidRDefault="00DC6757" w:rsidP="00E14F15">
      <w:pPr>
        <w:pStyle w:val="ACMATableHeader"/>
        <w:keepNext/>
        <w:numPr>
          <w:ilvl w:val="0"/>
          <w:numId w:val="0"/>
        </w:numPr>
      </w:pPr>
      <w:r w:rsidRPr="002E0DE0">
        <w:t>Table 1.3</w:t>
      </w:r>
      <w:r w:rsidRPr="002E0DE0">
        <w:tab/>
        <w:t>Internet subscribers by technology type (millions)</w:t>
      </w:r>
    </w:p>
    <w:tbl>
      <w:tblPr>
        <w:tblStyle w:val="Commsreport2017"/>
        <w:tblW w:w="9133" w:type="dxa"/>
        <w:tblLayout w:type="fixed"/>
        <w:tblCellMar>
          <w:top w:w="57" w:type="dxa"/>
          <w:left w:w="57" w:type="dxa"/>
          <w:bottom w:w="57" w:type="dxa"/>
          <w:right w:w="57" w:type="dxa"/>
        </w:tblCellMar>
        <w:tblLook w:val="01E0" w:firstRow="1" w:lastRow="1" w:firstColumn="1" w:lastColumn="1" w:noHBand="0" w:noVBand="0"/>
        <w:tblCaption w:val="Table 1.2 Internet subscribers by technology type (millions)"/>
      </w:tblPr>
      <w:tblGrid>
        <w:gridCol w:w="2263"/>
        <w:gridCol w:w="1145"/>
        <w:gridCol w:w="1145"/>
        <w:gridCol w:w="1145"/>
        <w:gridCol w:w="1145"/>
        <w:gridCol w:w="1145"/>
        <w:gridCol w:w="1145"/>
      </w:tblGrid>
      <w:tr w:rsidR="007607B4" w:rsidRPr="00121AFB" w14:paraId="75B665FB" w14:textId="77777777" w:rsidTr="00EC183A">
        <w:trPr>
          <w:cnfStyle w:val="100000000000" w:firstRow="1" w:lastRow="0" w:firstColumn="0" w:lastColumn="0" w:oddVBand="0" w:evenVBand="0" w:oddHBand="0" w:evenHBand="0" w:firstRowFirstColumn="0" w:firstRowLastColumn="0" w:lastRowFirstColumn="0" w:lastRowLastColumn="0"/>
          <w:trHeight w:val="111"/>
          <w:tblHeader/>
        </w:trPr>
        <w:tc>
          <w:tcPr>
            <w:cnfStyle w:val="001000000000" w:firstRow="0" w:lastRow="0" w:firstColumn="1" w:lastColumn="0" w:oddVBand="0" w:evenVBand="0" w:oddHBand="0" w:evenHBand="0" w:firstRowFirstColumn="0" w:firstRowLastColumn="0" w:lastRowFirstColumn="0" w:lastRowLastColumn="0"/>
            <w:tcW w:w="2263" w:type="dxa"/>
          </w:tcPr>
          <w:p w14:paraId="7A40FA77" w14:textId="77777777" w:rsidR="007607B4" w:rsidRPr="00121AFB" w:rsidRDefault="007607B4" w:rsidP="00400488">
            <w:pPr>
              <w:spacing w:beforeLines="0" w:before="0" w:afterLines="0" w:after="0"/>
              <w:rPr>
                <w:rFonts w:cs="Arial"/>
                <w:b/>
                <w:i/>
                <w:szCs w:val="18"/>
              </w:rPr>
            </w:pPr>
          </w:p>
        </w:tc>
        <w:tc>
          <w:tcPr>
            <w:tcW w:w="1145" w:type="dxa"/>
          </w:tcPr>
          <w:p w14:paraId="29D5AFAD" w14:textId="212F0FB3"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876718">
              <w:rPr>
                <w:rFonts w:cs="Arial"/>
                <w:szCs w:val="18"/>
              </w:rPr>
              <w:t>Jun 13</w:t>
            </w:r>
          </w:p>
        </w:tc>
        <w:tc>
          <w:tcPr>
            <w:tcW w:w="1145" w:type="dxa"/>
          </w:tcPr>
          <w:p w14:paraId="05C150D9" w14:textId="257A0B6A"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691B70">
              <w:rPr>
                <w:rFonts w:cs="Arial"/>
                <w:szCs w:val="18"/>
              </w:rPr>
              <w:t>Jun 14</w:t>
            </w:r>
          </w:p>
        </w:tc>
        <w:tc>
          <w:tcPr>
            <w:tcW w:w="1145" w:type="dxa"/>
          </w:tcPr>
          <w:p w14:paraId="644755DE" w14:textId="56149CA0"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121AFB">
              <w:rPr>
                <w:rFonts w:cs="Arial"/>
                <w:szCs w:val="18"/>
              </w:rPr>
              <w:t>Jun 15</w:t>
            </w:r>
          </w:p>
        </w:tc>
        <w:tc>
          <w:tcPr>
            <w:tcW w:w="1145" w:type="dxa"/>
          </w:tcPr>
          <w:p w14:paraId="1FB618F7" w14:textId="6FC98C06"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121AFB">
              <w:rPr>
                <w:rFonts w:cs="Arial"/>
                <w:szCs w:val="18"/>
              </w:rPr>
              <w:t>Jun 16</w:t>
            </w:r>
          </w:p>
        </w:tc>
        <w:tc>
          <w:tcPr>
            <w:tcW w:w="1145" w:type="dxa"/>
          </w:tcPr>
          <w:p w14:paraId="27E8841D" w14:textId="220DC395"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121AFB">
              <w:rPr>
                <w:rFonts w:cs="Arial"/>
                <w:szCs w:val="18"/>
              </w:rPr>
              <w:t>Jun 17</w:t>
            </w:r>
          </w:p>
        </w:tc>
        <w:tc>
          <w:tcPr>
            <w:tcW w:w="1145" w:type="dxa"/>
          </w:tcPr>
          <w:p w14:paraId="1E2111D9" w14:textId="0C7DC19D" w:rsidR="007607B4" w:rsidRPr="007607B4" w:rsidRDefault="007607B4" w:rsidP="00400488">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121AFB">
              <w:rPr>
                <w:rFonts w:cs="Arial"/>
                <w:szCs w:val="18"/>
              </w:rPr>
              <w:t>2016–17</w:t>
            </w:r>
            <w:r w:rsidRPr="00121AFB">
              <w:rPr>
                <w:rFonts w:cs="Arial"/>
                <w:szCs w:val="18"/>
              </w:rPr>
              <w:br/>
              <w:t>change (%)</w:t>
            </w:r>
            <w:r w:rsidR="004447D3" w:rsidRPr="00876718">
              <w:rPr>
                <w:szCs w:val="18"/>
                <w:vertAlign w:val="superscript"/>
              </w:rPr>
              <w:t>†</w:t>
            </w:r>
          </w:p>
        </w:tc>
      </w:tr>
      <w:tr w:rsidR="00DC6757" w:rsidRPr="00121AFB" w14:paraId="5FBBB013" w14:textId="77777777" w:rsidTr="004447D3">
        <w:trPr>
          <w:trHeight w:val="204"/>
        </w:trPr>
        <w:tc>
          <w:tcPr>
            <w:cnfStyle w:val="001000000000" w:firstRow="0" w:lastRow="0" w:firstColumn="1" w:lastColumn="0" w:oddVBand="0" w:evenVBand="0" w:oddHBand="0" w:evenHBand="0" w:firstRowFirstColumn="0" w:firstRowLastColumn="0" w:lastRowFirstColumn="0" w:lastRowLastColumn="0"/>
            <w:tcW w:w="2263" w:type="dxa"/>
          </w:tcPr>
          <w:p w14:paraId="4DE78AEE" w14:textId="77777777" w:rsidR="00DC6757" w:rsidRPr="00876718" w:rsidRDefault="00DC6757" w:rsidP="00400488">
            <w:pPr>
              <w:spacing w:before="0" w:after="0"/>
              <w:rPr>
                <w:rFonts w:cs="Arial"/>
                <w:b/>
                <w:i/>
                <w:spacing w:val="-28"/>
                <w:szCs w:val="18"/>
              </w:rPr>
            </w:pPr>
            <w:r w:rsidRPr="00121AFB">
              <w:rPr>
                <w:rFonts w:cs="Arial"/>
                <w:b/>
                <w:i/>
                <w:szCs w:val="18"/>
              </w:rPr>
              <w:t>Total fixed internet subscribers</w:t>
            </w:r>
          </w:p>
        </w:tc>
        <w:tc>
          <w:tcPr>
            <w:tcW w:w="1145" w:type="dxa"/>
          </w:tcPr>
          <w:p w14:paraId="46C9A39A" w14:textId="77777777" w:rsidR="00DC6757" w:rsidRPr="00691B70"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pacing w:val="-28"/>
                <w:szCs w:val="18"/>
              </w:rPr>
            </w:pPr>
            <w:r w:rsidRPr="00691B70">
              <w:rPr>
                <w:rFonts w:cs="Arial"/>
                <w:b/>
                <w:i/>
                <w:szCs w:val="18"/>
              </w:rPr>
              <w:t>6.21</w:t>
            </w:r>
          </w:p>
        </w:tc>
        <w:tc>
          <w:tcPr>
            <w:tcW w:w="1145" w:type="dxa"/>
          </w:tcPr>
          <w:p w14:paraId="40962E4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pacing w:val="-28"/>
                <w:szCs w:val="18"/>
              </w:rPr>
            </w:pPr>
            <w:r w:rsidRPr="00121AFB">
              <w:rPr>
                <w:rFonts w:cs="Arial"/>
                <w:b/>
                <w:i/>
                <w:szCs w:val="18"/>
              </w:rPr>
              <w:t>6.53</w:t>
            </w:r>
          </w:p>
        </w:tc>
        <w:tc>
          <w:tcPr>
            <w:tcW w:w="1145" w:type="dxa"/>
          </w:tcPr>
          <w:p w14:paraId="5C7B1444"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6.76</w:t>
            </w:r>
          </w:p>
        </w:tc>
        <w:tc>
          <w:tcPr>
            <w:tcW w:w="1145" w:type="dxa"/>
          </w:tcPr>
          <w:p w14:paraId="78C55BC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7.26</w:t>
            </w:r>
          </w:p>
        </w:tc>
        <w:tc>
          <w:tcPr>
            <w:tcW w:w="1145" w:type="dxa"/>
          </w:tcPr>
          <w:p w14:paraId="465FC54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7.64</w:t>
            </w:r>
          </w:p>
        </w:tc>
        <w:tc>
          <w:tcPr>
            <w:tcW w:w="1145" w:type="dxa"/>
          </w:tcPr>
          <w:p w14:paraId="63200DBB"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5.3</w:t>
            </w:r>
          </w:p>
        </w:tc>
      </w:tr>
      <w:tr w:rsidR="00DC6757" w:rsidRPr="00121AFB" w14:paraId="2236B47B" w14:textId="77777777" w:rsidTr="004447D3">
        <w:trPr>
          <w:trHeight w:val="98"/>
        </w:trPr>
        <w:tc>
          <w:tcPr>
            <w:cnfStyle w:val="001000000000" w:firstRow="0" w:lastRow="0" w:firstColumn="1" w:lastColumn="0" w:oddVBand="0" w:evenVBand="0" w:oddHBand="0" w:evenHBand="0" w:firstRowFirstColumn="0" w:firstRowLastColumn="0" w:lastRowFirstColumn="0" w:lastRowLastColumn="0"/>
            <w:tcW w:w="2263" w:type="dxa"/>
          </w:tcPr>
          <w:p w14:paraId="3E5EAD62" w14:textId="77777777" w:rsidR="00DC6757" w:rsidRPr="00121AFB" w:rsidRDefault="00DC6757" w:rsidP="00400488">
            <w:pPr>
              <w:spacing w:before="0" w:after="0"/>
              <w:ind w:left="284"/>
              <w:rPr>
                <w:rFonts w:cs="Arial"/>
                <w:spacing w:val="-28"/>
                <w:szCs w:val="18"/>
              </w:rPr>
            </w:pPr>
            <w:r w:rsidRPr="00121AFB">
              <w:rPr>
                <w:rFonts w:cs="Arial"/>
                <w:szCs w:val="18"/>
              </w:rPr>
              <w:t>ADSL</w:t>
            </w:r>
          </w:p>
        </w:tc>
        <w:tc>
          <w:tcPr>
            <w:tcW w:w="1145" w:type="dxa"/>
          </w:tcPr>
          <w:p w14:paraId="512E5255"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4.79</w:t>
            </w:r>
          </w:p>
        </w:tc>
        <w:tc>
          <w:tcPr>
            <w:tcW w:w="1145" w:type="dxa"/>
          </w:tcPr>
          <w:p w14:paraId="7919568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5.07</w:t>
            </w:r>
          </w:p>
        </w:tc>
        <w:tc>
          <w:tcPr>
            <w:tcW w:w="1145" w:type="dxa"/>
          </w:tcPr>
          <w:p w14:paraId="5C19561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5.11</w:t>
            </w:r>
          </w:p>
        </w:tc>
        <w:tc>
          <w:tcPr>
            <w:tcW w:w="1145" w:type="dxa"/>
          </w:tcPr>
          <w:p w14:paraId="5309145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5.03</w:t>
            </w:r>
          </w:p>
        </w:tc>
        <w:tc>
          <w:tcPr>
            <w:tcW w:w="1145" w:type="dxa"/>
          </w:tcPr>
          <w:p w14:paraId="1E5F035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4.23</w:t>
            </w:r>
          </w:p>
        </w:tc>
        <w:tc>
          <w:tcPr>
            <w:tcW w:w="1145" w:type="dxa"/>
          </w:tcPr>
          <w:p w14:paraId="3E10B684" w14:textId="77777777" w:rsidR="00DC6757" w:rsidRPr="00121AFB" w:rsidRDefault="00A95E6C"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w:t>
            </w:r>
            <w:r w:rsidR="00DC6757" w:rsidRPr="00121AFB">
              <w:rPr>
                <w:rFonts w:cs="Arial"/>
                <w:szCs w:val="18"/>
              </w:rPr>
              <w:t>15.9</w:t>
            </w:r>
          </w:p>
        </w:tc>
      </w:tr>
      <w:tr w:rsidR="00DC6757" w:rsidRPr="00121AFB" w14:paraId="0819DF5D" w14:textId="77777777" w:rsidTr="004447D3">
        <w:trPr>
          <w:trHeight w:val="61"/>
        </w:trPr>
        <w:tc>
          <w:tcPr>
            <w:cnfStyle w:val="001000000000" w:firstRow="0" w:lastRow="0" w:firstColumn="1" w:lastColumn="0" w:oddVBand="0" w:evenVBand="0" w:oddHBand="0" w:evenHBand="0" w:firstRowFirstColumn="0" w:firstRowLastColumn="0" w:lastRowFirstColumn="0" w:lastRowLastColumn="0"/>
            <w:tcW w:w="2263" w:type="dxa"/>
          </w:tcPr>
          <w:p w14:paraId="27B693F3" w14:textId="77777777" w:rsidR="00DC6757" w:rsidRPr="00121AFB" w:rsidRDefault="00DC6757" w:rsidP="00400488">
            <w:pPr>
              <w:spacing w:before="0" w:after="0"/>
              <w:ind w:left="284"/>
              <w:rPr>
                <w:rFonts w:cs="Arial"/>
                <w:spacing w:val="-28"/>
                <w:szCs w:val="18"/>
              </w:rPr>
            </w:pPr>
            <w:r w:rsidRPr="00121AFB">
              <w:rPr>
                <w:rFonts w:cs="Arial"/>
                <w:szCs w:val="18"/>
              </w:rPr>
              <w:t xml:space="preserve">Cable </w:t>
            </w:r>
          </w:p>
        </w:tc>
        <w:tc>
          <w:tcPr>
            <w:tcW w:w="1145" w:type="dxa"/>
          </w:tcPr>
          <w:p w14:paraId="22568CC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0.93</w:t>
            </w:r>
          </w:p>
        </w:tc>
        <w:tc>
          <w:tcPr>
            <w:tcW w:w="1145" w:type="dxa"/>
          </w:tcPr>
          <w:p w14:paraId="6D6343F2"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0.95</w:t>
            </w:r>
          </w:p>
        </w:tc>
        <w:tc>
          <w:tcPr>
            <w:tcW w:w="1145" w:type="dxa"/>
          </w:tcPr>
          <w:p w14:paraId="143287B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1.00</w:t>
            </w:r>
          </w:p>
        </w:tc>
        <w:tc>
          <w:tcPr>
            <w:tcW w:w="1145" w:type="dxa"/>
          </w:tcPr>
          <w:p w14:paraId="718D2110"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1.03</w:t>
            </w:r>
          </w:p>
        </w:tc>
        <w:tc>
          <w:tcPr>
            <w:tcW w:w="1145" w:type="dxa"/>
          </w:tcPr>
          <w:p w14:paraId="4E3A5BBF"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1.01</w:t>
            </w:r>
          </w:p>
        </w:tc>
        <w:tc>
          <w:tcPr>
            <w:tcW w:w="1145" w:type="dxa"/>
          </w:tcPr>
          <w:p w14:paraId="2FDE8ED2" w14:textId="77777777" w:rsidR="00DC6757" w:rsidRPr="00121AFB" w:rsidRDefault="00A95E6C"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w:t>
            </w:r>
            <w:r w:rsidR="00DC6757" w:rsidRPr="00121AFB">
              <w:rPr>
                <w:rFonts w:cs="Arial"/>
                <w:szCs w:val="18"/>
              </w:rPr>
              <w:t>1.8</w:t>
            </w:r>
          </w:p>
        </w:tc>
      </w:tr>
      <w:tr w:rsidR="00DC6757" w:rsidRPr="00121AFB" w14:paraId="723592D4" w14:textId="77777777" w:rsidTr="004447D3">
        <w:trPr>
          <w:trHeight w:val="150"/>
        </w:trPr>
        <w:tc>
          <w:tcPr>
            <w:cnfStyle w:val="001000000000" w:firstRow="0" w:lastRow="0" w:firstColumn="1" w:lastColumn="0" w:oddVBand="0" w:evenVBand="0" w:oddHBand="0" w:evenHBand="0" w:firstRowFirstColumn="0" w:firstRowLastColumn="0" w:lastRowFirstColumn="0" w:lastRowLastColumn="0"/>
            <w:tcW w:w="2263" w:type="dxa"/>
          </w:tcPr>
          <w:p w14:paraId="639ABACA" w14:textId="77777777" w:rsidR="00DC6757" w:rsidRPr="00121AFB" w:rsidRDefault="00DC6757" w:rsidP="00400488">
            <w:pPr>
              <w:spacing w:before="0" w:after="0"/>
              <w:ind w:left="284"/>
              <w:rPr>
                <w:rFonts w:cs="Arial"/>
                <w:spacing w:val="-28"/>
                <w:szCs w:val="18"/>
              </w:rPr>
            </w:pPr>
            <w:r w:rsidRPr="00121AFB">
              <w:rPr>
                <w:rFonts w:cs="Arial"/>
                <w:szCs w:val="18"/>
              </w:rPr>
              <w:t>Dial-up*</w:t>
            </w:r>
          </w:p>
        </w:tc>
        <w:tc>
          <w:tcPr>
            <w:tcW w:w="1145" w:type="dxa"/>
          </w:tcPr>
          <w:p w14:paraId="41FCC694"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0.23</w:t>
            </w:r>
          </w:p>
        </w:tc>
        <w:tc>
          <w:tcPr>
            <w:tcW w:w="1145" w:type="dxa"/>
          </w:tcPr>
          <w:p w14:paraId="195AE48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0.18</w:t>
            </w:r>
          </w:p>
        </w:tc>
        <w:tc>
          <w:tcPr>
            <w:tcW w:w="1145" w:type="dxa"/>
          </w:tcPr>
          <w:p w14:paraId="4EFDAA7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0.10</w:t>
            </w:r>
          </w:p>
        </w:tc>
        <w:tc>
          <w:tcPr>
            <w:tcW w:w="1145" w:type="dxa"/>
          </w:tcPr>
          <w:p w14:paraId="74818380"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0.09</w:t>
            </w:r>
          </w:p>
        </w:tc>
        <w:tc>
          <w:tcPr>
            <w:tcW w:w="1145" w:type="dxa"/>
          </w:tcPr>
          <w:p w14:paraId="279EB16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c>
          <w:tcPr>
            <w:tcW w:w="1145" w:type="dxa"/>
          </w:tcPr>
          <w:p w14:paraId="0E085F1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r>
      <w:tr w:rsidR="00DC6757" w:rsidRPr="00121AFB" w14:paraId="5D05C527" w14:textId="77777777" w:rsidTr="004447D3">
        <w:trPr>
          <w:trHeight w:val="164"/>
        </w:trPr>
        <w:tc>
          <w:tcPr>
            <w:cnfStyle w:val="001000000000" w:firstRow="0" w:lastRow="0" w:firstColumn="1" w:lastColumn="0" w:oddVBand="0" w:evenVBand="0" w:oddHBand="0" w:evenHBand="0" w:firstRowFirstColumn="0" w:firstRowLastColumn="0" w:lastRowFirstColumn="0" w:lastRowLastColumn="0"/>
            <w:tcW w:w="2263" w:type="dxa"/>
          </w:tcPr>
          <w:p w14:paraId="0C4ED12B" w14:textId="77777777" w:rsidR="00DC6757" w:rsidRPr="00121AFB" w:rsidRDefault="00DC6757" w:rsidP="00400488">
            <w:pPr>
              <w:spacing w:before="0" w:after="0"/>
              <w:ind w:left="284"/>
              <w:rPr>
                <w:rFonts w:cs="Arial"/>
                <w:spacing w:val="-28"/>
                <w:szCs w:val="18"/>
              </w:rPr>
            </w:pPr>
            <w:r w:rsidRPr="00121AFB">
              <w:rPr>
                <w:rFonts w:cs="Arial"/>
                <w:szCs w:val="18"/>
              </w:rPr>
              <w:t>Satellite</w:t>
            </w:r>
          </w:p>
        </w:tc>
        <w:tc>
          <w:tcPr>
            <w:tcW w:w="1145" w:type="dxa"/>
          </w:tcPr>
          <w:p w14:paraId="46BB25B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0.09</w:t>
            </w:r>
          </w:p>
        </w:tc>
        <w:tc>
          <w:tcPr>
            <w:tcW w:w="1145" w:type="dxa"/>
          </w:tcPr>
          <w:p w14:paraId="14A338E0"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0.08</w:t>
            </w:r>
          </w:p>
        </w:tc>
        <w:tc>
          <w:tcPr>
            <w:tcW w:w="1145" w:type="dxa"/>
          </w:tcPr>
          <w:p w14:paraId="54C996DB"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0.07</w:t>
            </w:r>
          </w:p>
        </w:tc>
        <w:tc>
          <w:tcPr>
            <w:tcW w:w="1145" w:type="dxa"/>
          </w:tcPr>
          <w:p w14:paraId="54AD333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0.06</w:t>
            </w:r>
          </w:p>
        </w:tc>
        <w:tc>
          <w:tcPr>
            <w:tcW w:w="1145" w:type="dxa"/>
          </w:tcPr>
          <w:p w14:paraId="13928EC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c>
          <w:tcPr>
            <w:tcW w:w="1145" w:type="dxa"/>
          </w:tcPr>
          <w:p w14:paraId="787C8BA2"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r>
      <w:tr w:rsidR="00DC6757" w:rsidRPr="00121AFB" w14:paraId="75DF38D3" w14:textId="77777777" w:rsidTr="004447D3">
        <w:trPr>
          <w:trHeight w:val="199"/>
        </w:trPr>
        <w:tc>
          <w:tcPr>
            <w:cnfStyle w:val="001000000000" w:firstRow="0" w:lastRow="0" w:firstColumn="1" w:lastColumn="0" w:oddVBand="0" w:evenVBand="0" w:oddHBand="0" w:evenHBand="0" w:firstRowFirstColumn="0" w:firstRowLastColumn="0" w:lastRowFirstColumn="0" w:lastRowLastColumn="0"/>
            <w:tcW w:w="2263" w:type="dxa"/>
          </w:tcPr>
          <w:p w14:paraId="41695A63" w14:textId="77777777" w:rsidR="00DC6757" w:rsidRPr="00121AFB" w:rsidRDefault="00DC6757" w:rsidP="00400488">
            <w:pPr>
              <w:spacing w:before="0" w:after="0"/>
              <w:ind w:left="284"/>
              <w:rPr>
                <w:rFonts w:cs="Arial"/>
                <w:spacing w:val="-28"/>
                <w:szCs w:val="18"/>
              </w:rPr>
            </w:pPr>
            <w:r w:rsidRPr="00121AFB">
              <w:rPr>
                <w:rFonts w:cs="Arial"/>
                <w:szCs w:val="18"/>
              </w:rPr>
              <w:t>Fixed wireless**</w:t>
            </w:r>
          </w:p>
        </w:tc>
        <w:tc>
          <w:tcPr>
            <w:tcW w:w="1145" w:type="dxa"/>
          </w:tcPr>
          <w:p w14:paraId="01BD4D0E"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0.05</w:t>
            </w:r>
          </w:p>
        </w:tc>
        <w:tc>
          <w:tcPr>
            <w:tcW w:w="1145" w:type="dxa"/>
          </w:tcPr>
          <w:p w14:paraId="5641B154"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0.05</w:t>
            </w:r>
          </w:p>
        </w:tc>
        <w:tc>
          <w:tcPr>
            <w:tcW w:w="1145" w:type="dxa"/>
          </w:tcPr>
          <w:p w14:paraId="313CD9E8"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c>
          <w:tcPr>
            <w:tcW w:w="1145" w:type="dxa"/>
          </w:tcPr>
          <w:p w14:paraId="0680637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0.08</w:t>
            </w:r>
          </w:p>
        </w:tc>
        <w:tc>
          <w:tcPr>
            <w:tcW w:w="1145" w:type="dxa"/>
          </w:tcPr>
          <w:p w14:paraId="067478F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0.14</w:t>
            </w:r>
          </w:p>
        </w:tc>
        <w:tc>
          <w:tcPr>
            <w:tcW w:w="1145" w:type="dxa"/>
          </w:tcPr>
          <w:p w14:paraId="3D516011"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66.3</w:t>
            </w:r>
          </w:p>
        </w:tc>
      </w:tr>
      <w:tr w:rsidR="00DC6757" w:rsidRPr="00121AFB" w14:paraId="7C38B0D4" w14:textId="77777777" w:rsidTr="004447D3">
        <w:trPr>
          <w:trHeight w:val="104"/>
        </w:trPr>
        <w:tc>
          <w:tcPr>
            <w:cnfStyle w:val="001000000000" w:firstRow="0" w:lastRow="0" w:firstColumn="1" w:lastColumn="0" w:oddVBand="0" w:evenVBand="0" w:oddHBand="0" w:evenHBand="0" w:firstRowFirstColumn="0" w:firstRowLastColumn="0" w:lastRowFirstColumn="0" w:lastRowLastColumn="0"/>
            <w:tcW w:w="2263" w:type="dxa"/>
          </w:tcPr>
          <w:p w14:paraId="0F93EFE4" w14:textId="77777777" w:rsidR="00DC6757" w:rsidRPr="00121AFB" w:rsidRDefault="00DC6757" w:rsidP="00400488">
            <w:pPr>
              <w:spacing w:before="0" w:after="0"/>
              <w:ind w:left="284"/>
              <w:rPr>
                <w:rFonts w:cs="Arial"/>
                <w:spacing w:val="-28"/>
                <w:szCs w:val="18"/>
              </w:rPr>
            </w:pPr>
            <w:r w:rsidRPr="00121AFB">
              <w:rPr>
                <w:rFonts w:cs="Arial"/>
                <w:szCs w:val="18"/>
              </w:rPr>
              <w:t>Fibre</w:t>
            </w:r>
          </w:p>
        </w:tc>
        <w:tc>
          <w:tcPr>
            <w:tcW w:w="1145" w:type="dxa"/>
          </w:tcPr>
          <w:p w14:paraId="3966AD69"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0.12</w:t>
            </w:r>
          </w:p>
        </w:tc>
        <w:tc>
          <w:tcPr>
            <w:tcW w:w="1145" w:type="dxa"/>
          </w:tcPr>
          <w:p w14:paraId="331755BC"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0.20</w:t>
            </w:r>
          </w:p>
        </w:tc>
        <w:tc>
          <w:tcPr>
            <w:tcW w:w="1145" w:type="dxa"/>
          </w:tcPr>
          <w:p w14:paraId="2140D6CE"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0.42</w:t>
            </w:r>
          </w:p>
        </w:tc>
        <w:tc>
          <w:tcPr>
            <w:tcW w:w="1145" w:type="dxa"/>
          </w:tcPr>
          <w:p w14:paraId="4F7D5794"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0.96</w:t>
            </w:r>
          </w:p>
        </w:tc>
        <w:tc>
          <w:tcPr>
            <w:tcW w:w="1145" w:type="dxa"/>
          </w:tcPr>
          <w:p w14:paraId="1695B231"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2.14</w:t>
            </w:r>
          </w:p>
        </w:tc>
        <w:tc>
          <w:tcPr>
            <w:tcW w:w="1145" w:type="dxa"/>
          </w:tcPr>
          <w:p w14:paraId="07E1CB1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123.3</w:t>
            </w:r>
          </w:p>
        </w:tc>
      </w:tr>
      <w:tr w:rsidR="00DC6757" w:rsidRPr="00121AFB" w14:paraId="5C1F4EA2" w14:textId="77777777" w:rsidTr="004447D3">
        <w:trPr>
          <w:trHeight w:val="99"/>
        </w:trPr>
        <w:tc>
          <w:tcPr>
            <w:cnfStyle w:val="001000000000" w:firstRow="0" w:lastRow="0" w:firstColumn="1" w:lastColumn="0" w:oddVBand="0" w:evenVBand="0" w:oddHBand="0" w:evenHBand="0" w:firstRowFirstColumn="0" w:firstRowLastColumn="0" w:lastRowFirstColumn="0" w:lastRowLastColumn="0"/>
            <w:tcW w:w="2263" w:type="dxa"/>
          </w:tcPr>
          <w:p w14:paraId="25E4AACE" w14:textId="77777777" w:rsidR="00DC6757" w:rsidRPr="00121AFB" w:rsidRDefault="00DC6757" w:rsidP="00400488">
            <w:pPr>
              <w:spacing w:before="0" w:after="0"/>
              <w:ind w:left="284"/>
              <w:rPr>
                <w:rFonts w:cs="Arial"/>
                <w:spacing w:val="-28"/>
                <w:szCs w:val="18"/>
              </w:rPr>
            </w:pPr>
            <w:r w:rsidRPr="00121AFB">
              <w:rPr>
                <w:rFonts w:cs="Arial"/>
                <w:szCs w:val="18"/>
              </w:rPr>
              <w:t>Other</w:t>
            </w:r>
          </w:p>
        </w:tc>
        <w:tc>
          <w:tcPr>
            <w:tcW w:w="1145" w:type="dxa"/>
          </w:tcPr>
          <w:p w14:paraId="507968FE"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0.003</w:t>
            </w:r>
          </w:p>
        </w:tc>
        <w:tc>
          <w:tcPr>
            <w:tcW w:w="1145" w:type="dxa"/>
          </w:tcPr>
          <w:p w14:paraId="5CBDAF0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0.002</w:t>
            </w:r>
          </w:p>
        </w:tc>
        <w:tc>
          <w:tcPr>
            <w:tcW w:w="1145" w:type="dxa"/>
          </w:tcPr>
          <w:p w14:paraId="73F0F982"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c>
          <w:tcPr>
            <w:tcW w:w="1145" w:type="dxa"/>
          </w:tcPr>
          <w:p w14:paraId="7EA0D91F"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0.001</w:t>
            </w:r>
          </w:p>
        </w:tc>
        <w:tc>
          <w:tcPr>
            <w:tcW w:w="1145" w:type="dxa"/>
          </w:tcPr>
          <w:p w14:paraId="7BB685D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c>
          <w:tcPr>
            <w:tcW w:w="1145" w:type="dxa"/>
          </w:tcPr>
          <w:p w14:paraId="2439E552"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n/a</w:t>
            </w:r>
          </w:p>
        </w:tc>
      </w:tr>
      <w:tr w:rsidR="00DC6757" w:rsidRPr="00121AFB" w14:paraId="1B1AE5CD" w14:textId="77777777" w:rsidTr="004447D3">
        <w:trPr>
          <w:trHeight w:val="30"/>
        </w:trPr>
        <w:tc>
          <w:tcPr>
            <w:cnfStyle w:val="001000000000" w:firstRow="0" w:lastRow="0" w:firstColumn="1" w:lastColumn="0" w:oddVBand="0" w:evenVBand="0" w:oddHBand="0" w:evenHBand="0" w:firstRowFirstColumn="0" w:firstRowLastColumn="0" w:lastRowFirstColumn="0" w:lastRowLastColumn="0"/>
            <w:tcW w:w="2263" w:type="dxa"/>
          </w:tcPr>
          <w:p w14:paraId="38188082" w14:textId="77777777" w:rsidR="00DC6757" w:rsidRPr="00121AFB" w:rsidRDefault="00DC6757" w:rsidP="00400488">
            <w:pPr>
              <w:spacing w:before="0" w:after="0"/>
              <w:rPr>
                <w:rFonts w:cs="Arial"/>
                <w:b/>
                <w:i/>
                <w:szCs w:val="18"/>
              </w:rPr>
            </w:pPr>
            <w:r w:rsidRPr="00121AFB">
              <w:rPr>
                <w:rFonts w:cs="Arial"/>
                <w:b/>
                <w:i/>
                <w:szCs w:val="18"/>
              </w:rPr>
              <w:t>Total mobile internet subscribers</w:t>
            </w:r>
          </w:p>
        </w:tc>
        <w:tc>
          <w:tcPr>
            <w:tcW w:w="1145" w:type="dxa"/>
          </w:tcPr>
          <w:p w14:paraId="1F06C509"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25.80</w:t>
            </w:r>
          </w:p>
        </w:tc>
        <w:tc>
          <w:tcPr>
            <w:tcW w:w="1145" w:type="dxa"/>
          </w:tcPr>
          <w:p w14:paraId="61C19A8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26.52</w:t>
            </w:r>
          </w:p>
        </w:tc>
        <w:tc>
          <w:tcPr>
            <w:tcW w:w="1145" w:type="dxa"/>
          </w:tcPr>
          <w:p w14:paraId="5B51DF9E"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29.66</w:t>
            </w:r>
          </w:p>
        </w:tc>
        <w:tc>
          <w:tcPr>
            <w:tcW w:w="1145" w:type="dxa"/>
          </w:tcPr>
          <w:p w14:paraId="6EFCA18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30.86</w:t>
            </w:r>
          </w:p>
        </w:tc>
        <w:tc>
          <w:tcPr>
            <w:tcW w:w="1145" w:type="dxa"/>
          </w:tcPr>
          <w:p w14:paraId="6CCE0F9C"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32.44</w:t>
            </w:r>
          </w:p>
        </w:tc>
        <w:tc>
          <w:tcPr>
            <w:tcW w:w="1145" w:type="dxa"/>
          </w:tcPr>
          <w:p w14:paraId="3839C3D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i/>
                <w:szCs w:val="18"/>
              </w:rPr>
            </w:pPr>
            <w:r w:rsidRPr="00121AFB">
              <w:rPr>
                <w:rFonts w:cs="Arial"/>
                <w:b/>
                <w:i/>
                <w:szCs w:val="18"/>
              </w:rPr>
              <w:t>5.1</w:t>
            </w:r>
          </w:p>
        </w:tc>
      </w:tr>
      <w:tr w:rsidR="00DC6757" w:rsidRPr="00121AFB" w14:paraId="486EDB63" w14:textId="77777777" w:rsidTr="004447D3">
        <w:trPr>
          <w:trHeight w:val="210"/>
        </w:trPr>
        <w:tc>
          <w:tcPr>
            <w:cnfStyle w:val="001000000000" w:firstRow="0" w:lastRow="0" w:firstColumn="1" w:lastColumn="0" w:oddVBand="0" w:evenVBand="0" w:oddHBand="0" w:evenHBand="0" w:firstRowFirstColumn="0" w:firstRowLastColumn="0" w:lastRowFirstColumn="0" w:lastRowLastColumn="0"/>
            <w:tcW w:w="2263" w:type="dxa"/>
          </w:tcPr>
          <w:p w14:paraId="71EEA304" w14:textId="77777777" w:rsidR="00DC6757" w:rsidRPr="00121AFB" w:rsidRDefault="00DC6757" w:rsidP="00400488">
            <w:pPr>
              <w:spacing w:before="0" w:after="0"/>
              <w:ind w:left="284"/>
              <w:rPr>
                <w:rFonts w:cs="Arial"/>
                <w:spacing w:val="-28"/>
                <w:szCs w:val="18"/>
              </w:rPr>
            </w:pPr>
            <w:r w:rsidRPr="00121AFB">
              <w:rPr>
                <w:rFonts w:cs="Arial"/>
                <w:szCs w:val="18"/>
              </w:rPr>
              <w:t>Mobile handset</w:t>
            </w:r>
            <w:r w:rsidRPr="00121AFB">
              <w:rPr>
                <w:rFonts w:cs="Arial"/>
                <w:szCs w:val="18"/>
                <w:vertAlign w:val="superscript"/>
              </w:rPr>
              <w:t>#</w:t>
            </w:r>
            <w:r w:rsidRPr="00121AFB">
              <w:rPr>
                <w:rFonts w:cs="Arial"/>
                <w:szCs w:val="18"/>
              </w:rPr>
              <w:t xml:space="preserve"> </w:t>
            </w:r>
          </w:p>
        </w:tc>
        <w:tc>
          <w:tcPr>
            <w:tcW w:w="1145" w:type="dxa"/>
          </w:tcPr>
          <w:p w14:paraId="6AF0BD79"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19.65</w:t>
            </w:r>
          </w:p>
        </w:tc>
        <w:tc>
          <w:tcPr>
            <w:tcW w:w="1145" w:type="dxa"/>
          </w:tcPr>
          <w:p w14:paraId="30A1AFE3"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pacing w:val="-28"/>
                <w:szCs w:val="18"/>
              </w:rPr>
            </w:pPr>
            <w:r w:rsidRPr="00121AFB">
              <w:rPr>
                <w:rFonts w:cs="Arial"/>
                <w:szCs w:val="18"/>
              </w:rPr>
              <w:t>20.57</w:t>
            </w:r>
          </w:p>
        </w:tc>
        <w:tc>
          <w:tcPr>
            <w:tcW w:w="1145" w:type="dxa"/>
          </w:tcPr>
          <w:p w14:paraId="45E564B7"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23.65</w:t>
            </w:r>
          </w:p>
        </w:tc>
        <w:tc>
          <w:tcPr>
            <w:tcW w:w="1145" w:type="dxa"/>
          </w:tcPr>
          <w:p w14:paraId="0C55A4B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24.82</w:t>
            </w:r>
          </w:p>
        </w:tc>
        <w:tc>
          <w:tcPr>
            <w:tcW w:w="1145" w:type="dxa"/>
          </w:tcPr>
          <w:p w14:paraId="4C9D9B7C"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26.33</w:t>
            </w:r>
          </w:p>
        </w:tc>
        <w:tc>
          <w:tcPr>
            <w:tcW w:w="1145" w:type="dxa"/>
          </w:tcPr>
          <w:p w14:paraId="5562C00F"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6.1</w:t>
            </w:r>
          </w:p>
        </w:tc>
      </w:tr>
      <w:tr w:rsidR="00DC6757" w:rsidRPr="00121AFB" w14:paraId="2DFAFE4E" w14:textId="77777777" w:rsidTr="004447D3">
        <w:trPr>
          <w:trHeight w:val="598"/>
        </w:trPr>
        <w:tc>
          <w:tcPr>
            <w:cnfStyle w:val="001000000000" w:firstRow="0" w:lastRow="0" w:firstColumn="1" w:lastColumn="0" w:oddVBand="0" w:evenVBand="0" w:oddHBand="0" w:evenHBand="0" w:firstRowFirstColumn="0" w:firstRowLastColumn="0" w:lastRowFirstColumn="0" w:lastRowLastColumn="0"/>
            <w:tcW w:w="2263" w:type="dxa"/>
          </w:tcPr>
          <w:p w14:paraId="5FE339EF" w14:textId="77777777" w:rsidR="00DC6757" w:rsidRPr="00121AFB" w:rsidRDefault="00DC6757" w:rsidP="00400488">
            <w:pPr>
              <w:spacing w:before="0" w:after="0"/>
              <w:ind w:left="284"/>
              <w:rPr>
                <w:rFonts w:cs="Arial"/>
                <w:szCs w:val="18"/>
              </w:rPr>
            </w:pPr>
            <w:r w:rsidRPr="00121AFB">
              <w:rPr>
                <w:rFonts w:cs="Arial"/>
                <w:szCs w:val="18"/>
              </w:rPr>
              <w:t>Mobile wireless (dongle, data card, USB modem services)</w:t>
            </w:r>
          </w:p>
        </w:tc>
        <w:tc>
          <w:tcPr>
            <w:tcW w:w="1145" w:type="dxa"/>
          </w:tcPr>
          <w:p w14:paraId="2B325EEA"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6.15</w:t>
            </w:r>
          </w:p>
        </w:tc>
        <w:tc>
          <w:tcPr>
            <w:tcW w:w="1145" w:type="dxa"/>
          </w:tcPr>
          <w:p w14:paraId="46700FB9"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5.95</w:t>
            </w:r>
          </w:p>
        </w:tc>
        <w:tc>
          <w:tcPr>
            <w:tcW w:w="1145" w:type="dxa"/>
          </w:tcPr>
          <w:p w14:paraId="54180871"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6.00</w:t>
            </w:r>
          </w:p>
        </w:tc>
        <w:tc>
          <w:tcPr>
            <w:tcW w:w="1145" w:type="dxa"/>
          </w:tcPr>
          <w:p w14:paraId="3908C7E5"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6.04</w:t>
            </w:r>
          </w:p>
        </w:tc>
        <w:tc>
          <w:tcPr>
            <w:tcW w:w="1145" w:type="dxa"/>
          </w:tcPr>
          <w:p w14:paraId="20E964CD"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6.11</w:t>
            </w:r>
          </w:p>
        </w:tc>
        <w:tc>
          <w:tcPr>
            <w:tcW w:w="1145" w:type="dxa"/>
          </w:tcPr>
          <w:p w14:paraId="34CCC053"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121AFB">
              <w:rPr>
                <w:rFonts w:cs="Arial"/>
                <w:szCs w:val="18"/>
              </w:rPr>
              <w:t>1.1</w:t>
            </w:r>
          </w:p>
        </w:tc>
      </w:tr>
      <w:tr w:rsidR="00DC6757" w:rsidRPr="00121AFB" w14:paraId="0F5E64A7" w14:textId="77777777" w:rsidTr="004447D3">
        <w:trPr>
          <w:trHeight w:val="30"/>
        </w:trPr>
        <w:tc>
          <w:tcPr>
            <w:cnfStyle w:val="001000000000" w:firstRow="0" w:lastRow="0" w:firstColumn="1" w:lastColumn="0" w:oddVBand="0" w:evenVBand="0" w:oddHBand="0" w:evenHBand="0" w:firstRowFirstColumn="0" w:firstRowLastColumn="0" w:lastRowFirstColumn="0" w:lastRowLastColumn="0"/>
            <w:tcW w:w="2263" w:type="dxa"/>
            <w:shd w:val="clear" w:color="auto" w:fill="F2F2F2" w:themeFill="background1" w:themeFillShade="F2"/>
          </w:tcPr>
          <w:p w14:paraId="10FABB20" w14:textId="77777777" w:rsidR="00DC6757" w:rsidRPr="00876718" w:rsidRDefault="00DC6757" w:rsidP="00400488">
            <w:pPr>
              <w:spacing w:before="0" w:after="0"/>
              <w:rPr>
                <w:rFonts w:cs="Arial"/>
                <w:b/>
                <w:spacing w:val="-28"/>
                <w:szCs w:val="18"/>
              </w:rPr>
            </w:pPr>
            <w:r w:rsidRPr="00121AFB">
              <w:rPr>
                <w:rFonts w:cs="Arial"/>
                <w:b/>
                <w:szCs w:val="18"/>
              </w:rPr>
              <w:t xml:space="preserve">Total internet </w:t>
            </w:r>
            <w:r w:rsidRPr="00876718">
              <w:rPr>
                <w:rFonts w:cs="Arial"/>
                <w:b/>
                <w:szCs w:val="18"/>
              </w:rPr>
              <w:t>subscribers</w:t>
            </w:r>
            <w:r w:rsidRPr="00876718">
              <w:rPr>
                <w:rFonts w:cs="Arial"/>
                <w:b/>
                <w:szCs w:val="18"/>
                <w:vertAlign w:val="superscript"/>
              </w:rPr>
              <w:t>‡</w:t>
            </w:r>
          </w:p>
        </w:tc>
        <w:tc>
          <w:tcPr>
            <w:tcW w:w="1145" w:type="dxa"/>
            <w:shd w:val="clear" w:color="auto" w:fill="F2F2F2" w:themeFill="background1" w:themeFillShade="F2"/>
          </w:tcPr>
          <w:p w14:paraId="7DE9645B"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pacing w:val="-28"/>
                <w:szCs w:val="18"/>
              </w:rPr>
            </w:pPr>
            <w:r w:rsidRPr="00121AFB">
              <w:rPr>
                <w:rFonts w:cs="Arial"/>
                <w:b/>
                <w:szCs w:val="18"/>
              </w:rPr>
              <w:t>32.00</w:t>
            </w:r>
          </w:p>
        </w:tc>
        <w:tc>
          <w:tcPr>
            <w:tcW w:w="1145" w:type="dxa"/>
            <w:shd w:val="clear" w:color="auto" w:fill="F2F2F2" w:themeFill="background1" w:themeFillShade="F2"/>
          </w:tcPr>
          <w:p w14:paraId="7DBBFDED" w14:textId="77777777" w:rsidR="00DC6757" w:rsidRPr="00876718"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pacing w:val="-28"/>
                <w:szCs w:val="18"/>
              </w:rPr>
            </w:pPr>
            <w:r w:rsidRPr="00876718">
              <w:rPr>
                <w:rFonts w:cs="Arial"/>
                <w:b/>
                <w:szCs w:val="18"/>
              </w:rPr>
              <w:t>33.05</w:t>
            </w:r>
          </w:p>
        </w:tc>
        <w:tc>
          <w:tcPr>
            <w:tcW w:w="1145" w:type="dxa"/>
            <w:shd w:val="clear" w:color="auto" w:fill="F2F2F2" w:themeFill="background1" w:themeFillShade="F2"/>
          </w:tcPr>
          <w:p w14:paraId="30096B81" w14:textId="77777777" w:rsidR="00DC6757" w:rsidRPr="00691B70"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691B70">
              <w:rPr>
                <w:rFonts w:cs="Arial"/>
                <w:b/>
                <w:szCs w:val="18"/>
              </w:rPr>
              <w:t>36.41</w:t>
            </w:r>
          </w:p>
        </w:tc>
        <w:tc>
          <w:tcPr>
            <w:tcW w:w="1145" w:type="dxa"/>
            <w:shd w:val="clear" w:color="auto" w:fill="F2F2F2" w:themeFill="background1" w:themeFillShade="F2"/>
          </w:tcPr>
          <w:p w14:paraId="746DF7D2"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121AFB">
              <w:rPr>
                <w:rFonts w:cs="Arial"/>
                <w:b/>
                <w:szCs w:val="18"/>
              </w:rPr>
              <w:t>38.12</w:t>
            </w:r>
          </w:p>
        </w:tc>
        <w:tc>
          <w:tcPr>
            <w:tcW w:w="1145" w:type="dxa"/>
            <w:shd w:val="clear" w:color="auto" w:fill="F2F2F2" w:themeFill="background1" w:themeFillShade="F2"/>
          </w:tcPr>
          <w:p w14:paraId="39C929D4"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121AFB">
              <w:rPr>
                <w:rFonts w:cs="Arial"/>
                <w:b/>
                <w:szCs w:val="18"/>
              </w:rPr>
              <w:t>40.08</w:t>
            </w:r>
          </w:p>
        </w:tc>
        <w:tc>
          <w:tcPr>
            <w:tcW w:w="1145" w:type="dxa"/>
            <w:shd w:val="clear" w:color="auto" w:fill="F2F2F2" w:themeFill="background1" w:themeFillShade="F2"/>
          </w:tcPr>
          <w:p w14:paraId="75566B46" w14:textId="77777777" w:rsidR="00DC6757" w:rsidRPr="00121AFB" w:rsidRDefault="00DC6757" w:rsidP="00400488">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121AFB">
              <w:rPr>
                <w:rFonts w:cs="Arial"/>
                <w:b/>
                <w:szCs w:val="18"/>
              </w:rPr>
              <w:t>5.2</w:t>
            </w:r>
          </w:p>
        </w:tc>
      </w:tr>
    </w:tbl>
    <w:p w14:paraId="334816D6" w14:textId="77777777" w:rsidR="00DC6757" w:rsidRDefault="00DC6757" w:rsidP="00B5395A">
      <w:pPr>
        <w:pStyle w:val="ACMANotes"/>
        <w:spacing w:before="120"/>
        <w:rPr>
          <w:rFonts w:eastAsia="Malgun Gothic"/>
        </w:rPr>
      </w:pPr>
      <w:bookmarkStart w:id="488" w:name="_Ref398650928"/>
      <w:r w:rsidRPr="004E4C9A">
        <w:rPr>
          <w:rFonts w:eastAsia="Malgun Gothic"/>
        </w:rPr>
        <w:t>n/a=</w:t>
      </w:r>
      <w:r>
        <w:rPr>
          <w:rFonts w:eastAsia="Malgun Gothic"/>
        </w:rPr>
        <w:t xml:space="preserve">data </w:t>
      </w:r>
      <w:r w:rsidRPr="004E4C9A">
        <w:rPr>
          <w:rFonts w:eastAsia="Malgun Gothic"/>
        </w:rPr>
        <w:t>not available</w:t>
      </w:r>
      <w:r>
        <w:rPr>
          <w:rFonts w:eastAsia="Malgun Gothic"/>
        </w:rPr>
        <w:t xml:space="preserve"> but included in the totals where applicable</w:t>
      </w:r>
      <w:r w:rsidRPr="004E4C9A">
        <w:rPr>
          <w:rFonts w:eastAsia="Malgun Gothic"/>
        </w:rPr>
        <w:t>.</w:t>
      </w:r>
    </w:p>
    <w:p w14:paraId="6FA0E41C" w14:textId="77777777" w:rsidR="00DC6757" w:rsidRPr="004E4C9A" w:rsidRDefault="00DC6757" w:rsidP="00DC6757">
      <w:pPr>
        <w:pStyle w:val="ACMANotes"/>
        <w:rPr>
          <w:rFonts w:eastAsia="Malgun Gothic"/>
        </w:rPr>
      </w:pPr>
      <w:r>
        <w:rPr>
          <w:rFonts w:eastAsia="Malgun Gothic"/>
        </w:rPr>
        <w:t>*As of December 2016, dial-up is no longer an applicable response category for type of access connection</w:t>
      </w:r>
      <w:r w:rsidR="00A95E6C">
        <w:rPr>
          <w:rFonts w:eastAsia="Malgun Gothic"/>
        </w:rPr>
        <w:t>—</w:t>
      </w:r>
      <w:r>
        <w:rPr>
          <w:rFonts w:eastAsia="Malgun Gothic"/>
        </w:rPr>
        <w:t xml:space="preserve">Australian Bureau of Statistics (ABS). </w:t>
      </w:r>
    </w:p>
    <w:p w14:paraId="0A5BF43F" w14:textId="77777777" w:rsidR="00DC6757" w:rsidRDefault="00DC6757" w:rsidP="00DC6757">
      <w:pPr>
        <w:pStyle w:val="ACMANotes"/>
      </w:pPr>
      <w:r w:rsidRPr="004E4C9A">
        <w:rPr>
          <w:rFonts w:eastAsia="Malgun Gothic"/>
        </w:rPr>
        <w:t>*</w:t>
      </w:r>
      <w:r>
        <w:rPr>
          <w:rFonts w:eastAsia="Malgun Gothic"/>
        </w:rPr>
        <w:t>*</w:t>
      </w:r>
      <w:r w:rsidRPr="004E4C9A">
        <w:t xml:space="preserve">Fixed wireless: for example, WiMAX uses an air interface to connect an internet service. An antenna installed at the customer’s premises receives signals from the service provider’s base station. </w:t>
      </w:r>
    </w:p>
    <w:p w14:paraId="04B5C1EC" w14:textId="77777777" w:rsidR="00DC6757" w:rsidRPr="004447D3" w:rsidRDefault="00DC6757" w:rsidP="00DC6757">
      <w:pPr>
        <w:pStyle w:val="ACMANotes"/>
      </w:pPr>
      <w:r w:rsidRPr="007553EA">
        <w:rPr>
          <w:vertAlign w:val="superscript"/>
        </w:rPr>
        <w:t>#</w:t>
      </w:r>
      <w:r>
        <w:t xml:space="preserve">ABS has revised the 2015 and 2016 figures for mobile </w:t>
      </w:r>
      <w:r w:rsidRPr="004447D3">
        <w:t>handset subscribers and they are different fr</w:t>
      </w:r>
      <w:r w:rsidR="00114A34" w:rsidRPr="004447D3">
        <w:t>om those previously published.</w:t>
      </w:r>
    </w:p>
    <w:p w14:paraId="01627CCB" w14:textId="4F7964D9" w:rsidR="004447D3" w:rsidRDefault="004447D3" w:rsidP="00DC6757">
      <w:pPr>
        <w:pStyle w:val="ACMANotes"/>
      </w:pPr>
      <w:r w:rsidRPr="00876718">
        <w:rPr>
          <w:sz w:val="18"/>
          <w:szCs w:val="18"/>
          <w:vertAlign w:val="superscript"/>
        </w:rPr>
        <w:t>†</w:t>
      </w:r>
      <w:r w:rsidRPr="004447D3">
        <w:t xml:space="preserve">Percentage changes are calculated on non-rounded data. </w:t>
      </w:r>
    </w:p>
    <w:p w14:paraId="2D9CB013" w14:textId="348A732B" w:rsidR="00A1018A" w:rsidRPr="004447D3" w:rsidRDefault="00A1018A" w:rsidP="00DC6757">
      <w:pPr>
        <w:pStyle w:val="ACMANotes"/>
      </w:pPr>
      <w:r>
        <w:rPr>
          <w:vertAlign w:val="superscript"/>
        </w:rPr>
        <w:t>‡</w:t>
      </w:r>
      <w:r>
        <w:t xml:space="preserve">Including mobile phone handset, mobile wireless broadband, fixed-broadband, satellite, fixed-wireless, other broadband and </w:t>
      </w:r>
      <w:r w:rsidR="00493FF2">
        <w:br/>
      </w:r>
      <w:r>
        <w:t>dial</w:t>
      </w:r>
      <w:r w:rsidR="00493FF2">
        <w:softHyphen/>
      </w:r>
      <w:r w:rsidR="00493FF2">
        <w:noBreakHyphen/>
      </w:r>
      <w:r>
        <w:t>up</w:t>
      </w:r>
      <w:r w:rsidR="00493FF2">
        <w:t> </w:t>
      </w:r>
      <w:r>
        <w:t>subscribers.</w:t>
      </w:r>
    </w:p>
    <w:p w14:paraId="4BDD3494" w14:textId="77777777" w:rsidR="00DC6757" w:rsidRDefault="00DC6757" w:rsidP="00DC6757">
      <w:pPr>
        <w:pStyle w:val="ACMANotes"/>
      </w:pPr>
      <w:r w:rsidRPr="004E4C9A">
        <w:t xml:space="preserve">Note: ABS subscriber statistics measure the number of ‘subscriber lines’ rather than the number of ‘users’. Counts of subscribers are not the same as counts of people/organisations with internet access as some subscribers may have accounts with more than one ISP or multiple accounts with a single ISP. Relates to ISPs with more than 1,000 subscribers. </w:t>
      </w:r>
    </w:p>
    <w:p w14:paraId="5471F3E4" w14:textId="77777777" w:rsidR="00DC6757" w:rsidRDefault="00DC6757" w:rsidP="00041283">
      <w:pPr>
        <w:pStyle w:val="ACMANotesspaceafter"/>
        <w:spacing w:after="360"/>
      </w:pPr>
      <w:r w:rsidRPr="004E4C9A">
        <w:t xml:space="preserve">Source: ABS, </w:t>
      </w:r>
      <w:hyperlink r:id="rId45" w:history="1">
        <w:r w:rsidRPr="000E5901">
          <w:rPr>
            <w:i w:val="0"/>
            <w:color w:val="0000FF"/>
            <w:u w:val="single"/>
          </w:rPr>
          <w:t>8153.0 Internet activity, Australia</w:t>
        </w:r>
      </w:hyperlink>
      <w:r w:rsidRPr="000E5901">
        <w:t>,</w:t>
      </w:r>
      <w:r w:rsidRPr="004E4C9A">
        <w:t xml:space="preserve"> June 201</w:t>
      </w:r>
      <w:r>
        <w:t>7.</w:t>
      </w:r>
    </w:p>
    <w:bookmarkEnd w:id="488"/>
    <w:p w14:paraId="32A65389" w14:textId="77777777" w:rsidR="00D86FF9" w:rsidRDefault="00D86FF9" w:rsidP="00041283">
      <w:pPr>
        <w:pStyle w:val="ACMAFigureHeader"/>
        <w:keepNext/>
        <w:keepLines/>
        <w:rPr>
          <w:b w:val="0"/>
          <w:bCs w:val="0"/>
          <w:color w:val="auto"/>
          <w:szCs w:val="24"/>
        </w:rPr>
      </w:pPr>
      <w:r w:rsidRPr="007E1ED6">
        <w:rPr>
          <w:b w:val="0"/>
          <w:bCs w:val="0"/>
          <w:color w:val="auto"/>
          <w:szCs w:val="24"/>
        </w:rPr>
        <w:t>The latest data from the ABS shows that mobile handset subscribers i</w:t>
      </w:r>
      <w:r w:rsidR="00240010">
        <w:rPr>
          <w:b w:val="0"/>
          <w:bCs w:val="0"/>
          <w:color w:val="auto"/>
          <w:szCs w:val="24"/>
        </w:rPr>
        <w:t>ncreased six per cent in the 12 </w:t>
      </w:r>
      <w:r w:rsidRPr="007E1ED6">
        <w:rPr>
          <w:b w:val="0"/>
          <w:bCs w:val="0"/>
          <w:color w:val="auto"/>
          <w:szCs w:val="24"/>
        </w:rPr>
        <w:t>months to June 2017 to reach 26.33 million subscribers. Mobile wireless internet subscribers increased by one per cent to reach 6.1</w:t>
      </w:r>
      <w:r w:rsidR="00D44473">
        <w:rPr>
          <w:b w:val="0"/>
          <w:bCs w:val="0"/>
          <w:color w:val="auto"/>
          <w:szCs w:val="24"/>
        </w:rPr>
        <w:t>1</w:t>
      </w:r>
      <w:r w:rsidRPr="007E1ED6">
        <w:rPr>
          <w:b w:val="0"/>
          <w:bCs w:val="0"/>
          <w:color w:val="auto"/>
          <w:szCs w:val="24"/>
        </w:rPr>
        <w:t xml:space="preserve"> million subscribers (Figure 1.6).</w:t>
      </w:r>
    </w:p>
    <w:p w14:paraId="31DF8337" w14:textId="77777777" w:rsidR="00DC6757" w:rsidRDefault="00DC6757" w:rsidP="00E14F15">
      <w:pPr>
        <w:pStyle w:val="ACMAFigureHeader"/>
        <w:keepNext/>
        <w:keepLines/>
        <w:ind w:left="1021" w:hanging="1021"/>
      </w:pPr>
      <w:r w:rsidRPr="00DA1FA6">
        <w:t>Figure 1.6</w:t>
      </w:r>
      <w:r w:rsidRPr="00DA1FA6">
        <w:tab/>
        <w:t>Mobile-internet subscribers in Australia (millions)</w:t>
      </w:r>
    </w:p>
    <w:p w14:paraId="66B9A3A7" w14:textId="77777777" w:rsidR="000A1CD9" w:rsidRPr="00FD7E86" w:rsidRDefault="00B167D6" w:rsidP="00041283">
      <w:pPr>
        <w:keepNext/>
        <w:keepLines/>
        <w:spacing w:after="0"/>
        <w:ind w:right="-1685"/>
        <w:rPr>
          <w:rFonts w:cs="Arial"/>
        </w:rPr>
      </w:pPr>
      <w:r w:rsidRPr="009B1043">
        <w:rPr>
          <w:rFonts w:cs="Arial"/>
          <w:noProof/>
        </w:rPr>
        <w:drawing>
          <wp:inline distT="0" distB="0" distL="0" distR="0" wp14:anchorId="414668FA" wp14:editId="39834FB3">
            <wp:extent cx="5940425" cy="1882775"/>
            <wp:effectExtent l="0" t="0" r="3175" b="3175"/>
            <wp:docPr id="8" name="Picture 8" descr="Data for Figure 1.6 is in the .ods file for Chapter 1 on the landing page ‘Communications report 2016-17’, available from the ACMA website." title="Figure 1.6  Mobile-internet subscribers in Australia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H1 - charts_Figure 1.6.png"/>
                    <pic:cNvPicPr/>
                  </pic:nvPicPr>
                  <pic:blipFill rotWithShape="1">
                    <a:blip r:embed="rId46">
                      <a:extLst>
                        <a:ext uri="{28A0092B-C50C-407E-A947-70E740481C1C}">
                          <a14:useLocalDpi xmlns:a14="http://schemas.microsoft.com/office/drawing/2010/main" val="0"/>
                        </a:ext>
                      </a:extLst>
                    </a:blip>
                    <a:srcRect t="1002"/>
                    <a:stretch/>
                  </pic:blipFill>
                  <pic:spPr bwMode="auto">
                    <a:xfrm>
                      <a:off x="0" y="0"/>
                      <a:ext cx="5940425" cy="1882775"/>
                    </a:xfrm>
                    <a:prstGeom prst="rect">
                      <a:avLst/>
                    </a:prstGeom>
                    <a:ln>
                      <a:noFill/>
                    </a:ln>
                    <a:extLst>
                      <a:ext uri="{53640926-AAD7-44D8-BBD7-CCE9431645EC}">
                        <a14:shadowObscured xmlns:a14="http://schemas.microsoft.com/office/drawing/2010/main"/>
                      </a:ext>
                    </a:extLst>
                  </pic:spPr>
                </pic:pic>
              </a:graphicData>
            </a:graphic>
          </wp:inline>
        </w:drawing>
      </w:r>
    </w:p>
    <w:p w14:paraId="7AC8333A" w14:textId="77777777" w:rsidR="004D33D2" w:rsidRPr="00DA1FA6" w:rsidRDefault="004D33D2" w:rsidP="007607B4">
      <w:pPr>
        <w:keepNext/>
        <w:keepLines/>
        <w:spacing w:before="200" w:after="0"/>
        <w:rPr>
          <w:rFonts w:cs="Arial"/>
          <w:i/>
          <w:sz w:val="16"/>
        </w:rPr>
      </w:pPr>
      <w:r w:rsidRPr="00DA1FA6">
        <w:rPr>
          <w:rFonts w:cs="Arial"/>
          <w:i/>
          <w:sz w:val="16"/>
        </w:rPr>
        <w:t>Base: Number of subscribers.</w:t>
      </w:r>
    </w:p>
    <w:p w14:paraId="6D62380C" w14:textId="77777777" w:rsidR="004D33D2" w:rsidRPr="00DA1FA6" w:rsidRDefault="004D33D2" w:rsidP="004D33D2">
      <w:pPr>
        <w:pStyle w:val="ACMANotes"/>
      </w:pPr>
      <w:r w:rsidRPr="00DA1FA6">
        <w:t>Note: The ABS has revised mobile handset internet subscriber figure</w:t>
      </w:r>
      <w:r>
        <w:t>s for June 2015 and 2016</w:t>
      </w:r>
      <w:r w:rsidRPr="00DA1FA6">
        <w:t xml:space="preserve"> </w:t>
      </w:r>
      <w:r>
        <w:t>and they are different to those previously published</w:t>
      </w:r>
      <w:r w:rsidRPr="00DA1FA6">
        <w:t xml:space="preserve">. </w:t>
      </w:r>
    </w:p>
    <w:p w14:paraId="6C0D077D" w14:textId="77777777" w:rsidR="004D33D2" w:rsidRDefault="004D33D2" w:rsidP="00041283">
      <w:pPr>
        <w:pStyle w:val="ACMANotesspaceafter"/>
        <w:spacing w:after="360"/>
      </w:pPr>
      <w:r w:rsidRPr="00DA1FA6">
        <w:t xml:space="preserve">Source: ABS, </w:t>
      </w:r>
      <w:hyperlink r:id="rId47" w:history="1">
        <w:r w:rsidRPr="000E5901">
          <w:rPr>
            <w:i w:val="0"/>
            <w:color w:val="0000FF"/>
            <w:u w:val="single"/>
          </w:rPr>
          <w:t>8153.0 Internet activity, Australia</w:t>
        </w:r>
      </w:hyperlink>
      <w:r w:rsidRPr="000E5901">
        <w:t>, June</w:t>
      </w:r>
      <w:r w:rsidRPr="00DA1FA6">
        <w:t xml:space="preserve"> 2017.</w:t>
      </w:r>
    </w:p>
    <w:p w14:paraId="4AE52C3D" w14:textId="77777777" w:rsidR="004D33D2" w:rsidRPr="00FD7E86" w:rsidRDefault="004D33D2" w:rsidP="004D33D2">
      <w:pPr>
        <w:pStyle w:val="Heading3"/>
      </w:pPr>
      <w:bookmarkStart w:id="489" w:name="_Toc494799346"/>
      <w:bookmarkStart w:id="490" w:name="_Toc494805649"/>
      <w:bookmarkStart w:id="491" w:name="_Toc494805878"/>
      <w:bookmarkStart w:id="492" w:name="_Toc494808108"/>
      <w:bookmarkStart w:id="493" w:name="_Toc494808543"/>
      <w:bookmarkStart w:id="494" w:name="_Toc494815914"/>
      <w:bookmarkStart w:id="495" w:name="_Toc494818775"/>
      <w:bookmarkStart w:id="496" w:name="_Toc494819042"/>
      <w:r>
        <w:t>Investments in voice and data infrastructure</w:t>
      </w:r>
      <w:bookmarkEnd w:id="489"/>
      <w:bookmarkEnd w:id="490"/>
      <w:bookmarkEnd w:id="491"/>
      <w:bookmarkEnd w:id="492"/>
      <w:bookmarkEnd w:id="493"/>
      <w:bookmarkEnd w:id="494"/>
      <w:bookmarkEnd w:id="495"/>
      <w:bookmarkEnd w:id="496"/>
      <w:r>
        <w:t xml:space="preserve"> </w:t>
      </w:r>
    </w:p>
    <w:p w14:paraId="54DEF44E" w14:textId="77777777" w:rsidR="004D33D2" w:rsidRPr="00D33A3B" w:rsidRDefault="004D33D2" w:rsidP="00CB209D">
      <w:pPr>
        <w:pStyle w:val="Bodysubheader0"/>
      </w:pPr>
      <w:bookmarkStart w:id="497" w:name="_Toc494799347"/>
      <w:bookmarkStart w:id="498" w:name="_Toc494805650"/>
      <w:bookmarkStart w:id="499" w:name="_Toc494805879"/>
      <w:bookmarkStart w:id="500" w:name="_Toc494808109"/>
      <w:bookmarkStart w:id="501" w:name="_Toc494808544"/>
      <w:bookmarkStart w:id="502" w:name="_Toc494815915"/>
      <w:bookmarkStart w:id="503" w:name="_Toc494818776"/>
      <w:bookmarkStart w:id="504" w:name="_Toc494819043"/>
      <w:r w:rsidRPr="00D33A3B">
        <w:t>Submarine cables</w:t>
      </w:r>
      <w:bookmarkEnd w:id="497"/>
      <w:bookmarkEnd w:id="498"/>
      <w:bookmarkEnd w:id="499"/>
      <w:bookmarkEnd w:id="500"/>
      <w:bookmarkEnd w:id="501"/>
      <w:bookmarkEnd w:id="502"/>
      <w:bookmarkEnd w:id="503"/>
      <w:bookmarkEnd w:id="504"/>
    </w:p>
    <w:p w14:paraId="084F2D81" w14:textId="77777777" w:rsidR="004D33D2" w:rsidRDefault="004D33D2" w:rsidP="004D33D2">
      <w:pPr>
        <w:keepLines/>
      </w:pPr>
      <w:r w:rsidRPr="00C91521">
        <w:t>Submarine cables carry the bulk of Australia’s international voice and data traffic</w:t>
      </w:r>
      <w:r w:rsidR="00A95E6C">
        <w:t>,</w:t>
      </w:r>
      <w:r w:rsidRPr="00C91521">
        <w:t xml:space="preserve"> and contribute significantly to the Australian economy.</w:t>
      </w:r>
      <w:r>
        <w:t xml:space="preserve"> Industry analysts forecast bandwidth demand to continue to double annually for the foreseeable future, consistent with growth levels seen in recent years. Much of this demand has been driven by the proliferation of data centres and cloud service providers, increasing the need for international infrastructure.</w:t>
      </w:r>
      <w:r w:rsidRPr="00382208">
        <w:rPr>
          <w:rStyle w:val="EndnoteReference"/>
        </w:rPr>
        <w:endnoteReference w:id="36"/>
      </w:r>
    </w:p>
    <w:p w14:paraId="6091672F" w14:textId="77777777" w:rsidR="004D33D2" w:rsidRDefault="004D33D2" w:rsidP="004D33D2">
      <w:r>
        <w:t>At June 2017,</w:t>
      </w:r>
      <w:r w:rsidRPr="00C91521">
        <w:t xml:space="preserve"> there </w:t>
      </w:r>
      <w:r>
        <w:t>were</w:t>
      </w:r>
      <w:r w:rsidRPr="00C91521">
        <w:t xml:space="preserve"> </w:t>
      </w:r>
      <w:r w:rsidR="00A95E6C">
        <w:t>10</w:t>
      </w:r>
      <w:r w:rsidR="00A95E6C" w:rsidRPr="00C91521">
        <w:t xml:space="preserve"> </w:t>
      </w:r>
      <w:r w:rsidRPr="00C91521">
        <w:t>international submarine cables connecting Australia to the rest of the world</w:t>
      </w:r>
      <w:r>
        <w:t xml:space="preserve"> across three protection zones</w:t>
      </w:r>
      <w:r w:rsidRPr="00101030">
        <w:t>―two located off the Sydney coast and one located off the Perth coast.</w:t>
      </w:r>
      <w:r>
        <w:t xml:space="preserve"> There were also two </w:t>
      </w:r>
      <w:r w:rsidRPr="00C91521">
        <w:t>international cable</w:t>
      </w:r>
      <w:r>
        <w:t>s installed</w:t>
      </w:r>
      <w:r w:rsidRPr="00C91521">
        <w:t xml:space="preserve"> off the </w:t>
      </w:r>
      <w:r>
        <w:t>n</w:t>
      </w:r>
      <w:r w:rsidRPr="00C91521">
        <w:t>orth</w:t>
      </w:r>
      <w:r>
        <w:t>-w</w:t>
      </w:r>
      <w:r w:rsidRPr="00C91521">
        <w:t xml:space="preserve">est coast </w:t>
      </w:r>
      <w:r>
        <w:t xml:space="preserve">to support oil and gas operations. </w:t>
      </w:r>
      <w:r w:rsidRPr="00C91521">
        <w:t>During 201</w:t>
      </w:r>
      <w:r>
        <w:t>6</w:t>
      </w:r>
      <w:r>
        <w:rPr>
          <w:rFonts w:cs="Arial"/>
        </w:rPr>
        <w:t>–</w:t>
      </w:r>
      <w:r w:rsidRPr="00C91521">
        <w:t>1</w:t>
      </w:r>
      <w:r>
        <w:t>7</w:t>
      </w:r>
      <w:r w:rsidRPr="00C91521">
        <w:t xml:space="preserve">, the ACMA </w:t>
      </w:r>
      <w:r>
        <w:t>granted one non-protection zone permit for the installation of an additional submarine cable, in connection with Telstra’s North West Optical Fibre Network</w:t>
      </w:r>
      <w:r w:rsidR="00A95E6C">
        <w:t>,</w:t>
      </w:r>
      <w:r>
        <w:t xml:space="preserve"> which serves oil and gas extraction and processing operations in Australian waters between Onslow and Devil Creek. </w:t>
      </w:r>
    </w:p>
    <w:p w14:paraId="45304E31" w14:textId="77777777" w:rsidR="004D33D2" w:rsidRPr="00531CD0" w:rsidRDefault="004D33D2" w:rsidP="004D33D2">
      <w:pPr>
        <w:spacing w:after="80"/>
        <w:rPr>
          <w:highlight w:val="yellow"/>
        </w:rPr>
      </w:pPr>
      <w:r>
        <w:t xml:space="preserve">The ACMA </w:t>
      </w:r>
      <w:r w:rsidRPr="00101030">
        <w:t xml:space="preserve">approved </w:t>
      </w:r>
      <w:r>
        <w:t xml:space="preserve">six </w:t>
      </w:r>
      <w:r w:rsidRPr="00101030">
        <w:t>separate requests to extend the duration of permits for proposed international cable</w:t>
      </w:r>
      <w:r>
        <w:t>s</w:t>
      </w:r>
      <w:r w:rsidRPr="00101030">
        <w:t xml:space="preserve"> to be installed between Perth and Singapore. This included: </w:t>
      </w:r>
    </w:p>
    <w:p w14:paraId="693478A7" w14:textId="77777777" w:rsidR="004D33D2" w:rsidRPr="00F3697E" w:rsidRDefault="004D33D2" w:rsidP="00D72410">
      <w:pPr>
        <w:pStyle w:val="ListBullet"/>
      </w:pPr>
      <w:r w:rsidRPr="00487F7D">
        <w:t xml:space="preserve">APX-West, renamed Indigo West. In April 2017, AARNet, Google, Indosat Ooredoo, Singtel, SubPartners and </w:t>
      </w:r>
      <w:r w:rsidRPr="00F3697E">
        <w:t>Telstra announced they had entered into an agreement with Alcatel Submarine Networks (ASN) to build an international subsea cable system (Indigo West) to connect Singapore, Indonesia and Australia.</w:t>
      </w:r>
      <w:r w:rsidRPr="00F3697E">
        <w:rPr>
          <w:rStyle w:val="EndnoteReference"/>
        </w:rPr>
        <w:endnoteReference w:id="37"/>
      </w:r>
    </w:p>
    <w:p w14:paraId="1D058A1E" w14:textId="77777777" w:rsidR="004D33D2" w:rsidRPr="00807974" w:rsidRDefault="004D33D2" w:rsidP="00D72410">
      <w:pPr>
        <w:pStyle w:val="ListBullet"/>
      </w:pPr>
      <w:r w:rsidRPr="00DC2B04">
        <w:t>Vocus Group announced in April 2017 it has finalised a contract and final specifications with ASN to build the</w:t>
      </w:r>
      <w:r w:rsidRPr="00487F7D">
        <w:t xml:space="preserve"> Australia Singapore Cable system</w:t>
      </w:r>
      <w:r w:rsidR="00FE1866">
        <w:t>,</w:t>
      </w:r>
      <w:r w:rsidRPr="00487F7D">
        <w:t xml:space="preserve"> which will connect Perth to Jakarta and Singapore</w:t>
      </w:r>
      <w:r w:rsidRPr="00807974">
        <w:t>.</w:t>
      </w:r>
      <w:r w:rsidRPr="00807974">
        <w:rPr>
          <w:rStyle w:val="EndnoteReference"/>
          <w:rFonts w:cs="Arial"/>
          <w:szCs w:val="20"/>
        </w:rPr>
        <w:endnoteReference w:id="38"/>
      </w:r>
    </w:p>
    <w:p w14:paraId="78906681" w14:textId="77777777" w:rsidR="004D33D2" w:rsidRPr="00CC1998" w:rsidRDefault="004D33D2" w:rsidP="00F3697E">
      <w:pPr>
        <w:pStyle w:val="ListBulletLast"/>
      </w:pPr>
      <w:r w:rsidRPr="00CC1998">
        <w:t>A third proposal for an undersea cable in the region is in the development phase.</w:t>
      </w:r>
      <w:r w:rsidRPr="00F3697E">
        <w:rPr>
          <w:rStyle w:val="EndnoteReference"/>
        </w:rPr>
        <w:endnoteReference w:id="39"/>
      </w:r>
    </w:p>
    <w:p w14:paraId="56B95940" w14:textId="77777777" w:rsidR="004D33D2" w:rsidRDefault="004D33D2" w:rsidP="004D33D2">
      <w:r w:rsidRPr="00101030">
        <w:t>T</w:t>
      </w:r>
      <w:r>
        <w:t>wo</w:t>
      </w:r>
      <w:r w:rsidRPr="00101030">
        <w:t xml:space="preserve"> other permit extensions were also approved for </w:t>
      </w:r>
      <w:r>
        <w:t>a</w:t>
      </w:r>
      <w:r w:rsidRPr="00101030">
        <w:t xml:space="preserve"> proposal by another cable</w:t>
      </w:r>
      <w:r>
        <w:t xml:space="preserve"> provider </w:t>
      </w:r>
      <w:r w:rsidRPr="00101030">
        <w:t xml:space="preserve">for installation of </w:t>
      </w:r>
      <w:r>
        <w:t xml:space="preserve">an </w:t>
      </w:r>
      <w:r w:rsidRPr="00101030">
        <w:t xml:space="preserve">international cable </w:t>
      </w:r>
      <w:r>
        <w:t>in the Southern Sydney Protection Zone</w:t>
      </w:r>
      <w:r w:rsidRPr="00101030">
        <w:t>.</w:t>
      </w:r>
    </w:p>
    <w:p w14:paraId="1FA1C5CB" w14:textId="77777777" w:rsidR="004D33D2" w:rsidRPr="00C91521" w:rsidRDefault="004D33D2" w:rsidP="004D33D2">
      <w:r>
        <w:t>A</w:t>
      </w:r>
      <w:r w:rsidRPr="0029464D">
        <w:t xml:space="preserve"> request for a new protection zone </w:t>
      </w:r>
      <w:r>
        <w:t xml:space="preserve">off the Sunshine Coast of Queensland </w:t>
      </w:r>
      <w:r w:rsidRPr="0029464D">
        <w:t>remain</w:t>
      </w:r>
      <w:r>
        <w:t>ed</w:t>
      </w:r>
      <w:r w:rsidRPr="0029464D">
        <w:t xml:space="preserve"> under consideration at the end of 2016</w:t>
      </w:r>
      <w:r>
        <w:t>–</w:t>
      </w:r>
      <w:r w:rsidRPr="0029464D">
        <w:t>17.</w:t>
      </w:r>
    </w:p>
    <w:p w14:paraId="1C2DB28C" w14:textId="77777777" w:rsidR="004D33D2" w:rsidRPr="00A73876" w:rsidRDefault="004D33D2" w:rsidP="004D33D2">
      <w:pPr>
        <w:pStyle w:val="Heading3"/>
      </w:pPr>
      <w:bookmarkStart w:id="505" w:name="_Toc494799348"/>
      <w:bookmarkStart w:id="506" w:name="_Toc494805651"/>
      <w:bookmarkStart w:id="507" w:name="_Toc494805880"/>
      <w:bookmarkStart w:id="508" w:name="_Toc494808110"/>
      <w:bookmarkStart w:id="509" w:name="_Toc494808545"/>
      <w:bookmarkStart w:id="510" w:name="_Toc494815916"/>
      <w:bookmarkStart w:id="511" w:name="_Toc494818777"/>
      <w:bookmarkStart w:id="512" w:name="_Toc494819044"/>
      <w:r>
        <w:t>N</w:t>
      </w:r>
      <w:r w:rsidRPr="00A73876">
        <w:t>ational Broadband Network</w:t>
      </w:r>
      <w:bookmarkEnd w:id="505"/>
      <w:bookmarkEnd w:id="506"/>
      <w:bookmarkEnd w:id="507"/>
      <w:bookmarkEnd w:id="508"/>
      <w:bookmarkEnd w:id="509"/>
      <w:bookmarkEnd w:id="510"/>
      <w:bookmarkEnd w:id="511"/>
      <w:bookmarkEnd w:id="512"/>
    </w:p>
    <w:p w14:paraId="2027685F" w14:textId="77777777" w:rsidR="004D33D2" w:rsidRPr="00A73876" w:rsidRDefault="004D33D2" w:rsidP="00A65F02">
      <w:pPr>
        <w:spacing w:after="80"/>
        <w:rPr>
          <w:rFonts w:cs="Arial"/>
          <w:szCs w:val="16"/>
        </w:rPr>
      </w:pPr>
      <w:r w:rsidRPr="00A73876">
        <w:rPr>
          <w:rFonts w:cs="Arial"/>
          <w:szCs w:val="16"/>
        </w:rPr>
        <w:t xml:space="preserve">The </w:t>
      </w:r>
      <w:r>
        <w:rPr>
          <w:rFonts w:cs="Arial"/>
          <w:szCs w:val="16"/>
        </w:rPr>
        <w:t>NBN</w:t>
      </w:r>
      <w:r w:rsidRPr="00A73876">
        <w:rPr>
          <w:rFonts w:cs="Arial"/>
          <w:szCs w:val="16"/>
        </w:rPr>
        <w:t xml:space="preserve"> is an Australian </w:t>
      </w:r>
      <w:r w:rsidR="00287D6D">
        <w:rPr>
          <w:rFonts w:cs="Arial"/>
          <w:szCs w:val="16"/>
        </w:rPr>
        <w:t>G</w:t>
      </w:r>
      <w:r>
        <w:rPr>
          <w:rFonts w:cs="Arial"/>
          <w:szCs w:val="16"/>
        </w:rPr>
        <w:t>overnment</w:t>
      </w:r>
      <w:r w:rsidRPr="00A73876">
        <w:rPr>
          <w:rFonts w:cs="Arial"/>
          <w:szCs w:val="16"/>
        </w:rPr>
        <w:t xml:space="preserve"> initiative intended to </w:t>
      </w:r>
      <w:r>
        <w:t>upgrade the existing fixed-line phone and internet network</w:t>
      </w:r>
      <w:r w:rsidR="00287D6D">
        <w:t xml:space="preserve"> to</w:t>
      </w:r>
      <w:r>
        <w:rPr>
          <w:rFonts w:cs="Arial"/>
          <w:szCs w:val="16"/>
        </w:rPr>
        <w:t xml:space="preserve"> </w:t>
      </w:r>
      <w:r w:rsidRPr="00A73876">
        <w:rPr>
          <w:rFonts w:cs="Arial"/>
          <w:szCs w:val="16"/>
        </w:rPr>
        <w:t>deliver high-speed and reliable phone and internet services across Australia via a multi-technology mix including:</w:t>
      </w:r>
    </w:p>
    <w:p w14:paraId="22DBD13E" w14:textId="77777777" w:rsidR="004D33D2" w:rsidRPr="00E57AD7" w:rsidRDefault="004D33D2" w:rsidP="00F3697E">
      <w:pPr>
        <w:pStyle w:val="ListBullet"/>
      </w:pPr>
      <w:r w:rsidRPr="00E57AD7">
        <w:t>fibre to the premises (FTTP)</w:t>
      </w:r>
    </w:p>
    <w:p w14:paraId="65F6EAFF" w14:textId="77777777" w:rsidR="004D33D2" w:rsidRPr="00E57AD7" w:rsidRDefault="004D33D2" w:rsidP="00DC2B04">
      <w:pPr>
        <w:pStyle w:val="ListBullet"/>
      </w:pPr>
      <w:r w:rsidRPr="00E57AD7">
        <w:t>fibre to the building (FTTB)</w:t>
      </w:r>
    </w:p>
    <w:p w14:paraId="4CA230AC" w14:textId="77777777" w:rsidR="004D33D2" w:rsidRDefault="004D33D2" w:rsidP="00DC2B04">
      <w:pPr>
        <w:pStyle w:val="ListBullet"/>
      </w:pPr>
      <w:r w:rsidRPr="00E57AD7">
        <w:t>fibre to the node (FTTN)</w:t>
      </w:r>
    </w:p>
    <w:p w14:paraId="05320FE1" w14:textId="77777777" w:rsidR="00793617" w:rsidRPr="00E57AD7" w:rsidRDefault="00793617" w:rsidP="00DC2B04">
      <w:pPr>
        <w:pStyle w:val="ListBullet"/>
      </w:pPr>
      <w:r>
        <w:t>fibre to the distribution point (FTTdp)</w:t>
      </w:r>
      <w:r w:rsidR="00386880">
        <w:t>—</w:t>
      </w:r>
      <w:r>
        <w:t>also known as fibre to the curb (FTTC)</w:t>
      </w:r>
    </w:p>
    <w:p w14:paraId="6C97D299" w14:textId="77777777" w:rsidR="004D33D2" w:rsidRPr="00E57AD7" w:rsidRDefault="00793617" w:rsidP="00DC2B04">
      <w:pPr>
        <w:pStyle w:val="ListBullet"/>
      </w:pPr>
      <w:r>
        <w:t>h</w:t>
      </w:r>
      <w:r w:rsidR="004D33D2" w:rsidRPr="00E57AD7">
        <w:t xml:space="preserve">ybrid </w:t>
      </w:r>
      <w:r>
        <w:t>f</w:t>
      </w:r>
      <w:r w:rsidR="004D33D2" w:rsidRPr="00E57AD7">
        <w:t xml:space="preserve">ibre </w:t>
      </w:r>
      <w:r>
        <w:t>c</w:t>
      </w:r>
      <w:r w:rsidR="004D33D2" w:rsidRPr="00E57AD7">
        <w:t>oaxial (HFC)</w:t>
      </w:r>
    </w:p>
    <w:p w14:paraId="177729B3" w14:textId="77777777" w:rsidR="004D33D2" w:rsidRPr="00E57AD7" w:rsidRDefault="004D33D2" w:rsidP="00DC2B04">
      <w:pPr>
        <w:pStyle w:val="ListBullet"/>
      </w:pPr>
      <w:r w:rsidRPr="00E57AD7">
        <w:t>fixed wireless</w:t>
      </w:r>
    </w:p>
    <w:p w14:paraId="51878414" w14:textId="77777777" w:rsidR="004D33D2" w:rsidRPr="00CC1998" w:rsidRDefault="004D33D2" w:rsidP="00DC2B04">
      <w:pPr>
        <w:pStyle w:val="ListBulletLast"/>
      </w:pPr>
      <w:r w:rsidRPr="00CC1998">
        <w:t xml:space="preserve">satellite. </w:t>
      </w:r>
    </w:p>
    <w:p w14:paraId="56E2DB1D" w14:textId="78647578" w:rsidR="004D33D2" w:rsidRPr="00F30C52" w:rsidRDefault="004D33D2" w:rsidP="004D33D2">
      <w:pPr>
        <w:rPr>
          <w:rFonts w:cs="Arial"/>
          <w:szCs w:val="16"/>
        </w:rPr>
      </w:pPr>
      <w:r w:rsidRPr="00A73876">
        <w:rPr>
          <w:rFonts w:cs="Arial"/>
          <w:szCs w:val="16"/>
        </w:rPr>
        <w:t xml:space="preserve">In 2016–17, the </w:t>
      </w:r>
      <w:r>
        <w:rPr>
          <w:rFonts w:cs="Arial"/>
          <w:szCs w:val="16"/>
        </w:rPr>
        <w:t>NBN</w:t>
      </w:r>
      <w:r w:rsidRPr="00A73876">
        <w:rPr>
          <w:rFonts w:cs="Arial"/>
          <w:szCs w:val="16"/>
        </w:rPr>
        <w:t>, operated by NBN Co Limited (</w:t>
      </w:r>
      <w:r w:rsidR="00287D6D">
        <w:rPr>
          <w:rFonts w:cs="Arial"/>
          <w:szCs w:val="16"/>
        </w:rPr>
        <w:t>NBN Co</w:t>
      </w:r>
      <w:r w:rsidRPr="00A73876">
        <w:rPr>
          <w:rFonts w:cs="Arial"/>
          <w:szCs w:val="16"/>
        </w:rPr>
        <w:t xml:space="preserve">), continued to expand, with an increasing number of premises activated and enabled for </w:t>
      </w:r>
      <w:r>
        <w:rPr>
          <w:rFonts w:cs="Arial"/>
          <w:szCs w:val="16"/>
        </w:rPr>
        <w:t>services over the NBN</w:t>
      </w:r>
      <w:r w:rsidRPr="00A73876">
        <w:rPr>
          <w:rFonts w:cs="Arial"/>
          <w:szCs w:val="16"/>
        </w:rPr>
        <w:t xml:space="preserve">. </w:t>
      </w:r>
      <w:r>
        <w:t xml:space="preserve">The installation of the infrastructure to provide the NBN to premises is being rolled out </w:t>
      </w:r>
      <w:r w:rsidRPr="00F30C52">
        <w:t xml:space="preserve">area by area—at July 2017, </w:t>
      </w:r>
      <w:r w:rsidR="00287D6D" w:rsidRPr="00F30C52">
        <w:rPr>
          <w:rFonts w:cs="Arial"/>
          <w:szCs w:val="16"/>
        </w:rPr>
        <w:t xml:space="preserve">NBN Co </w:t>
      </w:r>
      <w:r w:rsidRPr="00F30C52">
        <w:rPr>
          <w:rFonts w:cs="Arial"/>
          <w:szCs w:val="16"/>
        </w:rPr>
        <w:t xml:space="preserve">reported the rollout had passed the halfway mark, with </w:t>
      </w:r>
      <w:r w:rsidRPr="00F30C52">
        <w:t>more than 5.7 million Australian homes and businesses</w:t>
      </w:r>
      <w:r w:rsidRPr="00F30C52">
        <w:rPr>
          <w:rFonts w:cs="Arial"/>
          <w:szCs w:val="16"/>
        </w:rPr>
        <w:t xml:space="preserve"> able to connect their phone and internet services to the NBN.</w:t>
      </w:r>
      <w:r w:rsidRPr="00F30C52">
        <w:rPr>
          <w:rStyle w:val="EndnoteReference"/>
          <w:rFonts w:cs="Arial"/>
          <w:szCs w:val="16"/>
        </w:rPr>
        <w:endnoteReference w:id="40"/>
      </w:r>
      <w:r w:rsidRPr="00F30C52">
        <w:t xml:space="preserve"> At </w:t>
      </w:r>
      <w:r w:rsidR="00720FF4" w:rsidRPr="00F30C52">
        <w:t xml:space="preserve">the end of October </w:t>
      </w:r>
      <w:r w:rsidRPr="00F30C52">
        <w:t>2017, this had increased to 6.</w:t>
      </w:r>
      <w:r w:rsidR="00720FF4" w:rsidRPr="00F30C52">
        <w:t>61</w:t>
      </w:r>
      <w:r w:rsidR="00287D6D" w:rsidRPr="00F30C52">
        <w:t> </w:t>
      </w:r>
      <w:r w:rsidRPr="00F30C52">
        <w:t>million</w:t>
      </w:r>
      <w:r w:rsidR="005A10D6" w:rsidRPr="00F30C52">
        <w:t>.</w:t>
      </w:r>
      <w:r w:rsidR="0082711E" w:rsidRPr="00F30C52">
        <w:rPr>
          <w:rStyle w:val="EndnoteReference"/>
        </w:rPr>
        <w:endnoteReference w:id="41"/>
      </w:r>
      <w:r w:rsidRPr="00F30C52">
        <w:t xml:space="preserve"> </w:t>
      </w:r>
      <w:r w:rsidR="00287D6D" w:rsidRPr="00F30C52">
        <w:t xml:space="preserve">NBN Co </w:t>
      </w:r>
      <w:r w:rsidRPr="00F30C52">
        <w:t xml:space="preserve">generally declares an area to be ‘ready for service’ once at least 90 per cent of premises in its footprint in that area are passed by its fibre network. </w:t>
      </w:r>
    </w:p>
    <w:p w14:paraId="57FCDE4C" w14:textId="77777777" w:rsidR="004D33D2" w:rsidRPr="00F30C52" w:rsidRDefault="004D33D2" w:rsidP="004D33D2">
      <w:pPr>
        <w:pStyle w:val="Bodysubheader0"/>
      </w:pPr>
      <w:r w:rsidRPr="00F30C52">
        <w:t xml:space="preserve">Copper network switch-off </w:t>
      </w:r>
    </w:p>
    <w:p w14:paraId="1AE8DFA1" w14:textId="192DA171" w:rsidR="004D33D2" w:rsidRPr="00F30C52" w:rsidRDefault="00287D6D" w:rsidP="004D33D2">
      <w:pPr>
        <w:rPr>
          <w:rFonts w:cs="Arial"/>
          <w:szCs w:val="16"/>
        </w:rPr>
      </w:pPr>
      <w:r w:rsidRPr="00F30C52">
        <w:rPr>
          <w:rFonts w:cs="Arial"/>
          <w:szCs w:val="16"/>
        </w:rPr>
        <w:t>NBN Co</w:t>
      </w:r>
      <w:r w:rsidR="004D33D2" w:rsidRPr="00F30C52">
        <w:rPr>
          <w:rFonts w:cs="Arial"/>
          <w:szCs w:val="16"/>
        </w:rPr>
        <w:t xml:space="preserve"> is replacing and upgrading the existing fixed-line telephone and internet network infrastructure. From 23 May 2014, it began replacing most existing fixed-line telephone links, ADSL internet and Telstra cable internet services (HFC) in the first 15 Fibre Serving Area Modules (FSAMs). </w:t>
      </w:r>
    </w:p>
    <w:p w14:paraId="72D7EB0B" w14:textId="2A0F758B" w:rsidR="004D33D2" w:rsidRPr="00A73876" w:rsidRDefault="004D33D2" w:rsidP="004D33D2">
      <w:r w:rsidRPr="00F30C52">
        <w:t xml:space="preserve">At the time of publication, there was an 18-month window from the </w:t>
      </w:r>
      <w:r w:rsidR="00F30C52" w:rsidRPr="00F30C52">
        <w:t>ready-for-service</w:t>
      </w:r>
      <w:r>
        <w:t xml:space="preserve"> date until an area has its copper network services disconnected. </w:t>
      </w:r>
      <w:r w:rsidRPr="00A73876">
        <w:rPr>
          <w:rFonts w:cs="Arial"/>
          <w:szCs w:val="16"/>
        </w:rPr>
        <w:t xml:space="preserve">All premises within the NBN fibre footprint in each </w:t>
      </w:r>
      <w:r>
        <w:rPr>
          <w:rFonts w:cs="Arial"/>
          <w:szCs w:val="16"/>
        </w:rPr>
        <w:t>area</w:t>
      </w:r>
      <w:r w:rsidRPr="00A73876">
        <w:rPr>
          <w:rFonts w:cs="Arial"/>
          <w:szCs w:val="16"/>
        </w:rPr>
        <w:t xml:space="preserve"> are required to switch over to the NBN before the designated switch-off date to continue receiving fixed-line telephone and internet services. </w:t>
      </w:r>
    </w:p>
    <w:p w14:paraId="6060F0BE" w14:textId="069720F4" w:rsidR="004D33D2" w:rsidRPr="00F3697E" w:rsidRDefault="004D33D2" w:rsidP="004D33D2">
      <w:pPr>
        <w:rPr>
          <w:rFonts w:cs="Arial"/>
        </w:rPr>
      </w:pPr>
      <w:r w:rsidRPr="00A73876">
        <w:rPr>
          <w:rFonts w:cs="Arial"/>
        </w:rPr>
        <w:t>The coverage of the NBN</w:t>
      </w:r>
      <w:r w:rsidRPr="00A73876">
        <w:t xml:space="preserve">, including areas that are active or under construction, is published on </w:t>
      </w:r>
      <w:r w:rsidR="00290D3C">
        <w:rPr>
          <w:rFonts w:cs="Arial"/>
        </w:rPr>
        <w:t>NBN Co’s</w:t>
      </w:r>
      <w:r w:rsidR="00290D3C">
        <w:t xml:space="preserve"> </w:t>
      </w:r>
      <w:r w:rsidRPr="00A73876">
        <w:t>website.</w:t>
      </w:r>
      <w:r w:rsidRPr="00A73876">
        <w:rPr>
          <w:vertAlign w:val="superscript"/>
        </w:rPr>
        <w:endnoteReference w:id="42"/>
      </w:r>
      <w:r w:rsidRPr="00FD7E86" w:rsidDel="00472D4D">
        <w:rPr>
          <w:vertAlign w:val="superscript"/>
        </w:rPr>
        <w:t xml:space="preserve"> </w:t>
      </w:r>
    </w:p>
    <w:p w14:paraId="02008AA9" w14:textId="77777777" w:rsidR="004D33D2" w:rsidRPr="00A73876" w:rsidRDefault="004D33D2" w:rsidP="004D33D2">
      <w:pPr>
        <w:pStyle w:val="Bodysubheader0"/>
      </w:pPr>
      <w:r w:rsidRPr="00A73876">
        <w:t xml:space="preserve">New </w:t>
      </w:r>
      <w:r>
        <w:t>NBN</w:t>
      </w:r>
      <w:r w:rsidRPr="00A73876">
        <w:t xml:space="preserve"> services </w:t>
      </w:r>
    </w:p>
    <w:p w14:paraId="69D41C81" w14:textId="6ED7ED41" w:rsidR="004D33D2" w:rsidRDefault="004D33D2" w:rsidP="004D33D2">
      <w:r>
        <w:t xml:space="preserve">In September 2016, </w:t>
      </w:r>
      <w:r w:rsidR="00290D3C">
        <w:t xml:space="preserve">NBN Co </w:t>
      </w:r>
      <w:r>
        <w:t>announced it would be adding a new access technology</w:t>
      </w:r>
      <w:r w:rsidRPr="00A73876">
        <w:t>—</w:t>
      </w:r>
      <w:r>
        <w:t>fibre to the distribution point (FTTdp), also known as fibre to the curb (FTTC)</w:t>
      </w:r>
      <w:r w:rsidRPr="00A73876">
        <w:t>—</w:t>
      </w:r>
      <w:r>
        <w:t>to its multi-technology mix.</w:t>
      </w:r>
      <w:r>
        <w:rPr>
          <w:rStyle w:val="EndnoteReference"/>
        </w:rPr>
        <w:endnoteReference w:id="43"/>
      </w:r>
      <w:r>
        <w:t xml:space="preserve"> The technology </w:t>
      </w:r>
      <w:r w:rsidRPr="00A73876">
        <w:t>uses a distribution point unit for the fibre-to-copper connection to enable the fibre to run to t</w:t>
      </w:r>
      <w:r>
        <w:t>he front of customers’ premises</w:t>
      </w:r>
      <w:r w:rsidRPr="00A73876">
        <w:rPr>
          <w:rStyle w:val="EndnoteReference"/>
        </w:rPr>
        <w:endnoteReference w:id="44"/>
      </w:r>
      <w:r w:rsidRPr="00A73876">
        <w:t xml:space="preserve"> </w:t>
      </w:r>
      <w:r>
        <w:t xml:space="preserve">and is expected </w:t>
      </w:r>
      <w:r w:rsidRPr="00A73876">
        <w:t>to deliver faster broadband internet speeds, estimated at one Gigabi</w:t>
      </w:r>
      <w:r>
        <w:t>t, or 1000 Megabits, per second.</w:t>
      </w:r>
      <w:r w:rsidRPr="00A73876">
        <w:rPr>
          <w:rStyle w:val="EndnoteReference"/>
        </w:rPr>
        <w:endnoteReference w:id="45"/>
      </w:r>
      <w:r w:rsidRPr="00A73876">
        <w:t xml:space="preserve"> </w:t>
      </w:r>
      <w:r>
        <w:t xml:space="preserve">A trial of the construction and installation of the FTTdp/FTTC network </w:t>
      </w:r>
      <w:r w:rsidR="00290D3C">
        <w:t xml:space="preserve">began </w:t>
      </w:r>
      <w:r>
        <w:t>in June 2017 in Coburg, Melbourne, with consumer products for the new technology expected to become available in mid-2018.</w:t>
      </w:r>
      <w:r>
        <w:rPr>
          <w:rStyle w:val="EndnoteReference"/>
        </w:rPr>
        <w:endnoteReference w:id="46"/>
      </w:r>
    </w:p>
    <w:p w14:paraId="09567A07" w14:textId="1711DC02" w:rsidR="004D33D2" w:rsidRDefault="004D33D2" w:rsidP="004D33D2">
      <w:r>
        <w:t xml:space="preserve">Two of </w:t>
      </w:r>
      <w:r w:rsidR="00290D3C">
        <w:t xml:space="preserve">NBN Co’s </w:t>
      </w:r>
      <w:r>
        <w:t>broadband satellites, Sky Muster 1 and Sky Muster 2, were launched in October 2015 and October 2016</w:t>
      </w:r>
      <w:r w:rsidR="00290D3C">
        <w:t>,</w:t>
      </w:r>
      <w:r>
        <w:t xml:space="preserve"> respectively.</w:t>
      </w:r>
      <w:r>
        <w:rPr>
          <w:rStyle w:val="EndnoteReference"/>
        </w:rPr>
        <w:endnoteReference w:id="47"/>
      </w:r>
      <w:r w:rsidR="005A10D6">
        <w:rPr>
          <w:vertAlign w:val="superscript"/>
        </w:rPr>
        <w:t xml:space="preserve"> </w:t>
      </w:r>
      <w:r>
        <w:rPr>
          <w:rStyle w:val="EndnoteReference"/>
        </w:rPr>
        <w:endnoteReference w:id="48"/>
      </w:r>
      <w:r>
        <w:t xml:space="preserve"> In June 2017, </w:t>
      </w:r>
      <w:r w:rsidR="00F3697E">
        <w:t xml:space="preserve">NBN Co </w:t>
      </w:r>
      <w:r>
        <w:t>announced that from October 2017, data usage limits would be relaxed on its satellite service, raising the allowance of monthly quotas up to 300</w:t>
      </w:r>
      <w:r w:rsidR="00F3697E">
        <w:t> </w:t>
      </w:r>
      <w:r>
        <w:t>GB.</w:t>
      </w:r>
      <w:r>
        <w:rPr>
          <w:rStyle w:val="EndnoteReference"/>
        </w:rPr>
        <w:endnoteReference w:id="49"/>
      </w:r>
      <w:r>
        <w:t xml:space="preserve"> In addition to providing NBN internet services to communities in locations where it would not otherwise be feasible, the satellites are also used to provide Qantas customers with in-flight Wi-Fi.</w:t>
      </w:r>
      <w:r>
        <w:rPr>
          <w:rStyle w:val="EndnoteReference"/>
        </w:rPr>
        <w:endnoteReference w:id="50"/>
      </w:r>
    </w:p>
    <w:p w14:paraId="55941E02" w14:textId="77777777" w:rsidR="004D33D2" w:rsidRPr="00A73876" w:rsidRDefault="004D33D2" w:rsidP="00852644">
      <w:pPr>
        <w:pStyle w:val="Bodysubheader0"/>
        <w:keepNext/>
        <w:keepLines/>
      </w:pPr>
      <w:r w:rsidRPr="00A73876">
        <w:t>NBN premises serviceable and activated</w:t>
      </w:r>
    </w:p>
    <w:p w14:paraId="2E5006CC" w14:textId="29B45900" w:rsidR="004D33D2" w:rsidRPr="00A73876" w:rsidRDefault="004D33D2" w:rsidP="00852644">
      <w:pPr>
        <w:keepNext/>
        <w:keepLines/>
        <w:spacing w:after="80"/>
        <w:rPr>
          <w:rFonts w:cs="Arial"/>
          <w:szCs w:val="16"/>
        </w:rPr>
      </w:pPr>
      <w:r w:rsidRPr="00F908C5">
        <w:rPr>
          <w:rFonts w:cs="Arial"/>
          <w:szCs w:val="16"/>
        </w:rPr>
        <w:t>Table 1.4 provides</w:t>
      </w:r>
      <w:r w:rsidRPr="00A73876">
        <w:rPr>
          <w:rFonts w:cs="Arial"/>
          <w:szCs w:val="16"/>
        </w:rPr>
        <w:t xml:space="preserve"> an overview of premises serviceable or covered by the NBN and the number of premises with NBN services activated. For premises serviceable or covered by the </w:t>
      </w:r>
      <w:r>
        <w:rPr>
          <w:rFonts w:cs="Arial"/>
          <w:szCs w:val="16"/>
        </w:rPr>
        <w:t>NBN</w:t>
      </w:r>
      <w:r w:rsidRPr="00A73876">
        <w:rPr>
          <w:rFonts w:cs="Arial"/>
          <w:szCs w:val="16"/>
        </w:rPr>
        <w:t xml:space="preserve"> at June 201</w:t>
      </w:r>
      <w:r>
        <w:rPr>
          <w:rFonts w:cs="Arial"/>
          <w:szCs w:val="16"/>
        </w:rPr>
        <w:t>7</w:t>
      </w:r>
      <w:r w:rsidRPr="00A73876">
        <w:rPr>
          <w:rFonts w:cs="Arial"/>
          <w:szCs w:val="16"/>
        </w:rPr>
        <w:t xml:space="preserve">, </w:t>
      </w:r>
      <w:r w:rsidR="004941DE">
        <w:rPr>
          <w:rFonts w:cs="Arial"/>
          <w:szCs w:val="16"/>
        </w:rPr>
        <w:t>NBN Co</w:t>
      </w:r>
      <w:r w:rsidR="004941DE" w:rsidRPr="00A73876">
        <w:rPr>
          <w:rFonts w:cs="Arial"/>
          <w:szCs w:val="16"/>
        </w:rPr>
        <w:t xml:space="preserve"> </w:t>
      </w:r>
      <w:r w:rsidRPr="00A73876">
        <w:rPr>
          <w:rFonts w:cs="Arial"/>
          <w:szCs w:val="16"/>
        </w:rPr>
        <w:t>reported that:</w:t>
      </w:r>
    </w:p>
    <w:p w14:paraId="4F21924E" w14:textId="77777777" w:rsidR="004D33D2" w:rsidRPr="00FA47A6" w:rsidRDefault="004D33D2" w:rsidP="00852644">
      <w:pPr>
        <w:pStyle w:val="ListBullet"/>
        <w:keepNext/>
        <w:keepLines/>
      </w:pPr>
      <w:r w:rsidRPr="00E57AD7">
        <w:t>5.445 million premises were serviceable, an increase of 92 per cent since June 2016 (2.836</w:t>
      </w:r>
      <w:r>
        <w:t xml:space="preserve"> </w:t>
      </w:r>
      <w:r w:rsidRPr="00E57AD7">
        <w:t>million</w:t>
      </w:r>
      <w:r w:rsidRPr="00FA47A6">
        <w:t>)</w:t>
      </w:r>
    </w:p>
    <w:p w14:paraId="55F69E24" w14:textId="77777777" w:rsidR="004D33D2" w:rsidRPr="00CC1998" w:rsidRDefault="004D33D2" w:rsidP="00852644">
      <w:pPr>
        <w:pStyle w:val="ListBulletLast"/>
        <w:keepNext/>
        <w:keepLines/>
      </w:pPr>
      <w:r w:rsidRPr="00CC1998">
        <w:t>2.443 million premises had activated an NBN service, an increase of 122 per cent since June 2016.</w:t>
      </w:r>
    </w:p>
    <w:p w14:paraId="711DA2D1" w14:textId="06C72015" w:rsidR="001E01E9" w:rsidRDefault="004941DE" w:rsidP="004D33D2">
      <w:pPr>
        <w:pStyle w:val="ACMASpaceaftertable"/>
      </w:pPr>
      <w:r>
        <w:t>NBN Co</w:t>
      </w:r>
      <w:r w:rsidRPr="00983B38">
        <w:t xml:space="preserve"> </w:t>
      </w:r>
      <w:r w:rsidR="004D33D2" w:rsidRPr="00983B38">
        <w:t xml:space="preserve">expects to have built the infrastructure required to connect all Australian homes and businesses to the NBN </w:t>
      </w:r>
      <w:r w:rsidR="004D33D2">
        <w:t xml:space="preserve">by </w:t>
      </w:r>
      <w:r w:rsidR="004D33D2" w:rsidRPr="00983B38">
        <w:t>2020, with plans to connect eight million Australians.</w:t>
      </w:r>
      <w:r w:rsidR="004D33D2" w:rsidRPr="00983B38">
        <w:rPr>
          <w:rStyle w:val="EndnoteReference"/>
        </w:rPr>
        <w:endnoteReference w:id="51"/>
      </w:r>
    </w:p>
    <w:p w14:paraId="18FC20AB" w14:textId="77777777" w:rsidR="004D33D2" w:rsidRPr="0009259A" w:rsidRDefault="004D33D2" w:rsidP="00E14F15">
      <w:pPr>
        <w:pStyle w:val="ACMATableHeader"/>
        <w:keepNext/>
        <w:keepLines/>
        <w:numPr>
          <w:ilvl w:val="0"/>
          <w:numId w:val="0"/>
        </w:numPr>
      </w:pPr>
      <w:r w:rsidRPr="0009259A">
        <w:rPr>
          <w:color w:val="auto"/>
        </w:rPr>
        <w:t>Table 1.4</w:t>
      </w:r>
      <w:r w:rsidRPr="0009259A">
        <w:tab/>
      </w:r>
      <w:r w:rsidRPr="0009259A">
        <w:rPr>
          <w:rFonts w:cs="Arial"/>
        </w:rPr>
        <w:t>NBN</w:t>
      </w:r>
      <w:r w:rsidRPr="0009259A">
        <w:t xml:space="preserve"> services—cumulative premises serviceable and premises activated (millions)</w:t>
      </w:r>
    </w:p>
    <w:tbl>
      <w:tblPr>
        <w:tblStyle w:val="Commsreport2017"/>
        <w:tblW w:w="9215" w:type="dxa"/>
        <w:tblInd w:w="5" w:type="dxa"/>
        <w:tblLayout w:type="fixed"/>
        <w:tblCellMar>
          <w:top w:w="57" w:type="dxa"/>
          <w:left w:w="57" w:type="dxa"/>
          <w:bottom w:w="57" w:type="dxa"/>
          <w:right w:w="57" w:type="dxa"/>
        </w:tblCellMar>
        <w:tblLook w:val="01E0" w:firstRow="1" w:lastRow="1" w:firstColumn="1" w:lastColumn="1" w:noHBand="0" w:noVBand="0"/>
        <w:tblCaption w:val="Table 1.4 NBN Services—Cumulative premises serviceable and premises activated"/>
      </w:tblPr>
      <w:tblGrid>
        <w:gridCol w:w="1418"/>
        <w:gridCol w:w="1701"/>
        <w:gridCol w:w="1524"/>
        <w:gridCol w:w="1524"/>
        <w:gridCol w:w="1524"/>
        <w:gridCol w:w="1524"/>
      </w:tblGrid>
      <w:tr w:rsidR="004D33D2" w:rsidRPr="00A73876" w14:paraId="2B892230" w14:textId="77777777" w:rsidTr="00EC183A">
        <w:trPr>
          <w:cnfStyle w:val="100000000000" w:firstRow="1" w:lastRow="0" w:firstColumn="0" w:lastColumn="0" w:oddVBand="0" w:evenVBand="0" w:oddHBand="0" w:evenHBand="0" w:firstRowFirstColumn="0" w:firstRowLastColumn="0" w:lastRowFirstColumn="0" w:lastRowLastColumn="0"/>
          <w:trHeight w:val="370"/>
          <w:tblHeader/>
        </w:trPr>
        <w:tc>
          <w:tcPr>
            <w:cnfStyle w:val="001000000000" w:firstRow="0" w:lastRow="0" w:firstColumn="1" w:lastColumn="0" w:oddVBand="0" w:evenVBand="0" w:oddHBand="0" w:evenHBand="0" w:firstRowFirstColumn="0" w:firstRowLastColumn="0" w:lastRowFirstColumn="0" w:lastRowLastColumn="0"/>
            <w:tcW w:w="1418" w:type="dxa"/>
            <w:tcBorders>
              <w:top w:val="nil"/>
              <w:left w:val="nil"/>
              <w:right w:val="nil"/>
            </w:tcBorders>
          </w:tcPr>
          <w:p w14:paraId="1B7DF399" w14:textId="77777777" w:rsidR="004D33D2" w:rsidRPr="0009259A" w:rsidRDefault="004D33D2" w:rsidP="00041283">
            <w:pPr>
              <w:pStyle w:val="TableHeading"/>
              <w:spacing w:beforeLines="0" w:before="0" w:afterLines="0"/>
              <w:rPr>
                <w:rFonts w:cs="Arial"/>
                <w:b w:val="0"/>
                <w:szCs w:val="18"/>
              </w:rPr>
            </w:pPr>
          </w:p>
        </w:tc>
        <w:tc>
          <w:tcPr>
            <w:tcW w:w="1701" w:type="dxa"/>
            <w:tcBorders>
              <w:top w:val="nil"/>
              <w:left w:val="nil"/>
            </w:tcBorders>
          </w:tcPr>
          <w:p w14:paraId="49F70641" w14:textId="77777777" w:rsidR="004D33D2" w:rsidRPr="0009259A" w:rsidRDefault="004D33D2" w:rsidP="00041283">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b w:val="0"/>
                <w:szCs w:val="18"/>
              </w:rPr>
            </w:pPr>
          </w:p>
        </w:tc>
        <w:tc>
          <w:tcPr>
            <w:tcW w:w="1524" w:type="dxa"/>
          </w:tcPr>
          <w:p w14:paraId="24B7C501" w14:textId="77777777" w:rsidR="004D33D2" w:rsidRPr="0009259A" w:rsidRDefault="004D33D2" w:rsidP="00041283">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09259A">
              <w:rPr>
                <w:rFonts w:cs="Arial"/>
                <w:szCs w:val="18"/>
              </w:rPr>
              <w:t xml:space="preserve">30 Jun 15 </w:t>
            </w:r>
          </w:p>
        </w:tc>
        <w:tc>
          <w:tcPr>
            <w:tcW w:w="1524" w:type="dxa"/>
          </w:tcPr>
          <w:p w14:paraId="390D8597" w14:textId="77777777" w:rsidR="004D33D2" w:rsidRPr="0009259A" w:rsidRDefault="004D33D2" w:rsidP="00041283">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09259A">
              <w:rPr>
                <w:rFonts w:cs="Arial"/>
                <w:szCs w:val="18"/>
              </w:rPr>
              <w:t xml:space="preserve">30 Jun 16 </w:t>
            </w:r>
          </w:p>
        </w:tc>
        <w:tc>
          <w:tcPr>
            <w:tcW w:w="1524" w:type="dxa"/>
          </w:tcPr>
          <w:p w14:paraId="56CABD9B" w14:textId="77777777" w:rsidR="004D33D2" w:rsidRPr="0009259A" w:rsidRDefault="004D33D2" w:rsidP="00041283">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09259A">
              <w:rPr>
                <w:rFonts w:cs="Arial"/>
                <w:szCs w:val="18"/>
              </w:rPr>
              <w:t>30 Jun 2017</w:t>
            </w:r>
          </w:p>
        </w:tc>
        <w:tc>
          <w:tcPr>
            <w:tcW w:w="1524" w:type="dxa"/>
          </w:tcPr>
          <w:p w14:paraId="3AD8D5A6" w14:textId="166D6A8B" w:rsidR="004D33D2" w:rsidRPr="0009259A" w:rsidRDefault="004D33D2" w:rsidP="00041283">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09259A">
              <w:rPr>
                <w:rFonts w:cs="Arial"/>
                <w:szCs w:val="18"/>
              </w:rPr>
              <w:t xml:space="preserve">2016–17 </w:t>
            </w:r>
            <w:r w:rsidR="007607B4">
              <w:rPr>
                <w:rFonts w:cs="Arial"/>
                <w:szCs w:val="18"/>
              </w:rPr>
              <w:br/>
              <w:t xml:space="preserve">change </w:t>
            </w:r>
            <w:r w:rsidRPr="0009259A">
              <w:rPr>
                <w:rFonts w:cs="Arial"/>
                <w:szCs w:val="18"/>
              </w:rPr>
              <w:t>(%)</w:t>
            </w:r>
            <w:r w:rsidR="00EA57A8" w:rsidRPr="00876718">
              <w:rPr>
                <w:szCs w:val="18"/>
                <w:vertAlign w:val="superscript"/>
              </w:rPr>
              <w:t>†</w:t>
            </w:r>
          </w:p>
        </w:tc>
      </w:tr>
      <w:tr w:rsidR="004D33D2" w:rsidRPr="00A73876" w14:paraId="4AD15136" w14:textId="77777777" w:rsidTr="00EE3FD2">
        <w:trPr>
          <w:trHeight w:val="226"/>
        </w:trPr>
        <w:tc>
          <w:tcPr>
            <w:cnfStyle w:val="001000000000" w:firstRow="0" w:lastRow="0" w:firstColumn="1" w:lastColumn="0" w:oddVBand="0" w:evenVBand="0" w:oddHBand="0" w:evenHBand="0" w:firstRowFirstColumn="0" w:firstRowLastColumn="0" w:lastRowFirstColumn="0" w:lastRowLastColumn="0"/>
            <w:tcW w:w="1418" w:type="dxa"/>
            <w:vMerge w:val="restart"/>
          </w:tcPr>
          <w:p w14:paraId="46F15FF5" w14:textId="77777777" w:rsidR="004D33D2" w:rsidRPr="0009259A" w:rsidRDefault="004D33D2" w:rsidP="00041283">
            <w:pPr>
              <w:spacing w:before="0" w:after="0"/>
              <w:rPr>
                <w:rFonts w:cs="Arial"/>
                <w:szCs w:val="18"/>
              </w:rPr>
            </w:pPr>
            <w:r w:rsidRPr="0009259A">
              <w:rPr>
                <w:rFonts w:cs="Arial"/>
                <w:szCs w:val="18"/>
              </w:rPr>
              <w:t>Premises serviceable</w:t>
            </w:r>
          </w:p>
        </w:tc>
        <w:tc>
          <w:tcPr>
            <w:tcW w:w="1701" w:type="dxa"/>
          </w:tcPr>
          <w:p w14:paraId="34FB0FA6"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Fixed-line footprint*</w:t>
            </w:r>
          </w:p>
        </w:tc>
        <w:tc>
          <w:tcPr>
            <w:tcW w:w="1524" w:type="dxa"/>
          </w:tcPr>
          <w:p w14:paraId="1E941E63"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0.836</w:t>
            </w:r>
          </w:p>
        </w:tc>
        <w:tc>
          <w:tcPr>
            <w:tcW w:w="1524" w:type="dxa"/>
          </w:tcPr>
          <w:p w14:paraId="335E6F9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2.005</w:t>
            </w:r>
            <w:r w:rsidRPr="0009259A" w:rsidDel="00E817D8">
              <w:rPr>
                <w:rFonts w:cs="Arial"/>
                <w:szCs w:val="18"/>
              </w:rPr>
              <w:t xml:space="preserve"> </w:t>
            </w:r>
          </w:p>
        </w:tc>
        <w:tc>
          <w:tcPr>
            <w:tcW w:w="1524" w:type="dxa"/>
          </w:tcPr>
          <w:p w14:paraId="48EBD37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4.510</w:t>
            </w:r>
          </w:p>
        </w:tc>
        <w:tc>
          <w:tcPr>
            <w:tcW w:w="1524" w:type="dxa"/>
          </w:tcPr>
          <w:p w14:paraId="1A1C4D61"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125</w:t>
            </w:r>
          </w:p>
        </w:tc>
      </w:tr>
      <w:tr w:rsidR="004D33D2" w:rsidRPr="00A73876" w14:paraId="52A5F532" w14:textId="77777777" w:rsidTr="00EE3FD2">
        <w:trPr>
          <w:trHeight w:val="256"/>
        </w:trPr>
        <w:tc>
          <w:tcPr>
            <w:cnfStyle w:val="001000000000" w:firstRow="0" w:lastRow="0" w:firstColumn="1" w:lastColumn="0" w:oddVBand="0" w:evenVBand="0" w:oddHBand="0" w:evenHBand="0" w:firstRowFirstColumn="0" w:firstRowLastColumn="0" w:lastRowFirstColumn="0" w:lastRowLastColumn="0"/>
            <w:tcW w:w="1418" w:type="dxa"/>
            <w:vMerge/>
            <w:textDirection w:val="btLr"/>
          </w:tcPr>
          <w:p w14:paraId="5B256FB0" w14:textId="77777777" w:rsidR="004D33D2" w:rsidRPr="0009259A" w:rsidRDefault="004D33D2" w:rsidP="00041283">
            <w:pPr>
              <w:spacing w:before="0" w:after="0"/>
              <w:rPr>
                <w:rFonts w:cs="Arial"/>
                <w:szCs w:val="18"/>
              </w:rPr>
            </w:pPr>
          </w:p>
        </w:tc>
        <w:tc>
          <w:tcPr>
            <w:tcW w:w="1701" w:type="dxa"/>
          </w:tcPr>
          <w:p w14:paraId="463AA26E"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Fixed wireless</w:t>
            </w:r>
          </w:p>
        </w:tc>
        <w:tc>
          <w:tcPr>
            <w:tcW w:w="1524" w:type="dxa"/>
          </w:tcPr>
          <w:p w14:paraId="52763A9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0.268</w:t>
            </w:r>
          </w:p>
        </w:tc>
        <w:tc>
          <w:tcPr>
            <w:tcW w:w="1524" w:type="dxa"/>
          </w:tcPr>
          <w:p w14:paraId="1CB28A86"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0.421</w:t>
            </w:r>
          </w:p>
        </w:tc>
        <w:tc>
          <w:tcPr>
            <w:tcW w:w="1524" w:type="dxa"/>
          </w:tcPr>
          <w:p w14:paraId="0878FE1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0.518</w:t>
            </w:r>
          </w:p>
        </w:tc>
        <w:tc>
          <w:tcPr>
            <w:tcW w:w="1524" w:type="dxa"/>
          </w:tcPr>
          <w:p w14:paraId="24B86FCE"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23</w:t>
            </w:r>
          </w:p>
        </w:tc>
      </w:tr>
      <w:tr w:rsidR="004D33D2" w:rsidRPr="00A73876" w14:paraId="744AE0AA" w14:textId="77777777" w:rsidTr="00EE3FD2">
        <w:trPr>
          <w:trHeight w:val="248"/>
        </w:trPr>
        <w:tc>
          <w:tcPr>
            <w:cnfStyle w:val="001000000000" w:firstRow="0" w:lastRow="0" w:firstColumn="1" w:lastColumn="0" w:oddVBand="0" w:evenVBand="0" w:oddHBand="0" w:evenHBand="0" w:firstRowFirstColumn="0" w:firstRowLastColumn="0" w:lastRowFirstColumn="0" w:lastRowLastColumn="0"/>
            <w:tcW w:w="1418" w:type="dxa"/>
            <w:vMerge/>
            <w:textDirection w:val="btLr"/>
          </w:tcPr>
          <w:p w14:paraId="43BC6451" w14:textId="77777777" w:rsidR="004D33D2" w:rsidRPr="0009259A" w:rsidRDefault="004D33D2" w:rsidP="00041283">
            <w:pPr>
              <w:spacing w:before="0" w:after="0"/>
              <w:rPr>
                <w:rFonts w:cs="Arial"/>
                <w:szCs w:val="18"/>
              </w:rPr>
            </w:pPr>
          </w:p>
        </w:tc>
        <w:tc>
          <w:tcPr>
            <w:tcW w:w="1701" w:type="dxa"/>
          </w:tcPr>
          <w:p w14:paraId="2D615982"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Satellite</w:t>
            </w:r>
          </w:p>
        </w:tc>
        <w:tc>
          <w:tcPr>
            <w:tcW w:w="1524" w:type="dxa"/>
          </w:tcPr>
          <w:p w14:paraId="0AB3A12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0.048</w:t>
            </w:r>
          </w:p>
        </w:tc>
        <w:tc>
          <w:tcPr>
            <w:tcW w:w="1524" w:type="dxa"/>
          </w:tcPr>
          <w:p w14:paraId="283A0F3D"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0.410</w:t>
            </w:r>
          </w:p>
        </w:tc>
        <w:tc>
          <w:tcPr>
            <w:tcW w:w="1524" w:type="dxa"/>
          </w:tcPr>
          <w:p w14:paraId="5667683B"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0.418</w:t>
            </w:r>
          </w:p>
        </w:tc>
        <w:tc>
          <w:tcPr>
            <w:tcW w:w="1524" w:type="dxa"/>
          </w:tcPr>
          <w:p w14:paraId="58168DCD"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2</w:t>
            </w:r>
          </w:p>
        </w:tc>
      </w:tr>
      <w:tr w:rsidR="004D33D2" w:rsidRPr="00A73876" w14:paraId="504B2854" w14:textId="77777777" w:rsidTr="00EE3FD2">
        <w:trPr>
          <w:trHeight w:val="102"/>
        </w:trPr>
        <w:tc>
          <w:tcPr>
            <w:cnfStyle w:val="001000000000" w:firstRow="0" w:lastRow="0" w:firstColumn="1" w:lastColumn="0" w:oddVBand="0" w:evenVBand="0" w:oddHBand="0" w:evenHBand="0" w:firstRowFirstColumn="0" w:firstRowLastColumn="0" w:lastRowFirstColumn="0" w:lastRowLastColumn="0"/>
            <w:tcW w:w="1418" w:type="dxa"/>
            <w:vMerge/>
            <w:textDirection w:val="btLr"/>
          </w:tcPr>
          <w:p w14:paraId="7799C8E0" w14:textId="77777777" w:rsidR="004D33D2" w:rsidRPr="0009259A" w:rsidRDefault="004D33D2" w:rsidP="00041283">
            <w:pPr>
              <w:spacing w:before="0" w:after="0"/>
              <w:rPr>
                <w:rFonts w:cs="Arial"/>
                <w:szCs w:val="18"/>
              </w:rPr>
            </w:pPr>
          </w:p>
        </w:tc>
        <w:tc>
          <w:tcPr>
            <w:tcW w:w="1701" w:type="dxa"/>
            <w:shd w:val="clear" w:color="auto" w:fill="F2F2F2" w:themeFill="background1" w:themeFillShade="F2"/>
          </w:tcPr>
          <w:p w14:paraId="61BC2199"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b/>
                <w:szCs w:val="18"/>
              </w:rPr>
              <w:t>Total</w:t>
            </w:r>
          </w:p>
        </w:tc>
        <w:tc>
          <w:tcPr>
            <w:tcW w:w="1524" w:type="dxa"/>
            <w:shd w:val="clear" w:color="auto" w:fill="F2F2F2" w:themeFill="background1" w:themeFillShade="F2"/>
          </w:tcPr>
          <w:p w14:paraId="0961DDE6"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1.153</w:t>
            </w:r>
          </w:p>
        </w:tc>
        <w:tc>
          <w:tcPr>
            <w:tcW w:w="1524" w:type="dxa"/>
            <w:shd w:val="clear" w:color="auto" w:fill="F2F2F2" w:themeFill="background1" w:themeFillShade="F2"/>
          </w:tcPr>
          <w:p w14:paraId="0A8A88F0"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2.836</w:t>
            </w:r>
          </w:p>
        </w:tc>
        <w:tc>
          <w:tcPr>
            <w:tcW w:w="1524" w:type="dxa"/>
            <w:shd w:val="clear" w:color="auto" w:fill="F2F2F2" w:themeFill="background1" w:themeFillShade="F2"/>
          </w:tcPr>
          <w:p w14:paraId="7FB4247E"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5.445</w:t>
            </w:r>
          </w:p>
        </w:tc>
        <w:tc>
          <w:tcPr>
            <w:tcW w:w="1524" w:type="dxa"/>
            <w:shd w:val="clear" w:color="auto" w:fill="F2F2F2" w:themeFill="background1" w:themeFillShade="F2"/>
          </w:tcPr>
          <w:p w14:paraId="3CE8F6A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92</w:t>
            </w:r>
          </w:p>
        </w:tc>
      </w:tr>
      <w:tr w:rsidR="004D33D2" w:rsidRPr="00A73876" w14:paraId="77E75232" w14:textId="77777777" w:rsidTr="00EE3FD2">
        <w:trPr>
          <w:trHeight w:val="214"/>
        </w:trPr>
        <w:tc>
          <w:tcPr>
            <w:cnfStyle w:val="001000000000" w:firstRow="0" w:lastRow="0" w:firstColumn="1" w:lastColumn="0" w:oddVBand="0" w:evenVBand="0" w:oddHBand="0" w:evenHBand="0" w:firstRowFirstColumn="0" w:firstRowLastColumn="0" w:lastRowFirstColumn="0" w:lastRowLastColumn="0"/>
            <w:tcW w:w="1418" w:type="dxa"/>
            <w:vMerge w:val="restart"/>
          </w:tcPr>
          <w:p w14:paraId="6E56F92D" w14:textId="77777777" w:rsidR="004D33D2" w:rsidRPr="0009259A" w:rsidRDefault="004D33D2" w:rsidP="00041283">
            <w:pPr>
              <w:spacing w:before="0" w:after="0"/>
              <w:rPr>
                <w:rFonts w:cs="Arial"/>
                <w:szCs w:val="18"/>
              </w:rPr>
            </w:pPr>
            <w:r w:rsidRPr="0009259A">
              <w:rPr>
                <w:rFonts w:cs="Arial"/>
                <w:szCs w:val="18"/>
              </w:rPr>
              <w:t>Premises activated</w:t>
            </w:r>
          </w:p>
        </w:tc>
        <w:tc>
          <w:tcPr>
            <w:tcW w:w="1701" w:type="dxa"/>
          </w:tcPr>
          <w:p w14:paraId="19A22B4F"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Fixed-line footprint*</w:t>
            </w:r>
          </w:p>
        </w:tc>
        <w:tc>
          <w:tcPr>
            <w:tcW w:w="1524" w:type="dxa"/>
          </w:tcPr>
          <w:p w14:paraId="7D644831"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0.400</w:t>
            </w:r>
          </w:p>
        </w:tc>
        <w:tc>
          <w:tcPr>
            <w:tcW w:w="1524" w:type="dxa"/>
          </w:tcPr>
          <w:p w14:paraId="0B327F7B"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0.942</w:t>
            </w:r>
          </w:p>
        </w:tc>
        <w:tc>
          <w:tcPr>
            <w:tcW w:w="1524" w:type="dxa"/>
          </w:tcPr>
          <w:p w14:paraId="2B5158F1"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2.183</w:t>
            </w:r>
          </w:p>
        </w:tc>
        <w:tc>
          <w:tcPr>
            <w:tcW w:w="1524" w:type="dxa"/>
          </w:tcPr>
          <w:p w14:paraId="6ACDE56C"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132</w:t>
            </w:r>
          </w:p>
        </w:tc>
      </w:tr>
      <w:tr w:rsidR="004D33D2" w:rsidRPr="00A73876" w14:paraId="4080FF9E" w14:textId="77777777" w:rsidTr="00EE3FD2">
        <w:trPr>
          <w:trHeight w:val="220"/>
        </w:trPr>
        <w:tc>
          <w:tcPr>
            <w:cnfStyle w:val="001000000000" w:firstRow="0" w:lastRow="0" w:firstColumn="1" w:lastColumn="0" w:oddVBand="0" w:evenVBand="0" w:oddHBand="0" w:evenHBand="0" w:firstRowFirstColumn="0" w:firstRowLastColumn="0" w:lastRowFirstColumn="0" w:lastRowLastColumn="0"/>
            <w:tcW w:w="1418" w:type="dxa"/>
            <w:vMerge/>
          </w:tcPr>
          <w:p w14:paraId="00495303" w14:textId="77777777" w:rsidR="004D33D2" w:rsidRPr="0009259A" w:rsidRDefault="004D33D2" w:rsidP="00041283">
            <w:pPr>
              <w:spacing w:before="0" w:after="0"/>
              <w:rPr>
                <w:rFonts w:cs="Arial"/>
                <w:szCs w:val="18"/>
              </w:rPr>
            </w:pPr>
          </w:p>
        </w:tc>
        <w:tc>
          <w:tcPr>
            <w:tcW w:w="1701" w:type="dxa"/>
          </w:tcPr>
          <w:p w14:paraId="18023D89"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Fixed wireless</w:t>
            </w:r>
          </w:p>
        </w:tc>
        <w:tc>
          <w:tcPr>
            <w:tcW w:w="1524" w:type="dxa"/>
          </w:tcPr>
          <w:p w14:paraId="28FF6107"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0.047</w:t>
            </w:r>
          </w:p>
        </w:tc>
        <w:tc>
          <w:tcPr>
            <w:tcW w:w="1524" w:type="dxa"/>
          </w:tcPr>
          <w:p w14:paraId="683A0A7C"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0.118</w:t>
            </w:r>
          </w:p>
        </w:tc>
        <w:tc>
          <w:tcPr>
            <w:tcW w:w="1524" w:type="dxa"/>
          </w:tcPr>
          <w:p w14:paraId="15B12B43"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0.185</w:t>
            </w:r>
          </w:p>
        </w:tc>
        <w:tc>
          <w:tcPr>
            <w:tcW w:w="1524" w:type="dxa"/>
          </w:tcPr>
          <w:p w14:paraId="48D5789D"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57</w:t>
            </w:r>
          </w:p>
        </w:tc>
      </w:tr>
      <w:tr w:rsidR="004D33D2" w:rsidRPr="00A73876" w14:paraId="24D482DD" w14:textId="77777777" w:rsidTr="00EE3FD2">
        <w:trPr>
          <w:trHeight w:val="130"/>
        </w:trPr>
        <w:tc>
          <w:tcPr>
            <w:cnfStyle w:val="001000000000" w:firstRow="0" w:lastRow="0" w:firstColumn="1" w:lastColumn="0" w:oddVBand="0" w:evenVBand="0" w:oddHBand="0" w:evenHBand="0" w:firstRowFirstColumn="0" w:firstRowLastColumn="0" w:lastRowFirstColumn="0" w:lastRowLastColumn="0"/>
            <w:tcW w:w="1418" w:type="dxa"/>
            <w:vMerge/>
          </w:tcPr>
          <w:p w14:paraId="2FDB2F69" w14:textId="77777777" w:rsidR="004D33D2" w:rsidRPr="0009259A" w:rsidRDefault="004D33D2" w:rsidP="00041283">
            <w:pPr>
              <w:spacing w:before="0" w:after="0"/>
              <w:rPr>
                <w:rFonts w:cs="Arial"/>
                <w:szCs w:val="18"/>
              </w:rPr>
            </w:pPr>
          </w:p>
        </w:tc>
        <w:tc>
          <w:tcPr>
            <w:tcW w:w="1701" w:type="dxa"/>
          </w:tcPr>
          <w:p w14:paraId="06B68EEA"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Satellite</w:t>
            </w:r>
          </w:p>
        </w:tc>
        <w:tc>
          <w:tcPr>
            <w:tcW w:w="1524" w:type="dxa"/>
          </w:tcPr>
          <w:p w14:paraId="24954A3A"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0.038</w:t>
            </w:r>
          </w:p>
        </w:tc>
        <w:tc>
          <w:tcPr>
            <w:tcW w:w="1524" w:type="dxa"/>
          </w:tcPr>
          <w:p w14:paraId="0E4D54C9"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0.039</w:t>
            </w:r>
          </w:p>
        </w:tc>
        <w:tc>
          <w:tcPr>
            <w:tcW w:w="1524" w:type="dxa"/>
          </w:tcPr>
          <w:p w14:paraId="47BA61F6"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0.075</w:t>
            </w:r>
          </w:p>
        </w:tc>
        <w:tc>
          <w:tcPr>
            <w:tcW w:w="1524" w:type="dxa"/>
          </w:tcPr>
          <w:p w14:paraId="544CE405"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szCs w:val="18"/>
              </w:rPr>
              <w:t>93</w:t>
            </w:r>
          </w:p>
        </w:tc>
      </w:tr>
      <w:tr w:rsidR="004D33D2" w:rsidRPr="00A73876" w14:paraId="00150136" w14:textId="77777777" w:rsidTr="00EE3FD2">
        <w:trPr>
          <w:trHeight w:val="136"/>
        </w:trPr>
        <w:tc>
          <w:tcPr>
            <w:cnfStyle w:val="001000000000" w:firstRow="0" w:lastRow="0" w:firstColumn="1" w:lastColumn="0" w:oddVBand="0" w:evenVBand="0" w:oddHBand="0" w:evenHBand="0" w:firstRowFirstColumn="0" w:firstRowLastColumn="0" w:lastRowFirstColumn="0" w:lastRowLastColumn="0"/>
            <w:tcW w:w="1418" w:type="dxa"/>
            <w:vMerge/>
          </w:tcPr>
          <w:p w14:paraId="07AD131C" w14:textId="77777777" w:rsidR="004D33D2" w:rsidRPr="0009259A" w:rsidRDefault="004D33D2" w:rsidP="00041283">
            <w:pPr>
              <w:spacing w:before="0" w:after="0"/>
              <w:rPr>
                <w:rFonts w:cs="Arial"/>
                <w:szCs w:val="18"/>
              </w:rPr>
            </w:pPr>
          </w:p>
        </w:tc>
        <w:tc>
          <w:tcPr>
            <w:tcW w:w="1701" w:type="dxa"/>
            <w:shd w:val="clear" w:color="auto" w:fill="F2F2F2" w:themeFill="background1" w:themeFillShade="F2"/>
          </w:tcPr>
          <w:p w14:paraId="15C2BCD7" w14:textId="77777777" w:rsidR="004D33D2" w:rsidRPr="0009259A" w:rsidRDefault="004D33D2" w:rsidP="00041283">
            <w:pPr>
              <w:spacing w:before="0" w:after="0"/>
              <w:jc w:val="left"/>
              <w:cnfStyle w:val="000000000000" w:firstRow="0" w:lastRow="0" w:firstColumn="0" w:lastColumn="0" w:oddVBand="0" w:evenVBand="0" w:oddHBand="0" w:evenHBand="0" w:firstRowFirstColumn="0" w:firstRowLastColumn="0" w:lastRowFirstColumn="0" w:lastRowLastColumn="0"/>
              <w:rPr>
                <w:rFonts w:cs="Arial"/>
                <w:szCs w:val="18"/>
              </w:rPr>
            </w:pPr>
            <w:r w:rsidRPr="0009259A">
              <w:rPr>
                <w:rFonts w:cs="Arial"/>
                <w:b/>
                <w:szCs w:val="18"/>
              </w:rPr>
              <w:t>Total</w:t>
            </w:r>
          </w:p>
        </w:tc>
        <w:tc>
          <w:tcPr>
            <w:tcW w:w="1524" w:type="dxa"/>
            <w:shd w:val="clear" w:color="auto" w:fill="F2F2F2" w:themeFill="background1" w:themeFillShade="F2"/>
          </w:tcPr>
          <w:p w14:paraId="6AD34943"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0.486</w:t>
            </w:r>
          </w:p>
        </w:tc>
        <w:tc>
          <w:tcPr>
            <w:tcW w:w="1524" w:type="dxa"/>
            <w:shd w:val="clear" w:color="auto" w:fill="F2F2F2" w:themeFill="background1" w:themeFillShade="F2"/>
          </w:tcPr>
          <w:p w14:paraId="46AE8248"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1.099</w:t>
            </w:r>
          </w:p>
        </w:tc>
        <w:tc>
          <w:tcPr>
            <w:tcW w:w="1524" w:type="dxa"/>
            <w:shd w:val="clear" w:color="auto" w:fill="F2F2F2" w:themeFill="background1" w:themeFillShade="F2"/>
          </w:tcPr>
          <w:p w14:paraId="2FC8D036"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2.443</w:t>
            </w:r>
          </w:p>
        </w:tc>
        <w:tc>
          <w:tcPr>
            <w:tcW w:w="1524" w:type="dxa"/>
            <w:shd w:val="clear" w:color="auto" w:fill="F2F2F2" w:themeFill="background1" w:themeFillShade="F2"/>
          </w:tcPr>
          <w:p w14:paraId="45E8691B" w14:textId="77777777" w:rsidR="004D33D2" w:rsidRPr="0009259A" w:rsidRDefault="004D33D2" w:rsidP="00041283">
            <w:pPr>
              <w:tabs>
                <w:tab w:val="left" w:pos="908"/>
              </w:tabs>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09259A">
              <w:rPr>
                <w:rFonts w:cs="Arial"/>
                <w:b/>
                <w:szCs w:val="18"/>
              </w:rPr>
              <w:t>122</w:t>
            </w:r>
          </w:p>
        </w:tc>
      </w:tr>
    </w:tbl>
    <w:p w14:paraId="40DC2446" w14:textId="77777777" w:rsidR="004D33D2" w:rsidRDefault="004D33D2" w:rsidP="00041283">
      <w:pPr>
        <w:pStyle w:val="ACMANotes"/>
        <w:keepNext/>
        <w:keepLines/>
        <w:spacing w:before="120"/>
      </w:pPr>
      <w:r w:rsidRPr="00A73876">
        <w:rPr>
          <w:szCs w:val="18"/>
        </w:rPr>
        <w:t>*</w:t>
      </w:r>
      <w:r w:rsidRPr="00A73876">
        <w:t>Fixed-line footprint refers to all non-fixed wireless or satellite connections.</w:t>
      </w:r>
    </w:p>
    <w:p w14:paraId="2499ED9C" w14:textId="0B7A5D1C" w:rsidR="00145347" w:rsidRPr="00A73876" w:rsidRDefault="00145347" w:rsidP="00145347">
      <w:pPr>
        <w:pStyle w:val="ACMANotes"/>
        <w:keepNext/>
        <w:keepLines/>
      </w:pPr>
      <w:r w:rsidRPr="00876718">
        <w:rPr>
          <w:sz w:val="18"/>
          <w:szCs w:val="18"/>
          <w:vertAlign w:val="superscript"/>
        </w:rPr>
        <w:t>†</w:t>
      </w:r>
      <w:r w:rsidRPr="00EA57A8">
        <w:t>Percentage change has been calculated on whole numbers.</w:t>
      </w:r>
    </w:p>
    <w:p w14:paraId="586858FD" w14:textId="56792437" w:rsidR="004D33D2" w:rsidRPr="00A73876" w:rsidRDefault="004D33D2" w:rsidP="004D33D2">
      <w:pPr>
        <w:pStyle w:val="ACMANotes"/>
        <w:keepNext/>
        <w:keepLines/>
      </w:pPr>
      <w:r w:rsidRPr="00A73876">
        <w:t>Note</w:t>
      </w:r>
      <w:r w:rsidR="005A10D6">
        <w:t xml:space="preserve"> 1</w:t>
      </w:r>
      <w:r w:rsidRPr="00A73876">
        <w:t xml:space="preserve">: ‘Premises serviceable’ refers to brownfield (existing) premises in a rollout region that is ready for service, greenfield (new development) lots/premises passed (by the </w:t>
      </w:r>
      <w:r>
        <w:t>NBN</w:t>
      </w:r>
      <w:r w:rsidRPr="00A73876">
        <w:t xml:space="preserve">) and/or premises covered by fixed wireless and satellite. It does not include Service Class Zero (SC0). SC0 are premises in the NBN fibre network footprint that cannot </w:t>
      </w:r>
      <w:r w:rsidR="004941DE">
        <w:t>currently</w:t>
      </w:r>
      <w:r w:rsidR="004941DE" w:rsidRPr="00A73876">
        <w:t xml:space="preserve"> </w:t>
      </w:r>
      <w:r w:rsidRPr="00A73876">
        <w:t>be provided with an NBN fibre</w:t>
      </w:r>
      <w:r w:rsidR="005A10D6">
        <w:t> </w:t>
      </w:r>
      <w:r w:rsidRPr="00A73876">
        <w:t>service.</w:t>
      </w:r>
    </w:p>
    <w:p w14:paraId="362AB4EE" w14:textId="006F3FE8" w:rsidR="004D33D2" w:rsidRDefault="005A10D6" w:rsidP="004D33D2">
      <w:pPr>
        <w:pStyle w:val="ACMANotes"/>
        <w:keepNext/>
        <w:keepLines/>
      </w:pPr>
      <w:r>
        <w:t xml:space="preserve">Note 2: </w:t>
      </w:r>
      <w:r w:rsidR="004D33D2" w:rsidRPr="00A73876">
        <w:t>‘Premises activated’ refers to premises that have an active service installed. Premises are activated after receiving and provisioning a service order from a retail service provider to install a new service.</w:t>
      </w:r>
    </w:p>
    <w:p w14:paraId="0B371294" w14:textId="20267942" w:rsidR="004D33D2" w:rsidRPr="00B34020" w:rsidRDefault="004D33D2" w:rsidP="00041283">
      <w:pPr>
        <w:pStyle w:val="ACMANotesspaceafter"/>
        <w:spacing w:after="360"/>
      </w:pPr>
      <w:r>
        <w:t xml:space="preserve">Source: </w:t>
      </w:r>
      <w:r w:rsidR="00476A1B">
        <w:t xml:space="preserve">NBN Co, </w:t>
      </w:r>
      <w:r w:rsidRPr="00B34020">
        <w:rPr>
          <w:i w:val="0"/>
        </w:rPr>
        <w:t>Weekly Progress Report</w:t>
      </w:r>
      <w:r w:rsidRPr="00B34020">
        <w:t xml:space="preserve">; </w:t>
      </w:r>
      <w:r w:rsidRPr="00B34020">
        <w:rPr>
          <w:i w:val="0"/>
        </w:rPr>
        <w:t>Full Year Results, 2017</w:t>
      </w:r>
      <w:r w:rsidRPr="00B34020">
        <w:t>.</w:t>
      </w:r>
    </w:p>
    <w:p w14:paraId="5AD063E6" w14:textId="77777777" w:rsidR="004D33D2" w:rsidRPr="00FA56ED" w:rsidRDefault="004D33D2" w:rsidP="004D33D2">
      <w:pPr>
        <w:pStyle w:val="Heading3"/>
      </w:pPr>
      <w:bookmarkStart w:id="513" w:name="_Toc494799349"/>
      <w:bookmarkStart w:id="514" w:name="_Toc494805652"/>
      <w:bookmarkStart w:id="515" w:name="_Toc494805881"/>
      <w:bookmarkStart w:id="516" w:name="_Toc494808111"/>
      <w:bookmarkStart w:id="517" w:name="_Toc494808546"/>
      <w:bookmarkStart w:id="518" w:name="_Toc494815917"/>
      <w:bookmarkStart w:id="519" w:name="_Toc494818778"/>
      <w:bookmarkStart w:id="520" w:name="_Toc494819045"/>
      <w:r w:rsidRPr="00FA56ED">
        <w:t>Publicly accessible wireless internet</w:t>
      </w:r>
      <w:bookmarkEnd w:id="513"/>
      <w:bookmarkEnd w:id="514"/>
      <w:bookmarkEnd w:id="515"/>
      <w:bookmarkEnd w:id="516"/>
      <w:bookmarkEnd w:id="517"/>
      <w:bookmarkEnd w:id="518"/>
      <w:bookmarkEnd w:id="519"/>
      <w:bookmarkEnd w:id="520"/>
      <w:r w:rsidRPr="00FA56ED">
        <w:t xml:space="preserve"> </w:t>
      </w:r>
    </w:p>
    <w:p w14:paraId="079547DF" w14:textId="77777777" w:rsidR="004D33D2" w:rsidRDefault="004D33D2" w:rsidP="004D33D2">
      <w:r>
        <w:t>D</w:t>
      </w:r>
      <w:r w:rsidRPr="00FA56ED">
        <w:t>uring 2016–17</w:t>
      </w:r>
      <w:r>
        <w:t>, a</w:t>
      </w:r>
      <w:r w:rsidRPr="00FA56ED">
        <w:t>n increasing number of public</w:t>
      </w:r>
      <w:r>
        <w:t>ly</w:t>
      </w:r>
      <w:r w:rsidRPr="00FA56ED">
        <w:t xml:space="preserve"> available wireless internet access networks, such as Wi-Fi hotspots, </w:t>
      </w:r>
      <w:r>
        <w:t>became</w:t>
      </w:r>
      <w:r w:rsidRPr="00FA56ED">
        <w:t xml:space="preserve"> available in Australia. </w:t>
      </w:r>
      <w:r>
        <w:t xml:space="preserve">Wi-Fi hotspots </w:t>
      </w:r>
      <w:r w:rsidR="00476A1B">
        <w:t>a</w:t>
      </w:r>
      <w:r>
        <w:t xml:space="preserve">re accessible, often for free, in a wide array of public places including </w:t>
      </w:r>
      <w:r w:rsidRPr="00B26FF5">
        <w:t>bars, restaurants,</w:t>
      </w:r>
      <w:r>
        <w:t xml:space="preserve"> parks, libraries and museums, with larger networks provided in some s</w:t>
      </w:r>
      <w:r w:rsidRPr="00B26FF5">
        <w:t>hop</w:t>
      </w:r>
      <w:r>
        <w:t>ping centres and cities including Adelaide</w:t>
      </w:r>
      <w:r>
        <w:rPr>
          <w:rStyle w:val="EndnoteReference"/>
        </w:rPr>
        <w:endnoteReference w:id="52"/>
      </w:r>
      <w:r>
        <w:t>, Canberra</w:t>
      </w:r>
      <w:r>
        <w:rPr>
          <w:rStyle w:val="EndnoteReference"/>
        </w:rPr>
        <w:endnoteReference w:id="53"/>
      </w:r>
      <w:r>
        <w:t>, Melbourne</w:t>
      </w:r>
      <w:r>
        <w:rPr>
          <w:rStyle w:val="EndnoteReference"/>
        </w:rPr>
        <w:endnoteReference w:id="54"/>
      </w:r>
      <w:r>
        <w:t>, Brisbane</w:t>
      </w:r>
      <w:r>
        <w:rPr>
          <w:rStyle w:val="EndnoteReference"/>
        </w:rPr>
        <w:endnoteReference w:id="55"/>
      </w:r>
      <w:r>
        <w:t xml:space="preserve"> and Perth.</w:t>
      </w:r>
      <w:r>
        <w:rPr>
          <w:rStyle w:val="EndnoteReference"/>
        </w:rPr>
        <w:endnoteReference w:id="56"/>
      </w:r>
      <w:r>
        <w:t xml:space="preserve"> </w:t>
      </w:r>
    </w:p>
    <w:p w14:paraId="04F2FD46" w14:textId="77777777" w:rsidR="004D33D2" w:rsidRDefault="004D33D2" w:rsidP="004D33D2">
      <w:r>
        <w:t>A new free Wi-Fi offering,</w:t>
      </w:r>
      <w:r w:rsidRPr="00E87258">
        <w:t xml:space="preserve"> </w:t>
      </w:r>
      <w:r>
        <w:t>VicFreeWiFi</w:t>
      </w:r>
      <w:r>
        <w:rPr>
          <w:rStyle w:val="EndnoteReference"/>
        </w:rPr>
        <w:endnoteReference w:id="57"/>
      </w:r>
      <w:r>
        <w:t xml:space="preserve">, was launched in September 2016 by the </w:t>
      </w:r>
      <w:r w:rsidRPr="00A144AC">
        <w:t xml:space="preserve">Victorian </w:t>
      </w:r>
      <w:r w:rsidR="00563140">
        <w:t>G</w:t>
      </w:r>
      <w:r>
        <w:t>overnment, offering free access across central Melbourne, Ballarat and Bendigo, with downloads capped at 250 MB per device per day.</w:t>
      </w:r>
      <w:r>
        <w:rPr>
          <w:rStyle w:val="EndnoteReference"/>
        </w:rPr>
        <w:endnoteReference w:id="58"/>
      </w:r>
      <w:r>
        <w:t xml:space="preserve"> </w:t>
      </w:r>
    </w:p>
    <w:p w14:paraId="78EB0FF0" w14:textId="77777777" w:rsidR="004D33D2" w:rsidRDefault="004D33D2" w:rsidP="004D33D2">
      <w:r>
        <w:t xml:space="preserve">On 20 June 2017, Telstra launched its millionth </w:t>
      </w:r>
      <w:r w:rsidRPr="00CE0CE8">
        <w:t>Wi-Fi</w:t>
      </w:r>
      <w:r>
        <w:t>-</w:t>
      </w:r>
      <w:r w:rsidRPr="00CE0CE8">
        <w:t>enabled hotspot</w:t>
      </w:r>
      <w:r>
        <w:t xml:space="preserve"> on its Telstra Air network in conjunction with the second </w:t>
      </w:r>
      <w:r w:rsidRPr="00CE0CE8">
        <w:t>World Wi-Fi Da</w:t>
      </w:r>
      <w:r>
        <w:t>y</w:t>
      </w:r>
      <w:r>
        <w:rPr>
          <w:rStyle w:val="EndnoteReference"/>
        </w:rPr>
        <w:endnoteReference w:id="59"/>
      </w:r>
      <w:r>
        <w:t>, offering free access to all consumers for the day</w:t>
      </w:r>
      <w:r w:rsidR="007D785A">
        <w:t>.</w:t>
      </w:r>
      <w:r>
        <w:rPr>
          <w:rStyle w:val="EndnoteReference"/>
        </w:rPr>
        <w:endnoteReference w:id="60"/>
      </w:r>
      <w:r>
        <w:t xml:space="preserve"> </w:t>
      </w:r>
    </w:p>
    <w:p w14:paraId="6CCF5C27" w14:textId="77777777" w:rsidR="004D33D2" w:rsidRDefault="004D33D2" w:rsidP="004D33D2">
      <w:r>
        <w:t>Free access to the Telstra Air network was available for Cairns locals and visitors through a partnership between Cairns Regional Council and Telstra. In June 2017, Telstra announced a further 100 Telstra Air Wi-Fi hotspots across Cairns would be switched on in the coming months.</w:t>
      </w:r>
      <w:r>
        <w:rPr>
          <w:rStyle w:val="EndnoteReference"/>
        </w:rPr>
        <w:endnoteReference w:id="61"/>
      </w:r>
    </w:p>
    <w:p w14:paraId="6A0F28A5" w14:textId="77777777" w:rsidR="004D33D2" w:rsidRDefault="004D33D2" w:rsidP="00852644">
      <w:pPr>
        <w:keepLines/>
      </w:pPr>
      <w:r>
        <w:t>Transit authorities are offering free Wi-Fi connectivity on many forms of public transport across Australia</w:t>
      </w:r>
      <w:r w:rsidR="00563140">
        <w:t>,</w:t>
      </w:r>
      <w:r>
        <w:t xml:space="preserve"> including Sydney’s buses and ferries and Adelaide’s trams (with plans to extend the service to buses and trains in December 2017</w:t>
      </w:r>
      <w:r w:rsidR="00563140">
        <w:t>).</w:t>
      </w:r>
      <w:r>
        <w:rPr>
          <w:rStyle w:val="EndnoteReference"/>
        </w:rPr>
        <w:endnoteReference w:id="62"/>
      </w:r>
      <w:r>
        <w:t xml:space="preserve"> In January 2017, </w:t>
      </w:r>
      <w:r w:rsidR="00563140">
        <w:t xml:space="preserve">a trial of free Wi-Fi on </w:t>
      </w:r>
      <w:r w:rsidR="00A632C8">
        <w:t xml:space="preserve">50 </w:t>
      </w:r>
      <w:r>
        <w:t xml:space="preserve">Sydney buses </w:t>
      </w:r>
      <w:r w:rsidR="00563140">
        <w:t>began</w:t>
      </w:r>
      <w:r>
        <w:t>, with plans to fit out up to 1,000 buses by the end of 2017 if the trial is successful.</w:t>
      </w:r>
      <w:r>
        <w:rPr>
          <w:rStyle w:val="EndnoteReference"/>
        </w:rPr>
        <w:endnoteReference w:id="63"/>
      </w:r>
      <w:r>
        <w:t xml:space="preserve"> Wi-Fi trials undertaken on other public transport included five ACTION buses in Canberra as </w:t>
      </w:r>
      <w:r w:rsidRPr="006813CC">
        <w:t xml:space="preserve">part of the ACT </w:t>
      </w:r>
      <w:r w:rsidR="003309FE">
        <w:t>G</w:t>
      </w:r>
      <w:r>
        <w:t>overnment</w:t>
      </w:r>
      <w:r w:rsidRPr="006813CC">
        <w:t>'s Digital Canberra program</w:t>
      </w:r>
      <w:r>
        <w:t>.</w:t>
      </w:r>
      <w:r>
        <w:rPr>
          <w:rStyle w:val="EndnoteReference"/>
        </w:rPr>
        <w:endnoteReference w:id="64"/>
      </w:r>
      <w:r>
        <w:t xml:space="preserve"> </w:t>
      </w:r>
    </w:p>
    <w:p w14:paraId="6297321B" w14:textId="77777777" w:rsidR="004D33D2" w:rsidRPr="006C29CA" w:rsidRDefault="004D33D2" w:rsidP="004D33D2">
      <w:r w:rsidRPr="006C29CA">
        <w:t>Wi-Fi services continued to be deployed in shopping centres and public areas around the country in the reporting period. In August 2016, Optus secured a contract to roll out high</w:t>
      </w:r>
      <w:r w:rsidR="003309FE">
        <w:t>-</w:t>
      </w:r>
      <w:r w:rsidRPr="006C29CA">
        <w:t>speed public Wi-Fi services in 81 shopping centres across the country owned by Vicinity Centres</w:t>
      </w:r>
      <w:r>
        <w:t>.</w:t>
      </w:r>
      <w:r w:rsidRPr="006C29CA">
        <w:rPr>
          <w:rStyle w:val="EndnoteReference"/>
        </w:rPr>
        <w:endnoteReference w:id="65"/>
      </w:r>
    </w:p>
    <w:p w14:paraId="5D6A32CA" w14:textId="77777777" w:rsidR="004D33D2" w:rsidRDefault="004D33D2" w:rsidP="004D33D2">
      <w:r>
        <w:t>Qantas undertook in</w:t>
      </w:r>
      <w:r w:rsidRPr="0097783B">
        <w:t>flight Wi-Fi</w:t>
      </w:r>
      <w:r>
        <w:t xml:space="preserve"> testing in early 2017</w:t>
      </w:r>
      <w:r>
        <w:rPr>
          <w:rStyle w:val="EndnoteReference"/>
        </w:rPr>
        <w:endnoteReference w:id="66"/>
      </w:r>
      <w:r w:rsidR="003309FE">
        <w:t>, with</w:t>
      </w:r>
      <w:r>
        <w:t xml:space="preserve"> ‘</w:t>
      </w:r>
      <w:r w:rsidR="003309FE">
        <w:t>f</w:t>
      </w:r>
      <w:r>
        <w:t>ast</w:t>
      </w:r>
      <w:r w:rsidRPr="009B15C1">
        <w:t>,</w:t>
      </w:r>
      <w:r>
        <w:t xml:space="preserve"> free</w:t>
      </w:r>
      <w:r w:rsidRPr="009B15C1">
        <w:t xml:space="preserve"> </w:t>
      </w:r>
      <w:r>
        <w:t xml:space="preserve">inflight </w:t>
      </w:r>
      <w:r w:rsidRPr="009B15C1">
        <w:t>W</w:t>
      </w:r>
      <w:r>
        <w:t xml:space="preserve">i-Fi’ on </w:t>
      </w:r>
      <w:r w:rsidRPr="009B15C1">
        <w:t>its internet-capable Boeing 737-800</w:t>
      </w:r>
      <w:r>
        <w:t xml:space="preserve"> </w:t>
      </w:r>
      <w:r w:rsidR="00AA0C9C">
        <w:t xml:space="preserve">for </w:t>
      </w:r>
      <w:r w:rsidRPr="009B15C1">
        <w:t>Australian domestic flights</w:t>
      </w:r>
      <w:r>
        <w:t>.</w:t>
      </w:r>
      <w:r>
        <w:rPr>
          <w:rStyle w:val="EndnoteReference"/>
        </w:rPr>
        <w:endnoteReference w:id="67"/>
      </w:r>
      <w:r>
        <w:t xml:space="preserve"> With testing expected to be completed in September 2017</w:t>
      </w:r>
      <w:r>
        <w:rPr>
          <w:rStyle w:val="EndnoteReference"/>
        </w:rPr>
        <w:endnoteReference w:id="68"/>
      </w:r>
      <w:r>
        <w:t xml:space="preserve">, the Wi-Fi roll-out </w:t>
      </w:r>
      <w:r w:rsidRPr="009B15C1">
        <w:t xml:space="preserve">across 80 aircraft </w:t>
      </w:r>
      <w:r w:rsidR="003309FE">
        <w:t>in</w:t>
      </w:r>
      <w:r>
        <w:t xml:space="preserve"> </w:t>
      </w:r>
      <w:r w:rsidR="003309FE" w:rsidRPr="009B15C1">
        <w:t>Qantas’</w:t>
      </w:r>
      <w:r w:rsidR="003309FE">
        <w:t xml:space="preserve">s </w:t>
      </w:r>
      <w:r w:rsidRPr="009B15C1">
        <w:t>domestic fleet of Airbus 330s and Boeing 737s</w:t>
      </w:r>
      <w:r>
        <w:t xml:space="preserve"> </w:t>
      </w:r>
      <w:r w:rsidR="003309FE">
        <w:t>is scheduled for</w:t>
      </w:r>
      <w:r>
        <w:t xml:space="preserve"> </w:t>
      </w:r>
      <w:r w:rsidRPr="009B15C1">
        <w:t>the end of 2018.</w:t>
      </w:r>
      <w:r>
        <w:rPr>
          <w:rStyle w:val="EndnoteReference"/>
        </w:rPr>
        <w:endnoteReference w:id="69"/>
      </w:r>
      <w:r>
        <w:t xml:space="preserve"> </w:t>
      </w:r>
      <w:r w:rsidRPr="006010CB">
        <w:t xml:space="preserve">Virgin Australia </w:t>
      </w:r>
      <w:r w:rsidR="003309FE">
        <w:t xml:space="preserve">began </w:t>
      </w:r>
      <w:r>
        <w:t>a three-month test of inflight Wi-Fi on one of its Boeing 737-800 aircraft</w:t>
      </w:r>
      <w:r w:rsidR="003309FE">
        <w:t>s</w:t>
      </w:r>
      <w:r>
        <w:t xml:space="preserve"> on 20 April 2017. The service is available for free to guests flying on the Wi-Fi enabled aircraft during the testing period.</w:t>
      </w:r>
      <w:r>
        <w:rPr>
          <w:rStyle w:val="EndnoteReference"/>
        </w:rPr>
        <w:endnoteReference w:id="70"/>
      </w:r>
      <w:r>
        <w:t xml:space="preserve"> </w:t>
      </w:r>
    </w:p>
    <w:p w14:paraId="4E2B4852" w14:textId="77777777" w:rsidR="004D33D2" w:rsidRPr="00BE1B46" w:rsidRDefault="004D33D2" w:rsidP="004D33D2">
      <w:pPr>
        <w:pStyle w:val="Heading3"/>
      </w:pPr>
      <w:bookmarkStart w:id="521" w:name="_Toc494799350"/>
      <w:bookmarkStart w:id="522" w:name="_Toc494805653"/>
      <w:bookmarkStart w:id="523" w:name="_Toc494805882"/>
      <w:bookmarkStart w:id="524" w:name="_Toc494808112"/>
      <w:bookmarkStart w:id="525" w:name="_Toc494808547"/>
      <w:bookmarkStart w:id="526" w:name="_Toc494815918"/>
      <w:bookmarkStart w:id="527" w:name="_Toc494818779"/>
      <w:bookmarkStart w:id="528" w:name="_Toc494819046"/>
      <w:r>
        <w:t>C</w:t>
      </w:r>
      <w:r w:rsidRPr="00BE1B46">
        <w:t>loud</w:t>
      </w:r>
      <w:r>
        <w:t xml:space="preserve"> computing</w:t>
      </w:r>
      <w:bookmarkEnd w:id="521"/>
      <w:bookmarkEnd w:id="522"/>
      <w:bookmarkEnd w:id="523"/>
      <w:bookmarkEnd w:id="524"/>
      <w:bookmarkEnd w:id="525"/>
      <w:bookmarkEnd w:id="526"/>
      <w:bookmarkEnd w:id="527"/>
      <w:bookmarkEnd w:id="528"/>
    </w:p>
    <w:p w14:paraId="6D8262EE" w14:textId="77777777" w:rsidR="004D33D2" w:rsidRPr="00BE377D" w:rsidRDefault="004D33D2" w:rsidP="004D33D2">
      <w:r w:rsidRPr="0039362D">
        <w:t>During 2016–17, the communications market continued to</w:t>
      </w:r>
      <w:r>
        <w:t xml:space="preserve"> embrace cloud</w:t>
      </w:r>
      <w:r w:rsidR="00AA0C9C">
        <w:t>-</w:t>
      </w:r>
      <w:r>
        <w:t>based solutions</w:t>
      </w:r>
      <w:r w:rsidR="00B34020">
        <w:rPr>
          <w:rStyle w:val="EndnoteReference"/>
        </w:rPr>
        <w:endnoteReference w:id="71"/>
      </w:r>
      <w:r>
        <w:t xml:space="preserve">, enabling improved productivity, efficiencies and cost reductions. </w:t>
      </w:r>
    </w:p>
    <w:p w14:paraId="3E1A28F1" w14:textId="77777777" w:rsidR="004D33D2" w:rsidRDefault="004D33D2" w:rsidP="004D33D2">
      <w:r>
        <w:t>Telstra’s revenue from c</w:t>
      </w:r>
      <w:r w:rsidRPr="002B2736">
        <w:t xml:space="preserve">loud </w:t>
      </w:r>
      <w:r>
        <w:t>services rose</w:t>
      </w:r>
      <w:r w:rsidRPr="002B2736">
        <w:t xml:space="preserve"> by 50.2 per cent from $249 million</w:t>
      </w:r>
      <w:r>
        <w:t xml:space="preserve"> at June 2016 </w:t>
      </w:r>
      <w:r w:rsidRPr="002B2736">
        <w:t>to $374</w:t>
      </w:r>
      <w:r w:rsidR="001A1655">
        <w:t> </w:t>
      </w:r>
      <w:r w:rsidRPr="002B2736">
        <w:t>million</w:t>
      </w:r>
      <w:r>
        <w:t xml:space="preserve"> at June 2017. This growth was </w:t>
      </w:r>
      <w:r w:rsidRPr="002B2736">
        <w:t>a result of increased consulting and professional services</w:t>
      </w:r>
      <w:r>
        <w:t xml:space="preserve">, </w:t>
      </w:r>
      <w:r w:rsidDel="00C1406E">
        <w:t xml:space="preserve">growth </w:t>
      </w:r>
      <w:r>
        <w:t>in hardware sales</w:t>
      </w:r>
      <w:r w:rsidR="001A1655">
        <w:t>,</w:t>
      </w:r>
      <w:r w:rsidRPr="002B2736">
        <w:t xml:space="preserve"> and acquisitions including Readify and Kloud.</w:t>
      </w:r>
      <w:r>
        <w:rPr>
          <w:rStyle w:val="EndnoteReference"/>
        </w:rPr>
        <w:endnoteReference w:id="72"/>
      </w:r>
      <w:r>
        <w:t xml:space="preserve"> During the reporting period, Telstra also invested in Californian US cloud-based software-defined wide</w:t>
      </w:r>
      <w:r w:rsidR="001A1655">
        <w:t>-</w:t>
      </w:r>
      <w:r>
        <w:t>area networking start-up VeloCloud Networks.</w:t>
      </w:r>
      <w:r>
        <w:rPr>
          <w:rStyle w:val="EndnoteReference"/>
        </w:rPr>
        <w:endnoteReference w:id="73"/>
      </w:r>
    </w:p>
    <w:p w14:paraId="0CA16F5C" w14:textId="77777777" w:rsidR="004D33D2" w:rsidRDefault="004D33D2" w:rsidP="004D33D2">
      <w:r w:rsidRPr="00E072C7">
        <w:t>On 26 July 2016</w:t>
      </w:r>
      <w:r>
        <w:t>,</w:t>
      </w:r>
      <w:r w:rsidRPr="00E072C7">
        <w:t xml:space="preserve"> Telstra added to its cloud portfolio by launching the Telstra Cloud Management Platform</w:t>
      </w:r>
      <w:r>
        <w:t xml:space="preserve"> to help businesses manage private and public cloud platforms. It was made available to customers from August 2016.</w:t>
      </w:r>
      <w:r>
        <w:rPr>
          <w:rStyle w:val="EndnoteReference"/>
        </w:rPr>
        <w:endnoteReference w:id="74"/>
      </w:r>
      <w:r>
        <w:t xml:space="preserve"> </w:t>
      </w:r>
    </w:p>
    <w:p w14:paraId="2839CCAD" w14:textId="77777777" w:rsidR="004D33D2" w:rsidRDefault="004D33D2" w:rsidP="004D33D2">
      <w:r>
        <w:t xml:space="preserve">Optus continued to expand its cloud offerings in 2016–17, launching a </w:t>
      </w:r>
      <w:r w:rsidRPr="004A0065">
        <w:t xml:space="preserve">series of cloud, collaboration and infrastructure technologies </w:t>
      </w:r>
      <w:r>
        <w:t>with</w:t>
      </w:r>
      <w:r w:rsidRPr="004A0065">
        <w:t xml:space="preserve"> Cisco</w:t>
      </w:r>
      <w:r>
        <w:rPr>
          <w:rStyle w:val="EndnoteReference"/>
        </w:rPr>
        <w:endnoteReference w:id="75"/>
      </w:r>
      <w:r>
        <w:t>, in addition to</w:t>
      </w:r>
      <w:r w:rsidRPr="00BF4E7D" w:rsidDel="00B744DA">
        <w:t xml:space="preserve"> </w:t>
      </w:r>
      <w:r w:rsidRPr="00BF4E7D">
        <w:t>one of Australia’s first All-Flash storage platforms available on-premise and in the cloud</w:t>
      </w:r>
      <w:r>
        <w:t>.</w:t>
      </w:r>
      <w:r>
        <w:rPr>
          <w:rStyle w:val="EndnoteReference"/>
        </w:rPr>
        <w:endnoteReference w:id="76"/>
      </w:r>
      <w:r>
        <w:t xml:space="preserve"> In June 2017, Optus announced </w:t>
      </w:r>
      <w:r w:rsidDel="00B744DA">
        <w:t>a</w:t>
      </w:r>
      <w:r>
        <w:t xml:space="preserve"> partnership with Canberra Data Centres (CDC) to provide secure private cloud service to more than 40 government agencies.</w:t>
      </w:r>
      <w:r>
        <w:rPr>
          <w:rStyle w:val="EndnoteReference"/>
        </w:rPr>
        <w:endnoteReference w:id="77"/>
      </w:r>
    </w:p>
    <w:p w14:paraId="4C6DE1C9" w14:textId="0B900D75" w:rsidR="004D33D2" w:rsidRDefault="004D33D2" w:rsidP="004D33D2">
      <w:r>
        <w:t xml:space="preserve">According to the </w:t>
      </w:r>
      <w:r w:rsidR="001A1655">
        <w:t>ABS</w:t>
      </w:r>
      <w:r>
        <w:t xml:space="preserve">, use of paid </w:t>
      </w:r>
      <w:r w:rsidRPr="00210D84">
        <w:t xml:space="preserve">cloud computing services </w:t>
      </w:r>
      <w:r>
        <w:t>by Australian business</w:t>
      </w:r>
      <w:r w:rsidR="001A1655">
        <w:t>es</w:t>
      </w:r>
      <w:r>
        <w:t xml:space="preserve"> </w:t>
      </w:r>
      <w:r w:rsidR="001A1655">
        <w:t xml:space="preserve">has </w:t>
      </w:r>
      <w:r>
        <w:t>increased from 19</w:t>
      </w:r>
      <w:r w:rsidR="001A1655">
        <w:t> </w:t>
      </w:r>
      <w:r>
        <w:t>per cent in 2013–14 to 31 per cent in 2015–16.</w:t>
      </w:r>
      <w:r>
        <w:rPr>
          <w:rStyle w:val="EndnoteReference"/>
        </w:rPr>
        <w:endnoteReference w:id="78"/>
      </w:r>
      <w:r>
        <w:t xml:space="preserve"> The most common </w:t>
      </w:r>
      <w:r w:rsidR="00386880">
        <w:t>such</w:t>
      </w:r>
      <w:r>
        <w:t xml:space="preserve"> services ar</w:t>
      </w:r>
      <w:r w:rsidR="00114A34">
        <w:t>e software (85 </w:t>
      </w:r>
      <w:r>
        <w:t xml:space="preserve">per cent) </w:t>
      </w:r>
      <w:r w:rsidR="001A1655">
        <w:t>and</w:t>
      </w:r>
      <w:r>
        <w:t xml:space="preserve"> storage capacity (60 per cent). </w:t>
      </w:r>
      <w:r w:rsidR="001A1655">
        <w:t xml:space="preserve">Larger businesses are </w:t>
      </w:r>
      <w:r>
        <w:t>adopt</w:t>
      </w:r>
      <w:r w:rsidR="001A1655">
        <w:t>ing</w:t>
      </w:r>
      <w:r>
        <w:t xml:space="preserve"> paid cloud services</w:t>
      </w:r>
      <w:r w:rsidR="001A1655">
        <w:t xml:space="preserve"> in greater numbers—</w:t>
      </w:r>
      <w:r>
        <w:t xml:space="preserve">take-up of paid cloud services </w:t>
      </w:r>
      <w:r w:rsidR="001A1655">
        <w:t xml:space="preserve">is </w:t>
      </w:r>
      <w:r>
        <w:t xml:space="preserve">at </w:t>
      </w:r>
      <w:r w:rsidRPr="0005471D">
        <w:t>60</w:t>
      </w:r>
      <w:r w:rsidR="00553BCF">
        <w:t> </w:t>
      </w:r>
      <w:r>
        <w:t xml:space="preserve">per cent </w:t>
      </w:r>
      <w:r w:rsidRPr="0005471D">
        <w:t>for businesses with 200</w:t>
      </w:r>
      <w:r>
        <w:t>+ employees</w:t>
      </w:r>
      <w:r w:rsidR="001A1655">
        <w:t xml:space="preserve">, </w:t>
      </w:r>
      <w:r>
        <w:t xml:space="preserve">compared with 25 per cent </w:t>
      </w:r>
      <w:r w:rsidR="001A1655">
        <w:t xml:space="preserve">of </w:t>
      </w:r>
      <w:r w:rsidRPr="0005471D">
        <w:t>businesses with 0</w:t>
      </w:r>
      <w:r>
        <w:t>–</w:t>
      </w:r>
      <w:r w:rsidRPr="0005471D">
        <w:t>4</w:t>
      </w:r>
      <w:r w:rsidR="00553BCF">
        <w:t> </w:t>
      </w:r>
      <w:r w:rsidRPr="0005471D">
        <w:t>employe</w:t>
      </w:r>
      <w:r>
        <w:t>es.</w:t>
      </w:r>
      <w:r>
        <w:rPr>
          <w:rStyle w:val="EndnoteReference"/>
        </w:rPr>
        <w:endnoteReference w:id="79"/>
      </w:r>
    </w:p>
    <w:p w14:paraId="2E7BCD2A" w14:textId="77777777" w:rsidR="004D33D2" w:rsidRDefault="004D33D2" w:rsidP="004D33D2">
      <w:r>
        <w:t>This growth was also seen in the public sector, with Australian public cloud spending estimated to have reached $5.66 billion in 2016.</w:t>
      </w:r>
      <w:r>
        <w:rPr>
          <w:rStyle w:val="EndnoteReference"/>
        </w:rPr>
        <w:endnoteReference w:id="80"/>
      </w:r>
      <w:r>
        <w:t xml:space="preserve"> Industry analysts project public cloud services to grow by 18 per cent globally in 2017 to reach US$246.8 billion. Most of this growth is expected to come from </w:t>
      </w:r>
      <w:r w:rsidRPr="006F6D45">
        <w:t>cloud system infrastructure services (</w:t>
      </w:r>
      <w:r>
        <w:t xml:space="preserve">or </w:t>
      </w:r>
      <w:r w:rsidRPr="006F6D45">
        <w:t>infrastructure as a service</w:t>
      </w:r>
      <w:r>
        <w:t>—</w:t>
      </w:r>
      <w:r w:rsidRPr="006F6D45">
        <w:t>IaaS)</w:t>
      </w:r>
      <w:r>
        <w:t>.</w:t>
      </w:r>
      <w:r>
        <w:rPr>
          <w:rStyle w:val="EndnoteReference"/>
        </w:rPr>
        <w:endnoteReference w:id="81"/>
      </w:r>
      <w:r>
        <w:t xml:space="preserve"> The Australian IaaS market is forecast to be worth $1.049 billion by 2020.</w:t>
      </w:r>
      <w:r>
        <w:rPr>
          <w:rStyle w:val="EndnoteReference"/>
        </w:rPr>
        <w:endnoteReference w:id="82"/>
      </w:r>
    </w:p>
    <w:p w14:paraId="5E7A825F" w14:textId="77777777" w:rsidR="004D33D2" w:rsidRPr="00FD7E86" w:rsidRDefault="004D33D2" w:rsidP="00852644">
      <w:pPr>
        <w:pStyle w:val="Heading3"/>
        <w:keepLines/>
      </w:pPr>
      <w:bookmarkStart w:id="529" w:name="_Toc494799351"/>
      <w:bookmarkStart w:id="530" w:name="_Toc494805654"/>
      <w:bookmarkStart w:id="531" w:name="_Toc494805883"/>
      <w:bookmarkStart w:id="532" w:name="_Toc494808113"/>
      <w:bookmarkStart w:id="533" w:name="_Toc494808548"/>
      <w:bookmarkStart w:id="534" w:name="_Toc494815919"/>
      <w:bookmarkStart w:id="535" w:name="_Toc494818780"/>
      <w:bookmarkStart w:id="536" w:name="_Toc494819047"/>
      <w:r w:rsidRPr="00ED31EE">
        <w:t>Domain name registrations</w:t>
      </w:r>
      <w:bookmarkEnd w:id="529"/>
      <w:bookmarkEnd w:id="530"/>
      <w:bookmarkEnd w:id="531"/>
      <w:bookmarkEnd w:id="532"/>
      <w:bookmarkEnd w:id="533"/>
      <w:bookmarkEnd w:id="534"/>
      <w:bookmarkEnd w:id="535"/>
      <w:bookmarkEnd w:id="536"/>
    </w:p>
    <w:p w14:paraId="1CE8669B" w14:textId="77777777" w:rsidR="004D33D2" w:rsidRPr="00FA6CDC" w:rsidRDefault="004D33D2" w:rsidP="00852644">
      <w:pPr>
        <w:keepNext/>
        <w:keepLines/>
        <w:rPr>
          <w:highlight w:val="yellow"/>
        </w:rPr>
      </w:pPr>
      <w:r>
        <w:t>Australian b</w:t>
      </w:r>
      <w:r w:rsidRPr="00002B47">
        <w:t xml:space="preserve">usinesses and organisations continued to </w:t>
      </w:r>
      <w:r>
        <w:t>show increasing participation</w:t>
      </w:r>
      <w:r w:rsidRPr="00002B47">
        <w:t xml:space="preserve"> online, with the number of ‘.au’ domain names </w:t>
      </w:r>
      <w:r>
        <w:t xml:space="preserve">growing </w:t>
      </w:r>
      <w:r w:rsidRPr="00CE2713">
        <w:t>by two per cent to 3.11 million.</w:t>
      </w:r>
      <w:r>
        <w:rPr>
          <w:rStyle w:val="EndnoteReference"/>
        </w:rPr>
        <w:endnoteReference w:id="83"/>
      </w:r>
      <w:r w:rsidRPr="00F16ABD">
        <w:t xml:space="preserve"> </w:t>
      </w:r>
    </w:p>
    <w:p w14:paraId="1AB517F6" w14:textId="4E72EFF1" w:rsidR="004D33D2" w:rsidRPr="001F0516" w:rsidRDefault="004D33D2" w:rsidP="00852644">
      <w:pPr>
        <w:keepNext/>
        <w:keepLines/>
      </w:pPr>
      <w:r w:rsidRPr="00D646D7">
        <w:t>The registration of ‘.au’ domain names is administered by the not-for-profit organisation .au Domain Administration Ltd</w:t>
      </w:r>
      <w:r w:rsidR="001C483E">
        <w:t xml:space="preserve"> (auDA</w:t>
      </w:r>
      <w:r w:rsidRPr="00D646D7">
        <w:t>). The ‘.com.au’ domain, designed for commercial entities, includin</w:t>
      </w:r>
      <w:r>
        <w:t xml:space="preserve">g companies and businesses, </w:t>
      </w:r>
      <w:r w:rsidRPr="00D646D7">
        <w:t xml:space="preserve">accounts for </w:t>
      </w:r>
      <w:r w:rsidRPr="0067299A">
        <w:t>88</w:t>
      </w:r>
      <w:r w:rsidRPr="00D646D7">
        <w:t xml:space="preserve"> per cent of </w:t>
      </w:r>
      <w:r>
        <w:t>the second level</w:t>
      </w:r>
      <w:r w:rsidR="005F4D0F">
        <w:t>-</w:t>
      </w:r>
      <w:r>
        <w:t>domains (</w:t>
      </w:r>
      <w:r w:rsidRPr="00D646D7">
        <w:t>2LD</w:t>
      </w:r>
      <w:r>
        <w:t>), and remained unchanged from 2016.</w:t>
      </w:r>
      <w:r w:rsidRPr="001F0516">
        <w:rPr>
          <w:rStyle w:val="EndnoteReference"/>
        </w:rPr>
        <w:endnoteReference w:id="84"/>
      </w:r>
      <w:r w:rsidRPr="001F0516">
        <w:t xml:space="preserve"> </w:t>
      </w:r>
    </w:p>
    <w:p w14:paraId="3064EF11" w14:textId="77777777" w:rsidR="004D33D2" w:rsidRDefault="004D33D2" w:rsidP="004D33D2">
      <w:pPr>
        <w:rPr>
          <w:rFonts w:cs="Arial"/>
          <w:szCs w:val="20"/>
        </w:rPr>
      </w:pPr>
      <w:r w:rsidRPr="001F0516">
        <w:t>At June 2017, 4,726</w:t>
      </w:r>
      <w:r w:rsidRPr="001F0516">
        <w:rPr>
          <w:color w:val="1F4E79"/>
          <w:lang w:eastAsia="en-US"/>
        </w:rPr>
        <w:t xml:space="preserve"> </w:t>
      </w:r>
      <w:r w:rsidRPr="001F0516">
        <w:t>‘.gov.au’ domain names were registered (including all tiers of government), up from 4,704 at June 2016</w:t>
      </w:r>
      <w:r w:rsidRPr="001F0516">
        <w:rPr>
          <w:rFonts w:cs="Arial"/>
          <w:szCs w:val="20"/>
        </w:rPr>
        <w:t>.</w:t>
      </w:r>
      <w:r w:rsidRPr="001F0516">
        <w:rPr>
          <w:rFonts w:cs="Arial"/>
          <w:szCs w:val="20"/>
          <w:vertAlign w:val="superscript"/>
        </w:rPr>
        <w:endnoteReference w:id="85"/>
      </w:r>
    </w:p>
    <w:p w14:paraId="2B342995" w14:textId="0D786F3C" w:rsidR="004D33D2" w:rsidRDefault="001C483E" w:rsidP="004D33D2">
      <w:r>
        <w:t xml:space="preserve">In October 2016, </w:t>
      </w:r>
      <w:r w:rsidR="004D33D2">
        <w:t>auDA closed down over 1</w:t>
      </w:r>
      <w:r w:rsidR="005F4D0F">
        <w:t>,</w:t>
      </w:r>
      <w:r w:rsidR="004D33D2">
        <w:t xml:space="preserve">000 websites, after overseas criminals </w:t>
      </w:r>
      <w:r w:rsidR="004D33D2" w:rsidDel="005437F5">
        <w:t>w</w:t>
      </w:r>
      <w:r w:rsidR="004D33D2">
        <w:t>ere discovered establishing a network of fraudulent websites. I</w:t>
      </w:r>
      <w:r>
        <w:t xml:space="preserve">t is the largest known move by </w:t>
      </w:r>
      <w:r w:rsidR="004D33D2">
        <w:t>auDA to counter fraud of this kind.</w:t>
      </w:r>
      <w:r w:rsidR="004D33D2">
        <w:rPr>
          <w:rStyle w:val="EndnoteReference"/>
        </w:rPr>
        <w:endnoteReference w:id="86"/>
      </w:r>
    </w:p>
    <w:p w14:paraId="0B2BFAC5" w14:textId="77777777" w:rsidR="004D33D2" w:rsidRDefault="004D33D2" w:rsidP="004D33D2">
      <w:r>
        <w:t>In August 2017, auD</w:t>
      </w:r>
      <w:r w:rsidR="005F4D0F">
        <w:t>A</w:t>
      </w:r>
      <w:r>
        <w:t xml:space="preserve"> initiated a formal Request for Tender (RFT) process in an effort to seek a new registry operator, noting the national security implications of running the Australian domain space. The registry service has been run by AusRegistry since 2002.</w:t>
      </w:r>
      <w:r>
        <w:rPr>
          <w:rStyle w:val="EndnoteReference"/>
        </w:rPr>
        <w:endnoteReference w:id="87"/>
      </w:r>
      <w:r w:rsidR="005F4D0F">
        <w:rPr>
          <w:vertAlign w:val="superscript"/>
        </w:rPr>
        <w:t xml:space="preserve"> </w:t>
      </w:r>
      <w:r>
        <w:rPr>
          <w:rStyle w:val="EndnoteReference"/>
        </w:rPr>
        <w:endnoteReference w:id="88"/>
      </w:r>
      <w:r>
        <w:t xml:space="preserve"> </w:t>
      </w:r>
    </w:p>
    <w:p w14:paraId="31400F8A" w14:textId="77777777" w:rsidR="004D33D2" w:rsidRDefault="004D33D2" w:rsidP="002210F1">
      <w:pPr>
        <w:pStyle w:val="Heading2"/>
        <w:numPr>
          <w:ilvl w:val="1"/>
          <w:numId w:val="14"/>
        </w:numPr>
      </w:pPr>
      <w:bookmarkStart w:id="537" w:name="_Toc494799352"/>
      <w:bookmarkStart w:id="538" w:name="_Toc494805655"/>
      <w:bookmarkStart w:id="539" w:name="_Toc494805884"/>
      <w:bookmarkStart w:id="540" w:name="_Toc494808114"/>
      <w:bookmarkStart w:id="541" w:name="_Toc494808549"/>
      <w:bookmarkStart w:id="542" w:name="_Toc494815920"/>
      <w:bookmarkStart w:id="543" w:name="_Toc494818781"/>
      <w:bookmarkStart w:id="544" w:name="_Toc494819048"/>
      <w:bookmarkStart w:id="545" w:name="_Toc500320893"/>
      <w:r>
        <w:t>New developments in communications</w:t>
      </w:r>
      <w:bookmarkEnd w:id="537"/>
      <w:bookmarkEnd w:id="538"/>
      <w:bookmarkEnd w:id="539"/>
      <w:bookmarkEnd w:id="540"/>
      <w:bookmarkEnd w:id="541"/>
      <w:bookmarkEnd w:id="542"/>
      <w:bookmarkEnd w:id="543"/>
      <w:bookmarkEnd w:id="544"/>
      <w:bookmarkEnd w:id="545"/>
      <w:r>
        <w:t xml:space="preserve"> </w:t>
      </w:r>
    </w:p>
    <w:p w14:paraId="01A0EEEA" w14:textId="77777777" w:rsidR="004D33D2" w:rsidRPr="008C4072" w:rsidRDefault="004D33D2" w:rsidP="004D33D2">
      <w:r w:rsidRPr="009616CA">
        <w:rPr>
          <w:lang w:val="en-US" w:eastAsia="en-US"/>
        </w:rPr>
        <w:t>Until very recently</w:t>
      </w:r>
      <w:r w:rsidR="00BC363E">
        <w:rPr>
          <w:lang w:val="en-US" w:eastAsia="en-US"/>
        </w:rPr>
        <w:t xml:space="preserve">, </w:t>
      </w:r>
      <w:r w:rsidRPr="009616CA">
        <w:rPr>
          <w:lang w:val="en-US" w:eastAsia="en-US"/>
        </w:rPr>
        <w:t xml:space="preserve">IoT was a </w:t>
      </w:r>
      <w:r>
        <w:rPr>
          <w:lang w:val="en-US" w:eastAsia="en-US"/>
        </w:rPr>
        <w:t>novel</w:t>
      </w:r>
      <w:r w:rsidRPr="009616CA">
        <w:rPr>
          <w:lang w:val="en-US" w:eastAsia="en-US"/>
        </w:rPr>
        <w:t xml:space="preserve"> concept still in its infancy. </w:t>
      </w:r>
      <w:r>
        <w:rPr>
          <w:lang w:val="en-US" w:eastAsia="en-US"/>
        </w:rPr>
        <w:t xml:space="preserve">This is quickly changing, with the IoT making its mark in </w:t>
      </w:r>
      <w:r w:rsidRPr="009616CA">
        <w:rPr>
          <w:lang w:val="en-US" w:eastAsia="en-US"/>
        </w:rPr>
        <w:t>Australia and across the globe</w:t>
      </w:r>
      <w:r>
        <w:rPr>
          <w:lang w:val="en-US" w:eastAsia="en-US"/>
        </w:rPr>
        <w:t xml:space="preserve">. </w:t>
      </w:r>
      <w:r w:rsidR="00645C9F">
        <w:rPr>
          <w:lang w:val="en-US" w:eastAsia="en-US"/>
        </w:rPr>
        <w:t xml:space="preserve">Activity in </w:t>
      </w:r>
      <w:r w:rsidRPr="00760B32">
        <w:rPr>
          <w:lang w:val="en-US" w:eastAsia="en-US"/>
        </w:rPr>
        <w:t>2016</w:t>
      </w:r>
      <w:r>
        <w:rPr>
          <w:lang w:val="en-US" w:eastAsia="en-US"/>
        </w:rPr>
        <w:t>–</w:t>
      </w:r>
      <w:r w:rsidRPr="00760B32">
        <w:rPr>
          <w:lang w:val="en-US" w:eastAsia="en-US"/>
        </w:rPr>
        <w:t>17 includ</w:t>
      </w:r>
      <w:r w:rsidR="00645C9F">
        <w:rPr>
          <w:lang w:val="en-US" w:eastAsia="en-US"/>
        </w:rPr>
        <w:t>ed</w:t>
      </w:r>
      <w:r w:rsidRPr="00760B32">
        <w:rPr>
          <w:lang w:val="en-US" w:eastAsia="en-US"/>
        </w:rPr>
        <w:t xml:space="preserve"> significant </w:t>
      </w:r>
      <w:r w:rsidRPr="008C63AA">
        <w:rPr>
          <w:lang w:val="en-US" w:eastAsia="en-US"/>
        </w:rPr>
        <w:t>announcements, and new technological and service developments highlighting rapid proliferation of IoT</w:t>
      </w:r>
      <w:r w:rsidR="00553BCF">
        <w:rPr>
          <w:lang w:val="en-US" w:eastAsia="en-US"/>
        </w:rPr>
        <w:noBreakHyphen/>
      </w:r>
      <w:r w:rsidRPr="008C63AA">
        <w:rPr>
          <w:lang w:val="en-US" w:eastAsia="en-US"/>
        </w:rPr>
        <w:t xml:space="preserve">related technologies. </w:t>
      </w:r>
    </w:p>
    <w:p w14:paraId="15FA28F4" w14:textId="77777777" w:rsidR="004D33D2" w:rsidRDefault="00287564" w:rsidP="004D33D2">
      <w:pPr>
        <w:pStyle w:val="Heading3"/>
      </w:pPr>
      <w:bookmarkStart w:id="546" w:name="_Toc494799353"/>
      <w:bookmarkStart w:id="547" w:name="_Toc494805656"/>
      <w:bookmarkStart w:id="548" w:name="_Toc494805885"/>
      <w:bookmarkStart w:id="549" w:name="_Toc494808115"/>
      <w:bookmarkStart w:id="550" w:name="_Toc494808550"/>
      <w:bookmarkStart w:id="551" w:name="_Toc494815921"/>
      <w:bookmarkStart w:id="552" w:name="_Toc494818782"/>
      <w:bookmarkStart w:id="553" w:name="_Toc494819049"/>
      <w:r>
        <w:t>Internet of Things</w:t>
      </w:r>
      <w:r w:rsidR="004D33D2" w:rsidRPr="00976689">
        <w:t xml:space="preserve"> </w:t>
      </w:r>
      <w:bookmarkEnd w:id="546"/>
      <w:bookmarkEnd w:id="547"/>
      <w:bookmarkEnd w:id="548"/>
      <w:bookmarkEnd w:id="549"/>
      <w:bookmarkEnd w:id="550"/>
      <w:bookmarkEnd w:id="551"/>
      <w:bookmarkEnd w:id="552"/>
      <w:bookmarkEnd w:id="553"/>
    </w:p>
    <w:p w14:paraId="3901D6FC" w14:textId="77777777" w:rsidR="004D33D2" w:rsidRDefault="004D33D2" w:rsidP="004D33D2">
      <w:pPr>
        <w:rPr>
          <w:lang w:val="en"/>
        </w:rPr>
      </w:pPr>
      <w:r>
        <w:rPr>
          <w:lang w:val="en"/>
        </w:rPr>
        <w:t xml:space="preserve">The IoT </w:t>
      </w:r>
      <w:r w:rsidR="00BC363E">
        <w:rPr>
          <w:lang w:val="en"/>
        </w:rPr>
        <w:t>is</w:t>
      </w:r>
      <w:r>
        <w:rPr>
          <w:lang w:val="en"/>
        </w:rPr>
        <w:t xml:space="preserve"> </w:t>
      </w:r>
      <w:r w:rsidR="00944E38">
        <w:rPr>
          <w:lang w:val="en"/>
        </w:rPr>
        <w:t>a</w:t>
      </w:r>
      <w:r>
        <w:rPr>
          <w:lang w:val="en"/>
        </w:rPr>
        <w:t xml:space="preserve"> network of </w:t>
      </w:r>
      <w:r>
        <w:t>devices and objects that combine internet connectivity, data analytics and automation to achieve improved efficiency and functionality</w:t>
      </w:r>
      <w:r w:rsidR="0001077C">
        <w:t>.</w:t>
      </w:r>
      <w:r>
        <w:t xml:space="preserve"> Telstra describes the IoT as 'an </w:t>
      </w:r>
      <w:r>
        <w:rPr>
          <w:lang w:val="en"/>
        </w:rPr>
        <w:t>evolution of Machine to Machine (M2M) technology, where connectivity merged with cloud computing and big data’.</w:t>
      </w:r>
      <w:r>
        <w:rPr>
          <w:rStyle w:val="EndnoteReference"/>
          <w:lang w:val="en"/>
        </w:rPr>
        <w:endnoteReference w:id="89"/>
      </w:r>
      <w:r>
        <w:rPr>
          <w:lang w:val="en"/>
        </w:rPr>
        <w:t xml:space="preserve"> It is widely regarded as the next stage in digital communications convergence, presenting unprecedented opportunities for businesses, consumers and the community at large. </w:t>
      </w:r>
    </w:p>
    <w:p w14:paraId="16A14553" w14:textId="77777777" w:rsidR="004D33D2" w:rsidRDefault="000D1B02" w:rsidP="004D33D2">
      <w:pPr>
        <w:rPr>
          <w:lang w:val="en"/>
        </w:rPr>
      </w:pPr>
      <w:r>
        <w:rPr>
          <w:lang w:val="en"/>
        </w:rPr>
        <w:t>A</w:t>
      </w:r>
      <w:r w:rsidR="004D33D2">
        <w:rPr>
          <w:lang w:val="en"/>
        </w:rPr>
        <w:t>doption of the IoT in Australia is growing rapidly, with the technology being embraced across industries and locations, from smart bins in Bondi</w:t>
      </w:r>
      <w:r w:rsidR="004D33D2">
        <w:rPr>
          <w:rStyle w:val="EndnoteReference"/>
          <w:lang w:val="en"/>
        </w:rPr>
        <w:endnoteReference w:id="90"/>
      </w:r>
      <w:r w:rsidR="004D33D2">
        <w:rPr>
          <w:lang w:val="en"/>
        </w:rPr>
        <w:t xml:space="preserve"> to monitoring water tanks on rural properties.</w:t>
      </w:r>
      <w:r w:rsidR="004D33D2">
        <w:rPr>
          <w:rStyle w:val="EndnoteReference"/>
          <w:lang w:val="en"/>
        </w:rPr>
        <w:endnoteReference w:id="91"/>
      </w:r>
      <w:r w:rsidR="004D33D2">
        <w:rPr>
          <w:lang w:val="en"/>
        </w:rPr>
        <w:t xml:space="preserve"> </w:t>
      </w:r>
    </w:p>
    <w:p w14:paraId="43ED2CC3" w14:textId="77777777" w:rsidR="004D33D2" w:rsidRDefault="004D33D2" w:rsidP="004D33D2">
      <w:pPr>
        <w:rPr>
          <w:lang w:val="en"/>
        </w:rPr>
      </w:pPr>
      <w:r>
        <w:rPr>
          <w:lang w:val="en"/>
        </w:rPr>
        <w:t>Globally, the number of IoT platform vendors increased to 450 this year, up 25 per cent on last year. Most IoT platforms focused on industrial and manufacturing solutions (32 per cent), followed by Smart City (21</w:t>
      </w:r>
      <w:r w:rsidR="00C62BD5">
        <w:rPr>
          <w:lang w:val="en"/>
        </w:rPr>
        <w:t> </w:t>
      </w:r>
      <w:r>
        <w:rPr>
          <w:lang w:val="en"/>
        </w:rPr>
        <w:t>per cent) and Smart Home segments (21 per cent).</w:t>
      </w:r>
      <w:r>
        <w:rPr>
          <w:rStyle w:val="EndnoteReference"/>
          <w:lang w:val="en"/>
        </w:rPr>
        <w:endnoteReference w:id="92"/>
      </w:r>
      <w:r>
        <w:rPr>
          <w:lang w:val="en"/>
        </w:rPr>
        <w:t xml:space="preserve"> </w:t>
      </w:r>
    </w:p>
    <w:p w14:paraId="7CDB03BC" w14:textId="77777777" w:rsidR="004D33D2" w:rsidRPr="002B20A3" w:rsidRDefault="004D33D2" w:rsidP="004D33D2">
      <w:pPr>
        <w:rPr>
          <w:lang w:val="en"/>
        </w:rPr>
      </w:pPr>
      <w:r>
        <w:rPr>
          <w:lang w:val="en"/>
        </w:rPr>
        <w:t>Vodafone IoT Barometer 2016, a global study of business use of IoT, found that 28 per cent of organisations already use the IoT, and a further 35 per cent are less than a year away from launching their own IoT projects.</w:t>
      </w:r>
      <w:r>
        <w:rPr>
          <w:rStyle w:val="EndnoteReference"/>
          <w:lang w:val="en"/>
        </w:rPr>
        <w:endnoteReference w:id="93"/>
      </w:r>
      <w:r>
        <w:rPr>
          <w:lang w:val="en"/>
        </w:rPr>
        <w:t xml:space="preserve"> It is forecast that 29 billion devices will be connected </w:t>
      </w:r>
      <w:r w:rsidR="00D574E9">
        <w:rPr>
          <w:lang w:val="en"/>
        </w:rPr>
        <w:t xml:space="preserve">worldwide </w:t>
      </w:r>
      <w:r>
        <w:rPr>
          <w:lang w:val="en"/>
        </w:rPr>
        <w:t>by 2022, of which 18 billion will relate to the IoT.</w:t>
      </w:r>
      <w:r>
        <w:rPr>
          <w:rStyle w:val="EndnoteReference"/>
          <w:lang w:val="en"/>
        </w:rPr>
        <w:endnoteReference w:id="94"/>
      </w:r>
      <w:r>
        <w:rPr>
          <w:lang w:val="en"/>
        </w:rPr>
        <w:t xml:space="preserve"> </w:t>
      </w:r>
    </w:p>
    <w:p w14:paraId="792B4DC3" w14:textId="77777777" w:rsidR="004D33D2" w:rsidRPr="00DC2B04" w:rsidRDefault="004D33D2" w:rsidP="00DC2B04">
      <w:pPr>
        <w:pStyle w:val="Bodysubheader0"/>
      </w:pPr>
      <w:bookmarkStart w:id="554" w:name="_Toc494799354"/>
      <w:bookmarkStart w:id="555" w:name="_Toc494805657"/>
      <w:bookmarkStart w:id="556" w:name="_Toc494805886"/>
      <w:bookmarkStart w:id="557" w:name="_Toc494808116"/>
      <w:bookmarkStart w:id="558" w:name="_Toc494808551"/>
      <w:bookmarkStart w:id="559" w:name="_Toc494815922"/>
      <w:bookmarkStart w:id="560" w:name="_Toc494818783"/>
      <w:bookmarkStart w:id="561" w:name="_Toc494819050"/>
      <w:r w:rsidRPr="00DC2B04">
        <w:t>Smart cities and communities</w:t>
      </w:r>
      <w:bookmarkEnd w:id="554"/>
      <w:bookmarkEnd w:id="555"/>
      <w:bookmarkEnd w:id="556"/>
      <w:bookmarkEnd w:id="557"/>
      <w:bookmarkEnd w:id="558"/>
      <w:bookmarkEnd w:id="559"/>
      <w:bookmarkEnd w:id="560"/>
      <w:bookmarkEnd w:id="561"/>
      <w:r w:rsidRPr="00DC2B04">
        <w:t xml:space="preserve"> </w:t>
      </w:r>
    </w:p>
    <w:p w14:paraId="0D532575" w14:textId="7DDCD974" w:rsidR="004D33D2" w:rsidRDefault="004D33D2" w:rsidP="004D33D2">
      <w:pPr>
        <w:rPr>
          <w:lang w:val="en"/>
        </w:rPr>
      </w:pPr>
      <w:r>
        <w:rPr>
          <w:lang w:val="en"/>
        </w:rPr>
        <w:t xml:space="preserve">The Australian </w:t>
      </w:r>
      <w:r w:rsidR="004F5B61">
        <w:rPr>
          <w:lang w:val="en"/>
        </w:rPr>
        <w:t>G</w:t>
      </w:r>
      <w:r>
        <w:rPr>
          <w:lang w:val="en"/>
        </w:rPr>
        <w:t xml:space="preserve">overnment is committed to fostering smart city development and has launched the </w:t>
      </w:r>
      <w:r w:rsidRPr="00D035FB">
        <w:rPr>
          <w:i/>
          <w:lang w:val="en"/>
        </w:rPr>
        <w:t>Smart</w:t>
      </w:r>
      <w:r w:rsidR="005A10D6">
        <w:rPr>
          <w:i/>
          <w:lang w:val="en"/>
        </w:rPr>
        <w:t> </w:t>
      </w:r>
      <w:r w:rsidRPr="00D035FB">
        <w:rPr>
          <w:i/>
          <w:lang w:val="en"/>
        </w:rPr>
        <w:t>Cities Plan</w:t>
      </w:r>
      <w:r w:rsidR="00C83CB7">
        <w:rPr>
          <w:lang w:val="en"/>
        </w:rPr>
        <w:t>, led by the Department of Prime Minister and Cabinet,</w:t>
      </w:r>
      <w:r>
        <w:rPr>
          <w:lang w:val="en"/>
        </w:rPr>
        <w:t xml:space="preserve"> to support productive and accessible cities that attract talent, encourage innovation and create growth. The plan is centered on three pillars of smart investment, smart policy and smart technology, and will apply to both metropolitan and regional cities.</w:t>
      </w:r>
      <w:r>
        <w:rPr>
          <w:rStyle w:val="EndnoteReference"/>
          <w:lang w:val="en"/>
        </w:rPr>
        <w:endnoteReference w:id="95"/>
      </w:r>
      <w:r>
        <w:rPr>
          <w:lang w:val="en"/>
        </w:rPr>
        <w:t xml:space="preserve"> </w:t>
      </w:r>
    </w:p>
    <w:p w14:paraId="49D0B778" w14:textId="4234B85A" w:rsidR="004D33D2" w:rsidRDefault="004D33D2" w:rsidP="004D33D2">
      <w:pPr>
        <w:rPr>
          <w:lang w:val="en"/>
        </w:rPr>
      </w:pPr>
      <w:r>
        <w:rPr>
          <w:lang w:val="en"/>
        </w:rPr>
        <w:t>The City of Wollongong is investing in ‘smart city’ technology with the launch of a city-wide low-power, wide area network (LoRaWAN), provided by the University of Wollongong</w:t>
      </w:r>
      <w:r w:rsidR="004F5B61">
        <w:rPr>
          <w:lang w:val="en"/>
        </w:rPr>
        <w:t>,</w:t>
      </w:r>
      <w:r>
        <w:rPr>
          <w:lang w:val="en"/>
        </w:rPr>
        <w:t xml:space="preserve"> together with Meshed Pty Ltd and The Things Network.</w:t>
      </w:r>
      <w:r>
        <w:rPr>
          <w:rStyle w:val="EndnoteReference"/>
          <w:lang w:val="en"/>
        </w:rPr>
        <w:endnoteReference w:id="96"/>
      </w:r>
      <w:r>
        <w:rPr>
          <w:lang w:val="en"/>
        </w:rPr>
        <w:t xml:space="preserve"> This technology is highly suited to the IoT, given that it is low battery, long</w:t>
      </w:r>
      <w:r w:rsidR="004F3D89">
        <w:rPr>
          <w:lang w:val="en"/>
        </w:rPr>
        <w:t> </w:t>
      </w:r>
      <w:r>
        <w:rPr>
          <w:lang w:val="en"/>
        </w:rPr>
        <w:t>range and low bandwidth, allowing for devices to connect to the internet without 3G or Wi-Fi.</w:t>
      </w:r>
      <w:r>
        <w:rPr>
          <w:rStyle w:val="EndnoteReference"/>
          <w:lang w:val="en"/>
        </w:rPr>
        <w:endnoteReference w:id="97"/>
      </w:r>
      <w:r>
        <w:rPr>
          <w:lang w:val="en"/>
        </w:rPr>
        <w:t xml:space="preserve"> At February 2017, LoRaWAN technology was deployed in 11 of the top 20 cities in Australia.</w:t>
      </w:r>
      <w:r>
        <w:rPr>
          <w:rStyle w:val="EndnoteReference"/>
          <w:lang w:val="en"/>
        </w:rPr>
        <w:endnoteReference w:id="98"/>
      </w:r>
    </w:p>
    <w:p w14:paraId="671B58BF" w14:textId="77777777" w:rsidR="004D33D2" w:rsidRDefault="004D33D2" w:rsidP="004D33D2">
      <w:pPr>
        <w:rPr>
          <w:lang w:val="en"/>
        </w:rPr>
      </w:pPr>
      <w:r>
        <w:rPr>
          <w:lang w:val="en"/>
        </w:rPr>
        <w:t xml:space="preserve">Industry organisations are also seeking to develop a framework for development of smart communities. </w:t>
      </w:r>
      <w:r w:rsidR="0096674E">
        <w:rPr>
          <w:lang w:val="en"/>
        </w:rPr>
        <w:t>For example, t</w:t>
      </w:r>
      <w:r>
        <w:rPr>
          <w:lang w:val="en"/>
        </w:rPr>
        <w:t>he Smart Cities Council Australia and New Zealand (SCCANZ) announced in July 2017 it was working on</w:t>
      </w:r>
      <w:r w:rsidDel="005D03F2">
        <w:rPr>
          <w:lang w:val="en"/>
        </w:rPr>
        <w:t xml:space="preserve"> </w:t>
      </w:r>
      <w:r>
        <w:rPr>
          <w:lang w:val="en"/>
        </w:rPr>
        <w:t>a code for smart communities, to serve as a reference guide for local government and the urban development industry. A draft of the code is to be launched in October 2017.</w:t>
      </w:r>
      <w:r w:rsidDel="005D03F2">
        <w:rPr>
          <w:rStyle w:val="EndnoteReference"/>
          <w:lang w:val="en"/>
        </w:rPr>
        <w:t xml:space="preserve"> </w:t>
      </w:r>
    </w:p>
    <w:p w14:paraId="1F2895A5" w14:textId="77777777" w:rsidR="0096674E" w:rsidRDefault="004D33D2" w:rsidP="00353E16">
      <w:pPr>
        <w:rPr>
          <w:lang w:val="en"/>
        </w:rPr>
      </w:pPr>
      <w:r w:rsidDel="005D03F2">
        <w:rPr>
          <w:lang w:val="en"/>
        </w:rPr>
        <w:t>T</w:t>
      </w:r>
      <w:r>
        <w:rPr>
          <w:lang w:val="en"/>
        </w:rPr>
        <w:t xml:space="preserve">he Australian Smart Communities Association (ASCA) has also been established as the peak industry association in Australia for digital, sharing and interconnected communities. The association aims to facilitate, promote and advise on how communities can build livable and sustainable smart cities. </w:t>
      </w:r>
      <w:bookmarkStart w:id="562" w:name="_Toc494799355"/>
      <w:bookmarkStart w:id="563" w:name="_Toc494805658"/>
      <w:bookmarkStart w:id="564" w:name="_Toc494805887"/>
      <w:bookmarkStart w:id="565" w:name="_Toc494808117"/>
      <w:bookmarkStart w:id="566" w:name="_Toc494808552"/>
      <w:bookmarkStart w:id="567" w:name="_Toc494815923"/>
      <w:bookmarkStart w:id="568" w:name="_Toc494818784"/>
      <w:bookmarkStart w:id="569" w:name="_Toc494819051"/>
    </w:p>
    <w:p w14:paraId="730190E3" w14:textId="77777777" w:rsidR="004D33D2" w:rsidRPr="00DC2B04" w:rsidRDefault="004D33D2" w:rsidP="00353E16">
      <w:pPr>
        <w:pStyle w:val="Bodysubheader0"/>
      </w:pPr>
      <w:r w:rsidRPr="00DC2B04">
        <w:t>Smart homes</w:t>
      </w:r>
      <w:bookmarkEnd w:id="562"/>
      <w:bookmarkEnd w:id="563"/>
      <w:bookmarkEnd w:id="564"/>
      <w:bookmarkEnd w:id="565"/>
      <w:bookmarkEnd w:id="566"/>
      <w:bookmarkEnd w:id="567"/>
      <w:bookmarkEnd w:id="568"/>
      <w:bookmarkEnd w:id="569"/>
    </w:p>
    <w:p w14:paraId="1E204C47" w14:textId="77777777" w:rsidR="004D33D2" w:rsidRDefault="004D33D2" w:rsidP="004D33D2">
      <w:pPr>
        <w:rPr>
          <w:lang w:val="en"/>
        </w:rPr>
      </w:pPr>
      <w:r>
        <w:rPr>
          <w:lang w:val="en"/>
        </w:rPr>
        <w:t>Smart homes offer varying degrees of automated assistance</w:t>
      </w:r>
      <w:r>
        <w:rPr>
          <w:rStyle w:val="EndnoteReference"/>
          <w:lang w:val="en"/>
        </w:rPr>
        <w:endnoteReference w:id="99"/>
      </w:r>
      <w:r w:rsidR="0096674E">
        <w:rPr>
          <w:lang w:val="en"/>
        </w:rPr>
        <w:t>,</w:t>
      </w:r>
      <w:r>
        <w:rPr>
          <w:lang w:val="en"/>
        </w:rPr>
        <w:t xml:space="preserve"> comprising internet-connected devices that can be monitored and controlled from a remote location.</w:t>
      </w:r>
      <w:r>
        <w:rPr>
          <w:rStyle w:val="EndnoteReference"/>
          <w:lang w:val="en"/>
        </w:rPr>
        <w:endnoteReference w:id="100"/>
      </w:r>
      <w:r>
        <w:rPr>
          <w:lang w:val="en"/>
        </w:rPr>
        <w:t xml:space="preserve"> Examples of smart</w:t>
      </w:r>
      <w:r w:rsidR="0096674E">
        <w:rPr>
          <w:lang w:val="en"/>
        </w:rPr>
        <w:t>-</w:t>
      </w:r>
      <w:r>
        <w:rPr>
          <w:lang w:val="en"/>
        </w:rPr>
        <w:t xml:space="preserve">home products available on the market include smart switches, air purifiers, smoke detectors, smart security systems, smart TVs, fridges, dishwashers and voice-activated smart assistants. </w:t>
      </w:r>
    </w:p>
    <w:p w14:paraId="581B045A" w14:textId="77777777" w:rsidR="004D33D2" w:rsidRDefault="004D33D2" w:rsidP="004D33D2">
      <w:pPr>
        <w:rPr>
          <w:lang w:val="en"/>
        </w:rPr>
      </w:pPr>
      <w:r>
        <w:rPr>
          <w:lang w:val="en"/>
        </w:rPr>
        <w:t>The smart</w:t>
      </w:r>
      <w:r w:rsidR="0096674E">
        <w:rPr>
          <w:lang w:val="en"/>
        </w:rPr>
        <w:t>-</w:t>
      </w:r>
      <w:r>
        <w:rPr>
          <w:lang w:val="en"/>
        </w:rPr>
        <w:t>home market is still emerging</w:t>
      </w:r>
      <w:r w:rsidR="0096674E">
        <w:rPr>
          <w:lang w:val="en"/>
        </w:rPr>
        <w:t>. D</w:t>
      </w:r>
      <w:r>
        <w:rPr>
          <w:lang w:val="en"/>
        </w:rPr>
        <w:t>emand is expected to be driven by awareness and perceived benefits of smart</w:t>
      </w:r>
      <w:r w:rsidR="0096674E">
        <w:rPr>
          <w:lang w:val="en"/>
        </w:rPr>
        <w:t>-</w:t>
      </w:r>
      <w:r>
        <w:rPr>
          <w:lang w:val="en"/>
        </w:rPr>
        <w:t xml:space="preserve">home technology, with trust and perceived security also important factors. The 2017 ACMA </w:t>
      </w:r>
      <w:r w:rsidR="0096674E">
        <w:rPr>
          <w:lang w:val="en"/>
        </w:rPr>
        <w:t>c</w:t>
      </w:r>
      <w:r>
        <w:rPr>
          <w:lang w:val="en"/>
        </w:rPr>
        <w:t>onsumer survey found the smart TV was the most commonly reported smart device in the home</w:t>
      </w:r>
      <w:r>
        <w:rPr>
          <w:rStyle w:val="EndnoteReference"/>
          <w:lang w:val="en"/>
        </w:rPr>
        <w:endnoteReference w:id="101"/>
      </w:r>
      <w:r w:rsidR="0096674E">
        <w:rPr>
          <w:lang w:val="en"/>
        </w:rPr>
        <w:t>; at June 2017,</w:t>
      </w:r>
      <w:r>
        <w:rPr>
          <w:lang w:val="en"/>
        </w:rPr>
        <w:t xml:space="preserve"> more than one</w:t>
      </w:r>
      <w:r w:rsidR="0096674E">
        <w:rPr>
          <w:lang w:val="en"/>
        </w:rPr>
        <w:t>-</w:t>
      </w:r>
      <w:r>
        <w:rPr>
          <w:lang w:val="en"/>
        </w:rPr>
        <w:t xml:space="preserve">third of Australian adults (36 per cent) </w:t>
      </w:r>
      <w:r w:rsidR="0096674E">
        <w:rPr>
          <w:lang w:val="en"/>
        </w:rPr>
        <w:t xml:space="preserve">had </w:t>
      </w:r>
      <w:r>
        <w:rPr>
          <w:lang w:val="en"/>
        </w:rPr>
        <w:t xml:space="preserve">a smart TV connected to the internet at home. </w:t>
      </w:r>
    </w:p>
    <w:p w14:paraId="1F82D241" w14:textId="77777777" w:rsidR="004D33D2" w:rsidRDefault="004D33D2" w:rsidP="004D33D2">
      <w:pPr>
        <w:rPr>
          <w:lang w:val="en"/>
        </w:rPr>
      </w:pPr>
      <w:r>
        <w:rPr>
          <w:lang w:val="en"/>
        </w:rPr>
        <w:t>The next most common smart</w:t>
      </w:r>
      <w:r w:rsidR="0096674E">
        <w:rPr>
          <w:lang w:val="en"/>
        </w:rPr>
        <w:t>-</w:t>
      </w:r>
      <w:r>
        <w:rPr>
          <w:lang w:val="en"/>
        </w:rPr>
        <w:t>home product category included security cameras and systems</w:t>
      </w:r>
      <w:r w:rsidR="00DC2B04">
        <w:rPr>
          <w:lang w:val="en"/>
        </w:rPr>
        <w:t>—f</w:t>
      </w:r>
      <w:r>
        <w:rPr>
          <w:lang w:val="en"/>
        </w:rPr>
        <w:t>our per cent of Australians had some type of smart security in the home. Other smart</w:t>
      </w:r>
      <w:r w:rsidR="00DC2B04">
        <w:rPr>
          <w:lang w:val="en"/>
        </w:rPr>
        <w:t>-</w:t>
      </w:r>
      <w:r>
        <w:rPr>
          <w:lang w:val="en"/>
        </w:rPr>
        <w:t>home products</w:t>
      </w:r>
      <w:r w:rsidR="00DC2B04">
        <w:rPr>
          <w:lang w:val="en"/>
        </w:rPr>
        <w:t>,</w:t>
      </w:r>
      <w:r>
        <w:rPr>
          <w:lang w:val="en"/>
        </w:rPr>
        <w:t xml:space="preserve"> such as smart dishwashers, fridges, lighting, and heating and cooling systems</w:t>
      </w:r>
      <w:r w:rsidR="00DC2B04">
        <w:rPr>
          <w:lang w:val="en"/>
        </w:rPr>
        <w:t>,</w:t>
      </w:r>
      <w:r>
        <w:rPr>
          <w:lang w:val="en"/>
        </w:rPr>
        <w:t xml:space="preserve"> were used by no more than two</w:t>
      </w:r>
      <w:r w:rsidR="00DC2B04">
        <w:rPr>
          <w:lang w:val="en"/>
        </w:rPr>
        <w:t> </w:t>
      </w:r>
      <w:r>
        <w:rPr>
          <w:lang w:val="en"/>
        </w:rPr>
        <w:t xml:space="preserve">per cent of Australians. </w:t>
      </w:r>
    </w:p>
    <w:p w14:paraId="78C8CE1E" w14:textId="77777777" w:rsidR="004D33D2" w:rsidRDefault="004D33D2" w:rsidP="004D33D2">
      <w:pPr>
        <w:rPr>
          <w:lang w:val="en"/>
        </w:rPr>
      </w:pPr>
      <w:r>
        <w:rPr>
          <w:lang w:val="en"/>
        </w:rPr>
        <w:t>In July 2017, Telstra announced a partnership with Google to offer its customers smart</w:t>
      </w:r>
      <w:r w:rsidR="00DC2B04">
        <w:rPr>
          <w:lang w:val="en"/>
        </w:rPr>
        <w:t>-</w:t>
      </w:r>
      <w:r>
        <w:rPr>
          <w:lang w:val="en"/>
        </w:rPr>
        <w:t xml:space="preserve">home technology using Google Home as a package with Telstra’s broadband services. Google Home is a voice-activated speaker that allows the users to manipulate lights and appliances, </w:t>
      </w:r>
      <w:r w:rsidR="00DC2B04">
        <w:rPr>
          <w:lang w:val="en"/>
        </w:rPr>
        <w:t xml:space="preserve">and </w:t>
      </w:r>
      <w:r>
        <w:rPr>
          <w:lang w:val="en"/>
        </w:rPr>
        <w:t xml:space="preserve">request simple web-based information, and </w:t>
      </w:r>
      <w:r w:rsidR="00DC2B04">
        <w:rPr>
          <w:lang w:val="en"/>
        </w:rPr>
        <w:t xml:space="preserve">it </w:t>
      </w:r>
      <w:r>
        <w:rPr>
          <w:lang w:val="en"/>
        </w:rPr>
        <w:t>doubles as an audio speaker.</w:t>
      </w:r>
      <w:r>
        <w:rPr>
          <w:rStyle w:val="EndnoteReference"/>
          <w:lang w:val="en"/>
        </w:rPr>
        <w:endnoteReference w:id="102"/>
      </w:r>
      <w:r>
        <w:rPr>
          <w:lang w:val="en"/>
        </w:rPr>
        <w:t xml:space="preserve"> The launch of this service followed the introduction of </w:t>
      </w:r>
      <w:r w:rsidR="00DC2B04">
        <w:rPr>
          <w:lang w:val="en"/>
        </w:rPr>
        <w:t xml:space="preserve">Telstra’s </w:t>
      </w:r>
      <w:r>
        <w:rPr>
          <w:lang w:val="en"/>
        </w:rPr>
        <w:t>smart</w:t>
      </w:r>
      <w:r w:rsidR="00DC2B04">
        <w:rPr>
          <w:lang w:val="en"/>
        </w:rPr>
        <w:t>-</w:t>
      </w:r>
      <w:r>
        <w:rPr>
          <w:lang w:val="en"/>
        </w:rPr>
        <w:t>home starter kits in November 2016, which focused on security and home energy management.</w:t>
      </w:r>
      <w:r>
        <w:rPr>
          <w:rStyle w:val="EndnoteReference"/>
          <w:lang w:val="en"/>
        </w:rPr>
        <w:endnoteReference w:id="103"/>
      </w:r>
      <w:r>
        <w:rPr>
          <w:lang w:val="en"/>
        </w:rPr>
        <w:t xml:space="preserve"> </w:t>
      </w:r>
    </w:p>
    <w:p w14:paraId="4A98522E" w14:textId="77777777" w:rsidR="004D33D2" w:rsidRPr="0048652A" w:rsidRDefault="004D33D2" w:rsidP="00870332">
      <w:pPr>
        <w:pStyle w:val="Bodysubheader0"/>
      </w:pPr>
      <w:bookmarkStart w:id="570" w:name="_Toc494815924"/>
      <w:bookmarkStart w:id="571" w:name="_Toc494818785"/>
      <w:bookmarkStart w:id="572" w:name="_Toc494819052"/>
      <w:bookmarkStart w:id="573" w:name="_Toc494799356"/>
      <w:bookmarkStart w:id="574" w:name="_Toc494805659"/>
      <w:bookmarkStart w:id="575" w:name="_Toc494805888"/>
      <w:bookmarkStart w:id="576" w:name="_Toc494808118"/>
      <w:bookmarkStart w:id="577" w:name="_Toc494808553"/>
      <w:r>
        <w:t>Smart cars</w:t>
      </w:r>
      <w:bookmarkEnd w:id="570"/>
      <w:bookmarkEnd w:id="571"/>
      <w:bookmarkEnd w:id="572"/>
    </w:p>
    <w:p w14:paraId="50957D29" w14:textId="77777777" w:rsidR="004D33D2" w:rsidRDefault="004D33D2" w:rsidP="004D33D2">
      <w:pPr>
        <w:rPr>
          <w:lang w:val="en"/>
        </w:rPr>
      </w:pPr>
      <w:r>
        <w:rPr>
          <w:lang w:val="en"/>
        </w:rPr>
        <w:t xml:space="preserve">On-demand GPS data and Wi-Fi connectivity are services already available to drivers. With the introduction of </w:t>
      </w:r>
      <w:r w:rsidR="00DC2B04">
        <w:rPr>
          <w:lang w:val="en"/>
        </w:rPr>
        <w:t xml:space="preserve">5G </w:t>
      </w:r>
      <w:r>
        <w:rPr>
          <w:lang w:val="en"/>
        </w:rPr>
        <w:t>next</w:t>
      </w:r>
      <w:r w:rsidR="00DC2B04">
        <w:rPr>
          <w:lang w:val="en"/>
        </w:rPr>
        <w:t>-</w:t>
      </w:r>
      <w:r>
        <w:rPr>
          <w:lang w:val="en"/>
        </w:rPr>
        <w:t>generation network technology, these services are expected to advance to predictive vehicle maintenance, capturing real-time sensor data, and autonomous vehicle control, including cooperative collision avoidance.</w:t>
      </w:r>
      <w:r>
        <w:rPr>
          <w:rStyle w:val="EndnoteReference"/>
          <w:lang w:val="en"/>
        </w:rPr>
        <w:endnoteReference w:id="104"/>
      </w:r>
    </w:p>
    <w:p w14:paraId="11EF6E8E" w14:textId="77777777" w:rsidR="004D33D2" w:rsidRDefault="004D33D2" w:rsidP="004D33D2">
      <w:pPr>
        <w:rPr>
          <w:lang w:val="en"/>
        </w:rPr>
      </w:pPr>
      <w:r>
        <w:rPr>
          <w:lang w:val="en"/>
        </w:rPr>
        <w:t xml:space="preserve">In July 2017, Telstra conducted the first Australian trial of Vehicle-to-Pedestrian technology </w:t>
      </w:r>
      <w:r w:rsidDel="00C1488C">
        <w:rPr>
          <w:lang w:val="en"/>
        </w:rPr>
        <w:t xml:space="preserve">in </w:t>
      </w:r>
      <w:r>
        <w:rPr>
          <w:lang w:val="en"/>
        </w:rPr>
        <w:t xml:space="preserve">partnership with Cohda Wireless and the South Australian </w:t>
      </w:r>
      <w:r w:rsidR="00DC2B04">
        <w:rPr>
          <w:lang w:val="en"/>
        </w:rPr>
        <w:t>G</w:t>
      </w:r>
      <w:r>
        <w:rPr>
          <w:lang w:val="en"/>
        </w:rPr>
        <w:t>overnment. It aims to reduce the number of accidents by alerting road users to imminent danger using real-time communication over the mobile network.</w:t>
      </w:r>
      <w:r>
        <w:rPr>
          <w:rStyle w:val="EndnoteReference"/>
          <w:lang w:val="en"/>
        </w:rPr>
        <w:endnoteReference w:id="105"/>
      </w:r>
      <w:r>
        <w:rPr>
          <w:lang w:val="en"/>
        </w:rPr>
        <w:t xml:space="preserve"> </w:t>
      </w:r>
    </w:p>
    <w:p w14:paraId="2970FD34" w14:textId="77777777" w:rsidR="004D33D2" w:rsidRPr="0048652A" w:rsidRDefault="004D33D2" w:rsidP="00870332">
      <w:pPr>
        <w:pStyle w:val="Bodysubheader0"/>
      </w:pPr>
      <w:bookmarkStart w:id="578" w:name="_Toc494815925"/>
      <w:bookmarkStart w:id="579" w:name="_Toc494818786"/>
      <w:bookmarkStart w:id="580" w:name="_Toc494819053"/>
      <w:r w:rsidRPr="0048652A">
        <w:t>Mobile operators and IoT</w:t>
      </w:r>
      <w:bookmarkEnd w:id="573"/>
      <w:bookmarkEnd w:id="574"/>
      <w:bookmarkEnd w:id="575"/>
      <w:bookmarkEnd w:id="576"/>
      <w:bookmarkEnd w:id="577"/>
      <w:bookmarkEnd w:id="578"/>
      <w:bookmarkEnd w:id="579"/>
      <w:bookmarkEnd w:id="580"/>
    </w:p>
    <w:p w14:paraId="6EAE6F88" w14:textId="77777777" w:rsidR="004D33D2" w:rsidRDefault="004D33D2" w:rsidP="004D33D2">
      <w:pPr>
        <w:rPr>
          <w:lang w:val="en"/>
        </w:rPr>
      </w:pPr>
      <w:r>
        <w:rPr>
          <w:lang w:val="en"/>
        </w:rPr>
        <w:t xml:space="preserve">In February 2017, Telstra announced plans to build </w:t>
      </w:r>
      <w:r w:rsidR="00287564">
        <w:rPr>
          <w:lang w:val="en"/>
        </w:rPr>
        <w:t xml:space="preserve">a </w:t>
      </w:r>
      <w:r>
        <w:rPr>
          <w:lang w:val="en"/>
        </w:rPr>
        <w:t>national IoT network in partnership with Ericsson, with trials being held in Melbourne and Tasmania.</w:t>
      </w:r>
      <w:r>
        <w:rPr>
          <w:rStyle w:val="EndnoteReference"/>
          <w:lang w:val="en"/>
        </w:rPr>
        <w:endnoteReference w:id="106"/>
      </w:r>
      <w:r>
        <w:rPr>
          <w:lang w:val="en"/>
        </w:rPr>
        <w:t xml:space="preserve"> Switched on in August 2017, Telstra’s IoT network had more than 2.1 million IoT devices connected within a month, amid claims the telco’s network was possibly the largest in the world.</w:t>
      </w:r>
      <w:r>
        <w:rPr>
          <w:rStyle w:val="EndnoteReference"/>
          <w:lang w:val="en"/>
        </w:rPr>
        <w:endnoteReference w:id="107"/>
      </w:r>
      <w:r w:rsidDel="00687297">
        <w:rPr>
          <w:lang w:val="en"/>
        </w:rPr>
        <w:t xml:space="preserve"> </w:t>
      </w:r>
      <w:r>
        <w:rPr>
          <w:lang w:val="en"/>
        </w:rPr>
        <w:t xml:space="preserve">CAT-M1 technology </w:t>
      </w:r>
      <w:r w:rsidDel="00687297">
        <w:rPr>
          <w:lang w:val="en"/>
        </w:rPr>
        <w:t xml:space="preserve">is </w:t>
      </w:r>
      <w:r>
        <w:rPr>
          <w:lang w:val="en"/>
        </w:rPr>
        <w:t>providing the platform for further expected growth in IoT.</w:t>
      </w:r>
      <w:r>
        <w:rPr>
          <w:rStyle w:val="EndnoteReference"/>
          <w:lang w:val="en"/>
        </w:rPr>
        <w:endnoteReference w:id="108"/>
      </w:r>
    </w:p>
    <w:p w14:paraId="34F9A4BA" w14:textId="77777777" w:rsidR="004D33D2" w:rsidRDefault="004D33D2" w:rsidP="004D33D2">
      <w:pPr>
        <w:rPr>
          <w:lang w:val="en"/>
        </w:rPr>
      </w:pPr>
      <w:r>
        <w:rPr>
          <w:lang w:val="en"/>
        </w:rPr>
        <w:t xml:space="preserve">In May 2017, Telstra launched </w:t>
      </w:r>
      <w:r w:rsidR="004C380B">
        <w:rPr>
          <w:lang w:val="en"/>
        </w:rPr>
        <w:t xml:space="preserve">the </w:t>
      </w:r>
      <w:r>
        <w:rPr>
          <w:lang w:val="en"/>
        </w:rPr>
        <w:t>publicly</w:t>
      </w:r>
      <w:r w:rsidR="004C380B">
        <w:rPr>
          <w:lang w:val="en"/>
        </w:rPr>
        <w:t xml:space="preserve"> </w:t>
      </w:r>
      <w:r>
        <w:rPr>
          <w:lang w:val="en"/>
        </w:rPr>
        <w:t xml:space="preserve">accessible </w:t>
      </w:r>
      <w:r w:rsidR="004C380B">
        <w:rPr>
          <w:lang w:val="en"/>
        </w:rPr>
        <w:t>O</w:t>
      </w:r>
      <w:r>
        <w:rPr>
          <w:lang w:val="en"/>
        </w:rPr>
        <w:t>pen IoT Lab in Melbourne</w:t>
      </w:r>
      <w:r w:rsidR="004C380B">
        <w:rPr>
          <w:lang w:val="en"/>
        </w:rPr>
        <w:t>,</w:t>
      </w:r>
      <w:r>
        <w:rPr>
          <w:lang w:val="en"/>
        </w:rPr>
        <w:t xml:space="preserve"> </w:t>
      </w:r>
      <w:r w:rsidRPr="00050090">
        <w:rPr>
          <w:lang w:val="en"/>
        </w:rPr>
        <w:t>where product developers can create, test and prototype IoT solutions under c</w:t>
      </w:r>
      <w:r>
        <w:rPr>
          <w:lang w:val="en"/>
        </w:rPr>
        <w:t xml:space="preserve">ontrolled radio conditions. The </w:t>
      </w:r>
      <w:r w:rsidR="004C380B">
        <w:rPr>
          <w:lang w:val="en"/>
        </w:rPr>
        <w:t>l</w:t>
      </w:r>
      <w:r w:rsidRPr="00050090">
        <w:rPr>
          <w:lang w:val="en"/>
        </w:rPr>
        <w:t xml:space="preserve">ab </w:t>
      </w:r>
      <w:r>
        <w:rPr>
          <w:lang w:val="en"/>
        </w:rPr>
        <w:t>aims to</w:t>
      </w:r>
      <w:r w:rsidRPr="00050090">
        <w:rPr>
          <w:lang w:val="en"/>
        </w:rPr>
        <w:t xml:space="preserve"> foster a technology community focused on quality IoT product design</w:t>
      </w:r>
      <w:r>
        <w:rPr>
          <w:lang w:val="en"/>
        </w:rPr>
        <w:t>,</w:t>
      </w:r>
      <w:r w:rsidRPr="00050090">
        <w:rPr>
          <w:lang w:val="en"/>
        </w:rPr>
        <w:t xml:space="preserve"> best-practice</w:t>
      </w:r>
      <w:r>
        <w:rPr>
          <w:lang w:val="en"/>
        </w:rPr>
        <w:t xml:space="preserve"> research and ideas</w:t>
      </w:r>
      <w:r w:rsidR="004C380B">
        <w:rPr>
          <w:lang w:val="en"/>
        </w:rPr>
        <w:t>-</w:t>
      </w:r>
      <w:r>
        <w:rPr>
          <w:lang w:val="en"/>
        </w:rPr>
        <w:t>sharing, and will include</w:t>
      </w:r>
      <w:r w:rsidRPr="00050090">
        <w:rPr>
          <w:lang w:val="en"/>
        </w:rPr>
        <w:t xml:space="preserve"> engineers from startups through to global enterprises.</w:t>
      </w:r>
      <w:r>
        <w:rPr>
          <w:rStyle w:val="EndnoteReference"/>
          <w:lang w:val="en"/>
        </w:rPr>
        <w:endnoteReference w:id="109"/>
      </w:r>
    </w:p>
    <w:p w14:paraId="683131D5" w14:textId="77777777" w:rsidR="004D33D2" w:rsidRPr="002E7D63" w:rsidRDefault="004D33D2" w:rsidP="004D33D2">
      <w:pPr>
        <w:rPr>
          <w:lang w:val="en"/>
        </w:rPr>
      </w:pPr>
      <w:r>
        <w:rPr>
          <w:lang w:val="en"/>
        </w:rPr>
        <w:t>Vodafone completed a successful trial of Narrowband Internet of things (NB-IoT) technology with utilities and technology partners, and launched commercial services in Melbourne and North Sydney in October 2017.</w:t>
      </w:r>
      <w:r>
        <w:rPr>
          <w:rStyle w:val="EndnoteReference"/>
          <w:lang w:val="en"/>
        </w:rPr>
        <w:endnoteReference w:id="110"/>
      </w:r>
      <w:r>
        <w:rPr>
          <w:lang w:val="en"/>
        </w:rPr>
        <w:t xml:space="preserve"> There are plans to expand the rollout into targeted regions across the country by 2018.</w:t>
      </w:r>
      <w:r>
        <w:rPr>
          <w:rStyle w:val="EndnoteReference"/>
          <w:lang w:val="en"/>
        </w:rPr>
        <w:endnoteReference w:id="111"/>
      </w:r>
      <w:r>
        <w:rPr>
          <w:lang w:val="en"/>
        </w:rPr>
        <w:t xml:space="preserve"> NB-IoT is a new technology standard that optimises power consumption, and delivers increased connectivity and penetration that allows connection of devices in areas where it had not been possible previously (</w:t>
      </w:r>
      <w:r w:rsidR="00844857">
        <w:rPr>
          <w:lang w:val="en"/>
        </w:rPr>
        <w:t>for example,</w:t>
      </w:r>
      <w:r>
        <w:rPr>
          <w:lang w:val="en"/>
        </w:rPr>
        <w:t xml:space="preserve"> car parks).</w:t>
      </w:r>
      <w:r>
        <w:rPr>
          <w:rStyle w:val="EndnoteReference"/>
          <w:lang w:val="en"/>
        </w:rPr>
        <w:endnoteReference w:id="112"/>
      </w:r>
      <w:r>
        <w:rPr>
          <w:lang w:val="en"/>
        </w:rPr>
        <w:t xml:space="preserve"> </w:t>
      </w:r>
    </w:p>
    <w:p w14:paraId="4251B669" w14:textId="77777777" w:rsidR="004D33D2" w:rsidRDefault="004D33D2" w:rsidP="004D33D2">
      <w:pPr>
        <w:rPr>
          <w:lang w:val="en"/>
        </w:rPr>
      </w:pPr>
      <w:bookmarkStart w:id="581" w:name="_Toc494799357"/>
      <w:bookmarkStart w:id="582" w:name="_Toc494805660"/>
      <w:bookmarkStart w:id="583" w:name="_Toc494805889"/>
      <w:bookmarkStart w:id="584" w:name="_Toc494808119"/>
      <w:bookmarkStart w:id="585" w:name="_Toc494808554"/>
      <w:bookmarkStart w:id="586" w:name="_Toc494815926"/>
      <w:bookmarkStart w:id="587" w:name="_Toc494818787"/>
      <w:bookmarkStart w:id="588" w:name="_Toc494819054"/>
      <w:r>
        <w:rPr>
          <w:lang w:val="en"/>
        </w:rPr>
        <w:t>Optus completed its live NB-IoT technology trials in Melbourne and Sydney in February 2017.</w:t>
      </w:r>
      <w:r>
        <w:rPr>
          <w:rStyle w:val="EndnoteReference"/>
          <w:lang w:val="en"/>
        </w:rPr>
        <w:endnoteReference w:id="113"/>
      </w:r>
      <w:r>
        <w:rPr>
          <w:lang w:val="en"/>
        </w:rPr>
        <w:t xml:space="preserve"> Teaming up with Cisco Jasper, Optus had yet to announce the official launch date of its NB-IoT network at the time of publication. </w:t>
      </w:r>
    </w:p>
    <w:p w14:paraId="53CFA18D" w14:textId="77777777" w:rsidR="004D33D2" w:rsidRPr="002E7D63" w:rsidRDefault="00844857" w:rsidP="004D33D2">
      <w:pPr>
        <w:rPr>
          <w:lang w:val="en"/>
        </w:rPr>
      </w:pPr>
      <w:r>
        <w:rPr>
          <w:lang w:val="en"/>
        </w:rPr>
        <w:t>I</w:t>
      </w:r>
      <w:r w:rsidR="004D33D2">
        <w:rPr>
          <w:lang w:val="en"/>
        </w:rPr>
        <w:t xml:space="preserve">t is not just mobile operators that are active in the IoT space. Australia’s Clean Energy Finance Corporation (CEFC) has become a </w:t>
      </w:r>
      <w:r w:rsidR="006C02F7">
        <w:rPr>
          <w:lang w:val="en"/>
        </w:rPr>
        <w:t>major</w:t>
      </w:r>
      <w:r w:rsidR="004D33D2">
        <w:rPr>
          <w:lang w:val="en"/>
        </w:rPr>
        <w:t xml:space="preserve"> investor in Sigfox operator Thinxtra, to use Sigfox technology to drastically improve energy efficiency in Australia.</w:t>
      </w:r>
      <w:r w:rsidR="009C0B6B">
        <w:rPr>
          <w:rStyle w:val="EndnoteReference"/>
          <w:lang w:val="en"/>
        </w:rPr>
        <w:endnoteReference w:id="114"/>
      </w:r>
      <w:r w:rsidR="004D33D2">
        <w:rPr>
          <w:lang w:val="en"/>
        </w:rPr>
        <w:t xml:space="preserve"> Sigfox </w:t>
      </w:r>
      <w:r w:rsidR="004F1C5F">
        <w:rPr>
          <w:lang w:val="en"/>
        </w:rPr>
        <w:t>is a</w:t>
      </w:r>
      <w:r w:rsidR="004D33D2">
        <w:rPr>
          <w:lang w:val="en"/>
        </w:rPr>
        <w:t xml:space="preserve"> leading </w:t>
      </w:r>
      <w:r>
        <w:rPr>
          <w:lang w:val="en"/>
        </w:rPr>
        <w:t>IoT</w:t>
      </w:r>
      <w:r w:rsidR="004D33D2">
        <w:rPr>
          <w:lang w:val="en"/>
        </w:rPr>
        <w:t xml:space="preserve"> connectivity service</w:t>
      </w:r>
      <w:r w:rsidR="004F1C5F">
        <w:rPr>
          <w:lang w:val="en"/>
        </w:rPr>
        <w:t xml:space="preserve"> that</w:t>
      </w:r>
      <w:r w:rsidR="004D33D2">
        <w:rPr>
          <w:lang w:val="en"/>
        </w:rPr>
        <w:t xml:space="preserve"> operates on Low Power Wide Area (LPWA) network</w:t>
      </w:r>
      <w:r w:rsidR="004F1C5F">
        <w:rPr>
          <w:lang w:val="en"/>
        </w:rPr>
        <w:t>,</w:t>
      </w:r>
      <w:r w:rsidR="004D33D2">
        <w:rPr>
          <w:lang w:val="en"/>
        </w:rPr>
        <w:t xml:space="preserve"> enabling low energy consumption and lower cost.</w:t>
      </w:r>
      <w:r w:rsidR="00983EFC">
        <w:rPr>
          <w:rStyle w:val="EndnoteReference"/>
          <w:lang w:val="en"/>
        </w:rPr>
        <w:endnoteReference w:id="115"/>
      </w:r>
      <w:r w:rsidR="004D33D2">
        <w:rPr>
          <w:lang w:val="en"/>
        </w:rPr>
        <w:t xml:space="preserve"> </w:t>
      </w:r>
      <w:r w:rsidR="00747458">
        <w:rPr>
          <w:lang w:val="en"/>
        </w:rPr>
        <w:t>Thinxtra, a Sydney</w:t>
      </w:r>
      <w:r>
        <w:rPr>
          <w:lang w:val="en"/>
        </w:rPr>
        <w:t>-</w:t>
      </w:r>
      <w:r w:rsidR="00747458">
        <w:rPr>
          <w:lang w:val="en"/>
        </w:rPr>
        <w:t>based start</w:t>
      </w:r>
      <w:r w:rsidR="005E06BC">
        <w:rPr>
          <w:lang w:val="en"/>
        </w:rPr>
        <w:t>-</w:t>
      </w:r>
      <w:r w:rsidR="00747458">
        <w:rPr>
          <w:lang w:val="en"/>
        </w:rPr>
        <w:t>up company</w:t>
      </w:r>
      <w:r w:rsidR="009A6294">
        <w:rPr>
          <w:lang w:val="en"/>
        </w:rPr>
        <w:t xml:space="preserve"> established in 2015, is currently deploying Sigfox’s LPWA network technology in Australia, New Zealand and Hong Kong.</w:t>
      </w:r>
      <w:r w:rsidR="006C02F7">
        <w:rPr>
          <w:rStyle w:val="EndnoteReference"/>
          <w:lang w:val="en"/>
        </w:rPr>
        <w:endnoteReference w:id="116"/>
      </w:r>
      <w:r w:rsidR="009A6294">
        <w:rPr>
          <w:lang w:val="en"/>
        </w:rPr>
        <w:t xml:space="preserve"> </w:t>
      </w:r>
    </w:p>
    <w:p w14:paraId="5F757C08" w14:textId="77777777" w:rsidR="004D33D2" w:rsidRPr="00AD2B94" w:rsidRDefault="004D33D2" w:rsidP="00870332">
      <w:pPr>
        <w:pStyle w:val="Bodysubheader0"/>
      </w:pPr>
      <w:r w:rsidRPr="00AD2B94">
        <w:t>Privacy and security in the world of IoT</w:t>
      </w:r>
      <w:bookmarkEnd w:id="581"/>
      <w:bookmarkEnd w:id="582"/>
      <w:bookmarkEnd w:id="583"/>
      <w:bookmarkEnd w:id="584"/>
      <w:bookmarkEnd w:id="585"/>
      <w:bookmarkEnd w:id="586"/>
      <w:bookmarkEnd w:id="587"/>
      <w:bookmarkEnd w:id="588"/>
    </w:p>
    <w:p w14:paraId="392428A1" w14:textId="77777777" w:rsidR="004D33D2" w:rsidRDefault="004D33D2" w:rsidP="004D33D2">
      <w:pPr>
        <w:rPr>
          <w:lang w:val="en"/>
        </w:rPr>
      </w:pPr>
      <w:r>
        <w:rPr>
          <w:lang w:val="en"/>
        </w:rPr>
        <w:t>There are some unique privacy and security implications emerging around IoT, associated with issues such as the scale and nature of IoT deployments</w:t>
      </w:r>
      <w:r w:rsidR="00A15DBB">
        <w:rPr>
          <w:lang w:val="en"/>
        </w:rPr>
        <w:t>,</w:t>
      </w:r>
      <w:r>
        <w:rPr>
          <w:lang w:val="en"/>
        </w:rPr>
        <w:t xml:space="preserve"> and their related trust models and network architectures. </w:t>
      </w:r>
    </w:p>
    <w:p w14:paraId="3B378DA4" w14:textId="77777777" w:rsidR="004D33D2" w:rsidRPr="002E7D63" w:rsidRDefault="004D33D2" w:rsidP="004D33D2">
      <w:pPr>
        <w:rPr>
          <w:lang w:val="en"/>
        </w:rPr>
      </w:pPr>
      <w:r>
        <w:rPr>
          <w:lang w:val="en"/>
        </w:rPr>
        <w:t>In February 2017, the Internet of Things Alliance Australia (IoTAA), the Australian peak</w:t>
      </w:r>
      <w:r w:rsidDel="00495BD3">
        <w:rPr>
          <w:lang w:val="en"/>
        </w:rPr>
        <w:t xml:space="preserve"> </w:t>
      </w:r>
      <w:r>
        <w:rPr>
          <w:lang w:val="en"/>
        </w:rPr>
        <w:t xml:space="preserve">body for IoT, launched the </w:t>
      </w:r>
      <w:r w:rsidRPr="00FC13D5">
        <w:rPr>
          <w:i/>
          <w:lang w:val="en"/>
        </w:rPr>
        <w:t>Internet of Things Security Guideline</w:t>
      </w:r>
      <w:r>
        <w:rPr>
          <w:lang w:val="en"/>
        </w:rPr>
        <w:t xml:space="preserve"> to counter threats to privacy and increase network resilience. The </w:t>
      </w:r>
      <w:r w:rsidR="00A15DBB">
        <w:rPr>
          <w:lang w:val="en"/>
        </w:rPr>
        <w:t>g</w:t>
      </w:r>
      <w:r>
        <w:rPr>
          <w:lang w:val="en"/>
        </w:rPr>
        <w:t>uideline aims to provide comprehensive, top-level guidance to promote a ‘security by design’ approach to IoT and assist industry with practical application of security and privacy for IoT device use. The IoTAA intends to publish a second version of the guideline in the future.</w:t>
      </w:r>
      <w:r>
        <w:rPr>
          <w:rStyle w:val="EndnoteReference"/>
          <w:lang w:val="en"/>
        </w:rPr>
        <w:endnoteReference w:id="117"/>
      </w:r>
      <w:r>
        <w:rPr>
          <w:lang w:val="en"/>
        </w:rPr>
        <w:t xml:space="preserve"> </w:t>
      </w:r>
    </w:p>
    <w:p w14:paraId="5D41AEA8" w14:textId="77777777" w:rsidR="004D33D2" w:rsidRPr="001D4BB9" w:rsidRDefault="004D33D2" w:rsidP="004D33D2">
      <w:pPr>
        <w:pStyle w:val="Heading3"/>
      </w:pPr>
      <w:bookmarkStart w:id="589" w:name="_Toc494799358"/>
      <w:bookmarkStart w:id="590" w:name="_Toc494805661"/>
      <w:bookmarkStart w:id="591" w:name="_Toc494805890"/>
      <w:bookmarkStart w:id="592" w:name="_Toc494808120"/>
      <w:bookmarkStart w:id="593" w:name="_Toc494808556"/>
      <w:bookmarkStart w:id="594" w:name="_Toc494815927"/>
      <w:bookmarkStart w:id="595" w:name="_Toc494818788"/>
      <w:bookmarkStart w:id="596" w:name="_Toc494819055"/>
      <w:r w:rsidRPr="001D4BB9">
        <w:t xml:space="preserve">5G mobile network developments </w:t>
      </w:r>
      <w:bookmarkEnd w:id="589"/>
      <w:bookmarkEnd w:id="590"/>
      <w:bookmarkEnd w:id="591"/>
      <w:bookmarkEnd w:id="592"/>
      <w:bookmarkEnd w:id="593"/>
      <w:bookmarkEnd w:id="594"/>
      <w:bookmarkEnd w:id="595"/>
      <w:bookmarkEnd w:id="596"/>
    </w:p>
    <w:p w14:paraId="3BD65A51" w14:textId="77777777" w:rsidR="004D33D2" w:rsidRDefault="004D33D2" w:rsidP="004D33D2">
      <w:pPr>
        <w:rPr>
          <w:lang w:eastAsia="en-US"/>
        </w:rPr>
      </w:pPr>
      <w:r>
        <w:rPr>
          <w:lang w:eastAsia="en-US"/>
        </w:rPr>
        <w:t>5G is the next</w:t>
      </w:r>
      <w:r w:rsidR="00A15DBB">
        <w:rPr>
          <w:lang w:eastAsia="en-US"/>
        </w:rPr>
        <w:t>-</w:t>
      </w:r>
      <w:r>
        <w:rPr>
          <w:lang w:eastAsia="en-US"/>
        </w:rPr>
        <w:t>generation mobile technology that aims to deliver much higher data limits and dramatically faster data speeds, enabling an enhanced media experience on mobile devices.</w:t>
      </w:r>
      <w:r>
        <w:rPr>
          <w:rStyle w:val="EndnoteReference"/>
          <w:lang w:eastAsia="en-US"/>
        </w:rPr>
        <w:endnoteReference w:id="118"/>
      </w:r>
      <w:r>
        <w:rPr>
          <w:lang w:eastAsia="en-US"/>
        </w:rPr>
        <w:t xml:space="preserve"> Having ultra-low latency</w:t>
      </w:r>
      <w:r w:rsidR="00B9684A">
        <w:rPr>
          <w:lang w:eastAsia="en-US"/>
        </w:rPr>
        <w:t xml:space="preserve">—a </w:t>
      </w:r>
      <w:r w:rsidR="00B9684A">
        <w:t>s</w:t>
      </w:r>
      <w:r w:rsidR="00B9684A" w:rsidRPr="00B9684A">
        <w:rPr>
          <w:lang w:eastAsia="en-US"/>
        </w:rPr>
        <w:t>horter time interval between sending and receiving data</w:t>
      </w:r>
      <w:r w:rsidR="00B9684A">
        <w:rPr>
          <w:lang w:eastAsia="en-US"/>
        </w:rPr>
        <w:t>—</w:t>
      </w:r>
      <w:r>
        <w:rPr>
          <w:lang w:eastAsia="en-US"/>
        </w:rPr>
        <w:t>5G aims to provide more network capacity</w:t>
      </w:r>
      <w:r w:rsidR="00B9684A">
        <w:rPr>
          <w:lang w:eastAsia="en-US"/>
        </w:rPr>
        <w:t>, which is needed</w:t>
      </w:r>
      <w:r>
        <w:rPr>
          <w:lang w:eastAsia="en-US"/>
        </w:rPr>
        <w:t xml:space="preserve"> to support immense increase</w:t>
      </w:r>
      <w:r w:rsidR="00555652">
        <w:rPr>
          <w:lang w:eastAsia="en-US"/>
        </w:rPr>
        <w:t>s</w:t>
      </w:r>
      <w:r>
        <w:rPr>
          <w:lang w:eastAsia="en-US"/>
        </w:rPr>
        <w:t xml:space="preserve"> in connections for the su</w:t>
      </w:r>
      <w:r w:rsidR="00B9684A">
        <w:rPr>
          <w:lang w:eastAsia="en-US"/>
        </w:rPr>
        <w:t>ccessful deployment of the IoT.</w:t>
      </w:r>
      <w:r>
        <w:rPr>
          <w:lang w:eastAsia="en-US"/>
        </w:rPr>
        <w:t xml:space="preserve"> </w:t>
      </w:r>
    </w:p>
    <w:p w14:paraId="2953B5DC" w14:textId="77777777" w:rsidR="004D33D2" w:rsidRPr="0072316E" w:rsidRDefault="004D33D2" w:rsidP="004D33D2">
      <w:pPr>
        <w:rPr>
          <w:lang w:eastAsia="en-US"/>
        </w:rPr>
      </w:pPr>
      <w:r>
        <w:rPr>
          <w:lang w:eastAsia="en-US"/>
        </w:rPr>
        <w:t>On 20 July 2017, the ACMA announced that formal standards for the first phase of 5G are expected to be in place by mid to late 2018.</w:t>
      </w:r>
      <w:r>
        <w:rPr>
          <w:rStyle w:val="EndnoteReference"/>
          <w:lang w:eastAsia="en-US"/>
        </w:rPr>
        <w:endnoteReference w:id="119"/>
      </w:r>
    </w:p>
    <w:p w14:paraId="0B7489FF" w14:textId="77777777" w:rsidR="004D33D2" w:rsidRPr="000F2A88" w:rsidRDefault="004D33D2" w:rsidP="004D33D2">
      <w:pPr>
        <w:spacing w:after="80"/>
        <w:rPr>
          <w:lang w:eastAsia="en-US"/>
        </w:rPr>
      </w:pPr>
      <w:r w:rsidRPr="000F2A88">
        <w:rPr>
          <w:lang w:eastAsia="en-US"/>
        </w:rPr>
        <w:t>In 2016</w:t>
      </w:r>
      <w:r>
        <w:rPr>
          <w:lang w:eastAsia="en-US"/>
        </w:rPr>
        <w:t>–</w:t>
      </w:r>
      <w:r w:rsidRPr="000F2A88">
        <w:rPr>
          <w:lang w:eastAsia="en-US"/>
        </w:rPr>
        <w:t>17, Australia</w:t>
      </w:r>
      <w:r>
        <w:rPr>
          <w:lang w:eastAsia="en-US"/>
        </w:rPr>
        <w:t>’s</w:t>
      </w:r>
      <w:r w:rsidRPr="000F2A88">
        <w:rPr>
          <w:lang w:eastAsia="en-US"/>
        </w:rPr>
        <w:t xml:space="preserve"> mobile</w:t>
      </w:r>
      <w:r>
        <w:rPr>
          <w:lang w:eastAsia="en-US"/>
        </w:rPr>
        <w:t xml:space="preserve"> network</w:t>
      </w:r>
      <w:r w:rsidRPr="000F2A88">
        <w:rPr>
          <w:lang w:eastAsia="en-US"/>
        </w:rPr>
        <w:t xml:space="preserve"> operators continued to work towards </w:t>
      </w:r>
      <w:r>
        <w:rPr>
          <w:lang w:eastAsia="en-US"/>
        </w:rPr>
        <w:t xml:space="preserve">the launch of </w:t>
      </w:r>
      <w:r w:rsidRPr="000F2A88">
        <w:rPr>
          <w:lang w:eastAsia="en-US"/>
        </w:rPr>
        <w:t>5G, laying foundations for the next</w:t>
      </w:r>
      <w:r w:rsidR="00B9684A">
        <w:rPr>
          <w:lang w:eastAsia="en-US"/>
        </w:rPr>
        <w:t>-</w:t>
      </w:r>
      <w:r w:rsidRPr="000F2A88">
        <w:rPr>
          <w:lang w:eastAsia="en-US"/>
        </w:rPr>
        <w:t xml:space="preserve">generation network, and continued to develop and enhance their existing 4G networks on the upgrade pathway to 5G: </w:t>
      </w:r>
    </w:p>
    <w:p w14:paraId="10DEC3A5" w14:textId="77777777" w:rsidR="004D33D2" w:rsidRPr="00E57AD7" w:rsidRDefault="004D33D2" w:rsidP="00F3697E">
      <w:pPr>
        <w:pStyle w:val="ListBullet"/>
      </w:pPr>
      <w:r w:rsidRPr="00E57AD7">
        <w:t xml:space="preserve">In 2016, </w:t>
      </w:r>
      <w:r w:rsidRPr="00B23C52">
        <w:t>Telstra conducted 5G radio testing in Melbourne, delivering peak download speeds of greater than 20 Gbps</w:t>
      </w:r>
      <w:r w:rsidRPr="00E57AD7">
        <w:t>. Early in 2017, Telstra introduced the Netgear Nighthawk M1, Australia’s fastest mobile hotspot, developed in partnership with Netgear, Qualcomm and Ericsson. In 2018, Telstra plans to conduct its first live 5G trial on the Gold Coast.</w:t>
      </w:r>
      <w:r w:rsidRPr="00AD2B94">
        <w:rPr>
          <w:rStyle w:val="EndnoteReference"/>
        </w:rPr>
        <w:endnoteReference w:id="120"/>
      </w:r>
      <w:r w:rsidRPr="00870332">
        <w:rPr>
          <w:vertAlign w:val="superscript"/>
        </w:rPr>
        <w:t xml:space="preserve"> </w:t>
      </w:r>
    </w:p>
    <w:p w14:paraId="4D0459C5" w14:textId="77777777" w:rsidR="004D33D2" w:rsidRPr="00E57AD7" w:rsidRDefault="004D33D2" w:rsidP="00DC2B04">
      <w:pPr>
        <w:pStyle w:val="ListBullet"/>
      </w:pPr>
      <w:r w:rsidRPr="00E57AD7">
        <w:t>Optus continued to work towards 5G by switching on 4.5G network services across the suburb of Macquarie Park in N</w:t>
      </w:r>
      <w:r w:rsidR="00B9684A">
        <w:t xml:space="preserve">ew </w:t>
      </w:r>
      <w:r w:rsidRPr="00E57AD7">
        <w:t>S</w:t>
      </w:r>
      <w:r w:rsidR="00B9684A">
        <w:t xml:space="preserve">outh </w:t>
      </w:r>
      <w:r w:rsidRPr="00E57AD7">
        <w:t>W</w:t>
      </w:r>
      <w:r w:rsidR="00B9684A">
        <w:t>ales</w:t>
      </w:r>
      <w:r w:rsidRPr="00E57AD7">
        <w:t xml:space="preserve"> in March 2017, achieving speeds of up to 1.03 Gbps during testing.</w:t>
      </w:r>
      <w:r w:rsidRPr="00AD2B94">
        <w:rPr>
          <w:rStyle w:val="EndnoteReference"/>
        </w:rPr>
        <w:endnoteReference w:id="121"/>
      </w:r>
      <w:r w:rsidRPr="00E57AD7">
        <w:t xml:space="preserve"> The launch followed a</w:t>
      </w:r>
      <w:r w:rsidRPr="00E57AD7" w:rsidDel="00495BD3">
        <w:t xml:space="preserve"> </w:t>
      </w:r>
      <w:r w:rsidRPr="00E57AD7">
        <w:t>number of successful trials of the 4.5G technology in 2016 in partnership with Huawei. Optus is also collaborating on 5G with Nokia, after signing a memorandum of understanding in 2016.</w:t>
      </w:r>
      <w:r w:rsidRPr="00AD2B94">
        <w:rPr>
          <w:rStyle w:val="EndnoteReference"/>
        </w:rPr>
        <w:endnoteReference w:id="122"/>
      </w:r>
      <w:r w:rsidRPr="00E57AD7">
        <w:t xml:space="preserve"> In February 2017, Optus announced plans to roll out 4.5G in selected capital cities over the following 12 months</w:t>
      </w:r>
      <w:r w:rsidR="00B9684A">
        <w:t>,</w:t>
      </w:r>
      <w:r w:rsidRPr="00E57AD7">
        <w:t xml:space="preserve"> and </w:t>
      </w:r>
      <w:r w:rsidR="00B9684A">
        <w:t xml:space="preserve">it </w:t>
      </w:r>
      <w:r w:rsidRPr="00E57AD7">
        <w:t>expects to reach over 70 per cent of the Optus network in Sydney, Melbourne, Brisbane, Perth and Adelaide.</w:t>
      </w:r>
      <w:r w:rsidRPr="00AD2B94">
        <w:rPr>
          <w:rStyle w:val="EndnoteReference"/>
        </w:rPr>
        <w:endnoteReference w:id="123"/>
      </w:r>
      <w:r w:rsidRPr="00E57AD7">
        <w:t xml:space="preserve"> </w:t>
      </w:r>
    </w:p>
    <w:p w14:paraId="3AF4C9B0" w14:textId="77777777" w:rsidR="004D33D2" w:rsidRDefault="004D33D2" w:rsidP="00DC2B04">
      <w:pPr>
        <w:pStyle w:val="ListBulletLast"/>
      </w:pPr>
      <w:r w:rsidRPr="00051DB8">
        <w:t xml:space="preserve">Vodafone </w:t>
      </w:r>
      <w:r>
        <w:t>continued preparations for the future launch of 5G, and conducted two successful 5G demonstrations, including Australia’s first live public trial with two of its technology partners.</w:t>
      </w:r>
      <w:r>
        <w:rPr>
          <w:rStyle w:val="EndnoteReference"/>
        </w:rPr>
        <w:endnoteReference w:id="124"/>
      </w:r>
      <w:r>
        <w:t xml:space="preserve"> The </w:t>
      </w:r>
      <w:r w:rsidRPr="00C74AC8">
        <w:t>company also conducted internal 5G explorations, testing and trials.</w:t>
      </w:r>
      <w:r w:rsidRPr="00C74AC8">
        <w:rPr>
          <w:rStyle w:val="EndnoteReference"/>
        </w:rPr>
        <w:endnoteReference w:id="125"/>
      </w:r>
      <w:r w:rsidRPr="00C74AC8">
        <w:t xml:space="preserve"> </w:t>
      </w:r>
    </w:p>
    <w:p w14:paraId="5BEA26B9" w14:textId="77777777" w:rsidR="004D33D2" w:rsidRPr="00FA6CDC" w:rsidRDefault="004D33D2" w:rsidP="004D33D2">
      <w:pPr>
        <w:rPr>
          <w:highlight w:val="yellow"/>
        </w:rPr>
      </w:pPr>
      <w:r>
        <w:t>A global survey by Gartner noted that 75 per cent of end-user organisations would be willing to pay more for 5G mobile capabilities than 4G, with those in the telecommunications industry more likely to be prepared to pay more than those in other industries.</w:t>
      </w:r>
      <w:r>
        <w:rPr>
          <w:rStyle w:val="EndnoteReference"/>
        </w:rPr>
        <w:endnoteReference w:id="126"/>
      </w:r>
      <w:r>
        <w:t xml:space="preserve"> </w:t>
      </w:r>
    </w:p>
    <w:p w14:paraId="40DC737B" w14:textId="77777777" w:rsidR="004D33D2" w:rsidRDefault="004D33D2" w:rsidP="004D33D2">
      <w:pPr>
        <w:pStyle w:val="Heading3"/>
      </w:pPr>
      <w:bookmarkStart w:id="597" w:name="_Toc494799359"/>
      <w:bookmarkStart w:id="598" w:name="_Toc494805662"/>
      <w:bookmarkStart w:id="599" w:name="_Toc494805891"/>
      <w:bookmarkStart w:id="600" w:name="_Toc494808121"/>
      <w:bookmarkStart w:id="601" w:name="_Toc494808557"/>
      <w:bookmarkStart w:id="602" w:name="_Toc494815928"/>
      <w:bookmarkStart w:id="603" w:name="_Toc494818789"/>
      <w:bookmarkStart w:id="604" w:name="_Toc494819056"/>
      <w:r>
        <w:t>Other e</w:t>
      </w:r>
      <w:r w:rsidRPr="00FD7E86">
        <w:t>merging mobile technologie</w:t>
      </w:r>
      <w:r>
        <w:t>s</w:t>
      </w:r>
      <w:bookmarkEnd w:id="597"/>
      <w:bookmarkEnd w:id="598"/>
      <w:bookmarkEnd w:id="599"/>
      <w:bookmarkEnd w:id="600"/>
      <w:bookmarkEnd w:id="601"/>
      <w:bookmarkEnd w:id="602"/>
      <w:bookmarkEnd w:id="603"/>
      <w:bookmarkEnd w:id="604"/>
    </w:p>
    <w:p w14:paraId="6446FB37" w14:textId="77777777" w:rsidR="004D33D2" w:rsidRPr="00742686" w:rsidRDefault="004D33D2" w:rsidP="004D33D2">
      <w:pPr>
        <w:rPr>
          <w:i/>
        </w:rPr>
      </w:pPr>
      <w:r>
        <w:t xml:space="preserve">Mobile carriers continued to invest in new-age 4G technologies, including </w:t>
      </w:r>
      <w:r w:rsidR="002227EE">
        <w:t>v</w:t>
      </w:r>
      <w:r>
        <w:t xml:space="preserve">oice over LTE (VoLTE), </w:t>
      </w:r>
      <w:r w:rsidR="002227EE">
        <w:t>v</w:t>
      </w:r>
      <w:r>
        <w:t xml:space="preserve">ideo over LTE (ViLTE), </w:t>
      </w:r>
      <w:r w:rsidR="002227EE">
        <w:t>v</w:t>
      </w:r>
      <w:r>
        <w:t>oice over Wi-Fi (VoWiFi) and LTE-broadcast (LTE-B) technology.</w:t>
      </w:r>
    </w:p>
    <w:p w14:paraId="12205C67" w14:textId="77777777" w:rsidR="004D33D2" w:rsidRPr="00A16448" w:rsidRDefault="004D33D2" w:rsidP="004D33D2">
      <w:pPr>
        <w:pStyle w:val="Bodysubheader0"/>
      </w:pPr>
      <w:r w:rsidRPr="00A16448">
        <w:t>VoLTE</w:t>
      </w:r>
      <w:r>
        <w:t xml:space="preserve"> and ViLTE</w:t>
      </w:r>
    </w:p>
    <w:p w14:paraId="7E8592B6" w14:textId="77777777" w:rsidR="004D33D2" w:rsidRDefault="004D33D2" w:rsidP="009D387A">
      <w:pPr>
        <w:pStyle w:val="ListBullet"/>
        <w:rPr>
          <w:rFonts w:eastAsiaTheme="minorHAnsi"/>
          <w:lang w:eastAsia="en-US"/>
        </w:rPr>
      </w:pPr>
      <w:r>
        <w:rPr>
          <w:rFonts w:eastAsiaTheme="minorHAnsi"/>
          <w:lang w:eastAsia="en-US"/>
        </w:rPr>
        <w:t>VoLTE was introduced by mobile operators in 2015–16, allowing consumers with compatible mobile devices to make voice calls over 4G mobile networks, using the internet. Previously limited to only carrying data, VoLTE offers higher call quality and quicker connection.</w:t>
      </w:r>
    </w:p>
    <w:p w14:paraId="655A5244" w14:textId="77777777" w:rsidR="004D33D2" w:rsidRPr="000E29EB" w:rsidRDefault="004D33D2" w:rsidP="009D387A">
      <w:pPr>
        <w:pStyle w:val="ListBulletLast"/>
        <w:rPr>
          <w:rFonts w:eastAsiaTheme="minorHAnsi"/>
          <w:lang w:eastAsia="en-US"/>
        </w:rPr>
      </w:pPr>
      <w:r>
        <w:rPr>
          <w:rFonts w:eastAsiaTheme="minorHAnsi"/>
          <w:lang w:eastAsia="en-US"/>
        </w:rPr>
        <w:t xml:space="preserve">Telstra has further capitalised on this technology by launching a ViLTE service on their mobile network in October 2016. It allows those with </w:t>
      </w:r>
      <w:r w:rsidR="00B9684A">
        <w:rPr>
          <w:rFonts w:eastAsiaTheme="minorHAnsi"/>
          <w:lang w:eastAsia="en-US"/>
        </w:rPr>
        <w:t xml:space="preserve">the </w:t>
      </w:r>
      <w:r>
        <w:rPr>
          <w:rFonts w:eastAsiaTheme="minorHAnsi"/>
          <w:lang w:eastAsia="en-US"/>
        </w:rPr>
        <w:t>Samsung Galaxy S7 to make video calls to other Telstra ViLTE customers using the operator’s 4G and 4GX coverage. The technology offers better video quality,</w:t>
      </w:r>
      <w:r w:rsidDel="00F24745">
        <w:rPr>
          <w:rFonts w:eastAsiaTheme="minorHAnsi"/>
          <w:lang w:eastAsia="en-US"/>
        </w:rPr>
        <w:t xml:space="preserve"> </w:t>
      </w:r>
      <w:r>
        <w:rPr>
          <w:rFonts w:eastAsiaTheme="minorHAnsi"/>
          <w:lang w:eastAsia="en-US"/>
        </w:rPr>
        <w:t>and Telstra has announced plans to further extend the capability of ViLTE to videoconferencing calls in the future.</w:t>
      </w:r>
      <w:r>
        <w:rPr>
          <w:rStyle w:val="EndnoteReference"/>
          <w:rFonts w:eastAsiaTheme="minorHAnsi" w:cs="Arial"/>
          <w:color w:val="000000" w:themeColor="text1"/>
          <w:szCs w:val="20"/>
          <w:lang w:eastAsia="en-US"/>
        </w:rPr>
        <w:endnoteReference w:id="127"/>
      </w:r>
    </w:p>
    <w:p w14:paraId="5512E82C" w14:textId="77777777" w:rsidR="004D33D2" w:rsidRPr="00A16448" w:rsidRDefault="00E834A4" w:rsidP="009D387A">
      <w:pPr>
        <w:pStyle w:val="Bodysubheader0"/>
        <w:keepNext/>
      </w:pPr>
      <w:r w:rsidRPr="00E834A4">
        <w:t>VoWiFi</w:t>
      </w:r>
      <w:r w:rsidRPr="00E834A4" w:rsidDel="00E834A4">
        <w:t xml:space="preserve"> </w:t>
      </w:r>
    </w:p>
    <w:p w14:paraId="5161C849" w14:textId="77777777" w:rsidR="004D33D2" w:rsidRPr="000C0E75" w:rsidRDefault="004D33D2" w:rsidP="009D387A">
      <w:pPr>
        <w:pStyle w:val="ListBullet"/>
        <w:rPr>
          <w:rFonts w:eastAsiaTheme="minorHAnsi"/>
          <w:lang w:eastAsia="en-US"/>
        </w:rPr>
      </w:pPr>
      <w:r>
        <w:rPr>
          <w:rFonts w:eastAsiaTheme="minorHAnsi"/>
          <w:lang w:eastAsia="en-US"/>
        </w:rPr>
        <w:t>VoWiFi, also known as Wi-Fi calling, provides high</w:t>
      </w:r>
      <w:r w:rsidR="00E834A4">
        <w:rPr>
          <w:rFonts w:eastAsiaTheme="minorHAnsi"/>
          <w:lang w:eastAsia="en-US"/>
        </w:rPr>
        <w:t>-</w:t>
      </w:r>
      <w:r>
        <w:rPr>
          <w:rFonts w:eastAsiaTheme="minorHAnsi"/>
          <w:lang w:eastAsia="en-US"/>
        </w:rPr>
        <w:t xml:space="preserve">quality, clearer </w:t>
      </w:r>
      <w:r w:rsidDel="00495BD3">
        <w:rPr>
          <w:rFonts w:eastAsiaTheme="minorHAnsi"/>
          <w:lang w:eastAsia="en-US"/>
        </w:rPr>
        <w:t>voice calls</w:t>
      </w:r>
      <w:r>
        <w:rPr>
          <w:rFonts w:eastAsiaTheme="minorHAnsi"/>
          <w:lang w:eastAsia="en-US"/>
        </w:rPr>
        <w:t xml:space="preserve">. It is a native service built into specific handsets, and allows customers to switch away from </w:t>
      </w:r>
      <w:r w:rsidR="00E834A4">
        <w:rPr>
          <w:rFonts w:eastAsiaTheme="minorHAnsi"/>
          <w:lang w:eastAsia="en-US"/>
        </w:rPr>
        <w:t xml:space="preserve">the </w:t>
      </w:r>
      <w:r>
        <w:rPr>
          <w:rFonts w:eastAsiaTheme="minorHAnsi"/>
          <w:lang w:eastAsia="en-US"/>
        </w:rPr>
        <w:t xml:space="preserve">4G LTE mobile network automatically. </w:t>
      </w:r>
    </w:p>
    <w:p w14:paraId="2F4D6C5E" w14:textId="77777777" w:rsidR="004D33D2" w:rsidRDefault="004D33D2" w:rsidP="009D387A">
      <w:pPr>
        <w:pStyle w:val="ListBullet"/>
        <w:rPr>
          <w:rFonts w:eastAsiaTheme="minorHAnsi"/>
          <w:lang w:eastAsia="en-US"/>
        </w:rPr>
      </w:pPr>
      <w:r w:rsidRPr="000C0E75">
        <w:rPr>
          <w:rFonts w:eastAsiaTheme="minorHAnsi"/>
          <w:lang w:eastAsia="en-US"/>
        </w:rPr>
        <w:t xml:space="preserve">Telstra has progressively introduced </w:t>
      </w:r>
      <w:r>
        <w:rPr>
          <w:rFonts w:eastAsiaTheme="minorHAnsi"/>
          <w:lang w:eastAsia="en-US"/>
        </w:rPr>
        <w:t>Wi-Fi</w:t>
      </w:r>
      <w:r w:rsidRPr="000C0E75">
        <w:rPr>
          <w:rFonts w:eastAsiaTheme="minorHAnsi"/>
          <w:lang w:eastAsia="en-US"/>
        </w:rPr>
        <w:t xml:space="preserve"> calling to </w:t>
      </w:r>
      <w:r w:rsidR="00E834A4">
        <w:rPr>
          <w:rFonts w:eastAsiaTheme="minorHAnsi"/>
          <w:lang w:eastAsia="en-US"/>
        </w:rPr>
        <w:t>its</w:t>
      </w:r>
      <w:r w:rsidR="00E834A4" w:rsidRPr="000C0E75">
        <w:rPr>
          <w:rFonts w:eastAsiaTheme="minorHAnsi"/>
          <w:lang w:eastAsia="en-US"/>
        </w:rPr>
        <w:t xml:space="preserve"> </w:t>
      </w:r>
      <w:r w:rsidRPr="000C0E75">
        <w:rPr>
          <w:rFonts w:eastAsiaTheme="minorHAnsi"/>
          <w:lang w:eastAsia="en-US"/>
        </w:rPr>
        <w:t>mobile customers with a compatible device, which includes newer model Apple iPhones and Samsung Galaxy ph</w:t>
      </w:r>
      <w:r>
        <w:rPr>
          <w:rFonts w:eastAsiaTheme="minorHAnsi"/>
          <w:lang w:eastAsia="en-US"/>
        </w:rPr>
        <w:t xml:space="preserve">ones. This service is </w:t>
      </w:r>
      <w:r w:rsidRPr="000C0E75">
        <w:rPr>
          <w:rFonts w:eastAsiaTheme="minorHAnsi"/>
          <w:lang w:eastAsia="en-US"/>
        </w:rPr>
        <w:t>available to postpaid Telstra customers with a fixed home broadband connection</w:t>
      </w:r>
      <w:r>
        <w:rPr>
          <w:rFonts w:eastAsiaTheme="minorHAnsi"/>
          <w:lang w:eastAsia="en-US"/>
        </w:rPr>
        <w:t>,</w:t>
      </w:r>
      <w:r w:rsidRPr="000C0E75">
        <w:rPr>
          <w:rFonts w:eastAsiaTheme="minorHAnsi"/>
          <w:lang w:eastAsia="en-US"/>
        </w:rPr>
        <w:t xml:space="preserve"> while </w:t>
      </w:r>
      <w:r>
        <w:rPr>
          <w:rFonts w:eastAsiaTheme="minorHAnsi"/>
          <w:lang w:eastAsia="en-US"/>
        </w:rPr>
        <w:t xml:space="preserve">gradually being made available to </w:t>
      </w:r>
      <w:r w:rsidRPr="000C0E75">
        <w:rPr>
          <w:rFonts w:eastAsiaTheme="minorHAnsi"/>
          <w:lang w:eastAsia="en-US"/>
        </w:rPr>
        <w:t>prepaid customers.</w:t>
      </w:r>
      <w:r>
        <w:rPr>
          <w:rStyle w:val="EndnoteReference"/>
          <w:rFonts w:eastAsiaTheme="minorHAnsi" w:cs="Arial"/>
          <w:color w:val="000000" w:themeColor="text1"/>
          <w:szCs w:val="20"/>
          <w:lang w:eastAsia="en-US"/>
        </w:rPr>
        <w:endnoteReference w:id="128"/>
      </w:r>
      <w:r w:rsidRPr="000C0E75">
        <w:rPr>
          <w:rFonts w:eastAsiaTheme="minorHAnsi"/>
          <w:lang w:eastAsia="en-US"/>
        </w:rPr>
        <w:t xml:space="preserve"> </w:t>
      </w:r>
    </w:p>
    <w:p w14:paraId="48430F71" w14:textId="77777777" w:rsidR="004D33D2" w:rsidRDefault="004D33D2" w:rsidP="009D387A">
      <w:pPr>
        <w:pStyle w:val="ListBullet"/>
        <w:rPr>
          <w:rFonts w:eastAsiaTheme="minorHAnsi"/>
          <w:lang w:eastAsia="en-US"/>
        </w:rPr>
      </w:pPr>
      <w:r>
        <w:rPr>
          <w:rFonts w:eastAsiaTheme="minorHAnsi"/>
          <w:lang w:eastAsia="en-US"/>
        </w:rPr>
        <w:t>Optus launched its new VoWiFi service in January 2017, allowing customers with Samsung Galaxy S7 and S7 Edge to make calls and send messages seamlessly when there is no mobile coverage.</w:t>
      </w:r>
      <w:r>
        <w:rPr>
          <w:rStyle w:val="EndnoteReference"/>
          <w:rFonts w:eastAsiaTheme="minorHAnsi" w:cs="Arial"/>
          <w:color w:val="000000" w:themeColor="text1"/>
          <w:szCs w:val="20"/>
          <w:lang w:eastAsia="en-US"/>
        </w:rPr>
        <w:endnoteReference w:id="129"/>
      </w:r>
      <w:r>
        <w:rPr>
          <w:rFonts w:eastAsiaTheme="minorHAnsi"/>
          <w:lang w:eastAsia="en-US"/>
        </w:rPr>
        <w:t xml:space="preserve"> This is in addition to the </w:t>
      </w:r>
      <w:r w:rsidRPr="002562B9">
        <w:rPr>
          <w:rFonts w:eastAsiaTheme="minorHAnsi"/>
          <w:i/>
          <w:lang w:eastAsia="en-US"/>
        </w:rPr>
        <w:t>WiFi Talk</w:t>
      </w:r>
      <w:r>
        <w:rPr>
          <w:rFonts w:eastAsiaTheme="minorHAnsi"/>
          <w:lang w:eastAsia="en-US"/>
        </w:rPr>
        <w:t xml:space="preserve"> service launched by Optus in August 2015 through Android and iPhone apps. </w:t>
      </w:r>
    </w:p>
    <w:p w14:paraId="4FB42BDB" w14:textId="77777777" w:rsidR="004D33D2" w:rsidRPr="000C0E75" w:rsidRDefault="004D33D2" w:rsidP="009D387A">
      <w:pPr>
        <w:pStyle w:val="ListBulletLast"/>
        <w:rPr>
          <w:rFonts w:eastAsiaTheme="minorHAnsi"/>
          <w:lang w:eastAsia="en-US"/>
        </w:rPr>
      </w:pPr>
      <w:r>
        <w:rPr>
          <w:rFonts w:eastAsiaTheme="minorHAnsi"/>
          <w:lang w:eastAsia="en-US"/>
        </w:rPr>
        <w:t>Vodafone plans to introduce Wi-Fi calling technology in late 2017, enabling its customers to make voice calls when connected to a Wi-Fi network.</w:t>
      </w:r>
      <w:r>
        <w:rPr>
          <w:rStyle w:val="EndnoteReference"/>
          <w:rFonts w:eastAsiaTheme="minorHAnsi" w:cs="Arial"/>
          <w:color w:val="000000" w:themeColor="text1"/>
          <w:szCs w:val="20"/>
          <w:lang w:eastAsia="en-US"/>
        </w:rPr>
        <w:endnoteReference w:id="130"/>
      </w:r>
    </w:p>
    <w:p w14:paraId="4E03472D" w14:textId="77777777" w:rsidR="004D33D2" w:rsidRPr="00A16448" w:rsidRDefault="004D33D2" w:rsidP="004D33D2">
      <w:pPr>
        <w:pStyle w:val="Bodysubheader0"/>
        <w:keepNext/>
      </w:pPr>
      <w:r w:rsidRPr="00A16448">
        <w:t>LTE-B</w:t>
      </w:r>
    </w:p>
    <w:p w14:paraId="6ECE6249" w14:textId="77777777" w:rsidR="004D33D2" w:rsidRDefault="004D33D2" w:rsidP="009D387A">
      <w:pPr>
        <w:pStyle w:val="ListBullet"/>
        <w:rPr>
          <w:rFonts w:eastAsiaTheme="minorHAnsi"/>
          <w:lang w:eastAsia="en-US"/>
        </w:rPr>
      </w:pPr>
      <w:r w:rsidRPr="00AE6A7A">
        <w:rPr>
          <w:rFonts w:eastAsiaTheme="minorHAnsi"/>
          <w:lang w:eastAsia="en-US"/>
        </w:rPr>
        <w:t>LTE-B technology enables wireless signals to travel more efficiently, delivering data stream</w:t>
      </w:r>
      <w:r w:rsidR="00E834A4">
        <w:rPr>
          <w:rFonts w:eastAsiaTheme="minorHAnsi"/>
          <w:lang w:eastAsia="en-US"/>
        </w:rPr>
        <w:t>s</w:t>
      </w:r>
      <w:r w:rsidRPr="00AE6A7A">
        <w:rPr>
          <w:rFonts w:eastAsiaTheme="minorHAnsi"/>
          <w:lang w:eastAsia="en-US"/>
        </w:rPr>
        <w:t xml:space="preserve"> to multiple mobile users, as opposed to sending an individual stream to each user. Th</w:t>
      </w:r>
      <w:r>
        <w:rPr>
          <w:rFonts w:eastAsiaTheme="minorHAnsi"/>
          <w:lang w:eastAsia="en-US"/>
        </w:rPr>
        <w:t>is allows for increased network capacity and meet</w:t>
      </w:r>
      <w:r w:rsidR="00E834A4">
        <w:rPr>
          <w:rFonts w:eastAsiaTheme="minorHAnsi"/>
          <w:lang w:eastAsia="en-US"/>
        </w:rPr>
        <w:t>s</w:t>
      </w:r>
      <w:r>
        <w:rPr>
          <w:rFonts w:eastAsiaTheme="minorHAnsi"/>
          <w:lang w:eastAsia="en-US"/>
        </w:rPr>
        <w:t xml:space="preserve"> </w:t>
      </w:r>
      <w:r w:rsidRPr="00AE6A7A">
        <w:rPr>
          <w:rFonts w:eastAsiaTheme="minorHAnsi"/>
          <w:lang w:eastAsia="en-US"/>
        </w:rPr>
        <w:t xml:space="preserve">the </w:t>
      </w:r>
      <w:r>
        <w:rPr>
          <w:rFonts w:eastAsiaTheme="minorHAnsi"/>
          <w:lang w:eastAsia="en-US"/>
        </w:rPr>
        <w:t>ever</w:t>
      </w:r>
      <w:r w:rsidR="00E834A4">
        <w:rPr>
          <w:rFonts w:eastAsiaTheme="minorHAnsi"/>
          <w:lang w:eastAsia="en-US"/>
        </w:rPr>
        <w:t>-</w:t>
      </w:r>
      <w:r>
        <w:rPr>
          <w:rFonts w:eastAsiaTheme="minorHAnsi"/>
          <w:lang w:eastAsia="en-US"/>
        </w:rPr>
        <w:t xml:space="preserve">increasing </w:t>
      </w:r>
      <w:r w:rsidRPr="00AE6A7A">
        <w:rPr>
          <w:rFonts w:eastAsiaTheme="minorHAnsi"/>
          <w:lang w:eastAsia="en-US"/>
        </w:rPr>
        <w:t xml:space="preserve">demand </w:t>
      </w:r>
      <w:r>
        <w:rPr>
          <w:rFonts w:eastAsiaTheme="minorHAnsi"/>
          <w:lang w:eastAsia="en-US"/>
        </w:rPr>
        <w:t>for data and video in situations where network capacity may be limited, such as major sporting events and concerts</w:t>
      </w:r>
      <w:r w:rsidRPr="00AE6A7A">
        <w:rPr>
          <w:rFonts w:eastAsiaTheme="minorHAnsi"/>
          <w:lang w:eastAsia="en-US"/>
        </w:rPr>
        <w:t>.</w:t>
      </w:r>
    </w:p>
    <w:p w14:paraId="7E9D7BA8" w14:textId="77777777" w:rsidR="004D33D2" w:rsidRDefault="004D33D2" w:rsidP="009D387A">
      <w:pPr>
        <w:pStyle w:val="ListBullet"/>
        <w:rPr>
          <w:rFonts w:eastAsiaTheme="minorHAnsi"/>
          <w:lang w:eastAsia="en-US"/>
        </w:rPr>
      </w:pPr>
      <w:r>
        <w:rPr>
          <w:rFonts w:eastAsiaTheme="minorHAnsi"/>
          <w:lang w:eastAsia="en-US"/>
        </w:rPr>
        <w:t xml:space="preserve">In February 2017, Telstra announced it will switch on LTE-B across Australia in 2018. </w:t>
      </w:r>
      <w:r w:rsidR="00E834A4">
        <w:rPr>
          <w:rFonts w:eastAsiaTheme="minorHAnsi"/>
          <w:lang w:eastAsia="en-US"/>
        </w:rPr>
        <w:t xml:space="preserve">It </w:t>
      </w:r>
      <w:r>
        <w:rPr>
          <w:rFonts w:eastAsiaTheme="minorHAnsi"/>
          <w:lang w:eastAsia="en-US"/>
        </w:rPr>
        <w:t>will also launch a 24/7 live</w:t>
      </w:r>
      <w:r w:rsidR="00E834A4">
        <w:rPr>
          <w:rFonts w:eastAsiaTheme="minorHAnsi"/>
          <w:lang w:eastAsia="en-US"/>
        </w:rPr>
        <w:t>-</w:t>
      </w:r>
      <w:r>
        <w:rPr>
          <w:rFonts w:eastAsiaTheme="minorHAnsi"/>
          <w:lang w:eastAsia="en-US"/>
        </w:rPr>
        <w:t>st</w:t>
      </w:r>
      <w:r w:rsidR="00E834A4">
        <w:rPr>
          <w:rFonts w:eastAsiaTheme="minorHAnsi"/>
          <w:lang w:eastAsia="en-US"/>
        </w:rPr>
        <w:t>r</w:t>
      </w:r>
      <w:r>
        <w:rPr>
          <w:rFonts w:eastAsiaTheme="minorHAnsi"/>
          <w:lang w:eastAsia="en-US"/>
        </w:rPr>
        <w:t>eaming TV channel using LTE-B, with the stream initially only available on Samsung’s high-end devices.</w:t>
      </w:r>
      <w:r>
        <w:rPr>
          <w:rStyle w:val="EndnoteReference"/>
          <w:rFonts w:eastAsiaTheme="minorHAnsi" w:cs="Arial"/>
          <w:color w:val="000000" w:themeColor="text1"/>
          <w:szCs w:val="20"/>
          <w:lang w:eastAsia="en-US"/>
        </w:rPr>
        <w:endnoteReference w:id="131"/>
      </w:r>
      <w:r>
        <w:rPr>
          <w:rFonts w:eastAsiaTheme="minorHAnsi"/>
          <w:lang w:eastAsia="en-US"/>
        </w:rPr>
        <w:t xml:space="preserve"> </w:t>
      </w:r>
    </w:p>
    <w:p w14:paraId="7A9DE705" w14:textId="77777777" w:rsidR="004D33D2" w:rsidRPr="00211F98" w:rsidRDefault="004D33D2" w:rsidP="002210F1">
      <w:pPr>
        <w:pStyle w:val="Heading2"/>
        <w:numPr>
          <w:ilvl w:val="1"/>
          <w:numId w:val="14"/>
        </w:numPr>
      </w:pPr>
      <w:bookmarkStart w:id="605" w:name="_Toc462132198"/>
      <w:bookmarkStart w:id="606" w:name="_Toc462899545"/>
      <w:bookmarkStart w:id="607" w:name="_Toc463529025"/>
      <w:bookmarkStart w:id="608" w:name="_Toc494799360"/>
      <w:bookmarkStart w:id="609" w:name="_Toc494805663"/>
      <w:bookmarkStart w:id="610" w:name="_Toc494805892"/>
      <w:bookmarkStart w:id="611" w:name="_Toc494808122"/>
      <w:bookmarkStart w:id="612" w:name="_Toc494808558"/>
      <w:bookmarkStart w:id="613" w:name="_Toc494815929"/>
      <w:bookmarkStart w:id="614" w:name="_Toc494818790"/>
      <w:bookmarkStart w:id="615" w:name="_Toc494819057"/>
      <w:bookmarkStart w:id="616" w:name="_Toc500320894"/>
      <w:r w:rsidRPr="00211F98">
        <w:t>Infrastructure regulation</w:t>
      </w:r>
      <w:bookmarkEnd w:id="605"/>
      <w:bookmarkEnd w:id="606"/>
      <w:bookmarkEnd w:id="607"/>
      <w:bookmarkEnd w:id="608"/>
      <w:bookmarkEnd w:id="609"/>
      <w:bookmarkEnd w:id="610"/>
      <w:bookmarkEnd w:id="611"/>
      <w:bookmarkEnd w:id="612"/>
      <w:bookmarkEnd w:id="613"/>
      <w:bookmarkEnd w:id="614"/>
      <w:bookmarkEnd w:id="615"/>
      <w:bookmarkEnd w:id="616"/>
      <w:r w:rsidRPr="00211F98">
        <w:t xml:space="preserve"> </w:t>
      </w:r>
    </w:p>
    <w:p w14:paraId="16B4A8EC" w14:textId="77777777" w:rsidR="004D33D2" w:rsidRPr="00211F98" w:rsidRDefault="004D33D2" w:rsidP="004D33D2">
      <w:r w:rsidRPr="00211F98">
        <w:t>When installing large telecommunications facilities such as mobile phone towers, carriers generally need to obtain local council planning permission</w:t>
      </w:r>
      <w:r w:rsidR="00527D29">
        <w:t>,</w:t>
      </w:r>
      <w:r w:rsidRPr="00211F98">
        <w:t xml:space="preserve"> and comply with relevant state and territory planning laws. Schedule 3 to the </w:t>
      </w:r>
      <w:r>
        <w:t xml:space="preserve">Telecommunications </w:t>
      </w:r>
      <w:r w:rsidRPr="00211F98">
        <w:t>Act allows licensed carriers to install a limited range of facilities referred to as ‘low-impact facilities’ without seeking state</w:t>
      </w:r>
      <w:r w:rsidR="00611044">
        <w:t xml:space="preserve">, </w:t>
      </w:r>
      <w:r w:rsidRPr="00211F98">
        <w:t xml:space="preserve">territory </w:t>
      </w:r>
      <w:r w:rsidR="00611044">
        <w:t xml:space="preserve">or local government </w:t>
      </w:r>
      <w:r w:rsidRPr="00211F98">
        <w:t>approval. Low</w:t>
      </w:r>
      <w:r w:rsidR="00553BCF">
        <w:noBreakHyphen/>
      </w:r>
      <w:r w:rsidRPr="00211F98">
        <w:t>impact facilities a</w:t>
      </w:r>
      <w:r>
        <w:t>re</w:t>
      </w:r>
      <w:r w:rsidRPr="00211F98">
        <w:t xml:space="preserve"> defined in the Telecommunications (Low-impact Facilities) Determination 1997. </w:t>
      </w:r>
    </w:p>
    <w:p w14:paraId="2BC13430" w14:textId="77777777" w:rsidR="004D33D2" w:rsidRDefault="004D33D2" w:rsidP="004D33D2">
      <w:r w:rsidRPr="00211F98">
        <w:t>While low-impact facilities are exempt from local government planning laws, carriers must still comply with Schedule 3 and the Telecommunications Code of Practice 1997, which includes notifying landowners and occupiers of their activities, ensuring minimal detriment and damage is caused by the activity</w:t>
      </w:r>
      <w:r>
        <w:t>,</w:t>
      </w:r>
      <w:r w:rsidRPr="00211F98">
        <w:t xml:space="preserve"> and restoring the land to a condition similar </w:t>
      </w:r>
      <w:r>
        <w:t xml:space="preserve">to its condition </w:t>
      </w:r>
      <w:r w:rsidRPr="00211F98">
        <w:t xml:space="preserve">before the activity began. </w:t>
      </w:r>
    </w:p>
    <w:p w14:paraId="2DFBCFBC" w14:textId="77777777" w:rsidR="004D33D2" w:rsidRPr="009C10A8" w:rsidRDefault="004D33D2" w:rsidP="004D33D2">
      <w:pPr>
        <w:pStyle w:val="Heading3"/>
        <w:rPr>
          <w:b w:val="0"/>
        </w:rPr>
      </w:pPr>
      <w:bookmarkStart w:id="617" w:name="_Toc462132199"/>
      <w:bookmarkStart w:id="618" w:name="_Toc462899546"/>
      <w:bookmarkStart w:id="619" w:name="_Toc463529026"/>
      <w:bookmarkStart w:id="620" w:name="_Toc494799361"/>
      <w:bookmarkStart w:id="621" w:name="_Toc494805664"/>
      <w:bookmarkStart w:id="622" w:name="_Toc494805893"/>
      <w:bookmarkStart w:id="623" w:name="_Toc494808123"/>
      <w:bookmarkStart w:id="624" w:name="_Toc494808559"/>
      <w:bookmarkStart w:id="625" w:name="_Toc494815930"/>
      <w:bookmarkStart w:id="626" w:name="_Toc494818791"/>
      <w:bookmarkStart w:id="627" w:name="_Toc494819058"/>
      <w:r w:rsidRPr="009C10A8">
        <w:t>Mobile phone base stations</w:t>
      </w:r>
      <w:bookmarkEnd w:id="617"/>
      <w:bookmarkEnd w:id="618"/>
      <w:bookmarkEnd w:id="619"/>
      <w:bookmarkEnd w:id="620"/>
      <w:bookmarkEnd w:id="621"/>
      <w:bookmarkEnd w:id="622"/>
      <w:bookmarkEnd w:id="623"/>
      <w:bookmarkEnd w:id="624"/>
      <w:bookmarkEnd w:id="625"/>
      <w:bookmarkEnd w:id="626"/>
      <w:bookmarkEnd w:id="627"/>
    </w:p>
    <w:p w14:paraId="305D1EEA" w14:textId="77777777" w:rsidR="004D33D2" w:rsidRPr="00211F98" w:rsidRDefault="004D33D2" w:rsidP="004D33D2">
      <w:r w:rsidRPr="00211F98">
        <w:t xml:space="preserve">Optus, Telstra and Vodafone </w:t>
      </w:r>
      <w:r>
        <w:t>and</w:t>
      </w:r>
      <w:r w:rsidR="00527D29">
        <w:t>,</w:t>
      </w:r>
      <w:r w:rsidDel="00856952">
        <w:t xml:space="preserve"> </w:t>
      </w:r>
      <w:r>
        <w:t>more recently, TPG Telecom</w:t>
      </w:r>
      <w:r>
        <w:rPr>
          <w:rStyle w:val="EndnoteReference"/>
        </w:rPr>
        <w:endnoteReference w:id="132"/>
      </w:r>
      <w:r>
        <w:t xml:space="preserve"> </w:t>
      </w:r>
      <w:r w:rsidRPr="00211F98">
        <w:t xml:space="preserve">are the </w:t>
      </w:r>
      <w:r>
        <w:t xml:space="preserve">four </w:t>
      </w:r>
      <w:r w:rsidRPr="00211F98">
        <w:t xml:space="preserve">carriers that operate mobile phone networks in Australia. When installing mobile phone base stations, these carriers are required to comply with the C564:2011 </w:t>
      </w:r>
      <w:r w:rsidRPr="002A6497">
        <w:rPr>
          <w:i/>
        </w:rPr>
        <w:t>Mobile Phone Base Station Deployment Code</w:t>
      </w:r>
      <w:r w:rsidRPr="00211F98">
        <w:t xml:space="preserve">. The code supplements the requirements already imposed on carriers under the existing legislative scheme by requiring </w:t>
      </w:r>
      <w:r>
        <w:t>carriers</w:t>
      </w:r>
      <w:r w:rsidRPr="00211F98">
        <w:t xml:space="preserve"> to consult with local communities and adopt a precautionary approach in planning, installing and operating mobile phone base stations.</w:t>
      </w:r>
    </w:p>
    <w:p w14:paraId="7F77B2A6" w14:textId="77777777" w:rsidR="004D33D2" w:rsidRPr="00211F98" w:rsidRDefault="004D33D2" w:rsidP="004D33D2">
      <w:r w:rsidRPr="00211F98">
        <w:t xml:space="preserve">The mobile communications industry has developed a national database of mobile phone base stations—the National Site Archive—to improve access to information about the deployment of mobile phone infrastructure across Australia. The archive contains information about most mobile phone towers deployed by carriers and includes electromagnetic energy reports about communications facilities. This information is available at </w:t>
      </w:r>
      <w:hyperlink r:id="rId48" w:history="1">
        <w:r w:rsidRPr="00211F98">
          <w:rPr>
            <w:rStyle w:val="Hyperlink"/>
          </w:rPr>
          <w:t>www.rfnsa.com.au</w:t>
        </w:r>
      </w:hyperlink>
      <w:r w:rsidRPr="00211F98">
        <w:t>.</w:t>
      </w:r>
    </w:p>
    <w:p w14:paraId="2E0D7AA0" w14:textId="77777777" w:rsidR="004D33D2" w:rsidRPr="009C10A8" w:rsidRDefault="004D33D2" w:rsidP="004D33D2">
      <w:pPr>
        <w:pStyle w:val="Heading3"/>
        <w:rPr>
          <w:b w:val="0"/>
        </w:rPr>
      </w:pPr>
      <w:bookmarkStart w:id="628" w:name="_Toc462132200"/>
      <w:bookmarkStart w:id="629" w:name="_Toc462899547"/>
      <w:bookmarkStart w:id="630" w:name="_Toc463529027"/>
      <w:bookmarkStart w:id="631" w:name="_Toc494799362"/>
      <w:bookmarkStart w:id="632" w:name="_Toc494805665"/>
      <w:bookmarkStart w:id="633" w:name="_Toc494805894"/>
      <w:bookmarkStart w:id="634" w:name="_Toc494808124"/>
      <w:bookmarkStart w:id="635" w:name="_Toc494808560"/>
      <w:bookmarkStart w:id="636" w:name="_Toc494815931"/>
      <w:bookmarkStart w:id="637" w:name="_Toc494818792"/>
      <w:bookmarkStart w:id="638" w:name="_Toc494819059"/>
      <w:r w:rsidRPr="009C10A8">
        <w:t>Objections and enquiries to the ACMA</w:t>
      </w:r>
      <w:bookmarkEnd w:id="628"/>
      <w:bookmarkEnd w:id="629"/>
      <w:bookmarkEnd w:id="630"/>
      <w:bookmarkEnd w:id="631"/>
      <w:bookmarkEnd w:id="632"/>
      <w:bookmarkEnd w:id="633"/>
      <w:bookmarkEnd w:id="634"/>
      <w:bookmarkEnd w:id="635"/>
      <w:bookmarkEnd w:id="636"/>
      <w:bookmarkEnd w:id="637"/>
      <w:bookmarkEnd w:id="638"/>
    </w:p>
    <w:p w14:paraId="56260A64" w14:textId="77777777" w:rsidR="004D33D2" w:rsidRPr="00211F98" w:rsidRDefault="004D33D2" w:rsidP="004D33D2">
      <w:r w:rsidRPr="00211F98">
        <w:t xml:space="preserve">Complaints about carriers’ compliance with the industry code are directed to the carriers in the first instance. The </w:t>
      </w:r>
      <w:r w:rsidR="00472041">
        <w:t>M</w:t>
      </w:r>
      <w:r w:rsidR="00B815D5">
        <w:t>obile phone base s</w:t>
      </w:r>
      <w:r w:rsidR="00472041">
        <w:t>tation</w:t>
      </w:r>
      <w:r w:rsidRPr="00211F98">
        <w:t xml:space="preserve"> code specifies mandatory processes for complaints-handling by carriers. If a complainant is dissatisfied with a carrier’s response to their complaint, they are able to </w:t>
      </w:r>
      <w:r>
        <w:t>lodge an objection</w:t>
      </w:r>
      <w:r w:rsidRPr="00211F98">
        <w:t xml:space="preserve"> to the ACMA. The ACMA will assess the objection against the code and decide whether to formally investigate the matter under Part 26 of the </w:t>
      </w:r>
      <w:r w:rsidRPr="00531CD0">
        <w:t>Telecommunications Act</w:t>
      </w:r>
      <w:r w:rsidRPr="00211F98">
        <w:t xml:space="preserve">. If the ACMA decides to investigate the matter, and a breach of the code is found, compliance or enforcement action </w:t>
      </w:r>
      <w:r w:rsidR="004F5879">
        <w:t>may</w:t>
      </w:r>
      <w:r w:rsidR="004F5879" w:rsidRPr="00211F98">
        <w:t xml:space="preserve"> </w:t>
      </w:r>
      <w:r w:rsidRPr="00211F98">
        <w:t>be taken against the carrier.</w:t>
      </w:r>
    </w:p>
    <w:p w14:paraId="0C6975FF" w14:textId="77777777" w:rsidR="004D33D2" w:rsidRPr="00211F98" w:rsidRDefault="004D33D2" w:rsidP="004D33D2">
      <w:r>
        <w:t>In 2016–17</w:t>
      </w:r>
      <w:r w:rsidRPr="00211F98">
        <w:t xml:space="preserve">, the ACMA received </w:t>
      </w:r>
      <w:r>
        <w:t>12</w:t>
      </w:r>
      <w:r w:rsidRPr="00211F98">
        <w:t xml:space="preserve"> objections and </w:t>
      </w:r>
      <w:r>
        <w:t>35</w:t>
      </w:r>
      <w:r w:rsidRPr="00211F98">
        <w:t xml:space="preserve"> enquiries </w:t>
      </w:r>
      <w:r>
        <w:t>about</w:t>
      </w:r>
      <w:r w:rsidRPr="00211F98">
        <w:t xml:space="preserve"> the </w:t>
      </w:r>
      <w:r w:rsidR="00B815D5">
        <w:t>Mobile phone base station</w:t>
      </w:r>
      <w:r w:rsidR="00B815D5" w:rsidRPr="00211F98">
        <w:t xml:space="preserve"> </w:t>
      </w:r>
      <w:r w:rsidRPr="00211F98">
        <w:t>code (Figure 1.7).</w:t>
      </w:r>
      <w:r w:rsidRPr="00211F98">
        <w:rPr>
          <w:rStyle w:val="EndnoteReference"/>
        </w:rPr>
        <w:endnoteReference w:id="133"/>
      </w:r>
      <w:r w:rsidRPr="00211F98">
        <w:t xml:space="preserve"> Carriers undertook a total of </w:t>
      </w:r>
      <w:r>
        <w:t>3,920</w:t>
      </w:r>
      <w:r w:rsidRPr="00211F98">
        <w:t xml:space="preserve"> consultations during the reporting period.</w:t>
      </w:r>
    </w:p>
    <w:p w14:paraId="44E07F0B" w14:textId="77777777" w:rsidR="004D33D2" w:rsidRPr="002A6497" w:rsidRDefault="004D33D2" w:rsidP="004D33D2">
      <w:r w:rsidRPr="00211F98">
        <w:t xml:space="preserve">The ACMA received </w:t>
      </w:r>
      <w:r>
        <w:t>63</w:t>
      </w:r>
      <w:r w:rsidRPr="00211F98">
        <w:t xml:space="preserve"> enquiries and</w:t>
      </w:r>
      <w:r w:rsidRPr="002A6497">
        <w:t xml:space="preserve"> </w:t>
      </w:r>
      <w:r>
        <w:t>three</w:t>
      </w:r>
      <w:r w:rsidRPr="002A6497">
        <w:t xml:space="preserve"> complaints from local councils, carriers, solicitors, landowners and members of the public about matters covered by Schedule 3 to the Telecommunications Act and the Telecommunications Code of Practice 1997.</w:t>
      </w:r>
    </w:p>
    <w:p w14:paraId="7376A6CE" w14:textId="77777777" w:rsidR="004D33D2" w:rsidRDefault="004D33D2" w:rsidP="004D33D2">
      <w:r w:rsidRPr="002A6497">
        <w:t xml:space="preserve">The ACMA also closed one </w:t>
      </w:r>
      <w:r w:rsidR="00FD5D76">
        <w:t>Part 26</w:t>
      </w:r>
      <w:r w:rsidRPr="002A6497">
        <w:t xml:space="preserve"> investigation into an alleged contravention of Schedule 3 to the Telecommunications Act, with no breach being found.</w:t>
      </w:r>
    </w:p>
    <w:p w14:paraId="29EA1690" w14:textId="77777777" w:rsidR="004D33D2" w:rsidRPr="00C05881" w:rsidRDefault="004D33D2" w:rsidP="00E14F15">
      <w:pPr>
        <w:pStyle w:val="ACMAFigureHeader"/>
        <w:keepNext/>
      </w:pPr>
      <w:r w:rsidRPr="00C05881">
        <w:t>Figure 1.7</w:t>
      </w:r>
      <w:r w:rsidRPr="00C05881">
        <w:tab/>
      </w:r>
      <w:r>
        <w:t>Number of i</w:t>
      </w:r>
      <w:r w:rsidRPr="00C05881">
        <w:t>ndustry code enquiries and objections received by the ACMA</w:t>
      </w:r>
    </w:p>
    <w:p w14:paraId="1470512E" w14:textId="77777777" w:rsidR="000A1CD9" w:rsidRPr="00F12AB9" w:rsidRDefault="00EB564E" w:rsidP="00041283">
      <w:pPr>
        <w:spacing w:after="0"/>
        <w:rPr>
          <w:rFonts w:cs="Arial"/>
        </w:rPr>
      </w:pPr>
      <w:r>
        <w:rPr>
          <w:rFonts w:cs="Arial"/>
          <w:noProof/>
        </w:rPr>
        <w:drawing>
          <wp:inline distT="0" distB="0" distL="0" distR="0" wp14:anchorId="44F2D8DF" wp14:editId="0B0BA3E9">
            <wp:extent cx="5940425" cy="1589405"/>
            <wp:effectExtent l="0" t="0" r="3175" b="0"/>
            <wp:docPr id="24" name="Picture 24" descr="Data for Figure 1.7 is in the .ods file for Chapter 1 on the landing page ‘Communications report 2016-17’, available from the ACMA website." title="Figure 1.7  Number of industry code enquiries and objections received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CH1 - charts_Figure 1.7.png"/>
                    <pic:cNvPicPr/>
                  </pic:nvPicPr>
                  <pic:blipFill>
                    <a:blip r:embed="rId49">
                      <a:extLst>
                        <a:ext uri="{28A0092B-C50C-407E-A947-70E740481C1C}">
                          <a14:useLocalDpi xmlns:a14="http://schemas.microsoft.com/office/drawing/2010/main" val="0"/>
                        </a:ext>
                      </a:extLst>
                    </a:blip>
                    <a:stretch>
                      <a:fillRect/>
                    </a:stretch>
                  </pic:blipFill>
                  <pic:spPr>
                    <a:xfrm>
                      <a:off x="0" y="0"/>
                      <a:ext cx="5940425" cy="1589405"/>
                    </a:xfrm>
                    <a:prstGeom prst="rect">
                      <a:avLst/>
                    </a:prstGeom>
                  </pic:spPr>
                </pic:pic>
              </a:graphicData>
            </a:graphic>
          </wp:inline>
        </w:drawing>
      </w:r>
    </w:p>
    <w:p w14:paraId="33E71466" w14:textId="77777777" w:rsidR="000A1CD9" w:rsidRDefault="000A1CD9" w:rsidP="00041283">
      <w:pPr>
        <w:pStyle w:val="ACMANotesspaceafter"/>
        <w:spacing w:before="240" w:after="360"/>
      </w:pPr>
      <w:r w:rsidRPr="00F12AB9">
        <w:t>Source: ACMA.</w:t>
      </w:r>
    </w:p>
    <w:p w14:paraId="430659DB" w14:textId="77777777" w:rsidR="00AA6C29" w:rsidRPr="009C10A8" w:rsidRDefault="00AA6C29" w:rsidP="004F3D89">
      <w:pPr>
        <w:pStyle w:val="Heading3"/>
        <w:keepLines/>
        <w:rPr>
          <w:b w:val="0"/>
          <w:bCs w:val="0"/>
        </w:rPr>
      </w:pPr>
      <w:bookmarkStart w:id="639" w:name="_Toc494799363"/>
      <w:bookmarkStart w:id="640" w:name="_Toc494805666"/>
      <w:bookmarkStart w:id="641" w:name="_Toc494805895"/>
      <w:bookmarkStart w:id="642" w:name="_Toc494808125"/>
      <w:bookmarkStart w:id="643" w:name="_Toc494808561"/>
      <w:bookmarkStart w:id="644" w:name="_Toc494815932"/>
      <w:bookmarkStart w:id="645" w:name="_Toc494818793"/>
      <w:bookmarkStart w:id="646" w:name="_Toc494819060"/>
      <w:r w:rsidRPr="009C10A8">
        <w:t>Complaints to the TIO about facility installations</w:t>
      </w:r>
      <w:bookmarkEnd w:id="639"/>
      <w:bookmarkEnd w:id="640"/>
      <w:bookmarkEnd w:id="641"/>
      <w:bookmarkEnd w:id="642"/>
      <w:bookmarkEnd w:id="643"/>
      <w:bookmarkEnd w:id="644"/>
      <w:bookmarkEnd w:id="645"/>
      <w:bookmarkEnd w:id="646"/>
    </w:p>
    <w:p w14:paraId="65B2075D" w14:textId="77777777" w:rsidR="00AA6C29" w:rsidRPr="00F12AB9" w:rsidRDefault="00AA6C29" w:rsidP="004F3D89">
      <w:pPr>
        <w:keepNext/>
        <w:keepLines/>
      </w:pPr>
      <w:r w:rsidRPr="00F12AB9">
        <w:t xml:space="preserve">The </w:t>
      </w:r>
      <w:r>
        <w:t>TIO</w:t>
      </w:r>
      <w:r w:rsidRPr="00F12AB9">
        <w:t xml:space="preserve"> can consider objections to land access, and the installation and maintenance of low-impact facilities. The majority of land access complaints to the TIO relate to damage to property by carriers. During the reporting period, the TIO received a total of </w:t>
      </w:r>
      <w:r>
        <w:t>624</w:t>
      </w:r>
      <w:r w:rsidRPr="00F12AB9">
        <w:t xml:space="preserve"> new complaints (not including enquiries)—a </w:t>
      </w:r>
      <w:r>
        <w:t>15</w:t>
      </w:r>
      <w:r w:rsidRPr="00F12AB9">
        <w:t xml:space="preserve"> per cent increase from the 201</w:t>
      </w:r>
      <w:r>
        <w:t>5</w:t>
      </w:r>
      <w:r w:rsidRPr="00F12AB9">
        <w:t>–1</w:t>
      </w:r>
      <w:r>
        <w:t>6</w:t>
      </w:r>
      <w:r w:rsidRPr="00F12AB9">
        <w:t xml:space="preserve"> reporting period (Figure </w:t>
      </w:r>
      <w:r>
        <w:t>1.8</w:t>
      </w:r>
      <w:r w:rsidRPr="00F12AB9">
        <w:t xml:space="preserve">)—and completed </w:t>
      </w:r>
      <w:r>
        <w:t>one</w:t>
      </w:r>
      <w:r w:rsidRPr="00F12AB9">
        <w:t xml:space="preserve"> investigation. </w:t>
      </w:r>
    </w:p>
    <w:p w14:paraId="79D16EB2" w14:textId="77777777" w:rsidR="00AA6C29" w:rsidRPr="00F12AB9" w:rsidRDefault="00AA6C29" w:rsidP="004F3D89">
      <w:pPr>
        <w:keepNext/>
        <w:keepLines/>
        <w:spacing w:after="80"/>
      </w:pPr>
      <w:r w:rsidRPr="00F12AB9">
        <w:t>Of the new complaints received by the TIO during 201</w:t>
      </w:r>
      <w:r>
        <w:t>6</w:t>
      </w:r>
      <w:r w:rsidRPr="00F12AB9">
        <w:t>–1</w:t>
      </w:r>
      <w:r>
        <w:t>7</w:t>
      </w:r>
      <w:r w:rsidRPr="00F12AB9">
        <w:t>:</w:t>
      </w:r>
    </w:p>
    <w:p w14:paraId="7290A2CA" w14:textId="77777777" w:rsidR="00AA6C29" w:rsidRPr="00F12AB9" w:rsidRDefault="00AA6C29" w:rsidP="004F3D89">
      <w:pPr>
        <w:pStyle w:val="ListBullet"/>
        <w:keepNext/>
        <w:keepLines/>
      </w:pPr>
      <w:r>
        <w:t xml:space="preserve">107 </w:t>
      </w:r>
      <w:r w:rsidRPr="00F12AB9">
        <w:t>were from owners/occupiers of land about carriers billing them for damage to cables allegedly caused by the owner/occupier</w:t>
      </w:r>
    </w:p>
    <w:p w14:paraId="31C2109A" w14:textId="77777777" w:rsidR="00AA6C29" w:rsidRPr="00F12AB9" w:rsidRDefault="00AA6C29" w:rsidP="00DC2B04">
      <w:pPr>
        <w:pStyle w:val="ListBullet"/>
      </w:pPr>
      <w:r>
        <w:t xml:space="preserve">366 </w:t>
      </w:r>
      <w:r w:rsidRPr="00F12AB9">
        <w:t>were from owners/occupiers of land about alleged damage to property by the provider</w:t>
      </w:r>
    </w:p>
    <w:p w14:paraId="7D03A91A" w14:textId="77777777" w:rsidR="00AA6C29" w:rsidRDefault="00AA6C29" w:rsidP="00DC2B04">
      <w:pPr>
        <w:pStyle w:val="ListBullet"/>
      </w:pPr>
      <w:r>
        <w:t xml:space="preserve">65 were about </w:t>
      </w:r>
      <w:r w:rsidRPr="00F12AB9">
        <w:t xml:space="preserve">failure to </w:t>
      </w:r>
      <w:r>
        <w:t>give</w:t>
      </w:r>
      <w:r w:rsidRPr="00F12AB9">
        <w:t xml:space="preserve"> notice to the owner/occupier</w:t>
      </w:r>
      <w:r>
        <w:t xml:space="preserve"> of land about the installation or maintenance of a low-impact facility</w:t>
      </w:r>
    </w:p>
    <w:p w14:paraId="107B3D63" w14:textId="77777777" w:rsidR="00AA6C29" w:rsidRPr="00F12AB9" w:rsidRDefault="00AA6C29" w:rsidP="00DC2B04">
      <w:pPr>
        <w:pStyle w:val="ListBullet"/>
      </w:pPr>
      <w:r>
        <w:t>25</w:t>
      </w:r>
      <w:r w:rsidRPr="00F12AB9">
        <w:t xml:space="preserve"> related to the standard of service from providers when installing subscriber connections</w:t>
      </w:r>
    </w:p>
    <w:p w14:paraId="62EECB04" w14:textId="3825ABAC" w:rsidR="00AA6C29" w:rsidRDefault="000E7AF0" w:rsidP="00DC2B04">
      <w:pPr>
        <w:pStyle w:val="ListBullet"/>
      </w:pPr>
      <w:r>
        <w:t>16</w:t>
      </w:r>
      <w:r w:rsidR="00AA6C29">
        <w:t xml:space="preserve"> </w:t>
      </w:r>
      <w:r w:rsidR="00AA6C29" w:rsidRPr="00F12AB9">
        <w:t>were formal objections to the low-impact facility activity by the land</w:t>
      </w:r>
      <w:r w:rsidR="00AA6C29">
        <w:t>-</w:t>
      </w:r>
      <w:r w:rsidR="00AA6C29" w:rsidRPr="00F12AB9">
        <w:t>owner/occupier</w:t>
      </w:r>
    </w:p>
    <w:p w14:paraId="7DEF404D" w14:textId="77777777" w:rsidR="00AA6C29" w:rsidRDefault="00AA6C29" w:rsidP="00DC2B04">
      <w:pPr>
        <w:pStyle w:val="ListBullet"/>
      </w:pPr>
      <w:r>
        <w:t>23</w:t>
      </w:r>
      <w:r w:rsidRPr="00F12AB9">
        <w:t xml:space="preserve"> were premature objections</w:t>
      </w:r>
    </w:p>
    <w:p w14:paraId="5E82C0BC" w14:textId="77777777" w:rsidR="00AA6C29" w:rsidRDefault="00AA6C29" w:rsidP="00DC2B04">
      <w:pPr>
        <w:pStyle w:val="ListBulletLast"/>
      </w:pPr>
      <w:r>
        <w:t>23</w:t>
      </w:r>
      <w:r w:rsidRPr="00873DD4">
        <w:t xml:space="preserve"> </w:t>
      </w:r>
      <w:r w:rsidRPr="00F12AB9">
        <w:t>related to the standard of service from providers when installing subscriber connections</w:t>
      </w:r>
      <w:r>
        <w:t>.</w:t>
      </w:r>
    </w:p>
    <w:p w14:paraId="5928C263" w14:textId="64327F5F" w:rsidR="00AA6C29" w:rsidRPr="00F12AB9" w:rsidRDefault="00BD5092" w:rsidP="00756EE3">
      <w:pPr>
        <w:keepLines/>
        <w:tabs>
          <w:tab w:val="left" w:pos="3544"/>
        </w:tabs>
      </w:pPr>
      <w:r>
        <w:t>The</w:t>
      </w:r>
      <w:r w:rsidR="00AA6C29" w:rsidRPr="00F12AB9">
        <w:t xml:space="preserve"> TIO made directions to carriers in </w:t>
      </w:r>
      <w:r w:rsidR="00AA6C29">
        <w:t>four</w:t>
      </w:r>
      <w:r w:rsidR="00AA6C29" w:rsidRPr="00F12AB9">
        <w:t xml:space="preserve"> cases</w:t>
      </w:r>
      <w:r w:rsidR="00AA6C29">
        <w:t>.</w:t>
      </w:r>
      <w:r w:rsidR="00AD2B94">
        <w:rPr>
          <w:rStyle w:val="EndnoteReference"/>
        </w:rPr>
        <w:endnoteReference w:id="134"/>
      </w:r>
      <w:r w:rsidR="00AA6C29">
        <w:t xml:space="preserve"> Three cases were withdrawn and seven have yet to be finalised. In two cases, the land access activity could not proceed because of a non-compliant notice, or failure to comply with the requirements under the </w:t>
      </w:r>
      <w:r w:rsidR="00E72150">
        <w:t xml:space="preserve">Telecommunications </w:t>
      </w:r>
      <w:r w:rsidR="00AA6C29">
        <w:t xml:space="preserve">Act or the </w:t>
      </w:r>
      <w:r w:rsidR="00E72150">
        <w:t>Telecommunications</w:t>
      </w:r>
      <w:r w:rsidR="00AA6C29">
        <w:t xml:space="preserve"> Code of Practice</w:t>
      </w:r>
      <w:r w:rsidR="00E72150">
        <w:t xml:space="preserve"> 1997</w:t>
      </w:r>
      <w:r w:rsidR="00476770">
        <w:t>,</w:t>
      </w:r>
      <w:r w:rsidR="00AA6C29">
        <w:t xml:space="preserve"> or because the TIO determined the objection was about a facility that was not low</w:t>
      </w:r>
      <w:r w:rsidR="00CC0BFA">
        <w:noBreakHyphen/>
      </w:r>
      <w:r w:rsidR="00AA6C29">
        <w:t>impact.</w:t>
      </w:r>
      <w:r w:rsidR="00AA6C29" w:rsidRPr="00F12AB9">
        <w:t xml:space="preserve"> </w:t>
      </w:r>
    </w:p>
    <w:p w14:paraId="0BB644DB" w14:textId="77777777" w:rsidR="00AA6C29" w:rsidRPr="00EB3FEF" w:rsidRDefault="00AA6C29" w:rsidP="00E14F15">
      <w:pPr>
        <w:pStyle w:val="ACMAFigureHeader"/>
        <w:keepNext/>
      </w:pPr>
      <w:r w:rsidRPr="00EB3FEF">
        <w:t>Figure 1.8</w:t>
      </w:r>
      <w:r w:rsidRPr="00EB3FEF">
        <w:tab/>
      </w:r>
      <w:r>
        <w:t>Number of facility</w:t>
      </w:r>
      <w:r w:rsidRPr="00EB3FEF">
        <w:t xml:space="preserve"> installation complaints/land access complaints received by the TIO</w:t>
      </w:r>
    </w:p>
    <w:p w14:paraId="6A7C46D2" w14:textId="77777777" w:rsidR="000A1CD9" w:rsidRPr="00F12AB9" w:rsidRDefault="00EB564E" w:rsidP="00852644">
      <w:pPr>
        <w:spacing w:after="120"/>
        <w:rPr>
          <w:rFonts w:cs="Arial"/>
        </w:rPr>
      </w:pPr>
      <w:r>
        <w:rPr>
          <w:rFonts w:cs="Arial"/>
          <w:noProof/>
        </w:rPr>
        <w:drawing>
          <wp:inline distT="0" distB="0" distL="0" distR="0" wp14:anchorId="6DB3634E" wp14:editId="4E819675">
            <wp:extent cx="5940425" cy="1484630"/>
            <wp:effectExtent l="0" t="0" r="3175" b="1270"/>
            <wp:docPr id="25" name="Picture 25" descr="Data for Figure 1.8 is in the .ods file for Chapter 1 on the landing page ‘Communications report 2016-17’, available from the ACMA website." title="Figure 1.8  Number of facility installation complaints/land access complaints received by the T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CH1 - charts_Figure 1.8.png"/>
                    <pic:cNvPicPr/>
                  </pic:nvPicPr>
                  <pic:blipFill>
                    <a:blip r:embed="rId50">
                      <a:extLst>
                        <a:ext uri="{28A0092B-C50C-407E-A947-70E740481C1C}">
                          <a14:useLocalDpi xmlns:a14="http://schemas.microsoft.com/office/drawing/2010/main" val="0"/>
                        </a:ext>
                      </a:extLst>
                    </a:blip>
                    <a:stretch>
                      <a:fillRect/>
                    </a:stretch>
                  </pic:blipFill>
                  <pic:spPr>
                    <a:xfrm>
                      <a:off x="0" y="0"/>
                      <a:ext cx="5940425" cy="1484630"/>
                    </a:xfrm>
                    <a:prstGeom prst="rect">
                      <a:avLst/>
                    </a:prstGeom>
                  </pic:spPr>
                </pic:pic>
              </a:graphicData>
            </a:graphic>
          </wp:inline>
        </w:drawing>
      </w:r>
    </w:p>
    <w:p w14:paraId="3CB5C825" w14:textId="77777777" w:rsidR="000A1CD9" w:rsidRDefault="000A1CD9" w:rsidP="00041283">
      <w:pPr>
        <w:pStyle w:val="ACMANotesspaceafter"/>
        <w:spacing w:before="240" w:after="360"/>
      </w:pPr>
      <w:r w:rsidRPr="00F12AB9">
        <w:t>Source: TIO.</w:t>
      </w:r>
    </w:p>
    <w:p w14:paraId="24CC15D3" w14:textId="77777777" w:rsidR="006709DC" w:rsidRPr="002A6497" w:rsidRDefault="006709DC" w:rsidP="006709DC">
      <w:pPr>
        <w:pStyle w:val="Heading3"/>
      </w:pPr>
      <w:bookmarkStart w:id="647" w:name="_Toc462132202"/>
      <w:bookmarkStart w:id="648" w:name="_Toc462899549"/>
      <w:bookmarkStart w:id="649" w:name="_Toc463529029"/>
      <w:bookmarkStart w:id="650" w:name="_Toc494799364"/>
      <w:bookmarkStart w:id="651" w:name="_Toc494805667"/>
      <w:bookmarkStart w:id="652" w:name="_Toc494805896"/>
      <w:bookmarkStart w:id="653" w:name="_Toc494808126"/>
      <w:bookmarkStart w:id="654" w:name="_Toc494808562"/>
      <w:bookmarkStart w:id="655" w:name="_Toc494815933"/>
      <w:bookmarkStart w:id="656" w:name="_Toc494818794"/>
      <w:bookmarkStart w:id="657" w:name="_Toc494819061"/>
      <w:bookmarkStart w:id="658" w:name="_Toc433790399"/>
      <w:r w:rsidRPr="002A6497">
        <w:t>Interference</w:t>
      </w:r>
      <w:bookmarkEnd w:id="647"/>
      <w:bookmarkEnd w:id="648"/>
      <w:bookmarkEnd w:id="649"/>
      <w:bookmarkEnd w:id="650"/>
      <w:bookmarkEnd w:id="651"/>
      <w:bookmarkEnd w:id="652"/>
      <w:bookmarkEnd w:id="653"/>
      <w:bookmarkEnd w:id="654"/>
      <w:bookmarkEnd w:id="655"/>
      <w:bookmarkEnd w:id="656"/>
      <w:bookmarkEnd w:id="657"/>
      <w:r w:rsidRPr="002A6497">
        <w:t xml:space="preserve"> </w:t>
      </w:r>
      <w:bookmarkEnd w:id="658"/>
    </w:p>
    <w:p w14:paraId="446E0616" w14:textId="77777777" w:rsidR="006709DC" w:rsidRPr="00383B9F" w:rsidRDefault="006709DC" w:rsidP="006709DC">
      <w:r w:rsidRPr="00383B9F">
        <w:t xml:space="preserve">Under the </w:t>
      </w:r>
      <w:r w:rsidRPr="00383B9F">
        <w:rPr>
          <w:i/>
        </w:rPr>
        <w:t>Radiocommunications Act 1992</w:t>
      </w:r>
      <w:r w:rsidRPr="00383B9F">
        <w:t>, the ACMA investigates complaints about interference to licensed radiocommunications. The ACMA classifies interference as either domestic systems or radiocommunications interference</w:t>
      </w:r>
      <w:r>
        <w:t xml:space="preserve"> according to the service being affected</w:t>
      </w:r>
      <w:r w:rsidRPr="00383B9F">
        <w:t>.</w:t>
      </w:r>
    </w:p>
    <w:p w14:paraId="4BEC49F1" w14:textId="77777777" w:rsidR="006709DC" w:rsidRPr="007E2737" w:rsidRDefault="006709DC" w:rsidP="00417346">
      <w:pPr>
        <w:pStyle w:val="Bodysubheader0"/>
      </w:pPr>
      <w:r w:rsidRPr="007E2737">
        <w:t>Domestic systems interference</w:t>
      </w:r>
    </w:p>
    <w:p w14:paraId="42DD751F" w14:textId="77777777" w:rsidR="006709DC" w:rsidRPr="007E2737" w:rsidRDefault="006709DC" w:rsidP="006709DC">
      <w:r w:rsidRPr="007E2737">
        <w:t xml:space="preserve">Domestic systems interference (DSI) refers to interference to the reception of </w:t>
      </w:r>
      <w:r w:rsidR="00D42B68">
        <w:t>FTA</w:t>
      </w:r>
      <w:r w:rsidRPr="007E2737">
        <w:t xml:space="preserve"> terrestrial radio or television broadcasting, usually in domestic premises. Household equipment is the major contributing source of DSI. </w:t>
      </w:r>
    </w:p>
    <w:p w14:paraId="44E3068B" w14:textId="77777777" w:rsidR="006709DC" w:rsidRPr="00373524" w:rsidRDefault="006709DC" w:rsidP="006709DC">
      <w:pPr>
        <w:rPr>
          <w:rFonts w:ascii="Calibri" w:hAnsi="Calibri"/>
        </w:rPr>
      </w:pPr>
      <w:r w:rsidRPr="00547959">
        <w:t>During 2016–17, there were 340 DSI</w:t>
      </w:r>
      <w:r w:rsidRPr="007E2737">
        <w:t xml:space="preserve"> complaints </w:t>
      </w:r>
      <w:r>
        <w:t xml:space="preserve">made </w:t>
      </w:r>
      <w:r w:rsidRPr="007E2737">
        <w:t xml:space="preserve">to the ACMA, comparable with complaint levels </w:t>
      </w:r>
      <w:r>
        <w:t>in</w:t>
      </w:r>
      <w:r w:rsidRPr="007E2737">
        <w:t xml:space="preserve"> 201</w:t>
      </w:r>
      <w:r>
        <w:t>5</w:t>
      </w:r>
      <w:r w:rsidR="00476770">
        <w:t>–</w:t>
      </w:r>
      <w:r w:rsidRPr="007E2737">
        <w:t>1</w:t>
      </w:r>
      <w:r>
        <w:t>6 (Figure 1.9</w:t>
      </w:r>
      <w:r w:rsidRPr="007E2737">
        <w:t xml:space="preserve">). </w:t>
      </w:r>
      <w:r w:rsidRPr="00547959">
        <w:t>The majority of DSI complaints (86</w:t>
      </w:r>
      <w:r>
        <w:t xml:space="preserve"> per cent</w:t>
      </w:r>
      <w:r w:rsidRPr="00547959">
        <w:t>) were about television interference</w:t>
      </w:r>
      <w:r>
        <w:t>,</w:t>
      </w:r>
      <w:r w:rsidRPr="00547959">
        <w:t xml:space="preserve"> with household electrical items and lighting devices</w:t>
      </w:r>
      <w:r w:rsidR="00476770">
        <w:t>,</w:t>
      </w:r>
      <w:r w:rsidRPr="00547959">
        <w:t xml:space="preserve"> includin</w:t>
      </w:r>
      <w:r>
        <w:t>g</w:t>
      </w:r>
      <w:r w:rsidRPr="00547959">
        <w:t xml:space="preserve"> LED downlights</w:t>
      </w:r>
      <w:r w:rsidR="00476770">
        <w:t>,</w:t>
      </w:r>
      <w:r w:rsidRPr="00547959">
        <w:t xml:space="preserve"> the most significant contributors to DSI interference.</w:t>
      </w:r>
    </w:p>
    <w:p w14:paraId="547EEBFF" w14:textId="77777777" w:rsidR="006709DC" w:rsidRPr="007E2737" w:rsidRDefault="006709DC" w:rsidP="006709DC">
      <w:pPr>
        <w:rPr>
          <w:rFonts w:cs="Arial"/>
        </w:rPr>
      </w:pPr>
      <w:r w:rsidRPr="00547959">
        <w:rPr>
          <w:rFonts w:cs="Arial"/>
        </w:rPr>
        <w:t>Eleven per cent of DSI complaints in 2016</w:t>
      </w:r>
      <w:r>
        <w:rPr>
          <w:rFonts w:cs="Arial"/>
        </w:rPr>
        <w:t>–</w:t>
      </w:r>
      <w:r w:rsidRPr="00547959">
        <w:rPr>
          <w:rFonts w:cs="Arial"/>
        </w:rPr>
        <w:t>17</w:t>
      </w:r>
      <w:r w:rsidRPr="007E2737">
        <w:rPr>
          <w:rFonts w:cs="Arial"/>
        </w:rPr>
        <w:t xml:space="preserve"> resulted in compliance action by the ACMA.</w:t>
      </w:r>
    </w:p>
    <w:p w14:paraId="243065E3" w14:textId="77777777" w:rsidR="006709DC" w:rsidRPr="007E2737" w:rsidRDefault="006709DC" w:rsidP="006709DC">
      <w:pPr>
        <w:pStyle w:val="ACMAHeading4"/>
      </w:pPr>
      <w:r w:rsidRPr="007E2737">
        <w:t>Radiocommunications interference</w:t>
      </w:r>
    </w:p>
    <w:p w14:paraId="6FC17D8B" w14:textId="77777777" w:rsidR="006709DC" w:rsidRPr="007E2737" w:rsidRDefault="006709DC" w:rsidP="006709DC">
      <w:r w:rsidRPr="007E2737">
        <w:t xml:space="preserve">Radiocommunications interference (RCI) is interference affecting a radiocommunications receiver used for non-broadcasting purposes, such as public safety, </w:t>
      </w:r>
      <w:r w:rsidRPr="00547959">
        <w:t>mobile telephone service</w:t>
      </w:r>
      <w:r>
        <w:t>, commercial</w:t>
      </w:r>
      <w:r w:rsidRPr="007E2737">
        <w:t xml:space="preserve"> and recreational services.</w:t>
      </w:r>
    </w:p>
    <w:p w14:paraId="6CFA33A8" w14:textId="77777777" w:rsidR="006709DC" w:rsidRPr="00B5305E" w:rsidRDefault="006709DC" w:rsidP="006709DC">
      <w:r w:rsidRPr="00547959">
        <w:t>During 2016–17,</w:t>
      </w:r>
      <w:r w:rsidRPr="007E2737">
        <w:t xml:space="preserve"> mobile telephone services continued to be more affected by interference than any other type of service. </w:t>
      </w:r>
      <w:r w:rsidRPr="00547959">
        <w:t xml:space="preserve">Compared </w:t>
      </w:r>
      <w:r w:rsidRPr="00547959" w:rsidDel="009B6917">
        <w:t xml:space="preserve">to </w:t>
      </w:r>
      <w:r>
        <w:t>2015–16</w:t>
      </w:r>
      <w:r w:rsidRPr="00547959">
        <w:t>, complaints of interference to 3G services reduced moderately</w:t>
      </w:r>
      <w:r w:rsidR="006B4689">
        <w:t>,</w:t>
      </w:r>
      <w:r w:rsidRPr="00547959">
        <w:t xml:space="preserve"> while complaints about interference to 4G services increased.</w:t>
      </w:r>
    </w:p>
    <w:p w14:paraId="559C9F1A" w14:textId="77777777" w:rsidR="000A1CD9" w:rsidRPr="00F12AB9" w:rsidRDefault="006709DC" w:rsidP="006709DC">
      <w:pPr>
        <w:keepLines/>
      </w:pPr>
      <w:r w:rsidRPr="007E2737">
        <w:t>Overall, there were fewer radiocommunications interference complaints</w:t>
      </w:r>
      <w:r>
        <w:t xml:space="preserve">, decreasing </w:t>
      </w:r>
      <w:r w:rsidRPr="007E2737">
        <w:t>from 621 in 2015–16</w:t>
      </w:r>
      <w:r>
        <w:t xml:space="preserve"> </w:t>
      </w:r>
      <w:r w:rsidRPr="00547959">
        <w:t>to 486 in 2016</w:t>
      </w:r>
      <w:r>
        <w:t>–</w:t>
      </w:r>
      <w:r w:rsidRPr="00547959">
        <w:t>17</w:t>
      </w:r>
      <w:r>
        <w:t>. (Figure 1.9</w:t>
      </w:r>
      <w:r w:rsidRPr="00547959">
        <w:t>). Complaints from mobile carriers accounted for 77</w:t>
      </w:r>
      <w:r>
        <w:t xml:space="preserve"> per cent</w:t>
      </w:r>
      <w:r w:rsidRPr="00547959">
        <w:t xml:space="preserve"> of RCI complaints made to the ACMA. There were eight complaints </w:t>
      </w:r>
      <w:r w:rsidR="006B4689">
        <w:t>about</w:t>
      </w:r>
      <w:r w:rsidR="006B4689" w:rsidRPr="00547959">
        <w:t xml:space="preserve"> </w:t>
      </w:r>
      <w:r w:rsidRPr="00547959">
        <w:t>interference to public safety radiocommunications services in 2016</w:t>
      </w:r>
      <w:r>
        <w:t>–</w:t>
      </w:r>
      <w:r w:rsidRPr="00547959">
        <w:t xml:space="preserve">17. While </w:t>
      </w:r>
      <w:r>
        <w:t>r</w:t>
      </w:r>
      <w:r w:rsidRPr="00547959">
        <w:t xml:space="preserve">adiocommunications transmitters continue to be the most significant source of interference, mobile phone repeaters and TV masthead amplifiers </w:t>
      </w:r>
      <w:r>
        <w:t xml:space="preserve">were </w:t>
      </w:r>
      <w:r w:rsidRPr="00547959">
        <w:t>also identified as significant sources.</w:t>
      </w:r>
      <w:r w:rsidRPr="00084646">
        <w:t xml:space="preserve"> </w:t>
      </w:r>
      <w:r w:rsidR="006B4689">
        <w:t>Fifty</w:t>
      </w:r>
      <w:r w:rsidRPr="00F103B8">
        <w:t xml:space="preserve"> </w:t>
      </w:r>
      <w:r>
        <w:t>per cent</w:t>
      </w:r>
      <w:r w:rsidRPr="007E2737">
        <w:t xml:space="preserve"> of RCI complaints resulted in compliance actions such as the issue of advice</w:t>
      </w:r>
      <w:r w:rsidR="00D61232">
        <w:t xml:space="preserve"> warning notices and </w:t>
      </w:r>
      <w:r>
        <w:t>directions to licensees</w:t>
      </w:r>
      <w:r w:rsidRPr="007E2737">
        <w:t>. These compliance actions were generally effective and required</w:t>
      </w:r>
      <w:r>
        <w:t xml:space="preserve"> no further action</w:t>
      </w:r>
      <w:r w:rsidR="008F76DD">
        <w:t>.</w:t>
      </w:r>
      <w:r w:rsidR="004F70F1">
        <w:rPr>
          <w:rStyle w:val="EndnoteReference"/>
        </w:rPr>
        <w:endnoteReference w:id="135"/>
      </w:r>
    </w:p>
    <w:p w14:paraId="74909803" w14:textId="77777777" w:rsidR="006709DC" w:rsidRPr="00CE7D8C" w:rsidRDefault="006709DC" w:rsidP="00E14F15">
      <w:pPr>
        <w:pStyle w:val="ACMAFigureHeader"/>
        <w:keepNext/>
      </w:pPr>
      <w:r w:rsidRPr="00CE7D8C">
        <w:t>Figure 1.9</w:t>
      </w:r>
      <w:r w:rsidRPr="00CE7D8C">
        <w:tab/>
      </w:r>
      <w:r>
        <w:t xml:space="preserve">Number of </w:t>
      </w:r>
      <w:r w:rsidRPr="00CE7D8C">
        <w:t>DSI and RCI complaints and compliance actions</w:t>
      </w:r>
    </w:p>
    <w:p w14:paraId="6A2496AF" w14:textId="34A20A6C" w:rsidR="000A1CD9" w:rsidRPr="00F12AB9" w:rsidRDefault="00BF0474" w:rsidP="00041283">
      <w:pPr>
        <w:spacing w:after="0"/>
      </w:pPr>
      <w:r>
        <w:rPr>
          <w:noProof/>
        </w:rPr>
        <w:drawing>
          <wp:inline distT="0" distB="0" distL="0" distR="0" wp14:anchorId="4776A9A6" wp14:editId="6A947E10">
            <wp:extent cx="5940425" cy="3175000"/>
            <wp:effectExtent l="0" t="0" r="3175" b="6350"/>
            <wp:docPr id="33" name="Picture 33" descr="Data for Figure 1.9 is in the .ods file for Chapter 1 on the landing page ‘Communications report 2016-17’, available from the ACMA website." title="Figure 1.9  Number of DSI and RCI complaints and compliance 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CH1 - charts green_Figure 1.9.png"/>
                    <pic:cNvPicPr/>
                  </pic:nvPicPr>
                  <pic:blipFill>
                    <a:blip r:embed="rId51">
                      <a:extLst>
                        <a:ext uri="{28A0092B-C50C-407E-A947-70E740481C1C}">
                          <a14:useLocalDpi xmlns:a14="http://schemas.microsoft.com/office/drawing/2010/main" val="0"/>
                        </a:ext>
                      </a:extLst>
                    </a:blip>
                    <a:stretch>
                      <a:fillRect/>
                    </a:stretch>
                  </pic:blipFill>
                  <pic:spPr>
                    <a:xfrm>
                      <a:off x="0" y="0"/>
                      <a:ext cx="5940425" cy="3175000"/>
                    </a:xfrm>
                    <a:prstGeom prst="rect">
                      <a:avLst/>
                    </a:prstGeom>
                  </pic:spPr>
                </pic:pic>
              </a:graphicData>
            </a:graphic>
          </wp:inline>
        </w:drawing>
      </w:r>
    </w:p>
    <w:p w14:paraId="18B5B17C" w14:textId="77777777" w:rsidR="004E627F" w:rsidRPr="00BE3BEB" w:rsidRDefault="004E627F" w:rsidP="00041283">
      <w:pPr>
        <w:pStyle w:val="ACMANotes"/>
        <w:spacing w:before="240"/>
      </w:pPr>
      <w:r w:rsidRPr="00BE3BEB">
        <w:t>Base: Number of complaints and compliance actions.</w:t>
      </w:r>
    </w:p>
    <w:p w14:paraId="0D66A9D5" w14:textId="77777777" w:rsidR="004E627F" w:rsidRDefault="004E627F" w:rsidP="00041283">
      <w:pPr>
        <w:pStyle w:val="ACMANotesspaceafter"/>
        <w:spacing w:after="360"/>
      </w:pPr>
      <w:r w:rsidRPr="004E627F">
        <w:t>Source: Domestic system interference and radiocommunications interference complaints to the ACMA.</w:t>
      </w:r>
    </w:p>
    <w:p w14:paraId="368E044E" w14:textId="77777777" w:rsidR="00BB3B9F" w:rsidRPr="00640FDC" w:rsidRDefault="00BB3B9F" w:rsidP="002210F1">
      <w:pPr>
        <w:pStyle w:val="Heading2"/>
        <w:numPr>
          <w:ilvl w:val="1"/>
          <w:numId w:val="14"/>
        </w:numPr>
      </w:pPr>
      <w:bookmarkStart w:id="659" w:name="_Toc494799365"/>
      <w:bookmarkStart w:id="660" w:name="_Toc494805668"/>
      <w:bookmarkStart w:id="661" w:name="_Toc494805897"/>
      <w:bookmarkStart w:id="662" w:name="_Toc494808127"/>
      <w:bookmarkStart w:id="663" w:name="_Toc494808563"/>
      <w:bookmarkStart w:id="664" w:name="_Toc494815934"/>
      <w:bookmarkStart w:id="665" w:name="_Toc494818795"/>
      <w:bookmarkStart w:id="666" w:name="_Toc494819062"/>
      <w:bookmarkStart w:id="667" w:name="_Toc500320895"/>
      <w:r w:rsidRPr="00640FDC">
        <w:t>Carrier licensing and CSPs</w:t>
      </w:r>
      <w:bookmarkEnd w:id="659"/>
      <w:bookmarkEnd w:id="660"/>
      <w:bookmarkEnd w:id="661"/>
      <w:bookmarkEnd w:id="662"/>
      <w:bookmarkEnd w:id="663"/>
      <w:bookmarkEnd w:id="664"/>
      <w:bookmarkEnd w:id="665"/>
      <w:bookmarkEnd w:id="666"/>
      <w:bookmarkEnd w:id="667"/>
      <w:r w:rsidRPr="00640FDC">
        <w:t xml:space="preserve"> </w:t>
      </w:r>
    </w:p>
    <w:p w14:paraId="0147F975" w14:textId="77777777" w:rsidR="00BB3B9F" w:rsidRDefault="00BB3B9F" w:rsidP="00756EE3">
      <w:pPr>
        <w:keepNext/>
        <w:keepLines/>
      </w:pPr>
      <w:r>
        <w:t>At 30 June 2017, t</w:t>
      </w:r>
      <w:r w:rsidRPr="00E17A26">
        <w:t xml:space="preserve">here were </w:t>
      </w:r>
      <w:r>
        <w:t>276</w:t>
      </w:r>
      <w:r w:rsidRPr="00E17A26">
        <w:t xml:space="preserve"> licensed carriers in Australia</w:t>
      </w:r>
      <w:r w:rsidR="00314325">
        <w:t xml:space="preserve"> (a rise of 10.4 per cent)</w:t>
      </w:r>
      <w:r w:rsidRPr="00E17A26">
        <w:t>, with the ACMA granting 3</w:t>
      </w:r>
      <w:r>
        <w:t>3</w:t>
      </w:r>
      <w:r w:rsidRPr="00E17A26">
        <w:t xml:space="preserve"> carrier licences </w:t>
      </w:r>
      <w:r>
        <w:t>in</w:t>
      </w:r>
      <w:r w:rsidRPr="00E17A26">
        <w:t xml:space="preserve"> </w:t>
      </w:r>
      <w:r>
        <w:t xml:space="preserve">2016–17 </w:t>
      </w:r>
      <w:r w:rsidRPr="00E17A26">
        <w:t>(Figure 1.</w:t>
      </w:r>
      <w:r>
        <w:t>10</w:t>
      </w:r>
      <w:r w:rsidRPr="00E17A26">
        <w:t xml:space="preserve">). In the same period, </w:t>
      </w:r>
      <w:r>
        <w:t>four</w:t>
      </w:r>
      <w:r w:rsidRPr="00E17A26">
        <w:t xml:space="preserve"> carriers surrendered their licences, with </w:t>
      </w:r>
      <w:r>
        <w:t>three</w:t>
      </w:r>
      <w:r w:rsidRPr="00E17A26">
        <w:t xml:space="preserve"> carrier</w:t>
      </w:r>
      <w:r>
        <w:t xml:space="preserve"> licence</w:t>
      </w:r>
      <w:r w:rsidR="00B80577">
        <w:t>-</w:t>
      </w:r>
      <w:r>
        <w:t>holders</w:t>
      </w:r>
      <w:r w:rsidRPr="00E17A26">
        <w:t xml:space="preserve"> being deregistered by the Australian Securities and Investments Commission</w:t>
      </w:r>
      <w:r>
        <w:t xml:space="preserve"> (ASIC)</w:t>
      </w:r>
      <w:r w:rsidRPr="00E17A26">
        <w:t>.</w:t>
      </w:r>
    </w:p>
    <w:p w14:paraId="4139BE2B" w14:textId="77777777" w:rsidR="00A70A6C" w:rsidRDefault="00A70A6C" w:rsidP="00041283">
      <w:pPr>
        <w:pStyle w:val="ACMAFigureHeader"/>
        <w:keepNext/>
        <w:keepLines/>
      </w:pPr>
      <w:r w:rsidRPr="00EA416A">
        <w:t>Figure 1.10</w:t>
      </w:r>
      <w:r w:rsidRPr="00EA416A">
        <w:tab/>
      </w:r>
      <w:r w:rsidRPr="00EA416A">
        <w:tab/>
      </w:r>
      <w:r>
        <w:t>Number of carrier licences</w:t>
      </w:r>
      <w:r w:rsidRPr="00EA416A">
        <w:t xml:space="preserve"> </w:t>
      </w:r>
    </w:p>
    <w:p w14:paraId="5F414818" w14:textId="77777777" w:rsidR="00A70A6C" w:rsidRDefault="00757DAC" w:rsidP="00041283">
      <w:pPr>
        <w:pStyle w:val="ACMASpaceaftertable"/>
        <w:spacing w:after="0"/>
      </w:pPr>
      <w:r>
        <w:rPr>
          <w:noProof/>
        </w:rPr>
        <w:drawing>
          <wp:inline distT="0" distB="0" distL="0" distR="0" wp14:anchorId="14521FCE" wp14:editId="2BBDAB92">
            <wp:extent cx="6338030" cy="3735421"/>
            <wp:effectExtent l="0" t="0" r="5715" b="0"/>
            <wp:docPr id="26" name="Picture 26" descr="Data for Figure 1.10 is in the .ods file for Chapter 1 on the landing page ‘Communications report 2016-17’, available from the ACMA website." title="Figure 1.10  Number of carrier licenc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CH1 - charts_Figure 1.10.png"/>
                    <pic:cNvPicPr/>
                  </pic:nvPicPr>
                  <pic:blipFill rotWithShape="1">
                    <a:blip r:embed="rId52">
                      <a:extLst>
                        <a:ext uri="{28A0092B-C50C-407E-A947-70E740481C1C}">
                          <a14:useLocalDpi xmlns:a14="http://schemas.microsoft.com/office/drawing/2010/main" val="0"/>
                        </a:ext>
                      </a:extLst>
                    </a:blip>
                    <a:srcRect l="481" r="-1"/>
                    <a:stretch/>
                  </pic:blipFill>
                  <pic:spPr bwMode="auto">
                    <a:xfrm>
                      <a:off x="0" y="0"/>
                      <a:ext cx="6345294" cy="3739702"/>
                    </a:xfrm>
                    <a:prstGeom prst="rect">
                      <a:avLst/>
                    </a:prstGeom>
                    <a:ln>
                      <a:noFill/>
                    </a:ln>
                    <a:extLst>
                      <a:ext uri="{53640926-AAD7-44D8-BBD7-CCE9431645EC}">
                        <a14:shadowObscured xmlns:a14="http://schemas.microsoft.com/office/drawing/2010/main"/>
                      </a:ext>
                    </a:extLst>
                  </pic:spPr>
                </pic:pic>
              </a:graphicData>
            </a:graphic>
          </wp:inline>
        </w:drawing>
      </w:r>
    </w:p>
    <w:p w14:paraId="6677A92B" w14:textId="77777777" w:rsidR="00A70A6C" w:rsidRDefault="00A70A6C" w:rsidP="00041283">
      <w:pPr>
        <w:pStyle w:val="ACMANotesspaceafter"/>
        <w:spacing w:before="240" w:after="360"/>
      </w:pPr>
      <w:r w:rsidRPr="00E54E30">
        <w:t>Source: ACMA.</w:t>
      </w:r>
    </w:p>
    <w:p w14:paraId="17A1B868" w14:textId="5C5539F0" w:rsidR="00A70A6C" w:rsidRDefault="00A70A6C" w:rsidP="00A70A6C">
      <w:pPr>
        <w:rPr>
          <w:rFonts w:cs="Arial"/>
        </w:rPr>
      </w:pPr>
      <w:r w:rsidRPr="00E17A26">
        <w:rPr>
          <w:rFonts w:cs="Arial"/>
        </w:rPr>
        <w:t>At 30 June 201</w:t>
      </w:r>
      <w:r>
        <w:rPr>
          <w:rFonts w:cs="Arial"/>
        </w:rPr>
        <w:t>7</w:t>
      </w:r>
      <w:r w:rsidRPr="00E17A26">
        <w:rPr>
          <w:rFonts w:cs="Arial"/>
        </w:rPr>
        <w:t xml:space="preserve">, there were </w:t>
      </w:r>
      <w:r>
        <w:rPr>
          <w:rFonts w:cs="Arial"/>
        </w:rPr>
        <w:t>90</w:t>
      </w:r>
      <w:r w:rsidRPr="00E17A26">
        <w:rPr>
          <w:rFonts w:cs="Arial"/>
        </w:rPr>
        <w:t xml:space="preserve"> nominated carrier declarations (NCDs) in force</w:t>
      </w:r>
      <w:r w:rsidR="00B80577">
        <w:rPr>
          <w:rFonts w:cs="Arial"/>
        </w:rPr>
        <w:t>. In 2016–17</w:t>
      </w:r>
      <w:r>
        <w:rPr>
          <w:rFonts w:cs="Arial"/>
        </w:rPr>
        <w:t>, the ACMA granted eight</w:t>
      </w:r>
      <w:r w:rsidRPr="00E17A26">
        <w:rPr>
          <w:rFonts w:cs="Arial"/>
        </w:rPr>
        <w:t xml:space="preserve"> NCDs and </w:t>
      </w:r>
      <w:r>
        <w:rPr>
          <w:rFonts w:cs="Arial"/>
        </w:rPr>
        <w:t>revoked</w:t>
      </w:r>
      <w:r w:rsidRPr="00E17A26">
        <w:rPr>
          <w:rFonts w:cs="Arial"/>
        </w:rPr>
        <w:t xml:space="preserve"> </w:t>
      </w:r>
      <w:r>
        <w:rPr>
          <w:rFonts w:cs="Arial"/>
        </w:rPr>
        <w:t>two</w:t>
      </w:r>
      <w:r w:rsidRPr="00E17A26">
        <w:rPr>
          <w:rFonts w:cs="Arial"/>
          <w:vertAlign w:val="superscript"/>
        </w:rPr>
        <w:endnoteReference w:id="136"/>
      </w:r>
      <w:r w:rsidR="00D32A74">
        <w:rPr>
          <w:rFonts w:cs="Arial"/>
        </w:rPr>
        <w:t>, and also</w:t>
      </w:r>
      <w:r w:rsidRPr="00E17A26">
        <w:rPr>
          <w:rFonts w:cs="Arial"/>
        </w:rPr>
        <w:t xml:space="preserve"> issued </w:t>
      </w:r>
      <w:r>
        <w:rPr>
          <w:rFonts w:cs="Arial"/>
        </w:rPr>
        <w:t>six</w:t>
      </w:r>
      <w:r w:rsidRPr="00E17A26">
        <w:rPr>
          <w:rFonts w:cs="Arial"/>
        </w:rPr>
        <w:t xml:space="preserve"> trial certificates</w:t>
      </w:r>
      <w:r w:rsidR="00F2524A">
        <w:rPr>
          <w:rFonts w:cs="Arial"/>
        </w:rPr>
        <w:t>,</w:t>
      </w:r>
      <w:r w:rsidRPr="00E17A26">
        <w:rPr>
          <w:rFonts w:cs="Arial"/>
        </w:rPr>
        <w:t xml:space="preserve"> compared with </w:t>
      </w:r>
      <w:r>
        <w:rPr>
          <w:rFonts w:cs="Arial"/>
        </w:rPr>
        <w:t>four</w:t>
      </w:r>
      <w:r w:rsidRPr="00E17A26">
        <w:rPr>
          <w:rFonts w:cs="Arial"/>
        </w:rPr>
        <w:t xml:space="preserve"> in </w:t>
      </w:r>
      <w:r w:rsidR="00D32A74">
        <w:rPr>
          <w:rFonts w:cs="Arial"/>
        </w:rPr>
        <w:br/>
      </w:r>
      <w:r>
        <w:rPr>
          <w:rFonts w:cs="Arial"/>
        </w:rPr>
        <w:t>2015–16</w:t>
      </w:r>
      <w:r w:rsidR="00F2524A">
        <w:rPr>
          <w:rFonts w:cs="Arial"/>
        </w:rPr>
        <w:t xml:space="preserve"> (Figure 1.11)</w:t>
      </w:r>
      <w:r w:rsidRPr="00E17A26">
        <w:rPr>
          <w:rFonts w:cs="Arial"/>
        </w:rPr>
        <w:t>.</w:t>
      </w:r>
      <w:r w:rsidRPr="00E17A26">
        <w:rPr>
          <w:vertAlign w:val="superscript"/>
        </w:rPr>
        <w:endnoteReference w:id="137"/>
      </w:r>
    </w:p>
    <w:p w14:paraId="322C22D5" w14:textId="77777777" w:rsidR="00A70A6C" w:rsidRPr="00697D37" w:rsidRDefault="00A70A6C" w:rsidP="00041283">
      <w:pPr>
        <w:pStyle w:val="ACMAFigureHeader"/>
        <w:keepNext/>
        <w:keepLines/>
      </w:pPr>
      <w:r w:rsidRPr="00EA416A">
        <w:t>Figure 1.1</w:t>
      </w:r>
      <w:r w:rsidRPr="00774662">
        <w:t>1</w:t>
      </w:r>
      <w:r w:rsidRPr="00697D37">
        <w:tab/>
      </w:r>
      <w:r>
        <w:t>Number of n</w:t>
      </w:r>
      <w:r w:rsidRPr="00697D37">
        <w:t>ominated carrier declarations</w:t>
      </w:r>
    </w:p>
    <w:p w14:paraId="62410FEE" w14:textId="77777777" w:rsidR="00A70A6C" w:rsidRDefault="00F9474E" w:rsidP="00041283">
      <w:pPr>
        <w:spacing w:after="0"/>
      </w:pPr>
      <w:r>
        <w:rPr>
          <w:noProof/>
        </w:rPr>
        <w:drawing>
          <wp:inline distT="0" distB="0" distL="0" distR="0" wp14:anchorId="2999DCDB" wp14:editId="6E13280E">
            <wp:extent cx="6461872" cy="3317398"/>
            <wp:effectExtent l="0" t="0" r="0" b="0"/>
            <wp:docPr id="27" name="Picture 27" descr="Data for Figure 1.11 is in the .ods file for Chapter 1 on the landing page ‘Communications report 2016-17’, available from the ACMA website." title="Figure 1.11  Number of nominated carrier decla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CH1 - charts_Figure 1.11.png"/>
                    <pic:cNvPicPr/>
                  </pic:nvPicPr>
                  <pic:blipFill rotWithShape="1">
                    <a:blip r:embed="rId53">
                      <a:extLst>
                        <a:ext uri="{28A0092B-C50C-407E-A947-70E740481C1C}">
                          <a14:useLocalDpi xmlns:a14="http://schemas.microsoft.com/office/drawing/2010/main" val="0"/>
                        </a:ext>
                      </a:extLst>
                    </a:blip>
                    <a:srcRect r="2076"/>
                    <a:stretch/>
                  </pic:blipFill>
                  <pic:spPr bwMode="auto">
                    <a:xfrm>
                      <a:off x="0" y="0"/>
                      <a:ext cx="6471288" cy="3322232"/>
                    </a:xfrm>
                    <a:prstGeom prst="rect">
                      <a:avLst/>
                    </a:prstGeom>
                    <a:ln>
                      <a:noFill/>
                    </a:ln>
                    <a:extLst>
                      <a:ext uri="{53640926-AAD7-44D8-BBD7-CCE9431645EC}">
                        <a14:shadowObscured xmlns:a14="http://schemas.microsoft.com/office/drawing/2010/main"/>
                      </a:ext>
                    </a:extLst>
                  </pic:spPr>
                </pic:pic>
              </a:graphicData>
            </a:graphic>
          </wp:inline>
        </w:drawing>
      </w:r>
    </w:p>
    <w:p w14:paraId="750D1365" w14:textId="77777777" w:rsidR="00FA3CE6" w:rsidRDefault="00FA3CE6" w:rsidP="00041283">
      <w:pPr>
        <w:pStyle w:val="ACMANotesspaceafter"/>
        <w:spacing w:before="240" w:after="360"/>
      </w:pPr>
      <w:r w:rsidRPr="00E54E30">
        <w:t>Source: ACMA.</w:t>
      </w:r>
    </w:p>
    <w:p w14:paraId="11AE0627" w14:textId="77777777" w:rsidR="00FA3CE6" w:rsidRPr="00E17A26" w:rsidRDefault="00FA3CE6" w:rsidP="00041283">
      <w:r>
        <w:rPr>
          <w:rFonts w:cs="Arial"/>
        </w:rPr>
        <w:t>At</w:t>
      </w:r>
      <w:r w:rsidRPr="00C6689D">
        <w:rPr>
          <w:rFonts w:cs="Arial"/>
        </w:rPr>
        <w:t xml:space="preserve"> June 2017, the total number of CSPs identified as member</w:t>
      </w:r>
      <w:r w:rsidRPr="00B85C54">
        <w:rPr>
          <w:rFonts w:cs="Arial"/>
        </w:rPr>
        <w:t>s of the TIO scheme fell to</w:t>
      </w:r>
      <w:r>
        <w:rPr>
          <w:rFonts w:cs="Arial"/>
        </w:rPr>
        <w:t xml:space="preserve"> </w:t>
      </w:r>
      <w:r w:rsidRPr="00352F6A">
        <w:rPr>
          <w:rFonts w:cs="Arial"/>
        </w:rPr>
        <w:t>1,518 (a</w:t>
      </w:r>
      <w:r>
        <w:rPr>
          <w:rFonts w:cs="Arial"/>
        </w:rPr>
        <w:t xml:space="preserve"> 5.1</w:t>
      </w:r>
      <w:r w:rsidRPr="00352F6A">
        <w:rPr>
          <w:rFonts w:cs="Arial"/>
        </w:rPr>
        <w:t xml:space="preserve"> per cent decrease).</w:t>
      </w:r>
      <w:r w:rsidR="00D32A74">
        <w:rPr>
          <w:rFonts w:cs="Arial"/>
        </w:rPr>
        <w:t xml:space="preserve"> </w:t>
      </w:r>
      <w:r w:rsidRPr="00FA7DD4">
        <w:t>While CSPs do not need to be licensed or registered, TIO scheme membership is mandatory for all eligible CSPs that provide or resell telecommunications services to consumers and small businesses.</w:t>
      </w:r>
      <w:r w:rsidRPr="00E17A26">
        <w:t xml:space="preserve"> </w:t>
      </w:r>
    </w:p>
    <w:p w14:paraId="5C2EAE67" w14:textId="77777777" w:rsidR="00FA3CE6" w:rsidRPr="008767EB" w:rsidRDefault="00FA3CE6" w:rsidP="002210F1">
      <w:pPr>
        <w:pStyle w:val="Heading2"/>
        <w:numPr>
          <w:ilvl w:val="1"/>
          <w:numId w:val="14"/>
        </w:numPr>
      </w:pPr>
      <w:bookmarkStart w:id="668" w:name="_Toc494799366"/>
      <w:bookmarkStart w:id="669" w:name="_Toc494805669"/>
      <w:bookmarkStart w:id="670" w:name="_Toc494805898"/>
      <w:bookmarkStart w:id="671" w:name="_Toc494808128"/>
      <w:bookmarkStart w:id="672" w:name="_Toc494808564"/>
      <w:bookmarkStart w:id="673" w:name="_Toc494815935"/>
      <w:bookmarkStart w:id="674" w:name="_Toc494818796"/>
      <w:bookmarkStart w:id="675" w:name="_Toc494819063"/>
      <w:bookmarkStart w:id="676" w:name="_Toc500320896"/>
      <w:r w:rsidRPr="008767EB">
        <w:t>Allocation of numbers</w:t>
      </w:r>
      <w:bookmarkEnd w:id="668"/>
      <w:bookmarkEnd w:id="669"/>
      <w:bookmarkEnd w:id="670"/>
      <w:bookmarkEnd w:id="671"/>
      <w:bookmarkEnd w:id="672"/>
      <w:bookmarkEnd w:id="673"/>
      <w:bookmarkEnd w:id="674"/>
      <w:bookmarkEnd w:id="675"/>
      <w:bookmarkEnd w:id="676"/>
    </w:p>
    <w:p w14:paraId="05E59404" w14:textId="77777777" w:rsidR="00FA3CE6" w:rsidRPr="009D0255" w:rsidRDefault="00FA3CE6" w:rsidP="00FA3CE6">
      <w:pPr>
        <w:pStyle w:val="Heading3"/>
        <w:keepLines/>
      </w:pPr>
      <w:bookmarkStart w:id="677" w:name="_Toc494799367"/>
      <w:bookmarkStart w:id="678" w:name="_Toc494805670"/>
      <w:bookmarkStart w:id="679" w:name="_Toc494805899"/>
      <w:bookmarkStart w:id="680" w:name="_Toc494808129"/>
      <w:bookmarkStart w:id="681" w:name="_Toc494808565"/>
      <w:bookmarkStart w:id="682" w:name="_Toc494815936"/>
      <w:bookmarkStart w:id="683" w:name="_Toc494818797"/>
      <w:bookmarkStart w:id="684" w:name="_Toc494819064"/>
      <w:r>
        <w:t>S</w:t>
      </w:r>
      <w:r w:rsidRPr="009D0255">
        <w:t>martnumbers</w:t>
      </w:r>
      <w:bookmarkEnd w:id="677"/>
      <w:bookmarkEnd w:id="678"/>
      <w:bookmarkEnd w:id="679"/>
      <w:bookmarkEnd w:id="680"/>
      <w:bookmarkEnd w:id="681"/>
      <w:bookmarkEnd w:id="682"/>
      <w:bookmarkEnd w:id="683"/>
      <w:bookmarkEnd w:id="684"/>
    </w:p>
    <w:p w14:paraId="536C14D3" w14:textId="77777777" w:rsidR="00FA3CE6" w:rsidRPr="002031E4" w:rsidRDefault="00FA3CE6" w:rsidP="00FA3CE6">
      <w:pPr>
        <w:keepNext/>
        <w:keepLines/>
        <w:spacing w:line="240" w:lineRule="auto"/>
        <w:rPr>
          <w:rFonts w:cs="Arial"/>
          <w:bCs/>
        </w:rPr>
      </w:pPr>
      <w:r w:rsidRPr="002031E4">
        <w:rPr>
          <w:rFonts w:cs="Arial"/>
          <w:bCs/>
        </w:rPr>
        <w:t>The Numbering</w:t>
      </w:r>
      <w:r w:rsidR="00D32A74">
        <w:rPr>
          <w:rFonts w:cs="Arial"/>
          <w:bCs/>
        </w:rPr>
        <w:t xml:space="preserve"> </w:t>
      </w:r>
      <w:r w:rsidRPr="002031E4">
        <w:rPr>
          <w:rFonts w:cs="Arial"/>
          <w:bCs/>
        </w:rPr>
        <w:t xml:space="preserve">System sells the rights of use to </w:t>
      </w:r>
      <w:r w:rsidRPr="00417346">
        <w:rPr>
          <w:rFonts w:cs="Arial"/>
          <w:bCs/>
        </w:rPr>
        <w:t>smart</w:t>
      </w:r>
      <w:r w:rsidRPr="00C24CFC">
        <w:rPr>
          <w:rFonts w:cs="Arial"/>
          <w:bCs/>
        </w:rPr>
        <w:t>numbers</w:t>
      </w:r>
      <w:r w:rsidRPr="00015D34">
        <w:rPr>
          <w:rFonts w:cs="Arial"/>
          <w:bCs/>
        </w:rPr>
        <w:t xml:space="preserve"> (</w:t>
      </w:r>
      <w:r w:rsidRPr="002031E4">
        <w:rPr>
          <w:rFonts w:cs="Arial"/>
          <w:bCs/>
        </w:rPr>
        <w:t xml:space="preserve">numbers </w:t>
      </w:r>
      <w:r w:rsidR="00D32A74">
        <w:rPr>
          <w:rFonts w:cs="Arial"/>
          <w:bCs/>
        </w:rPr>
        <w:t>starting</w:t>
      </w:r>
      <w:r w:rsidR="00D32A74" w:rsidRPr="002031E4">
        <w:rPr>
          <w:rFonts w:cs="Arial"/>
          <w:bCs/>
        </w:rPr>
        <w:t xml:space="preserve"> </w:t>
      </w:r>
      <w:r w:rsidRPr="002031E4">
        <w:rPr>
          <w:rFonts w:cs="Arial"/>
          <w:bCs/>
        </w:rPr>
        <w:t xml:space="preserve">with 13, 1300 and 1800 where the number </w:t>
      </w:r>
      <w:r>
        <w:rPr>
          <w:rFonts w:cs="Arial"/>
          <w:bCs/>
        </w:rPr>
        <w:t xml:space="preserve">may </w:t>
      </w:r>
      <w:r w:rsidRPr="002031E4">
        <w:rPr>
          <w:rFonts w:cs="Arial"/>
          <w:bCs/>
        </w:rPr>
        <w:t>ha</w:t>
      </w:r>
      <w:r>
        <w:rPr>
          <w:rFonts w:cs="Arial"/>
          <w:bCs/>
        </w:rPr>
        <w:t>ve</w:t>
      </w:r>
      <w:r w:rsidRPr="002031E4">
        <w:rPr>
          <w:rFonts w:cs="Arial"/>
          <w:bCs/>
        </w:rPr>
        <w:t xml:space="preserve"> a valuable pattern</w:t>
      </w:r>
      <w:r>
        <w:rPr>
          <w:rFonts w:cs="Arial"/>
          <w:bCs/>
        </w:rPr>
        <w:t xml:space="preserve"> or spell a</w:t>
      </w:r>
      <w:r w:rsidRPr="002031E4">
        <w:rPr>
          <w:rFonts w:cs="Arial"/>
          <w:bCs/>
        </w:rPr>
        <w:t xml:space="preserve"> word). In 2016–17, the rights of use to 4,931 </w:t>
      </w:r>
      <w:r>
        <w:rPr>
          <w:rFonts w:cs="Arial"/>
          <w:bCs/>
        </w:rPr>
        <w:t>smart</w:t>
      </w:r>
      <w:r w:rsidRPr="002031E4">
        <w:rPr>
          <w:rFonts w:cs="Arial"/>
          <w:bCs/>
        </w:rPr>
        <w:t>numbers were sold, raising approximately $1.83</w:t>
      </w:r>
      <w:r>
        <w:rPr>
          <w:rFonts w:cs="Arial"/>
          <w:bCs/>
        </w:rPr>
        <w:t xml:space="preserve"> </w:t>
      </w:r>
      <w:r w:rsidRPr="002031E4">
        <w:rPr>
          <w:rFonts w:cs="Arial"/>
          <w:bCs/>
        </w:rPr>
        <w:t xml:space="preserve">million in revenue. This quantity of numbers was </w:t>
      </w:r>
      <w:r>
        <w:rPr>
          <w:rFonts w:cs="Arial"/>
          <w:bCs/>
        </w:rPr>
        <w:t>two</w:t>
      </w:r>
      <w:r w:rsidRPr="002031E4">
        <w:rPr>
          <w:rFonts w:cs="Arial"/>
          <w:bCs/>
        </w:rPr>
        <w:t xml:space="preserve"> per cent </w:t>
      </w:r>
      <w:r>
        <w:rPr>
          <w:rFonts w:cs="Arial"/>
          <w:bCs/>
        </w:rPr>
        <w:t>down</w:t>
      </w:r>
      <w:r w:rsidRPr="002031E4">
        <w:rPr>
          <w:rFonts w:cs="Arial"/>
          <w:bCs/>
        </w:rPr>
        <w:t xml:space="preserve"> on </w:t>
      </w:r>
      <w:r>
        <w:rPr>
          <w:rFonts w:cs="Arial"/>
          <w:bCs/>
        </w:rPr>
        <w:t>2015–16</w:t>
      </w:r>
      <w:r w:rsidR="00D32A74">
        <w:rPr>
          <w:rFonts w:cs="Arial"/>
          <w:bCs/>
        </w:rPr>
        <w:t xml:space="preserve"> when </w:t>
      </w:r>
      <w:r>
        <w:rPr>
          <w:rFonts w:cs="Arial"/>
          <w:bCs/>
        </w:rPr>
        <w:t>5,051</w:t>
      </w:r>
      <w:r w:rsidRPr="002031E4">
        <w:rPr>
          <w:rFonts w:cs="Arial"/>
          <w:bCs/>
        </w:rPr>
        <w:t xml:space="preserve"> </w:t>
      </w:r>
      <w:r>
        <w:rPr>
          <w:rFonts w:cs="Arial"/>
          <w:bCs/>
        </w:rPr>
        <w:t>smart</w:t>
      </w:r>
      <w:r w:rsidRPr="002031E4">
        <w:rPr>
          <w:rFonts w:cs="Arial"/>
          <w:bCs/>
        </w:rPr>
        <w:t xml:space="preserve">numbers </w:t>
      </w:r>
      <w:r w:rsidR="00D32A74">
        <w:rPr>
          <w:rFonts w:cs="Arial"/>
          <w:bCs/>
        </w:rPr>
        <w:t xml:space="preserve">were </w:t>
      </w:r>
      <w:r>
        <w:rPr>
          <w:rFonts w:cs="Arial"/>
          <w:bCs/>
        </w:rPr>
        <w:t>sold, rais</w:t>
      </w:r>
      <w:r w:rsidR="00D32A74">
        <w:rPr>
          <w:rFonts w:cs="Arial"/>
          <w:bCs/>
        </w:rPr>
        <w:t>ing</w:t>
      </w:r>
      <w:r>
        <w:rPr>
          <w:rFonts w:cs="Arial"/>
          <w:bCs/>
        </w:rPr>
        <w:t xml:space="preserve"> </w:t>
      </w:r>
      <w:r w:rsidRPr="002031E4">
        <w:rPr>
          <w:rFonts w:cs="Arial"/>
          <w:bCs/>
        </w:rPr>
        <w:t>approximately $1.</w:t>
      </w:r>
      <w:r>
        <w:rPr>
          <w:rFonts w:cs="Arial"/>
          <w:bCs/>
        </w:rPr>
        <w:t>75 million</w:t>
      </w:r>
      <w:r w:rsidRPr="002031E4">
        <w:rPr>
          <w:rFonts w:cs="Arial"/>
          <w:bCs/>
        </w:rPr>
        <w:t xml:space="preserve">. </w:t>
      </w:r>
    </w:p>
    <w:p w14:paraId="7467C568" w14:textId="77777777" w:rsidR="00FA3CE6" w:rsidRPr="009D0255" w:rsidRDefault="00FA3CE6" w:rsidP="00FA3CE6">
      <w:pPr>
        <w:pStyle w:val="Heading3"/>
      </w:pPr>
      <w:bookmarkStart w:id="685" w:name="_Toc494799368"/>
      <w:bookmarkStart w:id="686" w:name="_Toc494805671"/>
      <w:bookmarkStart w:id="687" w:name="_Toc494805900"/>
      <w:bookmarkStart w:id="688" w:name="_Toc494808130"/>
      <w:bookmarkStart w:id="689" w:name="_Toc494808566"/>
      <w:bookmarkStart w:id="690" w:name="_Toc494815937"/>
      <w:bookmarkStart w:id="691" w:name="_Toc494818798"/>
      <w:bookmarkStart w:id="692" w:name="_Toc494819065"/>
      <w:r w:rsidRPr="009D0255">
        <w:t>Geographic numbers</w:t>
      </w:r>
      <w:bookmarkEnd w:id="685"/>
      <w:bookmarkEnd w:id="686"/>
      <w:bookmarkEnd w:id="687"/>
      <w:bookmarkEnd w:id="688"/>
      <w:bookmarkEnd w:id="689"/>
      <w:bookmarkEnd w:id="690"/>
      <w:bookmarkEnd w:id="691"/>
      <w:bookmarkEnd w:id="692"/>
    </w:p>
    <w:p w14:paraId="4C0D100E" w14:textId="77777777" w:rsidR="00FA3CE6" w:rsidRPr="00C87D12" w:rsidRDefault="00FA3CE6" w:rsidP="00417346">
      <w:pPr>
        <w:keepNext/>
        <w:spacing w:line="240" w:lineRule="auto"/>
        <w:rPr>
          <w:rFonts w:cs="Arial"/>
          <w:bCs/>
        </w:rPr>
      </w:pPr>
      <w:r w:rsidRPr="009D0255">
        <w:rPr>
          <w:rFonts w:cs="Arial"/>
          <w:bCs/>
        </w:rPr>
        <w:t>In 201</w:t>
      </w:r>
      <w:r>
        <w:rPr>
          <w:rFonts w:cs="Arial"/>
          <w:bCs/>
        </w:rPr>
        <w:t>6</w:t>
      </w:r>
      <w:r w:rsidRPr="009D0255">
        <w:rPr>
          <w:rFonts w:cs="Arial"/>
          <w:bCs/>
        </w:rPr>
        <w:t>–1</w:t>
      </w:r>
      <w:r>
        <w:rPr>
          <w:rFonts w:cs="Arial"/>
          <w:bCs/>
        </w:rPr>
        <w:t>7</w:t>
      </w:r>
      <w:r w:rsidRPr="009D0255">
        <w:rPr>
          <w:rFonts w:cs="Arial"/>
          <w:bCs/>
        </w:rPr>
        <w:t xml:space="preserve">, </w:t>
      </w:r>
      <w:r w:rsidRPr="00FA7DD4">
        <w:rPr>
          <w:rFonts w:cs="Arial"/>
          <w:bCs/>
        </w:rPr>
        <w:t xml:space="preserve">CSPs were allocated </w:t>
      </w:r>
      <w:r>
        <w:rPr>
          <w:rFonts w:cs="Arial"/>
          <w:bCs/>
        </w:rPr>
        <w:t>7,020,800</w:t>
      </w:r>
      <w:r w:rsidRPr="00FA7DD4">
        <w:rPr>
          <w:rFonts w:cs="Arial"/>
          <w:bCs/>
        </w:rPr>
        <w:t xml:space="preserve"> geographic numbers</w:t>
      </w:r>
      <w:r w:rsidR="00D32A74">
        <w:rPr>
          <w:rFonts w:cs="Arial"/>
          <w:bCs/>
        </w:rPr>
        <w:t xml:space="preserve">, </w:t>
      </w:r>
      <w:r>
        <w:rPr>
          <w:rFonts w:cs="Arial"/>
          <w:bCs/>
        </w:rPr>
        <w:t>compare</w:t>
      </w:r>
      <w:r w:rsidR="00D32A74">
        <w:rPr>
          <w:rFonts w:cs="Arial"/>
          <w:bCs/>
        </w:rPr>
        <w:t>d to</w:t>
      </w:r>
      <w:r>
        <w:rPr>
          <w:rFonts w:cs="Arial"/>
          <w:bCs/>
        </w:rPr>
        <w:t xml:space="preserve"> </w:t>
      </w:r>
      <w:r w:rsidRPr="00FA7DD4">
        <w:rPr>
          <w:rFonts w:cs="Arial"/>
          <w:bCs/>
        </w:rPr>
        <w:t>3,083,200</w:t>
      </w:r>
      <w:r>
        <w:rPr>
          <w:rFonts w:cs="Arial"/>
          <w:bCs/>
        </w:rPr>
        <w:t xml:space="preserve"> in 2015</w:t>
      </w:r>
      <w:r w:rsidRPr="009D0255">
        <w:rPr>
          <w:rFonts w:cs="Arial"/>
          <w:bCs/>
        </w:rPr>
        <w:t>–</w:t>
      </w:r>
      <w:r>
        <w:rPr>
          <w:rFonts w:cs="Arial"/>
          <w:bCs/>
        </w:rPr>
        <w:t>16</w:t>
      </w:r>
      <w:r w:rsidRPr="008C20E6">
        <w:rPr>
          <w:rFonts w:cs="Arial"/>
          <w:bCs/>
        </w:rPr>
        <w:t xml:space="preserve"> (Figure 1.</w:t>
      </w:r>
      <w:r>
        <w:rPr>
          <w:rFonts w:cs="Arial"/>
          <w:bCs/>
        </w:rPr>
        <w:t>12</w:t>
      </w:r>
      <w:r w:rsidRPr="008C20E6">
        <w:rPr>
          <w:rFonts w:cs="Arial"/>
          <w:bCs/>
        </w:rPr>
        <w:t xml:space="preserve">). </w:t>
      </w:r>
      <w:r>
        <w:rPr>
          <w:rFonts w:cs="Arial"/>
          <w:bCs/>
        </w:rPr>
        <w:t>CSPs</w:t>
      </w:r>
      <w:r w:rsidR="00D32A74">
        <w:rPr>
          <w:rFonts w:cs="Arial"/>
          <w:bCs/>
        </w:rPr>
        <w:t xml:space="preserve"> also</w:t>
      </w:r>
      <w:r>
        <w:rPr>
          <w:rFonts w:cs="Arial"/>
          <w:bCs/>
        </w:rPr>
        <w:t xml:space="preserve"> surrendered 1,996,400 geographic numbers and transferred 132,000 geographic numbers. </w:t>
      </w:r>
      <w:r w:rsidR="00D32A74">
        <w:rPr>
          <w:rFonts w:cs="Arial"/>
          <w:bCs/>
        </w:rPr>
        <w:t>No geographic numbers were surrendered or transferred</w:t>
      </w:r>
      <w:r>
        <w:rPr>
          <w:rFonts w:cs="Arial"/>
          <w:bCs/>
        </w:rPr>
        <w:t xml:space="preserve"> in 2015–16.</w:t>
      </w:r>
    </w:p>
    <w:p w14:paraId="2C2DCADE" w14:textId="77777777" w:rsidR="00FA3CE6" w:rsidRPr="008767EB" w:rsidRDefault="00FA3CE6" w:rsidP="00041283">
      <w:pPr>
        <w:pStyle w:val="ACMAFigureHeader"/>
        <w:keepNext/>
        <w:keepLines/>
        <w:pageBreakBefore/>
        <w:rPr>
          <w:rFonts w:cs="Arial"/>
        </w:rPr>
      </w:pPr>
      <w:r w:rsidRPr="008767EB">
        <w:t>Figure 1.</w:t>
      </w:r>
      <w:r>
        <w:t>12</w:t>
      </w:r>
      <w:r w:rsidRPr="008767EB">
        <w:tab/>
      </w:r>
      <w:r>
        <w:t>Number of</w:t>
      </w:r>
      <w:r w:rsidRPr="008767EB">
        <w:t xml:space="preserve"> geographic numbers allocated</w:t>
      </w:r>
      <w:r>
        <w:t xml:space="preserve"> to CSPs</w:t>
      </w:r>
    </w:p>
    <w:p w14:paraId="73CC820F" w14:textId="77777777" w:rsidR="00FA3CE6" w:rsidRDefault="00B62DEE" w:rsidP="00041283">
      <w:pPr>
        <w:pStyle w:val="ACMANotesspaceafter"/>
        <w:spacing w:before="0" w:after="0"/>
      </w:pPr>
      <w:r>
        <w:rPr>
          <w:noProof/>
        </w:rPr>
        <w:drawing>
          <wp:inline distT="0" distB="0" distL="0" distR="0" wp14:anchorId="234FA3C5" wp14:editId="6164FC86">
            <wp:extent cx="5940425" cy="1592580"/>
            <wp:effectExtent l="0" t="0" r="3175" b="7620"/>
            <wp:docPr id="28" name="Picture 28" descr="Data for Figure 1.12 is in the .ods file for Chapter 1 on the landing page ‘Communications report 2016-17’, available from the ACMA website." title="Figure 1.12  Number of geographic numbers allocated to CS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H1 - charts_Figure 1.12.png"/>
                    <pic:cNvPicPr/>
                  </pic:nvPicPr>
                  <pic:blipFill>
                    <a:blip r:embed="rId54">
                      <a:extLst>
                        <a:ext uri="{28A0092B-C50C-407E-A947-70E740481C1C}">
                          <a14:useLocalDpi xmlns:a14="http://schemas.microsoft.com/office/drawing/2010/main" val="0"/>
                        </a:ext>
                      </a:extLst>
                    </a:blip>
                    <a:stretch>
                      <a:fillRect/>
                    </a:stretch>
                  </pic:blipFill>
                  <pic:spPr>
                    <a:xfrm>
                      <a:off x="0" y="0"/>
                      <a:ext cx="5940425" cy="1592580"/>
                    </a:xfrm>
                    <a:prstGeom prst="rect">
                      <a:avLst/>
                    </a:prstGeom>
                  </pic:spPr>
                </pic:pic>
              </a:graphicData>
            </a:graphic>
          </wp:inline>
        </w:drawing>
      </w:r>
    </w:p>
    <w:p w14:paraId="07A66A5F" w14:textId="77777777" w:rsidR="00FA3CE6" w:rsidRPr="009178C9" w:rsidRDefault="00FA3CE6" w:rsidP="00041283">
      <w:pPr>
        <w:pStyle w:val="ACMANotesspaceafter"/>
        <w:spacing w:before="240" w:after="360"/>
        <w:rPr>
          <w:highlight w:val="yellow"/>
        </w:rPr>
      </w:pPr>
      <w:r w:rsidRPr="007A1B8E">
        <w:t>Source: ACMA</w:t>
      </w:r>
      <w:r w:rsidR="00852644">
        <w:t>.</w:t>
      </w:r>
    </w:p>
    <w:p w14:paraId="164B67CD" w14:textId="77777777" w:rsidR="00FA3CE6" w:rsidRPr="00C2004C" w:rsidRDefault="00FA3CE6" w:rsidP="00FA3CE6">
      <w:pPr>
        <w:pStyle w:val="Heading3"/>
      </w:pPr>
      <w:bookmarkStart w:id="693" w:name="_Toc494799369"/>
      <w:bookmarkStart w:id="694" w:name="_Toc494805672"/>
      <w:bookmarkStart w:id="695" w:name="_Toc494805901"/>
      <w:bookmarkStart w:id="696" w:name="_Toc494808131"/>
      <w:bookmarkStart w:id="697" w:name="_Toc494808567"/>
      <w:bookmarkStart w:id="698" w:name="_Toc494815938"/>
      <w:bookmarkStart w:id="699" w:name="_Toc494818799"/>
      <w:bookmarkStart w:id="700" w:name="_Toc494819066"/>
      <w:r>
        <w:t>M</w:t>
      </w:r>
      <w:r w:rsidRPr="00C2004C">
        <w:t>obile numbers</w:t>
      </w:r>
      <w:bookmarkEnd w:id="693"/>
      <w:bookmarkEnd w:id="694"/>
      <w:bookmarkEnd w:id="695"/>
      <w:bookmarkEnd w:id="696"/>
      <w:bookmarkEnd w:id="697"/>
      <w:bookmarkEnd w:id="698"/>
      <w:bookmarkEnd w:id="699"/>
      <w:bookmarkEnd w:id="700"/>
      <w:r w:rsidRPr="00C2004C">
        <w:t xml:space="preserve"> </w:t>
      </w:r>
    </w:p>
    <w:p w14:paraId="65D9DA2B" w14:textId="066E01A0" w:rsidR="00FA3CE6" w:rsidRPr="00C2004C" w:rsidRDefault="00FA3CE6" w:rsidP="00FA3CE6">
      <w:r w:rsidRPr="00C2004C">
        <w:t>During 201</w:t>
      </w:r>
      <w:r>
        <w:t>6</w:t>
      </w:r>
      <w:r w:rsidRPr="00C2004C">
        <w:t>–1</w:t>
      </w:r>
      <w:r>
        <w:t>7</w:t>
      </w:r>
      <w:r w:rsidRPr="00C2004C">
        <w:t xml:space="preserve">, CSPs were allocated </w:t>
      </w:r>
      <w:r>
        <w:t>1.34</w:t>
      </w:r>
      <w:r w:rsidRPr="00C2004C">
        <w:t xml:space="preserve"> million mobile numbers, </w:t>
      </w:r>
      <w:r>
        <w:t>100,000</w:t>
      </w:r>
      <w:r w:rsidRPr="00C2004C">
        <w:t xml:space="preserve"> more than in 201</w:t>
      </w:r>
      <w:r>
        <w:t>5</w:t>
      </w:r>
      <w:r w:rsidRPr="00C2004C">
        <w:t>–1</w:t>
      </w:r>
      <w:r>
        <w:t>6</w:t>
      </w:r>
      <w:r w:rsidRPr="00C2004C">
        <w:t>. At</w:t>
      </w:r>
      <w:r w:rsidR="00EE3FD2">
        <w:t> </w:t>
      </w:r>
      <w:r w:rsidRPr="00C2004C">
        <w:t>30</w:t>
      </w:r>
      <w:r w:rsidR="00D32A74">
        <w:t> </w:t>
      </w:r>
      <w:r w:rsidRPr="00C2004C">
        <w:t>June 201</w:t>
      </w:r>
      <w:r>
        <w:t>7</w:t>
      </w:r>
      <w:r w:rsidRPr="00C2004C">
        <w:t xml:space="preserve">, </w:t>
      </w:r>
      <w:r w:rsidRPr="005879E4">
        <w:t>70.9 per cent of available mobile numbers had been allocated.</w:t>
      </w:r>
      <w:r w:rsidRPr="00C2004C">
        <w:t xml:space="preserve"> </w:t>
      </w:r>
    </w:p>
    <w:p w14:paraId="71939463" w14:textId="77777777" w:rsidR="00FA3CE6" w:rsidRPr="00C2004C" w:rsidRDefault="00FA3CE6" w:rsidP="00FA3CE6">
      <w:pPr>
        <w:pStyle w:val="Heading3"/>
      </w:pPr>
      <w:bookmarkStart w:id="701" w:name="_Toc494799370"/>
      <w:bookmarkStart w:id="702" w:name="_Toc494805673"/>
      <w:bookmarkStart w:id="703" w:name="_Toc494805902"/>
      <w:bookmarkStart w:id="704" w:name="_Toc494808132"/>
      <w:bookmarkStart w:id="705" w:name="_Toc494808568"/>
      <w:bookmarkStart w:id="706" w:name="_Toc494815939"/>
      <w:bookmarkStart w:id="707" w:name="_Toc494818800"/>
      <w:bookmarkStart w:id="708" w:name="_Toc494819067"/>
      <w:r w:rsidRPr="00C2004C">
        <w:t>Other numbers</w:t>
      </w:r>
      <w:bookmarkEnd w:id="701"/>
      <w:bookmarkEnd w:id="702"/>
      <w:bookmarkEnd w:id="703"/>
      <w:bookmarkEnd w:id="704"/>
      <w:bookmarkEnd w:id="705"/>
      <w:bookmarkEnd w:id="706"/>
      <w:bookmarkEnd w:id="707"/>
      <w:bookmarkEnd w:id="708"/>
    </w:p>
    <w:p w14:paraId="45B081F7" w14:textId="77777777" w:rsidR="00FA3CE6" w:rsidRPr="00FA6CDC" w:rsidRDefault="00FA3CE6" w:rsidP="00FA3CE6">
      <w:pPr>
        <w:rPr>
          <w:highlight w:val="yellow"/>
        </w:rPr>
      </w:pPr>
      <w:r w:rsidRPr="00C2004C">
        <w:t>During 201</w:t>
      </w:r>
      <w:r>
        <w:t>6</w:t>
      </w:r>
      <w:r w:rsidRPr="00C2004C">
        <w:t>–1</w:t>
      </w:r>
      <w:r>
        <w:t>7</w:t>
      </w:r>
      <w:r w:rsidRPr="00C2004C" w:rsidDel="001320E9">
        <w:t xml:space="preserve">, </w:t>
      </w:r>
      <w:r>
        <w:t>four</w:t>
      </w:r>
      <w:r w:rsidRPr="00C2004C">
        <w:t xml:space="preserve"> interconnection and routing code</w:t>
      </w:r>
      <w:r>
        <w:t>s</w:t>
      </w:r>
      <w:r w:rsidRPr="00C2004C">
        <w:t xml:space="preserve">, </w:t>
      </w:r>
      <w:r>
        <w:t>seven</w:t>
      </w:r>
      <w:r w:rsidRPr="00C2004C">
        <w:t xml:space="preserve"> mobile network codes and </w:t>
      </w:r>
      <w:r>
        <w:t xml:space="preserve">one </w:t>
      </w:r>
      <w:r w:rsidRPr="00C2004C">
        <w:t xml:space="preserve">international signalling point code were </w:t>
      </w:r>
      <w:r>
        <w:t>allocated</w:t>
      </w:r>
      <w:r w:rsidRPr="00C2004C">
        <w:t xml:space="preserve"> to network operators. </w:t>
      </w:r>
    </w:p>
    <w:p w14:paraId="1F76BF11" w14:textId="77777777" w:rsidR="00FA3CE6" w:rsidRPr="00026B1C" w:rsidRDefault="00FA3CE6" w:rsidP="00C24CFC">
      <w:pPr>
        <w:pStyle w:val="Heading2"/>
        <w:numPr>
          <w:ilvl w:val="1"/>
          <w:numId w:val="14"/>
        </w:numPr>
      </w:pPr>
      <w:bookmarkStart w:id="709" w:name="_Toc494799371"/>
      <w:bookmarkStart w:id="710" w:name="_Toc494805674"/>
      <w:bookmarkStart w:id="711" w:name="_Toc494805903"/>
      <w:bookmarkStart w:id="712" w:name="_Toc494808133"/>
      <w:bookmarkStart w:id="713" w:name="_Toc494808569"/>
      <w:bookmarkStart w:id="714" w:name="_Toc494815940"/>
      <w:bookmarkStart w:id="715" w:name="_Toc494818801"/>
      <w:bookmarkStart w:id="716" w:name="_Toc494819068"/>
      <w:bookmarkStart w:id="717" w:name="_Toc500320897"/>
      <w:r w:rsidRPr="00026B1C">
        <w:t>Communications mergers and acquisitions</w:t>
      </w:r>
      <w:bookmarkEnd w:id="709"/>
      <w:bookmarkEnd w:id="710"/>
      <w:bookmarkEnd w:id="711"/>
      <w:bookmarkEnd w:id="712"/>
      <w:bookmarkEnd w:id="713"/>
      <w:bookmarkEnd w:id="714"/>
      <w:bookmarkEnd w:id="715"/>
      <w:bookmarkEnd w:id="716"/>
      <w:bookmarkEnd w:id="717"/>
      <w:r w:rsidRPr="00026B1C">
        <w:t xml:space="preserve"> </w:t>
      </w:r>
    </w:p>
    <w:p w14:paraId="298CBCF4" w14:textId="6A2C9408" w:rsidR="00FA3CE6" w:rsidRDefault="00FA3CE6" w:rsidP="00417346">
      <w:pPr>
        <w:keepNext/>
      </w:pPr>
      <w:r w:rsidRPr="00E309E9">
        <w:t xml:space="preserve">While </w:t>
      </w:r>
      <w:r>
        <w:t>there was a</w:t>
      </w:r>
      <w:r w:rsidRPr="00E309E9">
        <w:t xml:space="preserve"> </w:t>
      </w:r>
      <w:r>
        <w:t xml:space="preserve">significant </w:t>
      </w:r>
      <w:r w:rsidRPr="00E309E9">
        <w:t xml:space="preserve">consolidation of the Australian telecommunications </w:t>
      </w:r>
      <w:r>
        <w:t>sector in 2015–16, in</w:t>
      </w:r>
      <w:r w:rsidR="00EE3FD2">
        <w:t> </w:t>
      </w:r>
      <w:r w:rsidRPr="00E309E9">
        <w:t xml:space="preserve">2016–17 </w:t>
      </w:r>
      <w:r>
        <w:t>there were</w:t>
      </w:r>
      <w:r w:rsidRPr="00E309E9">
        <w:t xml:space="preserve"> few large-scale mergers or acquisitions (Table 1.5).</w:t>
      </w:r>
    </w:p>
    <w:p w14:paraId="1739A4F3" w14:textId="77777777" w:rsidR="00FA3CE6" w:rsidRDefault="00FA3CE6" w:rsidP="00041283">
      <w:pPr>
        <w:pStyle w:val="ACMATableHeader"/>
        <w:keepNext/>
        <w:keepLines/>
        <w:numPr>
          <w:ilvl w:val="0"/>
          <w:numId w:val="0"/>
        </w:numPr>
      </w:pPr>
      <w:r w:rsidRPr="00026B1C">
        <w:t>Table 1.5</w:t>
      </w:r>
      <w:r w:rsidRPr="00026B1C">
        <w:tab/>
        <w:t>Key communications mergers and acquisitions</w:t>
      </w:r>
    </w:p>
    <w:tbl>
      <w:tblPr>
        <w:tblW w:w="9386"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Pr>
      <w:tblGrid>
        <w:gridCol w:w="1316"/>
        <w:gridCol w:w="1316"/>
        <w:gridCol w:w="1316"/>
        <w:gridCol w:w="1317"/>
        <w:gridCol w:w="4121"/>
      </w:tblGrid>
      <w:tr w:rsidR="00F85983" w:rsidRPr="004A0773" w14:paraId="0235F9E6" w14:textId="77777777" w:rsidTr="00EE3FD2">
        <w:trPr>
          <w:trHeight w:val="177"/>
          <w:tblHeader/>
        </w:trPr>
        <w:tc>
          <w:tcPr>
            <w:tcW w:w="1316" w:type="dxa"/>
            <w:shd w:val="clear" w:color="auto" w:fill="37897E"/>
            <w:vAlign w:val="center"/>
          </w:tcPr>
          <w:p w14:paraId="1979BC9F" w14:textId="77777777" w:rsidR="00F85983" w:rsidRPr="00417346" w:rsidRDefault="00F85983" w:rsidP="00041283">
            <w:pPr>
              <w:pStyle w:val="TableHeading"/>
              <w:keepNext/>
              <w:keepLines/>
              <w:spacing w:before="0" w:line="240" w:lineRule="auto"/>
              <w:rPr>
                <w:szCs w:val="18"/>
              </w:rPr>
            </w:pPr>
            <w:r w:rsidRPr="00417346">
              <w:rPr>
                <w:szCs w:val="18"/>
              </w:rPr>
              <w:t>Purchaser</w:t>
            </w:r>
          </w:p>
        </w:tc>
        <w:tc>
          <w:tcPr>
            <w:tcW w:w="1316" w:type="dxa"/>
            <w:shd w:val="clear" w:color="auto" w:fill="37897E"/>
            <w:vAlign w:val="center"/>
          </w:tcPr>
          <w:p w14:paraId="6E45D808" w14:textId="77777777" w:rsidR="00F85983" w:rsidRPr="00417346" w:rsidRDefault="00F85983" w:rsidP="00041283">
            <w:pPr>
              <w:pStyle w:val="TableHeading"/>
              <w:keepNext/>
              <w:keepLines/>
              <w:spacing w:before="0" w:line="240" w:lineRule="auto"/>
              <w:rPr>
                <w:szCs w:val="18"/>
              </w:rPr>
            </w:pPr>
            <w:r w:rsidRPr="00417346">
              <w:rPr>
                <w:szCs w:val="18"/>
              </w:rPr>
              <w:t>Target</w:t>
            </w:r>
          </w:p>
        </w:tc>
        <w:tc>
          <w:tcPr>
            <w:tcW w:w="1316" w:type="dxa"/>
            <w:shd w:val="clear" w:color="auto" w:fill="37897E"/>
            <w:vAlign w:val="center"/>
          </w:tcPr>
          <w:p w14:paraId="087D948F" w14:textId="77777777" w:rsidR="00F85983" w:rsidRPr="00417346" w:rsidRDefault="00F85983" w:rsidP="00041283">
            <w:pPr>
              <w:pStyle w:val="TableHeading"/>
              <w:keepNext/>
              <w:keepLines/>
              <w:spacing w:before="0" w:line="240" w:lineRule="auto"/>
              <w:rPr>
                <w:szCs w:val="18"/>
              </w:rPr>
            </w:pPr>
            <w:r w:rsidRPr="00417346">
              <w:rPr>
                <w:szCs w:val="18"/>
              </w:rPr>
              <w:t>Date</w:t>
            </w:r>
          </w:p>
        </w:tc>
        <w:tc>
          <w:tcPr>
            <w:tcW w:w="1317" w:type="dxa"/>
            <w:shd w:val="clear" w:color="auto" w:fill="37897E"/>
            <w:vAlign w:val="center"/>
          </w:tcPr>
          <w:p w14:paraId="54B8E9EB" w14:textId="77777777" w:rsidR="00F85983" w:rsidRPr="00417346" w:rsidRDefault="00F85983" w:rsidP="00041283">
            <w:pPr>
              <w:pStyle w:val="TableHeading"/>
              <w:keepNext/>
              <w:keepLines/>
              <w:spacing w:before="0" w:line="240" w:lineRule="auto"/>
              <w:rPr>
                <w:szCs w:val="18"/>
              </w:rPr>
            </w:pPr>
            <w:r w:rsidRPr="00417346">
              <w:rPr>
                <w:szCs w:val="18"/>
              </w:rPr>
              <w:t>Value</w:t>
            </w:r>
          </w:p>
        </w:tc>
        <w:tc>
          <w:tcPr>
            <w:tcW w:w="4121" w:type="dxa"/>
            <w:shd w:val="clear" w:color="auto" w:fill="37897E"/>
            <w:vAlign w:val="center"/>
          </w:tcPr>
          <w:p w14:paraId="54F2D082" w14:textId="77777777" w:rsidR="00F85983" w:rsidRPr="00FB6FC9" w:rsidRDefault="00F85983" w:rsidP="00041283">
            <w:pPr>
              <w:pStyle w:val="TableHeading"/>
              <w:keepNext/>
              <w:keepLines/>
              <w:spacing w:before="0" w:line="240" w:lineRule="auto"/>
              <w:rPr>
                <w:szCs w:val="18"/>
              </w:rPr>
            </w:pPr>
            <w:r w:rsidRPr="00417346">
              <w:rPr>
                <w:szCs w:val="18"/>
              </w:rPr>
              <w:t>Commentary</w:t>
            </w:r>
          </w:p>
        </w:tc>
      </w:tr>
      <w:tr w:rsidR="00F85983" w:rsidRPr="00BF5696" w14:paraId="58161018" w14:textId="77777777" w:rsidTr="00EE3FD2">
        <w:trPr>
          <w:trHeight w:val="338"/>
        </w:trPr>
        <w:tc>
          <w:tcPr>
            <w:tcW w:w="1316" w:type="dxa"/>
            <w:shd w:val="clear" w:color="auto" w:fill="auto"/>
            <w:vAlign w:val="center"/>
          </w:tcPr>
          <w:p w14:paraId="6BC0AAE5" w14:textId="77777777" w:rsidR="00F85983" w:rsidRPr="00C6689D" w:rsidRDefault="00F85983" w:rsidP="00041283">
            <w:pPr>
              <w:keepNext/>
              <w:keepLines/>
              <w:spacing w:after="0" w:line="240" w:lineRule="auto"/>
              <w:rPr>
                <w:rFonts w:cs="Arial"/>
                <w:sz w:val="18"/>
                <w:szCs w:val="18"/>
              </w:rPr>
            </w:pPr>
            <w:r w:rsidRPr="00C6689D">
              <w:rPr>
                <w:rFonts w:cs="Arial"/>
                <w:sz w:val="18"/>
                <w:szCs w:val="18"/>
              </w:rPr>
              <w:t>Telstra</w:t>
            </w:r>
          </w:p>
        </w:tc>
        <w:tc>
          <w:tcPr>
            <w:tcW w:w="1316" w:type="dxa"/>
            <w:shd w:val="clear" w:color="auto" w:fill="auto"/>
            <w:vAlign w:val="center"/>
          </w:tcPr>
          <w:p w14:paraId="5968F1D4"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Readify</w:t>
            </w:r>
          </w:p>
        </w:tc>
        <w:tc>
          <w:tcPr>
            <w:tcW w:w="1316" w:type="dxa"/>
            <w:shd w:val="clear" w:color="auto" w:fill="auto"/>
            <w:vAlign w:val="center"/>
          </w:tcPr>
          <w:p w14:paraId="2A122C4E"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July 2016</w:t>
            </w:r>
          </w:p>
        </w:tc>
        <w:tc>
          <w:tcPr>
            <w:tcW w:w="1317" w:type="dxa"/>
            <w:shd w:val="clear" w:color="auto" w:fill="auto"/>
            <w:vAlign w:val="center"/>
          </w:tcPr>
          <w:p w14:paraId="163A8175"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Undisclosed</w:t>
            </w:r>
          </w:p>
        </w:tc>
        <w:tc>
          <w:tcPr>
            <w:tcW w:w="4121" w:type="dxa"/>
            <w:shd w:val="clear" w:color="auto" w:fill="auto"/>
            <w:vAlign w:val="center"/>
          </w:tcPr>
          <w:p w14:paraId="5D85262A" w14:textId="77777777" w:rsidR="00F85983" w:rsidRPr="004A0773" w:rsidRDefault="00F85983" w:rsidP="00041283">
            <w:pPr>
              <w:keepNext/>
              <w:keepLines/>
              <w:spacing w:after="0" w:line="240" w:lineRule="auto"/>
              <w:rPr>
                <w:rFonts w:cs="Arial"/>
                <w:sz w:val="18"/>
                <w:szCs w:val="18"/>
              </w:rPr>
            </w:pPr>
            <w:r w:rsidRPr="00417346">
              <w:rPr>
                <w:rFonts w:cs="Arial"/>
                <w:sz w:val="18"/>
                <w:szCs w:val="18"/>
              </w:rPr>
              <w:t>Readify is a leading application and software developer, including big data and IoT solutions.</w:t>
            </w:r>
          </w:p>
        </w:tc>
      </w:tr>
      <w:tr w:rsidR="00F85983" w:rsidRPr="00BF5696" w14:paraId="63D79176" w14:textId="77777777" w:rsidTr="00EE3FD2">
        <w:trPr>
          <w:trHeight w:val="595"/>
        </w:trPr>
        <w:tc>
          <w:tcPr>
            <w:tcW w:w="1316" w:type="dxa"/>
            <w:shd w:val="clear" w:color="auto" w:fill="auto"/>
            <w:vAlign w:val="center"/>
          </w:tcPr>
          <w:p w14:paraId="617445B4" w14:textId="77777777" w:rsidR="00F85983" w:rsidRPr="00C6689D" w:rsidRDefault="00F85983" w:rsidP="00041283">
            <w:pPr>
              <w:keepNext/>
              <w:keepLines/>
              <w:spacing w:after="0" w:line="240" w:lineRule="auto"/>
              <w:rPr>
                <w:rFonts w:cs="Arial"/>
                <w:sz w:val="18"/>
                <w:szCs w:val="18"/>
              </w:rPr>
            </w:pPr>
            <w:r w:rsidRPr="00C6689D">
              <w:rPr>
                <w:rFonts w:cs="Arial"/>
                <w:sz w:val="18"/>
                <w:szCs w:val="18"/>
              </w:rPr>
              <w:t>Amaysim</w:t>
            </w:r>
          </w:p>
        </w:tc>
        <w:tc>
          <w:tcPr>
            <w:tcW w:w="1316" w:type="dxa"/>
            <w:shd w:val="clear" w:color="auto" w:fill="auto"/>
            <w:vAlign w:val="center"/>
          </w:tcPr>
          <w:p w14:paraId="44A2F430"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Australian Broadband Services</w:t>
            </w:r>
          </w:p>
        </w:tc>
        <w:tc>
          <w:tcPr>
            <w:tcW w:w="1316" w:type="dxa"/>
            <w:shd w:val="clear" w:color="auto" w:fill="auto"/>
            <w:vAlign w:val="center"/>
          </w:tcPr>
          <w:p w14:paraId="3A7EC18F"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July 2016</w:t>
            </w:r>
          </w:p>
        </w:tc>
        <w:tc>
          <w:tcPr>
            <w:tcW w:w="1317" w:type="dxa"/>
            <w:shd w:val="clear" w:color="auto" w:fill="auto"/>
            <w:vAlign w:val="center"/>
          </w:tcPr>
          <w:p w14:paraId="2BD468E9"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$4 million</w:t>
            </w:r>
          </w:p>
        </w:tc>
        <w:tc>
          <w:tcPr>
            <w:tcW w:w="4121" w:type="dxa"/>
            <w:shd w:val="clear" w:color="auto" w:fill="auto"/>
            <w:vAlign w:val="center"/>
          </w:tcPr>
          <w:p w14:paraId="0EC983F2"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The acquisition will provide Amaysim with the means to launch a fixed-line broadband service.</w:t>
            </w:r>
          </w:p>
        </w:tc>
      </w:tr>
      <w:tr w:rsidR="00F85983" w:rsidRPr="00BF5696" w14:paraId="6FD7F657" w14:textId="77777777" w:rsidTr="00EE3FD2">
        <w:trPr>
          <w:trHeight w:val="484"/>
        </w:trPr>
        <w:tc>
          <w:tcPr>
            <w:tcW w:w="1316" w:type="dxa"/>
            <w:shd w:val="clear" w:color="auto" w:fill="auto"/>
            <w:vAlign w:val="center"/>
          </w:tcPr>
          <w:p w14:paraId="5FF43EB2" w14:textId="77777777" w:rsidR="00F85983" w:rsidRPr="00C6689D" w:rsidRDefault="00F85983" w:rsidP="00041283">
            <w:pPr>
              <w:keepNext/>
              <w:keepLines/>
              <w:spacing w:after="0" w:line="240" w:lineRule="auto"/>
              <w:rPr>
                <w:rFonts w:cs="Arial"/>
                <w:sz w:val="18"/>
                <w:szCs w:val="18"/>
              </w:rPr>
            </w:pPr>
            <w:r w:rsidRPr="00C6689D">
              <w:rPr>
                <w:rFonts w:cs="Arial"/>
                <w:sz w:val="18"/>
                <w:szCs w:val="18"/>
              </w:rPr>
              <w:t>Vodafone</w:t>
            </w:r>
          </w:p>
        </w:tc>
        <w:tc>
          <w:tcPr>
            <w:tcW w:w="1316" w:type="dxa"/>
            <w:shd w:val="clear" w:color="auto" w:fill="auto"/>
            <w:vAlign w:val="center"/>
          </w:tcPr>
          <w:p w14:paraId="381622E8"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Lebara Mobile</w:t>
            </w:r>
          </w:p>
        </w:tc>
        <w:tc>
          <w:tcPr>
            <w:tcW w:w="1316" w:type="dxa"/>
            <w:shd w:val="clear" w:color="auto" w:fill="auto"/>
            <w:vAlign w:val="center"/>
          </w:tcPr>
          <w:p w14:paraId="4445FBDE"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September 2016</w:t>
            </w:r>
          </w:p>
        </w:tc>
        <w:tc>
          <w:tcPr>
            <w:tcW w:w="1317" w:type="dxa"/>
            <w:shd w:val="clear" w:color="auto" w:fill="auto"/>
            <w:vAlign w:val="center"/>
          </w:tcPr>
          <w:p w14:paraId="4BDC4878"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Undisclosed</w:t>
            </w:r>
          </w:p>
        </w:tc>
        <w:tc>
          <w:tcPr>
            <w:tcW w:w="4121" w:type="dxa"/>
            <w:shd w:val="clear" w:color="auto" w:fill="auto"/>
            <w:vAlign w:val="center"/>
          </w:tcPr>
          <w:p w14:paraId="5CD4EEBF"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 xml:space="preserve">The acquisition of Lebara provides Vodafone with greater market share, including 130,000 new customers. </w:t>
            </w:r>
          </w:p>
        </w:tc>
      </w:tr>
      <w:tr w:rsidR="00F85983" w:rsidRPr="00BF5696" w14:paraId="3EBEAAF4" w14:textId="77777777" w:rsidTr="00EE3FD2">
        <w:trPr>
          <w:trHeight w:val="454"/>
        </w:trPr>
        <w:tc>
          <w:tcPr>
            <w:tcW w:w="1316" w:type="dxa"/>
            <w:shd w:val="clear" w:color="auto" w:fill="auto"/>
            <w:vAlign w:val="center"/>
          </w:tcPr>
          <w:p w14:paraId="4B126975" w14:textId="77777777" w:rsidR="00F85983" w:rsidRPr="00C6689D" w:rsidRDefault="00F85983" w:rsidP="00041283">
            <w:pPr>
              <w:keepNext/>
              <w:keepLines/>
              <w:tabs>
                <w:tab w:val="left" w:pos="664"/>
              </w:tabs>
              <w:spacing w:after="0" w:line="240" w:lineRule="auto"/>
              <w:rPr>
                <w:rFonts w:cs="Arial"/>
                <w:sz w:val="18"/>
                <w:szCs w:val="18"/>
              </w:rPr>
            </w:pPr>
            <w:r w:rsidRPr="00C6689D">
              <w:rPr>
                <w:rFonts w:cs="Arial"/>
                <w:sz w:val="18"/>
                <w:szCs w:val="18"/>
              </w:rPr>
              <w:t>Telstra</w:t>
            </w:r>
          </w:p>
        </w:tc>
        <w:tc>
          <w:tcPr>
            <w:tcW w:w="1316" w:type="dxa"/>
            <w:shd w:val="clear" w:color="auto" w:fill="auto"/>
            <w:vAlign w:val="center"/>
          </w:tcPr>
          <w:p w14:paraId="1C647F1A"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Cognevo (NZ)</w:t>
            </w:r>
          </w:p>
        </w:tc>
        <w:tc>
          <w:tcPr>
            <w:tcW w:w="1316" w:type="dxa"/>
            <w:shd w:val="clear" w:color="auto" w:fill="auto"/>
            <w:vAlign w:val="center"/>
          </w:tcPr>
          <w:p w14:paraId="566CDADE"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November 2016</w:t>
            </w:r>
          </w:p>
        </w:tc>
        <w:tc>
          <w:tcPr>
            <w:tcW w:w="1317" w:type="dxa"/>
            <w:shd w:val="clear" w:color="auto" w:fill="auto"/>
            <w:vAlign w:val="center"/>
          </w:tcPr>
          <w:p w14:paraId="291548FF"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Undisclosed</w:t>
            </w:r>
          </w:p>
        </w:tc>
        <w:tc>
          <w:tcPr>
            <w:tcW w:w="4121" w:type="dxa"/>
            <w:shd w:val="clear" w:color="auto" w:fill="auto"/>
            <w:vAlign w:val="center"/>
          </w:tcPr>
          <w:p w14:paraId="309E2A04" w14:textId="77777777" w:rsidR="00F85983" w:rsidRPr="004A0773" w:rsidRDefault="00F85983" w:rsidP="00041283">
            <w:pPr>
              <w:keepNext/>
              <w:keepLines/>
              <w:spacing w:after="0" w:line="240" w:lineRule="auto"/>
              <w:rPr>
                <w:rFonts w:eastAsiaTheme="minorHAnsi"/>
                <w:lang w:eastAsia="en-US"/>
              </w:rPr>
            </w:pPr>
            <w:r w:rsidRPr="00417346">
              <w:rPr>
                <w:rFonts w:cs="Arial"/>
                <w:sz w:val="18"/>
                <w:szCs w:val="18"/>
              </w:rPr>
              <w:t xml:space="preserve">Cognevo provides security and threat analytics to detect anomalies and potential threats in the behaviour of users across the network. The acquisition will enhance Telstra’s ability to quickly identify and prevent cyber threats inside </w:t>
            </w:r>
            <w:r w:rsidR="002A244F">
              <w:rPr>
                <w:rFonts w:cs="Arial"/>
                <w:sz w:val="18"/>
                <w:szCs w:val="18"/>
              </w:rPr>
              <w:t>its</w:t>
            </w:r>
            <w:r w:rsidR="002A244F" w:rsidRPr="00417346">
              <w:rPr>
                <w:rFonts w:cs="Arial"/>
                <w:sz w:val="18"/>
                <w:szCs w:val="18"/>
              </w:rPr>
              <w:t xml:space="preserve"> </w:t>
            </w:r>
            <w:r w:rsidRPr="00417346">
              <w:rPr>
                <w:rFonts w:cs="Arial"/>
                <w:sz w:val="18"/>
                <w:szCs w:val="18"/>
              </w:rPr>
              <w:t>network.</w:t>
            </w:r>
          </w:p>
        </w:tc>
      </w:tr>
      <w:tr w:rsidR="00F85983" w:rsidRPr="00BF5696" w14:paraId="5A871741" w14:textId="77777777" w:rsidTr="00EE3FD2">
        <w:trPr>
          <w:trHeight w:val="497"/>
        </w:trPr>
        <w:tc>
          <w:tcPr>
            <w:tcW w:w="1316" w:type="dxa"/>
            <w:shd w:val="clear" w:color="auto" w:fill="auto"/>
            <w:vAlign w:val="center"/>
          </w:tcPr>
          <w:p w14:paraId="33B121C4" w14:textId="77777777" w:rsidR="00F85983" w:rsidRPr="00C6689D" w:rsidRDefault="00F85983" w:rsidP="00041283">
            <w:pPr>
              <w:keepNext/>
              <w:keepLines/>
              <w:spacing w:after="0" w:line="240" w:lineRule="auto"/>
              <w:rPr>
                <w:rFonts w:cs="Arial"/>
                <w:sz w:val="18"/>
                <w:szCs w:val="18"/>
              </w:rPr>
            </w:pPr>
            <w:r w:rsidRPr="00C6689D">
              <w:rPr>
                <w:rFonts w:cs="Arial"/>
                <w:sz w:val="18"/>
                <w:szCs w:val="18"/>
              </w:rPr>
              <w:t>Telstra</w:t>
            </w:r>
          </w:p>
        </w:tc>
        <w:tc>
          <w:tcPr>
            <w:tcW w:w="1316" w:type="dxa"/>
            <w:shd w:val="clear" w:color="auto" w:fill="auto"/>
            <w:vAlign w:val="center"/>
          </w:tcPr>
          <w:p w14:paraId="2D692EDA"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Company85</w:t>
            </w:r>
          </w:p>
        </w:tc>
        <w:tc>
          <w:tcPr>
            <w:tcW w:w="1316" w:type="dxa"/>
            <w:shd w:val="clear" w:color="auto" w:fill="auto"/>
            <w:vAlign w:val="center"/>
          </w:tcPr>
          <w:p w14:paraId="37372216"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June 2017</w:t>
            </w:r>
          </w:p>
        </w:tc>
        <w:tc>
          <w:tcPr>
            <w:tcW w:w="1317" w:type="dxa"/>
            <w:shd w:val="clear" w:color="auto" w:fill="auto"/>
            <w:vAlign w:val="center"/>
          </w:tcPr>
          <w:p w14:paraId="59236501" w14:textId="77777777" w:rsidR="00F85983" w:rsidRPr="004A0773" w:rsidRDefault="00F85983" w:rsidP="00041283">
            <w:pPr>
              <w:keepNext/>
              <w:keepLines/>
              <w:spacing w:after="0" w:line="240" w:lineRule="auto"/>
              <w:rPr>
                <w:rFonts w:cs="Arial"/>
                <w:sz w:val="18"/>
                <w:szCs w:val="18"/>
              </w:rPr>
            </w:pPr>
            <w:r w:rsidRPr="004A0773">
              <w:rPr>
                <w:rFonts w:cs="Arial"/>
                <w:sz w:val="18"/>
                <w:szCs w:val="18"/>
              </w:rPr>
              <w:t>Undisclosed</w:t>
            </w:r>
          </w:p>
        </w:tc>
        <w:tc>
          <w:tcPr>
            <w:tcW w:w="4121" w:type="dxa"/>
            <w:shd w:val="clear" w:color="auto" w:fill="auto"/>
            <w:vAlign w:val="center"/>
          </w:tcPr>
          <w:p w14:paraId="3DE6CE5A" w14:textId="77777777" w:rsidR="00F85983" w:rsidRPr="004A0773" w:rsidRDefault="00F85983" w:rsidP="00041283">
            <w:pPr>
              <w:keepNext/>
              <w:keepLines/>
              <w:spacing w:after="0" w:line="240" w:lineRule="auto"/>
              <w:rPr>
                <w:rFonts w:cs="Arial"/>
                <w:sz w:val="18"/>
                <w:szCs w:val="18"/>
              </w:rPr>
            </w:pPr>
            <w:r w:rsidRPr="00417346">
              <w:rPr>
                <w:rFonts w:cs="Arial"/>
                <w:sz w:val="18"/>
                <w:szCs w:val="18"/>
              </w:rPr>
              <w:t>Company85</w:t>
            </w:r>
            <w:r w:rsidR="00F63CA1">
              <w:rPr>
                <w:rFonts w:cs="Arial"/>
                <w:sz w:val="18"/>
                <w:szCs w:val="18"/>
              </w:rPr>
              <w:t xml:space="preserve"> is </w:t>
            </w:r>
            <w:r w:rsidRPr="00417346">
              <w:rPr>
                <w:rFonts w:cs="Arial"/>
                <w:sz w:val="18"/>
                <w:szCs w:val="18"/>
              </w:rPr>
              <w:t>a UK-based technology consulting business</w:t>
            </w:r>
            <w:r w:rsidR="00F63CA1">
              <w:rPr>
                <w:rFonts w:cs="Arial"/>
                <w:sz w:val="18"/>
                <w:szCs w:val="18"/>
              </w:rPr>
              <w:t xml:space="preserve"> specialising in cloud storage, security and network</w:t>
            </w:r>
            <w:r w:rsidR="00214F1C">
              <w:rPr>
                <w:rFonts w:cs="Arial"/>
                <w:sz w:val="18"/>
                <w:szCs w:val="18"/>
              </w:rPr>
              <w:t xml:space="preserve"> services</w:t>
            </w:r>
            <w:r w:rsidRPr="00417346">
              <w:rPr>
                <w:rFonts w:cs="Arial"/>
                <w:sz w:val="18"/>
                <w:szCs w:val="18"/>
              </w:rPr>
              <w:t>.</w:t>
            </w:r>
            <w:r w:rsidRPr="004A0773">
              <w:rPr>
                <w:rFonts w:eastAsiaTheme="minorHAnsi" w:cs="Arial"/>
                <w:lang w:eastAsia="en-US"/>
              </w:rPr>
              <w:t xml:space="preserve"> </w:t>
            </w:r>
          </w:p>
        </w:tc>
      </w:tr>
    </w:tbl>
    <w:p w14:paraId="0B93FA2C" w14:textId="77777777" w:rsidR="00F85983" w:rsidRPr="00774662" w:rsidRDefault="00F85983" w:rsidP="005B12AA">
      <w:pPr>
        <w:pStyle w:val="ACMANotesspaceafter"/>
        <w:spacing w:before="120" w:after="360"/>
      </w:pPr>
      <w:r w:rsidRPr="00026B1C">
        <w:rPr>
          <w:rFonts w:eastAsia="Calibri"/>
          <w:lang w:eastAsia="en-US"/>
        </w:rPr>
        <w:t xml:space="preserve">Source: Company annual reports, press releases </w:t>
      </w:r>
      <w:r w:rsidRPr="00EA416A">
        <w:rPr>
          <w:rFonts w:eastAsia="Calibri"/>
        </w:rPr>
        <w:t>and media coverage</w:t>
      </w:r>
      <w:r w:rsidRPr="00774662">
        <w:rPr>
          <w:rFonts w:eastAsia="Calibri"/>
        </w:rPr>
        <w:t>.</w:t>
      </w:r>
    </w:p>
    <w:p w14:paraId="46F1307E" w14:textId="77777777" w:rsidR="00F85983" w:rsidRPr="00BF5696" w:rsidRDefault="00F85983" w:rsidP="00756EE3">
      <w:pPr>
        <w:pStyle w:val="Heading2"/>
        <w:keepLines/>
        <w:numPr>
          <w:ilvl w:val="1"/>
          <w:numId w:val="14"/>
        </w:numPr>
      </w:pPr>
      <w:bookmarkStart w:id="718" w:name="_Toc494799372"/>
      <w:bookmarkStart w:id="719" w:name="_Toc494805675"/>
      <w:bookmarkStart w:id="720" w:name="_Toc494805904"/>
      <w:bookmarkStart w:id="721" w:name="_Toc494808134"/>
      <w:bookmarkStart w:id="722" w:name="_Toc494808570"/>
      <w:bookmarkStart w:id="723" w:name="_Toc494815941"/>
      <w:bookmarkStart w:id="724" w:name="_Toc494818802"/>
      <w:bookmarkStart w:id="725" w:name="_Toc494819069"/>
      <w:bookmarkStart w:id="726" w:name="_Toc500320898"/>
      <w:r w:rsidRPr="00BF5696">
        <w:t>Broadcasting services</w:t>
      </w:r>
      <w:bookmarkEnd w:id="718"/>
      <w:bookmarkEnd w:id="719"/>
      <w:bookmarkEnd w:id="720"/>
      <w:bookmarkEnd w:id="721"/>
      <w:bookmarkEnd w:id="722"/>
      <w:bookmarkEnd w:id="723"/>
      <w:bookmarkEnd w:id="724"/>
      <w:bookmarkEnd w:id="725"/>
      <w:bookmarkEnd w:id="726"/>
    </w:p>
    <w:p w14:paraId="2DDE28B1" w14:textId="77777777" w:rsidR="00F85983" w:rsidRPr="00FD7E86" w:rsidRDefault="00F85983" w:rsidP="00756EE3">
      <w:pPr>
        <w:pStyle w:val="Heading3"/>
        <w:keepLines/>
      </w:pPr>
      <w:bookmarkStart w:id="727" w:name="_Toc494799373"/>
      <w:bookmarkStart w:id="728" w:name="_Toc494805676"/>
      <w:bookmarkStart w:id="729" w:name="_Toc494805905"/>
      <w:bookmarkStart w:id="730" w:name="_Toc494808135"/>
      <w:bookmarkStart w:id="731" w:name="_Toc494808571"/>
      <w:bookmarkStart w:id="732" w:name="_Toc494815943"/>
      <w:bookmarkStart w:id="733" w:name="_Toc494818803"/>
      <w:bookmarkStart w:id="734" w:name="_Toc494819070"/>
      <w:r>
        <w:t>Broadcasters</w:t>
      </w:r>
      <w:r w:rsidRPr="00923B14">
        <w:t xml:space="preserve"> by segment (radio/television/commercial)</w:t>
      </w:r>
      <w:bookmarkEnd w:id="727"/>
      <w:bookmarkEnd w:id="728"/>
      <w:bookmarkEnd w:id="729"/>
      <w:bookmarkEnd w:id="730"/>
      <w:bookmarkEnd w:id="731"/>
      <w:bookmarkEnd w:id="732"/>
      <w:bookmarkEnd w:id="733"/>
      <w:bookmarkEnd w:id="734"/>
    </w:p>
    <w:p w14:paraId="3ECBDCC0" w14:textId="77777777" w:rsidR="00F85983" w:rsidRPr="00FD7E86" w:rsidRDefault="00F85983" w:rsidP="00756EE3">
      <w:pPr>
        <w:keepNext/>
        <w:keepLines/>
        <w:spacing w:after="80" w:line="240" w:lineRule="auto"/>
      </w:pPr>
      <w:r w:rsidRPr="00FD7E86">
        <w:rPr>
          <w:rFonts w:cs="Arial"/>
        </w:rPr>
        <w:t xml:space="preserve">The number of commercial broadcasting licences in operation for television and radio saw minimal changes </w:t>
      </w:r>
      <w:r>
        <w:rPr>
          <w:rFonts w:cs="Arial"/>
        </w:rPr>
        <w:t>from</w:t>
      </w:r>
      <w:r w:rsidRPr="00FD7E86">
        <w:rPr>
          <w:rFonts w:cs="Arial"/>
        </w:rPr>
        <w:t xml:space="preserve"> 201</w:t>
      </w:r>
      <w:r>
        <w:rPr>
          <w:rFonts w:cs="Arial"/>
        </w:rPr>
        <w:t>5</w:t>
      </w:r>
      <w:r w:rsidRPr="00FD7E86">
        <w:rPr>
          <w:rFonts w:cs="Arial"/>
        </w:rPr>
        <w:t>–1</w:t>
      </w:r>
      <w:r>
        <w:rPr>
          <w:rFonts w:cs="Arial"/>
        </w:rPr>
        <w:t>6</w:t>
      </w:r>
      <w:r w:rsidRPr="00FD7E86">
        <w:rPr>
          <w:rFonts w:cs="Arial"/>
        </w:rPr>
        <w:t>. At June 201</w:t>
      </w:r>
      <w:r>
        <w:rPr>
          <w:rFonts w:cs="Arial"/>
        </w:rPr>
        <w:t>7</w:t>
      </w:r>
      <w:r w:rsidRPr="00FD7E86">
        <w:rPr>
          <w:rFonts w:cs="Arial"/>
        </w:rPr>
        <w:t>, the number of active licences in Australia were (Figure 1.1</w:t>
      </w:r>
      <w:r>
        <w:rPr>
          <w:rFonts w:cs="Arial"/>
        </w:rPr>
        <w:t>3</w:t>
      </w:r>
      <w:r w:rsidRPr="00FD7E86">
        <w:t>)</w:t>
      </w:r>
      <w:r w:rsidRPr="00FD7E86">
        <w:rPr>
          <w:rFonts w:cs="Arial"/>
        </w:rPr>
        <w:t>:</w:t>
      </w:r>
    </w:p>
    <w:p w14:paraId="2DE09269" w14:textId="77777777" w:rsidR="00F85983" w:rsidRPr="00E57AD7" w:rsidRDefault="00F85983" w:rsidP="00756EE3">
      <w:pPr>
        <w:pStyle w:val="ListBullet"/>
        <w:keepNext/>
        <w:keepLines/>
      </w:pPr>
      <w:r w:rsidRPr="00E57AD7">
        <w:t>343 commercial broadcasting (radio and television) licences</w:t>
      </w:r>
      <w:r w:rsidR="002A244F">
        <w:t>—</w:t>
      </w:r>
      <w:r w:rsidRPr="00E57AD7">
        <w:t xml:space="preserve">unchanged from last year </w:t>
      </w:r>
    </w:p>
    <w:p w14:paraId="1B5D85C3" w14:textId="77777777" w:rsidR="00F85983" w:rsidRPr="00E57AD7" w:rsidRDefault="00F85983" w:rsidP="00756EE3">
      <w:pPr>
        <w:pStyle w:val="ListBullet"/>
        <w:keepNext/>
        <w:keepLines/>
      </w:pPr>
      <w:r w:rsidRPr="00E57AD7">
        <w:t>2,835 subscription television licences</w:t>
      </w:r>
      <w:r w:rsidR="002A244F">
        <w:t>—</w:t>
      </w:r>
      <w:r w:rsidRPr="00E57AD7">
        <w:t>unchanged from last year</w:t>
      </w:r>
    </w:p>
    <w:p w14:paraId="6DE1457B" w14:textId="51325262" w:rsidR="00F85983" w:rsidRPr="00E57AD7" w:rsidRDefault="00F85983" w:rsidP="00756EE3">
      <w:pPr>
        <w:pStyle w:val="ListBulletLast"/>
        <w:keepNext/>
        <w:keepLines/>
      </w:pPr>
      <w:r w:rsidRPr="00E57AD7">
        <w:t>506 community radio and television licences (including temporary licences)</w:t>
      </w:r>
      <w:r w:rsidR="002A244F">
        <w:t>—</w:t>
      </w:r>
      <w:r w:rsidR="00852644">
        <w:t>down by one from</w:t>
      </w:r>
      <w:r w:rsidR="000F3E58">
        <w:t> </w:t>
      </w:r>
      <w:r w:rsidR="00852644">
        <w:t>last </w:t>
      </w:r>
      <w:r w:rsidRPr="00E57AD7">
        <w:t xml:space="preserve">year. </w:t>
      </w:r>
    </w:p>
    <w:p w14:paraId="76337000" w14:textId="77777777" w:rsidR="00F85983" w:rsidRPr="00F85983" w:rsidRDefault="00F85983" w:rsidP="005B12AA">
      <w:pPr>
        <w:keepNext/>
        <w:keepLines/>
        <w:spacing w:after="160"/>
        <w:rPr>
          <w:b/>
        </w:rPr>
      </w:pPr>
      <w:r w:rsidRPr="00F85983">
        <w:rPr>
          <w:b/>
        </w:rPr>
        <w:t>Figure 1.13</w:t>
      </w:r>
      <w:r w:rsidRPr="00F85983">
        <w:rPr>
          <w:b/>
        </w:rPr>
        <w:tab/>
        <w:t>Number of broadcasting licences in operation in Australia</w:t>
      </w:r>
    </w:p>
    <w:p w14:paraId="2E5C94A1" w14:textId="77777777" w:rsidR="00F85983" w:rsidRPr="00026B1C" w:rsidRDefault="00EF5DBD" w:rsidP="005B12AA">
      <w:pPr>
        <w:pStyle w:val="ACMATableHeader"/>
        <w:keepNext/>
        <w:keepLines/>
        <w:numPr>
          <w:ilvl w:val="0"/>
          <w:numId w:val="0"/>
        </w:numPr>
        <w:spacing w:after="0"/>
      </w:pPr>
      <w:r>
        <w:rPr>
          <w:noProof/>
        </w:rPr>
        <w:drawing>
          <wp:inline distT="0" distB="0" distL="0" distR="0" wp14:anchorId="610C5868" wp14:editId="45681DC6">
            <wp:extent cx="5573949" cy="4427126"/>
            <wp:effectExtent l="0" t="0" r="8255" b="0"/>
            <wp:docPr id="15" name="Picture 15" descr="Data for Figure 1.13 is in the .ods file for Chapter 1 on the landing page ‘Communications report 2016-17’, available from the ACMA website." title="Figure 1.13  Number of broadcasting licences in operation in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H1 - charts_Figure 1.13.png"/>
                    <pic:cNvPicPr/>
                  </pic:nvPicPr>
                  <pic:blipFill rotWithShape="1">
                    <a:blip r:embed="rId55">
                      <a:extLst>
                        <a:ext uri="{28A0092B-C50C-407E-A947-70E740481C1C}">
                          <a14:useLocalDpi xmlns:a14="http://schemas.microsoft.com/office/drawing/2010/main" val="0"/>
                        </a:ext>
                      </a:extLst>
                    </a:blip>
                    <a:srcRect/>
                    <a:stretch/>
                  </pic:blipFill>
                  <pic:spPr bwMode="auto">
                    <a:xfrm>
                      <a:off x="0" y="0"/>
                      <a:ext cx="5579259" cy="4431344"/>
                    </a:xfrm>
                    <a:prstGeom prst="rect">
                      <a:avLst/>
                    </a:prstGeom>
                    <a:ln>
                      <a:noFill/>
                    </a:ln>
                    <a:extLst>
                      <a:ext uri="{53640926-AAD7-44D8-BBD7-CCE9431645EC}">
                        <a14:shadowObscured xmlns:a14="http://schemas.microsoft.com/office/drawing/2010/main"/>
                      </a:ext>
                    </a:extLst>
                  </pic:spPr>
                </pic:pic>
              </a:graphicData>
            </a:graphic>
          </wp:inline>
        </w:drawing>
      </w:r>
    </w:p>
    <w:p w14:paraId="30BEBC3B" w14:textId="77777777" w:rsidR="00F85983" w:rsidRDefault="00F85983" w:rsidP="00E14F15">
      <w:pPr>
        <w:pStyle w:val="ACMANotes"/>
        <w:spacing w:before="240" w:after="80"/>
      </w:pPr>
      <w:r>
        <w:t>Note: Commercial radio and television licence numbers for 2015–16 have been</w:t>
      </w:r>
      <w:r>
        <w:rPr>
          <w:szCs w:val="16"/>
        </w:rPr>
        <w:t xml:space="preserve"> amended due to a reporting error.</w:t>
      </w:r>
    </w:p>
    <w:p w14:paraId="2047F1D0" w14:textId="77777777" w:rsidR="00F85983" w:rsidRPr="007B4196" w:rsidRDefault="00F85983" w:rsidP="005B12AA">
      <w:pPr>
        <w:pStyle w:val="ACMANotesspaceafter"/>
        <w:spacing w:after="360"/>
        <w:rPr>
          <w:i w:val="0"/>
          <w:szCs w:val="16"/>
        </w:rPr>
      </w:pPr>
      <w:r w:rsidRPr="00EA416A">
        <w:t>Source: ACMA</w:t>
      </w:r>
      <w:r>
        <w:t>.</w:t>
      </w:r>
    </w:p>
    <w:p w14:paraId="03146BE4" w14:textId="77777777" w:rsidR="00F85983" w:rsidRPr="0014722A" w:rsidRDefault="00F85983" w:rsidP="00F85983">
      <w:pPr>
        <w:pStyle w:val="Heading3"/>
      </w:pPr>
      <w:bookmarkStart w:id="735" w:name="_Toc494799374"/>
      <w:bookmarkStart w:id="736" w:name="_Toc494805677"/>
      <w:bookmarkStart w:id="737" w:name="_Toc494805906"/>
      <w:bookmarkStart w:id="738" w:name="_Toc494808136"/>
      <w:bookmarkStart w:id="739" w:name="_Toc494808572"/>
      <w:bookmarkStart w:id="740" w:name="_Toc494815944"/>
      <w:bookmarkStart w:id="741" w:name="_Toc494818804"/>
      <w:bookmarkStart w:id="742" w:name="_Toc494819071"/>
      <w:r w:rsidRPr="0014722A">
        <w:t>Commercial broadcasting services</w:t>
      </w:r>
      <w:bookmarkEnd w:id="735"/>
      <w:bookmarkEnd w:id="736"/>
      <w:bookmarkEnd w:id="737"/>
      <w:bookmarkEnd w:id="738"/>
      <w:bookmarkEnd w:id="739"/>
      <w:bookmarkEnd w:id="740"/>
      <w:bookmarkEnd w:id="741"/>
      <w:bookmarkEnd w:id="742"/>
      <w:r w:rsidRPr="0014722A">
        <w:t xml:space="preserve"> </w:t>
      </w:r>
    </w:p>
    <w:p w14:paraId="417BCD90" w14:textId="77777777" w:rsidR="00620259" w:rsidRPr="0014722A" w:rsidRDefault="00620259" w:rsidP="00F85983">
      <w:pPr>
        <w:keepNext/>
        <w:rPr>
          <w:rFonts w:cs="Arial"/>
        </w:rPr>
      </w:pPr>
      <w:r w:rsidRPr="0014722A">
        <w:rPr>
          <w:rFonts w:cs="Arial"/>
        </w:rPr>
        <w:t xml:space="preserve">Commercial broadcasting services comprise </w:t>
      </w:r>
      <w:r>
        <w:rPr>
          <w:rFonts w:cs="Arial"/>
        </w:rPr>
        <w:t>FTA</w:t>
      </w:r>
      <w:r w:rsidRPr="0014722A">
        <w:rPr>
          <w:rFonts w:cs="Arial"/>
        </w:rPr>
        <w:t xml:space="preserve"> radio and television services that are made available to the general public. These services are licensed to operate within specified geographic areas</w:t>
      </w:r>
      <w:r>
        <w:rPr>
          <w:rFonts w:cs="Arial"/>
        </w:rPr>
        <w:t>.</w:t>
      </w:r>
      <w:r w:rsidRPr="0014722A">
        <w:rPr>
          <w:rFonts w:cs="Arial"/>
        </w:rPr>
        <w:t xml:space="preserve"> </w:t>
      </w:r>
      <w:r>
        <w:rPr>
          <w:rFonts w:cs="Arial"/>
        </w:rPr>
        <w:t xml:space="preserve">Previous media and diversity rules that sought </w:t>
      </w:r>
      <w:r w:rsidRPr="0014722A">
        <w:rPr>
          <w:rFonts w:cs="Arial"/>
        </w:rPr>
        <w:t>to limit concentration of</w:t>
      </w:r>
      <w:r>
        <w:rPr>
          <w:rFonts w:cs="Arial"/>
        </w:rPr>
        <w:t xml:space="preserve"> broadcasting </w:t>
      </w:r>
      <w:r w:rsidRPr="0014722A">
        <w:rPr>
          <w:rFonts w:cs="Arial"/>
        </w:rPr>
        <w:t>ownership and control</w:t>
      </w:r>
      <w:r>
        <w:rPr>
          <w:rFonts w:cs="Arial"/>
        </w:rPr>
        <w:t xml:space="preserve"> were repealed in October 2017</w:t>
      </w:r>
      <w:r w:rsidRPr="0014722A">
        <w:rPr>
          <w:rFonts w:cs="Arial"/>
        </w:rPr>
        <w:t>.</w:t>
      </w:r>
      <w:r>
        <w:rPr>
          <w:rStyle w:val="EndnoteReference"/>
          <w:rFonts w:cs="Arial"/>
        </w:rPr>
        <w:endnoteReference w:id="138"/>
      </w:r>
    </w:p>
    <w:p w14:paraId="4589EEF2" w14:textId="77777777" w:rsidR="00F85983" w:rsidRPr="00D35D41" w:rsidRDefault="00F85983" w:rsidP="002E282D">
      <w:pPr>
        <w:pStyle w:val="Heading3"/>
      </w:pPr>
      <w:r w:rsidRPr="00D35D41">
        <w:t>Ownership and control of commercial television services</w:t>
      </w:r>
    </w:p>
    <w:p w14:paraId="57A09E64" w14:textId="77777777" w:rsidR="00F85983" w:rsidRPr="0014722A" w:rsidRDefault="00F85983" w:rsidP="00F85983">
      <w:pPr>
        <w:rPr>
          <w:rFonts w:cs="Arial"/>
        </w:rPr>
      </w:pPr>
      <w:r w:rsidRPr="0014722A">
        <w:rPr>
          <w:rFonts w:cs="Arial"/>
        </w:rPr>
        <w:t>During 201</w:t>
      </w:r>
      <w:r>
        <w:rPr>
          <w:rFonts w:cs="Arial"/>
        </w:rPr>
        <w:t>6</w:t>
      </w:r>
      <w:r w:rsidRPr="0014722A">
        <w:rPr>
          <w:rFonts w:cs="Arial"/>
        </w:rPr>
        <w:t>–1</w:t>
      </w:r>
      <w:r>
        <w:rPr>
          <w:rFonts w:cs="Arial"/>
        </w:rPr>
        <w:t>7</w:t>
      </w:r>
      <w:r w:rsidRPr="0014722A">
        <w:rPr>
          <w:rFonts w:cs="Arial"/>
        </w:rPr>
        <w:t xml:space="preserve">, there were a number of </w:t>
      </w:r>
      <w:r>
        <w:rPr>
          <w:rFonts w:cs="Arial"/>
        </w:rPr>
        <w:t xml:space="preserve">ownership and </w:t>
      </w:r>
      <w:r w:rsidRPr="0014722A">
        <w:rPr>
          <w:rFonts w:cs="Arial"/>
        </w:rPr>
        <w:t>control changes in the media. Some involved the transfer of licences to different media networks or groups</w:t>
      </w:r>
      <w:r w:rsidR="00D42B68">
        <w:rPr>
          <w:rFonts w:cs="Arial"/>
        </w:rPr>
        <w:t>,</w:t>
      </w:r>
      <w:r w:rsidRPr="0014722A">
        <w:rPr>
          <w:rFonts w:cs="Arial"/>
        </w:rPr>
        <w:t xml:space="preserve"> while others were a result of financial or company restructures.</w:t>
      </w:r>
    </w:p>
    <w:p w14:paraId="47E9526C" w14:textId="77777777" w:rsidR="00F85983" w:rsidRPr="00033067" w:rsidRDefault="00F85983" w:rsidP="00852644">
      <w:pPr>
        <w:keepLines/>
        <w:rPr>
          <w:rFonts w:cs="Arial"/>
        </w:rPr>
      </w:pPr>
      <w:r w:rsidRPr="0014722A">
        <w:rPr>
          <w:rFonts w:cs="Arial"/>
        </w:rPr>
        <w:t xml:space="preserve">The Seven, Nine and Ten networks operate commercial television broadcasting licences predominantly in metropolitan markets. Their programming is also made available in regional markets through affiliation agreements with the regional television licences controlled by Prime Media Group </w:t>
      </w:r>
      <w:r w:rsidRPr="00033067">
        <w:rPr>
          <w:rFonts w:cs="Arial"/>
        </w:rPr>
        <w:t>Limited, Southern Cross Media Group Limited (Southern Cross), WIN Corporation Pty Ltd</w:t>
      </w:r>
      <w:r w:rsidRPr="009600D3">
        <w:rPr>
          <w:rFonts w:cs="Arial"/>
        </w:rPr>
        <w:t xml:space="preserve"> (</w:t>
      </w:r>
      <w:r w:rsidRPr="00AA52B5">
        <w:rPr>
          <w:rFonts w:cs="Arial"/>
        </w:rPr>
        <w:t>WIN) and Imparja Television Pty</w:t>
      </w:r>
      <w:r w:rsidR="00D35D41">
        <w:rPr>
          <w:rFonts w:cs="Arial"/>
        </w:rPr>
        <w:t> </w:t>
      </w:r>
      <w:r w:rsidRPr="00AA52B5">
        <w:rPr>
          <w:rFonts w:cs="Arial"/>
        </w:rPr>
        <w:t>Ltd.</w:t>
      </w:r>
      <w:r w:rsidRPr="00033067">
        <w:rPr>
          <w:vertAlign w:val="superscript"/>
        </w:rPr>
        <w:endnoteReference w:id="139"/>
      </w:r>
      <w:r w:rsidRPr="00033067">
        <w:rPr>
          <w:rFonts w:cs="Arial"/>
        </w:rPr>
        <w:t xml:space="preserve"> </w:t>
      </w:r>
    </w:p>
    <w:p w14:paraId="5D0BC8E2" w14:textId="77777777" w:rsidR="00F85983" w:rsidRPr="00033067" w:rsidRDefault="00F85983" w:rsidP="00F85983">
      <w:pPr>
        <w:rPr>
          <w:rFonts w:cs="Arial"/>
        </w:rPr>
      </w:pPr>
      <w:r>
        <w:rPr>
          <w:rFonts w:cs="Arial"/>
        </w:rPr>
        <w:t>Table 1.6</w:t>
      </w:r>
      <w:r w:rsidRPr="00033067">
        <w:rPr>
          <w:rFonts w:cs="Arial"/>
        </w:rPr>
        <w:t xml:space="preserve"> summarises ownership and control of these services in Australia.</w:t>
      </w:r>
    </w:p>
    <w:p w14:paraId="2826632A" w14:textId="77777777" w:rsidR="00F85983" w:rsidRPr="00033067" w:rsidRDefault="00F85983" w:rsidP="00CC2A2C">
      <w:pPr>
        <w:keepNext/>
        <w:spacing w:after="80"/>
        <w:rPr>
          <w:rFonts w:cs="Arial"/>
        </w:rPr>
      </w:pPr>
      <w:r w:rsidRPr="00033067">
        <w:rPr>
          <w:rFonts w:cs="Arial"/>
        </w:rPr>
        <w:t xml:space="preserve">Several </w:t>
      </w:r>
      <w:r>
        <w:rPr>
          <w:rFonts w:cs="Arial"/>
        </w:rPr>
        <w:t xml:space="preserve">key changes occurred during </w:t>
      </w:r>
      <w:r w:rsidRPr="00E92E14">
        <w:rPr>
          <w:rFonts w:cs="Arial"/>
          <w:szCs w:val="20"/>
        </w:rPr>
        <w:t>201</w:t>
      </w:r>
      <w:r>
        <w:rPr>
          <w:rFonts w:cs="Arial"/>
          <w:szCs w:val="20"/>
        </w:rPr>
        <w:t>6</w:t>
      </w:r>
      <w:r w:rsidRPr="00E92E14">
        <w:rPr>
          <w:rFonts w:cs="Arial"/>
          <w:szCs w:val="20"/>
        </w:rPr>
        <w:t>–1</w:t>
      </w:r>
      <w:r>
        <w:rPr>
          <w:rFonts w:cs="Arial"/>
          <w:szCs w:val="20"/>
        </w:rPr>
        <w:t xml:space="preserve">7, </w:t>
      </w:r>
      <w:r w:rsidRPr="00033067">
        <w:rPr>
          <w:rFonts w:cs="Arial"/>
        </w:rPr>
        <w:t>including:</w:t>
      </w:r>
    </w:p>
    <w:p w14:paraId="63B70CA9" w14:textId="77777777" w:rsidR="00F85983" w:rsidRPr="00E57AD7" w:rsidRDefault="00F85983" w:rsidP="00F3697E">
      <w:pPr>
        <w:pStyle w:val="ListBullet"/>
        <w:rPr>
          <w:rFonts w:eastAsia="Calibri"/>
        </w:rPr>
      </w:pPr>
      <w:r w:rsidRPr="00E57AD7">
        <w:rPr>
          <w:rFonts w:eastAsia="Calibri"/>
        </w:rPr>
        <w:t xml:space="preserve">From 1 July 2016, changes to affiliation arrangements meant that WIN began providing Ten </w:t>
      </w:r>
      <w:r w:rsidR="00D42B68">
        <w:rPr>
          <w:rFonts w:eastAsia="Calibri"/>
        </w:rPr>
        <w:t>N</w:t>
      </w:r>
      <w:r w:rsidRPr="00E57AD7">
        <w:rPr>
          <w:rFonts w:eastAsia="Calibri"/>
        </w:rPr>
        <w:t xml:space="preserve">etwork programming instead of Nine programming in several regional Australian licences areas, while Southern Cross began providing Nine </w:t>
      </w:r>
      <w:r w:rsidR="00D42B68">
        <w:rPr>
          <w:rFonts w:eastAsia="Calibri"/>
        </w:rPr>
        <w:t>N</w:t>
      </w:r>
      <w:r w:rsidRPr="00E57AD7">
        <w:rPr>
          <w:rFonts w:eastAsia="Calibri"/>
        </w:rPr>
        <w:t>etwork programming instead of Ten programming.</w:t>
      </w:r>
    </w:p>
    <w:p w14:paraId="006D9766" w14:textId="77777777" w:rsidR="00F85983" w:rsidRPr="00E57AD7" w:rsidRDefault="00F85983" w:rsidP="00DC2B04">
      <w:pPr>
        <w:pStyle w:val="ListBullet"/>
        <w:rPr>
          <w:rFonts w:eastAsia="Calibri"/>
        </w:rPr>
      </w:pPr>
      <w:r w:rsidRPr="00E57AD7">
        <w:rPr>
          <w:rFonts w:eastAsia="Calibri"/>
        </w:rPr>
        <w:t>On 31 May 2017, the NRN commercial television broadcasting licence in Northern New South Wales was transferred from Southern Cross to WIN.</w:t>
      </w:r>
    </w:p>
    <w:p w14:paraId="0755DC08" w14:textId="77777777" w:rsidR="00CC1998" w:rsidRPr="00CC1998" w:rsidRDefault="00F85983" w:rsidP="00DC2B04">
      <w:pPr>
        <w:pStyle w:val="ListBulletLast"/>
      </w:pPr>
      <w:r w:rsidRPr="00926CDA">
        <w:rPr>
          <w:rFonts w:eastAsia="Calibri"/>
          <w:lang w:eastAsia="en-US"/>
        </w:rPr>
        <w:t>On 14 June 2017</w:t>
      </w:r>
      <w:r>
        <w:rPr>
          <w:rFonts w:eastAsia="Calibri"/>
          <w:lang w:eastAsia="en-US"/>
        </w:rPr>
        <w:t>,</w:t>
      </w:r>
      <w:r w:rsidRPr="00926CDA">
        <w:rPr>
          <w:rFonts w:eastAsia="Calibri"/>
          <w:lang w:eastAsia="en-US"/>
        </w:rPr>
        <w:t xml:space="preserve"> Ten Network Holdings Limited (TNH) and its subsidiary companies went into voluntary administration, meaning that the appointed administrators came into control of TNH and the commercial television broadcasting licenses held by the TNH subsidiary licensees.</w:t>
      </w:r>
      <w:r w:rsidR="00A22F05">
        <w:rPr>
          <w:rStyle w:val="EndnoteReference"/>
          <w:rFonts w:eastAsia="Calibri"/>
          <w:lang w:eastAsia="en-US"/>
        </w:rPr>
        <w:endnoteReference w:id="140"/>
      </w:r>
    </w:p>
    <w:p w14:paraId="03E6C653" w14:textId="77777777" w:rsidR="00CC1998" w:rsidRDefault="00CC1998" w:rsidP="00D61036">
      <w:pPr>
        <w:pStyle w:val="ACMATableHeader"/>
        <w:keepNext/>
        <w:numPr>
          <w:ilvl w:val="0"/>
          <w:numId w:val="0"/>
        </w:numPr>
      </w:pPr>
      <w:r>
        <w:t>Table 1.6</w:t>
      </w:r>
      <w:r w:rsidRPr="000901DC">
        <w:tab/>
        <w:t xml:space="preserve">Ownership and control of commercial television services in Australia </w:t>
      </w:r>
    </w:p>
    <w:tbl>
      <w:tblPr>
        <w:tblW w:w="946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1E0" w:firstRow="1" w:lastRow="1" w:firstColumn="1" w:lastColumn="1" w:noHBand="0" w:noVBand="0"/>
        <w:tblCaption w:val="Table 1.7 Ownership and control of commercial television services in Australia "/>
      </w:tblPr>
      <w:tblGrid>
        <w:gridCol w:w="1813"/>
        <w:gridCol w:w="1229"/>
        <w:gridCol w:w="1230"/>
        <w:gridCol w:w="5196"/>
      </w:tblGrid>
      <w:tr w:rsidR="00CC1998" w:rsidRPr="00440B48" w14:paraId="17268BFE" w14:textId="77777777" w:rsidTr="00EE3FD2">
        <w:trPr>
          <w:trHeight w:val="185"/>
        </w:trPr>
        <w:tc>
          <w:tcPr>
            <w:tcW w:w="1813" w:type="dxa"/>
            <w:shd w:val="clear" w:color="auto" w:fill="37897E"/>
            <w:vAlign w:val="center"/>
          </w:tcPr>
          <w:p w14:paraId="47530B99" w14:textId="77777777" w:rsidR="00CC1998" w:rsidRPr="006A2912" w:rsidRDefault="00CC1998" w:rsidP="00D61036">
            <w:pPr>
              <w:pStyle w:val="TableHeading"/>
              <w:spacing w:before="0" w:line="240" w:lineRule="auto"/>
              <w:rPr>
                <w:szCs w:val="18"/>
              </w:rPr>
            </w:pPr>
            <w:r w:rsidRPr="006A2912">
              <w:rPr>
                <w:szCs w:val="18"/>
              </w:rPr>
              <w:t>Network</w:t>
            </w:r>
          </w:p>
        </w:tc>
        <w:tc>
          <w:tcPr>
            <w:tcW w:w="1229" w:type="dxa"/>
            <w:shd w:val="clear" w:color="auto" w:fill="37897E"/>
            <w:vAlign w:val="center"/>
          </w:tcPr>
          <w:p w14:paraId="57F0B992" w14:textId="77777777" w:rsidR="00CC1998" w:rsidRPr="006A2912" w:rsidRDefault="00CC1998" w:rsidP="00D61036">
            <w:pPr>
              <w:pStyle w:val="TableHeading"/>
              <w:spacing w:before="0" w:line="240" w:lineRule="auto"/>
              <w:rPr>
                <w:szCs w:val="18"/>
              </w:rPr>
            </w:pPr>
            <w:r w:rsidRPr="006A2912">
              <w:rPr>
                <w:szCs w:val="18"/>
              </w:rPr>
              <w:t>Licence type</w:t>
            </w:r>
          </w:p>
        </w:tc>
        <w:tc>
          <w:tcPr>
            <w:tcW w:w="1230" w:type="dxa"/>
            <w:shd w:val="clear" w:color="auto" w:fill="37897E"/>
            <w:vAlign w:val="center"/>
          </w:tcPr>
          <w:p w14:paraId="490BF50C" w14:textId="77777777" w:rsidR="00CC1998" w:rsidRPr="00764F2F" w:rsidRDefault="00CC1998" w:rsidP="00D61036">
            <w:pPr>
              <w:pStyle w:val="TableHeading"/>
              <w:spacing w:before="0" w:line="240" w:lineRule="auto"/>
              <w:rPr>
                <w:szCs w:val="18"/>
              </w:rPr>
            </w:pPr>
            <w:r w:rsidRPr="00764F2F">
              <w:rPr>
                <w:szCs w:val="18"/>
              </w:rPr>
              <w:t>Number</w:t>
            </w:r>
          </w:p>
        </w:tc>
        <w:tc>
          <w:tcPr>
            <w:tcW w:w="5196" w:type="dxa"/>
            <w:shd w:val="clear" w:color="auto" w:fill="37897E"/>
            <w:vAlign w:val="center"/>
          </w:tcPr>
          <w:p w14:paraId="6AC4B37C" w14:textId="77777777" w:rsidR="00CC1998" w:rsidRPr="006F4887" w:rsidRDefault="00CC1998" w:rsidP="00D61036">
            <w:pPr>
              <w:pStyle w:val="TableHeading"/>
              <w:spacing w:before="0" w:line="240" w:lineRule="auto"/>
              <w:rPr>
                <w:szCs w:val="18"/>
              </w:rPr>
            </w:pPr>
            <w:r w:rsidRPr="006F4887">
              <w:rPr>
                <w:szCs w:val="18"/>
              </w:rPr>
              <w:t>Ownership and control—licence areas</w:t>
            </w:r>
          </w:p>
        </w:tc>
      </w:tr>
      <w:tr w:rsidR="00CC1998" w:rsidRPr="00440B48" w14:paraId="3BAAE5B5" w14:textId="77777777" w:rsidTr="00EE3FD2">
        <w:trPr>
          <w:trHeight w:val="137"/>
        </w:trPr>
        <w:tc>
          <w:tcPr>
            <w:tcW w:w="1813" w:type="dxa"/>
            <w:vMerge w:val="restart"/>
            <w:shd w:val="clear" w:color="auto" w:fill="auto"/>
            <w:vAlign w:val="center"/>
          </w:tcPr>
          <w:p w14:paraId="3CD550FC"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Seven Group Holdings Ltd</w:t>
            </w:r>
          </w:p>
        </w:tc>
        <w:tc>
          <w:tcPr>
            <w:tcW w:w="1229" w:type="dxa"/>
            <w:shd w:val="clear" w:color="auto" w:fill="auto"/>
            <w:vAlign w:val="center"/>
          </w:tcPr>
          <w:p w14:paraId="5E90B8D9"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Metropolitan</w:t>
            </w:r>
          </w:p>
        </w:tc>
        <w:tc>
          <w:tcPr>
            <w:tcW w:w="1230" w:type="dxa"/>
            <w:shd w:val="clear" w:color="auto" w:fill="auto"/>
            <w:vAlign w:val="center"/>
          </w:tcPr>
          <w:p w14:paraId="71104CD9"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5</w:t>
            </w:r>
          </w:p>
        </w:tc>
        <w:tc>
          <w:tcPr>
            <w:tcW w:w="5196" w:type="dxa"/>
            <w:shd w:val="clear" w:color="auto" w:fill="auto"/>
            <w:vAlign w:val="center"/>
          </w:tcPr>
          <w:p w14:paraId="19610FE1" w14:textId="77777777" w:rsidR="00CC1998" w:rsidRPr="00440B48" w:rsidRDefault="00CC1998" w:rsidP="00D61036">
            <w:pPr>
              <w:pStyle w:val="ACMATableText"/>
              <w:keepNext/>
              <w:keepLines/>
              <w:spacing w:before="0" w:after="0"/>
              <w:rPr>
                <w:rFonts w:cs="Arial"/>
                <w:sz w:val="18"/>
                <w:szCs w:val="18"/>
              </w:rPr>
            </w:pPr>
            <w:r w:rsidRPr="006F4887">
              <w:rPr>
                <w:rFonts w:cs="Arial"/>
                <w:sz w:val="18"/>
                <w:szCs w:val="18"/>
              </w:rPr>
              <w:t xml:space="preserve">Sydney, </w:t>
            </w:r>
            <w:r w:rsidRPr="00440B48">
              <w:rPr>
                <w:rFonts w:cs="Arial"/>
                <w:sz w:val="18"/>
                <w:szCs w:val="18"/>
              </w:rPr>
              <w:t>Melbourne, Brisbane, Adelaide and Perth</w:t>
            </w:r>
          </w:p>
        </w:tc>
      </w:tr>
      <w:tr w:rsidR="00CC1998" w:rsidRPr="00440B48" w14:paraId="5E103491" w14:textId="77777777" w:rsidTr="00EE3FD2">
        <w:trPr>
          <w:trHeight w:val="186"/>
        </w:trPr>
        <w:tc>
          <w:tcPr>
            <w:tcW w:w="1813" w:type="dxa"/>
            <w:vMerge/>
            <w:shd w:val="clear" w:color="auto" w:fill="auto"/>
            <w:vAlign w:val="center"/>
          </w:tcPr>
          <w:p w14:paraId="263B28B9" w14:textId="77777777" w:rsidR="00CC1998" w:rsidRPr="00440B48" w:rsidRDefault="00CC1998" w:rsidP="00D61036">
            <w:pPr>
              <w:pStyle w:val="ACMATableText"/>
              <w:keepNext/>
              <w:keepLines/>
              <w:spacing w:before="0" w:after="0"/>
              <w:rPr>
                <w:rFonts w:cs="Arial"/>
                <w:sz w:val="18"/>
                <w:szCs w:val="18"/>
              </w:rPr>
            </w:pPr>
          </w:p>
        </w:tc>
        <w:tc>
          <w:tcPr>
            <w:tcW w:w="1229" w:type="dxa"/>
            <w:shd w:val="clear" w:color="auto" w:fill="auto"/>
            <w:vAlign w:val="center"/>
          </w:tcPr>
          <w:p w14:paraId="4695FE20"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Regional</w:t>
            </w:r>
          </w:p>
        </w:tc>
        <w:tc>
          <w:tcPr>
            <w:tcW w:w="1230" w:type="dxa"/>
            <w:shd w:val="clear" w:color="auto" w:fill="auto"/>
            <w:vAlign w:val="center"/>
          </w:tcPr>
          <w:p w14:paraId="0342DEF4"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1</w:t>
            </w:r>
          </w:p>
        </w:tc>
        <w:tc>
          <w:tcPr>
            <w:tcW w:w="5196" w:type="dxa"/>
            <w:shd w:val="clear" w:color="auto" w:fill="auto"/>
            <w:vAlign w:val="center"/>
          </w:tcPr>
          <w:p w14:paraId="376FFB80"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Regional Queensland</w:t>
            </w:r>
          </w:p>
        </w:tc>
      </w:tr>
      <w:tr w:rsidR="00CC1998" w:rsidRPr="00440B48" w14:paraId="0B3FAF4B" w14:textId="77777777" w:rsidTr="00EE3FD2">
        <w:trPr>
          <w:trHeight w:val="20"/>
        </w:trPr>
        <w:tc>
          <w:tcPr>
            <w:tcW w:w="1813" w:type="dxa"/>
            <w:vMerge w:val="restart"/>
            <w:shd w:val="clear" w:color="auto" w:fill="auto"/>
            <w:vAlign w:val="center"/>
          </w:tcPr>
          <w:p w14:paraId="2EBD9211"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Nine Entertainment Co</w:t>
            </w:r>
            <w:r w:rsidR="00D42B68" w:rsidRPr="006A2912">
              <w:rPr>
                <w:rFonts w:cs="Arial"/>
                <w:sz w:val="18"/>
                <w:szCs w:val="18"/>
              </w:rPr>
              <w:t>.</w:t>
            </w:r>
            <w:r w:rsidRPr="006A2912">
              <w:rPr>
                <w:rFonts w:cs="Arial"/>
                <w:sz w:val="18"/>
                <w:szCs w:val="18"/>
              </w:rPr>
              <w:t xml:space="preserve"> Holdings Ltd</w:t>
            </w:r>
          </w:p>
        </w:tc>
        <w:tc>
          <w:tcPr>
            <w:tcW w:w="1229" w:type="dxa"/>
            <w:shd w:val="clear" w:color="auto" w:fill="auto"/>
            <w:vAlign w:val="center"/>
          </w:tcPr>
          <w:p w14:paraId="39996587"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Metropolitan</w:t>
            </w:r>
          </w:p>
        </w:tc>
        <w:tc>
          <w:tcPr>
            <w:tcW w:w="1230" w:type="dxa"/>
            <w:shd w:val="clear" w:color="auto" w:fill="auto"/>
            <w:vAlign w:val="center"/>
          </w:tcPr>
          <w:p w14:paraId="4CD8AD3B" w14:textId="77777777" w:rsidR="00CC1998" w:rsidRPr="006F4887" w:rsidRDefault="00CC1998" w:rsidP="00D61036">
            <w:pPr>
              <w:pStyle w:val="ACMATableText"/>
              <w:keepNext/>
              <w:keepLines/>
              <w:spacing w:before="0" w:after="0"/>
              <w:rPr>
                <w:rFonts w:cs="Arial"/>
                <w:sz w:val="18"/>
                <w:szCs w:val="18"/>
              </w:rPr>
            </w:pPr>
            <w:r w:rsidRPr="006F4887">
              <w:rPr>
                <w:rFonts w:cs="Arial"/>
                <w:sz w:val="18"/>
                <w:szCs w:val="18"/>
              </w:rPr>
              <w:t>5</w:t>
            </w:r>
          </w:p>
        </w:tc>
        <w:tc>
          <w:tcPr>
            <w:tcW w:w="5196" w:type="dxa"/>
            <w:shd w:val="clear" w:color="auto" w:fill="auto"/>
            <w:vAlign w:val="center"/>
          </w:tcPr>
          <w:p w14:paraId="2F7A8B53"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Sydney, Melbourne, Brisbane, Adelaide and Perth</w:t>
            </w:r>
          </w:p>
        </w:tc>
      </w:tr>
      <w:tr w:rsidR="00CC1998" w:rsidRPr="00440B48" w14:paraId="38A6CB1E" w14:textId="77777777" w:rsidTr="00EE3FD2">
        <w:trPr>
          <w:trHeight w:val="162"/>
        </w:trPr>
        <w:tc>
          <w:tcPr>
            <w:tcW w:w="1813" w:type="dxa"/>
            <w:vMerge/>
            <w:shd w:val="clear" w:color="auto" w:fill="auto"/>
            <w:vAlign w:val="center"/>
          </w:tcPr>
          <w:p w14:paraId="2534964E" w14:textId="77777777" w:rsidR="00CC1998" w:rsidRPr="00440B48" w:rsidRDefault="00CC1998" w:rsidP="00D61036">
            <w:pPr>
              <w:pStyle w:val="ACMATableText"/>
              <w:keepNext/>
              <w:keepLines/>
              <w:spacing w:before="0" w:after="0"/>
              <w:rPr>
                <w:rFonts w:cs="Arial"/>
                <w:sz w:val="18"/>
                <w:szCs w:val="18"/>
              </w:rPr>
            </w:pPr>
          </w:p>
        </w:tc>
        <w:tc>
          <w:tcPr>
            <w:tcW w:w="1229" w:type="dxa"/>
            <w:shd w:val="clear" w:color="auto" w:fill="auto"/>
            <w:vAlign w:val="center"/>
          </w:tcPr>
          <w:p w14:paraId="6D7701CE"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Regional</w:t>
            </w:r>
          </w:p>
        </w:tc>
        <w:tc>
          <w:tcPr>
            <w:tcW w:w="1230" w:type="dxa"/>
            <w:shd w:val="clear" w:color="auto" w:fill="auto"/>
            <w:vAlign w:val="center"/>
          </w:tcPr>
          <w:p w14:paraId="098D2304"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3</w:t>
            </w:r>
          </w:p>
        </w:tc>
        <w:tc>
          <w:tcPr>
            <w:tcW w:w="5196" w:type="dxa"/>
            <w:shd w:val="clear" w:color="auto" w:fill="auto"/>
            <w:vAlign w:val="center"/>
          </w:tcPr>
          <w:p w14:paraId="06850894"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Darwin (one sole operation and one joint venture with Southern Cross Media Group Ltd) and Northern New South Wales</w:t>
            </w:r>
          </w:p>
        </w:tc>
      </w:tr>
      <w:tr w:rsidR="00CC1998" w:rsidRPr="00440B48" w14:paraId="403B27D9" w14:textId="77777777" w:rsidTr="00EE3FD2">
        <w:trPr>
          <w:trHeight w:val="340"/>
        </w:trPr>
        <w:tc>
          <w:tcPr>
            <w:tcW w:w="1813" w:type="dxa"/>
            <w:shd w:val="clear" w:color="auto" w:fill="auto"/>
            <w:vAlign w:val="center"/>
          </w:tcPr>
          <w:p w14:paraId="71CAFDF6"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Ten Network Holdings Ltd</w:t>
            </w:r>
            <w:r w:rsidR="001E49B5">
              <w:rPr>
                <w:rStyle w:val="EndnoteReference"/>
                <w:rFonts w:eastAsia="Calibri"/>
              </w:rPr>
              <w:t>*</w:t>
            </w:r>
          </w:p>
        </w:tc>
        <w:tc>
          <w:tcPr>
            <w:tcW w:w="1229" w:type="dxa"/>
            <w:shd w:val="clear" w:color="auto" w:fill="auto"/>
            <w:vAlign w:val="center"/>
          </w:tcPr>
          <w:p w14:paraId="137DABD3"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Metropolitan</w:t>
            </w:r>
          </w:p>
        </w:tc>
        <w:tc>
          <w:tcPr>
            <w:tcW w:w="1230" w:type="dxa"/>
            <w:shd w:val="clear" w:color="auto" w:fill="auto"/>
            <w:vAlign w:val="center"/>
          </w:tcPr>
          <w:p w14:paraId="57356F07"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5</w:t>
            </w:r>
          </w:p>
        </w:tc>
        <w:tc>
          <w:tcPr>
            <w:tcW w:w="5196" w:type="dxa"/>
            <w:shd w:val="clear" w:color="auto" w:fill="auto"/>
            <w:vAlign w:val="center"/>
          </w:tcPr>
          <w:p w14:paraId="37F15448" w14:textId="77777777" w:rsidR="00CC1998" w:rsidRPr="006F4887" w:rsidRDefault="00CC1998" w:rsidP="00D61036">
            <w:pPr>
              <w:pStyle w:val="ACMATableText"/>
              <w:keepNext/>
              <w:keepLines/>
              <w:spacing w:before="0" w:after="0"/>
              <w:rPr>
                <w:rFonts w:cs="Arial"/>
                <w:sz w:val="18"/>
                <w:szCs w:val="18"/>
              </w:rPr>
            </w:pPr>
            <w:r w:rsidRPr="006F4887">
              <w:rPr>
                <w:rFonts w:cs="Arial"/>
                <w:sz w:val="18"/>
                <w:szCs w:val="18"/>
              </w:rPr>
              <w:t>Sydney, Melbourne, Brisbane, Adelaide and Perth</w:t>
            </w:r>
          </w:p>
        </w:tc>
      </w:tr>
      <w:tr w:rsidR="00CC1998" w:rsidRPr="00440B48" w14:paraId="54EB4833" w14:textId="77777777" w:rsidTr="00EE3FD2">
        <w:trPr>
          <w:trHeight w:val="1022"/>
        </w:trPr>
        <w:tc>
          <w:tcPr>
            <w:tcW w:w="1813" w:type="dxa"/>
            <w:shd w:val="clear" w:color="auto" w:fill="auto"/>
            <w:vAlign w:val="center"/>
          </w:tcPr>
          <w:p w14:paraId="38747391"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WIN Corporation Pty Ltd</w:t>
            </w:r>
          </w:p>
        </w:tc>
        <w:tc>
          <w:tcPr>
            <w:tcW w:w="1229" w:type="dxa"/>
            <w:shd w:val="clear" w:color="auto" w:fill="auto"/>
            <w:vAlign w:val="center"/>
          </w:tcPr>
          <w:p w14:paraId="6682634E"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Regional</w:t>
            </w:r>
          </w:p>
        </w:tc>
        <w:tc>
          <w:tcPr>
            <w:tcW w:w="1230" w:type="dxa"/>
            <w:shd w:val="clear" w:color="auto" w:fill="auto"/>
            <w:vAlign w:val="center"/>
          </w:tcPr>
          <w:p w14:paraId="33289B2D"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22</w:t>
            </w:r>
          </w:p>
        </w:tc>
        <w:tc>
          <w:tcPr>
            <w:tcW w:w="5196" w:type="dxa"/>
            <w:shd w:val="clear" w:color="auto" w:fill="auto"/>
            <w:vAlign w:val="center"/>
          </w:tcPr>
          <w:p w14:paraId="37D5E025" w14:textId="77777777" w:rsidR="00CC1998" w:rsidRPr="006F4887" w:rsidRDefault="00CC1998" w:rsidP="00CD02A6">
            <w:pPr>
              <w:pStyle w:val="ACMATableText"/>
              <w:keepNext/>
              <w:keepLines/>
              <w:spacing w:before="0" w:after="60"/>
              <w:rPr>
                <w:rFonts w:cs="Arial"/>
                <w:sz w:val="18"/>
                <w:szCs w:val="18"/>
              </w:rPr>
            </w:pPr>
            <w:r w:rsidRPr="006F4887">
              <w:rPr>
                <w:rFonts w:cs="Arial"/>
                <w:sz w:val="18"/>
                <w:szCs w:val="18"/>
              </w:rPr>
              <w:t>Across regional Australia, including joint ventures in:</w:t>
            </w:r>
          </w:p>
          <w:p w14:paraId="2304BA45" w14:textId="77777777" w:rsidR="00CC1998" w:rsidRPr="00440B48" w:rsidRDefault="00CC1998" w:rsidP="00CD02A6">
            <w:pPr>
              <w:pStyle w:val="ACMATableText"/>
              <w:keepNext/>
              <w:keepLines/>
              <w:numPr>
                <w:ilvl w:val="0"/>
                <w:numId w:val="63"/>
              </w:numPr>
              <w:spacing w:before="0" w:after="60"/>
              <w:ind w:left="394"/>
              <w:rPr>
                <w:rFonts w:cs="Arial"/>
                <w:sz w:val="18"/>
                <w:szCs w:val="18"/>
              </w:rPr>
            </w:pPr>
            <w:r w:rsidRPr="00440B48">
              <w:rPr>
                <w:rFonts w:cs="Arial"/>
                <w:sz w:val="18"/>
                <w:szCs w:val="18"/>
              </w:rPr>
              <w:t xml:space="preserve">Tasmania with Southern Cross Media Group Ltd </w:t>
            </w:r>
          </w:p>
          <w:p w14:paraId="076A9FD8" w14:textId="77777777" w:rsidR="00CC1998" w:rsidRPr="00440B48" w:rsidRDefault="00CC1998" w:rsidP="006A7C73">
            <w:pPr>
              <w:pStyle w:val="ACMATableText"/>
              <w:keepNext/>
              <w:keepLines/>
              <w:numPr>
                <w:ilvl w:val="0"/>
                <w:numId w:val="63"/>
              </w:numPr>
              <w:spacing w:before="0" w:after="60"/>
              <w:ind w:left="394"/>
              <w:rPr>
                <w:rFonts w:cs="Arial"/>
                <w:sz w:val="18"/>
                <w:szCs w:val="18"/>
              </w:rPr>
            </w:pPr>
            <w:r w:rsidRPr="00440B48">
              <w:rPr>
                <w:rFonts w:cs="Arial"/>
                <w:sz w:val="18"/>
                <w:szCs w:val="18"/>
              </w:rPr>
              <w:t>Mildura, Geraldton, Kalgoorlie, Western Zone, South West and Great Southern television licence areas with Prime Media Group Ltd</w:t>
            </w:r>
          </w:p>
          <w:p w14:paraId="2082CC7B"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Also includes three licences in each of Griffith, Riverland and Mount Gambier South-East licence areas, and one licence in Northern New South Wales</w:t>
            </w:r>
          </w:p>
        </w:tc>
      </w:tr>
      <w:tr w:rsidR="00CC1998" w:rsidRPr="00440B48" w14:paraId="0279CE25" w14:textId="77777777" w:rsidTr="00EE3FD2">
        <w:trPr>
          <w:trHeight w:val="454"/>
        </w:trPr>
        <w:tc>
          <w:tcPr>
            <w:tcW w:w="1813" w:type="dxa"/>
            <w:shd w:val="clear" w:color="auto" w:fill="auto"/>
            <w:vAlign w:val="center"/>
          </w:tcPr>
          <w:p w14:paraId="613DAB3C"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Southern Cross Media Group Ltd</w:t>
            </w:r>
          </w:p>
        </w:tc>
        <w:tc>
          <w:tcPr>
            <w:tcW w:w="1229" w:type="dxa"/>
            <w:shd w:val="clear" w:color="auto" w:fill="auto"/>
            <w:vAlign w:val="center"/>
          </w:tcPr>
          <w:p w14:paraId="15DF0D6B"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Regional</w:t>
            </w:r>
          </w:p>
        </w:tc>
        <w:tc>
          <w:tcPr>
            <w:tcW w:w="1230" w:type="dxa"/>
            <w:shd w:val="clear" w:color="auto" w:fill="auto"/>
            <w:vAlign w:val="center"/>
          </w:tcPr>
          <w:p w14:paraId="29127593"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18</w:t>
            </w:r>
          </w:p>
        </w:tc>
        <w:tc>
          <w:tcPr>
            <w:tcW w:w="5196" w:type="dxa"/>
            <w:shd w:val="clear" w:color="auto" w:fill="auto"/>
            <w:vAlign w:val="center"/>
          </w:tcPr>
          <w:p w14:paraId="4435489E" w14:textId="77777777" w:rsidR="00CC1998" w:rsidRPr="006F4887" w:rsidRDefault="00CC1998" w:rsidP="00CD02A6">
            <w:pPr>
              <w:pStyle w:val="ACMATableText"/>
              <w:keepNext/>
              <w:keepLines/>
              <w:spacing w:before="0" w:after="60"/>
              <w:rPr>
                <w:rFonts w:cs="Arial"/>
                <w:sz w:val="18"/>
                <w:szCs w:val="18"/>
              </w:rPr>
            </w:pPr>
            <w:r w:rsidRPr="006F4887">
              <w:rPr>
                <w:rFonts w:cs="Arial"/>
                <w:sz w:val="18"/>
                <w:szCs w:val="18"/>
              </w:rPr>
              <w:t>Across regional Australia, including joint ventures in:</w:t>
            </w:r>
          </w:p>
          <w:p w14:paraId="4B2FA26D" w14:textId="77777777" w:rsidR="00CC1998" w:rsidRPr="00440B48" w:rsidRDefault="00CC1998" w:rsidP="00CD02A6">
            <w:pPr>
              <w:pStyle w:val="ACMATableText"/>
              <w:keepNext/>
              <w:keepLines/>
              <w:numPr>
                <w:ilvl w:val="0"/>
                <w:numId w:val="63"/>
              </w:numPr>
              <w:spacing w:before="0" w:after="60"/>
              <w:ind w:left="394"/>
              <w:rPr>
                <w:rFonts w:cs="Arial"/>
                <w:sz w:val="18"/>
                <w:szCs w:val="18"/>
              </w:rPr>
            </w:pPr>
            <w:r w:rsidRPr="00440B48">
              <w:rPr>
                <w:rFonts w:cs="Arial"/>
                <w:sz w:val="18"/>
                <w:szCs w:val="18"/>
              </w:rPr>
              <w:t xml:space="preserve">Darwin with Nine Entertainment Co Holdings Ltd </w:t>
            </w:r>
          </w:p>
          <w:p w14:paraId="7D76FEF1" w14:textId="77777777" w:rsidR="00CC1998" w:rsidRPr="00440B48" w:rsidRDefault="00CC1998" w:rsidP="00CD02A6">
            <w:pPr>
              <w:pStyle w:val="ACMATableText"/>
              <w:keepNext/>
              <w:keepLines/>
              <w:numPr>
                <w:ilvl w:val="0"/>
                <w:numId w:val="63"/>
              </w:numPr>
              <w:spacing w:before="0" w:after="60"/>
              <w:ind w:left="394"/>
              <w:rPr>
                <w:rFonts w:cs="Arial"/>
                <w:sz w:val="18"/>
                <w:szCs w:val="18"/>
              </w:rPr>
            </w:pPr>
            <w:r w:rsidRPr="00440B48">
              <w:rPr>
                <w:rFonts w:cs="Arial"/>
                <w:sz w:val="18"/>
                <w:szCs w:val="18"/>
              </w:rPr>
              <w:t>Tasmania with WIN Corporation Pty Ltd</w:t>
            </w:r>
          </w:p>
          <w:p w14:paraId="591F7177" w14:textId="77777777" w:rsidR="00CC1998" w:rsidRPr="00440B48" w:rsidRDefault="00CC1998" w:rsidP="006A7C73">
            <w:pPr>
              <w:pStyle w:val="ACMATableText"/>
              <w:keepNext/>
              <w:keepLines/>
              <w:numPr>
                <w:ilvl w:val="0"/>
                <w:numId w:val="63"/>
              </w:numPr>
              <w:spacing w:before="0" w:after="60"/>
              <w:ind w:left="394"/>
              <w:rPr>
                <w:rFonts w:cs="Arial"/>
                <w:sz w:val="18"/>
                <w:szCs w:val="18"/>
              </w:rPr>
            </w:pPr>
            <w:r w:rsidRPr="00440B48">
              <w:rPr>
                <w:rFonts w:cs="Arial"/>
                <w:sz w:val="18"/>
                <w:szCs w:val="18"/>
              </w:rPr>
              <w:t>Mt Isa and Remote Central and Eastern Australia TV2 licence areas with Imparja Television Pty Ltd</w:t>
            </w:r>
          </w:p>
          <w:p w14:paraId="2650BD45" w14:textId="77777777" w:rsidR="00CC1998" w:rsidRPr="00440B48" w:rsidRDefault="00CC1998" w:rsidP="00D61036">
            <w:pPr>
              <w:pStyle w:val="ACMATableText"/>
              <w:keepNext/>
              <w:keepLines/>
              <w:spacing w:before="0" w:after="0"/>
              <w:rPr>
                <w:rFonts w:cs="Arial"/>
                <w:sz w:val="18"/>
                <w:szCs w:val="18"/>
              </w:rPr>
            </w:pPr>
            <w:r w:rsidRPr="00440B48">
              <w:rPr>
                <w:rFonts w:cs="Arial"/>
                <w:sz w:val="18"/>
                <w:szCs w:val="18"/>
              </w:rPr>
              <w:t>Also includes three licences in each of the Broken Hill and Spencer Gulf licence areas</w:t>
            </w:r>
          </w:p>
        </w:tc>
      </w:tr>
      <w:tr w:rsidR="00CC1998" w:rsidRPr="00440B48" w14:paraId="7F9B04E8" w14:textId="77777777" w:rsidTr="00EE3FD2">
        <w:trPr>
          <w:trHeight w:val="454"/>
        </w:trPr>
        <w:tc>
          <w:tcPr>
            <w:tcW w:w="1813" w:type="dxa"/>
            <w:shd w:val="clear" w:color="auto" w:fill="auto"/>
            <w:vAlign w:val="center"/>
          </w:tcPr>
          <w:p w14:paraId="15E61F43"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Prime Media Group Ltd</w:t>
            </w:r>
          </w:p>
        </w:tc>
        <w:tc>
          <w:tcPr>
            <w:tcW w:w="1229" w:type="dxa"/>
            <w:shd w:val="clear" w:color="auto" w:fill="auto"/>
            <w:vAlign w:val="center"/>
          </w:tcPr>
          <w:p w14:paraId="3849FB33" w14:textId="77777777" w:rsidR="00CC1998" w:rsidRPr="006A2912" w:rsidRDefault="00CC1998" w:rsidP="00D61036">
            <w:pPr>
              <w:pStyle w:val="ACMATableText"/>
              <w:keepNext/>
              <w:keepLines/>
              <w:spacing w:before="0" w:after="0"/>
              <w:rPr>
                <w:rFonts w:cs="Arial"/>
                <w:sz w:val="18"/>
                <w:szCs w:val="18"/>
              </w:rPr>
            </w:pPr>
            <w:r w:rsidRPr="006A2912">
              <w:rPr>
                <w:rFonts w:cs="Arial"/>
                <w:sz w:val="18"/>
                <w:szCs w:val="18"/>
              </w:rPr>
              <w:t>Regional</w:t>
            </w:r>
          </w:p>
        </w:tc>
        <w:tc>
          <w:tcPr>
            <w:tcW w:w="1230" w:type="dxa"/>
            <w:shd w:val="clear" w:color="auto" w:fill="auto"/>
            <w:vAlign w:val="center"/>
          </w:tcPr>
          <w:p w14:paraId="0936A44E" w14:textId="77777777" w:rsidR="00CC1998" w:rsidRPr="00764F2F" w:rsidRDefault="00CC1998" w:rsidP="00D61036">
            <w:pPr>
              <w:pStyle w:val="ACMATableText"/>
              <w:keepNext/>
              <w:keepLines/>
              <w:spacing w:before="0" w:after="0"/>
              <w:rPr>
                <w:rFonts w:cs="Arial"/>
                <w:sz w:val="18"/>
                <w:szCs w:val="18"/>
              </w:rPr>
            </w:pPr>
            <w:r w:rsidRPr="00764F2F">
              <w:rPr>
                <w:rFonts w:cs="Arial"/>
                <w:sz w:val="18"/>
                <w:szCs w:val="18"/>
              </w:rPr>
              <w:t>13</w:t>
            </w:r>
          </w:p>
        </w:tc>
        <w:tc>
          <w:tcPr>
            <w:tcW w:w="5196" w:type="dxa"/>
            <w:shd w:val="clear" w:color="auto" w:fill="auto"/>
            <w:vAlign w:val="center"/>
          </w:tcPr>
          <w:p w14:paraId="087F4551" w14:textId="77777777" w:rsidR="006A7C73" w:rsidRDefault="00CC1998" w:rsidP="00CD02A6">
            <w:pPr>
              <w:pStyle w:val="ACMATableText"/>
              <w:keepNext/>
              <w:keepLines/>
              <w:spacing w:before="0" w:after="60"/>
              <w:rPr>
                <w:rFonts w:cs="Arial"/>
                <w:sz w:val="18"/>
                <w:szCs w:val="18"/>
              </w:rPr>
            </w:pPr>
            <w:r w:rsidRPr="006F4887">
              <w:rPr>
                <w:rFonts w:cs="Arial"/>
                <w:sz w:val="18"/>
                <w:szCs w:val="18"/>
              </w:rPr>
              <w:t>Across regional Austral</w:t>
            </w:r>
            <w:r w:rsidR="006A7C73">
              <w:rPr>
                <w:rFonts w:cs="Arial"/>
                <w:sz w:val="18"/>
                <w:szCs w:val="18"/>
              </w:rPr>
              <w:t>ia, including joint ventures in:</w:t>
            </w:r>
          </w:p>
          <w:p w14:paraId="1049F079" w14:textId="301DF651" w:rsidR="00CC1998" w:rsidRPr="00440B48" w:rsidRDefault="00CC1998" w:rsidP="006A7C73">
            <w:pPr>
              <w:pStyle w:val="ACMATableText"/>
              <w:keepNext/>
              <w:keepLines/>
              <w:numPr>
                <w:ilvl w:val="0"/>
                <w:numId w:val="63"/>
              </w:numPr>
              <w:spacing w:before="0" w:after="0"/>
              <w:ind w:left="394"/>
              <w:rPr>
                <w:rFonts w:cs="Arial"/>
                <w:sz w:val="18"/>
                <w:szCs w:val="18"/>
              </w:rPr>
            </w:pPr>
            <w:r w:rsidRPr="006F4887">
              <w:rPr>
                <w:rFonts w:cs="Arial"/>
                <w:sz w:val="18"/>
                <w:szCs w:val="18"/>
              </w:rPr>
              <w:t>Mildura, Ge</w:t>
            </w:r>
            <w:r w:rsidRPr="00440B48">
              <w:rPr>
                <w:rFonts w:cs="Arial"/>
                <w:sz w:val="18"/>
                <w:szCs w:val="18"/>
              </w:rPr>
              <w:t>raldton, Kalgoorlie, Western Zone, South-West and Great Southern licence areas with WIN Corporation Pty Ltd</w:t>
            </w:r>
          </w:p>
        </w:tc>
      </w:tr>
    </w:tbl>
    <w:p w14:paraId="791825E6" w14:textId="1592D745" w:rsidR="001E49B5" w:rsidRDefault="001E49B5" w:rsidP="00D61036">
      <w:pPr>
        <w:pStyle w:val="ACMANotes"/>
        <w:spacing w:before="120"/>
      </w:pPr>
      <w:r>
        <w:t>*On 23 October 2017, the ASX announced the Deed of Company Arrangement was entered into by Ten Network Holdings Ltd (Ten) and CBS International Television Australia Pty Ltd (CBS), and provides for the transfer of the shares in Ten to CBS or its nominee.</w:t>
      </w:r>
    </w:p>
    <w:p w14:paraId="2E72DEDE" w14:textId="77777777" w:rsidR="00CC1998" w:rsidRPr="000901DC" w:rsidRDefault="00CC1998" w:rsidP="00CC1998">
      <w:pPr>
        <w:pStyle w:val="ACMANotes"/>
      </w:pPr>
      <w:r w:rsidRPr="000901DC">
        <w:t xml:space="preserve">Note: Does not include licences for services provided by satellite allocated under section 38C and other licences allocated under subsection 40(1) of the </w:t>
      </w:r>
      <w:r w:rsidRPr="000901DC">
        <w:rPr>
          <w:i w:val="0"/>
        </w:rPr>
        <w:t>Broadcasting Services Act 1992</w:t>
      </w:r>
      <w:r w:rsidRPr="000901DC">
        <w:t>. The number of licences does not add up to the total number of commercial television broadcasting licences (69) due to double-counting of joint ventures.</w:t>
      </w:r>
    </w:p>
    <w:p w14:paraId="07DCBD4C" w14:textId="77777777" w:rsidR="00CC1998" w:rsidRPr="000901DC" w:rsidRDefault="00CC1998" w:rsidP="00D61036">
      <w:pPr>
        <w:pStyle w:val="ACMANotesspaceafter"/>
        <w:spacing w:after="360"/>
        <w:rPr>
          <w:szCs w:val="16"/>
        </w:rPr>
      </w:pPr>
      <w:r w:rsidRPr="000901DC">
        <w:rPr>
          <w:szCs w:val="16"/>
        </w:rPr>
        <w:t xml:space="preserve">Source: ACMA, </w:t>
      </w:r>
      <w:hyperlink r:id="rId56" w:history="1">
        <w:r w:rsidRPr="000901DC">
          <w:rPr>
            <w:rStyle w:val="Hyperlink"/>
            <w:szCs w:val="16"/>
          </w:rPr>
          <w:t>Register of Controlled Media Groups and the Media Control Database</w:t>
        </w:r>
      </w:hyperlink>
      <w:r w:rsidRPr="000901DC">
        <w:rPr>
          <w:szCs w:val="16"/>
        </w:rPr>
        <w:t xml:space="preserve">. </w:t>
      </w:r>
    </w:p>
    <w:p w14:paraId="3A56CD7F" w14:textId="77777777" w:rsidR="00CC1998" w:rsidRPr="00871DFC" w:rsidRDefault="00CC1998" w:rsidP="00D61036">
      <w:pPr>
        <w:pStyle w:val="Heading3"/>
      </w:pPr>
      <w:bookmarkStart w:id="743" w:name="_Toc494799375"/>
      <w:bookmarkStart w:id="744" w:name="_Toc494805678"/>
      <w:bookmarkStart w:id="745" w:name="_Toc494805907"/>
      <w:bookmarkStart w:id="746" w:name="_Toc494808137"/>
      <w:bookmarkStart w:id="747" w:name="_Toc494808573"/>
      <w:bookmarkStart w:id="748" w:name="_Toc494815945"/>
      <w:bookmarkStart w:id="749" w:name="_Toc494818805"/>
      <w:bookmarkStart w:id="750" w:name="_Toc494819072"/>
      <w:r w:rsidRPr="00871DFC">
        <w:t>Ownership and control of commercial radio services</w:t>
      </w:r>
      <w:bookmarkEnd w:id="743"/>
      <w:bookmarkEnd w:id="744"/>
      <w:bookmarkEnd w:id="745"/>
      <w:bookmarkEnd w:id="746"/>
      <w:bookmarkEnd w:id="747"/>
      <w:bookmarkEnd w:id="748"/>
      <w:bookmarkEnd w:id="749"/>
      <w:bookmarkEnd w:id="750"/>
    </w:p>
    <w:p w14:paraId="2F166684" w14:textId="77777777" w:rsidR="00CC1998" w:rsidRPr="00E92E14" w:rsidRDefault="00CC1998" w:rsidP="00CC1998">
      <w:pPr>
        <w:spacing w:after="80"/>
        <w:rPr>
          <w:rFonts w:cs="Arial"/>
          <w:szCs w:val="20"/>
        </w:rPr>
      </w:pPr>
      <w:r>
        <w:rPr>
          <w:rFonts w:cs="Arial"/>
        </w:rPr>
        <w:t>Table 1.7</w:t>
      </w:r>
      <w:r w:rsidRPr="00E92E14">
        <w:rPr>
          <w:rFonts w:cs="Arial"/>
        </w:rPr>
        <w:t xml:space="preserve"> shows the ownership and control of commercial radio services in </w:t>
      </w:r>
      <w:r w:rsidRPr="00E92E14">
        <w:rPr>
          <w:rFonts w:cs="Arial"/>
          <w:szCs w:val="20"/>
        </w:rPr>
        <w:t>201</w:t>
      </w:r>
      <w:r>
        <w:rPr>
          <w:rFonts w:cs="Arial"/>
          <w:szCs w:val="20"/>
        </w:rPr>
        <w:t>6</w:t>
      </w:r>
      <w:r w:rsidRPr="00E92E14">
        <w:rPr>
          <w:rFonts w:cs="Arial"/>
          <w:szCs w:val="20"/>
        </w:rPr>
        <w:t>–1</w:t>
      </w:r>
      <w:r>
        <w:rPr>
          <w:rFonts w:cs="Arial"/>
          <w:szCs w:val="20"/>
        </w:rPr>
        <w:t>7</w:t>
      </w:r>
      <w:r w:rsidRPr="00E92E14">
        <w:rPr>
          <w:rFonts w:cs="Arial"/>
          <w:szCs w:val="20"/>
        </w:rPr>
        <w:t>:</w:t>
      </w:r>
    </w:p>
    <w:p w14:paraId="0967A694" w14:textId="77777777" w:rsidR="00CC1998" w:rsidRPr="00E57AD7" w:rsidRDefault="00CC1998" w:rsidP="00F3697E">
      <w:pPr>
        <w:pStyle w:val="ListBullet"/>
        <w:rPr>
          <w:rFonts w:eastAsia="Calibri"/>
        </w:rPr>
      </w:pPr>
      <w:r w:rsidRPr="00E57AD7">
        <w:rPr>
          <w:rFonts w:eastAsia="Calibri"/>
        </w:rPr>
        <w:t>Southern Cross, Australian Radio Network Pty Ltd, Nova Entertainment Pty Ltd and Macquarie Media Limited own the majority of capital city commercial radio broadcasting licences.</w:t>
      </w:r>
    </w:p>
    <w:p w14:paraId="686E4053" w14:textId="77777777" w:rsidR="00CC1998" w:rsidRPr="00E57AD7" w:rsidRDefault="00CC1998" w:rsidP="00DC2B04">
      <w:pPr>
        <w:pStyle w:val="ListBullet"/>
        <w:rPr>
          <w:rFonts w:eastAsia="Calibri"/>
        </w:rPr>
      </w:pPr>
      <w:r w:rsidRPr="00E57AD7">
        <w:rPr>
          <w:rFonts w:eastAsia="Calibri"/>
        </w:rPr>
        <w:t>Southern Cross, Broadcast Operations Pty Ltd (Super Radio Network) and Grant Broadcasters Pty</w:t>
      </w:r>
      <w:r w:rsidR="00126B97">
        <w:rPr>
          <w:rFonts w:eastAsia="Calibri"/>
        </w:rPr>
        <w:t> </w:t>
      </w:r>
      <w:r w:rsidRPr="00E57AD7">
        <w:rPr>
          <w:rFonts w:eastAsia="Calibri"/>
        </w:rPr>
        <w:t>Ltd remain the three largest networks of regional commercial radio broadcasting licences.</w:t>
      </w:r>
    </w:p>
    <w:p w14:paraId="68A691B5" w14:textId="77777777" w:rsidR="00CC1998" w:rsidRPr="00E57AD7" w:rsidRDefault="00CC1998" w:rsidP="00DC2B04">
      <w:pPr>
        <w:pStyle w:val="ListBullet"/>
        <w:rPr>
          <w:rFonts w:eastAsia="Calibri"/>
        </w:rPr>
      </w:pPr>
      <w:r w:rsidRPr="00E57AD7">
        <w:rPr>
          <w:rFonts w:eastAsia="Calibri"/>
        </w:rPr>
        <w:t>Nine different networks each control more than six commercial radio broadcasting licences, which is unchanged from the previous year.</w:t>
      </w:r>
    </w:p>
    <w:p w14:paraId="5930B9A0" w14:textId="77777777" w:rsidR="00CC1998" w:rsidRPr="00E92E14" w:rsidRDefault="00CC1998" w:rsidP="00DC2B04">
      <w:pPr>
        <w:pStyle w:val="ListBulletLast"/>
        <w:rPr>
          <w:rFonts w:eastAsia="Calibri"/>
          <w:lang w:eastAsia="en-US"/>
        </w:rPr>
      </w:pPr>
      <w:r w:rsidRPr="00E92E14">
        <w:rPr>
          <w:rFonts w:eastAsia="Calibri"/>
          <w:lang w:eastAsia="en-US"/>
        </w:rPr>
        <w:t xml:space="preserve">These </w:t>
      </w:r>
      <w:r>
        <w:rPr>
          <w:rFonts w:eastAsia="Calibri"/>
          <w:lang w:eastAsia="en-US"/>
        </w:rPr>
        <w:t>ni</w:t>
      </w:r>
      <w:r w:rsidRPr="00E92E14">
        <w:rPr>
          <w:rFonts w:eastAsia="Calibri"/>
          <w:lang w:eastAsia="en-US"/>
        </w:rPr>
        <w:t>ne networks together control 22</w:t>
      </w:r>
      <w:r>
        <w:rPr>
          <w:rFonts w:eastAsia="Calibri"/>
          <w:lang w:eastAsia="en-US"/>
        </w:rPr>
        <w:t>8</w:t>
      </w:r>
      <w:r w:rsidRPr="00E92E14">
        <w:rPr>
          <w:rFonts w:eastAsia="Calibri"/>
          <w:lang w:eastAsia="en-US"/>
        </w:rPr>
        <w:t xml:space="preserve"> licences out of a total of 26</w:t>
      </w:r>
      <w:r>
        <w:rPr>
          <w:rFonts w:eastAsia="Calibri"/>
          <w:lang w:eastAsia="en-US"/>
        </w:rPr>
        <w:t>2</w:t>
      </w:r>
      <w:r w:rsidRPr="00E92E14">
        <w:rPr>
          <w:rFonts w:eastAsia="Calibri"/>
          <w:lang w:eastAsia="en-US"/>
        </w:rPr>
        <w:t xml:space="preserve"> commercial radio licences that are subject to the media diversity and control rules under Part 5 of the </w:t>
      </w:r>
      <w:r w:rsidRPr="00E92E14">
        <w:rPr>
          <w:i/>
        </w:rPr>
        <w:t xml:space="preserve">Broadcasting Services Act 1992 </w:t>
      </w:r>
      <w:r w:rsidRPr="00E92E14">
        <w:t>(</w:t>
      </w:r>
      <w:r w:rsidRPr="00E92E14">
        <w:rPr>
          <w:rFonts w:eastAsia="Calibri"/>
          <w:lang w:eastAsia="en-US"/>
        </w:rPr>
        <w:t>BSA). This does not include commercial radio broadcasting licences allocated under subsection</w:t>
      </w:r>
      <w:r>
        <w:rPr>
          <w:rFonts w:eastAsia="Calibri"/>
          <w:lang w:eastAsia="en-US"/>
        </w:rPr>
        <w:t> </w:t>
      </w:r>
      <w:r w:rsidRPr="00E92E14">
        <w:rPr>
          <w:rFonts w:eastAsia="Calibri"/>
          <w:lang w:eastAsia="en-US"/>
        </w:rPr>
        <w:t>40(1) of the BSA. The remaining 3</w:t>
      </w:r>
      <w:r>
        <w:rPr>
          <w:rFonts w:eastAsia="Calibri"/>
          <w:lang w:eastAsia="en-US"/>
        </w:rPr>
        <w:t>7</w:t>
      </w:r>
      <w:r w:rsidRPr="00E92E14">
        <w:rPr>
          <w:rFonts w:eastAsia="Calibri"/>
          <w:lang w:eastAsia="en-US"/>
        </w:rPr>
        <w:t xml:space="preserve"> licences are held by 1</w:t>
      </w:r>
      <w:r>
        <w:rPr>
          <w:rFonts w:eastAsia="Calibri"/>
          <w:lang w:eastAsia="en-US"/>
        </w:rPr>
        <w:t>8</w:t>
      </w:r>
      <w:r w:rsidRPr="00E92E14">
        <w:rPr>
          <w:rFonts w:eastAsia="Calibri"/>
          <w:lang w:eastAsia="en-US"/>
        </w:rPr>
        <w:t xml:space="preserve"> networks/owners, each with five or fewer licences.</w:t>
      </w:r>
    </w:p>
    <w:p w14:paraId="3D4E060B" w14:textId="77777777" w:rsidR="0071668C" w:rsidRDefault="00CC1998" w:rsidP="00CC1998">
      <w:pPr>
        <w:rPr>
          <w:rFonts w:eastAsia="Calibri"/>
        </w:rPr>
      </w:pPr>
      <w:r>
        <w:rPr>
          <w:rFonts w:eastAsia="Calibri"/>
        </w:rPr>
        <w:t>A</w:t>
      </w:r>
      <w:r w:rsidRPr="00E92E14">
        <w:rPr>
          <w:rFonts w:eastAsia="Calibri"/>
        </w:rPr>
        <w:t xml:space="preserve"> key change in 201</w:t>
      </w:r>
      <w:r>
        <w:rPr>
          <w:rFonts w:eastAsia="Calibri"/>
        </w:rPr>
        <w:t>6</w:t>
      </w:r>
      <w:r w:rsidRPr="00E92E14">
        <w:rPr>
          <w:rFonts w:eastAsia="Calibri"/>
        </w:rPr>
        <w:t>–1</w:t>
      </w:r>
      <w:r>
        <w:rPr>
          <w:rFonts w:eastAsia="Calibri"/>
        </w:rPr>
        <w:t>7</w:t>
      </w:r>
      <w:r w:rsidRPr="00E92E14">
        <w:rPr>
          <w:rFonts w:eastAsia="Calibri"/>
        </w:rPr>
        <w:t xml:space="preserve"> was the acquisition by </w:t>
      </w:r>
      <w:r>
        <w:t>EON 2CH</w:t>
      </w:r>
      <w:r w:rsidRPr="00E92E14">
        <w:rPr>
          <w:rFonts w:eastAsia="Calibri"/>
        </w:rPr>
        <w:t xml:space="preserve"> Pty Ltd of Radio</w:t>
      </w:r>
      <w:r>
        <w:rPr>
          <w:rFonts w:eastAsia="Calibri"/>
        </w:rPr>
        <w:t xml:space="preserve"> 2CH </w:t>
      </w:r>
      <w:r w:rsidRPr="00E92E14">
        <w:rPr>
          <w:rFonts w:eastAsia="Calibri"/>
        </w:rPr>
        <w:t>Pty Ltd</w:t>
      </w:r>
      <w:r>
        <w:rPr>
          <w:rFonts w:eastAsia="Calibri"/>
        </w:rPr>
        <w:t xml:space="preserve"> (2CH)</w:t>
      </w:r>
      <w:r w:rsidRPr="00E92E14">
        <w:rPr>
          <w:rFonts w:eastAsia="Calibri"/>
        </w:rPr>
        <w:t xml:space="preserve"> </w:t>
      </w:r>
      <w:r>
        <w:rPr>
          <w:rFonts w:eastAsia="Calibri"/>
        </w:rPr>
        <w:t xml:space="preserve">(in the Sydney RA1 licence area) </w:t>
      </w:r>
      <w:r w:rsidRPr="00E92E14">
        <w:rPr>
          <w:rFonts w:eastAsia="Calibri"/>
        </w:rPr>
        <w:t>from Macquarie Media Limited (MML) (</w:t>
      </w:r>
      <w:r>
        <w:rPr>
          <w:rFonts w:eastAsia="Calibri"/>
        </w:rPr>
        <w:t>formerly</w:t>
      </w:r>
      <w:r w:rsidRPr="00E92E14">
        <w:rPr>
          <w:rFonts w:eastAsia="Calibri"/>
        </w:rPr>
        <w:t xml:space="preserve"> Macquarie Radio Network Limited)</w:t>
      </w:r>
      <w:r>
        <w:rPr>
          <w:rFonts w:eastAsia="Calibri"/>
        </w:rPr>
        <w:t xml:space="preserve"> on 19 January 2017</w:t>
      </w:r>
      <w:r w:rsidRPr="00E92E14">
        <w:rPr>
          <w:rFonts w:eastAsia="Calibri"/>
        </w:rPr>
        <w:t xml:space="preserve">. The divestiture of </w:t>
      </w:r>
      <w:r>
        <w:rPr>
          <w:rFonts w:eastAsia="Calibri"/>
        </w:rPr>
        <w:t>2CH</w:t>
      </w:r>
      <w:r w:rsidRPr="00E92E14">
        <w:rPr>
          <w:rFonts w:eastAsia="Calibri"/>
        </w:rPr>
        <w:t xml:space="preserve"> by MML remedied </w:t>
      </w:r>
      <w:r>
        <w:rPr>
          <w:rFonts w:eastAsia="Calibri"/>
        </w:rPr>
        <w:t>breaches of the ‘two-to-a-market’ statutory control rule</w:t>
      </w:r>
      <w:r w:rsidRPr="00E92E14">
        <w:rPr>
          <w:rFonts w:eastAsia="Calibri"/>
        </w:rPr>
        <w:t xml:space="preserve"> </w:t>
      </w:r>
      <w:r>
        <w:rPr>
          <w:rFonts w:eastAsia="Calibri"/>
        </w:rPr>
        <w:t xml:space="preserve">for commercial radio licences </w:t>
      </w:r>
      <w:r w:rsidRPr="00E92E14">
        <w:rPr>
          <w:rFonts w:eastAsia="Calibri"/>
        </w:rPr>
        <w:t xml:space="preserve">that had arisen in the </w:t>
      </w:r>
      <w:r>
        <w:rPr>
          <w:rFonts w:eastAsia="Calibri"/>
        </w:rPr>
        <w:t>Sydney</w:t>
      </w:r>
      <w:r w:rsidRPr="00E92E14">
        <w:rPr>
          <w:rFonts w:eastAsia="Calibri"/>
        </w:rPr>
        <w:t xml:space="preserve"> licence area when MML merged with the radio business of Fairfax Media Limited (Fairfax) on 31</w:t>
      </w:r>
      <w:r>
        <w:rPr>
          <w:rFonts w:eastAsia="Calibri"/>
        </w:rPr>
        <w:t> </w:t>
      </w:r>
      <w:r w:rsidRPr="00E92E14">
        <w:rPr>
          <w:rFonts w:eastAsia="Calibri"/>
        </w:rPr>
        <w:t xml:space="preserve">March 2015. </w:t>
      </w:r>
    </w:p>
    <w:p w14:paraId="754AA271" w14:textId="77777777" w:rsidR="00CC1998" w:rsidRDefault="00CC1998" w:rsidP="00CC1998">
      <w:pPr>
        <w:rPr>
          <w:rFonts w:eastAsia="Calibri"/>
        </w:rPr>
      </w:pPr>
      <w:r w:rsidRPr="00E92E14">
        <w:rPr>
          <w:rFonts w:eastAsia="Calibri"/>
        </w:rPr>
        <w:t xml:space="preserve">The ACMA had granted MML and Fairfax prior approval of the transaction </w:t>
      </w:r>
      <w:r>
        <w:rPr>
          <w:rFonts w:eastAsia="Calibri"/>
        </w:rPr>
        <w:t>for a period that was extended until 30</w:t>
      </w:r>
      <w:r w:rsidR="00126B97">
        <w:rPr>
          <w:rFonts w:eastAsia="Calibri"/>
        </w:rPr>
        <w:t> </w:t>
      </w:r>
      <w:r>
        <w:rPr>
          <w:rFonts w:eastAsia="Calibri"/>
        </w:rPr>
        <w:t>September 2016</w:t>
      </w:r>
      <w:r w:rsidRPr="00E92E14">
        <w:rPr>
          <w:rFonts w:eastAsia="Calibri"/>
        </w:rPr>
        <w:t xml:space="preserve">. The ACMA had also accepted an enforceable undertaking from MML to divest </w:t>
      </w:r>
      <w:r>
        <w:rPr>
          <w:rFonts w:eastAsia="Calibri"/>
        </w:rPr>
        <w:t>2CH</w:t>
      </w:r>
      <w:r w:rsidRPr="00E92E14">
        <w:rPr>
          <w:rFonts w:eastAsia="Calibri"/>
        </w:rPr>
        <w:t xml:space="preserve"> </w:t>
      </w:r>
      <w:r>
        <w:rPr>
          <w:rFonts w:eastAsia="Calibri"/>
        </w:rPr>
        <w:t>by</w:t>
      </w:r>
      <w:r w:rsidRPr="00E92E14">
        <w:rPr>
          <w:rFonts w:eastAsia="Calibri"/>
        </w:rPr>
        <w:t xml:space="preserve"> this </w:t>
      </w:r>
      <w:r>
        <w:rPr>
          <w:rFonts w:eastAsia="Calibri"/>
        </w:rPr>
        <w:t>date</w:t>
      </w:r>
      <w:r w:rsidRPr="00E92E14">
        <w:rPr>
          <w:rFonts w:eastAsia="Calibri"/>
        </w:rPr>
        <w:t xml:space="preserve">. </w:t>
      </w:r>
      <w:r>
        <w:rPr>
          <w:rFonts w:eastAsia="Calibri"/>
        </w:rPr>
        <w:t>Although t</w:t>
      </w:r>
      <w:r w:rsidRPr="00E92E14">
        <w:rPr>
          <w:rFonts w:eastAsia="Calibri"/>
        </w:rPr>
        <w:t xml:space="preserve">he divestiture of </w:t>
      </w:r>
      <w:r>
        <w:rPr>
          <w:rFonts w:eastAsia="Calibri"/>
        </w:rPr>
        <w:t>2CH</w:t>
      </w:r>
      <w:r w:rsidRPr="00E92E14">
        <w:rPr>
          <w:rFonts w:eastAsia="Calibri"/>
        </w:rPr>
        <w:t xml:space="preserve"> was </w:t>
      </w:r>
      <w:r>
        <w:rPr>
          <w:rFonts w:eastAsia="Calibri"/>
        </w:rPr>
        <w:t xml:space="preserve">not completed </w:t>
      </w:r>
      <w:r w:rsidRPr="00E92E14">
        <w:rPr>
          <w:rFonts w:eastAsia="Calibri"/>
        </w:rPr>
        <w:t>within this time</w:t>
      </w:r>
      <w:r w:rsidR="00126B97">
        <w:rPr>
          <w:rFonts w:eastAsia="Calibri"/>
        </w:rPr>
        <w:t xml:space="preserve"> </w:t>
      </w:r>
      <w:r w:rsidRPr="00E92E14">
        <w:rPr>
          <w:rFonts w:eastAsia="Calibri"/>
        </w:rPr>
        <w:t>frame</w:t>
      </w:r>
      <w:r>
        <w:rPr>
          <w:rFonts w:eastAsia="Calibri"/>
        </w:rPr>
        <w:t xml:space="preserve">, the </w:t>
      </w:r>
      <w:r w:rsidRPr="009600D3">
        <w:rPr>
          <w:rFonts w:eastAsia="Calibri"/>
        </w:rPr>
        <w:t xml:space="preserve">breaches were </w:t>
      </w:r>
      <w:r>
        <w:rPr>
          <w:rFonts w:eastAsia="Calibri"/>
        </w:rPr>
        <w:t xml:space="preserve">subsequently </w:t>
      </w:r>
      <w:r w:rsidRPr="009600D3">
        <w:rPr>
          <w:rFonts w:eastAsia="Calibri"/>
        </w:rPr>
        <w:t xml:space="preserve">resolved via an asset sale conducted </w:t>
      </w:r>
      <w:r>
        <w:rPr>
          <w:rFonts w:eastAsia="Calibri"/>
        </w:rPr>
        <w:t xml:space="preserve">by a third-party divestiture agent appointed </w:t>
      </w:r>
      <w:r w:rsidRPr="009600D3">
        <w:rPr>
          <w:rFonts w:eastAsia="Calibri"/>
        </w:rPr>
        <w:t xml:space="preserve">in accordance with </w:t>
      </w:r>
      <w:r>
        <w:rPr>
          <w:rFonts w:eastAsia="Calibri"/>
        </w:rPr>
        <w:t>the</w:t>
      </w:r>
      <w:r w:rsidRPr="009600D3">
        <w:rPr>
          <w:rFonts w:eastAsia="Calibri"/>
        </w:rPr>
        <w:t xml:space="preserve"> enforceable undertaking</w:t>
      </w:r>
      <w:r w:rsidR="00126B97">
        <w:rPr>
          <w:rFonts w:eastAsia="Calibri"/>
        </w:rPr>
        <w:t>,</w:t>
      </w:r>
      <w:r>
        <w:rPr>
          <w:rFonts w:eastAsia="Calibri"/>
        </w:rPr>
        <w:t xml:space="preserve"> and the ACMA took no further action</w:t>
      </w:r>
      <w:r w:rsidRPr="00E92E14">
        <w:rPr>
          <w:rFonts w:eastAsia="Calibri"/>
        </w:rPr>
        <w:t xml:space="preserve">. </w:t>
      </w:r>
    </w:p>
    <w:p w14:paraId="4B46D012" w14:textId="77777777" w:rsidR="00CC1998" w:rsidRPr="00E92E14" w:rsidRDefault="00CC1998" w:rsidP="00CC1998">
      <w:pPr>
        <w:rPr>
          <w:rFonts w:eastAsia="Calibri"/>
          <w:lang w:eastAsia="en-US"/>
        </w:rPr>
      </w:pPr>
      <w:r w:rsidRPr="00E92E14">
        <w:rPr>
          <w:rFonts w:eastAsia="Calibri"/>
          <w:lang w:eastAsia="en-US"/>
        </w:rPr>
        <w:t>A discussion of broadcasters’ compliance with notification of change</w:t>
      </w:r>
      <w:r>
        <w:rPr>
          <w:rFonts w:eastAsia="Calibri"/>
          <w:lang w:eastAsia="en-US"/>
        </w:rPr>
        <w:t>-</w:t>
      </w:r>
      <w:r w:rsidRPr="00E92E14">
        <w:rPr>
          <w:rFonts w:eastAsia="Calibri"/>
          <w:lang w:eastAsia="en-US"/>
        </w:rPr>
        <w:t>in</w:t>
      </w:r>
      <w:r>
        <w:rPr>
          <w:rFonts w:eastAsia="Calibri"/>
          <w:lang w:eastAsia="en-US"/>
        </w:rPr>
        <w:t>-</w:t>
      </w:r>
      <w:r w:rsidRPr="00E92E14">
        <w:rPr>
          <w:rFonts w:eastAsia="Calibri"/>
          <w:lang w:eastAsia="en-US"/>
        </w:rPr>
        <w:t xml:space="preserve">control requirements is in </w:t>
      </w:r>
      <w:r w:rsidRPr="00263D7F">
        <w:rPr>
          <w:rFonts w:eastAsia="Calibri"/>
          <w:lang w:eastAsia="en-US"/>
        </w:rPr>
        <w:t>Chapter 3 of</w:t>
      </w:r>
      <w:r w:rsidRPr="00E92E14">
        <w:rPr>
          <w:rFonts w:eastAsia="Calibri"/>
          <w:lang w:eastAsia="en-US"/>
        </w:rPr>
        <w:t xml:space="preserve"> this report.</w:t>
      </w:r>
    </w:p>
    <w:p w14:paraId="76A928AA" w14:textId="77777777" w:rsidR="00CC1998" w:rsidRDefault="00CC1998" w:rsidP="00D61036">
      <w:pPr>
        <w:pStyle w:val="ACMATableHeader"/>
        <w:keepNext/>
        <w:numPr>
          <w:ilvl w:val="0"/>
          <w:numId w:val="0"/>
        </w:numPr>
      </w:pPr>
      <w:r>
        <w:t>Table 1.7</w:t>
      </w:r>
      <w:r>
        <w:tab/>
      </w:r>
      <w:r w:rsidRPr="0053710F">
        <w:t>Ownership and control of commercial radio services</w:t>
      </w:r>
    </w:p>
    <w:tbl>
      <w:tblPr>
        <w:tblW w:w="942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1.8 Ownership and control of commercial radio licences"/>
      </w:tblPr>
      <w:tblGrid>
        <w:gridCol w:w="2824"/>
        <w:gridCol w:w="1541"/>
        <w:gridCol w:w="5064"/>
      </w:tblGrid>
      <w:tr w:rsidR="00CC1998" w:rsidRPr="00825843" w14:paraId="7B064D2F" w14:textId="77777777" w:rsidTr="00EE3FD2">
        <w:trPr>
          <w:trHeight w:val="391"/>
          <w:tblHeader/>
        </w:trPr>
        <w:tc>
          <w:tcPr>
            <w:tcW w:w="2824" w:type="dxa"/>
            <w:shd w:val="clear" w:color="auto" w:fill="37897E"/>
            <w:vAlign w:val="center"/>
          </w:tcPr>
          <w:p w14:paraId="5289F1B3" w14:textId="77777777" w:rsidR="00CC1998" w:rsidRPr="00764F2F" w:rsidRDefault="00CC1998" w:rsidP="00D61036">
            <w:pPr>
              <w:pStyle w:val="TableHeading"/>
              <w:keepNext/>
              <w:keepLines/>
              <w:spacing w:before="0" w:line="240" w:lineRule="auto"/>
              <w:rPr>
                <w:szCs w:val="18"/>
              </w:rPr>
            </w:pPr>
            <w:r w:rsidRPr="00764F2F">
              <w:rPr>
                <w:szCs w:val="18"/>
              </w:rPr>
              <w:t>Network group company</w:t>
            </w:r>
          </w:p>
        </w:tc>
        <w:tc>
          <w:tcPr>
            <w:tcW w:w="1541" w:type="dxa"/>
            <w:shd w:val="clear" w:color="auto" w:fill="37897E"/>
            <w:vAlign w:val="center"/>
          </w:tcPr>
          <w:p w14:paraId="110A4841" w14:textId="77777777" w:rsidR="00CC1998" w:rsidRPr="00764F2F" w:rsidRDefault="00CC1998" w:rsidP="00D61036">
            <w:pPr>
              <w:pStyle w:val="TableHeading"/>
              <w:keepNext/>
              <w:keepLines/>
              <w:spacing w:before="0" w:line="240" w:lineRule="auto"/>
              <w:rPr>
                <w:szCs w:val="18"/>
              </w:rPr>
            </w:pPr>
            <w:r w:rsidRPr="00764F2F">
              <w:rPr>
                <w:szCs w:val="18"/>
              </w:rPr>
              <w:t>Total licences controlled</w:t>
            </w:r>
          </w:p>
        </w:tc>
        <w:tc>
          <w:tcPr>
            <w:tcW w:w="5064" w:type="dxa"/>
            <w:shd w:val="clear" w:color="auto" w:fill="37897E"/>
            <w:vAlign w:val="center"/>
          </w:tcPr>
          <w:p w14:paraId="5282B27D" w14:textId="77777777" w:rsidR="00CC1998" w:rsidRPr="006F4887" w:rsidRDefault="00CC1998" w:rsidP="00D61036">
            <w:pPr>
              <w:pStyle w:val="TableHeading"/>
              <w:keepNext/>
              <w:keepLines/>
              <w:spacing w:before="0" w:line="240" w:lineRule="auto"/>
              <w:rPr>
                <w:szCs w:val="18"/>
              </w:rPr>
            </w:pPr>
            <w:r w:rsidRPr="006F4887">
              <w:rPr>
                <w:szCs w:val="18"/>
              </w:rPr>
              <w:t>Ownership and control—licences and operations</w:t>
            </w:r>
          </w:p>
        </w:tc>
      </w:tr>
      <w:tr w:rsidR="00CC1998" w:rsidRPr="00825843" w14:paraId="6CBD2C94" w14:textId="77777777" w:rsidTr="00EE3FD2">
        <w:trPr>
          <w:trHeight w:val="454"/>
        </w:trPr>
        <w:tc>
          <w:tcPr>
            <w:tcW w:w="2824" w:type="dxa"/>
            <w:shd w:val="clear" w:color="auto" w:fill="auto"/>
            <w:vAlign w:val="center"/>
          </w:tcPr>
          <w:p w14:paraId="3BCBF3DE" w14:textId="77777777" w:rsidR="00CC1998" w:rsidRPr="00764F2F" w:rsidRDefault="00CC1998" w:rsidP="00D61036">
            <w:pPr>
              <w:pStyle w:val="ACMATableText"/>
              <w:keepNext/>
              <w:keepLines/>
              <w:spacing w:before="0" w:after="0"/>
              <w:rPr>
                <w:sz w:val="18"/>
                <w:szCs w:val="18"/>
              </w:rPr>
            </w:pPr>
            <w:r w:rsidRPr="00764F2F">
              <w:rPr>
                <w:sz w:val="18"/>
                <w:szCs w:val="18"/>
              </w:rPr>
              <w:t xml:space="preserve">ACE Radio Broadcasters </w:t>
            </w:r>
            <w:r w:rsidRPr="00764F2F">
              <w:rPr>
                <w:sz w:val="18"/>
                <w:szCs w:val="18"/>
              </w:rPr>
              <w:br/>
              <w:t>Pty Ltd</w:t>
            </w:r>
          </w:p>
        </w:tc>
        <w:tc>
          <w:tcPr>
            <w:tcW w:w="1541" w:type="dxa"/>
            <w:shd w:val="clear" w:color="auto" w:fill="auto"/>
            <w:vAlign w:val="center"/>
          </w:tcPr>
          <w:p w14:paraId="1A5765CA" w14:textId="77777777" w:rsidR="00CC1998" w:rsidRPr="00764F2F" w:rsidRDefault="00CC1998" w:rsidP="00D61036">
            <w:pPr>
              <w:pStyle w:val="ACMATableText"/>
              <w:keepNext/>
              <w:keepLines/>
              <w:spacing w:before="0" w:after="0"/>
              <w:rPr>
                <w:sz w:val="18"/>
                <w:szCs w:val="18"/>
              </w:rPr>
            </w:pPr>
            <w:r w:rsidRPr="00764F2F">
              <w:rPr>
                <w:sz w:val="18"/>
                <w:szCs w:val="18"/>
              </w:rPr>
              <w:t>13</w:t>
            </w:r>
          </w:p>
        </w:tc>
        <w:tc>
          <w:tcPr>
            <w:tcW w:w="5064" w:type="dxa"/>
            <w:shd w:val="clear" w:color="auto" w:fill="auto"/>
            <w:vAlign w:val="center"/>
          </w:tcPr>
          <w:p w14:paraId="25E8BD91" w14:textId="77777777" w:rsidR="00CC1998" w:rsidRPr="00764F2F" w:rsidRDefault="00CC1998" w:rsidP="00D61036">
            <w:pPr>
              <w:pStyle w:val="ACMATableText"/>
              <w:keepNext/>
              <w:keepLines/>
              <w:spacing w:before="0" w:after="0"/>
              <w:rPr>
                <w:sz w:val="18"/>
                <w:szCs w:val="18"/>
              </w:rPr>
            </w:pPr>
            <w:r w:rsidRPr="00764F2F">
              <w:rPr>
                <w:sz w:val="18"/>
                <w:szCs w:val="18"/>
              </w:rPr>
              <w:t>Licences in regional Victoria and one licence in the regional New South Wales licence area of Albury, which includes parts of regional Victoria</w:t>
            </w:r>
          </w:p>
        </w:tc>
      </w:tr>
      <w:tr w:rsidR="00CC1998" w:rsidRPr="00825843" w14:paraId="098BA73C" w14:textId="77777777" w:rsidTr="00EE3FD2">
        <w:trPr>
          <w:trHeight w:val="454"/>
        </w:trPr>
        <w:tc>
          <w:tcPr>
            <w:tcW w:w="2824" w:type="dxa"/>
            <w:shd w:val="clear" w:color="auto" w:fill="auto"/>
            <w:vAlign w:val="center"/>
          </w:tcPr>
          <w:p w14:paraId="30641FDB" w14:textId="77777777" w:rsidR="00CC1998" w:rsidRPr="00764F2F" w:rsidRDefault="00CC1998" w:rsidP="00D61036">
            <w:pPr>
              <w:pStyle w:val="ACMATableText"/>
              <w:keepNext/>
              <w:keepLines/>
              <w:spacing w:before="0" w:after="0"/>
              <w:rPr>
                <w:sz w:val="18"/>
                <w:szCs w:val="18"/>
              </w:rPr>
            </w:pPr>
            <w:r w:rsidRPr="00764F2F">
              <w:rPr>
                <w:sz w:val="18"/>
                <w:szCs w:val="18"/>
              </w:rPr>
              <w:t xml:space="preserve">Australian Radio Network </w:t>
            </w:r>
            <w:r w:rsidRPr="00764F2F">
              <w:rPr>
                <w:sz w:val="18"/>
                <w:szCs w:val="18"/>
              </w:rPr>
              <w:br/>
              <w:t>Pty Ltd (HT&amp;E Limited)</w:t>
            </w:r>
          </w:p>
        </w:tc>
        <w:tc>
          <w:tcPr>
            <w:tcW w:w="1541" w:type="dxa"/>
            <w:shd w:val="clear" w:color="auto" w:fill="auto"/>
            <w:vAlign w:val="center"/>
          </w:tcPr>
          <w:p w14:paraId="0C26D23A" w14:textId="77777777" w:rsidR="00CC1998" w:rsidRPr="00764F2F" w:rsidRDefault="00CC1998" w:rsidP="00D61036">
            <w:pPr>
              <w:pStyle w:val="ACMATableText"/>
              <w:keepNext/>
              <w:keepLines/>
              <w:spacing w:before="0" w:after="0"/>
              <w:rPr>
                <w:sz w:val="18"/>
                <w:szCs w:val="18"/>
              </w:rPr>
            </w:pPr>
            <w:r w:rsidRPr="00764F2F">
              <w:rPr>
                <w:sz w:val="18"/>
                <w:szCs w:val="18"/>
              </w:rPr>
              <w:t>13</w:t>
            </w:r>
          </w:p>
        </w:tc>
        <w:tc>
          <w:tcPr>
            <w:tcW w:w="5064" w:type="dxa"/>
            <w:shd w:val="clear" w:color="auto" w:fill="auto"/>
            <w:vAlign w:val="center"/>
          </w:tcPr>
          <w:p w14:paraId="485BC15A" w14:textId="77777777" w:rsidR="00CC1998" w:rsidRPr="00764F2F" w:rsidRDefault="00CC1998" w:rsidP="00D61036">
            <w:pPr>
              <w:pStyle w:val="ACMATableText"/>
              <w:keepNext/>
              <w:keepLines/>
              <w:spacing w:before="0" w:after="0"/>
              <w:rPr>
                <w:sz w:val="18"/>
                <w:szCs w:val="18"/>
              </w:rPr>
            </w:pPr>
            <w:r w:rsidRPr="00764F2F">
              <w:rPr>
                <w:sz w:val="18"/>
                <w:szCs w:val="18"/>
              </w:rPr>
              <w:t>Metropolitan licences in Adelaide (2), Brisbane (1), Melbourne (2), Perth (1), Sydney (1) and Western Suburbs, Sydney (1)</w:t>
            </w:r>
          </w:p>
          <w:p w14:paraId="03158213" w14:textId="77777777" w:rsidR="00CC1998" w:rsidRPr="00764F2F" w:rsidRDefault="00CC1998" w:rsidP="00E14F15">
            <w:pPr>
              <w:pStyle w:val="ACMATableText"/>
              <w:keepNext/>
              <w:keepLines/>
              <w:spacing w:before="0" w:after="60"/>
              <w:rPr>
                <w:sz w:val="18"/>
                <w:szCs w:val="18"/>
              </w:rPr>
            </w:pPr>
            <w:r w:rsidRPr="00764F2F">
              <w:rPr>
                <w:sz w:val="18"/>
                <w:szCs w:val="18"/>
              </w:rPr>
              <w:t>One regional radio licence in Katoomba, NSW</w:t>
            </w:r>
          </w:p>
          <w:p w14:paraId="6B2BC75A" w14:textId="77777777" w:rsidR="00CC1998" w:rsidRPr="00764F2F" w:rsidRDefault="00CC1998" w:rsidP="00D61036">
            <w:pPr>
              <w:pStyle w:val="ACMATableText"/>
              <w:keepNext/>
              <w:keepLines/>
              <w:spacing w:before="0" w:after="0"/>
              <w:rPr>
                <w:sz w:val="18"/>
                <w:szCs w:val="18"/>
              </w:rPr>
            </w:pPr>
            <w:r w:rsidRPr="00764F2F">
              <w:rPr>
                <w:sz w:val="18"/>
                <w:szCs w:val="18"/>
              </w:rPr>
              <w:t>Two joint-venture licences with Nova Entertainment Pty Ltd, one in each of Brisbane and Perth, and two joint-venture licences with Southern Cross Media Group Ltd in Canberra</w:t>
            </w:r>
          </w:p>
        </w:tc>
      </w:tr>
      <w:tr w:rsidR="00CC1998" w:rsidRPr="00825843" w14:paraId="439D4002" w14:textId="77777777" w:rsidTr="00EE3FD2">
        <w:trPr>
          <w:trHeight w:val="454"/>
        </w:trPr>
        <w:tc>
          <w:tcPr>
            <w:tcW w:w="2824" w:type="dxa"/>
            <w:shd w:val="clear" w:color="auto" w:fill="auto"/>
            <w:vAlign w:val="center"/>
          </w:tcPr>
          <w:p w14:paraId="4D9B639D" w14:textId="77777777" w:rsidR="00CC1998" w:rsidRPr="00764F2F" w:rsidRDefault="00CC1998" w:rsidP="00D61036">
            <w:pPr>
              <w:pStyle w:val="ACMATableText"/>
              <w:keepNext/>
              <w:keepLines/>
              <w:spacing w:before="0" w:after="0"/>
              <w:rPr>
                <w:sz w:val="18"/>
                <w:szCs w:val="18"/>
              </w:rPr>
            </w:pPr>
            <w:r w:rsidRPr="00764F2F">
              <w:rPr>
                <w:sz w:val="18"/>
                <w:szCs w:val="18"/>
              </w:rPr>
              <w:t>Nova Entertainment Pty Ltd</w:t>
            </w:r>
          </w:p>
        </w:tc>
        <w:tc>
          <w:tcPr>
            <w:tcW w:w="1541" w:type="dxa"/>
            <w:shd w:val="clear" w:color="auto" w:fill="auto"/>
            <w:vAlign w:val="center"/>
          </w:tcPr>
          <w:p w14:paraId="5D496E6D" w14:textId="77777777" w:rsidR="00CC1998" w:rsidRPr="00764F2F" w:rsidRDefault="00CC1998" w:rsidP="00D61036">
            <w:pPr>
              <w:pStyle w:val="ACMATableText"/>
              <w:keepNext/>
              <w:keepLines/>
              <w:spacing w:before="0" w:after="0"/>
              <w:rPr>
                <w:sz w:val="18"/>
                <w:szCs w:val="18"/>
              </w:rPr>
            </w:pPr>
            <w:r w:rsidRPr="00764F2F">
              <w:rPr>
                <w:sz w:val="18"/>
                <w:szCs w:val="18"/>
              </w:rPr>
              <w:t>10</w:t>
            </w:r>
          </w:p>
        </w:tc>
        <w:tc>
          <w:tcPr>
            <w:tcW w:w="5064" w:type="dxa"/>
            <w:shd w:val="clear" w:color="auto" w:fill="auto"/>
            <w:vAlign w:val="center"/>
          </w:tcPr>
          <w:p w14:paraId="651E371E" w14:textId="77777777" w:rsidR="00CC1998" w:rsidRPr="00764F2F" w:rsidRDefault="00CC1998" w:rsidP="00E14F15">
            <w:pPr>
              <w:pStyle w:val="ACMATableText"/>
              <w:keepNext/>
              <w:keepLines/>
              <w:spacing w:before="0" w:after="60"/>
              <w:rPr>
                <w:sz w:val="18"/>
                <w:szCs w:val="18"/>
              </w:rPr>
            </w:pPr>
            <w:r w:rsidRPr="00764F2F">
              <w:rPr>
                <w:sz w:val="18"/>
                <w:szCs w:val="18"/>
              </w:rPr>
              <w:t>Metropolitan licences in Adelaide (2), Brisbane (1), Melbourne (2) and Sydney (2) as well as one regional radio licence in Gosford, NSW</w:t>
            </w:r>
          </w:p>
          <w:p w14:paraId="53356CD6" w14:textId="77777777" w:rsidR="00CC1998" w:rsidRPr="00764F2F" w:rsidRDefault="00CC1998" w:rsidP="00D61036">
            <w:pPr>
              <w:pStyle w:val="ACMATableText"/>
              <w:keepNext/>
              <w:keepLines/>
              <w:spacing w:before="0" w:after="0"/>
              <w:rPr>
                <w:sz w:val="18"/>
                <w:szCs w:val="18"/>
              </w:rPr>
            </w:pPr>
            <w:r w:rsidRPr="00764F2F">
              <w:rPr>
                <w:sz w:val="18"/>
                <w:szCs w:val="18"/>
              </w:rPr>
              <w:t>Two joint-venture licences with Australian Radio Network Pty Ltd, one in each of Brisbane and Perth</w:t>
            </w:r>
          </w:p>
        </w:tc>
      </w:tr>
      <w:tr w:rsidR="00CC1998" w:rsidRPr="00825843" w14:paraId="50DCB1BE" w14:textId="77777777" w:rsidTr="00EE3FD2">
        <w:trPr>
          <w:trHeight w:val="454"/>
        </w:trPr>
        <w:tc>
          <w:tcPr>
            <w:tcW w:w="2824" w:type="dxa"/>
            <w:shd w:val="clear" w:color="auto" w:fill="auto"/>
            <w:vAlign w:val="center"/>
          </w:tcPr>
          <w:p w14:paraId="02AD66A5" w14:textId="77777777" w:rsidR="00CC1998" w:rsidRPr="00764F2F" w:rsidRDefault="00CC1998" w:rsidP="00D61036">
            <w:pPr>
              <w:pStyle w:val="ACMATableText"/>
              <w:keepNext/>
              <w:keepLines/>
              <w:spacing w:before="0" w:after="0"/>
              <w:rPr>
                <w:sz w:val="18"/>
                <w:szCs w:val="18"/>
              </w:rPr>
            </w:pPr>
            <w:r w:rsidRPr="00764F2F">
              <w:rPr>
                <w:sz w:val="18"/>
                <w:szCs w:val="18"/>
              </w:rPr>
              <w:t>Grant Broadcasters Pty Ltd</w:t>
            </w:r>
          </w:p>
        </w:tc>
        <w:tc>
          <w:tcPr>
            <w:tcW w:w="1541" w:type="dxa"/>
            <w:shd w:val="clear" w:color="auto" w:fill="auto"/>
            <w:vAlign w:val="center"/>
          </w:tcPr>
          <w:p w14:paraId="51477A38" w14:textId="77777777" w:rsidR="00CC1998" w:rsidRPr="00764F2F" w:rsidRDefault="00CC1998" w:rsidP="00D61036">
            <w:pPr>
              <w:pStyle w:val="ACMATableText"/>
              <w:keepNext/>
              <w:keepLines/>
              <w:spacing w:before="0" w:after="0"/>
              <w:rPr>
                <w:sz w:val="18"/>
                <w:szCs w:val="18"/>
              </w:rPr>
            </w:pPr>
            <w:r w:rsidRPr="00764F2F">
              <w:rPr>
                <w:sz w:val="18"/>
                <w:szCs w:val="18"/>
              </w:rPr>
              <w:t>52</w:t>
            </w:r>
          </w:p>
        </w:tc>
        <w:tc>
          <w:tcPr>
            <w:tcW w:w="5064" w:type="dxa"/>
            <w:shd w:val="clear" w:color="auto" w:fill="auto"/>
            <w:vAlign w:val="center"/>
          </w:tcPr>
          <w:p w14:paraId="3E288B9D" w14:textId="77777777" w:rsidR="00CC1998" w:rsidRPr="00764F2F" w:rsidRDefault="00CC1998" w:rsidP="00E14F15">
            <w:pPr>
              <w:pStyle w:val="ACMATableText"/>
              <w:keepNext/>
              <w:keepLines/>
              <w:spacing w:before="0" w:after="60"/>
              <w:rPr>
                <w:sz w:val="18"/>
                <w:szCs w:val="18"/>
              </w:rPr>
            </w:pPr>
            <w:r w:rsidRPr="00764F2F">
              <w:rPr>
                <w:sz w:val="18"/>
                <w:szCs w:val="18"/>
              </w:rPr>
              <w:t xml:space="preserve">A metropolitan licence in Perth </w:t>
            </w:r>
          </w:p>
          <w:p w14:paraId="3480EBA4" w14:textId="77777777" w:rsidR="00CC1998" w:rsidRPr="00764F2F" w:rsidRDefault="00CC1998" w:rsidP="00D61036">
            <w:pPr>
              <w:pStyle w:val="ACMATableText"/>
              <w:keepNext/>
              <w:keepLines/>
              <w:spacing w:before="0" w:after="0"/>
              <w:rPr>
                <w:sz w:val="18"/>
                <w:szCs w:val="18"/>
              </w:rPr>
            </w:pPr>
            <w:r w:rsidRPr="00764F2F">
              <w:rPr>
                <w:sz w:val="18"/>
                <w:szCs w:val="18"/>
              </w:rPr>
              <w:t xml:space="preserve">Licences in regional areas in New South Wales, Northern Territory, Queensland, Victoria, South Australia and Tasmania, </w:t>
            </w:r>
            <w:r w:rsidR="00366913" w:rsidRPr="00764F2F">
              <w:rPr>
                <w:sz w:val="18"/>
                <w:szCs w:val="18"/>
              </w:rPr>
              <w:t>including</w:t>
            </w:r>
            <w:r w:rsidR="00D35D41">
              <w:rPr>
                <w:sz w:val="18"/>
                <w:szCs w:val="18"/>
              </w:rPr>
              <w:t xml:space="preserve"> </w:t>
            </w:r>
            <w:r w:rsidRPr="00764F2F">
              <w:rPr>
                <w:sz w:val="18"/>
                <w:szCs w:val="18"/>
              </w:rPr>
              <w:t xml:space="preserve">five joint-venture licences with Kevin Blyton </w:t>
            </w:r>
            <w:r w:rsidR="00366913" w:rsidRPr="00764F2F">
              <w:rPr>
                <w:sz w:val="18"/>
                <w:szCs w:val="18"/>
              </w:rPr>
              <w:t xml:space="preserve">that </w:t>
            </w:r>
            <w:r w:rsidRPr="00764F2F">
              <w:rPr>
                <w:sz w:val="18"/>
                <w:szCs w:val="18"/>
              </w:rPr>
              <w:t>are part of the Capital Radio Network</w:t>
            </w:r>
          </w:p>
        </w:tc>
      </w:tr>
      <w:tr w:rsidR="00CC1998" w:rsidRPr="00825843" w14:paraId="0E0ABFB2" w14:textId="77777777" w:rsidTr="00EE3FD2">
        <w:trPr>
          <w:trHeight w:val="478"/>
        </w:trPr>
        <w:tc>
          <w:tcPr>
            <w:tcW w:w="2824" w:type="dxa"/>
            <w:shd w:val="clear" w:color="auto" w:fill="auto"/>
            <w:vAlign w:val="center"/>
          </w:tcPr>
          <w:p w14:paraId="3D9BA495" w14:textId="77777777" w:rsidR="00CC1998" w:rsidRPr="00764F2F" w:rsidRDefault="00CC1998" w:rsidP="00D61036">
            <w:pPr>
              <w:pStyle w:val="ACMATableText"/>
              <w:keepNext/>
              <w:keepLines/>
              <w:spacing w:before="0" w:after="0"/>
              <w:rPr>
                <w:sz w:val="18"/>
                <w:szCs w:val="18"/>
              </w:rPr>
            </w:pPr>
            <w:r w:rsidRPr="00764F2F">
              <w:rPr>
                <w:sz w:val="18"/>
                <w:szCs w:val="18"/>
              </w:rPr>
              <w:t xml:space="preserve">Macquarie Media Limited (formerly Macquarie Radio </w:t>
            </w:r>
            <w:r w:rsidRPr="00764F2F">
              <w:rPr>
                <w:sz w:val="18"/>
                <w:szCs w:val="18"/>
              </w:rPr>
              <w:br/>
              <w:t>Network Ltd)</w:t>
            </w:r>
          </w:p>
        </w:tc>
        <w:tc>
          <w:tcPr>
            <w:tcW w:w="1541" w:type="dxa"/>
            <w:shd w:val="clear" w:color="auto" w:fill="auto"/>
            <w:vAlign w:val="center"/>
          </w:tcPr>
          <w:p w14:paraId="1705CAD0" w14:textId="77777777" w:rsidR="00CC1998" w:rsidRPr="00764F2F" w:rsidRDefault="00CC1998" w:rsidP="00D61036">
            <w:pPr>
              <w:pStyle w:val="ACMATableText"/>
              <w:keepNext/>
              <w:keepLines/>
              <w:spacing w:before="0" w:after="0"/>
              <w:rPr>
                <w:sz w:val="18"/>
                <w:szCs w:val="18"/>
              </w:rPr>
            </w:pPr>
            <w:r w:rsidRPr="00764F2F">
              <w:rPr>
                <w:sz w:val="18"/>
                <w:szCs w:val="18"/>
              </w:rPr>
              <w:t>7</w:t>
            </w:r>
          </w:p>
        </w:tc>
        <w:tc>
          <w:tcPr>
            <w:tcW w:w="5064" w:type="dxa"/>
            <w:shd w:val="clear" w:color="auto" w:fill="auto"/>
            <w:vAlign w:val="center"/>
          </w:tcPr>
          <w:p w14:paraId="54424981" w14:textId="77777777" w:rsidR="00CC1998" w:rsidRPr="00764F2F" w:rsidRDefault="00CC1998" w:rsidP="00D61036">
            <w:pPr>
              <w:pStyle w:val="ACMATableText"/>
              <w:keepNext/>
              <w:keepLines/>
              <w:spacing w:before="0" w:after="0"/>
              <w:rPr>
                <w:sz w:val="18"/>
                <w:szCs w:val="18"/>
              </w:rPr>
            </w:pPr>
            <w:r w:rsidRPr="00764F2F">
              <w:rPr>
                <w:sz w:val="18"/>
                <w:szCs w:val="18"/>
              </w:rPr>
              <w:t xml:space="preserve">Metropolitan licences in Brisbane (2), Melbourne (2), Perth (1) and Sydney (2) </w:t>
            </w:r>
          </w:p>
        </w:tc>
      </w:tr>
      <w:tr w:rsidR="00CC1998" w:rsidRPr="00825843" w14:paraId="3A650BB1" w14:textId="77777777" w:rsidTr="00EE3FD2">
        <w:trPr>
          <w:trHeight w:val="446"/>
        </w:trPr>
        <w:tc>
          <w:tcPr>
            <w:tcW w:w="2824" w:type="dxa"/>
            <w:shd w:val="clear" w:color="auto" w:fill="auto"/>
            <w:vAlign w:val="center"/>
          </w:tcPr>
          <w:p w14:paraId="4D68BD5F" w14:textId="77777777" w:rsidR="00CC1998" w:rsidRPr="00764F2F" w:rsidRDefault="00CC1998" w:rsidP="00D61036">
            <w:pPr>
              <w:pStyle w:val="ACMATableText"/>
              <w:keepNext/>
              <w:keepLines/>
              <w:spacing w:before="0" w:after="0"/>
              <w:rPr>
                <w:sz w:val="18"/>
                <w:szCs w:val="18"/>
              </w:rPr>
            </w:pPr>
            <w:r w:rsidRPr="00764F2F">
              <w:rPr>
                <w:sz w:val="18"/>
                <w:szCs w:val="18"/>
              </w:rPr>
              <w:t>Redwave Media Ltd/</w:t>
            </w:r>
            <w:r w:rsidRPr="00764F2F">
              <w:rPr>
                <w:sz w:val="18"/>
                <w:szCs w:val="18"/>
              </w:rPr>
              <w:br/>
              <w:t>Seven Group Holdings Ltd</w:t>
            </w:r>
          </w:p>
        </w:tc>
        <w:tc>
          <w:tcPr>
            <w:tcW w:w="1541" w:type="dxa"/>
            <w:shd w:val="clear" w:color="auto" w:fill="auto"/>
            <w:vAlign w:val="center"/>
          </w:tcPr>
          <w:p w14:paraId="4635B7B5" w14:textId="77777777" w:rsidR="00CC1998" w:rsidRPr="00764F2F" w:rsidRDefault="00CC1998" w:rsidP="00D61036">
            <w:pPr>
              <w:pStyle w:val="ACMATableText"/>
              <w:keepNext/>
              <w:keepLines/>
              <w:spacing w:before="0" w:after="0"/>
              <w:rPr>
                <w:sz w:val="18"/>
                <w:szCs w:val="18"/>
              </w:rPr>
            </w:pPr>
            <w:r w:rsidRPr="00764F2F">
              <w:rPr>
                <w:sz w:val="18"/>
                <w:szCs w:val="18"/>
              </w:rPr>
              <w:t>9</w:t>
            </w:r>
          </w:p>
        </w:tc>
        <w:tc>
          <w:tcPr>
            <w:tcW w:w="5064" w:type="dxa"/>
            <w:shd w:val="clear" w:color="auto" w:fill="auto"/>
            <w:vAlign w:val="center"/>
          </w:tcPr>
          <w:p w14:paraId="15D57E90" w14:textId="77777777" w:rsidR="00CC1998" w:rsidRPr="00764F2F" w:rsidRDefault="00CC1998" w:rsidP="00D61036">
            <w:pPr>
              <w:pStyle w:val="ACMATableText"/>
              <w:keepNext/>
              <w:keepLines/>
              <w:spacing w:before="0" w:after="0"/>
              <w:rPr>
                <w:sz w:val="18"/>
                <w:szCs w:val="18"/>
              </w:rPr>
            </w:pPr>
            <w:r w:rsidRPr="00764F2F">
              <w:rPr>
                <w:sz w:val="18"/>
                <w:szCs w:val="18"/>
              </w:rPr>
              <w:t>Licences in regional and remote areas in Western Australia</w:t>
            </w:r>
          </w:p>
        </w:tc>
      </w:tr>
      <w:tr w:rsidR="00CC1998" w:rsidRPr="00825843" w14:paraId="26927CA6" w14:textId="77777777" w:rsidTr="00EE3FD2">
        <w:trPr>
          <w:trHeight w:val="454"/>
        </w:trPr>
        <w:tc>
          <w:tcPr>
            <w:tcW w:w="2824" w:type="dxa"/>
            <w:shd w:val="clear" w:color="auto" w:fill="auto"/>
            <w:vAlign w:val="center"/>
          </w:tcPr>
          <w:p w14:paraId="517E53AD" w14:textId="77777777" w:rsidR="00CC1998" w:rsidRPr="00764F2F" w:rsidRDefault="00CC1998" w:rsidP="00D61036">
            <w:pPr>
              <w:pStyle w:val="ACMATableText"/>
              <w:keepNext/>
              <w:keepLines/>
              <w:spacing w:before="0" w:after="0"/>
              <w:rPr>
                <w:sz w:val="18"/>
                <w:szCs w:val="18"/>
              </w:rPr>
            </w:pPr>
            <w:r w:rsidRPr="00764F2F">
              <w:rPr>
                <w:sz w:val="18"/>
                <w:szCs w:val="18"/>
              </w:rPr>
              <w:t xml:space="preserve">Southern Cross </w:t>
            </w:r>
          </w:p>
        </w:tc>
        <w:tc>
          <w:tcPr>
            <w:tcW w:w="1541" w:type="dxa"/>
            <w:shd w:val="clear" w:color="auto" w:fill="auto"/>
            <w:vAlign w:val="center"/>
          </w:tcPr>
          <w:p w14:paraId="765CED89" w14:textId="77777777" w:rsidR="00CC1998" w:rsidRPr="00764F2F" w:rsidRDefault="00CC1998" w:rsidP="00D61036">
            <w:pPr>
              <w:pStyle w:val="ACMATableText"/>
              <w:keepNext/>
              <w:keepLines/>
              <w:spacing w:before="0" w:after="0"/>
              <w:rPr>
                <w:sz w:val="18"/>
                <w:szCs w:val="18"/>
              </w:rPr>
            </w:pPr>
            <w:r w:rsidRPr="00764F2F">
              <w:rPr>
                <w:sz w:val="18"/>
                <w:szCs w:val="18"/>
              </w:rPr>
              <w:t>78</w:t>
            </w:r>
          </w:p>
        </w:tc>
        <w:tc>
          <w:tcPr>
            <w:tcW w:w="5064" w:type="dxa"/>
            <w:shd w:val="clear" w:color="auto" w:fill="auto"/>
            <w:vAlign w:val="center"/>
          </w:tcPr>
          <w:p w14:paraId="66118ADE" w14:textId="77777777" w:rsidR="00CC1998" w:rsidRPr="00764F2F" w:rsidRDefault="00CC1998" w:rsidP="00E14F15">
            <w:pPr>
              <w:pStyle w:val="ACMATableText"/>
              <w:keepNext/>
              <w:keepLines/>
              <w:spacing w:before="0" w:after="60"/>
              <w:rPr>
                <w:sz w:val="18"/>
                <w:szCs w:val="18"/>
              </w:rPr>
            </w:pPr>
            <w:r w:rsidRPr="00764F2F">
              <w:rPr>
                <w:sz w:val="18"/>
                <w:szCs w:val="18"/>
              </w:rPr>
              <w:t>Two metropolitan licences in each of Adelaide, Brisbane, Melbourne, Perth and Sydney</w:t>
            </w:r>
          </w:p>
          <w:p w14:paraId="4A094848" w14:textId="77777777" w:rsidR="00CC1998" w:rsidRPr="00764F2F" w:rsidRDefault="00CC1998" w:rsidP="00E14F15">
            <w:pPr>
              <w:pStyle w:val="ACMATableText"/>
              <w:keepNext/>
              <w:keepLines/>
              <w:spacing w:before="0" w:after="60"/>
              <w:rPr>
                <w:sz w:val="18"/>
                <w:szCs w:val="18"/>
              </w:rPr>
            </w:pPr>
            <w:r w:rsidRPr="00764F2F">
              <w:rPr>
                <w:sz w:val="18"/>
                <w:szCs w:val="18"/>
              </w:rPr>
              <w:t>Licences in regional areas in New South Wales, Queensland, Tasmania, Victoria, South Australia and Western Australia</w:t>
            </w:r>
          </w:p>
          <w:p w14:paraId="6126BFA1" w14:textId="77777777" w:rsidR="00CC1998" w:rsidRPr="00764F2F" w:rsidRDefault="00CC1998" w:rsidP="00D61036">
            <w:pPr>
              <w:pStyle w:val="ACMATableText"/>
              <w:keepNext/>
              <w:keepLines/>
              <w:spacing w:before="0" w:after="0"/>
              <w:rPr>
                <w:sz w:val="18"/>
                <w:szCs w:val="18"/>
              </w:rPr>
            </w:pPr>
            <w:r w:rsidRPr="00764F2F">
              <w:rPr>
                <w:sz w:val="18"/>
                <w:szCs w:val="18"/>
              </w:rPr>
              <w:t>Two joint-venture licences with Australian Radio Network Pty Ltd in Canberra</w:t>
            </w:r>
          </w:p>
        </w:tc>
      </w:tr>
      <w:tr w:rsidR="00CC1998" w:rsidRPr="00825843" w14:paraId="087EF486" w14:textId="77777777" w:rsidTr="00EE3FD2">
        <w:trPr>
          <w:trHeight w:val="376"/>
        </w:trPr>
        <w:tc>
          <w:tcPr>
            <w:tcW w:w="2824" w:type="dxa"/>
            <w:shd w:val="clear" w:color="auto" w:fill="auto"/>
            <w:vAlign w:val="center"/>
          </w:tcPr>
          <w:p w14:paraId="5CC4BB21" w14:textId="77777777" w:rsidR="00CC1998" w:rsidRPr="00764F2F" w:rsidRDefault="00CC1998" w:rsidP="00D61036">
            <w:pPr>
              <w:pStyle w:val="ACMATableText"/>
              <w:keepNext/>
              <w:keepLines/>
              <w:spacing w:before="0" w:after="0"/>
              <w:rPr>
                <w:sz w:val="18"/>
                <w:szCs w:val="18"/>
              </w:rPr>
            </w:pPr>
            <w:r w:rsidRPr="00764F2F">
              <w:rPr>
                <w:sz w:val="18"/>
                <w:szCs w:val="18"/>
              </w:rPr>
              <w:t>Broadcast Operations Pty Ltd (Super Radio Network)</w:t>
            </w:r>
          </w:p>
        </w:tc>
        <w:tc>
          <w:tcPr>
            <w:tcW w:w="1541" w:type="dxa"/>
            <w:shd w:val="clear" w:color="auto" w:fill="auto"/>
            <w:vAlign w:val="center"/>
          </w:tcPr>
          <w:p w14:paraId="024BBE21" w14:textId="77777777" w:rsidR="00CC1998" w:rsidRPr="00764F2F" w:rsidRDefault="00CC1998" w:rsidP="00D61036">
            <w:pPr>
              <w:pStyle w:val="ACMATableText"/>
              <w:keepNext/>
              <w:keepLines/>
              <w:spacing w:before="0" w:after="0"/>
              <w:rPr>
                <w:sz w:val="18"/>
                <w:szCs w:val="18"/>
              </w:rPr>
            </w:pPr>
            <w:r w:rsidRPr="00764F2F">
              <w:rPr>
                <w:sz w:val="18"/>
                <w:szCs w:val="18"/>
              </w:rPr>
              <w:t>36</w:t>
            </w:r>
          </w:p>
        </w:tc>
        <w:tc>
          <w:tcPr>
            <w:tcW w:w="5064" w:type="dxa"/>
            <w:shd w:val="clear" w:color="auto" w:fill="auto"/>
            <w:vAlign w:val="center"/>
          </w:tcPr>
          <w:p w14:paraId="2EC9A300" w14:textId="77777777" w:rsidR="00CC1998" w:rsidRPr="00764F2F" w:rsidRDefault="00CC1998" w:rsidP="00D61036">
            <w:pPr>
              <w:pStyle w:val="ACMATableText"/>
              <w:keepNext/>
              <w:keepLines/>
              <w:spacing w:before="0" w:after="0"/>
              <w:rPr>
                <w:sz w:val="18"/>
                <w:szCs w:val="18"/>
              </w:rPr>
            </w:pPr>
            <w:r w:rsidRPr="00764F2F">
              <w:rPr>
                <w:sz w:val="18"/>
                <w:szCs w:val="18"/>
              </w:rPr>
              <w:t>Licences in regional areas of New South Wales and Queensland. One metropolitan licence in Sydney</w:t>
            </w:r>
          </w:p>
        </w:tc>
      </w:tr>
      <w:tr w:rsidR="00CC1998" w:rsidRPr="00825843" w14:paraId="093DBBFF" w14:textId="77777777" w:rsidTr="00EE3FD2">
        <w:trPr>
          <w:trHeight w:val="454"/>
        </w:trPr>
        <w:tc>
          <w:tcPr>
            <w:tcW w:w="2824" w:type="dxa"/>
            <w:shd w:val="clear" w:color="auto" w:fill="auto"/>
            <w:vAlign w:val="center"/>
          </w:tcPr>
          <w:p w14:paraId="097761AB" w14:textId="77777777" w:rsidR="00CC1998" w:rsidRPr="00764F2F" w:rsidRDefault="00CC1998" w:rsidP="00D61036">
            <w:pPr>
              <w:pStyle w:val="ACMATableText"/>
              <w:keepNext/>
              <w:keepLines/>
              <w:spacing w:before="0" w:after="0"/>
              <w:rPr>
                <w:sz w:val="18"/>
                <w:szCs w:val="18"/>
              </w:rPr>
            </w:pPr>
            <w:r w:rsidRPr="00764F2F">
              <w:rPr>
                <w:sz w:val="18"/>
                <w:szCs w:val="18"/>
              </w:rPr>
              <w:t>Resonate Broadcasters Pty Ltd and Resonate Regional Radio Pty Limited</w:t>
            </w:r>
          </w:p>
        </w:tc>
        <w:tc>
          <w:tcPr>
            <w:tcW w:w="1541" w:type="dxa"/>
            <w:shd w:val="clear" w:color="auto" w:fill="auto"/>
            <w:vAlign w:val="center"/>
          </w:tcPr>
          <w:p w14:paraId="43EA9E4F" w14:textId="77777777" w:rsidR="00CC1998" w:rsidRPr="00764F2F" w:rsidRDefault="00CC1998" w:rsidP="00D61036">
            <w:pPr>
              <w:pStyle w:val="ACMATableText"/>
              <w:keepNext/>
              <w:keepLines/>
              <w:spacing w:before="0" w:after="0"/>
              <w:rPr>
                <w:sz w:val="18"/>
                <w:szCs w:val="18"/>
              </w:rPr>
            </w:pPr>
            <w:r w:rsidRPr="00764F2F">
              <w:rPr>
                <w:sz w:val="18"/>
                <w:szCs w:val="18"/>
              </w:rPr>
              <w:t>10</w:t>
            </w:r>
          </w:p>
        </w:tc>
        <w:tc>
          <w:tcPr>
            <w:tcW w:w="5064" w:type="dxa"/>
            <w:shd w:val="clear" w:color="auto" w:fill="auto"/>
            <w:vAlign w:val="center"/>
          </w:tcPr>
          <w:p w14:paraId="1AC81797" w14:textId="77777777" w:rsidR="00CC1998" w:rsidRPr="00764F2F" w:rsidRDefault="00CC1998" w:rsidP="00D61036">
            <w:pPr>
              <w:pStyle w:val="ACMATableText"/>
              <w:keepNext/>
              <w:keepLines/>
              <w:spacing w:before="0" w:after="0"/>
              <w:rPr>
                <w:sz w:val="18"/>
                <w:szCs w:val="18"/>
              </w:rPr>
            </w:pPr>
            <w:r w:rsidRPr="00764F2F">
              <w:rPr>
                <w:sz w:val="18"/>
                <w:szCs w:val="18"/>
              </w:rPr>
              <w:t>Ten licences in regional areas in Queensland, including six held by Resonate Regional Radio Pty Limited—Charleville</w:t>
            </w:r>
            <w:r w:rsidR="0002306C">
              <w:rPr>
                <w:sz w:val="18"/>
                <w:szCs w:val="18"/>
              </w:rPr>
              <w:t> </w:t>
            </w:r>
            <w:r w:rsidRPr="00764F2F">
              <w:rPr>
                <w:sz w:val="18"/>
                <w:szCs w:val="18"/>
              </w:rPr>
              <w:t>(2), Emerald (1), Kingaroy (1), Mt Isa (1), and Roma (1)—and four held by Resonate Broadcasters Pty Ltd—Longreach (2) and Charters Towers (2)</w:t>
            </w:r>
          </w:p>
        </w:tc>
      </w:tr>
    </w:tbl>
    <w:p w14:paraId="2061EBB2" w14:textId="77777777" w:rsidR="00CC1998" w:rsidRPr="00825843" w:rsidRDefault="00CC1998" w:rsidP="00D61036">
      <w:pPr>
        <w:pStyle w:val="ACMANotes"/>
        <w:widowControl w:val="0"/>
        <w:spacing w:before="120"/>
      </w:pPr>
      <w:r w:rsidRPr="00825843">
        <w:t>Note: Table includes networks with more than six licences.</w:t>
      </w:r>
    </w:p>
    <w:p w14:paraId="679BDF22" w14:textId="77777777" w:rsidR="00CC1998" w:rsidRPr="00825843" w:rsidRDefault="00CC1998" w:rsidP="00D61036">
      <w:pPr>
        <w:pStyle w:val="ACMANotesspaceafter"/>
        <w:spacing w:after="360"/>
        <w:rPr>
          <w:rStyle w:val="Hyperlink"/>
        </w:rPr>
      </w:pPr>
      <w:r w:rsidRPr="00825843">
        <w:rPr>
          <w:szCs w:val="16"/>
        </w:rPr>
        <w:t xml:space="preserve">Source: ACMA, </w:t>
      </w:r>
      <w:hyperlink r:id="rId57" w:history="1">
        <w:r w:rsidRPr="00825843">
          <w:rPr>
            <w:rStyle w:val="Hyperlink"/>
            <w:szCs w:val="16"/>
          </w:rPr>
          <w:t>Register of controlled media groups and Media control database</w:t>
        </w:r>
      </w:hyperlink>
      <w:r w:rsidRPr="00455649">
        <w:rPr>
          <w:rStyle w:val="Hyperlink"/>
          <w:i w:val="0"/>
          <w:color w:val="auto"/>
          <w:szCs w:val="16"/>
          <w:u w:val="none"/>
        </w:rPr>
        <w:t>.</w:t>
      </w:r>
    </w:p>
    <w:p w14:paraId="61CC0287" w14:textId="77777777" w:rsidR="00CC1998" w:rsidRPr="00D00B6C" w:rsidRDefault="00CC1998" w:rsidP="008F2206">
      <w:pPr>
        <w:pStyle w:val="Heading3"/>
        <w:keepLines/>
      </w:pPr>
      <w:bookmarkStart w:id="751" w:name="_Toc494799376"/>
      <w:bookmarkStart w:id="752" w:name="_Toc494805679"/>
      <w:bookmarkStart w:id="753" w:name="_Toc494805908"/>
      <w:bookmarkStart w:id="754" w:name="_Toc494808138"/>
      <w:bookmarkStart w:id="755" w:name="_Toc494808574"/>
      <w:bookmarkStart w:id="756" w:name="_Toc494815946"/>
      <w:bookmarkStart w:id="757" w:name="_Toc494818806"/>
      <w:bookmarkStart w:id="758" w:name="_Toc494819073"/>
      <w:r w:rsidRPr="00D00B6C">
        <w:t>Cross-media ownership</w:t>
      </w:r>
      <w:bookmarkEnd w:id="751"/>
      <w:bookmarkEnd w:id="752"/>
      <w:bookmarkEnd w:id="753"/>
      <w:bookmarkEnd w:id="754"/>
      <w:bookmarkEnd w:id="755"/>
      <w:bookmarkEnd w:id="756"/>
      <w:bookmarkEnd w:id="757"/>
      <w:bookmarkEnd w:id="758"/>
      <w:r w:rsidRPr="00D00B6C">
        <w:t xml:space="preserve"> </w:t>
      </w:r>
    </w:p>
    <w:p w14:paraId="6A89D373" w14:textId="77777777" w:rsidR="00CC1998" w:rsidRPr="00D00B6C" w:rsidRDefault="00CC1998" w:rsidP="008F2206">
      <w:pPr>
        <w:keepNext/>
        <w:keepLines/>
        <w:spacing w:after="80"/>
      </w:pPr>
      <w:r w:rsidRPr="00D00B6C">
        <w:t xml:space="preserve">A small number of entities control two types of media assets in the same market: </w:t>
      </w:r>
    </w:p>
    <w:p w14:paraId="4481DDE2" w14:textId="21977B1D" w:rsidR="00CC1998" w:rsidRPr="00E57AD7" w:rsidRDefault="00CC1998" w:rsidP="008F2206">
      <w:pPr>
        <w:pStyle w:val="ListBullet"/>
        <w:keepNext/>
        <w:keepLines/>
        <w:rPr>
          <w:rFonts w:eastAsiaTheme="minorHAnsi"/>
        </w:rPr>
      </w:pPr>
      <w:r w:rsidRPr="00E57AD7">
        <w:rPr>
          <w:rFonts w:eastAsiaTheme="minorHAnsi"/>
        </w:rPr>
        <w:t>Southern Cross controls a combination of radio and television broadcasting lic</w:t>
      </w:r>
      <w:r w:rsidR="00455649">
        <w:rPr>
          <w:rFonts w:eastAsiaTheme="minorHAnsi"/>
        </w:rPr>
        <w:t>ences in 21 radio licence areas</w:t>
      </w:r>
      <w:r w:rsidRPr="00E57AD7">
        <w:rPr>
          <w:rFonts w:eastAsiaTheme="minorHAnsi"/>
        </w:rPr>
        <w:t xml:space="preserve"> </w:t>
      </w:r>
    </w:p>
    <w:p w14:paraId="452A11A6" w14:textId="4B5AD0E4" w:rsidR="00CC1998" w:rsidRPr="00E57AD7" w:rsidRDefault="00CC1998" w:rsidP="008F2206">
      <w:pPr>
        <w:pStyle w:val="ListBullet"/>
        <w:keepNext/>
        <w:keepLines/>
      </w:pPr>
      <w:r w:rsidRPr="00E57AD7">
        <w:rPr>
          <w:rFonts w:eastAsiaTheme="minorHAnsi"/>
        </w:rPr>
        <w:t>Fairfax Media Limited controls two radio licences and a newspaper in Melbourne, and two radio licences and a newspaper in Sydney</w:t>
      </w:r>
    </w:p>
    <w:p w14:paraId="79F3F261" w14:textId="5AB0614D" w:rsidR="00CC1998" w:rsidRPr="00E57AD7" w:rsidRDefault="00CC1998" w:rsidP="008F2206">
      <w:pPr>
        <w:pStyle w:val="ListBullet"/>
        <w:keepNext/>
        <w:keepLines/>
        <w:rPr>
          <w:rFonts w:eastAsiaTheme="minorHAnsi"/>
        </w:rPr>
      </w:pPr>
      <w:r w:rsidRPr="00E57AD7">
        <w:rPr>
          <w:rFonts w:eastAsiaTheme="minorHAnsi"/>
        </w:rPr>
        <w:t>Seven Group Holdings Limited controls a television l</w:t>
      </w:r>
      <w:r w:rsidR="00455649">
        <w:rPr>
          <w:rFonts w:eastAsiaTheme="minorHAnsi"/>
        </w:rPr>
        <w:t>icence and a newspaper in Perth</w:t>
      </w:r>
      <w:r w:rsidRPr="00E57AD7">
        <w:rPr>
          <w:rFonts w:eastAsiaTheme="minorHAnsi"/>
        </w:rPr>
        <w:t xml:space="preserve"> </w:t>
      </w:r>
    </w:p>
    <w:p w14:paraId="1EA674B7" w14:textId="5FFDB8C3" w:rsidR="00CC1998" w:rsidRPr="00D00B6C" w:rsidRDefault="00CC1998" w:rsidP="008F2206">
      <w:pPr>
        <w:pStyle w:val="ListBullet"/>
        <w:keepNext/>
        <w:keepLines/>
        <w:rPr>
          <w:rFonts w:eastAsiaTheme="minorHAnsi"/>
        </w:rPr>
      </w:pPr>
      <w:r w:rsidRPr="00D00B6C">
        <w:rPr>
          <w:rFonts w:eastAsiaTheme="minorHAnsi"/>
        </w:rPr>
        <w:t>WIN controls a radio and t</w:t>
      </w:r>
      <w:r w:rsidR="00455649">
        <w:rPr>
          <w:rFonts w:eastAsiaTheme="minorHAnsi"/>
        </w:rPr>
        <w:t>elevision licence in Wollongong</w:t>
      </w:r>
    </w:p>
    <w:p w14:paraId="72D86585" w14:textId="77777777" w:rsidR="00CC1998" w:rsidRPr="00E57AD7" w:rsidRDefault="00CC1998" w:rsidP="00DC2B04">
      <w:pPr>
        <w:pStyle w:val="ListBulletLast"/>
      </w:pPr>
      <w:r w:rsidRPr="00E57AD7">
        <w:rPr>
          <w:rFonts w:eastAsiaTheme="minorHAnsi"/>
        </w:rPr>
        <w:t xml:space="preserve">Lachlan Murdoch, through his position as Co-Chairman of News Corporation and interests in Nova Entertainment Pty Ltd, controls two radio licences and an associated newspaper in each of the Sydney, Brisbane, Adelaide and Melbourne metropolitan licence areas. </w:t>
      </w:r>
    </w:p>
    <w:p w14:paraId="72BBA5BC" w14:textId="77777777" w:rsidR="00CC1998" w:rsidRPr="00401165" w:rsidRDefault="00CC1998" w:rsidP="00CC1998">
      <w:pPr>
        <w:pStyle w:val="Heading3"/>
      </w:pPr>
      <w:bookmarkStart w:id="759" w:name="_Toc494799377"/>
      <w:bookmarkStart w:id="760" w:name="_Toc494805680"/>
      <w:bookmarkStart w:id="761" w:name="_Toc494805909"/>
      <w:bookmarkStart w:id="762" w:name="_Toc494808139"/>
      <w:bookmarkStart w:id="763" w:name="_Toc494808575"/>
      <w:bookmarkStart w:id="764" w:name="_Toc494815947"/>
      <w:bookmarkStart w:id="765" w:name="_Toc494818807"/>
      <w:bookmarkStart w:id="766" w:name="_Toc494819074"/>
      <w:r>
        <w:t>C</w:t>
      </w:r>
      <w:r w:rsidRPr="00401165">
        <w:t>ommunity radio broadcasting licences</w:t>
      </w:r>
      <w:bookmarkEnd w:id="759"/>
      <w:bookmarkEnd w:id="760"/>
      <w:bookmarkEnd w:id="761"/>
      <w:bookmarkEnd w:id="762"/>
      <w:bookmarkEnd w:id="763"/>
      <w:bookmarkEnd w:id="764"/>
      <w:bookmarkEnd w:id="765"/>
      <w:bookmarkEnd w:id="766"/>
    </w:p>
    <w:p w14:paraId="23D21868" w14:textId="77777777" w:rsidR="00CC1998" w:rsidRPr="00401165" w:rsidRDefault="00CC1998" w:rsidP="00CC1998">
      <w:pPr>
        <w:rPr>
          <w:rFonts w:cs="Arial"/>
          <w:szCs w:val="20"/>
        </w:rPr>
      </w:pPr>
      <w:r w:rsidRPr="00401165">
        <w:rPr>
          <w:rFonts w:cs="Arial"/>
          <w:szCs w:val="20"/>
        </w:rPr>
        <w:t>At 30 June 201</w:t>
      </w:r>
      <w:r>
        <w:rPr>
          <w:rFonts w:cs="Arial"/>
          <w:szCs w:val="20"/>
        </w:rPr>
        <w:t>7</w:t>
      </w:r>
      <w:r w:rsidRPr="00401165">
        <w:rPr>
          <w:rFonts w:cs="Arial"/>
          <w:szCs w:val="20"/>
        </w:rPr>
        <w:t>, there were 360 long-term community radio broadc</w:t>
      </w:r>
      <w:r>
        <w:rPr>
          <w:rFonts w:cs="Arial"/>
          <w:szCs w:val="20"/>
        </w:rPr>
        <w:t xml:space="preserve">asting licences, representing a </w:t>
      </w:r>
      <w:r w:rsidRPr="00401165">
        <w:rPr>
          <w:rFonts w:cs="Arial"/>
          <w:szCs w:val="20"/>
        </w:rPr>
        <w:t>range o</w:t>
      </w:r>
      <w:r>
        <w:rPr>
          <w:rFonts w:cs="Arial"/>
          <w:szCs w:val="20"/>
        </w:rPr>
        <w:t>f community interests (Table 1.8</w:t>
      </w:r>
      <w:r w:rsidRPr="00401165">
        <w:rPr>
          <w:rFonts w:cs="Arial"/>
          <w:szCs w:val="20"/>
        </w:rPr>
        <w:t xml:space="preserve">). </w:t>
      </w:r>
      <w:r>
        <w:rPr>
          <w:rFonts w:cs="Arial"/>
          <w:szCs w:val="20"/>
        </w:rPr>
        <w:t>Forty-nine</w:t>
      </w:r>
      <w:r w:rsidRPr="00401165">
        <w:rPr>
          <w:rFonts w:cs="Arial"/>
          <w:szCs w:val="20"/>
        </w:rPr>
        <w:t xml:space="preserve"> </w:t>
      </w:r>
      <w:r>
        <w:rPr>
          <w:rFonts w:cs="Arial"/>
          <w:szCs w:val="20"/>
        </w:rPr>
        <w:t xml:space="preserve">per </w:t>
      </w:r>
      <w:r w:rsidRPr="00401165">
        <w:rPr>
          <w:rFonts w:cs="Arial"/>
          <w:szCs w:val="20"/>
        </w:rPr>
        <w:t xml:space="preserve">cent of community radio broadcasting services represent the general community </w:t>
      </w:r>
      <w:r>
        <w:rPr>
          <w:rFonts w:cs="Arial"/>
          <w:szCs w:val="20"/>
        </w:rPr>
        <w:t xml:space="preserve">interest </w:t>
      </w:r>
      <w:r w:rsidRPr="00401165">
        <w:rPr>
          <w:rFonts w:cs="Arial"/>
          <w:szCs w:val="20"/>
        </w:rPr>
        <w:t>in the licence areas where they broadcast.</w:t>
      </w:r>
    </w:p>
    <w:p w14:paraId="4DFF120A" w14:textId="77777777" w:rsidR="00CC1998" w:rsidRDefault="00CC1998" w:rsidP="00CC1998">
      <w:r w:rsidRPr="00401165">
        <w:rPr>
          <w:rFonts w:cs="Arial"/>
          <w:szCs w:val="20"/>
        </w:rPr>
        <w:t>During 201</w:t>
      </w:r>
      <w:r>
        <w:rPr>
          <w:rFonts w:cs="Arial"/>
          <w:szCs w:val="20"/>
        </w:rPr>
        <w:t>6</w:t>
      </w:r>
      <w:r w:rsidRPr="00401165">
        <w:rPr>
          <w:rFonts w:cs="Arial"/>
          <w:szCs w:val="20"/>
        </w:rPr>
        <w:t>–1</w:t>
      </w:r>
      <w:r>
        <w:rPr>
          <w:rFonts w:cs="Arial"/>
          <w:szCs w:val="20"/>
        </w:rPr>
        <w:t>7</w:t>
      </w:r>
      <w:r w:rsidRPr="00401165">
        <w:rPr>
          <w:rFonts w:cs="Arial"/>
          <w:szCs w:val="20"/>
        </w:rPr>
        <w:t>, the ACMA</w:t>
      </w:r>
      <w:r>
        <w:t xml:space="preserve"> </w:t>
      </w:r>
      <w:r w:rsidRPr="00401165">
        <w:t xml:space="preserve">renewed </w:t>
      </w:r>
      <w:r>
        <w:t>58</w:t>
      </w:r>
      <w:r w:rsidRPr="00401165">
        <w:t xml:space="preserve"> community radio broadcasting licences</w:t>
      </w:r>
      <w:r>
        <w:t>.</w:t>
      </w:r>
    </w:p>
    <w:p w14:paraId="4D63F5AE" w14:textId="77777777" w:rsidR="00CC1998" w:rsidRDefault="00CC1998" w:rsidP="00D61036">
      <w:pPr>
        <w:keepNext/>
        <w:spacing w:after="160"/>
        <w:rPr>
          <w:b/>
        </w:rPr>
      </w:pPr>
      <w:r>
        <w:rPr>
          <w:b/>
        </w:rPr>
        <w:t>Table 1.8</w:t>
      </w:r>
      <w:r w:rsidRPr="00071099">
        <w:rPr>
          <w:b/>
        </w:rPr>
        <w:tab/>
      </w:r>
      <w:r>
        <w:rPr>
          <w:b/>
        </w:rPr>
        <w:t>Number of c</w:t>
      </w:r>
      <w:r w:rsidRPr="00071099">
        <w:rPr>
          <w:b/>
        </w:rPr>
        <w:t xml:space="preserve">ommunity radio broadcasting </w:t>
      </w:r>
      <w:r>
        <w:rPr>
          <w:b/>
        </w:rPr>
        <w:t>licences</w:t>
      </w:r>
      <w:r w:rsidRPr="00071099">
        <w:rPr>
          <w:b/>
        </w:rPr>
        <w:t xml:space="preserve"> </w:t>
      </w:r>
      <w:r>
        <w:rPr>
          <w:b/>
        </w:rPr>
        <w:t>by community interest, June 2017</w:t>
      </w:r>
    </w:p>
    <w:tbl>
      <w:tblPr>
        <w:tblW w:w="9366"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Pr>
      <w:tblGrid>
        <w:gridCol w:w="3855"/>
        <w:gridCol w:w="2385"/>
        <w:gridCol w:w="3126"/>
      </w:tblGrid>
      <w:tr w:rsidR="00CC1998" w:rsidRPr="00FB5AC7" w14:paraId="4DB32226" w14:textId="77777777" w:rsidTr="00EE3FD2">
        <w:trPr>
          <w:trHeight w:val="122"/>
        </w:trPr>
        <w:tc>
          <w:tcPr>
            <w:tcW w:w="3855" w:type="dxa"/>
            <w:shd w:val="clear" w:color="auto" w:fill="37897E"/>
            <w:vAlign w:val="center"/>
            <w:hideMark/>
          </w:tcPr>
          <w:p w14:paraId="0ED4EB35" w14:textId="77777777" w:rsidR="00CC1998" w:rsidRPr="00871DFC" w:rsidRDefault="00CC1998" w:rsidP="0002306C">
            <w:pPr>
              <w:keepNext/>
              <w:keepLines/>
              <w:spacing w:after="0" w:line="240" w:lineRule="auto"/>
              <w:rPr>
                <w:rFonts w:cs="Arial"/>
                <w:b/>
                <w:bCs/>
                <w:color w:val="FFFFFF"/>
                <w:sz w:val="18"/>
                <w:szCs w:val="18"/>
              </w:rPr>
            </w:pPr>
            <w:r w:rsidRPr="00871DFC">
              <w:rPr>
                <w:rFonts w:cs="Arial"/>
                <w:b/>
                <w:bCs/>
                <w:color w:val="FFFFFF"/>
                <w:sz w:val="18"/>
                <w:szCs w:val="18"/>
              </w:rPr>
              <w:t>Community interest</w:t>
            </w:r>
          </w:p>
        </w:tc>
        <w:tc>
          <w:tcPr>
            <w:tcW w:w="2385" w:type="dxa"/>
            <w:shd w:val="clear" w:color="auto" w:fill="37897E"/>
            <w:vAlign w:val="center"/>
            <w:hideMark/>
          </w:tcPr>
          <w:p w14:paraId="194FFF50" w14:textId="77777777" w:rsidR="00CC1998" w:rsidRPr="00F65DA4" w:rsidRDefault="00CC1998" w:rsidP="0002306C">
            <w:pPr>
              <w:keepNext/>
              <w:keepLines/>
              <w:spacing w:after="0" w:line="240" w:lineRule="auto"/>
              <w:jc w:val="right"/>
              <w:rPr>
                <w:rFonts w:cs="Arial"/>
                <w:b/>
                <w:bCs/>
                <w:color w:val="FFFFFF"/>
                <w:sz w:val="18"/>
                <w:szCs w:val="18"/>
              </w:rPr>
            </w:pPr>
            <w:r w:rsidRPr="00F65DA4">
              <w:rPr>
                <w:rFonts w:cs="Arial"/>
                <w:b/>
                <w:bCs/>
                <w:color w:val="FFFFFF"/>
                <w:sz w:val="18"/>
                <w:szCs w:val="18"/>
              </w:rPr>
              <w:t>Number of licences</w:t>
            </w:r>
          </w:p>
        </w:tc>
        <w:tc>
          <w:tcPr>
            <w:tcW w:w="3126" w:type="dxa"/>
            <w:shd w:val="clear" w:color="auto" w:fill="37897E"/>
            <w:vAlign w:val="center"/>
            <w:hideMark/>
          </w:tcPr>
          <w:p w14:paraId="2D02563D" w14:textId="77777777" w:rsidR="00CC1998" w:rsidRPr="006F4887" w:rsidRDefault="00CC1998" w:rsidP="0002306C">
            <w:pPr>
              <w:keepNext/>
              <w:keepLines/>
              <w:spacing w:after="0" w:line="240" w:lineRule="auto"/>
              <w:jc w:val="right"/>
              <w:rPr>
                <w:rFonts w:cs="Arial"/>
                <w:b/>
                <w:bCs/>
                <w:color w:val="FFFFFF"/>
                <w:sz w:val="18"/>
                <w:szCs w:val="18"/>
              </w:rPr>
            </w:pPr>
            <w:r w:rsidRPr="006F4887">
              <w:rPr>
                <w:rFonts w:cs="Arial"/>
                <w:b/>
                <w:bCs/>
                <w:color w:val="FFFFFF"/>
                <w:sz w:val="18"/>
                <w:szCs w:val="18"/>
              </w:rPr>
              <w:t>Total (%)</w:t>
            </w:r>
          </w:p>
        </w:tc>
      </w:tr>
      <w:tr w:rsidR="00CC1998" w:rsidRPr="00FB5AC7" w14:paraId="3E0A0C65" w14:textId="77777777" w:rsidTr="00EE3FD2">
        <w:trPr>
          <w:trHeight w:val="156"/>
        </w:trPr>
        <w:tc>
          <w:tcPr>
            <w:tcW w:w="3855" w:type="dxa"/>
            <w:shd w:val="clear" w:color="auto" w:fill="auto"/>
            <w:vAlign w:val="center"/>
            <w:hideMark/>
          </w:tcPr>
          <w:p w14:paraId="6C31EA49" w14:textId="77777777" w:rsidR="00CC1998" w:rsidRPr="00871DFC" w:rsidRDefault="00CC1998" w:rsidP="0002306C">
            <w:pPr>
              <w:pStyle w:val="TableBody"/>
              <w:keepNext/>
              <w:keepLines/>
              <w:rPr>
                <w:sz w:val="18"/>
                <w:szCs w:val="18"/>
              </w:rPr>
            </w:pPr>
            <w:r w:rsidRPr="00871DFC">
              <w:rPr>
                <w:sz w:val="18"/>
                <w:szCs w:val="18"/>
              </w:rPr>
              <w:t>General geographic area</w:t>
            </w:r>
          </w:p>
        </w:tc>
        <w:tc>
          <w:tcPr>
            <w:tcW w:w="2385" w:type="dxa"/>
            <w:shd w:val="clear" w:color="auto" w:fill="auto"/>
            <w:vAlign w:val="center"/>
            <w:hideMark/>
          </w:tcPr>
          <w:p w14:paraId="51F5F498" w14:textId="77777777" w:rsidR="00CC1998" w:rsidRPr="00F65DA4" w:rsidRDefault="00CC1998" w:rsidP="0002306C">
            <w:pPr>
              <w:pStyle w:val="TableBody"/>
              <w:keepNext/>
              <w:keepLines/>
              <w:jc w:val="right"/>
              <w:rPr>
                <w:sz w:val="18"/>
                <w:szCs w:val="18"/>
              </w:rPr>
            </w:pPr>
            <w:r w:rsidRPr="00F65DA4">
              <w:rPr>
                <w:sz w:val="18"/>
                <w:szCs w:val="18"/>
              </w:rPr>
              <w:t>179</w:t>
            </w:r>
          </w:p>
        </w:tc>
        <w:tc>
          <w:tcPr>
            <w:tcW w:w="3126" w:type="dxa"/>
            <w:shd w:val="clear" w:color="auto" w:fill="auto"/>
            <w:vAlign w:val="center"/>
            <w:hideMark/>
          </w:tcPr>
          <w:p w14:paraId="63B551A5" w14:textId="77777777" w:rsidR="00CC1998" w:rsidRPr="006F4887" w:rsidRDefault="00CC1998" w:rsidP="0002306C">
            <w:pPr>
              <w:pStyle w:val="TableBody"/>
              <w:keepNext/>
              <w:keepLines/>
              <w:jc w:val="right"/>
              <w:rPr>
                <w:sz w:val="18"/>
                <w:szCs w:val="18"/>
              </w:rPr>
            </w:pPr>
            <w:r w:rsidRPr="006F4887">
              <w:rPr>
                <w:sz w:val="18"/>
                <w:szCs w:val="18"/>
              </w:rPr>
              <w:t>49</w:t>
            </w:r>
          </w:p>
        </w:tc>
      </w:tr>
      <w:tr w:rsidR="00CC1998" w:rsidRPr="00FB5AC7" w14:paraId="0D31D02D" w14:textId="77777777" w:rsidTr="00EE3FD2">
        <w:trPr>
          <w:trHeight w:val="90"/>
        </w:trPr>
        <w:tc>
          <w:tcPr>
            <w:tcW w:w="3855" w:type="dxa"/>
            <w:shd w:val="clear" w:color="auto" w:fill="auto"/>
            <w:vAlign w:val="center"/>
            <w:hideMark/>
          </w:tcPr>
          <w:p w14:paraId="228A5649" w14:textId="77777777" w:rsidR="00CC1998" w:rsidRPr="00871DFC" w:rsidRDefault="00CC1998" w:rsidP="0002306C">
            <w:pPr>
              <w:pStyle w:val="TableBody"/>
              <w:keepNext/>
              <w:keepLines/>
              <w:rPr>
                <w:sz w:val="18"/>
                <w:szCs w:val="18"/>
              </w:rPr>
            </w:pPr>
            <w:r w:rsidRPr="00871DFC">
              <w:rPr>
                <w:sz w:val="18"/>
                <w:szCs w:val="18"/>
              </w:rPr>
              <w:t>Indigenous and Torres Strait Islander</w:t>
            </w:r>
          </w:p>
        </w:tc>
        <w:tc>
          <w:tcPr>
            <w:tcW w:w="2385" w:type="dxa"/>
            <w:shd w:val="clear" w:color="auto" w:fill="auto"/>
            <w:vAlign w:val="center"/>
            <w:hideMark/>
          </w:tcPr>
          <w:p w14:paraId="301CEEF6" w14:textId="77777777" w:rsidR="00CC1998" w:rsidRPr="00F65DA4" w:rsidRDefault="00CC1998" w:rsidP="0002306C">
            <w:pPr>
              <w:pStyle w:val="TableBody"/>
              <w:keepNext/>
              <w:keepLines/>
              <w:jc w:val="right"/>
              <w:rPr>
                <w:sz w:val="18"/>
                <w:szCs w:val="18"/>
              </w:rPr>
            </w:pPr>
            <w:r w:rsidRPr="00F65DA4">
              <w:rPr>
                <w:sz w:val="18"/>
                <w:szCs w:val="18"/>
              </w:rPr>
              <w:t>96</w:t>
            </w:r>
          </w:p>
        </w:tc>
        <w:tc>
          <w:tcPr>
            <w:tcW w:w="3126" w:type="dxa"/>
            <w:shd w:val="clear" w:color="auto" w:fill="auto"/>
            <w:vAlign w:val="center"/>
            <w:hideMark/>
          </w:tcPr>
          <w:p w14:paraId="61080EEF" w14:textId="77777777" w:rsidR="00CC1998" w:rsidRPr="006F4887" w:rsidRDefault="00CC1998" w:rsidP="0002306C">
            <w:pPr>
              <w:pStyle w:val="TableBody"/>
              <w:keepNext/>
              <w:keepLines/>
              <w:jc w:val="right"/>
              <w:rPr>
                <w:sz w:val="18"/>
                <w:szCs w:val="18"/>
              </w:rPr>
            </w:pPr>
            <w:r w:rsidRPr="006F4887">
              <w:rPr>
                <w:sz w:val="18"/>
                <w:szCs w:val="18"/>
              </w:rPr>
              <w:t>27</w:t>
            </w:r>
          </w:p>
        </w:tc>
      </w:tr>
      <w:tr w:rsidR="00CC1998" w:rsidRPr="00FB5AC7" w14:paraId="20C524DF" w14:textId="77777777" w:rsidTr="00EE3FD2">
        <w:trPr>
          <w:trHeight w:val="195"/>
        </w:trPr>
        <w:tc>
          <w:tcPr>
            <w:tcW w:w="3855" w:type="dxa"/>
            <w:shd w:val="clear" w:color="auto" w:fill="auto"/>
            <w:vAlign w:val="center"/>
            <w:hideMark/>
          </w:tcPr>
          <w:p w14:paraId="4B0C10A9" w14:textId="77777777" w:rsidR="00CC1998" w:rsidRPr="00871DFC" w:rsidRDefault="00CC1998" w:rsidP="0002306C">
            <w:pPr>
              <w:pStyle w:val="TableBody"/>
              <w:keepNext/>
              <w:keepLines/>
              <w:rPr>
                <w:sz w:val="18"/>
                <w:szCs w:val="18"/>
              </w:rPr>
            </w:pPr>
            <w:r w:rsidRPr="00871DFC">
              <w:rPr>
                <w:sz w:val="18"/>
                <w:szCs w:val="18"/>
              </w:rPr>
              <w:t>Religious</w:t>
            </w:r>
          </w:p>
        </w:tc>
        <w:tc>
          <w:tcPr>
            <w:tcW w:w="2385" w:type="dxa"/>
            <w:shd w:val="clear" w:color="auto" w:fill="auto"/>
            <w:vAlign w:val="center"/>
            <w:hideMark/>
          </w:tcPr>
          <w:p w14:paraId="28E7F3B8" w14:textId="77777777" w:rsidR="00CC1998" w:rsidRPr="00F65DA4" w:rsidRDefault="00CC1998" w:rsidP="0002306C">
            <w:pPr>
              <w:pStyle w:val="TableBody"/>
              <w:keepNext/>
              <w:keepLines/>
              <w:jc w:val="right"/>
              <w:rPr>
                <w:sz w:val="18"/>
                <w:szCs w:val="18"/>
              </w:rPr>
            </w:pPr>
            <w:r w:rsidRPr="00F65DA4">
              <w:rPr>
                <w:sz w:val="18"/>
                <w:szCs w:val="18"/>
              </w:rPr>
              <w:t>35</w:t>
            </w:r>
          </w:p>
        </w:tc>
        <w:tc>
          <w:tcPr>
            <w:tcW w:w="3126" w:type="dxa"/>
            <w:shd w:val="clear" w:color="auto" w:fill="auto"/>
            <w:vAlign w:val="center"/>
            <w:hideMark/>
          </w:tcPr>
          <w:p w14:paraId="657DA8E4" w14:textId="77777777" w:rsidR="00CC1998" w:rsidRPr="006F4887" w:rsidRDefault="00CC1998" w:rsidP="0002306C">
            <w:pPr>
              <w:pStyle w:val="TableBody"/>
              <w:keepNext/>
              <w:keepLines/>
              <w:jc w:val="right"/>
              <w:rPr>
                <w:sz w:val="18"/>
                <w:szCs w:val="18"/>
              </w:rPr>
            </w:pPr>
            <w:r w:rsidRPr="006F4887">
              <w:rPr>
                <w:sz w:val="18"/>
                <w:szCs w:val="18"/>
              </w:rPr>
              <w:t>10</w:t>
            </w:r>
          </w:p>
        </w:tc>
      </w:tr>
      <w:tr w:rsidR="00CC1998" w:rsidRPr="00FB5AC7" w14:paraId="791C2F90" w14:textId="77777777" w:rsidTr="00EE3FD2">
        <w:trPr>
          <w:trHeight w:val="114"/>
        </w:trPr>
        <w:tc>
          <w:tcPr>
            <w:tcW w:w="3855" w:type="dxa"/>
            <w:shd w:val="clear" w:color="auto" w:fill="auto"/>
            <w:vAlign w:val="center"/>
            <w:hideMark/>
          </w:tcPr>
          <w:p w14:paraId="46244405" w14:textId="77777777" w:rsidR="00CC1998" w:rsidRPr="00871DFC" w:rsidRDefault="00CC1998" w:rsidP="0002306C">
            <w:pPr>
              <w:pStyle w:val="TableBody"/>
              <w:keepNext/>
              <w:keepLines/>
              <w:rPr>
                <w:sz w:val="18"/>
                <w:szCs w:val="18"/>
              </w:rPr>
            </w:pPr>
            <w:r w:rsidRPr="00871DFC">
              <w:rPr>
                <w:sz w:val="18"/>
                <w:szCs w:val="18"/>
              </w:rPr>
              <w:t>Educational/special interest</w:t>
            </w:r>
          </w:p>
        </w:tc>
        <w:tc>
          <w:tcPr>
            <w:tcW w:w="2385" w:type="dxa"/>
            <w:shd w:val="clear" w:color="auto" w:fill="auto"/>
            <w:vAlign w:val="center"/>
            <w:hideMark/>
          </w:tcPr>
          <w:p w14:paraId="785258D1" w14:textId="77777777" w:rsidR="00CC1998" w:rsidRPr="00F65DA4" w:rsidRDefault="00CC1998" w:rsidP="0002306C">
            <w:pPr>
              <w:pStyle w:val="TableBody"/>
              <w:keepNext/>
              <w:keepLines/>
              <w:jc w:val="right"/>
              <w:rPr>
                <w:sz w:val="18"/>
                <w:szCs w:val="18"/>
              </w:rPr>
            </w:pPr>
            <w:r w:rsidRPr="00F65DA4">
              <w:rPr>
                <w:sz w:val="18"/>
                <w:szCs w:val="18"/>
              </w:rPr>
              <w:t>20</w:t>
            </w:r>
          </w:p>
        </w:tc>
        <w:tc>
          <w:tcPr>
            <w:tcW w:w="3126" w:type="dxa"/>
            <w:shd w:val="clear" w:color="auto" w:fill="auto"/>
            <w:vAlign w:val="center"/>
            <w:hideMark/>
          </w:tcPr>
          <w:p w14:paraId="0A264470" w14:textId="77777777" w:rsidR="00CC1998" w:rsidRPr="006F4887" w:rsidRDefault="00CC1998" w:rsidP="0002306C">
            <w:pPr>
              <w:pStyle w:val="TableBody"/>
              <w:keepNext/>
              <w:keepLines/>
              <w:jc w:val="right"/>
              <w:rPr>
                <w:sz w:val="18"/>
                <w:szCs w:val="18"/>
              </w:rPr>
            </w:pPr>
            <w:r w:rsidRPr="006F4887">
              <w:rPr>
                <w:sz w:val="18"/>
                <w:szCs w:val="18"/>
              </w:rPr>
              <w:t>6</w:t>
            </w:r>
          </w:p>
        </w:tc>
      </w:tr>
      <w:tr w:rsidR="00CC1998" w:rsidRPr="00FB5AC7" w14:paraId="097E9FD2" w14:textId="77777777" w:rsidTr="00EE3FD2">
        <w:trPr>
          <w:trHeight w:val="63"/>
        </w:trPr>
        <w:tc>
          <w:tcPr>
            <w:tcW w:w="3855" w:type="dxa"/>
            <w:shd w:val="clear" w:color="auto" w:fill="auto"/>
            <w:vAlign w:val="center"/>
            <w:hideMark/>
          </w:tcPr>
          <w:p w14:paraId="49598DF7" w14:textId="77777777" w:rsidR="00CC1998" w:rsidRPr="00871DFC" w:rsidRDefault="00CC1998" w:rsidP="0002306C">
            <w:pPr>
              <w:pStyle w:val="TableBody"/>
              <w:keepNext/>
              <w:keepLines/>
              <w:rPr>
                <w:sz w:val="18"/>
                <w:szCs w:val="18"/>
              </w:rPr>
            </w:pPr>
            <w:r w:rsidRPr="00871DFC">
              <w:rPr>
                <w:sz w:val="18"/>
                <w:szCs w:val="18"/>
              </w:rPr>
              <w:t xml:space="preserve">Ethnic </w:t>
            </w:r>
          </w:p>
        </w:tc>
        <w:tc>
          <w:tcPr>
            <w:tcW w:w="2385" w:type="dxa"/>
            <w:shd w:val="clear" w:color="auto" w:fill="auto"/>
            <w:vAlign w:val="center"/>
            <w:hideMark/>
          </w:tcPr>
          <w:p w14:paraId="0BA810E1" w14:textId="77777777" w:rsidR="00CC1998" w:rsidRPr="00F65DA4" w:rsidRDefault="00CC1998" w:rsidP="0002306C">
            <w:pPr>
              <w:pStyle w:val="TableBody"/>
              <w:keepNext/>
              <w:keepLines/>
              <w:jc w:val="right"/>
              <w:rPr>
                <w:sz w:val="18"/>
                <w:szCs w:val="18"/>
              </w:rPr>
            </w:pPr>
            <w:r w:rsidRPr="00F65DA4">
              <w:rPr>
                <w:sz w:val="18"/>
                <w:szCs w:val="18"/>
              </w:rPr>
              <w:t>6</w:t>
            </w:r>
          </w:p>
        </w:tc>
        <w:tc>
          <w:tcPr>
            <w:tcW w:w="3126" w:type="dxa"/>
            <w:shd w:val="clear" w:color="auto" w:fill="auto"/>
            <w:vAlign w:val="center"/>
            <w:hideMark/>
          </w:tcPr>
          <w:p w14:paraId="499C3A8A" w14:textId="77777777" w:rsidR="00CC1998" w:rsidRPr="006F4887" w:rsidRDefault="00CC1998" w:rsidP="0002306C">
            <w:pPr>
              <w:pStyle w:val="TableBody"/>
              <w:keepNext/>
              <w:keepLines/>
              <w:jc w:val="right"/>
              <w:rPr>
                <w:sz w:val="18"/>
                <w:szCs w:val="18"/>
              </w:rPr>
            </w:pPr>
            <w:r w:rsidRPr="006F4887">
              <w:rPr>
                <w:sz w:val="18"/>
                <w:szCs w:val="18"/>
              </w:rPr>
              <w:t>2</w:t>
            </w:r>
          </w:p>
        </w:tc>
      </w:tr>
      <w:tr w:rsidR="00CC1998" w:rsidRPr="00FB5AC7" w14:paraId="6944D0C3" w14:textId="77777777" w:rsidTr="00EE3FD2">
        <w:trPr>
          <w:trHeight w:val="208"/>
        </w:trPr>
        <w:tc>
          <w:tcPr>
            <w:tcW w:w="3855" w:type="dxa"/>
            <w:shd w:val="clear" w:color="auto" w:fill="auto"/>
            <w:vAlign w:val="center"/>
            <w:hideMark/>
          </w:tcPr>
          <w:p w14:paraId="59C5ED0A" w14:textId="77777777" w:rsidR="00CC1998" w:rsidRPr="00871DFC" w:rsidRDefault="00CC1998" w:rsidP="0002306C">
            <w:pPr>
              <w:pStyle w:val="TableBody"/>
              <w:keepNext/>
              <w:keepLines/>
              <w:rPr>
                <w:sz w:val="18"/>
                <w:szCs w:val="18"/>
              </w:rPr>
            </w:pPr>
            <w:r w:rsidRPr="00871DFC">
              <w:rPr>
                <w:sz w:val="18"/>
                <w:szCs w:val="18"/>
              </w:rPr>
              <w:t>Music</w:t>
            </w:r>
          </w:p>
        </w:tc>
        <w:tc>
          <w:tcPr>
            <w:tcW w:w="2385" w:type="dxa"/>
            <w:shd w:val="clear" w:color="auto" w:fill="auto"/>
            <w:vAlign w:val="center"/>
            <w:hideMark/>
          </w:tcPr>
          <w:p w14:paraId="192389DA" w14:textId="77777777" w:rsidR="00CC1998" w:rsidRPr="00F65DA4" w:rsidRDefault="00CC1998" w:rsidP="0002306C">
            <w:pPr>
              <w:pStyle w:val="TableBody"/>
              <w:keepNext/>
              <w:keepLines/>
              <w:jc w:val="right"/>
              <w:rPr>
                <w:sz w:val="18"/>
                <w:szCs w:val="18"/>
              </w:rPr>
            </w:pPr>
            <w:r w:rsidRPr="00F65DA4">
              <w:rPr>
                <w:sz w:val="18"/>
                <w:szCs w:val="18"/>
              </w:rPr>
              <w:t>8</w:t>
            </w:r>
          </w:p>
        </w:tc>
        <w:tc>
          <w:tcPr>
            <w:tcW w:w="3126" w:type="dxa"/>
            <w:shd w:val="clear" w:color="auto" w:fill="auto"/>
            <w:vAlign w:val="center"/>
            <w:hideMark/>
          </w:tcPr>
          <w:p w14:paraId="036C3549" w14:textId="77777777" w:rsidR="00CC1998" w:rsidRPr="006F4887" w:rsidRDefault="00CC1998" w:rsidP="0002306C">
            <w:pPr>
              <w:pStyle w:val="TableBody"/>
              <w:keepNext/>
              <w:keepLines/>
              <w:jc w:val="right"/>
              <w:rPr>
                <w:sz w:val="18"/>
                <w:szCs w:val="18"/>
              </w:rPr>
            </w:pPr>
            <w:r w:rsidRPr="006F4887">
              <w:rPr>
                <w:sz w:val="18"/>
                <w:szCs w:val="18"/>
              </w:rPr>
              <w:t>2</w:t>
            </w:r>
          </w:p>
        </w:tc>
      </w:tr>
      <w:tr w:rsidR="00CC1998" w:rsidRPr="00FB5AC7" w14:paraId="5372B640" w14:textId="77777777" w:rsidTr="00EE3FD2">
        <w:trPr>
          <w:trHeight w:val="71"/>
        </w:trPr>
        <w:tc>
          <w:tcPr>
            <w:tcW w:w="3855" w:type="dxa"/>
            <w:shd w:val="clear" w:color="auto" w:fill="auto"/>
            <w:vAlign w:val="center"/>
            <w:hideMark/>
          </w:tcPr>
          <w:p w14:paraId="1009BF3B" w14:textId="77777777" w:rsidR="00CC1998" w:rsidRPr="00871DFC" w:rsidRDefault="00CC1998" w:rsidP="0002306C">
            <w:pPr>
              <w:pStyle w:val="TableBody"/>
              <w:keepNext/>
              <w:keepLines/>
              <w:rPr>
                <w:sz w:val="18"/>
                <w:szCs w:val="18"/>
              </w:rPr>
            </w:pPr>
            <w:r w:rsidRPr="00871DFC">
              <w:rPr>
                <w:sz w:val="18"/>
                <w:szCs w:val="18"/>
              </w:rPr>
              <w:t>Senior citizen</w:t>
            </w:r>
          </w:p>
        </w:tc>
        <w:tc>
          <w:tcPr>
            <w:tcW w:w="2385" w:type="dxa"/>
            <w:shd w:val="clear" w:color="auto" w:fill="auto"/>
            <w:vAlign w:val="center"/>
            <w:hideMark/>
          </w:tcPr>
          <w:p w14:paraId="60F9ED9C" w14:textId="77777777" w:rsidR="00CC1998" w:rsidRPr="00F65DA4" w:rsidRDefault="00CC1998" w:rsidP="0002306C">
            <w:pPr>
              <w:pStyle w:val="TableBody"/>
              <w:keepNext/>
              <w:keepLines/>
              <w:jc w:val="right"/>
              <w:rPr>
                <w:sz w:val="18"/>
                <w:szCs w:val="18"/>
              </w:rPr>
            </w:pPr>
            <w:r w:rsidRPr="00F65DA4">
              <w:rPr>
                <w:sz w:val="18"/>
                <w:szCs w:val="18"/>
              </w:rPr>
              <w:t>8</w:t>
            </w:r>
          </w:p>
        </w:tc>
        <w:tc>
          <w:tcPr>
            <w:tcW w:w="3126" w:type="dxa"/>
            <w:shd w:val="clear" w:color="auto" w:fill="auto"/>
            <w:vAlign w:val="center"/>
            <w:hideMark/>
          </w:tcPr>
          <w:p w14:paraId="6F1D55D5" w14:textId="77777777" w:rsidR="00CC1998" w:rsidRPr="006F4887" w:rsidRDefault="00CC1998" w:rsidP="0002306C">
            <w:pPr>
              <w:pStyle w:val="TableBody"/>
              <w:keepNext/>
              <w:keepLines/>
              <w:jc w:val="right"/>
              <w:rPr>
                <w:sz w:val="18"/>
                <w:szCs w:val="18"/>
              </w:rPr>
            </w:pPr>
            <w:r w:rsidRPr="006F4887">
              <w:rPr>
                <w:sz w:val="18"/>
                <w:szCs w:val="18"/>
              </w:rPr>
              <w:t>2</w:t>
            </w:r>
          </w:p>
        </w:tc>
      </w:tr>
      <w:tr w:rsidR="00CC1998" w:rsidRPr="00FB5AC7" w14:paraId="128EE396" w14:textId="77777777" w:rsidTr="00EE3FD2">
        <w:trPr>
          <w:trHeight w:val="49"/>
        </w:trPr>
        <w:tc>
          <w:tcPr>
            <w:tcW w:w="3855" w:type="dxa"/>
            <w:shd w:val="clear" w:color="auto" w:fill="auto"/>
            <w:vAlign w:val="center"/>
            <w:hideMark/>
          </w:tcPr>
          <w:p w14:paraId="72C6A869" w14:textId="77777777" w:rsidR="00CC1998" w:rsidRPr="00871DFC" w:rsidRDefault="00CC1998" w:rsidP="0002306C">
            <w:pPr>
              <w:pStyle w:val="TableBody"/>
              <w:keepNext/>
              <w:keepLines/>
              <w:rPr>
                <w:sz w:val="18"/>
                <w:szCs w:val="18"/>
              </w:rPr>
            </w:pPr>
            <w:r w:rsidRPr="00871DFC">
              <w:rPr>
                <w:sz w:val="18"/>
                <w:szCs w:val="18"/>
              </w:rPr>
              <w:t>Youth</w:t>
            </w:r>
          </w:p>
        </w:tc>
        <w:tc>
          <w:tcPr>
            <w:tcW w:w="2385" w:type="dxa"/>
            <w:shd w:val="clear" w:color="auto" w:fill="auto"/>
            <w:vAlign w:val="center"/>
            <w:hideMark/>
          </w:tcPr>
          <w:p w14:paraId="4A37CB51" w14:textId="77777777" w:rsidR="00CC1998" w:rsidRPr="00F65DA4" w:rsidRDefault="00CC1998" w:rsidP="0002306C">
            <w:pPr>
              <w:pStyle w:val="TableBody"/>
              <w:keepNext/>
              <w:keepLines/>
              <w:jc w:val="right"/>
              <w:rPr>
                <w:sz w:val="18"/>
                <w:szCs w:val="18"/>
              </w:rPr>
            </w:pPr>
            <w:r w:rsidRPr="00F65DA4">
              <w:rPr>
                <w:sz w:val="18"/>
                <w:szCs w:val="18"/>
              </w:rPr>
              <w:t>8</w:t>
            </w:r>
          </w:p>
        </w:tc>
        <w:tc>
          <w:tcPr>
            <w:tcW w:w="3126" w:type="dxa"/>
            <w:shd w:val="clear" w:color="auto" w:fill="auto"/>
            <w:vAlign w:val="center"/>
            <w:hideMark/>
          </w:tcPr>
          <w:p w14:paraId="597FAFFA" w14:textId="77777777" w:rsidR="00CC1998" w:rsidRPr="006F4887" w:rsidRDefault="00CC1998" w:rsidP="0002306C">
            <w:pPr>
              <w:pStyle w:val="TableBody"/>
              <w:keepNext/>
              <w:keepLines/>
              <w:jc w:val="right"/>
              <w:rPr>
                <w:sz w:val="18"/>
                <w:szCs w:val="18"/>
              </w:rPr>
            </w:pPr>
            <w:r w:rsidRPr="006F4887">
              <w:rPr>
                <w:sz w:val="18"/>
                <w:szCs w:val="18"/>
              </w:rPr>
              <w:t>2</w:t>
            </w:r>
          </w:p>
        </w:tc>
      </w:tr>
      <w:tr w:rsidR="00CC1998" w:rsidRPr="00FB5AC7" w14:paraId="5F94534D" w14:textId="77777777" w:rsidTr="00EE3FD2">
        <w:trPr>
          <w:trHeight w:val="166"/>
        </w:trPr>
        <w:tc>
          <w:tcPr>
            <w:tcW w:w="3855" w:type="dxa"/>
            <w:shd w:val="clear" w:color="auto" w:fill="F2F2F2" w:themeFill="background1" w:themeFillShade="F2"/>
            <w:vAlign w:val="center"/>
            <w:hideMark/>
          </w:tcPr>
          <w:p w14:paraId="0EBDBC33" w14:textId="77777777" w:rsidR="00CC1998" w:rsidRPr="00871DFC" w:rsidRDefault="00CC1998" w:rsidP="0002306C">
            <w:pPr>
              <w:keepNext/>
              <w:keepLines/>
              <w:spacing w:after="0" w:line="240" w:lineRule="auto"/>
              <w:rPr>
                <w:rFonts w:cs="Arial"/>
                <w:b/>
                <w:sz w:val="18"/>
                <w:szCs w:val="18"/>
              </w:rPr>
            </w:pPr>
            <w:r w:rsidRPr="00871DFC">
              <w:rPr>
                <w:rFonts w:cs="Arial"/>
                <w:b/>
                <w:sz w:val="18"/>
                <w:szCs w:val="18"/>
              </w:rPr>
              <w:t xml:space="preserve">Total </w:t>
            </w:r>
          </w:p>
        </w:tc>
        <w:tc>
          <w:tcPr>
            <w:tcW w:w="2385" w:type="dxa"/>
            <w:shd w:val="clear" w:color="auto" w:fill="F2F2F2" w:themeFill="background1" w:themeFillShade="F2"/>
            <w:vAlign w:val="center"/>
            <w:hideMark/>
          </w:tcPr>
          <w:p w14:paraId="1FE9A7AD" w14:textId="77777777" w:rsidR="00CC1998" w:rsidRPr="00F65DA4" w:rsidRDefault="00CC1998" w:rsidP="0002306C">
            <w:pPr>
              <w:keepNext/>
              <w:keepLines/>
              <w:spacing w:after="0" w:line="240" w:lineRule="auto"/>
              <w:jc w:val="right"/>
              <w:rPr>
                <w:rFonts w:cs="Arial"/>
                <w:b/>
                <w:sz w:val="18"/>
                <w:szCs w:val="18"/>
              </w:rPr>
            </w:pPr>
            <w:r w:rsidRPr="00F65DA4">
              <w:rPr>
                <w:rFonts w:cs="Arial"/>
                <w:b/>
                <w:sz w:val="18"/>
                <w:szCs w:val="18"/>
              </w:rPr>
              <w:t>360</w:t>
            </w:r>
          </w:p>
        </w:tc>
        <w:tc>
          <w:tcPr>
            <w:tcW w:w="3126" w:type="dxa"/>
            <w:shd w:val="clear" w:color="auto" w:fill="F2F2F2" w:themeFill="background1" w:themeFillShade="F2"/>
            <w:vAlign w:val="center"/>
            <w:hideMark/>
          </w:tcPr>
          <w:p w14:paraId="61D265B2" w14:textId="77777777" w:rsidR="00CC1998" w:rsidRPr="006F4887" w:rsidRDefault="00CC1998" w:rsidP="0002306C">
            <w:pPr>
              <w:keepNext/>
              <w:keepLines/>
              <w:spacing w:after="0" w:line="240" w:lineRule="auto"/>
              <w:jc w:val="right"/>
              <w:rPr>
                <w:rFonts w:cs="Arial"/>
                <w:b/>
                <w:sz w:val="18"/>
                <w:szCs w:val="18"/>
              </w:rPr>
            </w:pPr>
            <w:r w:rsidRPr="006F4887">
              <w:rPr>
                <w:rFonts w:cs="Arial"/>
                <w:b/>
                <w:sz w:val="18"/>
                <w:szCs w:val="18"/>
              </w:rPr>
              <w:t>100</w:t>
            </w:r>
          </w:p>
        </w:tc>
      </w:tr>
    </w:tbl>
    <w:p w14:paraId="584C918E" w14:textId="77777777" w:rsidR="00CC1998" w:rsidRPr="00AE1D32" w:rsidRDefault="00CC1998" w:rsidP="00D61036">
      <w:pPr>
        <w:pStyle w:val="ACMANotesspaceafter"/>
        <w:spacing w:before="120" w:after="360"/>
        <w:rPr>
          <w:b/>
          <w:bCs/>
          <w:i w:val="0"/>
          <w:sz w:val="20"/>
          <w:szCs w:val="26"/>
        </w:rPr>
      </w:pPr>
      <w:r w:rsidRPr="00AE1D32">
        <w:t>Source: The ACMA</w:t>
      </w:r>
      <w:r w:rsidRPr="00AE1D32">
        <w:rPr>
          <w:b/>
          <w:bCs/>
        </w:rPr>
        <w:t>.</w:t>
      </w:r>
    </w:p>
    <w:p w14:paraId="0C78D399" w14:textId="77777777" w:rsidR="005747A1" w:rsidRPr="00496595" w:rsidRDefault="005747A1" w:rsidP="005747A1">
      <w:pPr>
        <w:pStyle w:val="Heading3"/>
      </w:pPr>
      <w:bookmarkStart w:id="767" w:name="_Toc494799378"/>
      <w:bookmarkStart w:id="768" w:name="_Toc494805681"/>
      <w:bookmarkStart w:id="769" w:name="_Toc494805910"/>
      <w:bookmarkStart w:id="770" w:name="_Toc494808140"/>
      <w:bookmarkStart w:id="771" w:name="_Toc494808576"/>
      <w:bookmarkStart w:id="772" w:name="_Toc494815948"/>
      <w:bookmarkStart w:id="773" w:name="_Toc494818808"/>
      <w:bookmarkStart w:id="774" w:name="_Toc494819075"/>
      <w:r w:rsidRPr="00496595">
        <w:t>Temporary community radio broadcasting licences</w:t>
      </w:r>
      <w:bookmarkEnd w:id="767"/>
      <w:bookmarkEnd w:id="768"/>
      <w:bookmarkEnd w:id="769"/>
      <w:bookmarkEnd w:id="770"/>
      <w:bookmarkEnd w:id="771"/>
      <w:bookmarkEnd w:id="772"/>
      <w:bookmarkEnd w:id="773"/>
      <w:bookmarkEnd w:id="774"/>
    </w:p>
    <w:p w14:paraId="125A5459" w14:textId="77777777" w:rsidR="005747A1" w:rsidRPr="00496595" w:rsidRDefault="005747A1" w:rsidP="005747A1">
      <w:pPr>
        <w:rPr>
          <w:rFonts w:cs="Arial"/>
          <w:szCs w:val="20"/>
        </w:rPr>
      </w:pPr>
      <w:r w:rsidRPr="00496595">
        <w:rPr>
          <w:rFonts w:cs="Arial"/>
          <w:szCs w:val="20"/>
        </w:rPr>
        <w:t>The temporary community radio broadcasting licence scheme allows the ACMA to allocate non</w:t>
      </w:r>
      <w:r w:rsidR="00366913">
        <w:rPr>
          <w:rFonts w:cs="Arial"/>
          <w:szCs w:val="20"/>
        </w:rPr>
        <w:noBreakHyphen/>
      </w:r>
      <w:r w:rsidRPr="00496595">
        <w:rPr>
          <w:rFonts w:cs="Arial"/>
          <w:szCs w:val="20"/>
        </w:rPr>
        <w:t>renewable community radio licences to eligible aspirant broadcasters. There were 9</w:t>
      </w:r>
      <w:r>
        <w:rPr>
          <w:rFonts w:cs="Arial"/>
          <w:szCs w:val="20"/>
        </w:rPr>
        <w:t>7</w:t>
      </w:r>
      <w:r w:rsidRPr="00496595">
        <w:rPr>
          <w:rFonts w:cs="Arial"/>
          <w:szCs w:val="20"/>
        </w:rPr>
        <w:t xml:space="preserve"> temporary licences at 30 June 201</w:t>
      </w:r>
      <w:r>
        <w:rPr>
          <w:rFonts w:cs="Arial"/>
          <w:szCs w:val="20"/>
        </w:rPr>
        <w:t>7.</w:t>
      </w:r>
    </w:p>
    <w:p w14:paraId="2E62A3EA" w14:textId="77777777" w:rsidR="005747A1" w:rsidRPr="00496595" w:rsidRDefault="005747A1" w:rsidP="005747A1">
      <w:pPr>
        <w:pStyle w:val="Heading3"/>
      </w:pPr>
      <w:bookmarkStart w:id="775" w:name="_Toc494799379"/>
      <w:bookmarkStart w:id="776" w:name="_Toc494805682"/>
      <w:bookmarkStart w:id="777" w:name="_Toc494805911"/>
      <w:bookmarkStart w:id="778" w:name="_Toc494808141"/>
      <w:bookmarkStart w:id="779" w:name="_Toc494808577"/>
      <w:bookmarkStart w:id="780" w:name="_Toc494815949"/>
      <w:bookmarkStart w:id="781" w:name="_Toc494818809"/>
      <w:bookmarkStart w:id="782" w:name="_Toc494819076"/>
      <w:r w:rsidRPr="00496595">
        <w:t>Community television services</w:t>
      </w:r>
      <w:bookmarkEnd w:id="775"/>
      <w:bookmarkEnd w:id="776"/>
      <w:bookmarkEnd w:id="777"/>
      <w:bookmarkEnd w:id="778"/>
      <w:bookmarkEnd w:id="779"/>
      <w:bookmarkEnd w:id="780"/>
      <w:bookmarkEnd w:id="781"/>
      <w:bookmarkEnd w:id="782"/>
    </w:p>
    <w:p w14:paraId="193709B9" w14:textId="77777777" w:rsidR="005747A1" w:rsidRPr="00496595" w:rsidRDefault="005747A1" w:rsidP="005747A1">
      <w:pPr>
        <w:rPr>
          <w:rFonts w:cs="Arial"/>
          <w:szCs w:val="20"/>
        </w:rPr>
      </w:pPr>
      <w:r w:rsidRPr="00496595">
        <w:rPr>
          <w:rFonts w:cs="Arial"/>
          <w:szCs w:val="20"/>
        </w:rPr>
        <w:t xml:space="preserve">There were </w:t>
      </w:r>
      <w:r>
        <w:rPr>
          <w:rFonts w:cs="Arial"/>
          <w:szCs w:val="20"/>
        </w:rPr>
        <w:t>49</w:t>
      </w:r>
      <w:r w:rsidRPr="00496595">
        <w:rPr>
          <w:rFonts w:cs="Arial"/>
          <w:szCs w:val="20"/>
        </w:rPr>
        <w:t xml:space="preserve"> long-term community television broadcasting licensees at 30 June 201</w:t>
      </w:r>
      <w:r>
        <w:rPr>
          <w:rFonts w:cs="Arial"/>
          <w:szCs w:val="20"/>
        </w:rPr>
        <w:t>7</w:t>
      </w:r>
      <w:r w:rsidR="00366913">
        <w:rPr>
          <w:rFonts w:cs="Arial"/>
          <w:szCs w:val="20"/>
        </w:rPr>
        <w:t>. O</w:t>
      </w:r>
      <w:r>
        <w:rPr>
          <w:rFonts w:cs="Arial"/>
          <w:szCs w:val="20"/>
        </w:rPr>
        <w:t>ne was</w:t>
      </w:r>
      <w:r w:rsidRPr="00496595">
        <w:rPr>
          <w:rFonts w:cs="Arial"/>
          <w:szCs w:val="20"/>
        </w:rPr>
        <w:t xml:space="preserve"> in the metropolitan area of Melbourne. The remaining </w:t>
      </w:r>
      <w:r>
        <w:rPr>
          <w:rFonts w:cs="Arial"/>
          <w:szCs w:val="20"/>
        </w:rPr>
        <w:t>48</w:t>
      </w:r>
      <w:r w:rsidRPr="00496595">
        <w:rPr>
          <w:rFonts w:cs="Arial"/>
          <w:szCs w:val="20"/>
        </w:rPr>
        <w:t xml:space="preserve"> were remote Indigenous broadcasting services. </w:t>
      </w:r>
    </w:p>
    <w:p w14:paraId="6F7CBD25" w14:textId="77777777" w:rsidR="005747A1" w:rsidRPr="00496595" w:rsidRDefault="005747A1" w:rsidP="00CC0BFA">
      <w:pPr>
        <w:pStyle w:val="Heading3"/>
        <w:keepLines/>
      </w:pPr>
      <w:bookmarkStart w:id="783" w:name="_Toc494799380"/>
      <w:bookmarkStart w:id="784" w:name="_Toc494805683"/>
      <w:bookmarkStart w:id="785" w:name="_Toc494805912"/>
      <w:bookmarkStart w:id="786" w:name="_Toc494808142"/>
      <w:bookmarkStart w:id="787" w:name="_Toc494808578"/>
      <w:bookmarkStart w:id="788" w:name="_Toc494815950"/>
      <w:bookmarkStart w:id="789" w:name="_Toc494818810"/>
      <w:bookmarkStart w:id="790" w:name="_Toc494819077"/>
      <w:r w:rsidRPr="00496595">
        <w:t>Community television transition</w:t>
      </w:r>
      <w:bookmarkEnd w:id="783"/>
      <w:bookmarkEnd w:id="784"/>
      <w:bookmarkEnd w:id="785"/>
      <w:bookmarkEnd w:id="786"/>
      <w:bookmarkEnd w:id="787"/>
      <w:bookmarkEnd w:id="788"/>
      <w:bookmarkEnd w:id="789"/>
      <w:bookmarkEnd w:id="790"/>
    </w:p>
    <w:p w14:paraId="1F712476" w14:textId="77777777" w:rsidR="005747A1" w:rsidRPr="00496595" w:rsidRDefault="004E0164" w:rsidP="00CC0BFA">
      <w:pPr>
        <w:keepNext/>
        <w:keepLines/>
        <w:rPr>
          <w:rFonts w:cs="Arial"/>
          <w:szCs w:val="20"/>
        </w:rPr>
      </w:pPr>
      <w:r>
        <w:t>In accordance with current policy</w:t>
      </w:r>
      <w:r w:rsidR="007E67A9">
        <w:t>,</w:t>
      </w:r>
      <w:r>
        <w:t xml:space="preserve"> the government has made </w:t>
      </w:r>
      <w:r w:rsidR="005747A1" w:rsidRPr="00496595">
        <w:rPr>
          <w:rFonts w:cs="Arial"/>
          <w:szCs w:val="20"/>
        </w:rPr>
        <w:t xml:space="preserve">funding available to assist community television broadcasting licensees </w:t>
      </w:r>
      <w:r w:rsidR="00D13567">
        <w:rPr>
          <w:rFonts w:cs="Arial"/>
          <w:szCs w:val="20"/>
        </w:rPr>
        <w:t>to transition their services to an online platform.</w:t>
      </w:r>
      <w:r w:rsidR="005747A1" w:rsidRPr="00496595">
        <w:rPr>
          <w:rFonts w:cs="Arial"/>
          <w:szCs w:val="20"/>
        </w:rPr>
        <w:t xml:space="preserve"> </w:t>
      </w:r>
      <w:r w:rsidR="005747A1">
        <w:rPr>
          <w:rFonts w:cs="Arial"/>
          <w:szCs w:val="20"/>
        </w:rPr>
        <w:t xml:space="preserve">Accordingly, </w:t>
      </w:r>
      <w:r w:rsidR="005747A1" w:rsidRPr="00496595">
        <w:rPr>
          <w:rFonts w:cs="Arial"/>
          <w:szCs w:val="20"/>
        </w:rPr>
        <w:t xml:space="preserve">these broadcasting services </w:t>
      </w:r>
      <w:r w:rsidR="005747A1">
        <w:rPr>
          <w:rFonts w:cs="Arial"/>
          <w:szCs w:val="20"/>
        </w:rPr>
        <w:t>have been</w:t>
      </w:r>
      <w:r w:rsidR="005747A1" w:rsidRPr="00496595">
        <w:rPr>
          <w:rFonts w:cs="Arial"/>
          <w:szCs w:val="20"/>
        </w:rPr>
        <w:t xml:space="preserve"> migrat</w:t>
      </w:r>
      <w:r w:rsidR="005747A1">
        <w:rPr>
          <w:rFonts w:cs="Arial"/>
          <w:szCs w:val="20"/>
        </w:rPr>
        <w:t>ing</w:t>
      </w:r>
      <w:r w:rsidR="005747A1" w:rsidRPr="00496595">
        <w:rPr>
          <w:rFonts w:cs="Arial"/>
          <w:szCs w:val="20"/>
        </w:rPr>
        <w:t xml:space="preserve"> to the internet.</w:t>
      </w:r>
    </w:p>
    <w:p w14:paraId="52908B9F" w14:textId="3942289E" w:rsidR="005747A1" w:rsidRDefault="005747A1" w:rsidP="00CC0BFA">
      <w:pPr>
        <w:keepNext/>
        <w:keepLines/>
        <w:rPr>
          <w:rFonts w:cs="Arial"/>
          <w:szCs w:val="20"/>
        </w:rPr>
      </w:pPr>
      <w:r>
        <w:rPr>
          <w:rFonts w:cs="Arial"/>
          <w:szCs w:val="20"/>
        </w:rPr>
        <w:t>During 2016–17, there were two remaining metropolitan community television broadcasting services, in Brisbane and Melbourne. The Brisbane service ceased broadcasting in March 2017. The Melbourne c</w:t>
      </w:r>
      <w:r w:rsidRPr="00496595">
        <w:rPr>
          <w:rFonts w:cs="Arial"/>
          <w:szCs w:val="20"/>
        </w:rPr>
        <w:t>ommunity television service currently ha</w:t>
      </w:r>
      <w:r>
        <w:rPr>
          <w:rFonts w:cs="Arial"/>
          <w:szCs w:val="20"/>
        </w:rPr>
        <w:t>s</w:t>
      </w:r>
      <w:r w:rsidRPr="00496595">
        <w:rPr>
          <w:rFonts w:cs="Arial"/>
          <w:szCs w:val="20"/>
        </w:rPr>
        <w:t xml:space="preserve"> access to broadcast spectrum until 31 December 201</w:t>
      </w:r>
      <w:r>
        <w:rPr>
          <w:rFonts w:cs="Arial"/>
          <w:szCs w:val="20"/>
        </w:rPr>
        <w:t>7</w:t>
      </w:r>
      <w:r w:rsidR="00DC2AC0">
        <w:rPr>
          <w:rFonts w:cs="Arial"/>
          <w:szCs w:val="20"/>
        </w:rPr>
        <w:t xml:space="preserve">. </w:t>
      </w:r>
      <w:r w:rsidR="000E0EDD">
        <w:rPr>
          <w:rFonts w:cs="Arial"/>
          <w:szCs w:val="20"/>
        </w:rPr>
        <w:t>A f</w:t>
      </w:r>
      <w:r w:rsidR="00DC2AC0">
        <w:rPr>
          <w:rFonts w:cs="Arial"/>
          <w:szCs w:val="20"/>
        </w:rPr>
        <w:t>urther extension to community</w:t>
      </w:r>
      <w:r w:rsidR="000E0EDD">
        <w:rPr>
          <w:rFonts w:cs="Arial"/>
          <w:szCs w:val="20"/>
        </w:rPr>
        <w:t xml:space="preserve"> television</w:t>
      </w:r>
      <w:r w:rsidR="00DC2AC0">
        <w:rPr>
          <w:rFonts w:cs="Arial"/>
          <w:szCs w:val="20"/>
        </w:rPr>
        <w:t xml:space="preserve"> licences </w:t>
      </w:r>
      <w:r w:rsidR="000E0EDD">
        <w:rPr>
          <w:rFonts w:cs="Arial"/>
          <w:szCs w:val="20"/>
        </w:rPr>
        <w:t xml:space="preserve">to 30 June 2018 was </w:t>
      </w:r>
      <w:r w:rsidR="00DC2AC0">
        <w:rPr>
          <w:rFonts w:cs="Arial"/>
          <w:szCs w:val="20"/>
        </w:rPr>
        <w:t xml:space="preserve">included as part of the government’s </w:t>
      </w:r>
      <w:r w:rsidR="00547C15">
        <w:t>Broadcasting and Content Reform Package</w:t>
      </w:r>
      <w:r w:rsidR="007E67A9">
        <w:t>.</w:t>
      </w:r>
      <w:r w:rsidR="00DC2AC0">
        <w:rPr>
          <w:rStyle w:val="EndnoteReference"/>
          <w:rFonts w:cs="Arial"/>
          <w:szCs w:val="20"/>
        </w:rPr>
        <w:endnoteReference w:id="141"/>
      </w:r>
      <w:r w:rsidR="00547C15">
        <w:rPr>
          <w:rFonts w:cs="Arial"/>
          <w:szCs w:val="20"/>
        </w:rPr>
        <w:t xml:space="preserve"> See Chapter 3 for further information.</w:t>
      </w:r>
    </w:p>
    <w:p w14:paraId="0E493AEA" w14:textId="77777777" w:rsidR="005747A1" w:rsidRPr="00496595" w:rsidRDefault="005747A1" w:rsidP="005747A1">
      <w:pPr>
        <w:pStyle w:val="Heading3"/>
      </w:pPr>
      <w:bookmarkStart w:id="791" w:name="_Toc494799381"/>
      <w:bookmarkStart w:id="792" w:name="_Toc494805684"/>
      <w:bookmarkStart w:id="793" w:name="_Toc494805913"/>
      <w:bookmarkStart w:id="794" w:name="_Toc494808143"/>
      <w:bookmarkStart w:id="795" w:name="_Toc494808579"/>
      <w:bookmarkStart w:id="796" w:name="_Toc494815951"/>
      <w:bookmarkStart w:id="797" w:name="_Toc494818811"/>
      <w:bookmarkStart w:id="798" w:name="_Toc494819078"/>
      <w:r w:rsidRPr="00496595">
        <w:t>Community television trials</w:t>
      </w:r>
      <w:bookmarkEnd w:id="791"/>
      <w:bookmarkEnd w:id="792"/>
      <w:bookmarkEnd w:id="793"/>
      <w:bookmarkEnd w:id="794"/>
      <w:bookmarkEnd w:id="795"/>
      <w:bookmarkEnd w:id="796"/>
      <w:bookmarkEnd w:id="797"/>
      <w:bookmarkEnd w:id="798"/>
    </w:p>
    <w:p w14:paraId="2A65E8EB" w14:textId="31731814" w:rsidR="005747A1" w:rsidRDefault="005747A1" w:rsidP="005747A1">
      <w:pPr>
        <w:rPr>
          <w:rFonts w:cs="Arial"/>
          <w:szCs w:val="20"/>
        </w:rPr>
      </w:pPr>
      <w:r>
        <w:rPr>
          <w:rFonts w:cs="Arial"/>
          <w:szCs w:val="20"/>
        </w:rPr>
        <w:t>During 2016–</w:t>
      </w:r>
      <w:r w:rsidRPr="00496595">
        <w:rPr>
          <w:rFonts w:cs="Arial"/>
          <w:szCs w:val="20"/>
        </w:rPr>
        <w:t>1</w:t>
      </w:r>
      <w:r>
        <w:rPr>
          <w:rFonts w:cs="Arial"/>
          <w:szCs w:val="20"/>
        </w:rPr>
        <w:t>7</w:t>
      </w:r>
      <w:r w:rsidRPr="00496595">
        <w:rPr>
          <w:rFonts w:cs="Arial"/>
          <w:szCs w:val="20"/>
        </w:rPr>
        <w:t>, the ACMA</w:t>
      </w:r>
      <w:r>
        <w:rPr>
          <w:rFonts w:cs="Arial"/>
          <w:szCs w:val="20"/>
        </w:rPr>
        <w:t xml:space="preserve"> made two six-month</w:t>
      </w:r>
      <w:r w:rsidRPr="00496595">
        <w:rPr>
          <w:rFonts w:cs="Arial"/>
          <w:szCs w:val="20"/>
        </w:rPr>
        <w:t xml:space="preserve"> exten</w:t>
      </w:r>
      <w:r>
        <w:rPr>
          <w:rFonts w:cs="Arial"/>
          <w:szCs w:val="20"/>
        </w:rPr>
        <w:t xml:space="preserve">sions to </w:t>
      </w:r>
      <w:r w:rsidRPr="00496595">
        <w:rPr>
          <w:rFonts w:cs="Arial"/>
          <w:szCs w:val="20"/>
        </w:rPr>
        <w:t>community television trials in Adel</w:t>
      </w:r>
      <w:r>
        <w:rPr>
          <w:rFonts w:cs="Arial"/>
          <w:szCs w:val="20"/>
        </w:rPr>
        <w:t xml:space="preserve">aide and Perth, to align with the extensions to the long-term </w:t>
      </w:r>
      <w:r w:rsidR="000E0EDD">
        <w:rPr>
          <w:rFonts w:cs="Arial"/>
          <w:szCs w:val="20"/>
        </w:rPr>
        <w:t xml:space="preserve">community television </w:t>
      </w:r>
      <w:r>
        <w:rPr>
          <w:rFonts w:cs="Arial"/>
          <w:szCs w:val="20"/>
        </w:rPr>
        <w:t xml:space="preserve">licences. </w:t>
      </w:r>
    </w:p>
    <w:p w14:paraId="22A544E8" w14:textId="77777777" w:rsidR="005747A1" w:rsidRPr="009F4879" w:rsidRDefault="005747A1" w:rsidP="005747A1">
      <w:pPr>
        <w:pStyle w:val="Heading3"/>
      </w:pPr>
      <w:bookmarkStart w:id="799" w:name="_Toc494799382"/>
      <w:bookmarkStart w:id="800" w:name="_Toc494805685"/>
      <w:bookmarkStart w:id="801" w:name="_Toc494805914"/>
      <w:bookmarkStart w:id="802" w:name="_Toc494808144"/>
      <w:bookmarkStart w:id="803" w:name="_Toc494808798"/>
      <w:bookmarkStart w:id="804" w:name="_Toc494815952"/>
      <w:bookmarkStart w:id="805" w:name="_Toc494818812"/>
      <w:bookmarkStart w:id="806" w:name="_Toc494819079"/>
      <w:r w:rsidRPr="009F4879">
        <w:t>Subscription television in Australia</w:t>
      </w:r>
      <w:bookmarkEnd w:id="799"/>
      <w:bookmarkEnd w:id="800"/>
      <w:bookmarkEnd w:id="801"/>
      <w:bookmarkEnd w:id="802"/>
      <w:bookmarkEnd w:id="803"/>
      <w:bookmarkEnd w:id="804"/>
      <w:bookmarkEnd w:id="805"/>
      <w:bookmarkEnd w:id="806"/>
      <w:r w:rsidRPr="009F4879">
        <w:t xml:space="preserve"> </w:t>
      </w:r>
    </w:p>
    <w:p w14:paraId="39514156" w14:textId="77777777" w:rsidR="005747A1" w:rsidRDefault="005747A1" w:rsidP="005747A1">
      <w:r>
        <w:t>The ACMA did not allocate any new subscription television broadcasting licences in 2016–17. There are 2,835 subscription television broadcasting licences</w:t>
      </w:r>
      <w:r w:rsidRPr="002E1E98">
        <w:t xml:space="preserve"> </w:t>
      </w:r>
      <w:r>
        <w:t xml:space="preserve">on issue. </w:t>
      </w:r>
    </w:p>
    <w:p w14:paraId="7D445DE6" w14:textId="77777777" w:rsidR="005747A1" w:rsidRPr="008D6BB4" w:rsidRDefault="005747A1" w:rsidP="007E67A9">
      <w:pPr>
        <w:pStyle w:val="Heading2"/>
        <w:keepLines/>
        <w:numPr>
          <w:ilvl w:val="1"/>
          <w:numId w:val="14"/>
        </w:numPr>
      </w:pPr>
      <w:bookmarkStart w:id="807" w:name="_Toc494799383"/>
      <w:bookmarkStart w:id="808" w:name="_Toc494805686"/>
      <w:bookmarkStart w:id="809" w:name="_Toc494805915"/>
      <w:bookmarkStart w:id="810" w:name="_Toc494808145"/>
      <w:bookmarkStart w:id="811" w:name="_Toc494808799"/>
      <w:bookmarkStart w:id="812" w:name="_Toc494815953"/>
      <w:bookmarkStart w:id="813" w:name="_Toc494818813"/>
      <w:bookmarkStart w:id="814" w:name="_Toc494819080"/>
      <w:bookmarkStart w:id="815" w:name="_Toc500320899"/>
      <w:r w:rsidRPr="008D6BB4">
        <w:t>Advertising expenditure in main media</w:t>
      </w:r>
      <w:bookmarkEnd w:id="807"/>
      <w:bookmarkEnd w:id="808"/>
      <w:bookmarkEnd w:id="809"/>
      <w:bookmarkEnd w:id="810"/>
      <w:bookmarkEnd w:id="811"/>
      <w:bookmarkEnd w:id="812"/>
      <w:bookmarkEnd w:id="813"/>
      <w:bookmarkEnd w:id="814"/>
      <w:bookmarkEnd w:id="815"/>
    </w:p>
    <w:p w14:paraId="42D342B5" w14:textId="77777777" w:rsidR="005747A1" w:rsidRPr="00FD7094" w:rsidRDefault="005747A1" w:rsidP="007E67A9">
      <w:pPr>
        <w:pStyle w:val="Heading3"/>
        <w:keepLines/>
      </w:pPr>
      <w:bookmarkStart w:id="816" w:name="_Toc494799384"/>
      <w:bookmarkStart w:id="817" w:name="_Toc494805687"/>
      <w:bookmarkStart w:id="818" w:name="_Toc494805916"/>
      <w:bookmarkStart w:id="819" w:name="_Toc494808146"/>
      <w:bookmarkStart w:id="820" w:name="_Toc494808800"/>
      <w:bookmarkStart w:id="821" w:name="_Toc494815954"/>
      <w:bookmarkStart w:id="822" w:name="_Toc494818814"/>
      <w:bookmarkStart w:id="823" w:name="_Toc494819081"/>
      <w:r w:rsidRPr="00FD7094">
        <w:t>Share of advertising expenditure</w:t>
      </w:r>
      <w:bookmarkEnd w:id="816"/>
      <w:bookmarkEnd w:id="817"/>
      <w:bookmarkEnd w:id="818"/>
      <w:bookmarkEnd w:id="819"/>
      <w:bookmarkEnd w:id="820"/>
      <w:bookmarkEnd w:id="821"/>
      <w:bookmarkEnd w:id="822"/>
      <w:bookmarkEnd w:id="823"/>
      <w:r w:rsidRPr="00FD7094">
        <w:t xml:space="preserve"> </w:t>
      </w:r>
    </w:p>
    <w:p w14:paraId="3DB2E0DC" w14:textId="77777777" w:rsidR="005747A1" w:rsidRPr="00D85EF3" w:rsidRDefault="005747A1" w:rsidP="007E67A9">
      <w:pPr>
        <w:keepNext/>
        <w:keepLines/>
        <w:rPr>
          <w:rFonts w:cs="Arial"/>
        </w:rPr>
      </w:pPr>
      <w:r w:rsidRPr="00E444E0">
        <w:t>Commercial Economic Advisory Service of Australia (CEASA) data for the year ended 31 December 2</w:t>
      </w:r>
      <w:r>
        <w:t>016</w:t>
      </w:r>
      <w:r w:rsidRPr="00E444E0">
        <w:t xml:space="preserve"> shows that combined advertising expenditure across the main media categories—print, </w:t>
      </w:r>
      <w:r w:rsidRPr="00D85EF3">
        <w:t xml:space="preserve">television, radio, online, outdoor and cinema—increased by </w:t>
      </w:r>
      <w:r w:rsidRPr="00D85EF3">
        <w:rPr>
          <w:rFonts w:cs="Arial"/>
        </w:rPr>
        <w:t>7.8 per cent in 2016 to $15.3 billion.</w:t>
      </w:r>
      <w:r w:rsidRPr="00D85EF3">
        <w:rPr>
          <w:rStyle w:val="EndnoteReference"/>
          <w:rFonts w:cs="Arial"/>
        </w:rPr>
        <w:endnoteReference w:id="142"/>
      </w:r>
      <w:r w:rsidRPr="00D85EF3">
        <w:rPr>
          <w:rFonts w:cs="Arial"/>
        </w:rPr>
        <w:t xml:space="preserve"> </w:t>
      </w:r>
    </w:p>
    <w:p w14:paraId="1269403A" w14:textId="296D5CE8" w:rsidR="005747A1" w:rsidRDefault="005747A1" w:rsidP="005747A1">
      <w:pPr>
        <w:rPr>
          <w:rFonts w:cs="Arial"/>
        </w:rPr>
      </w:pPr>
      <w:r>
        <w:rPr>
          <w:rFonts w:cs="Arial"/>
        </w:rPr>
        <w:t>The breakdown of advertising expenditure across the main media categories has changed considerably over the past few years, with the largest shifts in television, online and print media advertising</w:t>
      </w:r>
      <w:r w:rsidR="008D6BB4">
        <w:rPr>
          <w:rFonts w:cs="Arial"/>
        </w:rPr>
        <w:t xml:space="preserve"> (Figure</w:t>
      </w:r>
      <w:r w:rsidR="00F2524A">
        <w:rPr>
          <w:rFonts w:cs="Arial"/>
        </w:rPr>
        <w:t> </w:t>
      </w:r>
      <w:r w:rsidR="008D6BB4">
        <w:rPr>
          <w:rFonts w:cs="Arial"/>
        </w:rPr>
        <w:t>1.4)</w:t>
      </w:r>
      <w:r>
        <w:rPr>
          <w:rFonts w:cs="Arial"/>
        </w:rPr>
        <w:t xml:space="preserve">. </w:t>
      </w:r>
    </w:p>
    <w:p w14:paraId="6AD19E8D" w14:textId="28666792" w:rsidR="005747A1" w:rsidRDefault="005747A1" w:rsidP="005747A1">
      <w:pPr>
        <w:rPr>
          <w:rFonts w:cs="Arial"/>
        </w:rPr>
      </w:pPr>
      <w:r>
        <w:rPr>
          <w:rFonts w:cs="Arial"/>
        </w:rPr>
        <w:t xml:space="preserve">In 2012, online advertising made up 25 per cent of the total advertising expenditure. By 2016, it had increased to 48 per cent. By contrast, the share of television and print media advertising has declined, particularly print media, down from 33 per </w:t>
      </w:r>
      <w:r w:rsidRPr="009D4C35">
        <w:rPr>
          <w:rFonts w:cs="Arial"/>
        </w:rPr>
        <w:t xml:space="preserve">cent in 2012 to 13 per cent in 2016. </w:t>
      </w:r>
      <w:r w:rsidRPr="009D4C35">
        <w:t>Television’s share decreased from 29 per cent i</w:t>
      </w:r>
      <w:r w:rsidR="00F850FF">
        <w:t>n 2012 to 25 per cent in 2016</w:t>
      </w:r>
      <w:r w:rsidRPr="00C24CFC">
        <w:rPr>
          <w:rFonts w:cs="Arial"/>
        </w:rPr>
        <w:t>.</w:t>
      </w:r>
    </w:p>
    <w:p w14:paraId="06BC6AE2" w14:textId="0F3A871D" w:rsidR="005747A1" w:rsidRPr="001D2CA9" w:rsidRDefault="005747A1" w:rsidP="00D61036">
      <w:pPr>
        <w:pStyle w:val="ACMAFigureHeader"/>
        <w:keepNext/>
        <w:keepLines/>
      </w:pPr>
      <w:r w:rsidRPr="001D2CA9">
        <w:t>Figure 1.1</w:t>
      </w:r>
      <w:r>
        <w:t>4</w:t>
      </w:r>
      <w:r w:rsidRPr="001D2CA9">
        <w:tab/>
      </w:r>
      <w:r>
        <w:t>Share of a</w:t>
      </w:r>
      <w:r w:rsidRPr="001D2CA9">
        <w:t>dvertising expenditure by</w:t>
      </w:r>
      <w:r>
        <w:t xml:space="preserve"> main media category (percentage</w:t>
      </w:r>
      <w:r w:rsidRPr="001D2CA9">
        <w:t>)</w:t>
      </w:r>
      <w:r w:rsidR="00171DD0">
        <w:t>, 2012 and 2016</w:t>
      </w:r>
    </w:p>
    <w:p w14:paraId="055D03B2" w14:textId="77777777" w:rsidR="00CC1998" w:rsidRPr="00401165" w:rsidRDefault="005747A1" w:rsidP="008F2206">
      <w:pPr>
        <w:spacing w:after="120"/>
      </w:pPr>
      <w:r>
        <w:rPr>
          <w:noProof/>
        </w:rPr>
        <w:drawing>
          <wp:inline distT="0" distB="0" distL="0" distR="0" wp14:anchorId="2667FBBE" wp14:editId="419ABDEF">
            <wp:extent cx="5738400" cy="1479550"/>
            <wp:effectExtent l="0" t="0" r="0" b="6350"/>
            <wp:docPr id="7" name="Picture 7" descr="Data for Figure 1.14 is in the .ods file for Chapter 1 on the landing page ‘Communications report 2016-17’, available from the ACMA website." title="Figure 1.14  Share of advertising expenditure by main media category (percentage), 2012 and 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H1 - charts_Figure 1.14.png"/>
                    <pic:cNvPicPr/>
                  </pic:nvPicPr>
                  <pic:blipFill rotWithShape="1">
                    <a:blip r:embed="rId58">
                      <a:extLst>
                        <a:ext uri="{28A0092B-C50C-407E-A947-70E740481C1C}">
                          <a14:useLocalDpi xmlns:a14="http://schemas.microsoft.com/office/drawing/2010/main" val="0"/>
                        </a:ext>
                      </a:extLst>
                    </a:blip>
                    <a:srcRect t="6084" b="5324"/>
                    <a:stretch/>
                  </pic:blipFill>
                  <pic:spPr bwMode="auto">
                    <a:xfrm>
                      <a:off x="0" y="0"/>
                      <a:ext cx="5745560" cy="1481396"/>
                    </a:xfrm>
                    <a:prstGeom prst="rect">
                      <a:avLst/>
                    </a:prstGeom>
                    <a:ln>
                      <a:noFill/>
                    </a:ln>
                    <a:extLst>
                      <a:ext uri="{53640926-AAD7-44D8-BBD7-CCE9431645EC}">
                        <a14:shadowObscured xmlns:a14="http://schemas.microsoft.com/office/drawing/2010/main"/>
                      </a:ext>
                    </a:extLst>
                  </pic:spPr>
                </pic:pic>
              </a:graphicData>
            </a:graphic>
          </wp:inline>
        </w:drawing>
      </w:r>
    </w:p>
    <w:p w14:paraId="5C6381DA" w14:textId="77777777" w:rsidR="005747A1" w:rsidRDefault="005747A1" w:rsidP="005030FF">
      <w:pPr>
        <w:pStyle w:val="ACMANotesspaceafter"/>
        <w:spacing w:before="240" w:after="360"/>
      </w:pPr>
      <w:r w:rsidRPr="001D2CA9">
        <w:t>Source: CEASA.</w:t>
      </w:r>
    </w:p>
    <w:p w14:paraId="2EF1B6EC" w14:textId="77777777" w:rsidR="00171DD0" w:rsidRDefault="00171DD0" w:rsidP="00171DD0">
      <w:pPr>
        <w:pStyle w:val="Heading3"/>
        <w:keepLines/>
      </w:pPr>
      <w:r>
        <w:t>Growth in advertising expenditure</w:t>
      </w:r>
    </w:p>
    <w:p w14:paraId="1CD05CDC" w14:textId="77777777" w:rsidR="005747A1" w:rsidRDefault="005747A1" w:rsidP="00171DD0">
      <w:pPr>
        <w:keepNext/>
        <w:keepLines/>
      </w:pPr>
      <w:r>
        <w:t xml:space="preserve">As shown in Figure 1.15, </w:t>
      </w:r>
      <w:r w:rsidRPr="004C394C">
        <w:t xml:space="preserve">expenditure </w:t>
      </w:r>
      <w:r>
        <w:t>on online advertising continued to show strong growth</w:t>
      </w:r>
      <w:r w:rsidRPr="004C394C">
        <w:t xml:space="preserve">, </w:t>
      </w:r>
      <w:r>
        <w:t xml:space="preserve">increasing </w:t>
      </w:r>
      <w:r w:rsidRPr="004C394C">
        <w:t xml:space="preserve">by 23 per cent in 2016 to reach $7.4 billion. There were also increases in outdoor advertising </w:t>
      </w:r>
      <w:r w:rsidR="00C24CFC">
        <w:t>of</w:t>
      </w:r>
      <w:r w:rsidRPr="004C394C">
        <w:t xml:space="preserve"> 16 per cent, cinema advertising </w:t>
      </w:r>
      <w:r w:rsidR="00C24CFC">
        <w:t xml:space="preserve">of five </w:t>
      </w:r>
      <w:r w:rsidRPr="004C394C">
        <w:t>per cent and</w:t>
      </w:r>
      <w:r>
        <w:t xml:space="preserve"> radio advertising expenditure</w:t>
      </w:r>
      <w:r w:rsidR="00C24CFC">
        <w:t xml:space="preserve"> of</w:t>
      </w:r>
      <w:r>
        <w:t xml:space="preserve"> three per cent. </w:t>
      </w:r>
    </w:p>
    <w:p w14:paraId="00871E9D" w14:textId="77777777" w:rsidR="00FA3CE6" w:rsidRDefault="005747A1" w:rsidP="00171DD0">
      <w:pPr>
        <w:keepNext/>
        <w:keepLines/>
      </w:pPr>
      <w:r>
        <w:t>Advertising expenditure on print media decreased by 14 per cent to total $2</w:t>
      </w:r>
      <w:r w:rsidR="00C24CFC">
        <w:t> </w:t>
      </w:r>
      <w:r>
        <w:t>billion during the 2016 calendar year, while television advertising declined slightly, by three per cent, with a reported expenditure of $3.8 billion.</w:t>
      </w:r>
    </w:p>
    <w:p w14:paraId="100D300C" w14:textId="3C499F99" w:rsidR="00171DD0" w:rsidRPr="00171DD0" w:rsidRDefault="00171DD0" w:rsidP="00A615D3">
      <w:pPr>
        <w:rPr>
          <w:rFonts w:cs="Arial"/>
        </w:rPr>
      </w:pPr>
      <w:r>
        <w:rPr>
          <w:rFonts w:cs="Arial"/>
        </w:rPr>
        <w:t>Despite the decline in print and television advertising, consumers are combining digital and more traditional ways of accessing and consuming content.</w:t>
      </w:r>
      <w:r w:rsidDel="00E967C4">
        <w:rPr>
          <w:rFonts w:cs="Arial"/>
        </w:rPr>
        <w:t xml:space="preserve"> </w:t>
      </w:r>
      <w:r>
        <w:rPr>
          <w:rFonts w:cs="Arial"/>
        </w:rPr>
        <w:t xml:space="preserve">For more on video content viewing, see Chapter 3. </w:t>
      </w:r>
    </w:p>
    <w:p w14:paraId="5AAE2142" w14:textId="77777777" w:rsidR="005747A1" w:rsidRPr="00FF451F" w:rsidRDefault="005747A1" w:rsidP="00146A0F">
      <w:pPr>
        <w:pStyle w:val="ACMAFigureHeader"/>
        <w:keepNext/>
        <w:keepLines/>
      </w:pPr>
      <w:r w:rsidRPr="006C652B">
        <w:t>Figure 1.1</w:t>
      </w:r>
      <w:r>
        <w:t>5</w:t>
      </w:r>
      <w:r w:rsidRPr="006C652B">
        <w:tab/>
        <w:t>Advertising expenditure by main media category ($ million)</w:t>
      </w:r>
    </w:p>
    <w:p w14:paraId="653ED1F8" w14:textId="77777777" w:rsidR="005747A1" w:rsidRDefault="00D43354" w:rsidP="008F2206">
      <w:pPr>
        <w:spacing w:after="120"/>
      </w:pPr>
      <w:r>
        <w:rPr>
          <w:noProof/>
        </w:rPr>
        <w:drawing>
          <wp:inline distT="0" distB="0" distL="0" distR="0" wp14:anchorId="4B2A9A26" wp14:editId="761E1336">
            <wp:extent cx="5421361" cy="4765184"/>
            <wp:effectExtent l="0" t="0" r="8255" b="0"/>
            <wp:docPr id="10" name="Picture 10" descr="Data for Figure 1.15 is in the .ods file for Chapter 1 on the landing page ‘Communications report 2016-17’, available from the ACMA website." title="Figure 1.15  Advertising expenditure by main media category ($ mi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H1 - charts_Figure 1.15.png"/>
                    <pic:cNvPicPr/>
                  </pic:nvPicPr>
                  <pic:blipFill rotWithShape="1">
                    <a:blip r:embed="rId59">
                      <a:extLst>
                        <a:ext uri="{28A0092B-C50C-407E-A947-70E740481C1C}">
                          <a14:useLocalDpi xmlns:a14="http://schemas.microsoft.com/office/drawing/2010/main" val="0"/>
                        </a:ext>
                      </a:extLst>
                    </a:blip>
                    <a:srcRect t="2555" r="8789" b="1660"/>
                    <a:stretch/>
                  </pic:blipFill>
                  <pic:spPr bwMode="auto">
                    <a:xfrm>
                      <a:off x="0" y="0"/>
                      <a:ext cx="5434277" cy="4776537"/>
                    </a:xfrm>
                    <a:prstGeom prst="rect">
                      <a:avLst/>
                    </a:prstGeom>
                    <a:ln>
                      <a:noFill/>
                    </a:ln>
                    <a:extLst>
                      <a:ext uri="{53640926-AAD7-44D8-BBD7-CCE9431645EC}">
                        <a14:shadowObscured xmlns:a14="http://schemas.microsoft.com/office/drawing/2010/main"/>
                      </a:ext>
                    </a:extLst>
                  </pic:spPr>
                </pic:pic>
              </a:graphicData>
            </a:graphic>
          </wp:inline>
        </w:drawing>
      </w:r>
    </w:p>
    <w:p w14:paraId="3609F91A" w14:textId="77777777" w:rsidR="00D43354" w:rsidRPr="008C310B" w:rsidRDefault="00D43354" w:rsidP="005030FF">
      <w:pPr>
        <w:pStyle w:val="ACMANotes"/>
        <w:spacing w:before="240"/>
        <w:rPr>
          <w:highlight w:val="yellow"/>
        </w:rPr>
      </w:pPr>
      <w:r w:rsidRPr="00CD031C">
        <w:t>Note: 2015 figure for outdoor advertising revised from</w:t>
      </w:r>
      <w:r>
        <w:t xml:space="preserve"> </w:t>
      </w:r>
      <w:r w:rsidRPr="00CD031C">
        <w:t>previously reported.</w:t>
      </w:r>
    </w:p>
    <w:p w14:paraId="37A62466" w14:textId="77777777" w:rsidR="00D43354" w:rsidRDefault="00D43354" w:rsidP="00571ADC">
      <w:pPr>
        <w:pStyle w:val="ACMANotesspaceafter"/>
        <w:spacing w:after="360"/>
      </w:pPr>
      <w:r w:rsidRPr="006C652B">
        <w:t>Source: CEASA.</w:t>
      </w:r>
      <w:r w:rsidRPr="00FD7E86">
        <w:t xml:space="preserve"> </w:t>
      </w:r>
    </w:p>
    <w:p w14:paraId="7BCF419B" w14:textId="77777777" w:rsidR="00D43354" w:rsidRPr="00FD7094" w:rsidRDefault="00D43354" w:rsidP="00D43354">
      <w:pPr>
        <w:pStyle w:val="Heading3"/>
      </w:pPr>
      <w:bookmarkStart w:id="824" w:name="_Toc494799386"/>
      <w:bookmarkStart w:id="825" w:name="_Toc494805689"/>
      <w:bookmarkStart w:id="826" w:name="_Toc494805918"/>
      <w:bookmarkStart w:id="827" w:name="_Toc494808148"/>
      <w:bookmarkStart w:id="828" w:name="_Toc494808802"/>
      <w:bookmarkStart w:id="829" w:name="_Toc494815957"/>
      <w:bookmarkStart w:id="830" w:name="_Toc494818816"/>
      <w:bookmarkStart w:id="831" w:name="_Toc494819083"/>
      <w:r w:rsidRPr="00FD7094">
        <w:t>Online advertising expenditure</w:t>
      </w:r>
      <w:bookmarkEnd w:id="824"/>
      <w:bookmarkEnd w:id="825"/>
      <w:bookmarkEnd w:id="826"/>
      <w:bookmarkEnd w:id="827"/>
      <w:bookmarkEnd w:id="828"/>
      <w:bookmarkEnd w:id="829"/>
      <w:bookmarkEnd w:id="830"/>
      <w:bookmarkEnd w:id="831"/>
    </w:p>
    <w:p w14:paraId="5914CE5E" w14:textId="38B37312" w:rsidR="00D43354" w:rsidRDefault="00D43354" w:rsidP="007E67A9">
      <w:pPr>
        <w:keepNext/>
        <w:keepLines/>
        <w:spacing w:line="240" w:lineRule="auto"/>
        <w:rPr>
          <w:rFonts w:cs="Arial"/>
        </w:rPr>
      </w:pPr>
      <w:r w:rsidRPr="00A42851">
        <w:rPr>
          <w:rFonts w:cs="Arial"/>
        </w:rPr>
        <w:t>The 2016</w:t>
      </w:r>
      <w:r>
        <w:rPr>
          <w:rFonts w:cs="Arial"/>
        </w:rPr>
        <w:t xml:space="preserve"> calendar year continued to see </w:t>
      </w:r>
      <w:r w:rsidRPr="00A42851">
        <w:rPr>
          <w:rFonts w:cs="Arial"/>
        </w:rPr>
        <w:t xml:space="preserve">significant growth across all online advertising categories, with the online general category exhibiting the greatest </w:t>
      </w:r>
      <w:r>
        <w:rPr>
          <w:rFonts w:cs="Arial"/>
        </w:rPr>
        <w:t xml:space="preserve">year-on-year </w:t>
      </w:r>
      <w:r w:rsidRPr="00A42851">
        <w:rPr>
          <w:rFonts w:cs="Arial"/>
        </w:rPr>
        <w:t>proportional increase (</w:t>
      </w:r>
      <w:r>
        <w:rPr>
          <w:rFonts w:cs="Arial"/>
        </w:rPr>
        <w:t xml:space="preserve">up </w:t>
      </w:r>
      <w:r w:rsidRPr="00A42851">
        <w:rPr>
          <w:rFonts w:cs="Arial"/>
        </w:rPr>
        <w:t>27 per cent</w:t>
      </w:r>
      <w:r w:rsidRPr="001D258B">
        <w:rPr>
          <w:rFonts w:cs="Arial"/>
        </w:rPr>
        <w:t>). Revenue in the search and directories online category increased by 24 per cent and in the classifieds online category by 15 per cent</w:t>
      </w:r>
      <w:r>
        <w:rPr>
          <w:rFonts w:cs="Arial"/>
        </w:rPr>
        <w:t xml:space="preserve"> (Figure 1.16)</w:t>
      </w:r>
      <w:r w:rsidRPr="001D258B">
        <w:rPr>
          <w:rFonts w:cs="Arial"/>
        </w:rPr>
        <w:t>.</w:t>
      </w:r>
    </w:p>
    <w:p w14:paraId="0E3DDE1E" w14:textId="77777777" w:rsidR="00D43354" w:rsidRPr="00FF451F" w:rsidRDefault="00D43354" w:rsidP="00571ADC">
      <w:pPr>
        <w:pStyle w:val="ACMAFigureHeader"/>
        <w:keepNext/>
        <w:keepLines/>
      </w:pPr>
      <w:r w:rsidRPr="00A42851">
        <w:t>Figure 1.1</w:t>
      </w:r>
      <w:r>
        <w:t>6</w:t>
      </w:r>
      <w:r w:rsidRPr="00A42851">
        <w:tab/>
        <w:t>Online advertising expenditure ($ million)</w:t>
      </w:r>
    </w:p>
    <w:p w14:paraId="767EE2F0" w14:textId="77777777" w:rsidR="00D43354" w:rsidRDefault="00372917" w:rsidP="00571ADC">
      <w:pPr>
        <w:spacing w:after="0"/>
      </w:pPr>
      <w:r>
        <w:rPr>
          <w:noProof/>
        </w:rPr>
        <w:drawing>
          <wp:inline distT="0" distB="0" distL="0" distR="0" wp14:anchorId="0F58783D" wp14:editId="5425C457">
            <wp:extent cx="5992414" cy="4793918"/>
            <wp:effectExtent l="0" t="0" r="8890" b="6985"/>
            <wp:docPr id="32" name="Picture 32" descr="Data for Figure 1.16 is in the .ods file for Chapter 1 on the landing page ‘Communications report 2016-17’, available from the ACMA website." title="Figure 1.16  Online advertising expenditure ($ mi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H1 - charts_Figure 1.16.png"/>
                    <pic:cNvPicPr/>
                  </pic:nvPicPr>
                  <pic:blipFill rotWithShape="1">
                    <a:blip r:embed="rId60">
                      <a:extLst>
                        <a:ext uri="{28A0092B-C50C-407E-A947-70E740481C1C}">
                          <a14:useLocalDpi xmlns:a14="http://schemas.microsoft.com/office/drawing/2010/main" val="0"/>
                        </a:ext>
                      </a:extLst>
                    </a:blip>
                    <a:srcRect/>
                    <a:stretch/>
                  </pic:blipFill>
                  <pic:spPr bwMode="auto">
                    <a:xfrm>
                      <a:off x="0" y="0"/>
                      <a:ext cx="5999595" cy="4799663"/>
                    </a:xfrm>
                    <a:prstGeom prst="rect">
                      <a:avLst/>
                    </a:prstGeom>
                    <a:ln>
                      <a:noFill/>
                    </a:ln>
                    <a:extLst>
                      <a:ext uri="{53640926-AAD7-44D8-BBD7-CCE9431645EC}">
                        <a14:shadowObscured xmlns:a14="http://schemas.microsoft.com/office/drawing/2010/main"/>
                      </a:ext>
                    </a:extLst>
                  </pic:spPr>
                </pic:pic>
              </a:graphicData>
            </a:graphic>
          </wp:inline>
        </w:drawing>
      </w:r>
    </w:p>
    <w:p w14:paraId="7CD4FA4F" w14:textId="77777777" w:rsidR="000A1CD9" w:rsidRPr="00B95B18" w:rsidRDefault="00D43354" w:rsidP="005030FF">
      <w:pPr>
        <w:spacing w:before="240" w:after="360"/>
        <w:rPr>
          <w:rFonts w:cs="Arial"/>
          <w:i/>
          <w:sz w:val="16"/>
        </w:rPr>
      </w:pPr>
      <w:r w:rsidRPr="00A42851">
        <w:rPr>
          <w:rFonts w:cs="Arial"/>
          <w:i/>
          <w:sz w:val="16"/>
        </w:rPr>
        <w:t>Source: CEASA.</w:t>
      </w:r>
    </w:p>
    <w:p w14:paraId="1193A2E9" w14:textId="77777777" w:rsidR="008836B1" w:rsidRPr="00FD7E86" w:rsidRDefault="008836B1" w:rsidP="00531CD0">
      <w:pPr>
        <w:pStyle w:val="ACMASpaceaftertable"/>
      </w:pPr>
    </w:p>
    <w:p w14:paraId="67DD8202" w14:textId="77777777" w:rsidR="005107CA" w:rsidRPr="00531CD0" w:rsidRDefault="005107CA" w:rsidP="00531CD0">
      <w:pPr>
        <w:pStyle w:val="Heading1"/>
        <w:pageBreakBefore w:val="0"/>
        <w:rPr>
          <w:i/>
          <w:sz w:val="16"/>
        </w:rPr>
        <w:sectPr w:rsidR="005107CA" w:rsidRPr="00531CD0" w:rsidSect="00604073">
          <w:headerReference w:type="even" r:id="rId61"/>
          <w:headerReference w:type="default" r:id="rId62"/>
          <w:footerReference w:type="even" r:id="rId63"/>
          <w:footerReference w:type="default" r:id="rId64"/>
          <w:endnotePr>
            <w:numFmt w:val="decimal"/>
            <w:numRestart w:val="eachSect"/>
          </w:endnotePr>
          <w:pgSz w:w="11907" w:h="16839" w:code="9"/>
          <w:pgMar w:top="1945" w:right="1134" w:bottom="1134" w:left="1134" w:header="709" w:footer="119" w:gutter="284"/>
          <w:pgNumType w:start="1"/>
          <w:cols w:space="708"/>
          <w:docGrid w:linePitch="360"/>
        </w:sectPr>
      </w:pPr>
    </w:p>
    <w:p w14:paraId="37D17DDD" w14:textId="77777777" w:rsidR="002210F1" w:rsidRPr="00CB3D4A" w:rsidRDefault="002210F1" w:rsidP="002210F1">
      <w:pPr>
        <w:pStyle w:val="Heading1"/>
        <w:numPr>
          <w:ilvl w:val="0"/>
          <w:numId w:val="12"/>
        </w:numPr>
        <w:ind w:left="851" w:hanging="851"/>
      </w:pPr>
      <w:bookmarkStart w:id="832" w:name="_Toc500320900"/>
      <w:bookmarkEnd w:id="35"/>
      <w:bookmarkEnd w:id="36"/>
      <w:r w:rsidRPr="00CB3D4A">
        <w:t>Consumer engagement with communications and media</w:t>
      </w:r>
      <w:bookmarkEnd w:id="832"/>
    </w:p>
    <w:p w14:paraId="6DC6E5B6" w14:textId="23CECEB9" w:rsidR="00A54053" w:rsidRPr="00171DD0" w:rsidRDefault="00A54053" w:rsidP="00A54053">
      <w:pPr>
        <w:rPr>
          <w:color w:val="37897E"/>
        </w:rPr>
      </w:pPr>
      <w:r w:rsidRPr="00171DD0">
        <w:rPr>
          <w:color w:val="37897E"/>
        </w:rPr>
        <w:t xml:space="preserve">This chapter reports on </w:t>
      </w:r>
      <w:r w:rsidR="00133C76" w:rsidRPr="00171DD0">
        <w:rPr>
          <w:color w:val="37897E"/>
        </w:rPr>
        <w:t xml:space="preserve">the </w:t>
      </w:r>
      <w:r w:rsidRPr="00171DD0">
        <w:rPr>
          <w:color w:val="37897E"/>
        </w:rPr>
        <w:t xml:space="preserve">efficiency, adequacy and quality of </w:t>
      </w:r>
      <w:r w:rsidR="00133C76" w:rsidRPr="00171DD0">
        <w:rPr>
          <w:color w:val="37897E"/>
        </w:rPr>
        <w:t>CSPs</w:t>
      </w:r>
      <w:r w:rsidR="003A7AE0" w:rsidRPr="00171DD0">
        <w:rPr>
          <w:color w:val="37897E"/>
        </w:rPr>
        <w:t>’</w:t>
      </w:r>
      <w:r w:rsidR="00133C76" w:rsidRPr="00171DD0">
        <w:rPr>
          <w:color w:val="37897E"/>
        </w:rPr>
        <w:t xml:space="preserve"> services</w:t>
      </w:r>
      <w:r w:rsidR="0021419E" w:rsidRPr="00171DD0">
        <w:rPr>
          <w:color w:val="37897E"/>
        </w:rPr>
        <w:t>. It examines</w:t>
      </w:r>
      <w:r w:rsidR="003A7AE0" w:rsidRPr="00171DD0">
        <w:rPr>
          <w:color w:val="37897E"/>
        </w:rPr>
        <w:t xml:space="preserve"> how Australians use communications and media services</w:t>
      </w:r>
      <w:r w:rsidR="00981559" w:rsidRPr="00171DD0">
        <w:rPr>
          <w:color w:val="37897E"/>
        </w:rPr>
        <w:t>,</w:t>
      </w:r>
      <w:r w:rsidR="0021419E" w:rsidRPr="00171DD0">
        <w:rPr>
          <w:color w:val="37897E"/>
        </w:rPr>
        <w:t xml:space="preserve"> and focuses on</w:t>
      </w:r>
      <w:r w:rsidR="003D59C1" w:rsidRPr="00171DD0">
        <w:rPr>
          <w:color w:val="37897E"/>
        </w:rPr>
        <w:t xml:space="preserve"> </w:t>
      </w:r>
      <w:r w:rsidRPr="00171DD0">
        <w:rPr>
          <w:color w:val="37897E"/>
        </w:rPr>
        <w:t xml:space="preserve">online activities, </w:t>
      </w:r>
      <w:r w:rsidR="00522E76" w:rsidRPr="00171DD0">
        <w:rPr>
          <w:color w:val="37897E"/>
        </w:rPr>
        <w:t xml:space="preserve">our </w:t>
      </w:r>
      <w:r w:rsidRPr="00171DD0">
        <w:rPr>
          <w:color w:val="37897E"/>
        </w:rPr>
        <w:t>take</w:t>
      </w:r>
      <w:r w:rsidR="0019127F" w:rsidRPr="00171DD0">
        <w:rPr>
          <w:color w:val="37897E"/>
        </w:rPr>
        <w:noBreakHyphen/>
      </w:r>
      <w:r w:rsidRPr="00171DD0">
        <w:rPr>
          <w:color w:val="37897E"/>
        </w:rPr>
        <w:t xml:space="preserve">up and use of devices that connect to the internet and other communications services, </w:t>
      </w:r>
      <w:r w:rsidR="00522E76" w:rsidRPr="00171DD0">
        <w:rPr>
          <w:color w:val="37897E"/>
        </w:rPr>
        <w:t>and</w:t>
      </w:r>
      <w:r w:rsidRPr="00171DD0">
        <w:rPr>
          <w:color w:val="37897E"/>
        </w:rPr>
        <w:t xml:space="preserve"> </w:t>
      </w:r>
      <w:r w:rsidR="00522E76" w:rsidRPr="00171DD0">
        <w:rPr>
          <w:color w:val="37897E"/>
        </w:rPr>
        <w:t xml:space="preserve">our </w:t>
      </w:r>
      <w:r w:rsidRPr="00171DD0">
        <w:rPr>
          <w:color w:val="37897E"/>
        </w:rPr>
        <w:t xml:space="preserve">behaviours in an online environment. </w:t>
      </w:r>
      <w:r w:rsidR="00D06412" w:rsidRPr="00171DD0">
        <w:rPr>
          <w:color w:val="37897E"/>
        </w:rPr>
        <w:t>It also</w:t>
      </w:r>
      <w:r w:rsidR="00522E76" w:rsidRPr="00171DD0">
        <w:rPr>
          <w:color w:val="37897E"/>
        </w:rPr>
        <w:t xml:space="preserve"> </w:t>
      </w:r>
      <w:r w:rsidRPr="00171DD0">
        <w:rPr>
          <w:color w:val="37897E"/>
        </w:rPr>
        <w:t>considers consumer benefits and engagement</w:t>
      </w:r>
      <w:r w:rsidR="00522E76" w:rsidRPr="00171DD0">
        <w:rPr>
          <w:color w:val="37897E"/>
        </w:rPr>
        <w:t>,</w:t>
      </w:r>
      <w:r w:rsidRPr="00171DD0">
        <w:rPr>
          <w:color w:val="37897E"/>
        </w:rPr>
        <w:t xml:space="preserve"> including</w:t>
      </w:r>
      <w:r w:rsidRPr="00171DD0" w:rsidDel="009009F9">
        <w:rPr>
          <w:color w:val="37897E"/>
        </w:rPr>
        <w:t xml:space="preserve"> </w:t>
      </w:r>
      <w:r w:rsidRPr="00171DD0">
        <w:rPr>
          <w:color w:val="37897E"/>
        </w:rPr>
        <w:t>satisfaction with communications services.</w:t>
      </w:r>
      <w:r w:rsidR="00171DD0" w:rsidRPr="00171DD0">
        <w:rPr>
          <w:color w:val="37897E"/>
        </w:rPr>
        <w:t xml:space="preserve"> </w:t>
      </w:r>
      <w:r w:rsidR="00F2524A">
        <w:rPr>
          <w:color w:val="37897E"/>
        </w:rPr>
        <w:t xml:space="preserve">This chapter </w:t>
      </w:r>
      <w:r w:rsidR="0019127F" w:rsidRPr="00171DD0">
        <w:rPr>
          <w:color w:val="37897E"/>
        </w:rPr>
        <w:t xml:space="preserve">addresses the statutory requirements </w:t>
      </w:r>
      <w:r w:rsidR="006F7D2E" w:rsidRPr="00171DD0">
        <w:rPr>
          <w:color w:val="37897E"/>
        </w:rPr>
        <w:t>under</w:t>
      </w:r>
      <w:r w:rsidR="0019127F" w:rsidRPr="00171DD0">
        <w:rPr>
          <w:color w:val="37897E"/>
        </w:rPr>
        <w:t xml:space="preserve"> paragraphs 105(3)(a) an</w:t>
      </w:r>
      <w:r w:rsidR="006F7D2E" w:rsidRPr="00171DD0">
        <w:rPr>
          <w:color w:val="37897E"/>
        </w:rPr>
        <w:t>d (b) of the Telecommunications </w:t>
      </w:r>
      <w:r w:rsidR="0019127F" w:rsidRPr="00171DD0">
        <w:rPr>
          <w:color w:val="37897E"/>
        </w:rPr>
        <w:t>Act.</w:t>
      </w:r>
    </w:p>
    <w:p w14:paraId="02676D5C" w14:textId="77777777" w:rsidR="00A54053" w:rsidRDefault="00A54053" w:rsidP="00A54053">
      <w:pPr>
        <w:pStyle w:val="Heading3"/>
      </w:pPr>
      <w:r>
        <w:t xml:space="preserve">Key points for </w:t>
      </w:r>
      <w:r w:rsidRPr="001A4BCF">
        <w:t>2016–17</w:t>
      </w:r>
    </w:p>
    <w:p w14:paraId="54DB07CF" w14:textId="77777777" w:rsidR="00A54053" w:rsidRPr="00E57AD7" w:rsidRDefault="00A54053" w:rsidP="00F3697E">
      <w:pPr>
        <w:pStyle w:val="ListBullet"/>
      </w:pPr>
      <w:r w:rsidRPr="00E57AD7">
        <w:t>Most Australian adults used five or more separate communications services for personal purposes—the mobile phone remains the favoured device, with mobile phone calls, text messages and apps the most common services used.</w:t>
      </w:r>
    </w:p>
    <w:p w14:paraId="71C7828A" w14:textId="77777777" w:rsidR="00A54053" w:rsidRPr="00E57AD7" w:rsidRDefault="00A54053" w:rsidP="00DC2B04">
      <w:pPr>
        <w:pStyle w:val="ListBullet"/>
      </w:pPr>
      <w:r w:rsidRPr="00E57AD7">
        <w:t>Many Australian adults are embracing OTT communication services</w:t>
      </w:r>
      <w:r w:rsidR="00522E76">
        <w:t>—</w:t>
      </w:r>
      <w:r w:rsidRPr="00E57AD7">
        <w:t>using apps such as Facebook, WhatsApp, Skype, Snapchat</w:t>
      </w:r>
      <w:r w:rsidR="00522E76">
        <w:t xml:space="preserve"> and</w:t>
      </w:r>
      <w:r w:rsidRPr="00E57AD7">
        <w:t xml:space="preserve"> FaceTime to send messages,</w:t>
      </w:r>
      <w:r w:rsidR="00522E76">
        <w:t xml:space="preserve"> or</w:t>
      </w:r>
      <w:r w:rsidRPr="00E57AD7">
        <w:t xml:space="preserve"> make voice or video calls to stay in touch with family and friends.</w:t>
      </w:r>
    </w:p>
    <w:p w14:paraId="0DE7E005" w14:textId="3408ED3A" w:rsidR="00A54053" w:rsidRPr="00E57AD7" w:rsidRDefault="00A54053" w:rsidP="00DC2B04">
      <w:pPr>
        <w:pStyle w:val="ListBullet"/>
      </w:pPr>
      <w:r w:rsidRPr="00E57AD7">
        <w:t xml:space="preserve">The majority of Australian adults were </w:t>
      </w:r>
      <w:r w:rsidR="00B23C52" w:rsidRPr="00B23C52">
        <w:t>online</w:t>
      </w:r>
      <w:r w:rsidRPr="00E57AD7">
        <w:t xml:space="preserve"> at least once in the six months to June 2017, with </w:t>
      </w:r>
      <w:r w:rsidR="00A67AC9">
        <w:t>every person</w:t>
      </w:r>
      <w:r w:rsidR="00522E76">
        <w:t xml:space="preserve"> aged </w:t>
      </w:r>
      <w:r w:rsidRPr="00E57AD7">
        <w:t>18</w:t>
      </w:r>
      <w:r w:rsidR="00522E76">
        <w:t>–</w:t>
      </w:r>
      <w:r w:rsidRPr="00E57AD7">
        <w:t>34</w:t>
      </w:r>
      <w:r w:rsidR="00A67AC9">
        <w:t xml:space="preserve"> having gone online</w:t>
      </w:r>
      <w:r w:rsidRPr="00E57AD7">
        <w:t xml:space="preserve">. Almost 13.5 million Australians accessed the internet three or more times a day. </w:t>
      </w:r>
    </w:p>
    <w:p w14:paraId="1389EB46" w14:textId="77777777" w:rsidR="00A54053" w:rsidRPr="00E57AD7" w:rsidRDefault="002545AE" w:rsidP="00DC2B04">
      <w:pPr>
        <w:pStyle w:val="ListBullet"/>
      </w:pPr>
      <w:r w:rsidRPr="006C5CFF">
        <w:t>U</w:t>
      </w:r>
      <w:r w:rsidR="00A54053" w:rsidRPr="006C5CFF">
        <w:t>se of the internet via a mobile continue</w:t>
      </w:r>
      <w:r w:rsidRPr="006C5CFF">
        <w:t>d</w:t>
      </w:r>
      <w:r w:rsidR="00A54053" w:rsidRPr="006C5CFF">
        <w:t xml:space="preserve"> to grow</w:t>
      </w:r>
      <w:r w:rsidRPr="006C5CFF">
        <w:t>—</w:t>
      </w:r>
      <w:r w:rsidR="00A54053" w:rsidRPr="006C5CFF">
        <w:t>access via a home internet connection (almost all</w:t>
      </w:r>
      <w:r w:rsidR="00A54053" w:rsidRPr="00E57AD7">
        <w:t xml:space="preserve"> on broadband) remain</w:t>
      </w:r>
      <w:r>
        <w:t>ed</w:t>
      </w:r>
      <w:r w:rsidR="00A54053" w:rsidRPr="00E57AD7">
        <w:t xml:space="preserve"> steady but </w:t>
      </w:r>
      <w:r>
        <w:t xml:space="preserve">was </w:t>
      </w:r>
      <w:r w:rsidR="00A54053" w:rsidRPr="00E57AD7">
        <w:t xml:space="preserve">still the most common source. </w:t>
      </w:r>
    </w:p>
    <w:p w14:paraId="2D138C89" w14:textId="75F81488" w:rsidR="00A54053" w:rsidRPr="00E57AD7" w:rsidRDefault="00A54053" w:rsidP="00DC2B04">
      <w:pPr>
        <w:pStyle w:val="ListBullet"/>
      </w:pPr>
      <w:r w:rsidRPr="00E57AD7">
        <w:t xml:space="preserve">Volume of data downloaded continued its </w:t>
      </w:r>
      <w:r w:rsidR="002545AE">
        <w:t xml:space="preserve">decade-long </w:t>
      </w:r>
      <w:r w:rsidRPr="00E57AD7">
        <w:t>exponential increase, reaching 3.17</w:t>
      </w:r>
      <w:r w:rsidR="002545AE">
        <w:t> </w:t>
      </w:r>
      <w:r w:rsidRPr="00E57AD7">
        <w:t>million terabytes over both fixed and mobile networks (up 4</w:t>
      </w:r>
      <w:r w:rsidR="009C0C46">
        <w:t>3</w:t>
      </w:r>
      <w:r w:rsidRPr="00E57AD7">
        <w:t xml:space="preserve"> per cent</w:t>
      </w:r>
      <w:r w:rsidR="008D0E0B">
        <w:t xml:space="preserve"> in the last year</w:t>
      </w:r>
      <w:r w:rsidRPr="00E57AD7">
        <w:t>).</w:t>
      </w:r>
    </w:p>
    <w:p w14:paraId="62032EC5" w14:textId="77777777" w:rsidR="00A54053" w:rsidRDefault="00A54053" w:rsidP="00AD2B94">
      <w:pPr>
        <w:pStyle w:val="ListBulletLast"/>
      </w:pPr>
      <w:r>
        <w:t>High levels of consumer satisfaction</w:t>
      </w:r>
      <w:r w:rsidRPr="00DD3878">
        <w:t xml:space="preserve"> </w:t>
      </w:r>
      <w:r>
        <w:t>continue</w:t>
      </w:r>
      <w:r w:rsidR="002545AE">
        <w:t>d</w:t>
      </w:r>
      <w:r>
        <w:t xml:space="preserve"> </w:t>
      </w:r>
      <w:r w:rsidRPr="00DD3878">
        <w:t>with fixed telephone, mobile and internet communications service</w:t>
      </w:r>
      <w:r>
        <w:t>s</w:t>
      </w:r>
      <w:r w:rsidRPr="00DD3878">
        <w:t>.</w:t>
      </w:r>
      <w:r>
        <w:t xml:space="preserve"> The highest levels of dissatisfaction were with internet services</w:t>
      </w:r>
      <w:r w:rsidR="002545AE">
        <w:t>—</w:t>
      </w:r>
      <w:r>
        <w:t xml:space="preserve">due mostly to issues with data speeds and </w:t>
      </w:r>
      <w:r w:rsidR="002545AE">
        <w:t>time to</w:t>
      </w:r>
      <w:r>
        <w:t xml:space="preserve"> repair</w:t>
      </w:r>
      <w:r w:rsidR="002545AE">
        <w:t xml:space="preserve"> </w:t>
      </w:r>
      <w:r>
        <w:t>faults.</w:t>
      </w:r>
    </w:p>
    <w:p w14:paraId="2F2634F4" w14:textId="77777777" w:rsidR="00A54053" w:rsidRPr="002317F7" w:rsidRDefault="00D91AF7" w:rsidP="00A54053">
      <w:pPr>
        <w:pStyle w:val="Heading2"/>
        <w:numPr>
          <w:ilvl w:val="1"/>
          <w:numId w:val="16"/>
        </w:numPr>
        <w:ind w:hanging="792"/>
      </w:pPr>
      <w:bookmarkStart w:id="833" w:name="_Toc494799389"/>
      <w:bookmarkStart w:id="834" w:name="_Toc494805692"/>
      <w:bookmarkStart w:id="835" w:name="_Toc494805921"/>
      <w:bookmarkStart w:id="836" w:name="_Toc494808151"/>
      <w:bookmarkStart w:id="837" w:name="_Toc494808805"/>
      <w:bookmarkStart w:id="838" w:name="_Toc494815960"/>
      <w:bookmarkStart w:id="839" w:name="_Toc494818819"/>
      <w:bookmarkStart w:id="840" w:name="_Toc494819086"/>
      <w:bookmarkStart w:id="841" w:name="_Toc500320901"/>
      <w:r>
        <w:t>How we communicate</w:t>
      </w:r>
      <w:bookmarkEnd w:id="833"/>
      <w:bookmarkEnd w:id="834"/>
      <w:bookmarkEnd w:id="835"/>
      <w:bookmarkEnd w:id="836"/>
      <w:bookmarkEnd w:id="837"/>
      <w:bookmarkEnd w:id="838"/>
      <w:bookmarkEnd w:id="839"/>
      <w:bookmarkEnd w:id="840"/>
      <w:bookmarkEnd w:id="841"/>
    </w:p>
    <w:p w14:paraId="67CA3201" w14:textId="77777777" w:rsidR="00A54053" w:rsidRDefault="00A54053" w:rsidP="00A54053">
      <w:r w:rsidRPr="002317F7">
        <w:t>Australians use a diverse range of communications services for personal purposes</w:t>
      </w:r>
      <w:r>
        <w:t xml:space="preserve">. </w:t>
      </w:r>
      <w:r w:rsidRPr="000E36F1">
        <w:t>At June 2017, 95 per cent of Australian</w:t>
      </w:r>
      <w:r>
        <w:t xml:space="preserve"> adult</w:t>
      </w:r>
      <w:r w:rsidRPr="000E36F1">
        <w:t xml:space="preserve">s had used </w:t>
      </w:r>
      <w:r w:rsidRPr="002C3023">
        <w:t>a mobile phone to make a phone call in the last six months, while 86</w:t>
      </w:r>
      <w:r w:rsidR="0031374A">
        <w:t> </w:t>
      </w:r>
      <w:r w:rsidRPr="002C3023">
        <w:t>per cent had sent an SMS from their mobile handset</w:t>
      </w:r>
      <w:r>
        <w:t xml:space="preserve"> </w:t>
      </w:r>
      <w:r w:rsidRPr="002C3023">
        <w:t xml:space="preserve">(Figure 2.1). </w:t>
      </w:r>
    </w:p>
    <w:p w14:paraId="52ED4780" w14:textId="77777777" w:rsidR="00A54053" w:rsidRDefault="00A54053" w:rsidP="00A54053">
      <w:r>
        <w:t>Age continues to be a strong predictor of technology use. While the majority (98 per cent) of</w:t>
      </w:r>
      <w:r w:rsidRPr="002819C7">
        <w:t xml:space="preserve"> </w:t>
      </w:r>
      <w:r>
        <w:t xml:space="preserve">Australians aged under 65 </w:t>
      </w:r>
      <w:r w:rsidRPr="000E36F1">
        <w:t xml:space="preserve">had used </w:t>
      </w:r>
      <w:r w:rsidRPr="002C3023">
        <w:t>a mobile phone to make a phone call in the last six months</w:t>
      </w:r>
      <w:r>
        <w:t xml:space="preserve">, </w:t>
      </w:r>
      <w:r w:rsidR="0031374A">
        <w:t xml:space="preserve">this dropped to </w:t>
      </w:r>
      <w:r>
        <w:t>82</w:t>
      </w:r>
      <w:r w:rsidR="0031374A">
        <w:t> </w:t>
      </w:r>
      <w:r>
        <w:t>per cent for those aged 65 and over. Similarly, while 93 per cent of Australians under 65 us</w:t>
      </w:r>
      <w:r w:rsidR="0031374A">
        <w:t>ed</w:t>
      </w:r>
      <w:r>
        <w:t xml:space="preserve"> SMS text messages for personal purposes, only 58 per cent of </w:t>
      </w:r>
      <w:r w:rsidR="0031374A">
        <w:t xml:space="preserve">those </w:t>
      </w:r>
      <w:r>
        <w:t xml:space="preserve">aged 65 and over </w:t>
      </w:r>
      <w:r w:rsidRPr="002C3023">
        <w:t>had sent an SMS from their mobile handset</w:t>
      </w:r>
      <w:r>
        <w:t>.</w:t>
      </w:r>
      <w:r>
        <w:rPr>
          <w:rStyle w:val="EndnoteReference"/>
        </w:rPr>
        <w:endnoteReference w:id="143"/>
      </w:r>
    </w:p>
    <w:p w14:paraId="73DCCBFE" w14:textId="77777777" w:rsidR="000A1CD9" w:rsidRDefault="00A54053" w:rsidP="00701C1F">
      <w:r w:rsidRPr="00A94FE0">
        <w:t xml:space="preserve">Australians </w:t>
      </w:r>
      <w:r>
        <w:t xml:space="preserve">are using </w:t>
      </w:r>
      <w:r w:rsidRPr="00A94FE0">
        <w:t xml:space="preserve">multiple services and devices </w:t>
      </w:r>
      <w:r>
        <w:t>for personal purposes</w:t>
      </w:r>
      <w:r w:rsidRPr="00A94FE0">
        <w:t>.</w:t>
      </w:r>
      <w:r>
        <w:t xml:space="preserve"> At June</w:t>
      </w:r>
      <w:r w:rsidRPr="00A94FE0">
        <w:t xml:space="preserve"> 2017, </w:t>
      </w:r>
      <w:r>
        <w:t xml:space="preserve">seven in </w:t>
      </w:r>
      <w:r w:rsidR="00217CBF">
        <w:t xml:space="preserve">10 </w:t>
      </w:r>
      <w:r>
        <w:t>adults</w:t>
      </w:r>
      <w:r w:rsidRPr="00A94FE0">
        <w:t xml:space="preserve"> </w:t>
      </w:r>
      <w:r w:rsidR="00217CBF">
        <w:t xml:space="preserve">had </w:t>
      </w:r>
      <w:r w:rsidRPr="00A94FE0">
        <w:t xml:space="preserve">used five or more separate </w:t>
      </w:r>
      <w:r>
        <w:t xml:space="preserve">communications </w:t>
      </w:r>
      <w:r w:rsidRPr="00A94FE0">
        <w:t>services</w:t>
      </w:r>
      <w:r>
        <w:t xml:space="preserve"> in the last six months</w:t>
      </w:r>
      <w:r w:rsidR="00217CBF">
        <w:t>. T</w:t>
      </w:r>
      <w:r>
        <w:t>hree of the top six involv</w:t>
      </w:r>
      <w:r w:rsidR="00217CBF">
        <w:t>ed</w:t>
      </w:r>
      <w:r>
        <w:t xml:space="preserve"> the use of a mobile phone (mobile phone calls, text messages over mobile and communications apps).</w:t>
      </w:r>
      <w:r>
        <w:rPr>
          <w:rStyle w:val="EndnoteReference"/>
        </w:rPr>
        <w:endnoteReference w:id="144"/>
      </w:r>
    </w:p>
    <w:p w14:paraId="788ACEF3" w14:textId="77777777" w:rsidR="00A54053" w:rsidRDefault="00A54053" w:rsidP="00571ADC">
      <w:pPr>
        <w:pStyle w:val="ACMAFigureHeader"/>
        <w:keepNext/>
      </w:pPr>
      <w:r w:rsidRPr="002C3023">
        <w:t>Figure 2.1</w:t>
      </w:r>
      <w:r w:rsidRPr="002C3023">
        <w:tab/>
      </w:r>
      <w:r w:rsidR="00217CBF">
        <w:t xml:space="preserve">How </w:t>
      </w:r>
      <w:r w:rsidR="00370B30">
        <w:t>Australians communicate</w:t>
      </w:r>
      <w:r w:rsidR="00217CBF">
        <w:t>, by service</w:t>
      </w:r>
      <w:r>
        <w:t xml:space="preserve"> </w:t>
      </w:r>
      <w:r w:rsidRPr="002C3023">
        <w:t>(percentage)</w:t>
      </w:r>
    </w:p>
    <w:p w14:paraId="00322DE7" w14:textId="77777777" w:rsidR="000A1CD9" w:rsidRPr="00D609AB" w:rsidRDefault="00964805" w:rsidP="00DB102D">
      <w:pPr>
        <w:keepNext/>
        <w:keepLines/>
        <w:spacing w:after="120"/>
        <w:ind w:left="1021" w:hanging="1021"/>
        <w:rPr>
          <w:b/>
          <w:bCs/>
          <w:color w:val="323232"/>
          <w:szCs w:val="20"/>
        </w:rPr>
      </w:pPr>
      <w:r>
        <w:rPr>
          <w:b/>
          <w:bCs/>
          <w:noProof/>
          <w:color w:val="323232"/>
          <w:szCs w:val="20"/>
        </w:rPr>
        <w:drawing>
          <wp:inline distT="0" distB="0" distL="0" distR="0" wp14:anchorId="1506D226" wp14:editId="2A4680E6">
            <wp:extent cx="6147881" cy="5562994"/>
            <wp:effectExtent l="0" t="0" r="5715" b="0"/>
            <wp:docPr id="3" name="Picture 3" descr="Data for Figure 2.1 is in the .ods file for Chapter 2 on the landing page ‘Communications report 2016-17’, available from the ACMA website." title="Figure 2.1  How Australians communicate, by servic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hapter 2_Figure 2.1.png"/>
                    <pic:cNvPicPr/>
                  </pic:nvPicPr>
                  <pic:blipFill>
                    <a:blip r:embed="rId65">
                      <a:extLst>
                        <a:ext uri="{28A0092B-C50C-407E-A947-70E740481C1C}">
                          <a14:useLocalDpi xmlns:a14="http://schemas.microsoft.com/office/drawing/2010/main" val="0"/>
                        </a:ext>
                      </a:extLst>
                    </a:blip>
                    <a:stretch>
                      <a:fillRect/>
                    </a:stretch>
                  </pic:blipFill>
                  <pic:spPr>
                    <a:xfrm>
                      <a:off x="0" y="0"/>
                      <a:ext cx="6151199" cy="5565997"/>
                    </a:xfrm>
                    <a:prstGeom prst="rect">
                      <a:avLst/>
                    </a:prstGeom>
                  </pic:spPr>
                </pic:pic>
              </a:graphicData>
            </a:graphic>
          </wp:inline>
        </w:drawing>
      </w:r>
    </w:p>
    <w:p w14:paraId="2017A081" w14:textId="77777777" w:rsidR="00A54053" w:rsidRPr="005C2B81" w:rsidRDefault="00A54053" w:rsidP="005030FF">
      <w:pPr>
        <w:pStyle w:val="ACMANotes"/>
        <w:spacing w:before="240"/>
      </w:pPr>
      <w:r w:rsidRPr="005C2B81">
        <w:t>*Data not available</w:t>
      </w:r>
      <w:r>
        <w:t xml:space="preserve"> prior to June 2017.</w:t>
      </w:r>
    </w:p>
    <w:p w14:paraId="45754770" w14:textId="77777777" w:rsidR="00A54053" w:rsidRPr="00D323D3" w:rsidRDefault="00A54053" w:rsidP="00A54053">
      <w:pPr>
        <w:pStyle w:val="ACMANotes"/>
      </w:pPr>
      <w:r w:rsidRPr="00D323D3">
        <w:t>Base: Australians aged 18 and over.</w:t>
      </w:r>
    </w:p>
    <w:p w14:paraId="3F425BFE" w14:textId="5101E6F7" w:rsidR="00A54053" w:rsidRPr="00D323D3" w:rsidRDefault="00A54053" w:rsidP="00A54053">
      <w:pPr>
        <w:pStyle w:val="ACMANotes"/>
      </w:pPr>
      <w:r w:rsidRPr="00D323D3">
        <w:t xml:space="preserve">Note: </w:t>
      </w:r>
      <w:r w:rsidR="005024A1" w:rsidRPr="005024A1">
        <w:t>The change</w:t>
      </w:r>
      <w:r w:rsidR="00493FF2">
        <w:t>s</w:t>
      </w:r>
      <w:r w:rsidR="005024A1" w:rsidRPr="005024A1">
        <w:t xml:space="preserve"> in me</w:t>
      </w:r>
      <w:r w:rsidR="00493FF2">
        <w:t>thodology in 2016 and 2017 mean</w:t>
      </w:r>
      <w:r w:rsidR="005024A1" w:rsidRPr="005024A1">
        <w:t xml:space="preserve"> that some differences between these years may be explained by the methodology rather than any significant difference.</w:t>
      </w:r>
      <w:r w:rsidRPr="00D323D3">
        <w:t xml:space="preserve"> </w:t>
      </w:r>
      <w:r w:rsidRPr="00897528">
        <w:t>Roy Morgan Research changed methodology for this question in 2013</w:t>
      </w:r>
      <w:r w:rsidR="00AF579D">
        <w:t>—</w:t>
      </w:r>
      <w:r w:rsidR="00493FF2">
        <w:br/>
      </w:r>
      <w:r>
        <w:t>fixed-line telephone figures refer to those who own a fixed-line service.</w:t>
      </w:r>
    </w:p>
    <w:p w14:paraId="6FD003F9" w14:textId="77777777" w:rsidR="00A54053" w:rsidRPr="00C559CD" w:rsidRDefault="00A54053" w:rsidP="00571ADC">
      <w:pPr>
        <w:pStyle w:val="ACMANotesspaceafter"/>
        <w:spacing w:after="360"/>
      </w:pPr>
      <w:r w:rsidRPr="00D323D3">
        <w:t>Source: ACMA-commissioned surveys, May 2013, 2014, 2015</w:t>
      </w:r>
      <w:r w:rsidR="00AF579D">
        <w:t>,</w:t>
      </w:r>
      <w:r w:rsidRPr="00D323D3">
        <w:t xml:space="preserve"> and June 2016 and 2017 (Mobile phone call, Email, Text from mobile </w:t>
      </w:r>
      <w:r w:rsidRPr="009C56E9">
        <w:t>phone, Social networking and Instant messaging), in the six months to June of each year</w:t>
      </w:r>
      <w:r w:rsidR="00AF579D">
        <w:t>,</w:t>
      </w:r>
      <w:r w:rsidRPr="009C56E9">
        <w:t xml:space="preserve"> and Roy Morgan Single Source (Fixed-line </w:t>
      </w:r>
      <w:r>
        <w:t>tele</w:t>
      </w:r>
      <w:r w:rsidRPr="009C56E9">
        <w:t xml:space="preserve">phone), in the </w:t>
      </w:r>
      <w:r w:rsidR="00AF579D">
        <w:t>12</w:t>
      </w:r>
      <w:r w:rsidR="00AF579D" w:rsidRPr="009C56E9">
        <w:t xml:space="preserve"> </w:t>
      </w:r>
      <w:r w:rsidRPr="009C56E9">
        <w:t>months to June of each year.</w:t>
      </w:r>
      <w:r>
        <w:t xml:space="preserve"> </w:t>
      </w:r>
    </w:p>
    <w:p w14:paraId="1A356C75" w14:textId="77777777" w:rsidR="00A54053" w:rsidRPr="004A2014" w:rsidRDefault="00A54053" w:rsidP="00A54053">
      <w:pPr>
        <w:pStyle w:val="Heading2"/>
        <w:numPr>
          <w:ilvl w:val="1"/>
          <w:numId w:val="16"/>
        </w:numPr>
        <w:ind w:hanging="792"/>
      </w:pPr>
      <w:bookmarkStart w:id="842" w:name="_Toc494799391"/>
      <w:bookmarkStart w:id="843" w:name="_Toc494805694"/>
      <w:bookmarkStart w:id="844" w:name="_Toc494805923"/>
      <w:bookmarkStart w:id="845" w:name="_Toc494808153"/>
      <w:bookmarkStart w:id="846" w:name="_Toc494808807"/>
      <w:bookmarkStart w:id="847" w:name="_Toc494815962"/>
      <w:bookmarkStart w:id="848" w:name="_Toc494818821"/>
      <w:bookmarkStart w:id="849" w:name="_Toc494819088"/>
      <w:bookmarkStart w:id="850" w:name="_Toc500320902"/>
      <w:r w:rsidRPr="004A2014">
        <w:t>Internet access</w:t>
      </w:r>
      <w:bookmarkEnd w:id="842"/>
      <w:bookmarkEnd w:id="843"/>
      <w:bookmarkEnd w:id="844"/>
      <w:bookmarkEnd w:id="845"/>
      <w:bookmarkEnd w:id="846"/>
      <w:bookmarkEnd w:id="847"/>
      <w:bookmarkEnd w:id="848"/>
      <w:bookmarkEnd w:id="849"/>
      <w:bookmarkEnd w:id="850"/>
    </w:p>
    <w:p w14:paraId="0E8E87DE" w14:textId="77777777" w:rsidR="00A54053" w:rsidRPr="004A2014" w:rsidRDefault="00A54053" w:rsidP="00A54053">
      <w:pPr>
        <w:pStyle w:val="Heading3"/>
      </w:pPr>
      <w:bookmarkStart w:id="851" w:name="_Toc493663966"/>
      <w:r w:rsidRPr="004A2014">
        <w:t>Connectivity—take-up of the internet</w:t>
      </w:r>
      <w:bookmarkEnd w:id="851"/>
    </w:p>
    <w:p w14:paraId="0CFF0E71" w14:textId="7BE5C519" w:rsidR="00A54053" w:rsidRPr="004A2014" w:rsidRDefault="00A54053" w:rsidP="004C641E">
      <w:pPr>
        <w:keepNext/>
        <w:keepLines/>
      </w:pPr>
      <w:r w:rsidRPr="004A2014">
        <w:t>Internet access is available to Australians via a range of networks, devices and locations</w:t>
      </w:r>
      <w:r w:rsidR="00D91AF7">
        <w:t xml:space="preserve"> (see</w:t>
      </w:r>
      <w:r>
        <w:t xml:space="preserve"> Chapter</w:t>
      </w:r>
      <w:r w:rsidR="00D91AF7">
        <w:t> </w:t>
      </w:r>
      <w:r>
        <w:t>1</w:t>
      </w:r>
      <w:r w:rsidR="00D91AF7">
        <w:t>)</w:t>
      </w:r>
      <w:r w:rsidRPr="004A2014">
        <w:t xml:space="preserve">. </w:t>
      </w:r>
      <w:r>
        <w:t>At</w:t>
      </w:r>
      <w:r w:rsidRPr="004A2014">
        <w:t xml:space="preserve"> </w:t>
      </w:r>
      <w:r>
        <w:t>June</w:t>
      </w:r>
      <w:r w:rsidRPr="004A2014">
        <w:t xml:space="preserve"> 2017</w:t>
      </w:r>
      <w:r>
        <w:t>, 89</w:t>
      </w:r>
      <w:r w:rsidRPr="004A2014">
        <w:t xml:space="preserve"> per cent of </w:t>
      </w:r>
      <w:r>
        <w:t xml:space="preserve">Australian </w:t>
      </w:r>
      <w:r w:rsidRPr="004A2014">
        <w:t>adult</w:t>
      </w:r>
      <w:r>
        <w:t xml:space="preserve">s </w:t>
      </w:r>
      <w:r w:rsidR="00D91AF7">
        <w:t xml:space="preserve">had </w:t>
      </w:r>
      <w:r w:rsidRPr="004A2014">
        <w:t>accessed the internet</w:t>
      </w:r>
      <w:r>
        <w:t xml:space="preserve"> in the last six months</w:t>
      </w:r>
      <w:r w:rsidR="00D91AF7">
        <w:t>—</w:t>
      </w:r>
      <w:r>
        <w:t xml:space="preserve">almost universal access </w:t>
      </w:r>
      <w:r w:rsidR="00D83FF6">
        <w:t xml:space="preserve">among </w:t>
      </w:r>
      <w:r>
        <w:t xml:space="preserve">those aged </w:t>
      </w:r>
      <w:r w:rsidRPr="00C448F7">
        <w:t>18</w:t>
      </w:r>
      <w:r>
        <w:t>–</w:t>
      </w:r>
      <w:r w:rsidRPr="00C448F7">
        <w:t>64</w:t>
      </w:r>
      <w:r>
        <w:t xml:space="preserve"> (97 per cent) decreas</w:t>
      </w:r>
      <w:r w:rsidR="00D91AF7">
        <w:t>ed</w:t>
      </w:r>
      <w:r>
        <w:t xml:space="preserve"> to 62 per cent for those aged 65 and</w:t>
      </w:r>
      <w:r w:rsidR="00F2524A">
        <w:t> </w:t>
      </w:r>
      <w:r>
        <w:t>over</w:t>
      </w:r>
      <w:r w:rsidRPr="004A2014">
        <w:t>.</w:t>
      </w:r>
      <w:r w:rsidRPr="004A2014">
        <w:rPr>
          <w:vertAlign w:val="superscript"/>
        </w:rPr>
        <w:endnoteReference w:id="145"/>
      </w:r>
    </w:p>
    <w:p w14:paraId="2FD9C0C5" w14:textId="77777777" w:rsidR="00A54053" w:rsidRPr="00DD27B8" w:rsidRDefault="00CA208C" w:rsidP="00930BF6">
      <w:pPr>
        <w:keepNext/>
        <w:spacing w:after="80"/>
      </w:pPr>
      <w:r>
        <w:t>I</w:t>
      </w:r>
      <w:r w:rsidR="00A54053">
        <w:t xml:space="preserve">nternet connectivity </w:t>
      </w:r>
      <w:r>
        <w:t xml:space="preserve">trends </w:t>
      </w:r>
      <w:r w:rsidR="00A54053">
        <w:t>show</w:t>
      </w:r>
      <w:r>
        <w:t xml:space="preserve"> growing stability in </w:t>
      </w:r>
      <w:r w:rsidR="00A54053">
        <w:t xml:space="preserve">how Australians are accessing the </w:t>
      </w:r>
      <w:r w:rsidR="00A54053" w:rsidRPr="00DD27B8">
        <w:t xml:space="preserve">internet </w:t>
      </w:r>
      <w:r w:rsidR="00A54053">
        <w:t xml:space="preserve">at home </w:t>
      </w:r>
      <w:r w:rsidR="00A54053" w:rsidRPr="00DD27B8">
        <w:t xml:space="preserve">(Figure 2.2). In 2016–17: </w:t>
      </w:r>
    </w:p>
    <w:p w14:paraId="4FC5167D" w14:textId="77777777" w:rsidR="00A54053" w:rsidRPr="00DD27B8" w:rsidRDefault="00A54053">
      <w:pPr>
        <w:pStyle w:val="ListBullet"/>
      </w:pPr>
      <w:r w:rsidRPr="00DD27B8">
        <w:t xml:space="preserve">approximately 16 million </w:t>
      </w:r>
      <w:r>
        <w:t>adult Australians</w:t>
      </w:r>
      <w:r w:rsidRPr="00DD27B8">
        <w:t xml:space="preserve"> (86 per cent) had an internet connection in the home, similar to 201</w:t>
      </w:r>
      <w:r>
        <w:t>5</w:t>
      </w:r>
      <w:r w:rsidRPr="00DD27B8">
        <w:t>–1</w:t>
      </w:r>
      <w:r>
        <w:t xml:space="preserve">6 </w:t>
      </w:r>
      <w:r w:rsidR="00CA208C">
        <w:t>(</w:t>
      </w:r>
      <w:r>
        <w:t>8</w:t>
      </w:r>
      <w:r w:rsidRPr="00DD27B8">
        <w:t>5 per cent</w:t>
      </w:r>
      <w:r w:rsidR="00CA208C">
        <w:t>)</w:t>
      </w:r>
    </w:p>
    <w:p w14:paraId="56FC99D7" w14:textId="77777777" w:rsidR="00A54053" w:rsidRPr="00DD27B8" w:rsidRDefault="00A54053" w:rsidP="00F3697E">
      <w:pPr>
        <w:pStyle w:val="ListBullet"/>
      </w:pPr>
      <w:r w:rsidRPr="00DD27B8">
        <w:t>85 per cent</w:t>
      </w:r>
      <w:r w:rsidR="00DB0047">
        <w:t xml:space="preserve"> </w:t>
      </w:r>
      <w:r w:rsidR="001A18C4">
        <w:t>(</w:t>
      </w:r>
      <w:r w:rsidR="00491703">
        <w:t>16</w:t>
      </w:r>
      <w:r w:rsidR="009B0D8F">
        <w:t xml:space="preserve"> </w:t>
      </w:r>
      <w:r w:rsidR="001A18C4">
        <w:t xml:space="preserve">million) </w:t>
      </w:r>
      <w:r w:rsidRPr="00DD27B8">
        <w:t>had a home broadband connection—this figure has remained constant since 201</w:t>
      </w:r>
      <w:r>
        <w:t>5</w:t>
      </w:r>
      <w:r w:rsidRPr="00DD27B8">
        <w:t>–1</w:t>
      </w:r>
      <w:r>
        <w:t>6</w:t>
      </w:r>
      <w:r w:rsidRPr="00DD27B8">
        <w:t>, and reflects that almost all home internet connections are now broadband</w:t>
      </w:r>
    </w:p>
    <w:p w14:paraId="33A6C48B" w14:textId="77777777" w:rsidR="00A54053" w:rsidRPr="00A54053" w:rsidRDefault="00A54053" w:rsidP="00F3697E">
      <w:pPr>
        <w:pStyle w:val="ListBulletLast"/>
      </w:pPr>
      <w:r w:rsidRPr="00A54053">
        <w:t xml:space="preserve">75 per cent </w:t>
      </w:r>
      <w:r w:rsidR="009B0D8F" w:rsidRPr="00491703">
        <w:rPr>
          <w:szCs w:val="20"/>
        </w:rPr>
        <w:t>(</w:t>
      </w:r>
      <w:r w:rsidR="00491703" w:rsidRPr="00491703">
        <w:rPr>
          <w:rFonts w:cs="Arial"/>
          <w:szCs w:val="20"/>
        </w:rPr>
        <w:t>14</w:t>
      </w:r>
      <w:r w:rsidR="009B0D8F" w:rsidRPr="00491703">
        <w:rPr>
          <w:rFonts w:cs="Arial"/>
          <w:szCs w:val="20"/>
        </w:rPr>
        <w:t xml:space="preserve"> million)</w:t>
      </w:r>
      <w:r w:rsidR="009B0D8F">
        <w:rPr>
          <w:rFonts w:cs="Arial"/>
          <w:sz w:val="18"/>
          <w:szCs w:val="18"/>
        </w:rPr>
        <w:t xml:space="preserve"> </w:t>
      </w:r>
      <w:r w:rsidRPr="00A54053">
        <w:t xml:space="preserve">accessed the internet via a mobile phone. </w:t>
      </w:r>
    </w:p>
    <w:p w14:paraId="1FCED081" w14:textId="77777777" w:rsidR="00A54053" w:rsidRDefault="00A54053" w:rsidP="00571ADC">
      <w:pPr>
        <w:pStyle w:val="ACMAFigureHeader"/>
      </w:pPr>
      <w:r w:rsidRPr="00F06885">
        <w:t>Figure 2.</w:t>
      </w:r>
      <w:r>
        <w:t>2</w:t>
      </w:r>
      <w:r w:rsidRPr="00F06885">
        <w:tab/>
        <w:t xml:space="preserve">How </w:t>
      </w:r>
      <w:r>
        <w:t>Australians</w:t>
      </w:r>
      <w:r w:rsidRPr="00F06885">
        <w:t xml:space="preserve"> access the internet (percentage) </w:t>
      </w:r>
    </w:p>
    <w:p w14:paraId="5C21ADB1" w14:textId="77777777" w:rsidR="000A1CD9" w:rsidRPr="00D609AB" w:rsidRDefault="00964805" w:rsidP="00571ADC">
      <w:pPr>
        <w:keepNext/>
        <w:spacing w:after="0"/>
        <w:rPr>
          <w:b/>
          <w:bCs/>
          <w:color w:val="323232"/>
          <w:szCs w:val="20"/>
        </w:rPr>
      </w:pPr>
      <w:r>
        <w:rPr>
          <w:b/>
          <w:bCs/>
          <w:noProof/>
          <w:color w:val="323232"/>
          <w:szCs w:val="20"/>
        </w:rPr>
        <w:drawing>
          <wp:inline distT="0" distB="0" distL="0" distR="0" wp14:anchorId="66542160" wp14:editId="2D488CAD">
            <wp:extent cx="6157608" cy="3786402"/>
            <wp:effectExtent l="0" t="0" r="0" b="5080"/>
            <wp:docPr id="9" name="Picture 9" descr="Data for Figure 2.2 is in the .ods file for Chapter 2 on the landing page ‘Communications report 2016-17’, available from the ACMA website." title="Figure 2.2  How Australians access the internet (percent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hapter 2_Figure 2.2.png"/>
                    <pic:cNvPicPr/>
                  </pic:nvPicPr>
                  <pic:blipFill rotWithShape="1">
                    <a:blip r:embed="rId66">
                      <a:extLst>
                        <a:ext uri="{28A0092B-C50C-407E-A947-70E740481C1C}">
                          <a14:useLocalDpi xmlns:a14="http://schemas.microsoft.com/office/drawing/2010/main" val="0"/>
                        </a:ext>
                      </a:extLst>
                    </a:blip>
                    <a:srcRect r="4859"/>
                    <a:stretch/>
                  </pic:blipFill>
                  <pic:spPr bwMode="auto">
                    <a:xfrm>
                      <a:off x="0" y="0"/>
                      <a:ext cx="6168281" cy="3792965"/>
                    </a:xfrm>
                    <a:prstGeom prst="rect">
                      <a:avLst/>
                    </a:prstGeom>
                    <a:ln>
                      <a:noFill/>
                    </a:ln>
                    <a:extLst>
                      <a:ext uri="{53640926-AAD7-44D8-BBD7-CCE9431645EC}">
                        <a14:shadowObscured xmlns:a14="http://schemas.microsoft.com/office/drawing/2010/main"/>
                      </a:ext>
                    </a:extLst>
                  </pic:spPr>
                </pic:pic>
              </a:graphicData>
            </a:graphic>
          </wp:inline>
        </w:drawing>
      </w:r>
    </w:p>
    <w:p w14:paraId="13114E6C" w14:textId="77777777" w:rsidR="00A54053" w:rsidRPr="00D851EB" w:rsidRDefault="00A54053" w:rsidP="005030FF">
      <w:pPr>
        <w:pStyle w:val="ACMANotes"/>
        <w:keepNext/>
        <w:keepLines/>
        <w:spacing w:before="240"/>
      </w:pPr>
      <w:r w:rsidRPr="00D851EB">
        <w:t>*Includes ADSL, cable, fibre, satellite, fixed wireless, mobile wireless internet services—using dongles, datacards or USB modems. It excludes mobile handset internet.</w:t>
      </w:r>
    </w:p>
    <w:p w14:paraId="19FA4706" w14:textId="77777777" w:rsidR="00A54053" w:rsidRPr="00D851EB" w:rsidRDefault="00A54053" w:rsidP="00A54053">
      <w:pPr>
        <w:pStyle w:val="ACMANotes"/>
        <w:keepNext/>
        <w:keepLines/>
      </w:pPr>
      <w:r w:rsidRPr="00D851EB">
        <w:rPr>
          <w:vertAlign w:val="superscript"/>
        </w:rPr>
        <w:t>†</w:t>
      </w:r>
      <w:r w:rsidRPr="00D851EB">
        <w:t>Relates to use of the internet via a mobile phone handset in the six months to June.</w:t>
      </w:r>
    </w:p>
    <w:p w14:paraId="31837717" w14:textId="77777777" w:rsidR="00A54053" w:rsidRPr="00D851EB" w:rsidRDefault="00A54053" w:rsidP="00A54053">
      <w:pPr>
        <w:pStyle w:val="ACMANotes"/>
        <w:keepNext/>
        <w:keepLines/>
      </w:pPr>
      <w:r w:rsidRPr="00D851EB">
        <w:t>Base: Australians aged 18 and over.</w:t>
      </w:r>
    </w:p>
    <w:p w14:paraId="1B7C72E4" w14:textId="65870998" w:rsidR="00A54053" w:rsidRPr="005024A1" w:rsidRDefault="00A54053" w:rsidP="005024A1">
      <w:pPr>
        <w:pStyle w:val="ACMANotes"/>
      </w:pPr>
      <w:r w:rsidRPr="00A02296">
        <w:t>Note</w:t>
      </w:r>
      <w:r w:rsidR="00F2524A">
        <w:t xml:space="preserve"> 1</w:t>
      </w:r>
      <w:r w:rsidRPr="00A02296">
        <w:t xml:space="preserve">: </w:t>
      </w:r>
      <w:r w:rsidR="005024A1" w:rsidRPr="005024A1">
        <w:t>The change</w:t>
      </w:r>
      <w:r w:rsidR="00493FF2">
        <w:t>s</w:t>
      </w:r>
      <w:r w:rsidR="005024A1" w:rsidRPr="005024A1">
        <w:t xml:space="preserve"> in me</w:t>
      </w:r>
      <w:r w:rsidR="00493FF2">
        <w:t>thodology in 2016 and 2017 mean</w:t>
      </w:r>
      <w:r w:rsidR="005024A1" w:rsidRPr="005024A1">
        <w:t xml:space="preserve"> that some differences between these years may be explained by the methodology rather than any significant difference.</w:t>
      </w:r>
    </w:p>
    <w:p w14:paraId="10505DE3" w14:textId="53085826" w:rsidR="00A54053" w:rsidRPr="00923CCC" w:rsidRDefault="00F2524A" w:rsidP="00A54053">
      <w:pPr>
        <w:pStyle w:val="ACMANotes"/>
        <w:keepNext/>
        <w:keepLines/>
      </w:pPr>
      <w:r>
        <w:t xml:space="preserve">Note 2: </w:t>
      </w:r>
      <w:r w:rsidR="00A54053" w:rsidRPr="00923CCC">
        <w:t>June 2014, 2015, 2016 and 2017 broadband definitions include ADSL, cable, NBN, USB modem, portable Wi-Fi modem, SIM card for tablet, internet key. June 2014, 2015, 2016 and 2017 internet definitions include ADSL, cable, NBN, USB modem, portable Wi-Fi modem, SIM card for tablet, internet key and dial-up.</w:t>
      </w:r>
    </w:p>
    <w:p w14:paraId="762E84C2" w14:textId="77777777" w:rsidR="000A1CD9" w:rsidRDefault="00A54053" w:rsidP="00571ADC">
      <w:pPr>
        <w:pStyle w:val="ACMANotesspaceafter"/>
        <w:spacing w:after="360"/>
      </w:pPr>
      <w:r w:rsidRPr="00D67323">
        <w:t>Source: Roy Morgan Single Source Australians aged 18+ with an internet connection at home in the 12 months to June of each year</w:t>
      </w:r>
      <w:r w:rsidR="00D508FE">
        <w:t xml:space="preserve">, </w:t>
      </w:r>
      <w:r w:rsidRPr="00D67323">
        <w:t>and ACMA-commissioned survey (used the internet via a mobile phone) in the six months to June of each year.</w:t>
      </w:r>
    </w:p>
    <w:p w14:paraId="71A808A0" w14:textId="77777777" w:rsidR="00821521" w:rsidRPr="00E814FC" w:rsidRDefault="00821521" w:rsidP="004C641E">
      <w:pPr>
        <w:pStyle w:val="Heading3"/>
        <w:keepLines/>
      </w:pPr>
      <w:r w:rsidRPr="00E814FC">
        <w:t>Frequency of internet use</w:t>
      </w:r>
    </w:p>
    <w:p w14:paraId="565FCF98" w14:textId="77777777" w:rsidR="00821521" w:rsidRPr="00CA12EF" w:rsidRDefault="00821521" w:rsidP="004C641E">
      <w:pPr>
        <w:keepNext/>
        <w:keepLines/>
      </w:pPr>
      <w:r w:rsidRPr="006E287E">
        <w:t xml:space="preserve">The majority of </w:t>
      </w:r>
      <w:r>
        <w:t>Australian adults</w:t>
      </w:r>
      <w:r w:rsidRPr="00CA12EF">
        <w:t xml:space="preserve"> are frequent internet users</w:t>
      </w:r>
      <w:r>
        <w:t>,</w:t>
      </w:r>
      <w:r w:rsidRPr="00CA12EF">
        <w:t xml:space="preserve"> access</w:t>
      </w:r>
      <w:r>
        <w:t>ing</w:t>
      </w:r>
      <w:r w:rsidRPr="00CA12EF">
        <w:t xml:space="preserve"> the internet several times a day. At June 2017, 13.4 million (71 per cent) went online three or more times a day, an increase of three percentage points from June 2016. Frequency of use was directly proportional to age—91 per cent of Australians aged 18 to 24 used the internet three or more times a day, while only 38 per cent of </w:t>
      </w:r>
      <w:r>
        <w:t>those</w:t>
      </w:r>
      <w:r w:rsidRPr="00CA12EF">
        <w:t xml:space="preserve"> aged 65 and over went online three or more times a day.</w:t>
      </w:r>
    </w:p>
    <w:p w14:paraId="34ABE298" w14:textId="77777777" w:rsidR="00D67323" w:rsidRPr="007576A6" w:rsidRDefault="00D67323" w:rsidP="00D67323">
      <w:pPr>
        <w:pStyle w:val="Heading3"/>
      </w:pPr>
      <w:bookmarkStart w:id="852" w:name="_Toc494799393"/>
      <w:bookmarkStart w:id="853" w:name="_Toc494805696"/>
      <w:bookmarkStart w:id="854" w:name="_Toc494805925"/>
      <w:bookmarkStart w:id="855" w:name="_Toc494808155"/>
      <w:bookmarkStart w:id="856" w:name="_Toc494808809"/>
      <w:bookmarkStart w:id="857" w:name="_Toc494815964"/>
      <w:bookmarkStart w:id="858" w:name="_Toc494818823"/>
      <w:bookmarkStart w:id="859" w:name="_Toc494819090"/>
      <w:r w:rsidRPr="007576A6">
        <w:t>Offline Australians</w:t>
      </w:r>
      <w:bookmarkEnd w:id="852"/>
      <w:bookmarkEnd w:id="853"/>
      <w:bookmarkEnd w:id="854"/>
      <w:bookmarkEnd w:id="855"/>
      <w:bookmarkEnd w:id="856"/>
      <w:bookmarkEnd w:id="857"/>
      <w:bookmarkEnd w:id="858"/>
      <w:bookmarkEnd w:id="859"/>
      <w:r w:rsidRPr="007576A6">
        <w:t xml:space="preserve"> </w:t>
      </w:r>
    </w:p>
    <w:p w14:paraId="4120BC08" w14:textId="0DE6B959" w:rsidR="00D67323" w:rsidRDefault="00D67323" w:rsidP="00D67323">
      <w:r>
        <w:t>In the six months to June</w:t>
      </w:r>
      <w:r w:rsidRPr="007576A6">
        <w:t xml:space="preserve"> 2017, 89 per cent of </w:t>
      </w:r>
      <w:r>
        <w:t>Australian adults</w:t>
      </w:r>
      <w:r w:rsidRPr="007576A6">
        <w:t xml:space="preserve"> accessed the internet. This means an estimated </w:t>
      </w:r>
      <w:r w:rsidR="00D508FE">
        <w:t>11 </w:t>
      </w:r>
      <w:r w:rsidRPr="007576A6">
        <w:t xml:space="preserve">per cent had </w:t>
      </w:r>
      <w:r w:rsidRPr="007576A6">
        <w:rPr>
          <w:i/>
        </w:rPr>
        <w:t>not</w:t>
      </w:r>
      <w:r w:rsidRPr="007576A6">
        <w:t xml:space="preserve"> been online during that period</w:t>
      </w:r>
      <w:r>
        <w:t>, a figure that</w:t>
      </w:r>
      <w:r w:rsidRPr="007576A6">
        <w:t xml:space="preserve"> has</w:t>
      </w:r>
      <w:r>
        <w:t xml:space="preserve"> remained stable since June 2016</w:t>
      </w:r>
      <w:r w:rsidRPr="007576A6">
        <w:t>.</w:t>
      </w:r>
      <w:r w:rsidRPr="007576A6">
        <w:rPr>
          <w:vertAlign w:val="superscript"/>
        </w:rPr>
        <w:endnoteReference w:id="146"/>
      </w:r>
      <w:r w:rsidRPr="007576A6">
        <w:t xml:space="preserve"> </w:t>
      </w:r>
      <w:r>
        <w:t>Propensity to not access the internet was</w:t>
      </w:r>
      <w:r w:rsidRPr="00457A44">
        <w:t xml:space="preserve"> directly proportional to age</w:t>
      </w:r>
      <w:r w:rsidR="00B26C0C">
        <w:t>—a</w:t>
      </w:r>
      <w:r w:rsidR="00832B01">
        <w:t>ll Australians aged 18–34 had accessed the internet</w:t>
      </w:r>
      <w:r w:rsidR="00B26C0C">
        <w:t>, while t</w:t>
      </w:r>
      <w:r w:rsidR="00C65F83">
        <w:t xml:space="preserve">wo per cent </w:t>
      </w:r>
      <w:r w:rsidR="00832B01">
        <w:t xml:space="preserve">(58,371) </w:t>
      </w:r>
      <w:r w:rsidR="00C65F83">
        <w:t xml:space="preserve">of </w:t>
      </w:r>
      <w:r w:rsidR="00B26C0C">
        <w:t xml:space="preserve">those </w:t>
      </w:r>
      <w:r w:rsidR="00C65F83">
        <w:t>aged 35</w:t>
      </w:r>
      <w:r w:rsidR="00B26C0C">
        <w:t>–</w:t>
      </w:r>
      <w:r w:rsidR="00C65F83">
        <w:t>44 had not accesse</w:t>
      </w:r>
      <w:r w:rsidR="00B26C0C">
        <w:t>d</w:t>
      </w:r>
      <w:r w:rsidR="00C65F83">
        <w:t xml:space="preserve"> the internet</w:t>
      </w:r>
      <w:r w:rsidR="00B26C0C">
        <w:t>,</w:t>
      </w:r>
      <w:r w:rsidR="00832B01">
        <w:t xml:space="preserve"> with the proportion increasing to 38 per cent (1.51 million) of those aged 65 and over</w:t>
      </w:r>
      <w:r w:rsidR="00446F50">
        <w:t>.</w:t>
      </w:r>
      <w:r w:rsidR="00832B01">
        <w:t xml:space="preserve"> </w:t>
      </w:r>
    </w:p>
    <w:p w14:paraId="1FDA5E71" w14:textId="77777777" w:rsidR="00D67323" w:rsidRPr="00D71312" w:rsidRDefault="007F3C1B" w:rsidP="00D67323">
      <w:pPr>
        <w:pStyle w:val="Heading3"/>
      </w:pPr>
      <w:bookmarkStart w:id="860" w:name="_Toc494799394"/>
      <w:bookmarkStart w:id="861" w:name="_Toc494805697"/>
      <w:bookmarkStart w:id="862" w:name="_Toc494805926"/>
      <w:bookmarkStart w:id="863" w:name="_Toc494808156"/>
      <w:bookmarkStart w:id="864" w:name="_Toc494808810"/>
      <w:bookmarkStart w:id="865" w:name="_Toc494815965"/>
      <w:bookmarkStart w:id="866" w:name="_Toc494818824"/>
      <w:bookmarkStart w:id="867" w:name="_Toc494819091"/>
      <w:r>
        <w:t xml:space="preserve">Using multiple </w:t>
      </w:r>
      <w:r w:rsidR="00D67323" w:rsidRPr="00D71312">
        <w:t>devices</w:t>
      </w:r>
      <w:bookmarkEnd w:id="860"/>
      <w:bookmarkEnd w:id="861"/>
      <w:bookmarkEnd w:id="862"/>
      <w:bookmarkEnd w:id="863"/>
      <w:bookmarkEnd w:id="864"/>
      <w:bookmarkEnd w:id="865"/>
      <w:bookmarkEnd w:id="866"/>
      <w:bookmarkEnd w:id="867"/>
      <w:r>
        <w:t xml:space="preserve"> to go online</w:t>
      </w:r>
    </w:p>
    <w:p w14:paraId="1765DF3C" w14:textId="018730E4" w:rsidR="000A1CD9" w:rsidRPr="00D67323" w:rsidRDefault="00D67323" w:rsidP="00D67323">
      <w:r w:rsidRPr="00ED7932">
        <w:t>At June 2017</w:t>
      </w:r>
      <w:r>
        <w:t>, Australia</w:t>
      </w:r>
      <w:r w:rsidR="009718DF">
        <w:t>n</w:t>
      </w:r>
      <w:r>
        <w:t xml:space="preserve"> internet users </w:t>
      </w:r>
      <w:r w:rsidRPr="00421915">
        <w:t>ha</w:t>
      </w:r>
      <w:r>
        <w:t>d</w:t>
      </w:r>
      <w:r w:rsidRPr="00421915">
        <w:t xml:space="preserve"> a multitude of </w:t>
      </w:r>
      <w:r>
        <w:t xml:space="preserve">internet access </w:t>
      </w:r>
      <w:r w:rsidRPr="00421915">
        <w:t xml:space="preserve">devices </w:t>
      </w:r>
      <w:r w:rsidR="007F3C1B">
        <w:t xml:space="preserve">from which </w:t>
      </w:r>
      <w:r w:rsidRPr="00421915">
        <w:t xml:space="preserve">to choose </w:t>
      </w:r>
      <w:r w:rsidRPr="00ED7932">
        <w:t>(Figure 2.</w:t>
      </w:r>
      <w:r>
        <w:t>3</w:t>
      </w:r>
      <w:r w:rsidRPr="00ED7932">
        <w:t xml:space="preserve">). </w:t>
      </w:r>
      <w:r>
        <w:t xml:space="preserve">The mobile </w:t>
      </w:r>
      <w:r w:rsidRPr="00ED7932">
        <w:t xml:space="preserve">phone </w:t>
      </w:r>
      <w:r>
        <w:t>was</w:t>
      </w:r>
      <w:r w:rsidRPr="00ED7932">
        <w:t xml:space="preserve"> the most popular device used to go online (84 per cent of </w:t>
      </w:r>
      <w:r>
        <w:t>adult internet users</w:t>
      </w:r>
      <w:r w:rsidRPr="00ED7932">
        <w:t>), followed by laptop computers (69 per cent</w:t>
      </w:r>
      <w:r w:rsidRPr="00421915">
        <w:t>), desktop computers (54 per cent) and tablet</w:t>
      </w:r>
      <w:r w:rsidR="00446F50">
        <w:t> </w:t>
      </w:r>
      <w:r w:rsidRPr="00421915">
        <w:t>computers (50</w:t>
      </w:r>
      <w:r>
        <w:t xml:space="preserve"> per cent). Australians increasingly used televisions and smart televisions to access the internet</w:t>
      </w:r>
      <w:r w:rsidRPr="00457A44">
        <w:t>—</w:t>
      </w:r>
      <w:r>
        <w:t>35 per cent of online Australians used their television to go online in the six months to June</w:t>
      </w:r>
      <w:r w:rsidR="00446F50">
        <w:t> </w:t>
      </w:r>
      <w:r w:rsidRPr="00D67323">
        <w:t>2017</w:t>
      </w:r>
      <w:r w:rsidR="000A1CD9" w:rsidRPr="00D67323">
        <w:t>.</w:t>
      </w:r>
      <w:bookmarkStart w:id="868" w:name="_Toc348105634"/>
      <w:bookmarkStart w:id="869" w:name="_Toc286994477"/>
    </w:p>
    <w:bookmarkEnd w:id="868"/>
    <w:bookmarkEnd w:id="869"/>
    <w:p w14:paraId="3A31AD88" w14:textId="77777777" w:rsidR="00D67323" w:rsidRDefault="00D67323" w:rsidP="00571ADC">
      <w:pPr>
        <w:pStyle w:val="ACMAFigureHeader"/>
        <w:keepNext/>
      </w:pPr>
      <w:r w:rsidRPr="00ED7932">
        <w:t>Figure 2.</w:t>
      </w:r>
      <w:r>
        <w:t>3</w:t>
      </w:r>
      <w:r w:rsidRPr="00ED7932">
        <w:tab/>
      </w:r>
      <w:r w:rsidR="007F3C1B">
        <w:t xml:space="preserve">How </w:t>
      </w:r>
      <w:r>
        <w:t>Australian internet users go online</w:t>
      </w:r>
      <w:r w:rsidR="00DB7000">
        <w:t>, by device</w:t>
      </w:r>
      <w:r w:rsidRPr="00ED7932">
        <w:t xml:space="preserve"> (percentage)</w:t>
      </w:r>
    </w:p>
    <w:p w14:paraId="1EDAFEBE" w14:textId="77777777" w:rsidR="00D67323" w:rsidRDefault="00D67323" w:rsidP="00571ADC">
      <w:pPr>
        <w:pStyle w:val="ACMAFigureHeader"/>
        <w:keepNext/>
        <w:spacing w:after="0"/>
      </w:pPr>
      <w:r>
        <w:rPr>
          <w:noProof/>
        </w:rPr>
        <w:drawing>
          <wp:inline distT="0" distB="0" distL="0" distR="0" wp14:anchorId="17117D19" wp14:editId="06E62A7D">
            <wp:extent cx="6109390" cy="2828276"/>
            <wp:effectExtent l="0" t="0" r="5715" b="0"/>
            <wp:docPr id="30" name="Picture 30" descr="Data for Figure 2.3 is in the .ods file for Chapter 2 on the landing page ‘Communications report 2016-17’, available from the ACMA website." title="Figure 2.3  How Australian internet users go online, by devic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hapter 2_Figure 2.3.png"/>
                    <pic:cNvPicPr/>
                  </pic:nvPicPr>
                  <pic:blipFill rotWithShape="1">
                    <a:blip r:embed="rId67">
                      <a:extLst>
                        <a:ext uri="{28A0092B-C50C-407E-A947-70E740481C1C}">
                          <a14:useLocalDpi xmlns:a14="http://schemas.microsoft.com/office/drawing/2010/main" val="0"/>
                        </a:ext>
                      </a:extLst>
                    </a:blip>
                    <a:srcRect/>
                    <a:stretch/>
                  </pic:blipFill>
                  <pic:spPr bwMode="auto">
                    <a:xfrm>
                      <a:off x="0" y="0"/>
                      <a:ext cx="6116719" cy="2831669"/>
                    </a:xfrm>
                    <a:prstGeom prst="rect">
                      <a:avLst/>
                    </a:prstGeom>
                    <a:ln>
                      <a:noFill/>
                    </a:ln>
                    <a:extLst>
                      <a:ext uri="{53640926-AAD7-44D8-BBD7-CCE9431645EC}">
                        <a14:shadowObscured xmlns:a14="http://schemas.microsoft.com/office/drawing/2010/main"/>
                      </a:ext>
                    </a:extLst>
                  </pic:spPr>
                </pic:pic>
              </a:graphicData>
            </a:graphic>
          </wp:inline>
        </w:drawing>
      </w:r>
    </w:p>
    <w:p w14:paraId="526B8BAD" w14:textId="77777777" w:rsidR="00D67323" w:rsidRPr="000F784A" w:rsidRDefault="00D67323" w:rsidP="005030FF">
      <w:pPr>
        <w:pStyle w:val="ACMANotes"/>
        <w:spacing w:before="240"/>
      </w:pPr>
      <w:r w:rsidRPr="000F784A">
        <w:t>Base: Australians aged 18 and over who accessed the internet</w:t>
      </w:r>
      <w:r>
        <w:t xml:space="preserve"> in the last six months.</w:t>
      </w:r>
    </w:p>
    <w:p w14:paraId="02DA3EB9" w14:textId="77777777" w:rsidR="00D67323" w:rsidRPr="00C559CD" w:rsidRDefault="00D67323" w:rsidP="00571ADC">
      <w:pPr>
        <w:pStyle w:val="ACMANotesspaceafter"/>
        <w:spacing w:after="360"/>
      </w:pPr>
      <w:r w:rsidRPr="000F784A">
        <w:t xml:space="preserve">Source: ACMA-commissioned survey, </w:t>
      </w:r>
      <w:r>
        <w:t xml:space="preserve">June 2017. </w:t>
      </w:r>
    </w:p>
    <w:p w14:paraId="09A4EEA4" w14:textId="77777777" w:rsidR="00D67323" w:rsidRDefault="00D67323" w:rsidP="00D67323">
      <w:pPr>
        <w:pStyle w:val="ACMASpaceaftertable"/>
      </w:pPr>
      <w:r w:rsidRPr="00ED4F7C">
        <w:t>In addition to being the most popular device, the mobile phone was also the most frequently used device to access the internet (Figure 2.</w:t>
      </w:r>
      <w:r>
        <w:t>4</w:t>
      </w:r>
      <w:r w:rsidRPr="00ED4F7C">
        <w:t xml:space="preserve">). </w:t>
      </w:r>
      <w:r>
        <w:t>At</w:t>
      </w:r>
      <w:r w:rsidRPr="00ED4F7C">
        <w:t xml:space="preserve"> June 2017, over three</w:t>
      </w:r>
      <w:r w:rsidR="00AD420E">
        <w:t>-</w:t>
      </w:r>
      <w:r w:rsidRPr="00ED4F7C">
        <w:t>quarters (79 per cent) of online Australians used their mobile phone multiple times a day to access the internet</w:t>
      </w:r>
      <w:r>
        <w:t xml:space="preserve"> and </w:t>
      </w:r>
      <w:r w:rsidRPr="00ED4F7C">
        <w:t xml:space="preserve">90 </w:t>
      </w:r>
      <w:r w:rsidRPr="00C448F7">
        <w:t>per cent used it to go online at least once a day. Online Australians aged 18</w:t>
      </w:r>
      <w:r>
        <w:t>–</w:t>
      </w:r>
      <w:r w:rsidRPr="00C448F7">
        <w:t>64 (82 per cent) were significantly more likely to use a mobile phone to access the internet multiple times a day than those aged 65 and over (46 per cent).</w:t>
      </w:r>
      <w:r>
        <w:t xml:space="preserve"> </w:t>
      </w:r>
    </w:p>
    <w:p w14:paraId="1763BC3C" w14:textId="77777777" w:rsidR="00D67323" w:rsidRDefault="00D67323" w:rsidP="00F2524A">
      <w:pPr>
        <w:keepNext/>
        <w:keepLines/>
      </w:pPr>
      <w:r>
        <w:t>Although the laptop was the second</w:t>
      </w:r>
      <w:r w:rsidR="00C25065">
        <w:t>-</w:t>
      </w:r>
      <w:r>
        <w:t xml:space="preserve">most popular device to access the internet, it was used less often than both tablet and desktop computers. After the mobile phone, tablet computers were the </w:t>
      </w:r>
      <w:r w:rsidR="00C25065">
        <w:t xml:space="preserve">next </w:t>
      </w:r>
      <w:r>
        <w:t>most frequently used device to access the internet</w:t>
      </w:r>
      <w:r w:rsidRPr="00457A44">
        <w:t>—</w:t>
      </w:r>
      <w:r>
        <w:t>67 per cent of Australian adults used a tablet computer at least once a day to go online compared to 62 per cent who used their laptop.</w:t>
      </w:r>
    </w:p>
    <w:p w14:paraId="68390C2C" w14:textId="77777777" w:rsidR="00D67323" w:rsidRDefault="00D67323" w:rsidP="00571ADC">
      <w:pPr>
        <w:pStyle w:val="ACMAFigureHeader"/>
        <w:keepNext/>
        <w:ind w:left="1021" w:hanging="1021"/>
      </w:pPr>
      <w:r w:rsidRPr="00ED4F7C">
        <w:t>Figure 2.</w:t>
      </w:r>
      <w:r>
        <w:t>4</w:t>
      </w:r>
      <w:r w:rsidRPr="00ED4F7C">
        <w:tab/>
      </w:r>
      <w:r w:rsidR="00DB7000">
        <w:t>Most popular d</w:t>
      </w:r>
      <w:r w:rsidRPr="00ED4F7C">
        <w:t xml:space="preserve">evices </w:t>
      </w:r>
      <w:r w:rsidR="00C25065">
        <w:t>Australian</w:t>
      </w:r>
      <w:r w:rsidR="00DB7000">
        <w:t xml:space="preserve"> adults </w:t>
      </w:r>
      <w:r w:rsidRPr="00ED4F7C">
        <w:t xml:space="preserve">use </w:t>
      </w:r>
      <w:r>
        <w:t>to go online</w:t>
      </w:r>
      <w:r w:rsidRPr="00ED4F7C">
        <w:t xml:space="preserve"> (percentage)</w:t>
      </w:r>
    </w:p>
    <w:p w14:paraId="6F94E263" w14:textId="77777777" w:rsidR="00D67323" w:rsidRDefault="00D67323" w:rsidP="003F4708">
      <w:pPr>
        <w:spacing w:after="0"/>
      </w:pPr>
      <w:r>
        <w:rPr>
          <w:noProof/>
        </w:rPr>
        <w:drawing>
          <wp:inline distT="0" distB="0" distL="0" distR="0" wp14:anchorId="2A8A48EF" wp14:editId="4426A532">
            <wp:extent cx="5595203" cy="4083758"/>
            <wp:effectExtent l="0" t="0" r="5715" b="0"/>
            <wp:docPr id="31" name="Picture 31" descr="Data for Figure 2.4 is in the .ods file for Chapter 2 on the landing page ‘Communications report 2016-17’, available from the ACMA website." title="Figure 2.4  Most popular devices Australian adults use to go onlin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hapter 2_Figure 2.4.png"/>
                    <pic:cNvPicPr/>
                  </pic:nvPicPr>
                  <pic:blipFill rotWithShape="1">
                    <a:blip r:embed="rId68">
                      <a:extLst>
                        <a:ext uri="{28A0092B-C50C-407E-A947-70E740481C1C}">
                          <a14:useLocalDpi xmlns:a14="http://schemas.microsoft.com/office/drawing/2010/main" val="0"/>
                        </a:ext>
                      </a:extLst>
                    </a:blip>
                    <a:srcRect t="2110" r="14029" b="2596"/>
                    <a:stretch/>
                  </pic:blipFill>
                  <pic:spPr bwMode="auto">
                    <a:xfrm>
                      <a:off x="0" y="0"/>
                      <a:ext cx="5613757" cy="4097300"/>
                    </a:xfrm>
                    <a:prstGeom prst="rect">
                      <a:avLst/>
                    </a:prstGeom>
                    <a:ln>
                      <a:noFill/>
                    </a:ln>
                    <a:extLst>
                      <a:ext uri="{53640926-AAD7-44D8-BBD7-CCE9431645EC}">
                        <a14:shadowObscured xmlns:a14="http://schemas.microsoft.com/office/drawing/2010/main"/>
                      </a:ext>
                    </a:extLst>
                  </pic:spPr>
                </pic:pic>
              </a:graphicData>
            </a:graphic>
          </wp:inline>
        </w:drawing>
      </w:r>
    </w:p>
    <w:p w14:paraId="3DBDF5CA" w14:textId="77777777" w:rsidR="00D67323" w:rsidRDefault="00D67323" w:rsidP="005030FF">
      <w:pPr>
        <w:pStyle w:val="ACMANotes"/>
        <w:spacing w:before="240"/>
      </w:pPr>
      <w:r w:rsidRPr="00BF4D30">
        <w:t>Base: Australians aged 18 and over who accessed the internet.</w:t>
      </w:r>
    </w:p>
    <w:p w14:paraId="3B8B09BE" w14:textId="77777777" w:rsidR="00DE179B" w:rsidRDefault="00D67323" w:rsidP="00D67323">
      <w:pPr>
        <w:pStyle w:val="ACMANotes"/>
      </w:pPr>
      <w:r w:rsidRPr="006A7973">
        <w:t>Note: ‘Don’t know’ and ‘Prefer not to say’ responses are excluded from analysis.</w:t>
      </w:r>
      <w:r w:rsidR="00DE179B">
        <w:t xml:space="preserve"> </w:t>
      </w:r>
      <w:r w:rsidR="00DE179B" w:rsidRPr="006A7973">
        <w:t>Numbers may not add up due to rounding.</w:t>
      </w:r>
    </w:p>
    <w:p w14:paraId="6001A32D" w14:textId="77777777" w:rsidR="00D67323" w:rsidRDefault="00D67323" w:rsidP="003F4708">
      <w:pPr>
        <w:pStyle w:val="ACMANotesspaceafter"/>
        <w:spacing w:after="360"/>
      </w:pPr>
      <w:r w:rsidRPr="00BF4D30">
        <w:t xml:space="preserve">Source: ACMA-commissioned survey, </w:t>
      </w:r>
      <w:r>
        <w:t xml:space="preserve">June 2017. </w:t>
      </w:r>
    </w:p>
    <w:p w14:paraId="39DDD76E" w14:textId="77777777" w:rsidR="00D67323" w:rsidRPr="00030031" w:rsidRDefault="00D67323" w:rsidP="005030FF">
      <w:pPr>
        <w:rPr>
          <w:rFonts w:cs="Arial"/>
        </w:rPr>
      </w:pPr>
      <w:r>
        <w:rPr>
          <w:rFonts w:cs="Arial"/>
        </w:rPr>
        <w:t>At</w:t>
      </w:r>
      <w:r w:rsidRPr="00E4035E">
        <w:rPr>
          <w:rFonts w:cs="Arial"/>
        </w:rPr>
        <w:t xml:space="preserve"> </w:t>
      </w:r>
      <w:r w:rsidRPr="00E4035E">
        <w:t xml:space="preserve">June </w:t>
      </w:r>
      <w:r w:rsidRPr="00E4035E">
        <w:rPr>
          <w:rFonts w:cs="Arial"/>
        </w:rPr>
        <w:t xml:space="preserve">2017, almost a quarter of </w:t>
      </w:r>
      <w:r>
        <w:rPr>
          <w:rFonts w:cs="Arial"/>
        </w:rPr>
        <w:t>online Australians</w:t>
      </w:r>
      <w:r w:rsidRPr="00E4035E">
        <w:rPr>
          <w:rFonts w:cs="Arial"/>
        </w:rPr>
        <w:t xml:space="preserve"> (23 per cent) </w:t>
      </w:r>
      <w:r w:rsidR="002A18EC">
        <w:rPr>
          <w:rFonts w:cs="Arial"/>
        </w:rPr>
        <w:t xml:space="preserve">had </w:t>
      </w:r>
      <w:r w:rsidRPr="00E4035E">
        <w:rPr>
          <w:rFonts w:cs="Arial"/>
        </w:rPr>
        <w:t xml:space="preserve">accessed the internet </w:t>
      </w:r>
      <w:r>
        <w:rPr>
          <w:rFonts w:cs="Arial"/>
        </w:rPr>
        <w:t xml:space="preserve">in the last six months </w:t>
      </w:r>
      <w:r w:rsidRPr="00E4035E">
        <w:rPr>
          <w:rFonts w:cs="Arial"/>
        </w:rPr>
        <w:t>via five or more devices</w:t>
      </w:r>
      <w:r>
        <w:rPr>
          <w:rFonts w:cs="Arial"/>
        </w:rPr>
        <w:t>, up from 19 per cent at June 2016. O</w:t>
      </w:r>
      <w:r w:rsidRPr="00030031">
        <w:rPr>
          <w:rFonts w:cs="Arial"/>
        </w:rPr>
        <w:t>nly 15 per cent used one device only to go online (Figure 2.</w:t>
      </w:r>
      <w:r>
        <w:rPr>
          <w:rFonts w:cs="Arial"/>
        </w:rPr>
        <w:t>5</w:t>
      </w:r>
      <w:r w:rsidRPr="00030031">
        <w:rPr>
          <w:rFonts w:cs="Arial"/>
        </w:rPr>
        <w:t xml:space="preserve">), indicating </w:t>
      </w:r>
      <w:r>
        <w:rPr>
          <w:rFonts w:cs="Arial"/>
        </w:rPr>
        <w:t>an increasing preference fo</w:t>
      </w:r>
      <w:r w:rsidRPr="00030031">
        <w:rPr>
          <w:rFonts w:cs="Arial"/>
        </w:rPr>
        <w:t>r a combination of devices.</w:t>
      </w:r>
    </w:p>
    <w:p w14:paraId="0E9E67E3" w14:textId="77777777" w:rsidR="00D67323" w:rsidRDefault="00D67323" w:rsidP="005030FF">
      <w:pPr>
        <w:pStyle w:val="ACMAFigureHeader"/>
        <w:keepNext/>
        <w:keepLines/>
        <w:ind w:left="1021" w:hanging="1021"/>
      </w:pPr>
      <w:r w:rsidRPr="00030031">
        <w:t>Figure 2.</w:t>
      </w:r>
      <w:r>
        <w:t>5</w:t>
      </w:r>
      <w:r w:rsidRPr="00030031">
        <w:tab/>
        <w:t>Number</w:t>
      </w:r>
      <w:r w:rsidRPr="0059001E">
        <w:t xml:space="preserve"> of devices used to access the internet (percentage)</w:t>
      </w:r>
    </w:p>
    <w:p w14:paraId="6E042988" w14:textId="77777777" w:rsidR="00D67323" w:rsidRDefault="00B468EC" w:rsidP="005030FF">
      <w:pPr>
        <w:keepNext/>
        <w:keepLines/>
        <w:spacing w:after="0"/>
      </w:pPr>
      <w:r>
        <w:rPr>
          <w:noProof/>
        </w:rPr>
        <w:drawing>
          <wp:inline distT="0" distB="0" distL="0" distR="0" wp14:anchorId="668C0650" wp14:editId="1C91481B">
            <wp:extent cx="5802223" cy="1631468"/>
            <wp:effectExtent l="0" t="0" r="8255" b="6985"/>
            <wp:docPr id="45" name="Picture 45" descr="Data for Figure 2.5 is in the .ods file for Chapter 2 on the landing page ‘Communications report 2016-17’, available from the ACMA website." title="Figure 2.5  Number of devices used to access the internet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hapter 2_Figure 2.5.png"/>
                    <pic:cNvPicPr/>
                  </pic:nvPicPr>
                  <pic:blipFill rotWithShape="1">
                    <a:blip r:embed="rId69">
                      <a:extLst>
                        <a:ext uri="{28A0092B-C50C-407E-A947-70E740481C1C}">
                          <a14:useLocalDpi xmlns:a14="http://schemas.microsoft.com/office/drawing/2010/main" val="0"/>
                        </a:ext>
                      </a:extLst>
                    </a:blip>
                    <a:srcRect r="3058"/>
                    <a:stretch/>
                  </pic:blipFill>
                  <pic:spPr bwMode="auto">
                    <a:xfrm>
                      <a:off x="0" y="0"/>
                      <a:ext cx="5850741" cy="1645110"/>
                    </a:xfrm>
                    <a:prstGeom prst="rect">
                      <a:avLst/>
                    </a:prstGeom>
                    <a:ln>
                      <a:noFill/>
                    </a:ln>
                    <a:extLst>
                      <a:ext uri="{53640926-AAD7-44D8-BBD7-CCE9431645EC}">
                        <a14:shadowObscured xmlns:a14="http://schemas.microsoft.com/office/drawing/2010/main"/>
                      </a:ext>
                    </a:extLst>
                  </pic:spPr>
                </pic:pic>
              </a:graphicData>
            </a:graphic>
          </wp:inline>
        </w:drawing>
      </w:r>
    </w:p>
    <w:p w14:paraId="30BA3DD8" w14:textId="77777777" w:rsidR="00D67323" w:rsidRPr="00911CD7" w:rsidRDefault="00D67323" w:rsidP="005030FF">
      <w:pPr>
        <w:pStyle w:val="ACMANotes"/>
        <w:keepNext/>
        <w:keepLines/>
        <w:spacing w:before="240"/>
      </w:pPr>
      <w:r w:rsidRPr="00911CD7">
        <w:t>Base: Australians aged 18 and over who accessed the internet.</w:t>
      </w:r>
    </w:p>
    <w:p w14:paraId="73E34F9F" w14:textId="796E7A52" w:rsidR="00D67323" w:rsidRPr="005024A1" w:rsidRDefault="00D67323" w:rsidP="005024A1">
      <w:pPr>
        <w:pStyle w:val="ACMANotes"/>
        <w:keepNext/>
        <w:keepLines/>
      </w:pPr>
      <w:r w:rsidRPr="00A02296">
        <w:t xml:space="preserve">Note: </w:t>
      </w:r>
      <w:r w:rsidR="005024A1" w:rsidRPr="005024A1">
        <w:t>The change</w:t>
      </w:r>
      <w:r w:rsidR="00493FF2">
        <w:t>s</w:t>
      </w:r>
      <w:r w:rsidR="005024A1" w:rsidRPr="005024A1">
        <w:t xml:space="preserve"> in me</w:t>
      </w:r>
      <w:r w:rsidR="00493FF2">
        <w:t>thodology in 2016 and 2017 mean</w:t>
      </w:r>
      <w:r w:rsidR="005024A1" w:rsidRPr="005024A1">
        <w:t xml:space="preserve"> that some differences between these years may be explained by the methodology rather than any significant difference.</w:t>
      </w:r>
    </w:p>
    <w:p w14:paraId="727283E4" w14:textId="77777777" w:rsidR="00D67323" w:rsidRPr="00911CD7" w:rsidRDefault="00D67323" w:rsidP="005030FF">
      <w:pPr>
        <w:pStyle w:val="ACMANotesspaceafter"/>
        <w:keepNext/>
        <w:keepLines/>
        <w:spacing w:after="360"/>
      </w:pPr>
      <w:r w:rsidRPr="00911CD7">
        <w:t xml:space="preserve">Source: ACMA-commissioned survey, June 2016 and 2017. </w:t>
      </w:r>
    </w:p>
    <w:p w14:paraId="2E3AA8DB" w14:textId="77777777" w:rsidR="00D67323" w:rsidRPr="000B38AC" w:rsidRDefault="00D67323" w:rsidP="00B26C0C">
      <w:pPr>
        <w:keepNext/>
        <w:keepLines/>
        <w:spacing w:after="80"/>
      </w:pPr>
      <w:r w:rsidRPr="000B38AC">
        <w:rPr>
          <w:rFonts w:cs="Arial"/>
        </w:rPr>
        <w:t xml:space="preserve">The </w:t>
      </w:r>
      <w:r>
        <w:rPr>
          <w:rFonts w:cs="Arial"/>
        </w:rPr>
        <w:t xml:space="preserve">five </w:t>
      </w:r>
      <w:r w:rsidRPr="000B38AC">
        <w:rPr>
          <w:rFonts w:cs="Arial"/>
        </w:rPr>
        <w:t xml:space="preserve">most popular combinations of devices </w:t>
      </w:r>
      <w:r w:rsidR="00871350">
        <w:rPr>
          <w:rFonts w:cs="Arial"/>
        </w:rPr>
        <w:t xml:space="preserve">for </w:t>
      </w:r>
      <w:r>
        <w:rPr>
          <w:rFonts w:cs="Arial"/>
        </w:rPr>
        <w:t>Australian adult internet users to</w:t>
      </w:r>
      <w:r w:rsidRPr="000B38AC">
        <w:rPr>
          <w:rFonts w:cs="Arial"/>
        </w:rPr>
        <w:t xml:space="preserve"> go online in the six months to June 2017 were:</w:t>
      </w:r>
    </w:p>
    <w:p w14:paraId="1B6CAA1C" w14:textId="77777777" w:rsidR="00D67323" w:rsidRPr="000B38AC" w:rsidRDefault="00871350" w:rsidP="00B26C0C">
      <w:pPr>
        <w:pStyle w:val="ListBullet"/>
        <w:keepNext/>
        <w:keepLines/>
      </w:pPr>
      <w:r>
        <w:t>m</w:t>
      </w:r>
      <w:r w:rsidR="00D67323" w:rsidRPr="000B38AC">
        <w:t>obile phone and laptop computer (nine per cent)</w:t>
      </w:r>
    </w:p>
    <w:p w14:paraId="32C6B1C4" w14:textId="77777777" w:rsidR="00D67323" w:rsidRPr="000B38AC" w:rsidRDefault="00871350" w:rsidP="00B26C0C">
      <w:pPr>
        <w:pStyle w:val="ListBullet"/>
        <w:keepNext/>
        <w:keepLines/>
      </w:pPr>
      <w:r>
        <w:t>m</w:t>
      </w:r>
      <w:r w:rsidR="00D67323" w:rsidRPr="000B38AC">
        <w:t>obile phone, laptop computer and tablet computer (seven per cent)</w:t>
      </w:r>
    </w:p>
    <w:p w14:paraId="0B9E6B85" w14:textId="77777777" w:rsidR="00D67323" w:rsidRPr="000B38AC" w:rsidRDefault="00871350" w:rsidP="00DC2B04">
      <w:pPr>
        <w:pStyle w:val="ListBullet"/>
      </w:pPr>
      <w:r>
        <w:t>m</w:t>
      </w:r>
      <w:r w:rsidR="00D67323" w:rsidRPr="000B38AC">
        <w:t>obile phone, laptop computer, tablet computer and desktop computer (seven per cent)</w:t>
      </w:r>
    </w:p>
    <w:p w14:paraId="578F9373" w14:textId="77777777" w:rsidR="00D67323" w:rsidRPr="000B38AC" w:rsidRDefault="00871350" w:rsidP="00DC2B04">
      <w:pPr>
        <w:pStyle w:val="ListBullet"/>
      </w:pPr>
      <w:r>
        <w:t>m</w:t>
      </w:r>
      <w:r w:rsidR="00D67323" w:rsidRPr="000B38AC">
        <w:t xml:space="preserve">obile phone, laptop computer, tablet computer, desktop computer and </w:t>
      </w:r>
      <w:r>
        <w:t>s</w:t>
      </w:r>
      <w:r w:rsidR="00D67323" w:rsidRPr="000B38AC">
        <w:t>mart TV (seven per cent)</w:t>
      </w:r>
    </w:p>
    <w:p w14:paraId="3A187D37" w14:textId="77777777" w:rsidR="00D67323" w:rsidRPr="000B38AC" w:rsidRDefault="00871350" w:rsidP="00DC2B04">
      <w:pPr>
        <w:pStyle w:val="ListBulletLast"/>
      </w:pPr>
      <w:r>
        <w:t>m</w:t>
      </w:r>
      <w:r w:rsidR="00D67323" w:rsidRPr="000B38AC">
        <w:t>obile phone, laptop computer and desktop computer (six per cent)</w:t>
      </w:r>
      <w:r w:rsidR="00D67323">
        <w:t>.</w:t>
      </w:r>
    </w:p>
    <w:p w14:paraId="58888A09" w14:textId="77777777" w:rsidR="00D67323" w:rsidRPr="00372BE2" w:rsidRDefault="00D67323" w:rsidP="00D67323">
      <w:pPr>
        <w:pStyle w:val="Heading3"/>
      </w:pPr>
      <w:bookmarkStart w:id="870" w:name="_Toc494799398"/>
      <w:bookmarkStart w:id="871" w:name="_Toc494805701"/>
      <w:bookmarkStart w:id="872" w:name="_Toc494805930"/>
      <w:bookmarkStart w:id="873" w:name="_Toc494808160"/>
      <w:bookmarkStart w:id="874" w:name="_Toc494808814"/>
      <w:bookmarkStart w:id="875" w:name="_Toc494815970"/>
      <w:bookmarkStart w:id="876" w:name="_Toc494818828"/>
      <w:bookmarkStart w:id="877" w:name="_Toc494819095"/>
      <w:r w:rsidRPr="00372BE2">
        <w:t xml:space="preserve">Volume of data downloaded </w:t>
      </w:r>
      <w:bookmarkEnd w:id="870"/>
      <w:bookmarkEnd w:id="871"/>
      <w:bookmarkEnd w:id="872"/>
      <w:bookmarkEnd w:id="873"/>
      <w:bookmarkEnd w:id="874"/>
      <w:bookmarkEnd w:id="875"/>
      <w:bookmarkEnd w:id="876"/>
      <w:bookmarkEnd w:id="877"/>
    </w:p>
    <w:p w14:paraId="09245A0F" w14:textId="77777777" w:rsidR="00D67323" w:rsidRPr="00D21A3C" w:rsidRDefault="00D67323" w:rsidP="00D67323">
      <w:r>
        <w:rPr>
          <w:bCs/>
        </w:rPr>
        <w:t>The</w:t>
      </w:r>
      <w:r w:rsidRPr="00372BE2">
        <w:rPr>
          <w:bCs/>
        </w:rPr>
        <w:t xml:space="preserve"> amount of data Australians consume </w:t>
      </w:r>
      <w:r w:rsidRPr="00FD2B6C">
        <w:rPr>
          <w:bCs/>
        </w:rPr>
        <w:t xml:space="preserve">continues to </w:t>
      </w:r>
      <w:r>
        <w:t>increase</w:t>
      </w:r>
      <w:r w:rsidRPr="00FD2B6C">
        <w:t>, particularly over mobile handsets.</w:t>
      </w:r>
      <w:r w:rsidRPr="00FD2B6C">
        <w:rPr>
          <w:bCs/>
        </w:rPr>
        <w:t xml:space="preserve"> </w:t>
      </w:r>
      <w:r w:rsidRPr="00FD2B6C">
        <w:t xml:space="preserve">The total volume of data </w:t>
      </w:r>
      <w:r w:rsidRPr="007C3781">
        <w:t>downloaded</w:t>
      </w:r>
      <w:r w:rsidRPr="00FD2B6C">
        <w:t xml:space="preserve"> in Australia during the June quarter of 2017 was </w:t>
      </w:r>
      <w:r>
        <w:t>3.171 million terabytes—</w:t>
      </w:r>
      <w:r w:rsidRPr="00F3494E">
        <w:t>43</w:t>
      </w:r>
      <w:r w:rsidRPr="00677298">
        <w:t xml:space="preserve"> per cent higher </w:t>
      </w:r>
      <w:r w:rsidRPr="00FD2B6C">
        <w:t xml:space="preserve">than the volume downloaded </w:t>
      </w:r>
      <w:r>
        <w:t xml:space="preserve">during the June quarter of </w:t>
      </w:r>
      <w:r w:rsidRPr="00D21A3C">
        <w:t xml:space="preserve">2016 </w:t>
      </w:r>
      <w:r>
        <w:t>(Figure 2.</w:t>
      </w:r>
      <w:r w:rsidR="00AB37BB">
        <w:t>6</w:t>
      </w:r>
      <w:r w:rsidRPr="00D21A3C">
        <w:t xml:space="preserve">). </w:t>
      </w:r>
    </w:p>
    <w:p w14:paraId="529F9C4F" w14:textId="77777777" w:rsidR="00D67323" w:rsidRPr="005B2B4A" w:rsidRDefault="00D67323" w:rsidP="00D67323">
      <w:pPr>
        <w:spacing w:after="80"/>
        <w:rPr>
          <w:highlight w:val="cyan"/>
        </w:rPr>
      </w:pPr>
      <w:r w:rsidRPr="00E846DA">
        <w:t xml:space="preserve">There </w:t>
      </w:r>
      <w:r>
        <w:t>was</w:t>
      </w:r>
      <w:r w:rsidRPr="00E846DA">
        <w:t xml:space="preserve"> </w:t>
      </w:r>
      <w:r>
        <w:t xml:space="preserve">a </w:t>
      </w:r>
      <w:r w:rsidRPr="00E846DA">
        <w:t xml:space="preserve">sizeable </w:t>
      </w:r>
      <w:r>
        <w:t>increase</w:t>
      </w:r>
      <w:r w:rsidRPr="00E846DA">
        <w:t xml:space="preserve"> in data downloaded by fixed-line broadband users—contributing to </w:t>
      </w:r>
      <w:r w:rsidRPr="000E57AC">
        <w:t>9</w:t>
      </w:r>
      <w:r>
        <w:t>1</w:t>
      </w:r>
      <w:r w:rsidRPr="000E57AC">
        <w:t xml:space="preserve"> per cent of total growth during the June quarter of 2017</w:t>
      </w:r>
      <w:r w:rsidRPr="00E846DA">
        <w:t xml:space="preserve">—with fixed connections generally offering fast download speeds and large data plans. During the June quarter of 2017, the volume of data downloaded </w:t>
      </w:r>
      <w:r>
        <w:t xml:space="preserve">increased </w:t>
      </w:r>
      <w:r w:rsidRPr="00E846DA">
        <w:t>over:</w:t>
      </w:r>
    </w:p>
    <w:p w14:paraId="503C58A4" w14:textId="77777777" w:rsidR="00D67323" w:rsidRPr="00961D49" w:rsidRDefault="00D67323" w:rsidP="00F3697E">
      <w:pPr>
        <w:pStyle w:val="ListBullet"/>
      </w:pPr>
      <w:r w:rsidRPr="00961D49">
        <w:t>fixed-line broadband by 4</w:t>
      </w:r>
      <w:r>
        <w:t>2</w:t>
      </w:r>
      <w:r w:rsidRPr="00961D49">
        <w:t xml:space="preserve"> per cent</w:t>
      </w:r>
    </w:p>
    <w:p w14:paraId="36217288" w14:textId="77777777" w:rsidR="00D67323" w:rsidRPr="00961D49" w:rsidRDefault="00D67323" w:rsidP="00DC2B04">
      <w:pPr>
        <w:pStyle w:val="ListBullet"/>
      </w:pPr>
      <w:r w:rsidRPr="00961D49">
        <w:t>wireless broadband by 72 per cent</w:t>
      </w:r>
    </w:p>
    <w:p w14:paraId="3C3394E9" w14:textId="77777777" w:rsidR="00D67323" w:rsidRDefault="00D67323" w:rsidP="00DC2B04">
      <w:pPr>
        <w:pStyle w:val="ListBulletLast"/>
      </w:pPr>
      <w:r w:rsidRPr="00961D49">
        <w:t>mobile handsets by 45 per cent</w:t>
      </w:r>
      <w:r>
        <w:t>.</w:t>
      </w:r>
    </w:p>
    <w:p w14:paraId="21E48FC1" w14:textId="77777777" w:rsidR="00D67323" w:rsidRPr="00390A29" w:rsidRDefault="00D67323" w:rsidP="003F4708">
      <w:pPr>
        <w:pStyle w:val="ACMAFigureHeader"/>
        <w:keepNext/>
        <w:ind w:left="1136" w:hanging="1136"/>
      </w:pPr>
      <w:r w:rsidRPr="00D42E63">
        <w:t>Figure 2.</w:t>
      </w:r>
      <w:r w:rsidR="009E38BE">
        <w:t>6</w:t>
      </w:r>
      <w:r w:rsidRPr="00D42E63">
        <w:tab/>
        <w:t>Volume</w:t>
      </w:r>
      <w:r w:rsidRPr="007A0F1F">
        <w:t xml:space="preserve"> of data Australian intern</w:t>
      </w:r>
      <w:r>
        <w:t xml:space="preserve">et users </w:t>
      </w:r>
      <w:r w:rsidR="00A65E05" w:rsidRPr="007A0F1F">
        <w:t xml:space="preserve">downloaded </w:t>
      </w:r>
      <w:r>
        <w:t xml:space="preserve">in the quarter to June 2017 </w:t>
      </w:r>
      <w:r w:rsidRPr="007A0F1F">
        <w:t>(</w:t>
      </w:r>
      <w:r w:rsidRPr="00390A29">
        <w:t>terabytes)</w:t>
      </w:r>
    </w:p>
    <w:p w14:paraId="586BA22C" w14:textId="77777777" w:rsidR="00D67323" w:rsidRDefault="002D2E4A" w:rsidP="003F4708">
      <w:pPr>
        <w:spacing w:after="0"/>
      </w:pPr>
      <w:r>
        <w:rPr>
          <w:noProof/>
        </w:rPr>
        <w:drawing>
          <wp:inline distT="0" distB="0" distL="0" distR="0" wp14:anchorId="04C1BC47" wp14:editId="07371AB9">
            <wp:extent cx="6439044" cy="5231766"/>
            <wp:effectExtent l="0" t="0" r="0" b="6985"/>
            <wp:docPr id="35" name="Picture 35" descr="Data for Figure 2.6 is in the .ods file for Chapter 2 on the landing page ‘Communications report 2016-17’, available from the ACMA website." title="Figure 2.6  Volume of data Australian internet users downloaded in the quarter to June 2017 (teraby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Chapter 2_Figure 2.6.png"/>
                    <pic:cNvPicPr/>
                  </pic:nvPicPr>
                  <pic:blipFill>
                    <a:blip r:embed="rId70">
                      <a:extLst>
                        <a:ext uri="{28A0092B-C50C-407E-A947-70E740481C1C}">
                          <a14:useLocalDpi xmlns:a14="http://schemas.microsoft.com/office/drawing/2010/main" val="0"/>
                        </a:ext>
                      </a:extLst>
                    </a:blip>
                    <a:stretch>
                      <a:fillRect/>
                    </a:stretch>
                  </pic:blipFill>
                  <pic:spPr>
                    <a:xfrm>
                      <a:off x="0" y="0"/>
                      <a:ext cx="6442980" cy="5234964"/>
                    </a:xfrm>
                    <a:prstGeom prst="rect">
                      <a:avLst/>
                    </a:prstGeom>
                  </pic:spPr>
                </pic:pic>
              </a:graphicData>
            </a:graphic>
          </wp:inline>
        </w:drawing>
      </w:r>
    </w:p>
    <w:p w14:paraId="343961A1" w14:textId="77777777" w:rsidR="00D67323" w:rsidRPr="00390A29" w:rsidRDefault="00D67323" w:rsidP="005030FF">
      <w:pPr>
        <w:pStyle w:val="ACMANotes"/>
        <w:spacing w:before="240"/>
      </w:pPr>
      <w:r w:rsidRPr="00390A29">
        <w:t xml:space="preserve">*Excludes downloads via mobile phone handsets. Includes mobile wireless services using dongle, USB modems and datacards, satellite and fixed wireless. </w:t>
      </w:r>
    </w:p>
    <w:p w14:paraId="186329B1" w14:textId="77777777" w:rsidR="00D67323" w:rsidRPr="0075351A" w:rsidRDefault="00D67323" w:rsidP="00D67323">
      <w:pPr>
        <w:pStyle w:val="ACMANotes"/>
      </w:pPr>
      <w:r w:rsidRPr="00390A29">
        <w:t xml:space="preserve">Note: Total volume of data downloaded is based on </w:t>
      </w:r>
      <w:r>
        <w:t>A</w:t>
      </w:r>
      <w:r w:rsidRPr="00390A29">
        <w:t>BS published</w:t>
      </w:r>
      <w:r w:rsidRPr="0075351A">
        <w:t xml:space="preserve"> numbers and components may not add up due to rounding. The ABS reports that ‘… download data presented should only be considered an indicative measure of internet activity during the reference period.’</w:t>
      </w:r>
    </w:p>
    <w:p w14:paraId="2F433ABA" w14:textId="77777777" w:rsidR="00D67323" w:rsidRPr="00EF7ADD" w:rsidRDefault="00D67323" w:rsidP="003F4708">
      <w:pPr>
        <w:pStyle w:val="ACMANotesspaceafter"/>
        <w:spacing w:after="360"/>
        <w:rPr>
          <w:szCs w:val="16"/>
        </w:rPr>
      </w:pPr>
      <w:r w:rsidRPr="00EF7ADD">
        <w:rPr>
          <w:szCs w:val="16"/>
        </w:rPr>
        <w:t xml:space="preserve">Source: ABS, </w:t>
      </w:r>
      <w:hyperlink r:id="rId71" w:history="1">
        <w:r w:rsidRPr="00F2524A">
          <w:rPr>
            <w:i w:val="0"/>
            <w:color w:val="0000FF"/>
            <w:szCs w:val="16"/>
            <w:u w:val="single"/>
          </w:rPr>
          <w:t>8153.0—Internet Activity, Australia</w:t>
        </w:r>
      </w:hyperlink>
      <w:r w:rsidRPr="00EF7ADD">
        <w:rPr>
          <w:szCs w:val="16"/>
        </w:rPr>
        <w:t>, June 2017.</w:t>
      </w:r>
    </w:p>
    <w:p w14:paraId="4130B9BA" w14:textId="77777777" w:rsidR="00D67323" w:rsidRPr="00091668" w:rsidRDefault="00D67323" w:rsidP="00D67323">
      <w:pPr>
        <w:spacing w:after="80"/>
      </w:pPr>
      <w:r w:rsidRPr="00091668">
        <w:rPr>
          <w:bCs/>
        </w:rPr>
        <w:t>D</w:t>
      </w:r>
      <w:r w:rsidRPr="00091668">
        <w:t xml:space="preserve">uring the June quarter of 2017, the average amount of data downloaded by a subscriber </w:t>
      </w:r>
      <w:r>
        <w:t>increased over:</w:t>
      </w:r>
    </w:p>
    <w:p w14:paraId="0551EB57" w14:textId="77777777" w:rsidR="00D67323" w:rsidRPr="001A1FEF" w:rsidRDefault="00D67323" w:rsidP="00D10D00">
      <w:pPr>
        <w:pStyle w:val="ListBullet"/>
      </w:pPr>
      <w:r w:rsidRPr="001A1FEF">
        <w:t>fixed-line broadband by 35 per cent to 394.4 gigabytes</w:t>
      </w:r>
    </w:p>
    <w:p w14:paraId="32BE291F" w14:textId="77777777" w:rsidR="00A57E93" w:rsidRPr="001A1FEF" w:rsidRDefault="00A57E93" w:rsidP="00D10D00">
      <w:pPr>
        <w:pStyle w:val="ListBullet"/>
      </w:pPr>
      <w:r w:rsidRPr="001A1FEF">
        <w:t>wireless broadband by 6</w:t>
      </w:r>
      <w:r>
        <w:t>7</w:t>
      </w:r>
      <w:r w:rsidRPr="001A1FEF">
        <w:t xml:space="preserve"> per cent to 13.</w:t>
      </w:r>
      <w:r>
        <w:t>0</w:t>
      </w:r>
      <w:r w:rsidRPr="001A1FEF">
        <w:t xml:space="preserve"> gigabytes</w:t>
      </w:r>
      <w:r>
        <w:rPr>
          <w:rStyle w:val="EndnoteReference"/>
        </w:rPr>
        <w:endnoteReference w:id="147"/>
      </w:r>
    </w:p>
    <w:p w14:paraId="443C4CCC" w14:textId="77777777" w:rsidR="00D67323" w:rsidRPr="00D67323" w:rsidRDefault="00D67323" w:rsidP="00DC2B04">
      <w:pPr>
        <w:pStyle w:val="ListBulletLast"/>
      </w:pPr>
      <w:r w:rsidRPr="00D67323">
        <w:t xml:space="preserve">mobile handset internet by </w:t>
      </w:r>
      <w:r w:rsidR="004F79F7">
        <w:t>36</w:t>
      </w:r>
      <w:r w:rsidRPr="00D67323">
        <w:t xml:space="preserve"> per cent to 6.6 gigabytes. </w:t>
      </w:r>
    </w:p>
    <w:p w14:paraId="585B1356" w14:textId="77777777" w:rsidR="00D67323" w:rsidRPr="00432FE5" w:rsidRDefault="00D67323" w:rsidP="00D67323">
      <w:pPr>
        <w:pStyle w:val="Heading3"/>
      </w:pPr>
      <w:bookmarkStart w:id="878" w:name="_Toc494799399"/>
      <w:bookmarkStart w:id="879" w:name="_Toc494805702"/>
      <w:bookmarkStart w:id="880" w:name="_Toc494805931"/>
      <w:bookmarkStart w:id="881" w:name="_Toc494808161"/>
      <w:bookmarkStart w:id="882" w:name="_Toc494808815"/>
      <w:bookmarkStart w:id="883" w:name="_Toc494815971"/>
      <w:bookmarkStart w:id="884" w:name="_Toc494818829"/>
      <w:bookmarkStart w:id="885" w:name="_Toc494819096"/>
      <w:r w:rsidRPr="00432FE5">
        <w:t>Mobile data allowance</w:t>
      </w:r>
      <w:bookmarkEnd w:id="878"/>
      <w:bookmarkEnd w:id="879"/>
      <w:bookmarkEnd w:id="880"/>
      <w:bookmarkEnd w:id="881"/>
      <w:bookmarkEnd w:id="882"/>
      <w:bookmarkEnd w:id="883"/>
      <w:bookmarkEnd w:id="884"/>
      <w:bookmarkEnd w:id="885"/>
      <w:r w:rsidRPr="00432FE5">
        <w:t xml:space="preserve"> </w:t>
      </w:r>
    </w:p>
    <w:p w14:paraId="3901B34B" w14:textId="77777777" w:rsidR="00D67323" w:rsidRDefault="00D67323" w:rsidP="009F6090">
      <w:pPr>
        <w:keepNext/>
        <w:keepLines/>
      </w:pPr>
      <w:r>
        <w:t>Ninety-five</w:t>
      </w:r>
      <w:r w:rsidRPr="00880DF6">
        <w:t xml:space="preserve"> per cent of </w:t>
      </w:r>
      <w:r>
        <w:t xml:space="preserve">Australian </w:t>
      </w:r>
      <w:r w:rsidRPr="00880DF6">
        <w:t>adults use</w:t>
      </w:r>
      <w:r>
        <w:t>d</w:t>
      </w:r>
      <w:r w:rsidRPr="00880DF6">
        <w:t xml:space="preserve"> </w:t>
      </w:r>
      <w:r>
        <w:t>mobile phones</w:t>
      </w:r>
      <w:r w:rsidRPr="00880DF6">
        <w:t xml:space="preserve"> </w:t>
      </w:r>
      <w:r w:rsidRPr="00A14771">
        <w:t>to either send text messages or make voice or video calls</w:t>
      </w:r>
      <w:r>
        <w:t>,</w:t>
      </w:r>
      <w:r w:rsidRPr="00A14771">
        <w:t xml:space="preserve"> </w:t>
      </w:r>
      <w:r>
        <w:t>and 88 per cent</w:t>
      </w:r>
      <w:r w:rsidRPr="00A14771">
        <w:t xml:space="preserve"> ha</w:t>
      </w:r>
      <w:r>
        <w:t>d</w:t>
      </w:r>
      <w:r w:rsidRPr="00A14771">
        <w:t xml:space="preserve"> data included in their </w:t>
      </w:r>
      <w:r>
        <w:t>plan</w:t>
      </w:r>
      <w:r w:rsidR="00AE2315">
        <w:t>s</w:t>
      </w:r>
      <w:r>
        <w:t>.</w:t>
      </w:r>
      <w:r w:rsidRPr="00A14771">
        <w:rPr>
          <w:vertAlign w:val="superscript"/>
        </w:rPr>
        <w:endnoteReference w:id="148"/>
      </w:r>
      <w:r>
        <w:t xml:space="preserve"> </w:t>
      </w:r>
      <w:r w:rsidRPr="00A14771">
        <w:t>The largest group of mobile phone users with a data plan (43 per cent) had a</w:t>
      </w:r>
      <w:r>
        <w:t xml:space="preserve"> monthly data</w:t>
      </w:r>
      <w:r w:rsidRPr="00A14771">
        <w:t xml:space="preserve"> allowance of four gigabytes</w:t>
      </w:r>
      <w:r w:rsidR="00AE2315">
        <w:t xml:space="preserve"> or under, while 15</w:t>
      </w:r>
      <w:r w:rsidRPr="00A14771">
        <w:t xml:space="preserve"> per cent had an allowance of more than </w:t>
      </w:r>
      <w:r w:rsidR="00AE2315">
        <w:t>10</w:t>
      </w:r>
      <w:r w:rsidR="00AE2315" w:rsidRPr="00A14771">
        <w:t xml:space="preserve"> </w:t>
      </w:r>
      <w:r w:rsidRPr="00A14771">
        <w:t>gigabytes</w:t>
      </w:r>
      <w:r>
        <w:t xml:space="preserve"> (Figure 2.</w:t>
      </w:r>
      <w:r w:rsidR="00AB37BB">
        <w:t>7</w:t>
      </w:r>
      <w:r>
        <w:t>)</w:t>
      </w:r>
      <w:r w:rsidRPr="00A14771">
        <w:t>.</w:t>
      </w:r>
    </w:p>
    <w:p w14:paraId="1148110D" w14:textId="77777777" w:rsidR="00EB1D5F" w:rsidRDefault="00EB1D5F" w:rsidP="003F4708">
      <w:pPr>
        <w:pStyle w:val="ACMAFigureHeader"/>
        <w:keepNext/>
      </w:pPr>
      <w:r w:rsidRPr="00A14771">
        <w:t>Figure 2.</w:t>
      </w:r>
      <w:r w:rsidR="009E38BE">
        <w:t>7</w:t>
      </w:r>
      <w:r w:rsidRPr="00A14771">
        <w:tab/>
      </w:r>
      <w:r>
        <w:t>Mobile phone users</w:t>
      </w:r>
      <w:r w:rsidR="00AE2315">
        <w:t>’</w:t>
      </w:r>
      <w:r>
        <w:t xml:space="preserve"> monthly data</w:t>
      </w:r>
      <w:r w:rsidRPr="00AB21EB">
        <w:t xml:space="preserve"> </w:t>
      </w:r>
      <w:r w:rsidRPr="001C255D">
        <w:t>allowance (percentage)</w:t>
      </w:r>
    </w:p>
    <w:p w14:paraId="14C2DA2B" w14:textId="77777777" w:rsidR="00EB1D5F" w:rsidRDefault="00EB1D5F" w:rsidP="003F4708">
      <w:pPr>
        <w:spacing w:after="0"/>
      </w:pPr>
      <w:r>
        <w:rPr>
          <w:noProof/>
        </w:rPr>
        <w:drawing>
          <wp:inline distT="0" distB="0" distL="0" distR="0" wp14:anchorId="734D09C0" wp14:editId="74448C2B">
            <wp:extent cx="3658122" cy="1893124"/>
            <wp:effectExtent l="0" t="0" r="0" b="0"/>
            <wp:docPr id="79" name="Picture 79" descr="Data for Figure 2.7 is in the .ods file for Chapter 2 on the landing page ‘Communications report 2016-17’, available from the ACMA website." title="Figure 2.7  Mobile phone users’ monthly data allowanc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Chapter 2_Figure 2.8.png"/>
                    <pic:cNvPicPr/>
                  </pic:nvPicPr>
                  <pic:blipFill rotWithShape="1">
                    <a:blip r:embed="rId72">
                      <a:extLst>
                        <a:ext uri="{28A0092B-C50C-407E-A947-70E740481C1C}">
                          <a14:useLocalDpi xmlns:a14="http://schemas.microsoft.com/office/drawing/2010/main" val="0"/>
                        </a:ext>
                      </a:extLst>
                    </a:blip>
                    <a:srcRect/>
                    <a:stretch/>
                  </pic:blipFill>
                  <pic:spPr bwMode="auto">
                    <a:xfrm>
                      <a:off x="0" y="0"/>
                      <a:ext cx="3672757" cy="1900698"/>
                    </a:xfrm>
                    <a:prstGeom prst="rect">
                      <a:avLst/>
                    </a:prstGeom>
                    <a:ln>
                      <a:noFill/>
                    </a:ln>
                    <a:extLst>
                      <a:ext uri="{53640926-AAD7-44D8-BBD7-CCE9431645EC}">
                        <a14:shadowObscured xmlns:a14="http://schemas.microsoft.com/office/drawing/2010/main"/>
                      </a:ext>
                    </a:extLst>
                  </pic:spPr>
                </pic:pic>
              </a:graphicData>
            </a:graphic>
          </wp:inline>
        </w:drawing>
      </w:r>
    </w:p>
    <w:p w14:paraId="1238712D" w14:textId="77777777" w:rsidR="00EB1D5F" w:rsidRPr="001C255D" w:rsidRDefault="00EB1D5F" w:rsidP="005030FF">
      <w:pPr>
        <w:pStyle w:val="ACMANotes"/>
        <w:spacing w:before="240"/>
      </w:pPr>
      <w:r w:rsidRPr="001C255D">
        <w:t>Base: Australians aged 18 and over who used a mobile phone in the last six months (n=1,859).</w:t>
      </w:r>
    </w:p>
    <w:p w14:paraId="1A5A7EC0" w14:textId="77777777" w:rsidR="00EB1D5F" w:rsidRPr="001C255D" w:rsidRDefault="00EB1D5F" w:rsidP="00EB1D5F">
      <w:pPr>
        <w:pStyle w:val="ACMANotes"/>
      </w:pPr>
      <w:r w:rsidRPr="001C255D">
        <w:t xml:space="preserve">Note: ‘Don’t know’ and ‘Prefer not to say’ responses are excluded from analysis. </w:t>
      </w:r>
    </w:p>
    <w:p w14:paraId="1CBD5675" w14:textId="77777777" w:rsidR="00EB1D5F" w:rsidRDefault="00EB1D5F" w:rsidP="003F4708">
      <w:pPr>
        <w:pStyle w:val="ACMANotesspaceafter"/>
        <w:spacing w:after="360"/>
      </w:pPr>
      <w:r w:rsidRPr="001C255D">
        <w:t>Source: ACMA-commissioned survey, June 2017.</w:t>
      </w:r>
    </w:p>
    <w:p w14:paraId="26AA7DA7" w14:textId="77777777" w:rsidR="00EB1D5F" w:rsidRDefault="00AE2315" w:rsidP="00EB1D5F">
      <w:r>
        <w:t xml:space="preserve">Most Australian mobile </w:t>
      </w:r>
      <w:r w:rsidRPr="006177DE">
        <w:t xml:space="preserve">phone users </w:t>
      </w:r>
      <w:r>
        <w:t xml:space="preserve">rarely exceed their </w:t>
      </w:r>
      <w:r w:rsidRPr="006177DE">
        <w:t>monthly mobile data allowance</w:t>
      </w:r>
      <w:r w:rsidR="00634117">
        <w:t>. A</w:t>
      </w:r>
      <w:r w:rsidR="00EB1D5F">
        <w:t xml:space="preserve">t June 2017, nearly </w:t>
      </w:r>
      <w:r>
        <w:t>two-</w:t>
      </w:r>
      <w:r w:rsidR="00EB1D5F">
        <w:t xml:space="preserve">thirds </w:t>
      </w:r>
      <w:r w:rsidR="00EB1D5F" w:rsidRPr="006177DE">
        <w:t xml:space="preserve">(65 per cent) </w:t>
      </w:r>
      <w:r w:rsidR="00EB1D5F">
        <w:t xml:space="preserve">had </w:t>
      </w:r>
      <w:r>
        <w:t xml:space="preserve">done so </w:t>
      </w:r>
      <w:r w:rsidRPr="006177DE">
        <w:t>once a year or less</w:t>
      </w:r>
      <w:r w:rsidR="00634117">
        <w:t>, 30</w:t>
      </w:r>
      <w:r w:rsidR="00EB1D5F" w:rsidRPr="006177DE">
        <w:t xml:space="preserve"> per cent once every two to six months </w:t>
      </w:r>
      <w:r w:rsidR="00634117">
        <w:t>and</w:t>
      </w:r>
      <w:r w:rsidR="00634117" w:rsidRPr="006177DE">
        <w:t xml:space="preserve"> </w:t>
      </w:r>
      <w:r w:rsidR="00EB1D5F" w:rsidRPr="006177DE">
        <w:t xml:space="preserve">six per cent </w:t>
      </w:r>
      <w:r w:rsidR="00EB1D5F">
        <w:t>every month.</w:t>
      </w:r>
      <w:r w:rsidR="00EB1D5F">
        <w:rPr>
          <w:rStyle w:val="EndnoteReference"/>
        </w:rPr>
        <w:endnoteReference w:id="149"/>
      </w:r>
      <w:r w:rsidR="00EB1D5F">
        <w:t xml:space="preserve"> </w:t>
      </w:r>
      <w:r w:rsidR="00634117">
        <w:t>We</w:t>
      </w:r>
      <w:r w:rsidR="00EB1D5F">
        <w:t xml:space="preserve"> regularly monitor </w:t>
      </w:r>
      <w:r w:rsidR="00634117">
        <w:t xml:space="preserve">our </w:t>
      </w:r>
      <w:r w:rsidR="00EB1D5F">
        <w:t>mobile phone usage or spend</w:t>
      </w:r>
      <w:r w:rsidR="00634117">
        <w:t xml:space="preserve">, with </w:t>
      </w:r>
      <w:r w:rsidR="00EB1D5F">
        <w:t xml:space="preserve">almost half </w:t>
      </w:r>
      <w:r w:rsidR="00E05A3F">
        <w:t xml:space="preserve">of us </w:t>
      </w:r>
      <w:r w:rsidR="00EB1D5F">
        <w:t>(48 per cent) check</w:t>
      </w:r>
      <w:r w:rsidR="00634117">
        <w:t>ing</w:t>
      </w:r>
      <w:r w:rsidR="00EB1D5F">
        <w:t xml:space="preserve"> usage at least once a month or more.</w:t>
      </w:r>
      <w:r w:rsidR="00EB1D5F">
        <w:rPr>
          <w:rStyle w:val="EndnoteReference"/>
        </w:rPr>
        <w:endnoteReference w:id="150"/>
      </w:r>
      <w:r w:rsidR="00EB1D5F">
        <w:t xml:space="preserve"> </w:t>
      </w:r>
    </w:p>
    <w:p w14:paraId="75A33D84" w14:textId="77777777" w:rsidR="00EB1D5F" w:rsidRPr="006177DE" w:rsidRDefault="00AF7B85" w:rsidP="00EB1D5F">
      <w:r>
        <w:t>Users can also minimise their mobile data use</w:t>
      </w:r>
      <w:r w:rsidRPr="008E680C">
        <w:t xml:space="preserve"> </w:t>
      </w:r>
      <w:r>
        <w:t xml:space="preserve">by </w:t>
      </w:r>
      <w:r w:rsidR="00AA40B6" w:rsidRPr="008E680C">
        <w:t>connect</w:t>
      </w:r>
      <w:r w:rsidR="00AA40B6">
        <w:t>ing</w:t>
      </w:r>
      <w:r w:rsidR="00AA40B6" w:rsidRPr="008E680C">
        <w:t xml:space="preserve"> to </w:t>
      </w:r>
      <w:r w:rsidR="00AA40B6">
        <w:t>mobile</w:t>
      </w:r>
      <w:r w:rsidR="00AA40B6" w:rsidRPr="008E680C">
        <w:t xml:space="preserve"> internet </w:t>
      </w:r>
      <w:r w:rsidR="00AA40B6">
        <w:t>via</w:t>
      </w:r>
      <w:r w:rsidRPr="008E680C">
        <w:t xml:space="preserve"> </w:t>
      </w:r>
      <w:r w:rsidR="00EB1D5F" w:rsidRPr="008E680C">
        <w:t xml:space="preserve">a </w:t>
      </w:r>
      <w:r w:rsidR="00EB1D5F">
        <w:t>Wi-Fi</w:t>
      </w:r>
      <w:r w:rsidR="00EB1D5F" w:rsidRPr="008E680C">
        <w:t xml:space="preserve"> network</w:t>
      </w:r>
      <w:r w:rsidR="00EB1D5F">
        <w:t>. This was</w:t>
      </w:r>
      <w:r w:rsidR="00EB1D5F" w:rsidRPr="008E680C">
        <w:t xml:space="preserve"> popular among Australian mobile phone users</w:t>
      </w:r>
      <w:r w:rsidR="00AA40B6" w:rsidRPr="00AA40B6">
        <w:t xml:space="preserve"> </w:t>
      </w:r>
      <w:r w:rsidR="00AA40B6">
        <w:t>in the six months to June 2017,</w:t>
      </w:r>
      <w:r w:rsidR="00EB1D5F" w:rsidRPr="008E680C">
        <w:t xml:space="preserve"> </w:t>
      </w:r>
      <w:r w:rsidR="00EB1D5F">
        <w:t>with 67</w:t>
      </w:r>
      <w:r w:rsidR="00AA40B6">
        <w:t> </w:t>
      </w:r>
      <w:r w:rsidR="00EB1D5F" w:rsidRPr="008E680C">
        <w:t xml:space="preserve">cent </w:t>
      </w:r>
      <w:r w:rsidR="00EB1D5F">
        <w:t>us</w:t>
      </w:r>
      <w:r w:rsidR="00AA40B6">
        <w:t>ing</w:t>
      </w:r>
      <w:r w:rsidR="00EB1D5F">
        <w:t xml:space="preserve"> </w:t>
      </w:r>
      <w:r w:rsidR="00EB1D5F" w:rsidRPr="008E680C">
        <w:t xml:space="preserve">a </w:t>
      </w:r>
      <w:r w:rsidR="00EB1D5F">
        <w:t>Wi-Fi</w:t>
      </w:r>
      <w:r w:rsidR="00EB1D5F" w:rsidRPr="008E680C">
        <w:t xml:space="preserve"> network </w:t>
      </w:r>
      <w:r w:rsidR="00EB1D5F">
        <w:t xml:space="preserve">to go online </w:t>
      </w:r>
      <w:r w:rsidR="00EB1D5F" w:rsidRPr="008E680C">
        <w:t>at least once a day or more</w:t>
      </w:r>
      <w:r w:rsidR="00AA40B6">
        <w:t>. A</w:t>
      </w:r>
      <w:r w:rsidR="00EB1D5F" w:rsidRPr="008E680C">
        <w:t xml:space="preserve"> further seven per cent us</w:t>
      </w:r>
      <w:r w:rsidR="00AA40B6">
        <w:t>ed</w:t>
      </w:r>
      <w:r w:rsidR="00EB1D5F" w:rsidRPr="008E680C">
        <w:t xml:space="preserve"> a </w:t>
      </w:r>
      <w:r w:rsidR="00EB1D5F">
        <w:t>Wi-Fi</w:t>
      </w:r>
      <w:r w:rsidR="00EB1D5F" w:rsidRPr="008E680C">
        <w:t xml:space="preserve"> network to go online weekly.</w:t>
      </w:r>
      <w:r w:rsidR="00EB1D5F" w:rsidRPr="008E680C">
        <w:rPr>
          <w:rStyle w:val="EndnoteReference"/>
        </w:rPr>
        <w:endnoteReference w:id="151"/>
      </w:r>
    </w:p>
    <w:p w14:paraId="127BE698" w14:textId="77777777" w:rsidR="00EB1D5F" w:rsidRPr="00E24E5E" w:rsidRDefault="00EB1D5F" w:rsidP="00EB1D5F">
      <w:pPr>
        <w:pStyle w:val="Heading2"/>
        <w:numPr>
          <w:ilvl w:val="1"/>
          <w:numId w:val="16"/>
        </w:numPr>
        <w:ind w:hanging="792"/>
      </w:pPr>
      <w:bookmarkStart w:id="886" w:name="_Toc494799400"/>
      <w:bookmarkStart w:id="887" w:name="_Toc494805703"/>
      <w:bookmarkStart w:id="888" w:name="_Toc494805932"/>
      <w:bookmarkStart w:id="889" w:name="_Toc494808162"/>
      <w:bookmarkStart w:id="890" w:name="_Toc494808816"/>
      <w:bookmarkStart w:id="891" w:name="_Toc494815973"/>
      <w:bookmarkStart w:id="892" w:name="_Toc494818830"/>
      <w:bookmarkStart w:id="893" w:name="_Toc494819097"/>
      <w:bookmarkStart w:id="894" w:name="_Toc500320903"/>
      <w:r w:rsidRPr="00E24E5E">
        <w:t>Internet activities</w:t>
      </w:r>
      <w:bookmarkEnd w:id="886"/>
      <w:bookmarkEnd w:id="887"/>
      <w:bookmarkEnd w:id="888"/>
      <w:bookmarkEnd w:id="889"/>
      <w:bookmarkEnd w:id="890"/>
      <w:bookmarkEnd w:id="891"/>
      <w:bookmarkEnd w:id="892"/>
      <w:bookmarkEnd w:id="893"/>
      <w:bookmarkEnd w:id="894"/>
    </w:p>
    <w:p w14:paraId="364A0F97" w14:textId="77777777" w:rsidR="00EB1D5F" w:rsidRPr="00A14771" w:rsidRDefault="00EB1D5F" w:rsidP="00EB1D5F">
      <w:pPr>
        <w:pStyle w:val="Heading3"/>
      </w:pPr>
      <w:bookmarkStart w:id="895" w:name="_Toc494799401"/>
      <w:bookmarkStart w:id="896" w:name="_Toc494805704"/>
      <w:bookmarkStart w:id="897" w:name="_Toc494805933"/>
      <w:bookmarkStart w:id="898" w:name="_Toc494808163"/>
      <w:bookmarkStart w:id="899" w:name="_Toc494808817"/>
      <w:bookmarkStart w:id="900" w:name="_Toc494815974"/>
      <w:bookmarkStart w:id="901" w:name="_Toc494818831"/>
      <w:bookmarkStart w:id="902" w:name="_Toc494819098"/>
      <w:r w:rsidRPr="00E24E5E">
        <w:t xml:space="preserve">Performing </w:t>
      </w:r>
      <w:r w:rsidRPr="00A14771">
        <w:t>activities online</w:t>
      </w:r>
      <w:bookmarkEnd w:id="895"/>
      <w:bookmarkEnd w:id="896"/>
      <w:bookmarkEnd w:id="897"/>
      <w:bookmarkEnd w:id="898"/>
      <w:bookmarkEnd w:id="899"/>
      <w:bookmarkEnd w:id="900"/>
      <w:bookmarkEnd w:id="901"/>
      <w:bookmarkEnd w:id="902"/>
    </w:p>
    <w:p w14:paraId="5244DA70" w14:textId="77777777" w:rsidR="00EB1D5F" w:rsidRDefault="00EB1D5F" w:rsidP="009F6090">
      <w:pPr>
        <w:keepNext/>
        <w:keepLines/>
      </w:pPr>
      <w:r w:rsidRPr="00A14771">
        <w:t>Australian</w:t>
      </w:r>
      <w:r>
        <w:t xml:space="preserve"> adults</w:t>
      </w:r>
      <w:r w:rsidRPr="00A14771">
        <w:t xml:space="preserve"> participate in a diverse range of online activities</w:t>
      </w:r>
      <w:r w:rsidR="00AA40B6">
        <w:t>,</w:t>
      </w:r>
      <w:r>
        <w:t xml:space="preserve"> with </w:t>
      </w:r>
      <w:r w:rsidRPr="00A14771">
        <w:t>sending and receiving email (94</w:t>
      </w:r>
      <w:r w:rsidR="00AA40B6">
        <w:t> </w:t>
      </w:r>
      <w:r w:rsidRPr="00A14771">
        <w:t>per cent), research</w:t>
      </w:r>
      <w:r w:rsidR="00AA40B6">
        <w:t>ing</w:t>
      </w:r>
      <w:r w:rsidRPr="00A14771">
        <w:t xml:space="preserve"> or gather</w:t>
      </w:r>
      <w:r w:rsidR="00AA40B6">
        <w:t>ing</w:t>
      </w:r>
      <w:r w:rsidRPr="00A14771">
        <w:t xml:space="preserve"> information and general internet browsing (both at 93 per cent)</w:t>
      </w:r>
      <w:r>
        <w:t xml:space="preserve"> the most popular at June 2017</w:t>
      </w:r>
      <w:r w:rsidR="00461006">
        <w:t xml:space="preserve"> (Figure 2.8)</w:t>
      </w:r>
      <w:r w:rsidRPr="00A14771">
        <w:t>. These</w:t>
      </w:r>
      <w:r w:rsidR="006F3382">
        <w:t xml:space="preserve"> </w:t>
      </w:r>
      <w:r w:rsidRPr="00A14771">
        <w:t xml:space="preserve">online activities have generally high levels of engagement across all age groups. At June 2017, </w:t>
      </w:r>
      <w:r>
        <w:t>86 per cent of</w:t>
      </w:r>
      <w:r w:rsidRPr="00A14771">
        <w:t xml:space="preserve"> internet users aged 65 and over communicated using email and </w:t>
      </w:r>
      <w:r>
        <w:t xml:space="preserve">85 per cent </w:t>
      </w:r>
      <w:r w:rsidRPr="00A14771">
        <w:t>used the internet to research or gather information</w:t>
      </w:r>
      <w:r>
        <w:t>.</w:t>
      </w:r>
    </w:p>
    <w:p w14:paraId="367CD893" w14:textId="77777777" w:rsidR="00EB1D5F" w:rsidRPr="003A56D4" w:rsidRDefault="00EB1D5F" w:rsidP="003F4708">
      <w:pPr>
        <w:pStyle w:val="ACMAFigureHeader"/>
        <w:keepNext/>
        <w:ind w:left="1021" w:hanging="1021"/>
      </w:pPr>
      <w:r w:rsidRPr="00A14771">
        <w:t>Figure 2.</w:t>
      </w:r>
      <w:r w:rsidR="009E38BE">
        <w:t>8</w:t>
      </w:r>
      <w:r w:rsidRPr="00A14771">
        <w:tab/>
      </w:r>
      <w:r>
        <w:t xml:space="preserve">Activities </w:t>
      </w:r>
      <w:r w:rsidRPr="003A56D4">
        <w:t xml:space="preserve">performed online </w:t>
      </w:r>
      <w:r>
        <w:t xml:space="preserve">by Australian internet users, </w:t>
      </w:r>
      <w:r w:rsidR="00654004">
        <w:t xml:space="preserve">June </w:t>
      </w:r>
      <w:r>
        <w:t>2017</w:t>
      </w:r>
      <w:r w:rsidRPr="003A56D4">
        <w:t xml:space="preserve"> (percentage)</w:t>
      </w:r>
    </w:p>
    <w:p w14:paraId="6E8D49BB" w14:textId="77777777" w:rsidR="00EB1D5F" w:rsidRDefault="008B5C85" w:rsidP="003F4708">
      <w:pPr>
        <w:spacing w:after="0"/>
      </w:pPr>
      <w:r>
        <w:rPr>
          <w:noProof/>
        </w:rPr>
        <w:drawing>
          <wp:inline distT="0" distB="0" distL="0" distR="0" wp14:anchorId="492A967E" wp14:editId="6C3D6F1B">
            <wp:extent cx="6468035" cy="3616015"/>
            <wp:effectExtent l="0" t="0" r="0" b="3810"/>
            <wp:docPr id="55" name="Picture 55" descr="Data for Figure 2.7 is in the .ods file for Chapter 2 on the landing page ‘Communications report 2016-17’, available from the ACMA website." title="Figure 2.8  Activities performed online by Australian internet users,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Chapter 2_Figure 2.8.png"/>
                    <pic:cNvPicPr/>
                  </pic:nvPicPr>
                  <pic:blipFill rotWithShape="1">
                    <a:blip r:embed="rId73">
                      <a:extLst>
                        <a:ext uri="{28A0092B-C50C-407E-A947-70E740481C1C}">
                          <a14:useLocalDpi xmlns:a14="http://schemas.microsoft.com/office/drawing/2010/main" val="0"/>
                        </a:ext>
                      </a:extLst>
                    </a:blip>
                    <a:srcRect/>
                    <a:stretch/>
                  </pic:blipFill>
                  <pic:spPr bwMode="auto">
                    <a:xfrm>
                      <a:off x="0" y="0"/>
                      <a:ext cx="6479114" cy="3622209"/>
                    </a:xfrm>
                    <a:prstGeom prst="rect">
                      <a:avLst/>
                    </a:prstGeom>
                    <a:ln>
                      <a:noFill/>
                    </a:ln>
                    <a:extLst>
                      <a:ext uri="{53640926-AAD7-44D8-BBD7-CCE9431645EC}">
                        <a14:shadowObscured xmlns:a14="http://schemas.microsoft.com/office/drawing/2010/main"/>
                      </a:ext>
                    </a:extLst>
                  </pic:spPr>
                </pic:pic>
              </a:graphicData>
            </a:graphic>
          </wp:inline>
        </w:drawing>
      </w:r>
    </w:p>
    <w:p w14:paraId="3D526BF7" w14:textId="77777777" w:rsidR="00EB1D5F" w:rsidRPr="003A56D4" w:rsidRDefault="00EB1D5F" w:rsidP="005030FF">
      <w:pPr>
        <w:pStyle w:val="ACMANotes"/>
        <w:spacing w:before="240"/>
      </w:pPr>
      <w:r w:rsidRPr="003A56D4">
        <w:t>Base: Australians aged 18 and over who accessed the internet.</w:t>
      </w:r>
    </w:p>
    <w:p w14:paraId="1E04C543" w14:textId="77777777" w:rsidR="00EB1D5F" w:rsidRDefault="00EB1D5F" w:rsidP="00EB1D5F">
      <w:pPr>
        <w:pStyle w:val="ACMANotes"/>
      </w:pPr>
      <w:r w:rsidRPr="003A56D4">
        <w:t>Note: ‘Don’t know’ and ‘Prefer not to say’ re</w:t>
      </w:r>
      <w:r w:rsidRPr="006A7973">
        <w:t>sponses are excluded from analysis.</w:t>
      </w:r>
    </w:p>
    <w:p w14:paraId="38106FB6" w14:textId="77777777" w:rsidR="00A77ED6" w:rsidRDefault="00EB1D5F" w:rsidP="003F4708">
      <w:pPr>
        <w:pStyle w:val="ACMANotes"/>
        <w:spacing w:after="360"/>
      </w:pPr>
      <w:r w:rsidRPr="006C2CF5">
        <w:t>Source: ACMA-commissioned survey, June 2017.</w:t>
      </w:r>
      <w:bookmarkStart w:id="903" w:name="_Toc494799402"/>
      <w:bookmarkStart w:id="904" w:name="_Toc494805705"/>
      <w:bookmarkStart w:id="905" w:name="_Toc494805934"/>
      <w:bookmarkStart w:id="906" w:name="_Toc494808164"/>
      <w:bookmarkStart w:id="907" w:name="_Toc494808818"/>
      <w:bookmarkStart w:id="908" w:name="_Toc494815975"/>
      <w:bookmarkStart w:id="909" w:name="_Toc494818832"/>
      <w:bookmarkStart w:id="910" w:name="_Toc494819099"/>
    </w:p>
    <w:p w14:paraId="699A60D2" w14:textId="77777777" w:rsidR="00EB1D5F" w:rsidRPr="009A27B0" w:rsidRDefault="00EB1D5F" w:rsidP="0071742A">
      <w:pPr>
        <w:pStyle w:val="Heading3"/>
      </w:pPr>
      <w:r w:rsidRPr="009A27B0">
        <w:t>Accessing online video and audio content</w:t>
      </w:r>
      <w:bookmarkEnd w:id="903"/>
      <w:bookmarkEnd w:id="904"/>
      <w:bookmarkEnd w:id="905"/>
      <w:bookmarkEnd w:id="906"/>
      <w:bookmarkEnd w:id="907"/>
      <w:bookmarkEnd w:id="908"/>
      <w:bookmarkEnd w:id="909"/>
      <w:bookmarkEnd w:id="910"/>
    </w:p>
    <w:p w14:paraId="628151F9" w14:textId="77777777" w:rsidR="00EB1D5F" w:rsidRDefault="00A77ED6" w:rsidP="00EB1D5F">
      <w:r>
        <w:t xml:space="preserve">More </w:t>
      </w:r>
      <w:r w:rsidR="00EB1D5F" w:rsidRPr="00805509">
        <w:t>Australian</w:t>
      </w:r>
      <w:r w:rsidR="00EB1D5F">
        <w:t xml:space="preserve"> adults </w:t>
      </w:r>
      <w:r>
        <w:t xml:space="preserve">are </w:t>
      </w:r>
      <w:r w:rsidR="00EB1D5F" w:rsidRPr="00805509">
        <w:t>access</w:t>
      </w:r>
      <w:r>
        <w:t>ing</w:t>
      </w:r>
      <w:r w:rsidR="00EB1D5F" w:rsidRPr="00805509">
        <w:t xml:space="preserve"> video and audio content online.</w:t>
      </w:r>
      <w:r w:rsidR="00EB1D5F">
        <w:t xml:space="preserve"> </w:t>
      </w:r>
      <w:r>
        <w:t>In the six months to June 2017, e</w:t>
      </w:r>
      <w:r w:rsidR="00EB1D5F">
        <w:t xml:space="preserve">ight in </w:t>
      </w:r>
      <w:r>
        <w:t>10</w:t>
      </w:r>
      <w:r w:rsidR="00EB1D5F">
        <w:t xml:space="preserve"> Australian internet users viewed video content online</w:t>
      </w:r>
      <w:r>
        <w:t>,</w:t>
      </w:r>
      <w:r w:rsidR="00EB1D5F">
        <w:t xml:space="preserve"> while 60 per cent of online Australians accessed audio content such as internet radio or podcasts (Figure 2.</w:t>
      </w:r>
      <w:r w:rsidR="00AB37BB">
        <w:t>9</w:t>
      </w:r>
      <w:r w:rsidR="00EB1D5F">
        <w:t>).</w:t>
      </w:r>
    </w:p>
    <w:p w14:paraId="163296B3" w14:textId="77777777" w:rsidR="00EB1D5F" w:rsidRDefault="00A77ED6" w:rsidP="00EB1D5F">
      <w:pPr>
        <w:rPr>
          <w:highlight w:val="yellow"/>
        </w:rPr>
      </w:pPr>
      <w:r>
        <w:t>E</w:t>
      </w:r>
      <w:r w:rsidR="00EB1D5F">
        <w:t xml:space="preserve">ngagement </w:t>
      </w:r>
      <w:r>
        <w:t xml:space="preserve">with </w:t>
      </w:r>
      <w:r w:rsidR="00EB1D5F">
        <w:t>these activities</w:t>
      </w:r>
      <w:r w:rsidR="00EB1D5F" w:rsidRPr="00052A95">
        <w:t xml:space="preserve"> </w:t>
      </w:r>
      <w:r w:rsidR="00EB1D5F">
        <w:t>was</w:t>
      </w:r>
      <w:r w:rsidR="00EB1D5F" w:rsidRPr="00052A95">
        <w:t xml:space="preserve"> directly proportional to age</w:t>
      </w:r>
      <w:r>
        <w:t>—</w:t>
      </w:r>
      <w:r w:rsidR="00EB1D5F">
        <w:t>almost all users aged 18–24</w:t>
      </w:r>
      <w:r w:rsidR="00EB1D5F" w:rsidRPr="00052A95">
        <w:t xml:space="preserve"> </w:t>
      </w:r>
      <w:r w:rsidR="00EB1D5F">
        <w:t>access</w:t>
      </w:r>
      <w:r>
        <w:t>ed</w:t>
      </w:r>
      <w:r w:rsidR="00EB1D5F">
        <w:t xml:space="preserve"> online video content (98 per cent), with similar high levels of engagement among </w:t>
      </w:r>
      <w:r>
        <w:t xml:space="preserve">those aged </w:t>
      </w:r>
      <w:r w:rsidR="00EB1D5F">
        <w:t xml:space="preserve">24–34 </w:t>
      </w:r>
      <w:r>
        <w:t xml:space="preserve">(96 per cent) </w:t>
      </w:r>
      <w:r w:rsidR="00EB1D5F">
        <w:t>and 35–44 (91 per cent). In comparison, 84 per cent of users aged 18</w:t>
      </w:r>
      <w:r>
        <w:t>–</w:t>
      </w:r>
      <w:r w:rsidR="00EB1D5F">
        <w:t>24</w:t>
      </w:r>
      <w:r w:rsidR="00EB1D5F" w:rsidRPr="00052A95">
        <w:t xml:space="preserve"> </w:t>
      </w:r>
      <w:r w:rsidR="00EB1D5F">
        <w:t>accessed audio content in the six months to June 2017, dropping to 72 per cent for those aged 35–44.</w:t>
      </w:r>
    </w:p>
    <w:p w14:paraId="2DCC1151" w14:textId="77777777" w:rsidR="00EB1D5F" w:rsidRDefault="00A77ED6" w:rsidP="00EB1D5F">
      <w:r>
        <w:t>In the same period, 43</w:t>
      </w:r>
      <w:r w:rsidR="00EB1D5F">
        <w:t xml:space="preserve"> per cent of Australian internet users aged 65 and over viewed online video content, while only 21 per cent accessed audio content.</w:t>
      </w:r>
    </w:p>
    <w:p w14:paraId="08C1246D" w14:textId="77777777" w:rsidR="007C1430" w:rsidRDefault="00EB1D5F" w:rsidP="002F23BE">
      <w:r w:rsidRPr="002E1B57">
        <w:t>Further information on screen and viewing behaviour can be found in Chapter 3.</w:t>
      </w:r>
    </w:p>
    <w:p w14:paraId="749F0E76" w14:textId="77777777" w:rsidR="00154FB0" w:rsidRDefault="00154FB0" w:rsidP="003F4708">
      <w:pPr>
        <w:pStyle w:val="ACMAFigureHeader"/>
        <w:keepNext/>
      </w:pPr>
      <w:r w:rsidRPr="00A14771">
        <w:t>Figure 2.</w:t>
      </w:r>
      <w:r w:rsidR="009E38BE">
        <w:t>9</w:t>
      </w:r>
      <w:r w:rsidRPr="00A14771">
        <w:tab/>
      </w:r>
      <w:r>
        <w:t>Australians a</w:t>
      </w:r>
      <w:r w:rsidRPr="00A14771">
        <w:t>ccessing online video and audio content</w:t>
      </w:r>
      <w:r>
        <w:t>,</w:t>
      </w:r>
      <w:r w:rsidRPr="00A14771">
        <w:t xml:space="preserve"> by age</w:t>
      </w:r>
      <w:r>
        <w:t xml:space="preserve">, </w:t>
      </w:r>
      <w:r w:rsidR="002F23BE">
        <w:t xml:space="preserve">June </w:t>
      </w:r>
      <w:r>
        <w:t xml:space="preserve">2017 </w:t>
      </w:r>
      <w:r w:rsidRPr="00A14771">
        <w:t>(percentage</w:t>
      </w:r>
      <w:r w:rsidRPr="00052A95">
        <w:t>)</w:t>
      </w:r>
    </w:p>
    <w:p w14:paraId="14FAACCC" w14:textId="77777777" w:rsidR="00EB1D5F" w:rsidRDefault="00EE1AD0" w:rsidP="003F4708">
      <w:pPr>
        <w:spacing w:after="0"/>
      </w:pPr>
      <w:r>
        <w:rPr>
          <w:noProof/>
        </w:rPr>
        <w:drawing>
          <wp:inline distT="0" distB="0" distL="0" distR="0" wp14:anchorId="79D17FBD" wp14:editId="4678AE2F">
            <wp:extent cx="6135950" cy="1867151"/>
            <wp:effectExtent l="0" t="0" r="0" b="0"/>
            <wp:docPr id="13" name="Picture 13" descr="Data for Figure 2.9 is in the .ods file for Chapter 2 on the landing page ‘Communications report 2016-17’, available from the ACMA website." title="Figure 2.9  Australians accessing online video and audio content, by age,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hapter 2_Figure 2.9.png"/>
                    <pic:cNvPicPr/>
                  </pic:nvPicPr>
                  <pic:blipFill rotWithShape="1">
                    <a:blip r:embed="rId74">
                      <a:extLst>
                        <a:ext uri="{28A0092B-C50C-407E-A947-70E740481C1C}">
                          <a14:useLocalDpi xmlns:a14="http://schemas.microsoft.com/office/drawing/2010/main" val="0"/>
                        </a:ext>
                      </a:extLst>
                    </a:blip>
                    <a:srcRect r="10036"/>
                    <a:stretch/>
                  </pic:blipFill>
                  <pic:spPr bwMode="auto">
                    <a:xfrm>
                      <a:off x="0" y="0"/>
                      <a:ext cx="6190733" cy="1883821"/>
                    </a:xfrm>
                    <a:prstGeom prst="rect">
                      <a:avLst/>
                    </a:prstGeom>
                    <a:ln>
                      <a:noFill/>
                    </a:ln>
                    <a:extLst>
                      <a:ext uri="{53640926-AAD7-44D8-BBD7-CCE9431645EC}">
                        <a14:shadowObscured xmlns:a14="http://schemas.microsoft.com/office/drawing/2010/main"/>
                      </a:ext>
                    </a:extLst>
                  </pic:spPr>
                </pic:pic>
              </a:graphicData>
            </a:graphic>
          </wp:inline>
        </w:drawing>
      </w:r>
    </w:p>
    <w:p w14:paraId="6FC3BF2F" w14:textId="77777777" w:rsidR="00154FB0" w:rsidRPr="00052A95" w:rsidRDefault="00154FB0" w:rsidP="003F4708">
      <w:pPr>
        <w:pStyle w:val="ACMANotes"/>
        <w:spacing w:before="240"/>
      </w:pPr>
      <w:r w:rsidRPr="00052A95">
        <w:t>Base: Australians aged 18 and over who accessed the internet.</w:t>
      </w:r>
    </w:p>
    <w:p w14:paraId="438A6D4D" w14:textId="77777777" w:rsidR="00154FB0" w:rsidRDefault="00154FB0" w:rsidP="00154FB0">
      <w:pPr>
        <w:pStyle w:val="ACMANotes"/>
      </w:pPr>
      <w:r w:rsidRPr="006A7973">
        <w:t>Note: ‘Don’t know’ and ‘Prefer not to say’ responses are excluded from analysis.</w:t>
      </w:r>
    </w:p>
    <w:p w14:paraId="30900D4C" w14:textId="77777777" w:rsidR="00154FB0" w:rsidRDefault="00154FB0" w:rsidP="003F4708">
      <w:pPr>
        <w:pStyle w:val="ACMANotesspaceafter"/>
        <w:spacing w:after="360"/>
      </w:pPr>
      <w:r w:rsidRPr="00052A95">
        <w:t>Source: ACMA-commissioned survey, June 2017.</w:t>
      </w:r>
    </w:p>
    <w:p w14:paraId="215AECC9" w14:textId="77777777" w:rsidR="00154FB0" w:rsidRPr="00EE1A84" w:rsidRDefault="00154FB0" w:rsidP="00154FB0">
      <w:pPr>
        <w:pStyle w:val="Heading3"/>
      </w:pPr>
      <w:bookmarkStart w:id="911" w:name="_Toc494799403"/>
      <w:bookmarkStart w:id="912" w:name="_Toc494805706"/>
      <w:bookmarkStart w:id="913" w:name="_Toc494805935"/>
      <w:bookmarkStart w:id="914" w:name="_Toc494808165"/>
      <w:bookmarkStart w:id="915" w:name="_Toc494808819"/>
      <w:bookmarkStart w:id="916" w:name="_Toc494815976"/>
      <w:bookmarkStart w:id="917" w:name="_Toc494818833"/>
      <w:bookmarkStart w:id="918" w:name="_Toc494819100"/>
      <w:r w:rsidRPr="00EE1A84">
        <w:t>Social media activities</w:t>
      </w:r>
      <w:bookmarkEnd w:id="911"/>
      <w:bookmarkEnd w:id="912"/>
      <w:bookmarkEnd w:id="913"/>
      <w:bookmarkEnd w:id="914"/>
      <w:bookmarkEnd w:id="915"/>
      <w:bookmarkEnd w:id="916"/>
      <w:bookmarkEnd w:id="917"/>
      <w:bookmarkEnd w:id="918"/>
      <w:r w:rsidRPr="00EE1A84">
        <w:t xml:space="preserve"> </w:t>
      </w:r>
    </w:p>
    <w:p w14:paraId="383A9C22" w14:textId="77777777" w:rsidR="00154FB0" w:rsidRDefault="00154FB0" w:rsidP="00154FB0">
      <w:pPr>
        <w:pStyle w:val="ACMASpaceaftertable"/>
      </w:pPr>
      <w:r>
        <w:t xml:space="preserve">At June 2017, </w:t>
      </w:r>
      <w:r w:rsidRPr="00EE1A84">
        <w:t>72 per cent</w:t>
      </w:r>
      <w:r>
        <w:t xml:space="preserve"> of online Australian adults </w:t>
      </w:r>
      <w:r w:rsidR="00653667">
        <w:t xml:space="preserve">had been </w:t>
      </w:r>
      <w:r>
        <w:t>active</w:t>
      </w:r>
      <w:r w:rsidRPr="00EE1A84">
        <w:t xml:space="preserve"> on social media sites like </w:t>
      </w:r>
      <w:r w:rsidRPr="00A14771">
        <w:t xml:space="preserve">Facebook </w:t>
      </w:r>
      <w:r>
        <w:t xml:space="preserve">in the last six months </w:t>
      </w:r>
      <w:r w:rsidRPr="00A14771">
        <w:t>(</w:t>
      </w:r>
      <w:r w:rsidRPr="00C448F7">
        <w:t>Figure 2.1</w:t>
      </w:r>
      <w:r w:rsidR="00AB37BB">
        <w:t>0</w:t>
      </w:r>
      <w:r w:rsidRPr="00C448F7">
        <w:t xml:space="preserve">). </w:t>
      </w:r>
      <w:r>
        <w:t>S</w:t>
      </w:r>
      <w:r w:rsidRPr="00C448F7">
        <w:t xml:space="preserve">ocial media </w:t>
      </w:r>
      <w:r>
        <w:t>use, including</w:t>
      </w:r>
      <w:r w:rsidRPr="00C448F7">
        <w:t xml:space="preserve"> posting photos or comments</w:t>
      </w:r>
      <w:r>
        <w:t xml:space="preserve"> on social media sites, was highest for users aged 18–24 (97 per cent) and lowest for users</w:t>
      </w:r>
      <w:r w:rsidRPr="00C448F7">
        <w:t xml:space="preserve"> aged 65 years and over</w:t>
      </w:r>
      <w:r>
        <w:t xml:space="preserve"> (36 per cent)</w:t>
      </w:r>
      <w:r w:rsidRPr="00C448F7">
        <w:t xml:space="preserve">. </w:t>
      </w:r>
      <w:r>
        <w:t>Women</w:t>
      </w:r>
      <w:r w:rsidRPr="00C448F7">
        <w:t xml:space="preserve"> (77 per cent) were significantly more likely</w:t>
      </w:r>
      <w:r w:rsidRPr="00EE1A84">
        <w:t xml:space="preserve"> than m</w:t>
      </w:r>
      <w:r>
        <w:t>en</w:t>
      </w:r>
      <w:r w:rsidRPr="00EE1A84">
        <w:t xml:space="preserve"> (</w:t>
      </w:r>
      <w:r>
        <w:t>66</w:t>
      </w:r>
      <w:r w:rsidRPr="00EE1A84">
        <w:t xml:space="preserve"> per cent) to </w:t>
      </w:r>
      <w:r>
        <w:t xml:space="preserve">actively </w:t>
      </w:r>
      <w:r w:rsidRPr="00EE1A84">
        <w:t xml:space="preserve">use social </w:t>
      </w:r>
      <w:r>
        <w:t>media in the six months to June 2017</w:t>
      </w:r>
      <w:r w:rsidRPr="00EE1A84">
        <w:t>.</w:t>
      </w:r>
      <w:r w:rsidRPr="00EE1A84">
        <w:rPr>
          <w:vertAlign w:val="superscript"/>
        </w:rPr>
        <w:endnoteReference w:id="152"/>
      </w:r>
    </w:p>
    <w:p w14:paraId="3B849846" w14:textId="77777777" w:rsidR="00154FB0" w:rsidRDefault="00154FB0" w:rsidP="003F4708">
      <w:pPr>
        <w:pStyle w:val="ACMAFigureHeader"/>
      </w:pPr>
      <w:r w:rsidRPr="00A14771">
        <w:t>Figure 2.</w:t>
      </w:r>
      <w:r w:rsidR="009E38BE">
        <w:t>10</w:t>
      </w:r>
      <w:r w:rsidRPr="00A14771">
        <w:tab/>
        <w:t>Social</w:t>
      </w:r>
      <w:r w:rsidRPr="001E1C42">
        <w:t xml:space="preserve"> media</w:t>
      </w:r>
      <w:r>
        <w:t xml:space="preserve"> use, by age, </w:t>
      </w:r>
      <w:r w:rsidR="002F23BE">
        <w:t xml:space="preserve">June </w:t>
      </w:r>
      <w:r>
        <w:t xml:space="preserve">2017 </w:t>
      </w:r>
      <w:r w:rsidRPr="001E1C42">
        <w:t>(percentage)</w:t>
      </w:r>
    </w:p>
    <w:p w14:paraId="68D279B0" w14:textId="77777777" w:rsidR="00154FB0" w:rsidRPr="00052A95" w:rsidRDefault="00EE1AD0" w:rsidP="00DB102D">
      <w:pPr>
        <w:pStyle w:val="ACMANotesspaceafter"/>
        <w:spacing w:after="120"/>
      </w:pPr>
      <w:r>
        <w:rPr>
          <w:noProof/>
        </w:rPr>
        <w:drawing>
          <wp:inline distT="0" distB="0" distL="0" distR="0" wp14:anchorId="2915F092" wp14:editId="1EB63694">
            <wp:extent cx="5947719" cy="1486930"/>
            <wp:effectExtent l="0" t="0" r="0" b="0"/>
            <wp:docPr id="19" name="Picture 19" descr="Data for Figure 2.10 is in the .ods file for Chapter 2 on the landing page ‘Communications report 2016-17’, available from the ACMA website." title="Figure 2.10  Social media use, by age,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hapter 2_Figure 2.10.png"/>
                    <pic:cNvPicPr/>
                  </pic:nvPicPr>
                  <pic:blipFill>
                    <a:blip r:embed="rId75">
                      <a:extLst>
                        <a:ext uri="{28A0092B-C50C-407E-A947-70E740481C1C}">
                          <a14:useLocalDpi xmlns:a14="http://schemas.microsoft.com/office/drawing/2010/main" val="0"/>
                        </a:ext>
                      </a:extLst>
                    </a:blip>
                    <a:stretch>
                      <a:fillRect/>
                    </a:stretch>
                  </pic:blipFill>
                  <pic:spPr>
                    <a:xfrm>
                      <a:off x="0" y="0"/>
                      <a:ext cx="5989826" cy="1497457"/>
                    </a:xfrm>
                    <a:prstGeom prst="rect">
                      <a:avLst/>
                    </a:prstGeom>
                  </pic:spPr>
                </pic:pic>
              </a:graphicData>
            </a:graphic>
          </wp:inline>
        </w:drawing>
      </w:r>
    </w:p>
    <w:p w14:paraId="6D9340FB" w14:textId="77777777" w:rsidR="00154FB0" w:rsidRPr="00796128" w:rsidRDefault="00154FB0" w:rsidP="003F4708">
      <w:pPr>
        <w:pStyle w:val="ACMANotes"/>
        <w:spacing w:before="240"/>
      </w:pPr>
      <w:r w:rsidRPr="00796128">
        <w:t>Base: Australians aged 18 and over who accessed the internet.</w:t>
      </w:r>
    </w:p>
    <w:p w14:paraId="4530DA8A" w14:textId="77777777" w:rsidR="00154FB0" w:rsidRPr="00796128" w:rsidRDefault="00154FB0" w:rsidP="00154FB0">
      <w:pPr>
        <w:pStyle w:val="ACMANotes"/>
      </w:pPr>
      <w:r w:rsidRPr="006A7973">
        <w:t>Note: ‘Don’t know’ and ‘Prefer not to say’ responses are excluded from analysis.</w:t>
      </w:r>
    </w:p>
    <w:p w14:paraId="7E3CB59F" w14:textId="77777777" w:rsidR="00154FB0" w:rsidRDefault="00154FB0" w:rsidP="003F4708">
      <w:pPr>
        <w:pStyle w:val="ACMANotesspaceafter"/>
        <w:spacing w:after="360"/>
      </w:pPr>
      <w:r w:rsidRPr="00796128">
        <w:t xml:space="preserve">Source: ACMA-commissioned survey, June 2017. </w:t>
      </w:r>
    </w:p>
    <w:p w14:paraId="7A109EA0" w14:textId="77777777" w:rsidR="00154FB0" w:rsidRPr="00E24E5E" w:rsidRDefault="00154FB0" w:rsidP="00154FB0">
      <w:pPr>
        <w:pStyle w:val="Heading2"/>
        <w:numPr>
          <w:ilvl w:val="1"/>
          <w:numId w:val="16"/>
        </w:numPr>
        <w:ind w:hanging="792"/>
      </w:pPr>
      <w:bookmarkStart w:id="919" w:name="_Toc494799404"/>
      <w:bookmarkStart w:id="920" w:name="_Toc494805707"/>
      <w:bookmarkStart w:id="921" w:name="_Toc494805936"/>
      <w:bookmarkStart w:id="922" w:name="_Toc494808166"/>
      <w:bookmarkStart w:id="923" w:name="_Toc494808820"/>
      <w:bookmarkStart w:id="924" w:name="_Toc494815977"/>
      <w:bookmarkStart w:id="925" w:name="_Toc494818834"/>
      <w:bookmarkStart w:id="926" w:name="_Toc494819101"/>
      <w:bookmarkStart w:id="927" w:name="_Toc500320904"/>
      <w:r>
        <w:t>Communications apps</w:t>
      </w:r>
      <w:bookmarkEnd w:id="919"/>
      <w:bookmarkEnd w:id="920"/>
      <w:bookmarkEnd w:id="921"/>
      <w:bookmarkEnd w:id="922"/>
      <w:bookmarkEnd w:id="923"/>
      <w:bookmarkEnd w:id="924"/>
      <w:bookmarkEnd w:id="925"/>
      <w:bookmarkEnd w:id="926"/>
      <w:bookmarkEnd w:id="927"/>
    </w:p>
    <w:p w14:paraId="6AA268B8" w14:textId="77777777" w:rsidR="00154FB0" w:rsidRPr="007A755F" w:rsidRDefault="00154FB0" w:rsidP="0039538F">
      <w:pPr>
        <w:keepNext/>
        <w:keepLines/>
      </w:pPr>
      <w:r>
        <w:t>At</w:t>
      </w:r>
      <w:r w:rsidRPr="00BA1158">
        <w:t xml:space="preserve"> June 2017, 88 per cent</w:t>
      </w:r>
      <w:r>
        <w:t xml:space="preserve"> of Australian internet users</w:t>
      </w:r>
      <w:r w:rsidRPr="00BA1158">
        <w:t xml:space="preserve"> had used an app to communicate</w:t>
      </w:r>
      <w:r>
        <w:t xml:space="preserve"> via messages or voice or video calls</w:t>
      </w:r>
      <w:r w:rsidRPr="008C3D98">
        <w:t xml:space="preserve"> </w:t>
      </w:r>
      <w:r w:rsidRPr="007A755F">
        <w:t xml:space="preserve">in the </w:t>
      </w:r>
      <w:r>
        <w:t xml:space="preserve">last </w:t>
      </w:r>
      <w:r w:rsidRPr="007A755F">
        <w:t>six months</w:t>
      </w:r>
      <w:r w:rsidRPr="00BA1158">
        <w:t>—</w:t>
      </w:r>
      <w:r>
        <w:t>u</w:t>
      </w:r>
      <w:r w:rsidRPr="007A755F">
        <w:t>s</w:t>
      </w:r>
      <w:r>
        <w:t>ing</w:t>
      </w:r>
      <w:r w:rsidRPr="007A755F">
        <w:t xml:space="preserve"> apps to send messages </w:t>
      </w:r>
      <w:r>
        <w:t xml:space="preserve">was the most popular (85 per cent). Just over four in </w:t>
      </w:r>
      <w:r w:rsidR="00FE07EB">
        <w:t xml:space="preserve">10 </w:t>
      </w:r>
      <w:r w:rsidRPr="007A755F">
        <w:t>(42</w:t>
      </w:r>
      <w:r w:rsidR="00FE07EB">
        <w:t> </w:t>
      </w:r>
      <w:r w:rsidRPr="007A755F">
        <w:t xml:space="preserve">per cent) </w:t>
      </w:r>
      <w:r w:rsidR="00FE07EB">
        <w:t>did all three</w:t>
      </w:r>
      <w:r w:rsidRPr="007A755F">
        <w:t xml:space="preserve">. </w:t>
      </w:r>
    </w:p>
    <w:p w14:paraId="739839C6" w14:textId="77777777" w:rsidR="00154FB0" w:rsidRDefault="00154FB0" w:rsidP="003F4708">
      <w:pPr>
        <w:pStyle w:val="ACMAFigureHeader"/>
        <w:keepNext/>
        <w:ind w:left="1021" w:hanging="1021"/>
      </w:pPr>
      <w:r w:rsidRPr="007A755F">
        <w:t>Figure 2.1</w:t>
      </w:r>
      <w:r w:rsidR="009E38BE">
        <w:t>1</w:t>
      </w:r>
      <w:r w:rsidRPr="007A755F">
        <w:tab/>
        <w:t>Use of communications</w:t>
      </w:r>
      <w:r>
        <w:t xml:space="preserve"> apps,</w:t>
      </w:r>
      <w:r w:rsidRPr="000D39CE">
        <w:t xml:space="preserve"> by activity</w:t>
      </w:r>
      <w:r w:rsidR="00DC3F2E">
        <w:t>, June 2017</w:t>
      </w:r>
      <w:r w:rsidRPr="000D39CE">
        <w:t>(percentage)</w:t>
      </w:r>
    </w:p>
    <w:p w14:paraId="31ED6674" w14:textId="77777777" w:rsidR="00154FB0" w:rsidRDefault="00961ECC" w:rsidP="00607F01">
      <w:pPr>
        <w:pStyle w:val="ACMAFigureHeader"/>
        <w:keepNext/>
        <w:spacing w:after="120"/>
        <w:ind w:left="1021" w:hanging="1021"/>
      </w:pPr>
      <w:r>
        <w:rPr>
          <w:noProof/>
        </w:rPr>
        <w:drawing>
          <wp:inline distT="0" distB="0" distL="0" distR="0" wp14:anchorId="1FDAAD8E" wp14:editId="3DC15E22">
            <wp:extent cx="5404156" cy="2517289"/>
            <wp:effectExtent l="0" t="0" r="6350" b="0"/>
            <wp:docPr id="6" name="Picture 6" descr="Data for Figure 2.11 is in the .ods file for Chapter 2 on the landing page ‘Communications report 2016-17’, available from the ACMA website." title="Figure 2.11  Use of communications apps, by activity, June 2017(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hapter 2_Figure 2.11.png"/>
                    <pic:cNvPicPr/>
                  </pic:nvPicPr>
                  <pic:blipFill rotWithShape="1">
                    <a:blip r:embed="rId76">
                      <a:extLst>
                        <a:ext uri="{28A0092B-C50C-407E-A947-70E740481C1C}">
                          <a14:useLocalDpi xmlns:a14="http://schemas.microsoft.com/office/drawing/2010/main" val="0"/>
                        </a:ext>
                      </a:extLst>
                    </a:blip>
                    <a:srcRect t="1959" r="16697" b="3263"/>
                    <a:stretch/>
                  </pic:blipFill>
                  <pic:spPr bwMode="auto">
                    <a:xfrm>
                      <a:off x="0" y="0"/>
                      <a:ext cx="5416153" cy="2522877"/>
                    </a:xfrm>
                    <a:prstGeom prst="rect">
                      <a:avLst/>
                    </a:prstGeom>
                    <a:ln>
                      <a:noFill/>
                    </a:ln>
                    <a:extLst>
                      <a:ext uri="{53640926-AAD7-44D8-BBD7-CCE9431645EC}">
                        <a14:shadowObscured xmlns:a14="http://schemas.microsoft.com/office/drawing/2010/main"/>
                      </a:ext>
                    </a:extLst>
                  </pic:spPr>
                </pic:pic>
              </a:graphicData>
            </a:graphic>
          </wp:inline>
        </w:drawing>
      </w:r>
    </w:p>
    <w:p w14:paraId="7B803DFD" w14:textId="77777777" w:rsidR="00154FB0" w:rsidRPr="00796128" w:rsidRDefault="00154FB0" w:rsidP="003F4708">
      <w:pPr>
        <w:pStyle w:val="ACMANotes"/>
        <w:spacing w:before="240"/>
      </w:pPr>
      <w:r w:rsidRPr="00796128">
        <w:t>Base: Australians aged 18 and over who accessed the internet.</w:t>
      </w:r>
    </w:p>
    <w:p w14:paraId="01D7088D" w14:textId="77777777" w:rsidR="00154FB0" w:rsidRPr="00D609AB" w:rsidRDefault="00154FB0" w:rsidP="00154FB0">
      <w:pPr>
        <w:pStyle w:val="ACMANotes"/>
      </w:pPr>
      <w:r w:rsidRPr="00D73060">
        <w:t xml:space="preserve">Note: ‘Don’t know’ and ‘Prefer not to say’ responses are excluded from analysis. </w:t>
      </w:r>
    </w:p>
    <w:p w14:paraId="316FC398" w14:textId="77777777" w:rsidR="00154FB0" w:rsidRDefault="00154FB0" w:rsidP="003F4708">
      <w:pPr>
        <w:pStyle w:val="ACMANotesspaceafter"/>
        <w:spacing w:after="360"/>
      </w:pPr>
      <w:r w:rsidRPr="00796128">
        <w:t xml:space="preserve">Source: ACMA-commissioned survey, </w:t>
      </w:r>
      <w:r>
        <w:t xml:space="preserve">June </w:t>
      </w:r>
      <w:r w:rsidRPr="00796128">
        <w:t xml:space="preserve">2017. </w:t>
      </w:r>
    </w:p>
    <w:p w14:paraId="27AF64CE" w14:textId="77777777" w:rsidR="00154FB0" w:rsidRDefault="00154FB0" w:rsidP="00CE7584">
      <w:pPr>
        <w:keepNext/>
      </w:pPr>
      <w:r w:rsidRPr="00494D35">
        <w:t xml:space="preserve">Younger Australians </w:t>
      </w:r>
      <w:r>
        <w:t xml:space="preserve">were </w:t>
      </w:r>
      <w:r w:rsidRPr="00675C74">
        <w:t>the most active users of communications apps</w:t>
      </w:r>
      <w:r w:rsidR="00FE07EB">
        <w:t xml:space="preserve">, </w:t>
      </w:r>
      <w:r>
        <w:t xml:space="preserve">with 98 per cent of </w:t>
      </w:r>
      <w:r w:rsidR="00FE07EB">
        <w:t xml:space="preserve">those aged </w:t>
      </w:r>
      <w:r w:rsidRPr="00675C74">
        <w:t>18</w:t>
      </w:r>
      <w:r>
        <w:t>–</w:t>
      </w:r>
      <w:r w:rsidRPr="00675C74">
        <w:t xml:space="preserve">24 </w:t>
      </w:r>
      <w:r>
        <w:t xml:space="preserve">using an app to send messages </w:t>
      </w:r>
      <w:r w:rsidRPr="00675C74">
        <w:t>(Figure 2.1</w:t>
      </w:r>
      <w:r w:rsidR="00AB37BB">
        <w:t>2</w:t>
      </w:r>
      <w:r w:rsidRPr="00675C74">
        <w:t xml:space="preserve">). </w:t>
      </w:r>
      <w:r w:rsidR="00FE07EB">
        <w:t>There was also high u</w:t>
      </w:r>
      <w:r>
        <w:t>s</w:t>
      </w:r>
      <w:r w:rsidRPr="00BE09E2">
        <w:t xml:space="preserve">e among </w:t>
      </w:r>
      <w:r>
        <w:t xml:space="preserve">those aged </w:t>
      </w:r>
      <w:r w:rsidRPr="00BE09E2">
        <w:t>25</w:t>
      </w:r>
      <w:r>
        <w:t>–</w:t>
      </w:r>
      <w:r w:rsidRPr="00BE09E2">
        <w:t>34</w:t>
      </w:r>
      <w:r>
        <w:t xml:space="preserve"> </w:t>
      </w:r>
      <w:r w:rsidRPr="00BE09E2">
        <w:t>(95 per cent)</w:t>
      </w:r>
      <w:r>
        <w:t xml:space="preserve"> and </w:t>
      </w:r>
      <w:r w:rsidRPr="00BE09E2">
        <w:t>35</w:t>
      </w:r>
      <w:r>
        <w:t>–</w:t>
      </w:r>
      <w:r w:rsidRPr="00BE09E2">
        <w:t>44 year old</w:t>
      </w:r>
      <w:r>
        <w:t>s (</w:t>
      </w:r>
      <w:r w:rsidRPr="00BE09E2">
        <w:t>88 per cent</w:t>
      </w:r>
      <w:r>
        <w:t>)</w:t>
      </w:r>
      <w:r w:rsidR="00FE07EB">
        <w:t>, dropping to</w:t>
      </w:r>
      <w:r>
        <w:t xml:space="preserve"> 61 per cent </w:t>
      </w:r>
      <w:r w:rsidR="00FE07EB">
        <w:t>for</w:t>
      </w:r>
      <w:r>
        <w:t xml:space="preserve"> those</w:t>
      </w:r>
      <w:r w:rsidRPr="00BE09E2">
        <w:t xml:space="preserve"> aged 65 and over</w:t>
      </w:r>
      <w:r w:rsidRPr="00675C74">
        <w:t>.</w:t>
      </w:r>
    </w:p>
    <w:p w14:paraId="0EBB015D" w14:textId="77777777" w:rsidR="00154FB0" w:rsidRDefault="00154FB0" w:rsidP="003F4708">
      <w:pPr>
        <w:pStyle w:val="ACMAFigureHeader"/>
        <w:keepNext/>
        <w:ind w:left="1021" w:hanging="1021"/>
        <w:rPr>
          <w:noProof/>
        </w:rPr>
      </w:pPr>
      <w:r w:rsidRPr="00675C74">
        <w:t>Figure 2.1</w:t>
      </w:r>
      <w:r w:rsidR="009E38BE">
        <w:t>2</w:t>
      </w:r>
      <w:r w:rsidRPr="00675C74">
        <w:tab/>
        <w:t>Use of communications</w:t>
      </w:r>
      <w:r w:rsidRPr="00D609AB">
        <w:t xml:space="preserve"> apps</w:t>
      </w:r>
      <w:r>
        <w:t>,</w:t>
      </w:r>
      <w:r w:rsidRPr="00D609AB">
        <w:t xml:space="preserve"> by activity and age</w:t>
      </w:r>
      <w:r w:rsidR="003F5CE2">
        <w:t xml:space="preserve">, </w:t>
      </w:r>
      <w:r w:rsidR="00DC3F2E">
        <w:t>June</w:t>
      </w:r>
      <w:r>
        <w:t xml:space="preserve"> 2017</w:t>
      </w:r>
      <w:r w:rsidRPr="00D609AB">
        <w:t xml:space="preserve"> (percentage)</w:t>
      </w:r>
      <w:r w:rsidRPr="004434FD">
        <w:rPr>
          <w:noProof/>
        </w:rPr>
        <w:t xml:space="preserve"> </w:t>
      </w:r>
    </w:p>
    <w:p w14:paraId="37300E0C" w14:textId="5F1433E3" w:rsidR="00154FB0" w:rsidRDefault="00666C13" w:rsidP="00607F01">
      <w:pPr>
        <w:spacing w:after="120"/>
      </w:pPr>
      <w:r>
        <w:rPr>
          <w:noProof/>
        </w:rPr>
        <w:drawing>
          <wp:inline distT="0" distB="0" distL="0" distR="0" wp14:anchorId="25176F32" wp14:editId="23096A1C">
            <wp:extent cx="5940425" cy="2208530"/>
            <wp:effectExtent l="0" t="0" r="3175" b="1270"/>
            <wp:docPr id="49" name="Picture 49" descr="Data for Figure 2.12 is in the .ods file for Chapter 2 on the landing page ‘Communications report 2016-17’, available from the ACMA website." title="Figure 2.12  Use of communications apps, by activity and age, June 2017 (percent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hapter 2_Figure 2.12.png"/>
                    <pic:cNvPicPr/>
                  </pic:nvPicPr>
                  <pic:blipFill>
                    <a:blip r:embed="rId77">
                      <a:extLst>
                        <a:ext uri="{28A0092B-C50C-407E-A947-70E740481C1C}">
                          <a14:useLocalDpi xmlns:a14="http://schemas.microsoft.com/office/drawing/2010/main" val="0"/>
                        </a:ext>
                      </a:extLst>
                    </a:blip>
                    <a:stretch>
                      <a:fillRect/>
                    </a:stretch>
                  </pic:blipFill>
                  <pic:spPr>
                    <a:xfrm>
                      <a:off x="0" y="0"/>
                      <a:ext cx="5940425" cy="2208530"/>
                    </a:xfrm>
                    <a:prstGeom prst="rect">
                      <a:avLst/>
                    </a:prstGeom>
                  </pic:spPr>
                </pic:pic>
              </a:graphicData>
            </a:graphic>
          </wp:inline>
        </w:drawing>
      </w:r>
    </w:p>
    <w:p w14:paraId="4997C437" w14:textId="77777777" w:rsidR="00154FB0" w:rsidRPr="00D609AB" w:rsidRDefault="00154FB0" w:rsidP="003F4708">
      <w:pPr>
        <w:pStyle w:val="ACMANotes"/>
        <w:spacing w:before="240"/>
      </w:pPr>
      <w:r w:rsidRPr="00D609AB">
        <w:t>Base: Australians aged 18 and over who accessed the internet.</w:t>
      </w:r>
    </w:p>
    <w:p w14:paraId="5E4F545C" w14:textId="77777777" w:rsidR="00154FB0" w:rsidRPr="00796128" w:rsidRDefault="00154FB0" w:rsidP="00154FB0">
      <w:pPr>
        <w:pStyle w:val="ACMANotes"/>
      </w:pPr>
      <w:r w:rsidRPr="006A7973">
        <w:t>Note: ‘Don’t know’ and ‘Prefer not to say’ responses are excluded from analysis.</w:t>
      </w:r>
    </w:p>
    <w:p w14:paraId="24643A38" w14:textId="77777777" w:rsidR="00FE07EB" w:rsidRDefault="00154FB0" w:rsidP="003F4708">
      <w:pPr>
        <w:pStyle w:val="ACMANotes"/>
        <w:spacing w:after="360"/>
      </w:pPr>
      <w:r w:rsidRPr="00D609AB">
        <w:t xml:space="preserve">Source: ACMA-commissioned survey, </w:t>
      </w:r>
      <w:r>
        <w:t>June</w:t>
      </w:r>
      <w:r w:rsidRPr="00D609AB">
        <w:t xml:space="preserve"> 201</w:t>
      </w:r>
      <w:r>
        <w:t>7</w:t>
      </w:r>
      <w:r w:rsidRPr="00D609AB">
        <w:t>.</w:t>
      </w:r>
    </w:p>
    <w:p w14:paraId="341A464B" w14:textId="77777777" w:rsidR="00154FB0" w:rsidRPr="00D21CD0" w:rsidRDefault="00154FB0" w:rsidP="00154FB0">
      <w:pPr>
        <w:pStyle w:val="Heading3"/>
      </w:pPr>
      <w:r w:rsidRPr="00D21CD0">
        <w:t xml:space="preserve">Communications apps in use </w:t>
      </w:r>
    </w:p>
    <w:p w14:paraId="6F077DD1" w14:textId="77777777" w:rsidR="00154FB0" w:rsidRPr="00675C74" w:rsidRDefault="00154FB0" w:rsidP="00737622">
      <w:pPr>
        <w:keepNext/>
      </w:pPr>
      <w:r>
        <w:t xml:space="preserve">At June 2017, </w:t>
      </w:r>
      <w:r w:rsidRPr="0081741C">
        <w:t xml:space="preserve">Facebook Messenger </w:t>
      </w:r>
      <w:r>
        <w:t>was</w:t>
      </w:r>
      <w:r w:rsidRPr="0081741C">
        <w:t xml:space="preserve"> the most preferred communications app</w:t>
      </w:r>
      <w:r>
        <w:t xml:space="preserve">, with </w:t>
      </w:r>
      <w:r w:rsidRPr="0081741C">
        <w:t xml:space="preserve">62 per cent of </w:t>
      </w:r>
      <w:r w:rsidRPr="00675C74">
        <w:t>online Australian</w:t>
      </w:r>
      <w:r>
        <w:t xml:space="preserve"> adults</w:t>
      </w:r>
      <w:r w:rsidRPr="00675C74">
        <w:t xml:space="preserve"> using it to either send messages</w:t>
      </w:r>
      <w:r w:rsidR="00FE07EB">
        <w:t>,</w:t>
      </w:r>
      <w:r w:rsidRPr="00675C74">
        <w:t xml:space="preserve"> or make voice or vi</w:t>
      </w:r>
      <w:r>
        <w:t>deo calls (Figure 2.1</w:t>
      </w:r>
      <w:r w:rsidR="00AB37BB">
        <w:t>3</w:t>
      </w:r>
      <w:r w:rsidRPr="00675C74">
        <w:t xml:space="preserve">). </w:t>
      </w:r>
    </w:p>
    <w:p w14:paraId="0D729B36" w14:textId="77777777" w:rsidR="00154FB0" w:rsidRDefault="00154FB0" w:rsidP="003F4708">
      <w:pPr>
        <w:pStyle w:val="ACMAFigureHeader"/>
        <w:keepNext/>
      </w:pPr>
      <w:r>
        <w:t>Figure 2.1</w:t>
      </w:r>
      <w:r w:rsidR="009E38BE">
        <w:t>3</w:t>
      </w:r>
      <w:r w:rsidRPr="00675C74">
        <w:tab/>
        <w:t xml:space="preserve">Top </w:t>
      </w:r>
      <w:r w:rsidR="00FE07EB">
        <w:t>five</w:t>
      </w:r>
      <w:r w:rsidRPr="00675C74">
        <w:t xml:space="preserve"> communications</w:t>
      </w:r>
      <w:r w:rsidRPr="00E31107">
        <w:t xml:space="preserve"> apps used</w:t>
      </w:r>
      <w:r>
        <w:t xml:space="preserve">, </w:t>
      </w:r>
      <w:r w:rsidR="00FC64E6">
        <w:t>June</w:t>
      </w:r>
      <w:r w:rsidR="00BB32B0">
        <w:t xml:space="preserve"> </w:t>
      </w:r>
      <w:r>
        <w:t>2017</w:t>
      </w:r>
      <w:r w:rsidRPr="00E31107">
        <w:t xml:space="preserve"> (percentage)</w:t>
      </w:r>
    </w:p>
    <w:p w14:paraId="00B929D5" w14:textId="77777777" w:rsidR="00154FB0" w:rsidRDefault="000E0473" w:rsidP="00607F01">
      <w:pPr>
        <w:spacing w:after="120"/>
      </w:pPr>
      <w:r>
        <w:rPr>
          <w:noProof/>
        </w:rPr>
        <w:drawing>
          <wp:inline distT="0" distB="0" distL="0" distR="0" wp14:anchorId="005DA402" wp14:editId="4AB4E904">
            <wp:extent cx="5739319" cy="1687892"/>
            <wp:effectExtent l="0" t="0" r="0" b="7620"/>
            <wp:docPr id="16" name="Picture 16" descr="Data for Figure 2.13 is in the .ods file for Chapter 2 on the landing page ‘Communications report 2016-17’, available from the ACMA website." title="Figure 2.13  Top five communications apps used,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hapter 2_Figure 2.13.png"/>
                    <pic:cNvPicPr/>
                  </pic:nvPicPr>
                  <pic:blipFill rotWithShape="1">
                    <a:blip r:embed="rId78">
                      <a:extLst>
                        <a:ext uri="{28A0092B-C50C-407E-A947-70E740481C1C}">
                          <a14:useLocalDpi xmlns:a14="http://schemas.microsoft.com/office/drawing/2010/main" val="0"/>
                        </a:ext>
                      </a:extLst>
                    </a:blip>
                    <a:srcRect t="2875" r="10585" b="2837"/>
                    <a:stretch/>
                  </pic:blipFill>
                  <pic:spPr bwMode="auto">
                    <a:xfrm>
                      <a:off x="0" y="0"/>
                      <a:ext cx="5760891" cy="1694236"/>
                    </a:xfrm>
                    <a:prstGeom prst="rect">
                      <a:avLst/>
                    </a:prstGeom>
                    <a:ln>
                      <a:noFill/>
                    </a:ln>
                    <a:extLst>
                      <a:ext uri="{53640926-AAD7-44D8-BBD7-CCE9431645EC}">
                        <a14:shadowObscured xmlns:a14="http://schemas.microsoft.com/office/drawing/2010/main"/>
                      </a:ext>
                    </a:extLst>
                  </pic:spPr>
                </pic:pic>
              </a:graphicData>
            </a:graphic>
          </wp:inline>
        </w:drawing>
      </w:r>
    </w:p>
    <w:p w14:paraId="5A86813B" w14:textId="77777777" w:rsidR="00674617" w:rsidRPr="005D6C6B" w:rsidRDefault="00674617" w:rsidP="003F4708">
      <w:pPr>
        <w:pStyle w:val="ACMANotes"/>
        <w:spacing w:before="240" w:after="80"/>
      </w:pPr>
      <w:r w:rsidRPr="005D6C6B">
        <w:t>Base: Australians aged 18 and over who accessed the internet.</w:t>
      </w:r>
    </w:p>
    <w:p w14:paraId="75189EC1" w14:textId="77777777" w:rsidR="00674617" w:rsidRDefault="00674617" w:rsidP="003F4708">
      <w:pPr>
        <w:pStyle w:val="ACMANotesspaceafter"/>
        <w:spacing w:after="360"/>
      </w:pPr>
      <w:r w:rsidRPr="005D6C6B">
        <w:t>Source: ACMA-commissioned survey, June 2015, 2016 and 2017.</w:t>
      </w:r>
    </w:p>
    <w:p w14:paraId="4C8F541D" w14:textId="77777777" w:rsidR="00674617" w:rsidRPr="00480FAA" w:rsidRDefault="00674617" w:rsidP="00674617">
      <w:r w:rsidRPr="00CF7D7F">
        <w:t xml:space="preserve">While the use </w:t>
      </w:r>
      <w:r w:rsidRPr="00AE3020">
        <w:t xml:space="preserve">of apps is on the rise, they are not always the preferred method of communication. </w:t>
      </w:r>
      <w:r w:rsidR="0071742A">
        <w:t>T</w:t>
      </w:r>
      <w:r w:rsidRPr="00AE3020">
        <w:t>he majority of Australian</w:t>
      </w:r>
      <w:r>
        <w:t xml:space="preserve"> adult</w:t>
      </w:r>
      <w:r w:rsidRPr="00AE3020">
        <w:t>s who sent messages and made voice calls in the six months to June 2017 preferred to do so using their mobile phone credit rather than an app</w:t>
      </w:r>
      <w:r w:rsidR="0071742A" w:rsidRPr="0071742A">
        <w:t xml:space="preserve"> </w:t>
      </w:r>
      <w:r w:rsidR="0071742A">
        <w:t>(</w:t>
      </w:r>
      <w:r w:rsidR="0071742A" w:rsidRPr="00AE3020">
        <w:t>Figure 2.1</w:t>
      </w:r>
      <w:r w:rsidR="00AB37BB">
        <w:t>4</w:t>
      </w:r>
      <w:r w:rsidR="0071742A">
        <w:t>)</w:t>
      </w:r>
      <w:r w:rsidRPr="00AE3020">
        <w:t xml:space="preserve">. </w:t>
      </w:r>
      <w:r>
        <w:t xml:space="preserve">For </w:t>
      </w:r>
      <w:r w:rsidR="00D330D9">
        <w:t>video calls</w:t>
      </w:r>
      <w:r w:rsidR="0071742A">
        <w:t>,</w:t>
      </w:r>
      <w:r w:rsidRPr="00AE3020">
        <w:t xml:space="preserve"> however, </w:t>
      </w:r>
      <w:r w:rsidR="0071742A">
        <w:t>most</w:t>
      </w:r>
      <w:r w:rsidRPr="00AE3020">
        <w:t xml:space="preserve"> preferred to use an app (73 per cent) over their mobile phone credit (27 per cent)</w:t>
      </w:r>
      <w:r w:rsidRPr="00480FAA">
        <w:t>.</w:t>
      </w:r>
    </w:p>
    <w:p w14:paraId="319ABC12" w14:textId="77777777" w:rsidR="00674617" w:rsidRPr="00480FAA" w:rsidRDefault="00674617" w:rsidP="003F4708">
      <w:pPr>
        <w:pStyle w:val="ACMAFigureHeader"/>
      </w:pPr>
      <w:r w:rsidRPr="00480FAA">
        <w:t>Figure 2.1</w:t>
      </w:r>
      <w:r w:rsidR="00646944">
        <w:t>4</w:t>
      </w:r>
      <w:r w:rsidRPr="00480FAA">
        <w:tab/>
        <w:t>Preferred</w:t>
      </w:r>
      <w:r>
        <w:t xml:space="preserve"> communications </w:t>
      </w:r>
      <w:r w:rsidRPr="00480FAA">
        <w:t>service, by activity</w:t>
      </w:r>
      <w:r w:rsidRPr="003823BB">
        <w:t xml:space="preserve">, </w:t>
      </w:r>
      <w:r w:rsidR="00A826C2" w:rsidRPr="003823BB">
        <w:t xml:space="preserve">June </w:t>
      </w:r>
      <w:r w:rsidRPr="003823BB">
        <w:t>2017 (percentage)</w:t>
      </w:r>
    </w:p>
    <w:p w14:paraId="182DC8B9" w14:textId="74D9CA36" w:rsidR="00674617" w:rsidRDefault="00666C13" w:rsidP="00607F01">
      <w:pPr>
        <w:spacing w:after="120"/>
      </w:pPr>
      <w:r>
        <w:rPr>
          <w:noProof/>
        </w:rPr>
        <w:drawing>
          <wp:inline distT="0" distB="0" distL="0" distR="0" wp14:anchorId="622F7BFE" wp14:editId="658F2E5B">
            <wp:extent cx="5940425" cy="809625"/>
            <wp:effectExtent l="0" t="0" r="3175" b="9525"/>
            <wp:docPr id="60" name="Picture 60" descr="Data for Figure 2.14 is in the .ods file for Chapter 2 on the landing page ‘Communications report 2016-17’, available from the ACMA website." title="Figure 2.14  Preferred communications service, by activity,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Chapter 2_Figure 2.14.png"/>
                    <pic:cNvPicPr/>
                  </pic:nvPicPr>
                  <pic:blipFill>
                    <a:blip r:embed="rId79">
                      <a:extLst>
                        <a:ext uri="{28A0092B-C50C-407E-A947-70E740481C1C}">
                          <a14:useLocalDpi xmlns:a14="http://schemas.microsoft.com/office/drawing/2010/main" val="0"/>
                        </a:ext>
                      </a:extLst>
                    </a:blip>
                    <a:stretch>
                      <a:fillRect/>
                    </a:stretch>
                  </pic:blipFill>
                  <pic:spPr>
                    <a:xfrm>
                      <a:off x="0" y="0"/>
                      <a:ext cx="5940425" cy="809625"/>
                    </a:xfrm>
                    <a:prstGeom prst="rect">
                      <a:avLst/>
                    </a:prstGeom>
                  </pic:spPr>
                </pic:pic>
              </a:graphicData>
            </a:graphic>
          </wp:inline>
        </w:drawing>
      </w:r>
    </w:p>
    <w:p w14:paraId="2F7A0DF1" w14:textId="77777777" w:rsidR="00674617" w:rsidRDefault="00674617" w:rsidP="003F4708">
      <w:pPr>
        <w:pStyle w:val="ACMANotes"/>
        <w:spacing w:before="240"/>
      </w:pPr>
      <w:r w:rsidRPr="00810AE8">
        <w:t>Base: Australians aged 18 and over who undertook the following activity: send messages (n=</w:t>
      </w:r>
      <w:r>
        <w:t>1,368</w:t>
      </w:r>
      <w:r w:rsidRPr="00810AE8">
        <w:t xml:space="preserve">), </w:t>
      </w:r>
      <w:r w:rsidR="003D55D5">
        <w:t xml:space="preserve">make </w:t>
      </w:r>
      <w:r w:rsidRPr="00810AE8">
        <w:t>voice calls (n=</w:t>
      </w:r>
      <w:r>
        <w:t>885</w:t>
      </w:r>
      <w:r w:rsidRPr="00810AE8">
        <w:t xml:space="preserve">), </w:t>
      </w:r>
      <w:r w:rsidR="003D55D5">
        <w:t xml:space="preserve">make </w:t>
      </w:r>
      <w:r w:rsidRPr="00810AE8">
        <w:t>video calls (n=</w:t>
      </w:r>
      <w:r>
        <w:t>819</w:t>
      </w:r>
      <w:r w:rsidRPr="00810AE8">
        <w:t>).</w:t>
      </w:r>
    </w:p>
    <w:p w14:paraId="78759AE2" w14:textId="77777777" w:rsidR="00674617" w:rsidRPr="00796128" w:rsidRDefault="00674617" w:rsidP="00674617">
      <w:pPr>
        <w:pStyle w:val="ACMANotes"/>
      </w:pPr>
      <w:r w:rsidRPr="006A7973">
        <w:t>Note: ‘Don’t know’ and ‘Prefer not to say’ responses are excluded from analysis.</w:t>
      </w:r>
    </w:p>
    <w:p w14:paraId="52C3C31E" w14:textId="77777777" w:rsidR="00674617" w:rsidRDefault="00674617" w:rsidP="003F4708">
      <w:pPr>
        <w:pStyle w:val="ACMANotesspaceafter"/>
        <w:spacing w:after="360"/>
      </w:pPr>
      <w:r w:rsidRPr="005D6C6B">
        <w:t>Source: ACMA-commissioned survey, June 2017.</w:t>
      </w:r>
    </w:p>
    <w:p w14:paraId="3B2128D8" w14:textId="77777777" w:rsidR="00674617" w:rsidRPr="00AE3020" w:rsidRDefault="00674617" w:rsidP="00F17458">
      <w:pPr>
        <w:keepNext/>
        <w:keepLines/>
      </w:pPr>
      <w:r w:rsidRPr="00676518">
        <w:t>Australian</w:t>
      </w:r>
      <w:r>
        <w:t xml:space="preserve"> adult</w:t>
      </w:r>
      <w:r w:rsidRPr="00676518">
        <w:t xml:space="preserve">s </w:t>
      </w:r>
      <w:r w:rsidR="001558B7">
        <w:t xml:space="preserve">mostly </w:t>
      </w:r>
      <w:r w:rsidRPr="00676518">
        <w:t>prefer an app over mobile phone credit to send messages or make voice or video calls</w:t>
      </w:r>
      <w:r w:rsidRPr="00AE3020">
        <w:t xml:space="preserve"> </w:t>
      </w:r>
      <w:r w:rsidR="001558B7">
        <w:t>because</w:t>
      </w:r>
      <w:r>
        <w:t xml:space="preserve"> they are used</w:t>
      </w:r>
      <w:r w:rsidRPr="00AE3020">
        <w:t xml:space="preserve"> by family and friends (67 per cent). </w:t>
      </w:r>
      <w:r>
        <w:t>Other popular reasons were s</w:t>
      </w:r>
      <w:r w:rsidRPr="00AE3020">
        <w:t>aving mobile credit (51 per cent)</w:t>
      </w:r>
      <w:r w:rsidR="001558B7">
        <w:t>,</w:t>
      </w:r>
      <w:r w:rsidRPr="00AE3020">
        <w:t xml:space="preserve"> as well as making international calls at lower costs and having a better experience (both at 50 per cent)</w:t>
      </w:r>
      <w:r w:rsidRPr="006C22BC">
        <w:t xml:space="preserve"> </w:t>
      </w:r>
      <w:r w:rsidRPr="00676518">
        <w:t>(Figure 2.1</w:t>
      </w:r>
      <w:r w:rsidR="00AB37BB">
        <w:t>5</w:t>
      </w:r>
      <w:r w:rsidRPr="00676518">
        <w:t>)</w:t>
      </w:r>
      <w:r w:rsidRPr="00AE3020">
        <w:t>.</w:t>
      </w:r>
    </w:p>
    <w:p w14:paraId="0228C33C" w14:textId="77777777" w:rsidR="00674617" w:rsidRDefault="00674617" w:rsidP="003F4708">
      <w:pPr>
        <w:pStyle w:val="ACMAFigureHeader"/>
        <w:keepNext/>
        <w:keepLines/>
        <w:ind w:left="1021" w:hanging="1021"/>
      </w:pPr>
      <w:r w:rsidRPr="00AE3020">
        <w:t>Figure 2.1</w:t>
      </w:r>
      <w:r w:rsidR="00646944">
        <w:t>5</w:t>
      </w:r>
      <w:r w:rsidRPr="00AE3020">
        <w:tab/>
        <w:t xml:space="preserve">Reasons for preferring apps </w:t>
      </w:r>
      <w:r>
        <w:t xml:space="preserve">over mobile phone credit, </w:t>
      </w:r>
      <w:r w:rsidR="00656F03">
        <w:t xml:space="preserve">June </w:t>
      </w:r>
      <w:r>
        <w:t>2017</w:t>
      </w:r>
      <w:r w:rsidRPr="00AE3020">
        <w:t xml:space="preserve"> </w:t>
      </w:r>
      <w:r w:rsidRPr="00E31107">
        <w:t>(percentage)</w:t>
      </w:r>
    </w:p>
    <w:p w14:paraId="70D68353" w14:textId="77777777" w:rsidR="00674617" w:rsidRDefault="00674617" w:rsidP="00607F01">
      <w:pPr>
        <w:pStyle w:val="ACMAFigureHeader"/>
        <w:keepNext/>
        <w:keepLines/>
        <w:spacing w:after="120"/>
        <w:ind w:left="1021" w:hanging="1021"/>
      </w:pPr>
      <w:r>
        <w:rPr>
          <w:noProof/>
        </w:rPr>
        <w:drawing>
          <wp:inline distT="0" distB="0" distL="0" distR="0" wp14:anchorId="0AC0A634" wp14:editId="4B7C3577">
            <wp:extent cx="5903586" cy="1680882"/>
            <wp:effectExtent l="0" t="0" r="2540" b="0"/>
            <wp:docPr id="18" name="Picture 18" descr="Data for Figure 2.15 is in the .ods file for Chapter 2 on the landing page ‘Communications report 2016-17’, available from the ACMA website." title="Figure 2.15  Reasons for preferring apps over mobile phone credit,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pter 2_Figure 2.16.png"/>
                    <pic:cNvPicPr/>
                  </pic:nvPicPr>
                  <pic:blipFill rotWithShape="1">
                    <a:blip r:embed="rId80">
                      <a:extLst>
                        <a:ext uri="{28A0092B-C50C-407E-A947-70E740481C1C}">
                          <a14:useLocalDpi xmlns:a14="http://schemas.microsoft.com/office/drawing/2010/main" val="0"/>
                        </a:ext>
                      </a:extLst>
                    </a:blip>
                    <a:srcRect/>
                    <a:stretch/>
                  </pic:blipFill>
                  <pic:spPr bwMode="auto">
                    <a:xfrm>
                      <a:off x="0" y="0"/>
                      <a:ext cx="5921614" cy="1686015"/>
                    </a:xfrm>
                    <a:prstGeom prst="rect">
                      <a:avLst/>
                    </a:prstGeom>
                    <a:ln>
                      <a:noFill/>
                    </a:ln>
                    <a:extLst>
                      <a:ext uri="{53640926-AAD7-44D8-BBD7-CCE9431645EC}">
                        <a14:shadowObscured xmlns:a14="http://schemas.microsoft.com/office/drawing/2010/main"/>
                      </a:ext>
                    </a:extLst>
                  </pic:spPr>
                </pic:pic>
              </a:graphicData>
            </a:graphic>
          </wp:inline>
        </w:drawing>
      </w:r>
    </w:p>
    <w:p w14:paraId="7078FFA3" w14:textId="3AC09D73" w:rsidR="000F5643" w:rsidRDefault="000F5643" w:rsidP="003F4708">
      <w:pPr>
        <w:pStyle w:val="ACMANotes"/>
        <w:keepNext/>
        <w:keepLines/>
        <w:spacing w:before="240"/>
      </w:pPr>
      <w:r w:rsidRPr="00810AE8">
        <w:t xml:space="preserve">Base: Australians aged 18 and over </w:t>
      </w:r>
      <w:r w:rsidRPr="001B39C3">
        <w:t xml:space="preserve">who preferred using an app over mobile phone credit </w:t>
      </w:r>
      <w:r>
        <w:t>to</w:t>
      </w:r>
      <w:r w:rsidRPr="001B39C3">
        <w:t xml:space="preserve"> send</w:t>
      </w:r>
      <w:r>
        <w:t xml:space="preserve"> messages or make</w:t>
      </w:r>
      <w:r w:rsidRPr="001B39C3">
        <w:t xml:space="preserve"> voice or video</w:t>
      </w:r>
      <w:r w:rsidR="00446F50">
        <w:t> </w:t>
      </w:r>
      <w:r w:rsidRPr="001B39C3">
        <w:t>calls (n=715).</w:t>
      </w:r>
    </w:p>
    <w:p w14:paraId="6CF40420" w14:textId="77777777" w:rsidR="000F5643" w:rsidRPr="005D6C6B" w:rsidRDefault="000F5643" w:rsidP="003F4708">
      <w:pPr>
        <w:pStyle w:val="ACMANotesspaceafter"/>
        <w:keepNext/>
        <w:keepLines/>
        <w:spacing w:after="360"/>
      </w:pPr>
      <w:r w:rsidRPr="005D6C6B">
        <w:t>Source: ACMA-commissioned survey, June 2017.</w:t>
      </w:r>
    </w:p>
    <w:p w14:paraId="684F3FD3" w14:textId="2A024A3D" w:rsidR="000F5643" w:rsidRPr="003E66C4" w:rsidRDefault="000F5643" w:rsidP="000F5643">
      <w:r w:rsidRPr="00CF7D7F">
        <w:t>Australian</w:t>
      </w:r>
      <w:r>
        <w:t xml:space="preserve"> adults are not using apps in isolation</w:t>
      </w:r>
      <w:r w:rsidRPr="00BA1158">
        <w:t>—</w:t>
      </w:r>
      <w:r>
        <w:t>rather, a</w:t>
      </w:r>
      <w:r w:rsidRPr="00CF7D7F">
        <w:t xml:space="preserve">pps seem to complement existing </w:t>
      </w:r>
      <w:r>
        <w:t xml:space="preserve">communication </w:t>
      </w:r>
      <w:r w:rsidRPr="003E66C4">
        <w:t xml:space="preserve">services. </w:t>
      </w:r>
      <w:r w:rsidR="005F73F8">
        <w:t>I</w:t>
      </w:r>
      <w:r w:rsidR="005F73F8" w:rsidRPr="003E66C4">
        <w:t xml:space="preserve">n the six months to June 2017, six </w:t>
      </w:r>
      <w:r w:rsidR="005F73F8">
        <w:t>o</w:t>
      </w:r>
      <w:r w:rsidRPr="003E66C4">
        <w:t xml:space="preserve">ut of 10 text messages </w:t>
      </w:r>
      <w:r w:rsidR="00733C4D">
        <w:t>from</w:t>
      </w:r>
      <w:r w:rsidRPr="003E66C4">
        <w:t xml:space="preserve"> Australian</w:t>
      </w:r>
      <w:r>
        <w:t xml:space="preserve"> adult</w:t>
      </w:r>
      <w:r w:rsidRPr="003E66C4">
        <w:t>s were sent using mobile phone credit and four using an app (Figure</w:t>
      </w:r>
      <w:r w:rsidR="00733C4D">
        <w:t> </w:t>
      </w:r>
      <w:r w:rsidRPr="003E66C4">
        <w:t>2.1</w:t>
      </w:r>
      <w:r w:rsidR="00AB37BB">
        <w:t>6</w:t>
      </w:r>
      <w:r w:rsidRPr="003E66C4">
        <w:t>). A similar pattern was seen with voice calls—more voice calls were made using mobile phone credit than with an app, but one call out of 10 was made using a fixed-line telephone. Apps were popular for video calls—</w:t>
      </w:r>
      <w:r w:rsidR="00733C4D">
        <w:t>eight</w:t>
      </w:r>
      <w:r w:rsidR="00733C4D" w:rsidRPr="003E66C4">
        <w:t xml:space="preserve"> </w:t>
      </w:r>
      <w:r w:rsidRPr="003E66C4">
        <w:t xml:space="preserve">out of 10 were made using an app at June 2017. </w:t>
      </w:r>
    </w:p>
    <w:p w14:paraId="435079C3" w14:textId="0C22883C" w:rsidR="000F5643" w:rsidRDefault="000F5643" w:rsidP="003F4708">
      <w:pPr>
        <w:pStyle w:val="ACMAFigureHeader"/>
        <w:ind w:left="1021" w:hanging="1021"/>
      </w:pPr>
      <w:r w:rsidRPr="003E66C4">
        <w:t>Figure 2.1</w:t>
      </w:r>
      <w:r w:rsidR="00646944">
        <w:t>6</w:t>
      </w:r>
      <w:r w:rsidRPr="003E66C4">
        <w:tab/>
        <w:t>Communications</w:t>
      </w:r>
      <w:r w:rsidRPr="005C2B81">
        <w:t xml:space="preserve"> services</w:t>
      </w:r>
      <w:r>
        <w:t>,</w:t>
      </w:r>
      <w:r w:rsidRPr="005C2B81">
        <w:t xml:space="preserve"> </w:t>
      </w:r>
      <w:r w:rsidR="00F50C7B">
        <w:t xml:space="preserve">average </w:t>
      </w:r>
      <w:r>
        <w:t>number of times used out of 10</w:t>
      </w:r>
      <w:r w:rsidRPr="005C2B81">
        <w:t xml:space="preserve"> </w:t>
      </w:r>
    </w:p>
    <w:p w14:paraId="015C0E34" w14:textId="4FF4CCEB" w:rsidR="000F5643" w:rsidRDefault="00666C13" w:rsidP="0015709E">
      <w:pPr>
        <w:pStyle w:val="ACMAFigureHeader"/>
        <w:spacing w:after="0"/>
        <w:ind w:left="1021" w:hanging="1021"/>
      </w:pPr>
      <w:r>
        <w:rPr>
          <w:noProof/>
        </w:rPr>
        <w:drawing>
          <wp:inline distT="0" distB="0" distL="0" distR="0" wp14:anchorId="7D6632E7" wp14:editId="49CA64C3">
            <wp:extent cx="5940425" cy="1019810"/>
            <wp:effectExtent l="0" t="0" r="3175" b="8890"/>
            <wp:docPr id="59" name="Picture 59" descr="Data for Figure 2.16 is in the .ods file for Chapter 2 on the landing page ‘Communications report 2016-17’, available from the ACMA website." title="Figure 2.16  Communications services, average number of times used out of 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Chapter 2_Figure 2.16.png"/>
                    <pic:cNvPicPr/>
                  </pic:nvPicPr>
                  <pic:blipFill>
                    <a:blip r:embed="rId81">
                      <a:extLst>
                        <a:ext uri="{28A0092B-C50C-407E-A947-70E740481C1C}">
                          <a14:useLocalDpi xmlns:a14="http://schemas.microsoft.com/office/drawing/2010/main" val="0"/>
                        </a:ext>
                      </a:extLst>
                    </a:blip>
                    <a:stretch>
                      <a:fillRect/>
                    </a:stretch>
                  </pic:blipFill>
                  <pic:spPr>
                    <a:xfrm>
                      <a:off x="0" y="0"/>
                      <a:ext cx="5940425" cy="1019810"/>
                    </a:xfrm>
                    <a:prstGeom prst="rect">
                      <a:avLst/>
                    </a:prstGeom>
                  </pic:spPr>
                </pic:pic>
              </a:graphicData>
            </a:graphic>
          </wp:inline>
        </w:drawing>
      </w:r>
    </w:p>
    <w:p w14:paraId="738206FA" w14:textId="77777777" w:rsidR="001540A0" w:rsidRPr="005C2B81" w:rsidRDefault="001540A0" w:rsidP="00F62999">
      <w:pPr>
        <w:pStyle w:val="ACMANotes"/>
        <w:spacing w:before="240"/>
      </w:pPr>
      <w:r w:rsidRPr="005C2B81">
        <w:t>Base: Australians aged 18 and over who undertook the following activity: send messages (n=</w:t>
      </w:r>
      <w:r>
        <w:t>1,386</w:t>
      </w:r>
      <w:r w:rsidRPr="005C2B81">
        <w:t xml:space="preserve">), </w:t>
      </w:r>
      <w:r w:rsidR="003D55D5">
        <w:t xml:space="preserve">make </w:t>
      </w:r>
      <w:r w:rsidRPr="005C2B81">
        <w:t>voice calls (n=</w:t>
      </w:r>
      <w:r>
        <w:t>885</w:t>
      </w:r>
      <w:r w:rsidRPr="005C2B81">
        <w:t xml:space="preserve">), </w:t>
      </w:r>
      <w:r w:rsidR="003D55D5">
        <w:t xml:space="preserve">make </w:t>
      </w:r>
      <w:r w:rsidRPr="005C2B81">
        <w:t>video calls (n=</w:t>
      </w:r>
      <w:r>
        <w:t>819</w:t>
      </w:r>
      <w:r w:rsidRPr="005C2B81">
        <w:t>).</w:t>
      </w:r>
    </w:p>
    <w:p w14:paraId="5E529F1A" w14:textId="77777777" w:rsidR="001540A0" w:rsidRPr="004A1345" w:rsidRDefault="001540A0" w:rsidP="001540A0">
      <w:pPr>
        <w:pStyle w:val="ACMANotes"/>
        <w:rPr>
          <w:highlight w:val="yellow"/>
        </w:rPr>
      </w:pPr>
      <w:r w:rsidRPr="005C2B81">
        <w:t xml:space="preserve">Note: Numbers may not add up </w:t>
      </w:r>
      <w:r>
        <w:t xml:space="preserve">to 10 </w:t>
      </w:r>
      <w:r w:rsidRPr="005C2B81">
        <w:t>due to rounding.</w:t>
      </w:r>
    </w:p>
    <w:p w14:paraId="22AE9312" w14:textId="77777777" w:rsidR="001540A0" w:rsidRPr="005C2B81" w:rsidRDefault="001540A0" w:rsidP="003F4708">
      <w:pPr>
        <w:pStyle w:val="ACMANotesspaceafter"/>
        <w:spacing w:after="360"/>
      </w:pPr>
      <w:r w:rsidRPr="005C2B81">
        <w:t>Source: ACMA-commissioned survey, June 2017.</w:t>
      </w:r>
    </w:p>
    <w:p w14:paraId="1E4CDF3A" w14:textId="77777777" w:rsidR="001540A0" w:rsidRPr="00700BC6" w:rsidRDefault="005E0297" w:rsidP="00574883">
      <w:pPr>
        <w:pStyle w:val="Heading2"/>
        <w:keepNext w:val="0"/>
        <w:numPr>
          <w:ilvl w:val="1"/>
          <w:numId w:val="16"/>
        </w:numPr>
        <w:ind w:hanging="792"/>
      </w:pPr>
      <w:bookmarkStart w:id="928" w:name="_Toc494799408"/>
      <w:bookmarkStart w:id="929" w:name="_Toc494805711"/>
      <w:bookmarkStart w:id="930" w:name="_Toc494805940"/>
      <w:bookmarkStart w:id="931" w:name="_Toc494808170"/>
      <w:bookmarkStart w:id="932" w:name="_Toc494808824"/>
      <w:bookmarkStart w:id="933" w:name="_Toc494815981"/>
      <w:bookmarkStart w:id="934" w:name="_Toc494818838"/>
      <w:bookmarkStart w:id="935" w:name="_Toc494819105"/>
      <w:bookmarkStart w:id="936" w:name="_Toc500320905"/>
      <w:r w:rsidRPr="00700BC6">
        <w:t>e</w:t>
      </w:r>
      <w:r w:rsidR="001540A0" w:rsidRPr="00700BC6">
        <w:t>-</w:t>
      </w:r>
      <w:r w:rsidRPr="00700BC6">
        <w:t>C</w:t>
      </w:r>
      <w:r w:rsidR="001540A0" w:rsidRPr="00700BC6">
        <w:t>ommerce and online business activities</w:t>
      </w:r>
      <w:bookmarkEnd w:id="928"/>
      <w:bookmarkEnd w:id="929"/>
      <w:bookmarkEnd w:id="930"/>
      <w:bookmarkEnd w:id="931"/>
      <w:bookmarkEnd w:id="932"/>
      <w:bookmarkEnd w:id="933"/>
      <w:bookmarkEnd w:id="934"/>
      <w:bookmarkEnd w:id="935"/>
      <w:bookmarkEnd w:id="936"/>
    </w:p>
    <w:p w14:paraId="061C64B4" w14:textId="77777777" w:rsidR="001540A0" w:rsidRPr="007E6216" w:rsidRDefault="001540A0" w:rsidP="00574883">
      <w:pPr>
        <w:pStyle w:val="Heading3"/>
        <w:keepNext w:val="0"/>
        <w:rPr>
          <w:b w:val="0"/>
          <w:lang w:val="en-US"/>
        </w:rPr>
      </w:pPr>
      <w:bookmarkStart w:id="937" w:name="_Toc494799409"/>
      <w:bookmarkStart w:id="938" w:name="_Toc494805712"/>
      <w:bookmarkStart w:id="939" w:name="_Toc494805941"/>
      <w:bookmarkStart w:id="940" w:name="_Toc494808171"/>
      <w:bookmarkStart w:id="941" w:name="_Toc494808825"/>
      <w:bookmarkStart w:id="942" w:name="_Toc494815982"/>
      <w:bookmarkStart w:id="943" w:name="_Toc494818839"/>
      <w:bookmarkStart w:id="944" w:name="_Toc494819106"/>
      <w:r w:rsidRPr="007E6216">
        <w:rPr>
          <w:lang w:val="en-US"/>
        </w:rPr>
        <w:t>Online buying and selling</w:t>
      </w:r>
      <w:bookmarkEnd w:id="937"/>
      <w:bookmarkEnd w:id="938"/>
      <w:bookmarkEnd w:id="939"/>
      <w:bookmarkEnd w:id="940"/>
      <w:bookmarkEnd w:id="941"/>
      <w:bookmarkEnd w:id="942"/>
      <w:bookmarkEnd w:id="943"/>
      <w:bookmarkEnd w:id="944"/>
    </w:p>
    <w:p w14:paraId="0A4FFC73" w14:textId="1CDB63C5" w:rsidR="001540A0" w:rsidRPr="0001666D" w:rsidRDefault="001540A0" w:rsidP="00574883">
      <w:pPr>
        <w:rPr>
          <w:highlight w:val="cyan"/>
        </w:rPr>
      </w:pPr>
      <w:r w:rsidRPr="005F76EA">
        <w:t xml:space="preserve">Many Australians are active participants </w:t>
      </w:r>
      <w:r w:rsidRPr="00DF3DA3">
        <w:t xml:space="preserve">in the online economy. </w:t>
      </w:r>
      <w:r>
        <w:t xml:space="preserve">At June 2017, eight million Australian adults (43 per cent) </w:t>
      </w:r>
      <w:r w:rsidR="005E0297">
        <w:t>had bought</w:t>
      </w:r>
      <w:r>
        <w:t xml:space="preserve"> or sold something online in a four</w:t>
      </w:r>
      <w:r w:rsidR="005E0297">
        <w:t>-</w:t>
      </w:r>
      <w:r>
        <w:t>week period</w:t>
      </w:r>
      <w:r w:rsidR="005E0297">
        <w:t>—</w:t>
      </w:r>
      <w:r>
        <w:t xml:space="preserve">stable </w:t>
      </w:r>
      <w:r w:rsidR="005E0297">
        <w:t xml:space="preserve">when </w:t>
      </w:r>
      <w:r>
        <w:t>compared to 2015</w:t>
      </w:r>
      <w:r w:rsidR="005E0297">
        <w:t>–</w:t>
      </w:r>
      <w:r w:rsidR="00F2524A">
        <w:t>16 (Figure 2.17</w:t>
      </w:r>
      <w:r>
        <w:t>).</w:t>
      </w:r>
      <w:r w:rsidRPr="00DF3DA3">
        <w:t xml:space="preserve"> </w:t>
      </w:r>
    </w:p>
    <w:p w14:paraId="39947DF4" w14:textId="6F7400A0" w:rsidR="001540A0" w:rsidRPr="0001666D" w:rsidRDefault="001540A0" w:rsidP="00574883">
      <w:pPr>
        <w:rPr>
          <w:highlight w:val="cyan"/>
        </w:rPr>
      </w:pPr>
      <w:r>
        <w:t xml:space="preserve">There was little change </w:t>
      </w:r>
      <w:r w:rsidR="005E0297">
        <w:t xml:space="preserve">from 2015–16 </w:t>
      </w:r>
      <w:r>
        <w:t>in the likelihood of each age group to engage in online buying and selling in 2016</w:t>
      </w:r>
      <w:r w:rsidR="005E0297">
        <w:t>–</w:t>
      </w:r>
      <w:r>
        <w:t>17</w:t>
      </w:r>
      <w:r w:rsidRPr="0059013F">
        <w:t>.</w:t>
      </w:r>
      <w:r w:rsidRPr="005674E6">
        <w:t xml:space="preserve"> </w:t>
      </w:r>
      <w:r w:rsidRPr="0059013F">
        <w:t>Those</w:t>
      </w:r>
      <w:r w:rsidRPr="00853E1D">
        <w:t xml:space="preserve"> living in </w:t>
      </w:r>
      <w:r w:rsidRPr="006F697D">
        <w:t>capital cities</w:t>
      </w:r>
      <w:r w:rsidR="005E0297">
        <w:t>,</w:t>
      </w:r>
      <w:r>
        <w:t xml:space="preserve"> however,</w:t>
      </w:r>
      <w:r w:rsidRPr="006F697D">
        <w:t xml:space="preserve"> were more likely to buy online (45</w:t>
      </w:r>
      <w:r w:rsidR="005E0297">
        <w:t> </w:t>
      </w:r>
      <w:r w:rsidRPr="006F697D">
        <w:t>per cent) than people in country areas (3</w:t>
      </w:r>
      <w:r>
        <w:t>8</w:t>
      </w:r>
      <w:r w:rsidRPr="006F697D">
        <w:t xml:space="preserve"> per cent). </w:t>
      </w:r>
    </w:p>
    <w:p w14:paraId="10B0B9A2" w14:textId="77777777" w:rsidR="001540A0" w:rsidRDefault="001540A0" w:rsidP="003F4708">
      <w:pPr>
        <w:pStyle w:val="ACMAFigureHeader"/>
        <w:keepNext/>
      </w:pPr>
      <w:r w:rsidRPr="003E66C4">
        <w:t>Figure 2.1</w:t>
      </w:r>
      <w:r w:rsidR="00646944">
        <w:t>7</w:t>
      </w:r>
      <w:r w:rsidRPr="003E66C4">
        <w:tab/>
        <w:t>Online buying and selling</w:t>
      </w:r>
      <w:r>
        <w:t>,</w:t>
      </w:r>
      <w:r w:rsidRPr="003E66C4">
        <w:t xml:space="preserve"> by age (percentage)</w:t>
      </w:r>
    </w:p>
    <w:p w14:paraId="66CE33F9" w14:textId="77777777" w:rsidR="000F5643" w:rsidRDefault="001540A0" w:rsidP="00607F01">
      <w:pPr>
        <w:pStyle w:val="ACMAFigureHeader"/>
        <w:spacing w:after="120"/>
        <w:ind w:left="1021" w:hanging="1021"/>
      </w:pPr>
      <w:r>
        <w:rPr>
          <w:noProof/>
        </w:rPr>
        <w:drawing>
          <wp:inline distT="0" distB="0" distL="0" distR="0" wp14:anchorId="0C36E22D" wp14:editId="02448513">
            <wp:extent cx="5560411" cy="5873578"/>
            <wp:effectExtent l="0" t="0" r="2540" b="0"/>
            <wp:docPr id="23" name="Picture 23" descr="Data for Figure 2.17 is in the .ods file for Chapter 2 on the landing page ‘Communications report 2016-17’, available from the ACMA website." title="Figure 2.17  Online buying and selling, by ag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hapter 2_Figure 2.18.png"/>
                    <pic:cNvPicPr/>
                  </pic:nvPicPr>
                  <pic:blipFill rotWithShape="1">
                    <a:blip r:embed="rId82">
                      <a:extLst>
                        <a:ext uri="{28A0092B-C50C-407E-A947-70E740481C1C}">
                          <a14:useLocalDpi xmlns:a14="http://schemas.microsoft.com/office/drawing/2010/main" val="0"/>
                        </a:ext>
                      </a:extLst>
                    </a:blip>
                    <a:srcRect t="1437" r="17829" b="1377"/>
                    <a:stretch/>
                  </pic:blipFill>
                  <pic:spPr bwMode="auto">
                    <a:xfrm>
                      <a:off x="0" y="0"/>
                      <a:ext cx="5572994" cy="5886870"/>
                    </a:xfrm>
                    <a:prstGeom prst="rect">
                      <a:avLst/>
                    </a:prstGeom>
                    <a:ln>
                      <a:noFill/>
                    </a:ln>
                    <a:extLst>
                      <a:ext uri="{53640926-AAD7-44D8-BBD7-CCE9431645EC}">
                        <a14:shadowObscured xmlns:a14="http://schemas.microsoft.com/office/drawing/2010/main"/>
                      </a:ext>
                    </a:extLst>
                  </pic:spPr>
                </pic:pic>
              </a:graphicData>
            </a:graphic>
          </wp:inline>
        </w:drawing>
      </w:r>
    </w:p>
    <w:p w14:paraId="0FACB32C" w14:textId="77777777" w:rsidR="001540A0" w:rsidRPr="001B6CA7" w:rsidRDefault="001540A0" w:rsidP="003F4708">
      <w:pPr>
        <w:pStyle w:val="ACMANotes"/>
        <w:spacing w:before="240"/>
      </w:pPr>
      <w:r w:rsidRPr="001B6CA7">
        <w:t xml:space="preserve">Base: </w:t>
      </w:r>
      <w:r w:rsidRPr="006A71CB">
        <w:t>Australians aged 18</w:t>
      </w:r>
      <w:r>
        <w:t xml:space="preserve"> and over</w:t>
      </w:r>
      <w:r w:rsidRPr="006A71CB">
        <w:t xml:space="preserve"> who did one or more transactional buying, selling or shopping internet activities in the</w:t>
      </w:r>
      <w:r>
        <w:t xml:space="preserve"> last four weeks </w:t>
      </w:r>
      <w:r w:rsidRPr="006A71CB">
        <w:t>over the 12 months to June for each year</w:t>
      </w:r>
      <w:r>
        <w:t xml:space="preserve">. </w:t>
      </w:r>
    </w:p>
    <w:p w14:paraId="6F625F0C" w14:textId="77777777" w:rsidR="001540A0" w:rsidRPr="001B6CA7" w:rsidRDefault="001540A0" w:rsidP="001540A0">
      <w:pPr>
        <w:pStyle w:val="ACMANotes"/>
      </w:pPr>
      <w:r w:rsidRPr="001B6CA7">
        <w:t xml:space="preserve">Note: </w:t>
      </w:r>
      <w:r w:rsidRPr="006A71CB">
        <w:t>Transactional buying, selling or shopping internet activities include participation in online auctions, purchased groceries or other products/services online, sold products/services online, used online payment system, or paid online fo</w:t>
      </w:r>
      <w:r>
        <w:t>r purchases using a credit card</w:t>
      </w:r>
      <w:r w:rsidRPr="006A71CB">
        <w:t xml:space="preserve"> </w:t>
      </w:r>
      <w:r w:rsidRPr="001B6CA7">
        <w:t xml:space="preserve">in the last four weeks </w:t>
      </w:r>
      <w:r>
        <w:t>(over</w:t>
      </w:r>
      <w:r w:rsidRPr="001B6CA7">
        <w:t xml:space="preserve"> the 12 months to June of each year</w:t>
      </w:r>
      <w:r w:rsidR="00C3324A">
        <w:t>)</w:t>
      </w:r>
      <w:r w:rsidRPr="001B6CA7">
        <w:t>.</w:t>
      </w:r>
    </w:p>
    <w:p w14:paraId="2BE534D0" w14:textId="77777777" w:rsidR="001540A0" w:rsidRPr="001B6CA7" w:rsidRDefault="001540A0" w:rsidP="00574883">
      <w:pPr>
        <w:pStyle w:val="ACMANotesspaceafter"/>
        <w:spacing w:after="360"/>
      </w:pPr>
      <w:r w:rsidRPr="001B6CA7">
        <w:t xml:space="preserve">Source: Roy Morgan Single Source, </w:t>
      </w:r>
      <w:r>
        <w:t>July</w:t>
      </w:r>
      <w:r w:rsidRPr="001B6CA7">
        <w:t xml:space="preserve"> 201</w:t>
      </w:r>
      <w:r>
        <w:t>3</w:t>
      </w:r>
      <w:r w:rsidRPr="001B6CA7">
        <w:t xml:space="preserve"> </w:t>
      </w:r>
      <w:r>
        <w:t>to June</w:t>
      </w:r>
      <w:r w:rsidRPr="001B6CA7">
        <w:t xml:space="preserve"> 2017.</w:t>
      </w:r>
    </w:p>
    <w:p w14:paraId="1327E74E" w14:textId="77777777" w:rsidR="001540A0" w:rsidRPr="003077ED" w:rsidRDefault="005E0297" w:rsidP="00574883">
      <w:pPr>
        <w:pStyle w:val="Heading3"/>
        <w:keepNext w:val="0"/>
      </w:pPr>
      <w:bookmarkStart w:id="945" w:name="_Toc493663984"/>
      <w:r>
        <w:t>e</w:t>
      </w:r>
      <w:r w:rsidR="001540A0" w:rsidRPr="003077ED">
        <w:t>-</w:t>
      </w:r>
      <w:r>
        <w:t>C</w:t>
      </w:r>
      <w:r w:rsidR="001540A0" w:rsidRPr="003077ED">
        <w:t>ommerce activity</w:t>
      </w:r>
      <w:bookmarkEnd w:id="945"/>
    </w:p>
    <w:p w14:paraId="7CE169B5" w14:textId="77777777" w:rsidR="001540A0" w:rsidRPr="007907C3" w:rsidRDefault="00461AD1" w:rsidP="00574883">
      <w:pPr>
        <w:rPr>
          <w:rFonts w:cs="Arial"/>
        </w:rPr>
      </w:pPr>
      <w:r>
        <w:rPr>
          <w:rFonts w:cs="Arial"/>
        </w:rPr>
        <w:t>As at</w:t>
      </w:r>
      <w:r w:rsidR="001540A0" w:rsidRPr="003077ED">
        <w:rPr>
          <w:rFonts w:cs="Arial"/>
        </w:rPr>
        <w:t xml:space="preserve"> June 2017, </w:t>
      </w:r>
      <w:r w:rsidR="001540A0">
        <w:rPr>
          <w:rFonts w:cs="Arial"/>
        </w:rPr>
        <w:t xml:space="preserve">89 per cent </w:t>
      </w:r>
      <w:r w:rsidR="001540A0" w:rsidRPr="003077ED">
        <w:rPr>
          <w:rFonts w:cs="Arial"/>
        </w:rPr>
        <w:t xml:space="preserve">of online Australians went online to conduct banking, pay bills, or buy and/or sell goods and </w:t>
      </w:r>
      <w:r w:rsidR="001540A0" w:rsidRPr="007907C3">
        <w:rPr>
          <w:rFonts w:cs="Arial"/>
        </w:rPr>
        <w:t>services.</w:t>
      </w:r>
      <w:r w:rsidR="001540A0" w:rsidRPr="007907C3">
        <w:rPr>
          <w:rFonts w:cs="Arial"/>
          <w:vertAlign w:val="superscript"/>
        </w:rPr>
        <w:endnoteReference w:id="153"/>
      </w:r>
      <w:r w:rsidR="001540A0" w:rsidRPr="007907C3">
        <w:rPr>
          <w:rFonts w:cs="Arial"/>
        </w:rPr>
        <w:t xml:space="preserve"> </w:t>
      </w:r>
    </w:p>
    <w:p w14:paraId="6EA144CE" w14:textId="77777777" w:rsidR="001540A0" w:rsidRPr="003077ED" w:rsidRDefault="001540A0" w:rsidP="00574883">
      <w:pPr>
        <w:rPr>
          <w:rFonts w:cs="Arial"/>
        </w:rPr>
      </w:pPr>
      <w:r>
        <w:rPr>
          <w:rFonts w:cs="Arial"/>
        </w:rPr>
        <w:t>ABS</w:t>
      </w:r>
      <w:r w:rsidRPr="003077ED">
        <w:rPr>
          <w:rFonts w:cs="Arial"/>
        </w:rPr>
        <w:t xml:space="preserve"> </w:t>
      </w:r>
      <w:r>
        <w:rPr>
          <w:rFonts w:cs="Arial"/>
        </w:rPr>
        <w:t xml:space="preserve">data </w:t>
      </w:r>
      <w:r w:rsidRPr="003077ED">
        <w:rPr>
          <w:rFonts w:cs="Arial"/>
        </w:rPr>
        <w:t xml:space="preserve">shows that Australian businesses generated an </w:t>
      </w:r>
      <w:r w:rsidRPr="00532C5A">
        <w:rPr>
          <w:rFonts w:cs="Arial"/>
        </w:rPr>
        <w:t>estimated $321.4</w:t>
      </w:r>
      <w:r w:rsidR="00D50BA0">
        <w:rPr>
          <w:rFonts w:cs="Arial"/>
        </w:rPr>
        <w:t> </w:t>
      </w:r>
      <w:r w:rsidRPr="00532C5A">
        <w:rPr>
          <w:rFonts w:cs="Arial"/>
        </w:rPr>
        <w:t>billion in revenue</w:t>
      </w:r>
      <w:r w:rsidRPr="003077ED">
        <w:rPr>
          <w:rFonts w:cs="Arial"/>
        </w:rPr>
        <w:t xml:space="preserve"> from online sales of goods and services during 2015–16 (</w:t>
      </w:r>
      <w:r w:rsidRPr="003077ED">
        <w:t xml:space="preserve">the latest figures available). This was an </w:t>
      </w:r>
      <w:r w:rsidRPr="003077ED">
        <w:rPr>
          <w:rFonts w:cs="Arial"/>
        </w:rPr>
        <w:t>almost $36 billion increase on revenue received in 2014–15.</w:t>
      </w:r>
      <w:r w:rsidRPr="003077ED">
        <w:rPr>
          <w:vertAlign w:val="superscript"/>
        </w:rPr>
        <w:endnoteReference w:id="154"/>
      </w:r>
    </w:p>
    <w:p w14:paraId="3BD97D03" w14:textId="77777777" w:rsidR="001540A0" w:rsidRPr="007907C3" w:rsidRDefault="001540A0" w:rsidP="00F2524A">
      <w:pPr>
        <w:pStyle w:val="Heading3"/>
      </w:pPr>
      <w:bookmarkStart w:id="946" w:name="_Toc493663985"/>
      <w:r w:rsidRPr="007907C3">
        <w:rPr>
          <w:lang w:val="en-US"/>
        </w:rPr>
        <w:t>Australian businesses online</w:t>
      </w:r>
      <w:bookmarkEnd w:id="946"/>
    </w:p>
    <w:p w14:paraId="219D9E67" w14:textId="77777777" w:rsidR="001540A0" w:rsidRPr="00C04D9C" w:rsidRDefault="001540A0" w:rsidP="00574883">
      <w:pPr>
        <w:rPr>
          <w:rFonts w:cs="Arial"/>
        </w:rPr>
      </w:pPr>
      <w:r w:rsidRPr="007907C3">
        <w:rPr>
          <w:rFonts w:cs="Arial"/>
        </w:rPr>
        <w:t>The latest available data from the ABS shows that Australian businesses continue</w:t>
      </w:r>
      <w:r>
        <w:rPr>
          <w:rFonts w:cs="Arial"/>
        </w:rPr>
        <w:t>d</w:t>
      </w:r>
      <w:r w:rsidRPr="007907C3">
        <w:rPr>
          <w:rFonts w:cs="Arial"/>
        </w:rPr>
        <w:t xml:space="preserve"> to invest in their online presence during 2015–16. </w:t>
      </w:r>
      <w:r w:rsidR="00D50BA0">
        <w:rPr>
          <w:rFonts w:cs="Arial"/>
        </w:rPr>
        <w:t>Most</w:t>
      </w:r>
      <w:r w:rsidRPr="007907C3">
        <w:rPr>
          <w:rFonts w:cs="Arial"/>
        </w:rPr>
        <w:t xml:space="preserve"> had internet access (95 per cent) </w:t>
      </w:r>
      <w:r w:rsidRPr="00C04D9C">
        <w:rPr>
          <w:rFonts w:cs="Arial"/>
        </w:rPr>
        <w:t>and almost half had a web presence (50 per cent)—both of which are stable compared to 2014–15.</w:t>
      </w:r>
      <w:r w:rsidRPr="00C04D9C">
        <w:rPr>
          <w:rStyle w:val="EndnoteReference"/>
          <w:rFonts w:cs="Arial"/>
        </w:rPr>
        <w:endnoteReference w:id="155"/>
      </w:r>
      <w:r w:rsidRPr="00C04D9C">
        <w:rPr>
          <w:rFonts w:cs="Arial"/>
        </w:rPr>
        <w:t xml:space="preserve"> </w:t>
      </w:r>
    </w:p>
    <w:p w14:paraId="36D2A5BE" w14:textId="77777777" w:rsidR="001540A0" w:rsidRPr="00C04D9C" w:rsidRDefault="001540A0" w:rsidP="00574883">
      <w:pPr>
        <w:rPr>
          <w:rFonts w:cs="Arial"/>
        </w:rPr>
      </w:pPr>
      <w:r w:rsidRPr="00C04D9C">
        <w:rPr>
          <w:rFonts w:cs="Arial"/>
        </w:rPr>
        <w:t>The number of Australian businesses on social media increased during 2015–16. Thirty-eight per cent of businesses reported having a social media presence, a seven per cent increase on 2013–14</w:t>
      </w:r>
      <w:r>
        <w:rPr>
          <w:rFonts w:cs="Arial"/>
        </w:rPr>
        <w:t>.</w:t>
      </w:r>
      <w:r w:rsidRPr="00C04D9C">
        <w:rPr>
          <w:vertAlign w:val="superscript"/>
        </w:rPr>
        <w:endnoteReference w:id="156"/>
      </w:r>
      <w:r>
        <w:rPr>
          <w:rFonts w:cs="Arial"/>
        </w:rPr>
        <w:t xml:space="preserve"> </w:t>
      </w:r>
      <w:r>
        <w:t xml:space="preserve">The two most frequently reported uses of social media were </w:t>
      </w:r>
      <w:r w:rsidRPr="003C47EC">
        <w:t xml:space="preserve">to </w:t>
      </w:r>
      <w:r w:rsidRPr="003C47EC">
        <w:rPr>
          <w:bCs/>
        </w:rPr>
        <w:t>develop company image or market products</w:t>
      </w:r>
      <w:r w:rsidRPr="003C47EC">
        <w:t xml:space="preserve"> (79</w:t>
      </w:r>
      <w:r w:rsidR="00D50BA0">
        <w:t> </w:t>
      </w:r>
      <w:r>
        <w:t>per cent</w:t>
      </w:r>
      <w:r w:rsidRPr="003C47EC">
        <w:t xml:space="preserve">), </w:t>
      </w:r>
      <w:r w:rsidR="00D50BA0">
        <w:t>and to</w:t>
      </w:r>
      <w:r w:rsidRPr="003C47EC">
        <w:t xml:space="preserve"> </w:t>
      </w:r>
      <w:r w:rsidRPr="003C47EC">
        <w:rPr>
          <w:bCs/>
        </w:rPr>
        <w:t>communicat</w:t>
      </w:r>
      <w:r w:rsidR="00D50BA0">
        <w:rPr>
          <w:bCs/>
        </w:rPr>
        <w:t>e</w:t>
      </w:r>
      <w:r w:rsidRPr="003C47EC">
        <w:rPr>
          <w:bCs/>
        </w:rPr>
        <w:t xml:space="preserve"> with customers</w:t>
      </w:r>
      <w:r>
        <w:t xml:space="preserve"> (70 per cent).</w:t>
      </w:r>
      <w:r w:rsidRPr="00C04D9C">
        <w:rPr>
          <w:vertAlign w:val="superscript"/>
        </w:rPr>
        <w:endnoteReference w:id="157"/>
      </w:r>
      <w:r>
        <w:t xml:space="preserve"> Three in </w:t>
      </w:r>
      <w:r w:rsidR="00D50BA0">
        <w:t xml:space="preserve">10 </w:t>
      </w:r>
      <w:r>
        <w:t xml:space="preserve">Australian businesses </w:t>
      </w:r>
      <w:r>
        <w:rPr>
          <w:rFonts w:cs="Arial"/>
        </w:rPr>
        <w:t>(31</w:t>
      </w:r>
      <w:r w:rsidR="00D50BA0">
        <w:rPr>
          <w:rFonts w:cs="Arial"/>
        </w:rPr>
        <w:t> </w:t>
      </w:r>
      <w:r>
        <w:rPr>
          <w:rFonts w:cs="Arial"/>
        </w:rPr>
        <w:t xml:space="preserve">per cent) </w:t>
      </w:r>
      <w:r w:rsidR="00D50BA0">
        <w:rPr>
          <w:rFonts w:cs="Arial"/>
        </w:rPr>
        <w:t>had</w:t>
      </w:r>
      <w:r>
        <w:rPr>
          <w:rFonts w:cs="Arial"/>
        </w:rPr>
        <w:t xml:space="preserve"> both a social media presence and web presence</w:t>
      </w:r>
      <w:r w:rsidRPr="00C04D9C">
        <w:rPr>
          <w:rFonts w:cs="Arial"/>
        </w:rPr>
        <w:t>.</w:t>
      </w:r>
      <w:r w:rsidRPr="00C04D9C">
        <w:rPr>
          <w:vertAlign w:val="superscript"/>
        </w:rPr>
        <w:endnoteReference w:id="158"/>
      </w:r>
    </w:p>
    <w:p w14:paraId="4A2D3913" w14:textId="77777777" w:rsidR="001540A0" w:rsidRPr="008A3C06" w:rsidRDefault="001540A0" w:rsidP="001540A0">
      <w:pPr>
        <w:pStyle w:val="Heading2"/>
        <w:numPr>
          <w:ilvl w:val="1"/>
          <w:numId w:val="16"/>
        </w:numPr>
        <w:ind w:hanging="792"/>
      </w:pPr>
      <w:bookmarkStart w:id="947" w:name="_Toc494799412"/>
      <w:bookmarkStart w:id="948" w:name="_Toc494805715"/>
      <w:bookmarkStart w:id="949" w:name="_Toc494805944"/>
      <w:bookmarkStart w:id="950" w:name="_Toc494808174"/>
      <w:bookmarkStart w:id="951" w:name="_Toc494808828"/>
      <w:bookmarkStart w:id="952" w:name="_Toc494815985"/>
      <w:bookmarkStart w:id="953" w:name="_Toc494818842"/>
      <w:bookmarkStart w:id="954" w:name="_Toc494819109"/>
      <w:bookmarkStart w:id="955" w:name="_Toc500320906"/>
      <w:r w:rsidRPr="008A3C06">
        <w:t>Consumer satisfaction with communications services</w:t>
      </w:r>
      <w:bookmarkEnd w:id="947"/>
      <w:bookmarkEnd w:id="948"/>
      <w:bookmarkEnd w:id="949"/>
      <w:bookmarkEnd w:id="950"/>
      <w:bookmarkEnd w:id="951"/>
      <w:bookmarkEnd w:id="952"/>
      <w:bookmarkEnd w:id="953"/>
      <w:bookmarkEnd w:id="954"/>
      <w:bookmarkEnd w:id="955"/>
    </w:p>
    <w:p w14:paraId="43F35994" w14:textId="00B4F92F" w:rsidR="001540A0" w:rsidRPr="0031015A" w:rsidRDefault="001540A0" w:rsidP="00700BC6">
      <w:pPr>
        <w:keepNext/>
        <w:keepLines/>
      </w:pPr>
      <w:r>
        <w:t>T</w:t>
      </w:r>
      <w:r w:rsidRPr="0031015A">
        <w:t>he majority of Australian</w:t>
      </w:r>
      <w:r>
        <w:t xml:space="preserve"> adult</w:t>
      </w:r>
      <w:r w:rsidRPr="0031015A">
        <w:t>s are generally satisfied with their communications services</w:t>
      </w:r>
      <w:r w:rsidR="00C46439">
        <w:t xml:space="preserve"> (</w:t>
      </w:r>
      <w:r w:rsidR="007D0C9E">
        <w:t>Figure 2.18</w:t>
      </w:r>
      <w:r w:rsidR="00C46439">
        <w:t>)</w:t>
      </w:r>
      <w:r w:rsidRPr="0031015A">
        <w:t>. The highest levels of satisfaction—satisfied or very satisfied—</w:t>
      </w:r>
      <w:r w:rsidR="00C46439">
        <w:t>a</w:t>
      </w:r>
      <w:r w:rsidRPr="0031015A">
        <w:t xml:space="preserve">re </w:t>
      </w:r>
      <w:r w:rsidR="00C46439">
        <w:t>with</w:t>
      </w:r>
      <w:r w:rsidRPr="0031015A">
        <w:t xml:space="preserve"> mobile phone services (8</w:t>
      </w:r>
      <w:r>
        <w:t>9</w:t>
      </w:r>
      <w:r w:rsidR="00C46439">
        <w:t> </w:t>
      </w:r>
      <w:r w:rsidRPr="0031015A">
        <w:t xml:space="preserve">per cent). </w:t>
      </w:r>
      <w:r>
        <w:t>T</w:t>
      </w:r>
      <w:r w:rsidRPr="0031015A">
        <w:t xml:space="preserve">he highest levels of dissatisfaction </w:t>
      </w:r>
      <w:r w:rsidR="00C46439">
        <w:t>a</w:t>
      </w:r>
      <w:r>
        <w:t>re with internet services</w:t>
      </w:r>
      <w:r w:rsidR="00C46439">
        <w:t>—</w:t>
      </w:r>
      <w:r w:rsidRPr="0031015A">
        <w:t xml:space="preserve">26 per cent either dissatisfied or very dissatisfied. </w:t>
      </w:r>
    </w:p>
    <w:p w14:paraId="69C06E23" w14:textId="77777777" w:rsidR="001540A0" w:rsidRDefault="001540A0" w:rsidP="00574883">
      <w:pPr>
        <w:keepNext/>
        <w:spacing w:after="160"/>
        <w:ind w:left="1134" w:hanging="1134"/>
        <w:rPr>
          <w:b/>
          <w:bCs/>
          <w:color w:val="323232"/>
          <w:szCs w:val="20"/>
        </w:rPr>
      </w:pPr>
      <w:r w:rsidRPr="0031015A">
        <w:rPr>
          <w:b/>
          <w:bCs/>
          <w:color w:val="323232"/>
          <w:szCs w:val="20"/>
        </w:rPr>
        <w:t>Figure 2.</w:t>
      </w:r>
      <w:r>
        <w:rPr>
          <w:b/>
          <w:bCs/>
          <w:color w:val="323232"/>
          <w:szCs w:val="20"/>
        </w:rPr>
        <w:t>1</w:t>
      </w:r>
      <w:r w:rsidR="00646944">
        <w:rPr>
          <w:b/>
          <w:bCs/>
          <w:color w:val="323232"/>
          <w:szCs w:val="20"/>
        </w:rPr>
        <w:t>8</w:t>
      </w:r>
      <w:r w:rsidRPr="0031015A">
        <w:rPr>
          <w:b/>
          <w:bCs/>
          <w:color w:val="323232"/>
          <w:szCs w:val="20"/>
        </w:rPr>
        <w:tab/>
      </w:r>
      <w:r>
        <w:rPr>
          <w:b/>
          <w:bCs/>
          <w:color w:val="323232"/>
          <w:szCs w:val="20"/>
        </w:rPr>
        <w:t>S</w:t>
      </w:r>
      <w:r w:rsidRPr="0031015A">
        <w:rPr>
          <w:b/>
          <w:bCs/>
          <w:color w:val="323232"/>
          <w:szCs w:val="20"/>
        </w:rPr>
        <w:t>atisfaction</w:t>
      </w:r>
      <w:r w:rsidRPr="008A3C06">
        <w:rPr>
          <w:b/>
          <w:bCs/>
          <w:color w:val="323232"/>
          <w:szCs w:val="20"/>
        </w:rPr>
        <w:t xml:space="preserve"> with </w:t>
      </w:r>
      <w:r>
        <w:rPr>
          <w:b/>
          <w:bCs/>
          <w:color w:val="323232"/>
          <w:szCs w:val="20"/>
        </w:rPr>
        <w:t xml:space="preserve">fixed-line telephone, mobile phone and internet </w:t>
      </w:r>
      <w:r w:rsidRPr="008A3C06">
        <w:rPr>
          <w:b/>
          <w:bCs/>
          <w:color w:val="323232"/>
          <w:szCs w:val="20"/>
        </w:rPr>
        <w:t>services</w:t>
      </w:r>
      <w:r>
        <w:rPr>
          <w:b/>
          <w:bCs/>
          <w:color w:val="323232"/>
          <w:szCs w:val="20"/>
        </w:rPr>
        <w:t>,</w:t>
      </w:r>
      <w:r w:rsidR="003E1C51">
        <w:rPr>
          <w:b/>
          <w:bCs/>
          <w:color w:val="323232"/>
          <w:szCs w:val="20"/>
        </w:rPr>
        <w:t xml:space="preserve"> June</w:t>
      </w:r>
      <w:r w:rsidR="00700BC6">
        <w:rPr>
          <w:b/>
          <w:bCs/>
          <w:color w:val="323232"/>
          <w:szCs w:val="20"/>
        </w:rPr>
        <w:t> </w:t>
      </w:r>
      <w:r>
        <w:rPr>
          <w:b/>
          <w:bCs/>
          <w:color w:val="323232"/>
          <w:szCs w:val="20"/>
        </w:rPr>
        <w:t>2017</w:t>
      </w:r>
      <w:r w:rsidR="00700BC6">
        <w:rPr>
          <w:b/>
          <w:bCs/>
          <w:color w:val="323232"/>
          <w:szCs w:val="20"/>
        </w:rPr>
        <w:t> </w:t>
      </w:r>
      <w:r w:rsidRPr="008A3C06">
        <w:rPr>
          <w:b/>
          <w:bCs/>
          <w:color w:val="323232"/>
          <w:szCs w:val="20"/>
        </w:rPr>
        <w:t>(percentage)</w:t>
      </w:r>
    </w:p>
    <w:p w14:paraId="164E19B9" w14:textId="77777777" w:rsidR="001540A0" w:rsidRDefault="008B5C85" w:rsidP="00607F01">
      <w:pPr>
        <w:pStyle w:val="ACMAFigureHeader"/>
        <w:spacing w:after="120"/>
        <w:ind w:left="1021" w:hanging="1021"/>
      </w:pPr>
      <w:r>
        <w:rPr>
          <w:noProof/>
        </w:rPr>
        <w:drawing>
          <wp:inline distT="0" distB="0" distL="0" distR="0" wp14:anchorId="1077D25C" wp14:editId="7968588F">
            <wp:extent cx="5008558" cy="2971800"/>
            <wp:effectExtent l="0" t="0" r="1905" b="0"/>
            <wp:docPr id="57" name="Picture 57" descr="Data for Figure 2.18 is in the .ods file for Chapter 2 on the landing page ‘Communications report 2016-17’, available from the ACMA website." title="Figure 2.18  Satisfaction with fixed-line telephone, mobile phone and internet services, June 2017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hapter 2_Figure 2.18.png"/>
                    <pic:cNvPicPr/>
                  </pic:nvPicPr>
                  <pic:blipFill rotWithShape="1">
                    <a:blip r:embed="rId83">
                      <a:extLst>
                        <a:ext uri="{28A0092B-C50C-407E-A947-70E740481C1C}">
                          <a14:useLocalDpi xmlns:a14="http://schemas.microsoft.com/office/drawing/2010/main" val="0"/>
                        </a:ext>
                      </a:extLst>
                    </a:blip>
                    <a:srcRect t="6575" r="30280" b="5670"/>
                    <a:stretch/>
                  </pic:blipFill>
                  <pic:spPr bwMode="auto">
                    <a:xfrm>
                      <a:off x="0" y="0"/>
                      <a:ext cx="5017954" cy="2977375"/>
                    </a:xfrm>
                    <a:prstGeom prst="rect">
                      <a:avLst/>
                    </a:prstGeom>
                    <a:ln>
                      <a:noFill/>
                    </a:ln>
                    <a:extLst>
                      <a:ext uri="{53640926-AAD7-44D8-BBD7-CCE9431645EC}">
                        <a14:shadowObscured xmlns:a14="http://schemas.microsoft.com/office/drawing/2010/main"/>
                      </a:ext>
                    </a:extLst>
                  </pic:spPr>
                </pic:pic>
              </a:graphicData>
            </a:graphic>
          </wp:inline>
        </w:drawing>
      </w:r>
    </w:p>
    <w:p w14:paraId="4D3D7BFD" w14:textId="77777777" w:rsidR="001540A0" w:rsidRPr="008A3C06" w:rsidRDefault="001540A0" w:rsidP="00574883">
      <w:pPr>
        <w:spacing w:before="240" w:after="0" w:line="240" w:lineRule="auto"/>
        <w:rPr>
          <w:rFonts w:cs="Arial"/>
          <w:i/>
          <w:sz w:val="16"/>
        </w:rPr>
      </w:pPr>
      <w:r w:rsidRPr="008A3C06">
        <w:rPr>
          <w:rFonts w:cs="Arial"/>
          <w:i/>
          <w:sz w:val="16"/>
        </w:rPr>
        <w:t xml:space="preserve">Base: Australians aged 18 years and over using a fixed-line telephone (n=1,398), mobile phone (n=1,859), internet (n=2,186). </w:t>
      </w:r>
    </w:p>
    <w:p w14:paraId="4ACA7213" w14:textId="77777777" w:rsidR="001540A0" w:rsidRDefault="001540A0" w:rsidP="001540A0">
      <w:pPr>
        <w:pStyle w:val="ACMANotes"/>
      </w:pPr>
      <w:r w:rsidRPr="006A7973">
        <w:t>Notes: Numbers may not add up due to rounding. ‘Don’t know’ and ‘Prefer not to say’ responses are excluded from analysis.</w:t>
      </w:r>
    </w:p>
    <w:p w14:paraId="53872296" w14:textId="77777777" w:rsidR="00F74DE7" w:rsidRDefault="001540A0" w:rsidP="00574883">
      <w:pPr>
        <w:pStyle w:val="ACMANotes"/>
        <w:spacing w:after="360"/>
      </w:pPr>
      <w:r w:rsidRPr="008A3C06">
        <w:t>Source: ACMA-commissioned survey, June 2017.</w:t>
      </w:r>
    </w:p>
    <w:p w14:paraId="0246AC9D" w14:textId="77777777" w:rsidR="001540A0" w:rsidRDefault="001540A0" w:rsidP="001540A0">
      <w:pPr>
        <w:keepNext/>
        <w:keepLines/>
        <w:spacing w:after="80"/>
      </w:pPr>
      <w:r w:rsidRPr="009536A8">
        <w:t xml:space="preserve">Satisfaction with </w:t>
      </w:r>
      <w:r w:rsidRPr="0031015A">
        <w:t>different aspects of communications services is outlined in Figure 2.</w:t>
      </w:r>
      <w:r w:rsidR="00D63DAF">
        <w:t>19</w:t>
      </w:r>
      <w:r w:rsidRPr="0031015A">
        <w:t>. The highest levels of satisfaction (very satisfied and satisfied) and dissatisfaction (very dissatisfied and dissatisfied) within each service were as follows:</w:t>
      </w:r>
    </w:p>
    <w:p w14:paraId="6C58A786" w14:textId="77777777" w:rsidR="00646944" w:rsidRPr="00646944" w:rsidRDefault="00646944" w:rsidP="00EB05CE">
      <w:pPr>
        <w:pStyle w:val="ListBullet"/>
      </w:pPr>
      <w:r w:rsidRPr="00EB05CE">
        <w:rPr>
          <w:b/>
          <w:szCs w:val="20"/>
        </w:rPr>
        <w:t xml:space="preserve">Fixed-line </w:t>
      </w:r>
      <w:r w:rsidR="00C3324A">
        <w:rPr>
          <w:b/>
          <w:szCs w:val="20"/>
        </w:rPr>
        <w:t>telephone</w:t>
      </w:r>
      <w:r w:rsidRPr="0009294C">
        <w:rPr>
          <w:szCs w:val="20"/>
        </w:rPr>
        <w:t>—the highest levels of satisfaction were for billing information, with 84 per cent satisfied or very satisfied. Line-rental cost</w:t>
      </w:r>
      <w:r w:rsidRPr="0009294C" w:rsidDel="0095478E">
        <w:rPr>
          <w:szCs w:val="20"/>
        </w:rPr>
        <w:t xml:space="preserve"> </w:t>
      </w:r>
      <w:r w:rsidRPr="0009294C">
        <w:rPr>
          <w:szCs w:val="20"/>
        </w:rPr>
        <w:t>recorded the highest levels of dissatisfaction (42 per cent dissatisfied or very dissatisfied).</w:t>
      </w:r>
    </w:p>
    <w:p w14:paraId="201FAB22" w14:textId="77777777" w:rsidR="00646944" w:rsidRPr="00646944" w:rsidRDefault="00646944" w:rsidP="00EB05CE">
      <w:pPr>
        <w:pStyle w:val="ListBullet"/>
      </w:pPr>
      <w:r w:rsidRPr="00646944">
        <w:rPr>
          <w:b/>
          <w:szCs w:val="20"/>
        </w:rPr>
        <w:t>Mobile phone</w:t>
      </w:r>
      <w:r w:rsidRPr="00646944">
        <w:rPr>
          <w:szCs w:val="20"/>
        </w:rPr>
        <w:t>—quality of voice calls continued to record the highest levels of satisfaction (89 per cent), while internet access and data speeds (both at 20 per cent) recorded the highest levels of dissatisfaction.</w:t>
      </w:r>
    </w:p>
    <w:p w14:paraId="79F4EDAC" w14:textId="77777777" w:rsidR="00646944" w:rsidRPr="0031015A" w:rsidRDefault="00646944" w:rsidP="00700BC6">
      <w:pPr>
        <w:pStyle w:val="ListBulletLast"/>
      </w:pPr>
      <w:r w:rsidRPr="0031015A">
        <w:rPr>
          <w:b/>
        </w:rPr>
        <w:t>Internet</w:t>
      </w:r>
      <w:r w:rsidRPr="0031015A">
        <w:t>—the highest levels of satisfaction were recorded for billing information (85 per cent), while data speeds (42 per cent) recorded the highest levels of dissatisfaction</w:t>
      </w:r>
      <w:r>
        <w:t>.</w:t>
      </w:r>
    </w:p>
    <w:p w14:paraId="444ED3C6" w14:textId="77777777" w:rsidR="001D4E2D" w:rsidRPr="004F11E8" w:rsidRDefault="001D4E2D" w:rsidP="00574883">
      <w:pPr>
        <w:keepNext/>
        <w:spacing w:after="160"/>
        <w:ind w:left="1021" w:hanging="1021"/>
        <w:rPr>
          <w:b/>
          <w:bCs/>
          <w:color w:val="323232"/>
          <w:szCs w:val="20"/>
        </w:rPr>
      </w:pPr>
      <w:r w:rsidRPr="0031015A">
        <w:rPr>
          <w:b/>
          <w:bCs/>
          <w:color w:val="323232"/>
          <w:szCs w:val="20"/>
        </w:rPr>
        <w:t>Figure 2.</w:t>
      </w:r>
      <w:r w:rsidR="00646944">
        <w:rPr>
          <w:b/>
          <w:bCs/>
          <w:color w:val="323232"/>
          <w:szCs w:val="20"/>
        </w:rPr>
        <w:t>19</w:t>
      </w:r>
      <w:r w:rsidRPr="0031015A">
        <w:rPr>
          <w:b/>
          <w:bCs/>
          <w:color w:val="323232"/>
          <w:szCs w:val="20"/>
        </w:rPr>
        <w:tab/>
        <w:t>Consumer</w:t>
      </w:r>
      <w:r w:rsidRPr="009536A8">
        <w:rPr>
          <w:b/>
          <w:bCs/>
          <w:color w:val="323232"/>
          <w:szCs w:val="20"/>
        </w:rPr>
        <w:t xml:space="preserve"> </w:t>
      </w:r>
      <w:r w:rsidRPr="004F11E8">
        <w:rPr>
          <w:b/>
          <w:bCs/>
          <w:color w:val="323232"/>
          <w:szCs w:val="20"/>
        </w:rPr>
        <w:t>satisfaction with aspects of their communications services (percentage)</w:t>
      </w:r>
    </w:p>
    <w:p w14:paraId="1F1F292D" w14:textId="77777777" w:rsidR="001D4E2D" w:rsidRDefault="002B4CCF" w:rsidP="00607F01">
      <w:pPr>
        <w:pStyle w:val="ACMAFigureHeader"/>
        <w:spacing w:after="120"/>
        <w:ind w:left="1021" w:hanging="1021"/>
      </w:pPr>
      <w:r>
        <w:rPr>
          <w:noProof/>
        </w:rPr>
        <w:drawing>
          <wp:inline distT="0" distB="0" distL="0" distR="0" wp14:anchorId="73E6FC23" wp14:editId="4B97A7CD">
            <wp:extent cx="6279776" cy="6746312"/>
            <wp:effectExtent l="0" t="0" r="6985" b="0"/>
            <wp:docPr id="47" name="Picture 47" descr="Data for Figure 2.19 is in the .ods file for Chapter 2 on the landing page ‘Communications report 2016-17’, available from the ACMA website." title="Figure 2.19  Consumer satisfaction with aspects of their communications service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hapter 2_Figure 2.19.png"/>
                    <pic:cNvPicPr/>
                  </pic:nvPicPr>
                  <pic:blipFill rotWithShape="1">
                    <a:blip r:embed="rId84">
                      <a:extLst>
                        <a:ext uri="{28A0092B-C50C-407E-A947-70E740481C1C}">
                          <a14:useLocalDpi xmlns:a14="http://schemas.microsoft.com/office/drawing/2010/main" val="0"/>
                        </a:ext>
                      </a:extLst>
                    </a:blip>
                    <a:srcRect t="1933" b="890"/>
                    <a:stretch/>
                  </pic:blipFill>
                  <pic:spPr bwMode="auto">
                    <a:xfrm>
                      <a:off x="0" y="0"/>
                      <a:ext cx="6284882" cy="6751798"/>
                    </a:xfrm>
                    <a:prstGeom prst="rect">
                      <a:avLst/>
                    </a:prstGeom>
                    <a:ln>
                      <a:noFill/>
                    </a:ln>
                    <a:extLst>
                      <a:ext uri="{53640926-AAD7-44D8-BBD7-CCE9431645EC}">
                        <a14:shadowObscured xmlns:a14="http://schemas.microsoft.com/office/drawing/2010/main"/>
                      </a:ext>
                    </a:extLst>
                  </pic:spPr>
                </pic:pic>
              </a:graphicData>
            </a:graphic>
          </wp:inline>
        </w:drawing>
      </w:r>
    </w:p>
    <w:p w14:paraId="097B5973" w14:textId="77777777" w:rsidR="001D4E2D" w:rsidRPr="004F11E8" w:rsidRDefault="001D4E2D" w:rsidP="00574883">
      <w:pPr>
        <w:spacing w:before="240" w:after="0" w:line="240" w:lineRule="auto"/>
        <w:rPr>
          <w:rFonts w:cs="Arial"/>
          <w:i/>
          <w:sz w:val="16"/>
        </w:rPr>
      </w:pPr>
      <w:r w:rsidRPr="004F11E8">
        <w:rPr>
          <w:rFonts w:cs="Arial"/>
          <w:i/>
          <w:sz w:val="16"/>
        </w:rPr>
        <w:t xml:space="preserve">Base: Australians aged 18 years and over using a fixed-line telephone (n=1,398), mobile phone (n=1,859), internet (n=2,186). </w:t>
      </w:r>
    </w:p>
    <w:p w14:paraId="5C2349CC" w14:textId="77777777" w:rsidR="001D4E2D" w:rsidRPr="004F11E8" w:rsidRDefault="001D4E2D" w:rsidP="001D4E2D">
      <w:pPr>
        <w:pStyle w:val="ACMANotes"/>
      </w:pPr>
      <w:r w:rsidRPr="004F11E8">
        <w:t>Notes: Numbers may not add up due to rounding. ‘Don’t know’ and ‘Prefer not to say’ responses are excluded from analysis.</w:t>
      </w:r>
    </w:p>
    <w:p w14:paraId="50D2F9B7" w14:textId="77777777" w:rsidR="001D4E2D" w:rsidRPr="004F11E8" w:rsidRDefault="001D4E2D" w:rsidP="00574883">
      <w:pPr>
        <w:pStyle w:val="ACMANotesspaceafter"/>
        <w:spacing w:after="360"/>
      </w:pPr>
      <w:r w:rsidRPr="004F11E8">
        <w:t>Source: ACMA-commissioned survey, June 2017.</w:t>
      </w:r>
    </w:p>
    <w:p w14:paraId="48C2BCD1" w14:textId="77777777" w:rsidR="001D4E2D" w:rsidRPr="002A1087" w:rsidRDefault="001D4E2D" w:rsidP="0023007A">
      <w:pPr>
        <w:pStyle w:val="Heading2"/>
        <w:numPr>
          <w:ilvl w:val="1"/>
          <w:numId w:val="16"/>
        </w:numPr>
        <w:ind w:hanging="792"/>
      </w:pPr>
      <w:bookmarkStart w:id="956" w:name="_Toc494799413"/>
      <w:bookmarkStart w:id="957" w:name="_Toc494805716"/>
      <w:bookmarkStart w:id="958" w:name="_Toc494805946"/>
      <w:bookmarkStart w:id="959" w:name="_Toc494808176"/>
      <w:bookmarkStart w:id="960" w:name="_Toc494808830"/>
      <w:bookmarkStart w:id="961" w:name="_Toc494815986"/>
      <w:bookmarkStart w:id="962" w:name="_Toc494818844"/>
      <w:bookmarkStart w:id="963" w:name="_Toc494819110"/>
      <w:bookmarkStart w:id="964" w:name="_Toc500320907"/>
      <w:r w:rsidRPr="002A1087">
        <w:t>International trends</w:t>
      </w:r>
      <w:bookmarkEnd w:id="956"/>
      <w:bookmarkEnd w:id="957"/>
      <w:bookmarkEnd w:id="958"/>
      <w:bookmarkEnd w:id="959"/>
      <w:bookmarkEnd w:id="960"/>
      <w:bookmarkEnd w:id="961"/>
      <w:bookmarkEnd w:id="962"/>
      <w:bookmarkEnd w:id="963"/>
      <w:bookmarkEnd w:id="964"/>
      <w:r w:rsidRPr="002A1087">
        <w:t xml:space="preserve"> </w:t>
      </w:r>
    </w:p>
    <w:p w14:paraId="71D287DF" w14:textId="77777777" w:rsidR="001D4E2D" w:rsidRPr="007735F3" w:rsidRDefault="001D4E2D" w:rsidP="001127BB">
      <w:pPr>
        <w:keepNext/>
      </w:pPr>
      <w:r w:rsidRPr="007735F3">
        <w:t>International data that is currently available allows a broad-level comparison of internet adoption levels and device usage across Australia, the United States (US)</w:t>
      </w:r>
      <w:r>
        <w:t xml:space="preserve"> and</w:t>
      </w:r>
      <w:r w:rsidRPr="007735F3">
        <w:t xml:space="preserve"> the United Kingdom (UK). </w:t>
      </w:r>
    </w:p>
    <w:p w14:paraId="34B37012" w14:textId="77777777" w:rsidR="001D4E2D" w:rsidRPr="0031015A" w:rsidRDefault="001D4E2D" w:rsidP="001D4E2D">
      <w:pPr>
        <w:pStyle w:val="Heading3"/>
      </w:pPr>
      <w:bookmarkStart w:id="965" w:name="_Toc494799414"/>
      <w:bookmarkStart w:id="966" w:name="_Toc494805717"/>
      <w:bookmarkStart w:id="967" w:name="_Toc494805947"/>
      <w:bookmarkStart w:id="968" w:name="_Toc494808177"/>
      <w:bookmarkStart w:id="969" w:name="_Toc494808831"/>
      <w:bookmarkStart w:id="970" w:name="_Toc494815987"/>
      <w:bookmarkStart w:id="971" w:name="_Toc494818845"/>
      <w:bookmarkStart w:id="972" w:name="_Toc494819111"/>
      <w:r w:rsidRPr="00E94223">
        <w:t xml:space="preserve">Access </w:t>
      </w:r>
      <w:r w:rsidRPr="0031015A">
        <w:t>to the internet</w:t>
      </w:r>
      <w:bookmarkEnd w:id="965"/>
      <w:bookmarkEnd w:id="966"/>
      <w:bookmarkEnd w:id="967"/>
      <w:bookmarkEnd w:id="968"/>
      <w:bookmarkEnd w:id="969"/>
      <w:bookmarkEnd w:id="970"/>
      <w:bookmarkEnd w:id="971"/>
      <w:bookmarkEnd w:id="972"/>
    </w:p>
    <w:p w14:paraId="62DF3855" w14:textId="77777777" w:rsidR="001D4E2D" w:rsidRPr="0031015A" w:rsidRDefault="001D4E2D" w:rsidP="001D4E2D">
      <w:pPr>
        <w:rPr>
          <w:rFonts w:cs="Arial"/>
        </w:rPr>
      </w:pPr>
      <w:r w:rsidRPr="0031015A">
        <w:rPr>
          <w:rFonts w:cs="Arial"/>
        </w:rPr>
        <w:t xml:space="preserve">Table 2.1 </w:t>
      </w:r>
      <w:r w:rsidR="00306A5A">
        <w:rPr>
          <w:rFonts w:cs="Arial"/>
        </w:rPr>
        <w:t>shows</w:t>
      </w:r>
      <w:r w:rsidR="00306A5A" w:rsidRPr="0031015A">
        <w:rPr>
          <w:rFonts w:cs="Arial"/>
        </w:rPr>
        <w:t xml:space="preserve"> </w:t>
      </w:r>
      <w:r w:rsidRPr="0031015A">
        <w:rPr>
          <w:rFonts w:cs="Arial"/>
        </w:rPr>
        <w:t xml:space="preserve">that Australia has similar or higher levels of general and mobile phone internet users than the US and UK. </w:t>
      </w:r>
    </w:p>
    <w:p w14:paraId="2880EDE5" w14:textId="77777777" w:rsidR="001D4E2D" w:rsidRDefault="001D4E2D" w:rsidP="00574883">
      <w:pPr>
        <w:spacing w:after="160"/>
        <w:ind w:left="964" w:hanging="964"/>
        <w:rPr>
          <w:b/>
          <w:bCs/>
          <w:color w:val="323232"/>
          <w:szCs w:val="20"/>
        </w:rPr>
      </w:pPr>
      <w:r w:rsidRPr="0031015A">
        <w:rPr>
          <w:b/>
          <w:bCs/>
          <w:color w:val="323232"/>
          <w:szCs w:val="20"/>
        </w:rPr>
        <w:t>Table 2.1</w:t>
      </w:r>
      <w:r w:rsidRPr="0031015A">
        <w:rPr>
          <w:b/>
          <w:bCs/>
          <w:color w:val="323232"/>
          <w:szCs w:val="20"/>
        </w:rPr>
        <w:tab/>
        <w:t>International</w:t>
      </w:r>
      <w:r w:rsidRPr="00E94223">
        <w:rPr>
          <w:b/>
          <w:bCs/>
          <w:color w:val="323232"/>
          <w:szCs w:val="20"/>
        </w:rPr>
        <w:t xml:space="preserve"> trends in access to the internet (percentage)</w:t>
      </w:r>
    </w:p>
    <w:tbl>
      <w:tblPr>
        <w:tblStyle w:val="TableGrid1"/>
        <w:tblW w:w="7650"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2.1 International trends in access to the internet (percentage)"/>
      </w:tblPr>
      <w:tblGrid>
        <w:gridCol w:w="1270"/>
        <w:gridCol w:w="1063"/>
        <w:gridCol w:w="1063"/>
        <w:gridCol w:w="1063"/>
        <w:gridCol w:w="1064"/>
        <w:gridCol w:w="1063"/>
        <w:gridCol w:w="1064"/>
      </w:tblGrid>
      <w:tr w:rsidR="001D4E2D" w:rsidRPr="004A1345" w14:paraId="44AC36EC" w14:textId="77777777" w:rsidTr="00EE3FD2">
        <w:trPr>
          <w:trHeight w:val="238"/>
          <w:tblHeader/>
        </w:trPr>
        <w:tc>
          <w:tcPr>
            <w:tcW w:w="1271" w:type="dxa"/>
            <w:vMerge w:val="restart"/>
            <w:tcBorders>
              <w:top w:val="nil"/>
              <w:left w:val="nil"/>
            </w:tcBorders>
            <w:shd w:val="clear" w:color="auto" w:fill="FFFFFF" w:themeFill="background1"/>
            <w:vAlign w:val="center"/>
          </w:tcPr>
          <w:p w14:paraId="75333BEF" w14:textId="77777777" w:rsidR="001D4E2D" w:rsidRPr="004A1345" w:rsidRDefault="001D4E2D" w:rsidP="00574883">
            <w:pPr>
              <w:spacing w:after="0" w:line="240" w:lineRule="auto"/>
              <w:rPr>
                <w:color w:val="FFFFFF"/>
                <w:sz w:val="18"/>
                <w:szCs w:val="18"/>
                <w:highlight w:val="yellow"/>
              </w:rPr>
            </w:pPr>
          </w:p>
          <w:p w14:paraId="498F468C" w14:textId="77777777" w:rsidR="001D4E2D" w:rsidRPr="004A1345" w:rsidRDefault="001D4E2D" w:rsidP="00574883">
            <w:pPr>
              <w:spacing w:after="0" w:line="240" w:lineRule="auto"/>
              <w:rPr>
                <w:sz w:val="18"/>
                <w:szCs w:val="18"/>
                <w:highlight w:val="yellow"/>
              </w:rPr>
            </w:pPr>
          </w:p>
        </w:tc>
        <w:tc>
          <w:tcPr>
            <w:tcW w:w="2126" w:type="dxa"/>
            <w:gridSpan w:val="2"/>
            <w:shd w:val="clear" w:color="auto" w:fill="37897E"/>
            <w:vAlign w:val="center"/>
          </w:tcPr>
          <w:p w14:paraId="1892331E" w14:textId="77777777" w:rsidR="001D4E2D" w:rsidRPr="00FB6FC9" w:rsidRDefault="001D4E2D" w:rsidP="00574883">
            <w:pPr>
              <w:pStyle w:val="TableHeading"/>
              <w:spacing w:before="0"/>
              <w:jc w:val="center"/>
              <w:rPr>
                <w:szCs w:val="18"/>
              </w:rPr>
            </w:pPr>
            <w:r w:rsidRPr="00FB6FC9">
              <w:rPr>
                <w:szCs w:val="18"/>
              </w:rPr>
              <w:t>Home broadband connection</w:t>
            </w:r>
          </w:p>
        </w:tc>
        <w:tc>
          <w:tcPr>
            <w:tcW w:w="2127" w:type="dxa"/>
            <w:gridSpan w:val="2"/>
            <w:shd w:val="clear" w:color="auto" w:fill="37897E"/>
            <w:vAlign w:val="center"/>
          </w:tcPr>
          <w:p w14:paraId="3BBFB999" w14:textId="77777777" w:rsidR="001D4E2D" w:rsidRPr="00FB6FC9" w:rsidRDefault="001D4E2D" w:rsidP="00574883">
            <w:pPr>
              <w:pStyle w:val="TableHeading"/>
              <w:spacing w:before="0"/>
              <w:jc w:val="center"/>
              <w:rPr>
                <w:szCs w:val="18"/>
              </w:rPr>
            </w:pPr>
            <w:r w:rsidRPr="00FB6FC9">
              <w:rPr>
                <w:szCs w:val="18"/>
              </w:rPr>
              <w:t>Use mobile phone to access the internet</w:t>
            </w:r>
          </w:p>
        </w:tc>
        <w:tc>
          <w:tcPr>
            <w:tcW w:w="2126" w:type="dxa"/>
            <w:gridSpan w:val="2"/>
            <w:shd w:val="clear" w:color="auto" w:fill="37897E"/>
            <w:vAlign w:val="center"/>
          </w:tcPr>
          <w:p w14:paraId="45400929" w14:textId="77777777" w:rsidR="001D4E2D" w:rsidRPr="00FB6FC9" w:rsidRDefault="001D4E2D" w:rsidP="00574883">
            <w:pPr>
              <w:pStyle w:val="TableHeading"/>
              <w:spacing w:before="0"/>
              <w:jc w:val="center"/>
              <w:rPr>
                <w:szCs w:val="18"/>
              </w:rPr>
            </w:pPr>
            <w:r w:rsidRPr="00FB6FC9">
              <w:rPr>
                <w:szCs w:val="18"/>
              </w:rPr>
              <w:t>Use the internet</w:t>
            </w:r>
          </w:p>
        </w:tc>
      </w:tr>
      <w:tr w:rsidR="001D4E2D" w:rsidRPr="004A1345" w14:paraId="0877559A" w14:textId="77777777" w:rsidTr="00EE3FD2">
        <w:trPr>
          <w:trHeight w:val="203"/>
        </w:trPr>
        <w:tc>
          <w:tcPr>
            <w:tcW w:w="1271" w:type="dxa"/>
            <w:vMerge/>
            <w:tcBorders>
              <w:left w:val="nil"/>
            </w:tcBorders>
            <w:shd w:val="clear" w:color="auto" w:fill="FFFFFF" w:themeFill="background1"/>
            <w:vAlign w:val="center"/>
          </w:tcPr>
          <w:p w14:paraId="1DC3CB16" w14:textId="77777777" w:rsidR="001D4E2D" w:rsidRPr="004A1345" w:rsidRDefault="001D4E2D" w:rsidP="00574883">
            <w:pPr>
              <w:spacing w:after="0" w:line="240" w:lineRule="auto"/>
              <w:rPr>
                <w:color w:val="FFFFFF"/>
                <w:sz w:val="18"/>
                <w:szCs w:val="18"/>
                <w:highlight w:val="yellow"/>
              </w:rPr>
            </w:pPr>
          </w:p>
        </w:tc>
        <w:tc>
          <w:tcPr>
            <w:tcW w:w="1063" w:type="dxa"/>
            <w:shd w:val="clear" w:color="auto" w:fill="37897E"/>
            <w:vAlign w:val="center"/>
          </w:tcPr>
          <w:p w14:paraId="7B52CC2D"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2016</w:t>
            </w:r>
          </w:p>
        </w:tc>
        <w:tc>
          <w:tcPr>
            <w:tcW w:w="1063" w:type="dxa"/>
            <w:shd w:val="clear" w:color="auto" w:fill="37897E"/>
            <w:vAlign w:val="center"/>
          </w:tcPr>
          <w:p w14:paraId="326FDB9A"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w:t>
            </w:r>
            <w:r>
              <w:rPr>
                <w:rFonts w:cs="Arial"/>
                <w:b/>
                <w:color w:val="FFFFFF"/>
                <w:sz w:val="18"/>
                <w:szCs w:val="18"/>
              </w:rPr>
              <w:t>7</w:t>
            </w:r>
          </w:p>
        </w:tc>
        <w:tc>
          <w:tcPr>
            <w:tcW w:w="1063" w:type="dxa"/>
            <w:shd w:val="clear" w:color="auto" w:fill="37897E"/>
            <w:vAlign w:val="center"/>
          </w:tcPr>
          <w:p w14:paraId="0848632A"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2016</w:t>
            </w:r>
          </w:p>
        </w:tc>
        <w:tc>
          <w:tcPr>
            <w:tcW w:w="1063" w:type="dxa"/>
            <w:shd w:val="clear" w:color="auto" w:fill="37897E"/>
            <w:vAlign w:val="center"/>
          </w:tcPr>
          <w:p w14:paraId="5C10E8EB"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w:t>
            </w:r>
            <w:r>
              <w:rPr>
                <w:rFonts w:cs="Arial"/>
                <w:b/>
                <w:color w:val="FFFFFF"/>
                <w:sz w:val="18"/>
                <w:szCs w:val="18"/>
              </w:rPr>
              <w:t>7</w:t>
            </w:r>
          </w:p>
        </w:tc>
        <w:tc>
          <w:tcPr>
            <w:tcW w:w="1063" w:type="dxa"/>
            <w:shd w:val="clear" w:color="auto" w:fill="37897E"/>
            <w:vAlign w:val="center"/>
          </w:tcPr>
          <w:p w14:paraId="0FC47516"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2016</w:t>
            </w:r>
          </w:p>
        </w:tc>
        <w:tc>
          <w:tcPr>
            <w:tcW w:w="1064" w:type="dxa"/>
            <w:shd w:val="clear" w:color="auto" w:fill="37897E"/>
            <w:vAlign w:val="center"/>
          </w:tcPr>
          <w:p w14:paraId="7ECC8E2D" w14:textId="77777777" w:rsidR="001D4E2D" w:rsidRPr="00CA1DDC" w:rsidRDefault="001D4E2D" w:rsidP="00574883">
            <w:pPr>
              <w:spacing w:after="0" w:line="240" w:lineRule="auto"/>
              <w:jc w:val="right"/>
              <w:rPr>
                <w:rFonts w:cs="Arial"/>
                <w:b/>
                <w:color w:val="FFFFFF"/>
                <w:sz w:val="18"/>
                <w:szCs w:val="18"/>
              </w:rPr>
            </w:pPr>
            <w:r w:rsidRPr="00CA1DDC">
              <w:rPr>
                <w:rFonts w:cs="Arial"/>
                <w:b/>
                <w:color w:val="FFFFFF"/>
                <w:sz w:val="18"/>
                <w:szCs w:val="18"/>
              </w:rPr>
              <w:t>201</w:t>
            </w:r>
            <w:r>
              <w:rPr>
                <w:rFonts w:cs="Arial"/>
                <w:b/>
                <w:color w:val="FFFFFF"/>
                <w:sz w:val="18"/>
                <w:szCs w:val="18"/>
              </w:rPr>
              <w:t>7</w:t>
            </w:r>
          </w:p>
        </w:tc>
      </w:tr>
      <w:tr w:rsidR="001D4E2D" w:rsidRPr="004A1345" w14:paraId="6BC4D257" w14:textId="77777777" w:rsidTr="00EE3FD2">
        <w:trPr>
          <w:trHeight w:val="23"/>
        </w:trPr>
        <w:tc>
          <w:tcPr>
            <w:tcW w:w="1271" w:type="dxa"/>
            <w:shd w:val="clear" w:color="auto" w:fill="auto"/>
            <w:vAlign w:val="center"/>
          </w:tcPr>
          <w:p w14:paraId="651BB528" w14:textId="77777777" w:rsidR="001D4E2D" w:rsidRPr="009D3979" w:rsidRDefault="001D4E2D" w:rsidP="00574883">
            <w:pPr>
              <w:spacing w:after="0" w:line="240" w:lineRule="auto"/>
              <w:rPr>
                <w:rFonts w:cs="Arial"/>
                <w:sz w:val="18"/>
                <w:szCs w:val="18"/>
              </w:rPr>
            </w:pPr>
            <w:r w:rsidRPr="00EE11DD">
              <w:rPr>
                <w:rFonts w:cs="Arial"/>
                <w:sz w:val="18"/>
                <w:szCs w:val="18"/>
              </w:rPr>
              <w:t>Aus</w:t>
            </w:r>
            <w:r w:rsidRPr="009D3979">
              <w:rPr>
                <w:rFonts w:cs="Arial"/>
                <w:sz w:val="18"/>
                <w:szCs w:val="18"/>
              </w:rPr>
              <w:t>tralia</w:t>
            </w:r>
          </w:p>
        </w:tc>
        <w:tc>
          <w:tcPr>
            <w:tcW w:w="1063" w:type="dxa"/>
            <w:shd w:val="clear" w:color="auto" w:fill="auto"/>
            <w:vAlign w:val="center"/>
          </w:tcPr>
          <w:p w14:paraId="7301B2EB" w14:textId="77777777" w:rsidR="001D4E2D" w:rsidRPr="006D03CF" w:rsidRDefault="001D4E2D" w:rsidP="00574883">
            <w:pPr>
              <w:spacing w:after="0" w:line="240" w:lineRule="auto"/>
              <w:jc w:val="right"/>
              <w:rPr>
                <w:sz w:val="18"/>
                <w:szCs w:val="18"/>
              </w:rPr>
            </w:pPr>
            <w:r w:rsidRPr="006D03CF">
              <w:rPr>
                <w:rFonts w:cs="Arial"/>
                <w:sz w:val="18"/>
                <w:szCs w:val="18"/>
              </w:rPr>
              <w:t>85</w:t>
            </w:r>
          </w:p>
        </w:tc>
        <w:tc>
          <w:tcPr>
            <w:tcW w:w="1063" w:type="dxa"/>
            <w:shd w:val="clear" w:color="auto" w:fill="auto"/>
            <w:vAlign w:val="center"/>
          </w:tcPr>
          <w:p w14:paraId="2339D716" w14:textId="77777777" w:rsidR="001D4E2D" w:rsidRPr="006D03CF" w:rsidRDefault="001D4E2D" w:rsidP="00574883">
            <w:pPr>
              <w:spacing w:after="0" w:line="240" w:lineRule="auto"/>
              <w:jc w:val="right"/>
              <w:rPr>
                <w:rFonts w:cs="Arial"/>
                <w:sz w:val="18"/>
                <w:szCs w:val="18"/>
              </w:rPr>
            </w:pPr>
            <w:r>
              <w:rPr>
                <w:rFonts w:cs="Arial"/>
                <w:sz w:val="18"/>
                <w:szCs w:val="18"/>
              </w:rPr>
              <w:t>85</w:t>
            </w:r>
          </w:p>
        </w:tc>
        <w:tc>
          <w:tcPr>
            <w:tcW w:w="1063" w:type="dxa"/>
            <w:shd w:val="clear" w:color="auto" w:fill="auto"/>
            <w:vAlign w:val="center"/>
          </w:tcPr>
          <w:p w14:paraId="7CFD2840" w14:textId="77777777" w:rsidR="001D4E2D" w:rsidRPr="006D03CF" w:rsidRDefault="001D4E2D" w:rsidP="00574883">
            <w:pPr>
              <w:spacing w:after="0" w:line="240" w:lineRule="auto"/>
              <w:jc w:val="right"/>
              <w:rPr>
                <w:rFonts w:cs="Arial"/>
                <w:sz w:val="18"/>
                <w:szCs w:val="18"/>
              </w:rPr>
            </w:pPr>
            <w:r w:rsidRPr="006D03CF">
              <w:rPr>
                <w:rFonts w:cs="Arial"/>
                <w:sz w:val="18"/>
                <w:szCs w:val="18"/>
              </w:rPr>
              <w:t>70</w:t>
            </w:r>
          </w:p>
        </w:tc>
        <w:tc>
          <w:tcPr>
            <w:tcW w:w="1063" w:type="dxa"/>
            <w:shd w:val="clear" w:color="auto" w:fill="auto"/>
            <w:vAlign w:val="center"/>
          </w:tcPr>
          <w:p w14:paraId="16FE2779" w14:textId="77777777" w:rsidR="001D4E2D" w:rsidRPr="006D03CF" w:rsidRDefault="001D4E2D" w:rsidP="00574883">
            <w:pPr>
              <w:spacing w:after="0" w:line="240" w:lineRule="auto"/>
              <w:jc w:val="right"/>
              <w:rPr>
                <w:rFonts w:cs="Arial"/>
                <w:sz w:val="18"/>
                <w:szCs w:val="18"/>
              </w:rPr>
            </w:pPr>
            <w:r>
              <w:rPr>
                <w:rFonts w:cs="Arial"/>
                <w:sz w:val="18"/>
                <w:szCs w:val="18"/>
              </w:rPr>
              <w:t>75</w:t>
            </w:r>
          </w:p>
        </w:tc>
        <w:tc>
          <w:tcPr>
            <w:tcW w:w="1063" w:type="dxa"/>
            <w:shd w:val="clear" w:color="auto" w:fill="auto"/>
            <w:vAlign w:val="center"/>
          </w:tcPr>
          <w:p w14:paraId="2F3D0920" w14:textId="77777777" w:rsidR="001D4E2D" w:rsidRPr="006D03CF" w:rsidRDefault="001D4E2D" w:rsidP="00574883">
            <w:pPr>
              <w:spacing w:after="0" w:line="240" w:lineRule="auto"/>
              <w:jc w:val="right"/>
              <w:rPr>
                <w:rFonts w:cs="Arial"/>
                <w:sz w:val="18"/>
                <w:szCs w:val="18"/>
              </w:rPr>
            </w:pPr>
            <w:r w:rsidRPr="006D03CF">
              <w:rPr>
                <w:rFonts w:cs="Arial"/>
                <w:sz w:val="18"/>
                <w:szCs w:val="18"/>
              </w:rPr>
              <w:t>91</w:t>
            </w:r>
          </w:p>
        </w:tc>
        <w:tc>
          <w:tcPr>
            <w:tcW w:w="1064" w:type="dxa"/>
            <w:shd w:val="clear" w:color="auto" w:fill="auto"/>
            <w:vAlign w:val="center"/>
          </w:tcPr>
          <w:p w14:paraId="5393E4FE" w14:textId="77777777" w:rsidR="001D4E2D" w:rsidRPr="004A1345" w:rsidRDefault="001D4E2D" w:rsidP="00574883">
            <w:pPr>
              <w:spacing w:after="0" w:line="240" w:lineRule="auto"/>
              <w:jc w:val="right"/>
              <w:rPr>
                <w:rFonts w:cs="Arial"/>
                <w:sz w:val="18"/>
                <w:szCs w:val="18"/>
                <w:highlight w:val="yellow"/>
              </w:rPr>
            </w:pPr>
            <w:r w:rsidRPr="00CC1746">
              <w:rPr>
                <w:rFonts w:cs="Arial"/>
                <w:sz w:val="18"/>
                <w:szCs w:val="18"/>
              </w:rPr>
              <w:t>89</w:t>
            </w:r>
          </w:p>
        </w:tc>
      </w:tr>
      <w:tr w:rsidR="001D4E2D" w:rsidRPr="004A1345" w14:paraId="4AA46CFC" w14:textId="77777777" w:rsidTr="00EE3FD2">
        <w:trPr>
          <w:trHeight w:val="23"/>
        </w:trPr>
        <w:tc>
          <w:tcPr>
            <w:tcW w:w="1271" w:type="dxa"/>
            <w:shd w:val="clear" w:color="auto" w:fill="auto"/>
            <w:vAlign w:val="center"/>
          </w:tcPr>
          <w:p w14:paraId="78C64D49" w14:textId="77777777" w:rsidR="001D4E2D" w:rsidRPr="00EE11DD" w:rsidRDefault="001D4E2D" w:rsidP="00574883">
            <w:pPr>
              <w:spacing w:after="0" w:line="240" w:lineRule="auto"/>
              <w:rPr>
                <w:sz w:val="18"/>
                <w:szCs w:val="18"/>
              </w:rPr>
            </w:pPr>
            <w:r w:rsidRPr="00EE11DD">
              <w:rPr>
                <w:sz w:val="18"/>
                <w:szCs w:val="18"/>
              </w:rPr>
              <w:t>US</w:t>
            </w:r>
          </w:p>
        </w:tc>
        <w:tc>
          <w:tcPr>
            <w:tcW w:w="1063" w:type="dxa"/>
            <w:shd w:val="clear" w:color="auto" w:fill="auto"/>
            <w:vAlign w:val="center"/>
          </w:tcPr>
          <w:p w14:paraId="6A8FE91F" w14:textId="77777777" w:rsidR="001D4E2D" w:rsidRPr="00E81AB6" w:rsidRDefault="001D4E2D" w:rsidP="00574883">
            <w:pPr>
              <w:spacing w:after="0" w:line="240" w:lineRule="auto"/>
              <w:jc w:val="right"/>
              <w:rPr>
                <w:rFonts w:cs="Arial"/>
                <w:sz w:val="18"/>
                <w:szCs w:val="18"/>
              </w:rPr>
            </w:pPr>
            <w:r w:rsidRPr="00E81AB6">
              <w:rPr>
                <w:rFonts w:cs="Arial"/>
                <w:sz w:val="18"/>
                <w:szCs w:val="18"/>
              </w:rPr>
              <w:t>73</w:t>
            </w:r>
          </w:p>
        </w:tc>
        <w:tc>
          <w:tcPr>
            <w:tcW w:w="1063" w:type="dxa"/>
            <w:shd w:val="clear" w:color="auto" w:fill="auto"/>
            <w:vAlign w:val="center"/>
          </w:tcPr>
          <w:p w14:paraId="2DEF30FD" w14:textId="77777777" w:rsidR="001D4E2D" w:rsidRPr="00E81AB6" w:rsidRDefault="001D4E2D" w:rsidP="00574883">
            <w:pPr>
              <w:spacing w:after="0" w:line="240" w:lineRule="auto"/>
              <w:jc w:val="right"/>
              <w:rPr>
                <w:rFonts w:cs="Arial"/>
                <w:sz w:val="18"/>
                <w:szCs w:val="18"/>
              </w:rPr>
            </w:pPr>
            <w:r>
              <w:rPr>
                <w:rFonts w:cs="Arial"/>
                <w:sz w:val="18"/>
                <w:szCs w:val="18"/>
              </w:rPr>
              <w:t>n/a</w:t>
            </w:r>
          </w:p>
        </w:tc>
        <w:tc>
          <w:tcPr>
            <w:tcW w:w="1063" w:type="dxa"/>
            <w:shd w:val="clear" w:color="auto" w:fill="auto"/>
            <w:vAlign w:val="center"/>
          </w:tcPr>
          <w:p w14:paraId="4C3734DF" w14:textId="77777777" w:rsidR="001D4E2D" w:rsidRPr="00E81AB6" w:rsidRDefault="001D4E2D" w:rsidP="00574883">
            <w:pPr>
              <w:spacing w:after="0" w:line="240" w:lineRule="auto"/>
              <w:jc w:val="right"/>
              <w:rPr>
                <w:rFonts w:cs="Arial"/>
                <w:sz w:val="18"/>
                <w:szCs w:val="18"/>
              </w:rPr>
            </w:pPr>
            <w:r w:rsidRPr="00E81AB6">
              <w:rPr>
                <w:rFonts w:cs="Arial"/>
                <w:sz w:val="18"/>
                <w:szCs w:val="18"/>
              </w:rPr>
              <w:t>70</w:t>
            </w:r>
          </w:p>
        </w:tc>
        <w:tc>
          <w:tcPr>
            <w:tcW w:w="1063" w:type="dxa"/>
            <w:shd w:val="clear" w:color="auto" w:fill="auto"/>
            <w:vAlign w:val="center"/>
          </w:tcPr>
          <w:p w14:paraId="7CF43C7B" w14:textId="77777777" w:rsidR="001D4E2D" w:rsidRPr="00E81AB6" w:rsidRDefault="001D4E2D" w:rsidP="00574883">
            <w:pPr>
              <w:spacing w:after="0" w:line="240" w:lineRule="auto"/>
              <w:jc w:val="right"/>
              <w:rPr>
                <w:rFonts w:cs="Arial"/>
                <w:sz w:val="18"/>
                <w:szCs w:val="18"/>
              </w:rPr>
            </w:pPr>
            <w:r w:rsidRPr="00E81AB6">
              <w:rPr>
                <w:rFonts w:cs="Arial"/>
                <w:sz w:val="18"/>
                <w:szCs w:val="18"/>
              </w:rPr>
              <w:t>73</w:t>
            </w:r>
          </w:p>
        </w:tc>
        <w:tc>
          <w:tcPr>
            <w:tcW w:w="1063" w:type="dxa"/>
            <w:shd w:val="clear" w:color="auto" w:fill="auto"/>
            <w:vAlign w:val="center"/>
          </w:tcPr>
          <w:p w14:paraId="40C122FC" w14:textId="77777777" w:rsidR="001D4E2D" w:rsidRPr="00E81AB6" w:rsidRDefault="001D4E2D" w:rsidP="00574883">
            <w:pPr>
              <w:spacing w:after="0" w:line="240" w:lineRule="auto"/>
              <w:jc w:val="right"/>
              <w:rPr>
                <w:rFonts w:cs="Arial"/>
                <w:sz w:val="18"/>
                <w:szCs w:val="18"/>
              </w:rPr>
            </w:pPr>
            <w:r w:rsidRPr="00E81AB6">
              <w:rPr>
                <w:rFonts w:cs="Arial"/>
                <w:sz w:val="18"/>
                <w:szCs w:val="18"/>
              </w:rPr>
              <w:t>90</w:t>
            </w:r>
          </w:p>
        </w:tc>
        <w:tc>
          <w:tcPr>
            <w:tcW w:w="1064" w:type="dxa"/>
            <w:shd w:val="clear" w:color="auto" w:fill="auto"/>
            <w:vAlign w:val="center"/>
          </w:tcPr>
          <w:p w14:paraId="4C67F164" w14:textId="77777777" w:rsidR="001D4E2D" w:rsidRPr="004A1345" w:rsidRDefault="001D4E2D" w:rsidP="00574883">
            <w:pPr>
              <w:spacing w:after="0" w:line="240" w:lineRule="auto"/>
              <w:jc w:val="right"/>
              <w:rPr>
                <w:rFonts w:cs="Arial"/>
                <w:sz w:val="18"/>
                <w:szCs w:val="18"/>
                <w:highlight w:val="yellow"/>
              </w:rPr>
            </w:pPr>
            <w:r w:rsidRPr="00E05072">
              <w:rPr>
                <w:rFonts w:cs="Arial"/>
                <w:sz w:val="18"/>
                <w:szCs w:val="18"/>
              </w:rPr>
              <w:t>n/a</w:t>
            </w:r>
          </w:p>
        </w:tc>
      </w:tr>
      <w:tr w:rsidR="001D4E2D" w:rsidRPr="004A1345" w14:paraId="399601FC" w14:textId="77777777" w:rsidTr="00EE3FD2">
        <w:trPr>
          <w:trHeight w:val="50"/>
        </w:trPr>
        <w:tc>
          <w:tcPr>
            <w:tcW w:w="1271" w:type="dxa"/>
            <w:shd w:val="clear" w:color="auto" w:fill="auto"/>
            <w:vAlign w:val="center"/>
          </w:tcPr>
          <w:p w14:paraId="20F5C95A" w14:textId="77777777" w:rsidR="001D4E2D" w:rsidRPr="00EE11DD" w:rsidRDefault="001D4E2D" w:rsidP="00574883">
            <w:pPr>
              <w:spacing w:after="0" w:line="240" w:lineRule="auto"/>
              <w:rPr>
                <w:sz w:val="18"/>
                <w:szCs w:val="18"/>
              </w:rPr>
            </w:pPr>
            <w:r w:rsidRPr="00EE11DD">
              <w:rPr>
                <w:sz w:val="18"/>
                <w:szCs w:val="18"/>
              </w:rPr>
              <w:t>UK</w:t>
            </w:r>
            <w:r w:rsidRPr="00EE11DD">
              <w:rPr>
                <w:sz w:val="18"/>
                <w:szCs w:val="18"/>
                <w:vertAlign w:val="superscript"/>
              </w:rPr>
              <w:endnoteReference w:id="159"/>
            </w:r>
          </w:p>
        </w:tc>
        <w:tc>
          <w:tcPr>
            <w:tcW w:w="1063" w:type="dxa"/>
            <w:shd w:val="clear" w:color="auto" w:fill="auto"/>
            <w:vAlign w:val="center"/>
          </w:tcPr>
          <w:p w14:paraId="103A5851" w14:textId="77777777" w:rsidR="001D4E2D" w:rsidRPr="006D03CF" w:rsidRDefault="001D4E2D" w:rsidP="00574883">
            <w:pPr>
              <w:spacing w:after="0" w:line="240" w:lineRule="auto"/>
              <w:jc w:val="right"/>
              <w:rPr>
                <w:rFonts w:cs="Arial"/>
                <w:sz w:val="18"/>
                <w:szCs w:val="18"/>
              </w:rPr>
            </w:pPr>
            <w:r w:rsidRPr="006D03CF">
              <w:rPr>
                <w:rFonts w:cs="Arial"/>
                <w:sz w:val="18"/>
                <w:szCs w:val="18"/>
              </w:rPr>
              <w:t>81</w:t>
            </w:r>
          </w:p>
        </w:tc>
        <w:tc>
          <w:tcPr>
            <w:tcW w:w="1063" w:type="dxa"/>
            <w:shd w:val="clear" w:color="auto" w:fill="auto"/>
            <w:vAlign w:val="center"/>
          </w:tcPr>
          <w:p w14:paraId="295ACE01" w14:textId="77777777" w:rsidR="001D4E2D" w:rsidRPr="006D03CF" w:rsidRDefault="001D4E2D" w:rsidP="00574883">
            <w:pPr>
              <w:spacing w:after="0" w:line="240" w:lineRule="auto"/>
              <w:jc w:val="right"/>
              <w:rPr>
                <w:rFonts w:cs="Arial"/>
                <w:sz w:val="18"/>
                <w:szCs w:val="18"/>
              </w:rPr>
            </w:pPr>
            <w:r>
              <w:rPr>
                <w:rFonts w:cs="Arial"/>
                <w:sz w:val="18"/>
                <w:szCs w:val="18"/>
              </w:rPr>
              <w:t>83</w:t>
            </w:r>
          </w:p>
        </w:tc>
        <w:tc>
          <w:tcPr>
            <w:tcW w:w="1063" w:type="dxa"/>
            <w:shd w:val="clear" w:color="auto" w:fill="auto"/>
            <w:vAlign w:val="center"/>
          </w:tcPr>
          <w:p w14:paraId="1B9DC725" w14:textId="77777777" w:rsidR="001D4E2D" w:rsidRPr="006D03CF" w:rsidRDefault="001D4E2D" w:rsidP="00574883">
            <w:pPr>
              <w:spacing w:after="0" w:line="240" w:lineRule="auto"/>
              <w:jc w:val="right"/>
              <w:rPr>
                <w:rFonts w:cs="Arial"/>
                <w:sz w:val="18"/>
                <w:szCs w:val="18"/>
              </w:rPr>
            </w:pPr>
            <w:r w:rsidRPr="006D03CF">
              <w:rPr>
                <w:rFonts w:cs="Arial"/>
                <w:sz w:val="18"/>
                <w:szCs w:val="18"/>
              </w:rPr>
              <w:t>66</w:t>
            </w:r>
          </w:p>
        </w:tc>
        <w:tc>
          <w:tcPr>
            <w:tcW w:w="1063" w:type="dxa"/>
            <w:shd w:val="clear" w:color="auto" w:fill="auto"/>
            <w:vAlign w:val="center"/>
          </w:tcPr>
          <w:p w14:paraId="0EED948F" w14:textId="77777777" w:rsidR="001D4E2D" w:rsidRPr="006D03CF" w:rsidRDefault="001D4E2D" w:rsidP="00574883">
            <w:pPr>
              <w:spacing w:after="0" w:line="240" w:lineRule="auto"/>
              <w:jc w:val="right"/>
              <w:rPr>
                <w:rFonts w:cs="Arial"/>
                <w:sz w:val="18"/>
                <w:szCs w:val="18"/>
              </w:rPr>
            </w:pPr>
            <w:r>
              <w:rPr>
                <w:rFonts w:cs="Arial"/>
                <w:sz w:val="18"/>
                <w:szCs w:val="18"/>
              </w:rPr>
              <w:t>66</w:t>
            </w:r>
          </w:p>
        </w:tc>
        <w:tc>
          <w:tcPr>
            <w:tcW w:w="1063" w:type="dxa"/>
            <w:shd w:val="clear" w:color="auto" w:fill="auto"/>
            <w:vAlign w:val="center"/>
          </w:tcPr>
          <w:p w14:paraId="4B68FBAE" w14:textId="77777777" w:rsidR="001D4E2D" w:rsidRPr="006D03CF" w:rsidRDefault="001D4E2D" w:rsidP="00574883">
            <w:pPr>
              <w:spacing w:after="0" w:line="240" w:lineRule="auto"/>
              <w:jc w:val="right"/>
              <w:rPr>
                <w:rFonts w:cs="Arial"/>
                <w:sz w:val="18"/>
                <w:szCs w:val="18"/>
              </w:rPr>
            </w:pPr>
            <w:r w:rsidRPr="006D03CF">
              <w:rPr>
                <w:rFonts w:cs="Arial"/>
                <w:sz w:val="18"/>
                <w:szCs w:val="18"/>
              </w:rPr>
              <w:t>86</w:t>
            </w:r>
          </w:p>
        </w:tc>
        <w:tc>
          <w:tcPr>
            <w:tcW w:w="1064" w:type="dxa"/>
            <w:shd w:val="clear" w:color="auto" w:fill="auto"/>
            <w:vAlign w:val="center"/>
          </w:tcPr>
          <w:p w14:paraId="158C11DD" w14:textId="77777777" w:rsidR="001D4E2D" w:rsidRPr="004A1345" w:rsidRDefault="001D4E2D" w:rsidP="00574883">
            <w:pPr>
              <w:spacing w:after="0" w:line="240" w:lineRule="auto"/>
              <w:jc w:val="right"/>
              <w:rPr>
                <w:rFonts w:cs="Arial"/>
                <w:sz w:val="18"/>
                <w:szCs w:val="18"/>
                <w:highlight w:val="yellow"/>
              </w:rPr>
            </w:pPr>
            <w:r w:rsidRPr="00CC1746">
              <w:rPr>
                <w:rFonts w:cs="Arial"/>
                <w:sz w:val="18"/>
                <w:szCs w:val="18"/>
              </w:rPr>
              <w:t>88</w:t>
            </w:r>
          </w:p>
        </w:tc>
      </w:tr>
    </w:tbl>
    <w:p w14:paraId="4AD6EAF3" w14:textId="77777777" w:rsidR="001D4E2D" w:rsidRDefault="001D4E2D" w:rsidP="00607F01">
      <w:pPr>
        <w:spacing w:before="120" w:after="0" w:line="240" w:lineRule="auto"/>
        <w:rPr>
          <w:rFonts w:cs="Arial"/>
          <w:i/>
          <w:sz w:val="16"/>
        </w:rPr>
      </w:pPr>
      <w:r>
        <w:rPr>
          <w:rFonts w:cs="Arial"/>
          <w:i/>
          <w:sz w:val="16"/>
        </w:rPr>
        <w:t>n/a=not available</w:t>
      </w:r>
    </w:p>
    <w:p w14:paraId="32005447" w14:textId="4E4F3256" w:rsidR="001D4E2D" w:rsidRPr="009E50F5" w:rsidRDefault="007D0C9E" w:rsidP="001D4E2D">
      <w:pPr>
        <w:spacing w:before="80" w:after="0" w:line="240" w:lineRule="auto"/>
        <w:rPr>
          <w:rFonts w:cs="Arial"/>
          <w:i/>
          <w:sz w:val="16"/>
        </w:rPr>
      </w:pPr>
      <w:r>
        <w:rPr>
          <w:rFonts w:cs="Arial"/>
          <w:i/>
          <w:sz w:val="16"/>
        </w:rPr>
        <w:t>Note1</w:t>
      </w:r>
      <w:r w:rsidR="001D4E2D" w:rsidRPr="009B4D6D">
        <w:rPr>
          <w:rFonts w:cs="Arial"/>
          <w:i/>
          <w:sz w:val="16"/>
        </w:rPr>
        <w:t xml:space="preserve">: Data for the UK broadband connection relates to households. UK data collected in January/February. Australian data for ‘Use the internet’ and ‘Use mobile phone to </w:t>
      </w:r>
      <w:r w:rsidR="001D4E2D" w:rsidRPr="009E50F5">
        <w:rPr>
          <w:rFonts w:cs="Arial"/>
          <w:i/>
          <w:sz w:val="16"/>
        </w:rPr>
        <w:t xml:space="preserve">access the internet’ relates to six months to June; ‘Home broadband connection’ </w:t>
      </w:r>
      <w:r w:rsidR="001D4E2D" w:rsidRPr="00365422">
        <w:rPr>
          <w:rFonts w:cs="Arial"/>
          <w:i/>
          <w:sz w:val="16"/>
        </w:rPr>
        <w:t>includes fixed broadband and mobile broadband connections</w:t>
      </w:r>
      <w:r w:rsidR="001D4E2D" w:rsidRPr="009E50F5">
        <w:rPr>
          <w:rFonts w:cs="Arial"/>
          <w:i/>
          <w:sz w:val="16"/>
        </w:rPr>
        <w:t xml:space="preserve"> relates to 12 months to June. </w:t>
      </w:r>
    </w:p>
    <w:p w14:paraId="51AE0620" w14:textId="4F4AFDB5" w:rsidR="001D4E2D" w:rsidRPr="009E50F5" w:rsidRDefault="007D0C9E" w:rsidP="001D4E2D">
      <w:pPr>
        <w:spacing w:before="80" w:after="0" w:line="240" w:lineRule="auto"/>
        <w:rPr>
          <w:rFonts w:cs="Arial"/>
          <w:i/>
          <w:sz w:val="16"/>
        </w:rPr>
      </w:pPr>
      <w:r>
        <w:rPr>
          <w:rFonts w:cs="Arial"/>
          <w:i/>
          <w:sz w:val="16"/>
        </w:rPr>
        <w:t xml:space="preserve">Note 2: </w:t>
      </w:r>
      <w:r w:rsidR="001D4E2D" w:rsidRPr="00E81AB6">
        <w:rPr>
          <w:rFonts w:cs="Arial"/>
          <w:i/>
          <w:sz w:val="16"/>
        </w:rPr>
        <w:t xml:space="preserve">Australian and US data refers to total </w:t>
      </w:r>
      <w:r w:rsidR="001D4E2D" w:rsidRPr="009E50F5">
        <w:rPr>
          <w:rFonts w:cs="Arial"/>
          <w:i/>
          <w:sz w:val="16"/>
        </w:rPr>
        <w:t>population aged 18 and over. UK data refers to people aged 16 and over.</w:t>
      </w:r>
    </w:p>
    <w:p w14:paraId="1C2DEDC4" w14:textId="77777777" w:rsidR="001D4E2D" w:rsidRPr="00306A5A" w:rsidRDefault="001D4E2D" w:rsidP="00574883">
      <w:pPr>
        <w:spacing w:before="80" w:after="360" w:line="240" w:lineRule="auto"/>
      </w:pPr>
      <w:r w:rsidRPr="009E50F5">
        <w:rPr>
          <w:rFonts w:cs="Arial"/>
          <w:i/>
          <w:sz w:val="16"/>
        </w:rPr>
        <w:t xml:space="preserve">Sources: Data relating to Australia—Roy Morgan Single Source </w:t>
      </w:r>
      <w:r>
        <w:rPr>
          <w:rFonts w:cs="Arial"/>
          <w:i/>
          <w:sz w:val="16"/>
        </w:rPr>
        <w:t>July</w:t>
      </w:r>
      <w:r w:rsidRPr="009E50F5">
        <w:rPr>
          <w:rFonts w:cs="Arial"/>
          <w:i/>
          <w:sz w:val="16"/>
        </w:rPr>
        <w:t xml:space="preserve"> 201</w:t>
      </w:r>
      <w:r>
        <w:rPr>
          <w:rFonts w:cs="Arial"/>
          <w:i/>
          <w:sz w:val="16"/>
        </w:rPr>
        <w:t>5</w:t>
      </w:r>
      <w:r w:rsidRPr="009E50F5">
        <w:rPr>
          <w:rFonts w:cs="Arial"/>
          <w:i/>
          <w:sz w:val="16"/>
        </w:rPr>
        <w:t xml:space="preserve"> </w:t>
      </w:r>
      <w:r>
        <w:rPr>
          <w:rFonts w:cs="Arial"/>
          <w:i/>
          <w:sz w:val="16"/>
        </w:rPr>
        <w:t>to June</w:t>
      </w:r>
      <w:r w:rsidRPr="009E50F5">
        <w:rPr>
          <w:rFonts w:cs="Arial"/>
          <w:i/>
          <w:sz w:val="16"/>
        </w:rPr>
        <w:t xml:space="preserve"> 2017 (Home broadband connection), and ACMA</w:t>
      </w:r>
      <w:r w:rsidR="00306A5A">
        <w:rPr>
          <w:rFonts w:cs="Arial"/>
          <w:i/>
          <w:sz w:val="16"/>
        </w:rPr>
        <w:noBreakHyphen/>
      </w:r>
      <w:r w:rsidRPr="009E50F5">
        <w:rPr>
          <w:rFonts w:cs="Arial"/>
          <w:i/>
          <w:sz w:val="16"/>
        </w:rPr>
        <w:t>commissioned survey June 2016 and 2017 (‘Use the internet’</w:t>
      </w:r>
      <w:r w:rsidRPr="00355D04">
        <w:rPr>
          <w:rFonts w:cs="Arial"/>
          <w:i/>
          <w:sz w:val="16"/>
        </w:rPr>
        <w:t xml:space="preserve"> and ‘Used mobile phone to access the internet’); UK—Ofcom; </w:t>
      </w:r>
      <w:r w:rsidRPr="00306A5A">
        <w:rPr>
          <w:rFonts w:cs="Arial"/>
          <w:i/>
          <w:sz w:val="16"/>
        </w:rPr>
        <w:t>US—Pew Research Centre (‘Home broadband connection [2016]’ and ‘Use the internet [2016]’, Statista (‘Use mobile phone to access the internet [2016 and 2017]’)</w:t>
      </w:r>
    </w:p>
    <w:p w14:paraId="29074083" w14:textId="77777777" w:rsidR="00602045" w:rsidRPr="008C326E" w:rsidRDefault="00602045" w:rsidP="00602045">
      <w:pPr>
        <w:pStyle w:val="Heading3"/>
        <w:keepNext w:val="0"/>
      </w:pPr>
      <w:bookmarkStart w:id="973" w:name="_Toc494799415"/>
      <w:bookmarkStart w:id="974" w:name="_Toc494805718"/>
      <w:bookmarkStart w:id="975" w:name="_Toc494805948"/>
      <w:bookmarkStart w:id="976" w:name="_Toc494808178"/>
      <w:bookmarkStart w:id="977" w:name="_Toc494808832"/>
      <w:bookmarkStart w:id="978" w:name="_Toc494815988"/>
      <w:bookmarkStart w:id="979" w:name="_Toc494818846"/>
      <w:bookmarkStart w:id="980" w:name="_Toc494819112"/>
      <w:r w:rsidRPr="008C326E">
        <w:t>Internet access devices</w:t>
      </w:r>
      <w:bookmarkEnd w:id="973"/>
      <w:bookmarkEnd w:id="974"/>
      <w:bookmarkEnd w:id="975"/>
      <w:bookmarkEnd w:id="976"/>
      <w:bookmarkEnd w:id="977"/>
      <w:bookmarkEnd w:id="978"/>
      <w:bookmarkEnd w:id="979"/>
      <w:bookmarkEnd w:id="980"/>
    </w:p>
    <w:p w14:paraId="16429FEF" w14:textId="77777777" w:rsidR="00602045" w:rsidRPr="008C326E" w:rsidRDefault="00602045" w:rsidP="00602045">
      <w:pPr>
        <w:spacing w:after="80"/>
      </w:pPr>
      <w:r w:rsidRPr="008C326E">
        <w:t>Increased reliance on mobile devices to access the internet is also evident in other countries:</w:t>
      </w:r>
    </w:p>
    <w:p w14:paraId="14FE4C19" w14:textId="77777777" w:rsidR="00602045" w:rsidRDefault="00602045" w:rsidP="00F3697E">
      <w:pPr>
        <w:pStyle w:val="ListBullet"/>
      </w:pPr>
      <w:r w:rsidRPr="008C326E">
        <w:t>77 per cent of adult Americans owned a smartphone in November 2016, an increase of eight percentage points from the previous year</w:t>
      </w:r>
      <w:r w:rsidRPr="000D7BA5">
        <w:rPr>
          <w:vertAlign w:val="superscript"/>
        </w:rPr>
        <w:endnoteReference w:id="160"/>
      </w:r>
    </w:p>
    <w:p w14:paraId="7ABA1E5D" w14:textId="4334B470" w:rsidR="00602045" w:rsidRPr="00BB3A81" w:rsidRDefault="00602045" w:rsidP="00DC2B04">
      <w:pPr>
        <w:pStyle w:val="ListBullet"/>
      </w:pPr>
      <w:r>
        <w:t xml:space="preserve">in 2016, </w:t>
      </w:r>
      <w:r w:rsidRPr="00613396">
        <w:t xml:space="preserve">12 per cent of the </w:t>
      </w:r>
      <w:r w:rsidR="0051405E">
        <w:t xml:space="preserve">American </w:t>
      </w:r>
      <w:r>
        <w:t xml:space="preserve">adult </w:t>
      </w:r>
      <w:r w:rsidRPr="00613396">
        <w:t xml:space="preserve">population </w:t>
      </w:r>
      <w:r>
        <w:t xml:space="preserve">were smartphone-only internet users </w:t>
      </w:r>
      <w:r w:rsidRPr="00613396">
        <w:t>(a</w:t>
      </w:r>
      <w:r w:rsidR="00446F50">
        <w:t> </w:t>
      </w:r>
      <w:r w:rsidRPr="00613396">
        <w:t>smartphone but no broadband internet connection at home)—an increase of four per cent since</w:t>
      </w:r>
      <w:r w:rsidR="00446F50">
        <w:t> </w:t>
      </w:r>
      <w:r w:rsidRPr="00613396">
        <w:t>2013</w:t>
      </w:r>
      <w:r w:rsidRPr="000D7BA5">
        <w:rPr>
          <w:vertAlign w:val="superscript"/>
        </w:rPr>
        <w:endnoteReference w:id="161"/>
      </w:r>
      <w:r w:rsidRPr="00BB3A81">
        <w:t xml:space="preserve"> </w:t>
      </w:r>
    </w:p>
    <w:p w14:paraId="512BDA55" w14:textId="547857BD" w:rsidR="00602045" w:rsidRPr="00BB3A81" w:rsidRDefault="00602045" w:rsidP="00DC2B04">
      <w:pPr>
        <w:pStyle w:val="ListBullet"/>
      </w:pPr>
      <w:r w:rsidRPr="004D5D05">
        <w:t>smartphone ownership in the UK rose to 72 per cent at October 2016, an increase of two percentage</w:t>
      </w:r>
      <w:r w:rsidR="00446F50">
        <w:t> </w:t>
      </w:r>
      <w:r w:rsidRPr="004D5D05">
        <w:t>points from 2015</w:t>
      </w:r>
      <w:r w:rsidRPr="000D7BA5">
        <w:rPr>
          <w:vertAlign w:val="superscript"/>
        </w:rPr>
        <w:endnoteReference w:id="162"/>
      </w:r>
    </w:p>
    <w:p w14:paraId="1A63D529" w14:textId="77777777" w:rsidR="00602045" w:rsidRPr="002F7FEF" w:rsidRDefault="00602045" w:rsidP="00DC2B04">
      <w:pPr>
        <w:pStyle w:val="ListBulletLast"/>
        <w:rPr>
          <w:b/>
          <w:i/>
        </w:rPr>
      </w:pPr>
      <w:r w:rsidRPr="002F7FEF">
        <w:t xml:space="preserve">58 per cent of homes in the UK </w:t>
      </w:r>
      <w:r>
        <w:t>had</w:t>
      </w:r>
      <w:r w:rsidRPr="002F7FEF">
        <w:t xml:space="preserve"> a tablet in early 2017, stable from the previous year.</w:t>
      </w:r>
      <w:r w:rsidRPr="002F7FEF">
        <w:rPr>
          <w:vertAlign w:val="superscript"/>
        </w:rPr>
        <w:endnoteReference w:id="163"/>
      </w:r>
    </w:p>
    <w:p w14:paraId="02F5370D" w14:textId="77777777" w:rsidR="00602045" w:rsidRPr="0068498D" w:rsidRDefault="00602045" w:rsidP="00602045">
      <w:pPr>
        <w:pStyle w:val="Heading3"/>
        <w:keepLines/>
      </w:pPr>
      <w:bookmarkStart w:id="981" w:name="_Toc494799416"/>
      <w:bookmarkStart w:id="982" w:name="_Toc494805719"/>
      <w:bookmarkStart w:id="983" w:name="_Toc494805949"/>
      <w:bookmarkStart w:id="984" w:name="_Toc494808179"/>
      <w:bookmarkStart w:id="985" w:name="_Toc494808833"/>
      <w:bookmarkStart w:id="986" w:name="_Toc494815989"/>
      <w:bookmarkStart w:id="987" w:name="_Toc494818847"/>
      <w:bookmarkStart w:id="988" w:name="_Toc494819113"/>
      <w:r w:rsidRPr="0068498D">
        <w:t>Activities performed online</w:t>
      </w:r>
      <w:bookmarkEnd w:id="981"/>
      <w:bookmarkEnd w:id="982"/>
      <w:bookmarkEnd w:id="983"/>
      <w:bookmarkEnd w:id="984"/>
      <w:bookmarkEnd w:id="985"/>
      <w:bookmarkEnd w:id="986"/>
      <w:bookmarkEnd w:id="987"/>
      <w:bookmarkEnd w:id="988"/>
    </w:p>
    <w:p w14:paraId="144DA732" w14:textId="77777777" w:rsidR="001D4E2D" w:rsidRDefault="00602045" w:rsidP="00D63DAF">
      <w:pPr>
        <w:keepNext/>
        <w:keepLines/>
      </w:pPr>
      <w:r w:rsidRPr="0068498D">
        <w:t>Greater access to the internet, and fast and reliable broadband services in Australia ha</w:t>
      </w:r>
      <w:r w:rsidR="00240551">
        <w:t>ve</w:t>
      </w:r>
      <w:r w:rsidRPr="0068498D">
        <w:t xml:space="preserve"> facilitated a strong engagement with online activities. </w:t>
      </w:r>
      <w:r w:rsidRPr="0031015A">
        <w:t>Similar online behaviours are evident internationally, as reflected in the range of activities undertaken online (Table 2.2). For example, popular online activities in the UK not only included sending email (85 per cent) and internet browsing (87 per cent), but also buying goods or services (69 per cent).</w:t>
      </w:r>
      <w:r w:rsidRPr="0031015A">
        <w:rPr>
          <w:vertAlign w:val="superscript"/>
        </w:rPr>
        <w:endnoteReference w:id="164"/>
      </w:r>
    </w:p>
    <w:p w14:paraId="0213E8DC" w14:textId="77777777" w:rsidR="00477223" w:rsidRDefault="00477223" w:rsidP="00574883">
      <w:pPr>
        <w:keepNext/>
        <w:keepLines/>
        <w:spacing w:after="160"/>
        <w:rPr>
          <w:b/>
        </w:rPr>
      </w:pPr>
      <w:bookmarkStart w:id="989" w:name="_Toc462899605"/>
      <w:r w:rsidRPr="00477223">
        <w:rPr>
          <w:b/>
        </w:rPr>
        <w:t>Table 2.2</w:t>
      </w:r>
      <w:r w:rsidRPr="00477223">
        <w:rPr>
          <w:b/>
          <w:bCs/>
        </w:rPr>
        <w:tab/>
      </w:r>
      <w:r w:rsidRPr="00477223">
        <w:rPr>
          <w:b/>
        </w:rPr>
        <w:t>International comparisons—activities performed online (Australia and UK)</w:t>
      </w:r>
    </w:p>
    <w:tbl>
      <w:tblPr>
        <w:tblW w:w="7225"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1E0" w:firstRow="1" w:lastRow="1" w:firstColumn="1" w:lastColumn="1" w:noHBand="0" w:noVBand="0"/>
        <w:tblCaption w:val="Table 2.2 International comparisons—activities performed online (Australia and UK)"/>
      </w:tblPr>
      <w:tblGrid>
        <w:gridCol w:w="2263"/>
        <w:gridCol w:w="2481"/>
        <w:gridCol w:w="2481"/>
      </w:tblGrid>
      <w:tr w:rsidR="00AA1089" w:rsidRPr="004A1345" w14:paraId="47313448" w14:textId="77777777" w:rsidTr="00F65D12">
        <w:trPr>
          <w:trHeight w:val="340"/>
        </w:trPr>
        <w:tc>
          <w:tcPr>
            <w:tcW w:w="2263" w:type="dxa"/>
            <w:tcBorders>
              <w:top w:val="nil"/>
              <w:left w:val="nil"/>
            </w:tcBorders>
            <w:shd w:val="clear" w:color="auto" w:fill="FFFFFF" w:themeFill="background1"/>
            <w:tcMar>
              <w:top w:w="0" w:type="dxa"/>
              <w:left w:w="113" w:type="dxa"/>
              <w:bottom w:w="0" w:type="dxa"/>
              <w:right w:w="0" w:type="dxa"/>
            </w:tcMar>
            <w:vAlign w:val="center"/>
          </w:tcPr>
          <w:p w14:paraId="50D8F32C" w14:textId="77777777" w:rsidR="00477223" w:rsidRPr="004A1345" w:rsidRDefault="00477223" w:rsidP="0086627E">
            <w:pPr>
              <w:keepNext/>
              <w:keepLines/>
              <w:spacing w:after="0" w:line="240" w:lineRule="auto"/>
              <w:rPr>
                <w:sz w:val="18"/>
                <w:szCs w:val="18"/>
                <w:highlight w:val="yellow"/>
              </w:rPr>
            </w:pPr>
          </w:p>
        </w:tc>
        <w:tc>
          <w:tcPr>
            <w:tcW w:w="2481" w:type="dxa"/>
            <w:shd w:val="clear" w:color="auto" w:fill="37897E"/>
            <w:vAlign w:val="center"/>
          </w:tcPr>
          <w:p w14:paraId="2DF5C21E" w14:textId="6A7C04BB" w:rsidR="00477223" w:rsidRPr="004A1345" w:rsidRDefault="00477223" w:rsidP="00574883">
            <w:pPr>
              <w:keepNext/>
              <w:keepLines/>
              <w:spacing w:after="0" w:line="240" w:lineRule="auto"/>
              <w:ind w:left="57"/>
              <w:jc w:val="right"/>
              <w:rPr>
                <w:b/>
                <w:color w:val="FFFFFF"/>
                <w:sz w:val="18"/>
                <w:szCs w:val="18"/>
                <w:highlight w:val="yellow"/>
              </w:rPr>
            </w:pPr>
            <w:r w:rsidRPr="00587F01">
              <w:rPr>
                <w:b/>
                <w:color w:val="FFFFFF"/>
                <w:sz w:val="18"/>
                <w:szCs w:val="18"/>
              </w:rPr>
              <w:t>Australia—online aged 18</w:t>
            </w:r>
            <w:r w:rsidR="00574883">
              <w:rPr>
                <w:b/>
                <w:color w:val="FFFFFF"/>
                <w:sz w:val="18"/>
                <w:szCs w:val="18"/>
              </w:rPr>
              <w:t> </w:t>
            </w:r>
            <w:r w:rsidRPr="00587F01">
              <w:rPr>
                <w:b/>
                <w:color w:val="FFFFFF"/>
                <w:sz w:val="18"/>
                <w:szCs w:val="18"/>
              </w:rPr>
              <w:t>and over (%)</w:t>
            </w:r>
          </w:p>
        </w:tc>
        <w:tc>
          <w:tcPr>
            <w:tcW w:w="2481" w:type="dxa"/>
            <w:shd w:val="clear" w:color="auto" w:fill="37897E"/>
            <w:tcMar>
              <w:top w:w="57" w:type="dxa"/>
              <w:left w:w="57" w:type="dxa"/>
              <w:bottom w:w="57" w:type="dxa"/>
              <w:right w:w="57" w:type="dxa"/>
            </w:tcMar>
            <w:vAlign w:val="center"/>
          </w:tcPr>
          <w:p w14:paraId="4824CF4A" w14:textId="6FD76240" w:rsidR="00477223" w:rsidRPr="004A1345" w:rsidRDefault="00477223" w:rsidP="0086627E">
            <w:pPr>
              <w:keepNext/>
              <w:keepLines/>
              <w:spacing w:after="0" w:line="240" w:lineRule="auto"/>
              <w:jc w:val="right"/>
              <w:rPr>
                <w:b/>
                <w:color w:val="FFFFFF"/>
                <w:sz w:val="18"/>
                <w:szCs w:val="18"/>
                <w:highlight w:val="yellow"/>
              </w:rPr>
            </w:pPr>
            <w:r w:rsidRPr="0092328E">
              <w:rPr>
                <w:b/>
                <w:color w:val="FFFFFF"/>
                <w:sz w:val="18"/>
                <w:szCs w:val="18"/>
              </w:rPr>
              <w:t>UK</w:t>
            </w:r>
            <w:r w:rsidRPr="0092328E">
              <w:rPr>
                <w:b/>
                <w:color w:val="FFFFFF"/>
                <w:sz w:val="18"/>
                <w:szCs w:val="18"/>
                <w:vertAlign w:val="superscript"/>
              </w:rPr>
              <w:endnoteReference w:id="165"/>
            </w:r>
            <w:r w:rsidRPr="0092328E">
              <w:rPr>
                <w:b/>
                <w:color w:val="FFFFFF"/>
                <w:sz w:val="18"/>
                <w:szCs w:val="18"/>
              </w:rPr>
              <w:t xml:space="preserve">—online aged </w:t>
            </w:r>
            <w:r w:rsidR="00574883">
              <w:rPr>
                <w:b/>
                <w:color w:val="FFFFFF"/>
                <w:sz w:val="18"/>
                <w:szCs w:val="18"/>
              </w:rPr>
              <w:br/>
            </w:r>
            <w:r w:rsidRPr="0092328E">
              <w:rPr>
                <w:b/>
                <w:color w:val="FFFFFF"/>
                <w:sz w:val="18"/>
                <w:szCs w:val="18"/>
              </w:rPr>
              <w:t>16 and over (%)</w:t>
            </w:r>
          </w:p>
        </w:tc>
      </w:tr>
      <w:tr w:rsidR="00477223" w:rsidRPr="004A1345" w14:paraId="694BD45B" w14:textId="77777777" w:rsidTr="00F65D12">
        <w:trPr>
          <w:trHeight w:val="97"/>
        </w:trPr>
        <w:tc>
          <w:tcPr>
            <w:tcW w:w="2263" w:type="dxa"/>
            <w:shd w:val="clear" w:color="auto" w:fill="auto"/>
            <w:tcMar>
              <w:top w:w="0" w:type="dxa"/>
              <w:left w:w="113" w:type="dxa"/>
              <w:bottom w:w="0" w:type="dxa"/>
              <w:right w:w="0" w:type="dxa"/>
            </w:tcMar>
            <w:vAlign w:val="center"/>
          </w:tcPr>
          <w:p w14:paraId="45AF854C" w14:textId="77777777" w:rsidR="00477223" w:rsidRPr="00EE11DD" w:rsidRDefault="00477223" w:rsidP="0086627E">
            <w:pPr>
              <w:keepNext/>
              <w:keepLines/>
              <w:spacing w:after="0" w:line="240" w:lineRule="auto"/>
              <w:rPr>
                <w:sz w:val="18"/>
                <w:szCs w:val="18"/>
              </w:rPr>
            </w:pPr>
            <w:r w:rsidRPr="00EE11DD">
              <w:rPr>
                <w:sz w:val="18"/>
                <w:szCs w:val="18"/>
              </w:rPr>
              <w:t>Email</w:t>
            </w:r>
          </w:p>
        </w:tc>
        <w:tc>
          <w:tcPr>
            <w:tcW w:w="2481" w:type="dxa"/>
            <w:shd w:val="clear" w:color="auto" w:fill="auto"/>
            <w:vAlign w:val="center"/>
          </w:tcPr>
          <w:p w14:paraId="799997F6" w14:textId="77777777" w:rsidR="00477223" w:rsidRPr="00587F01" w:rsidRDefault="00477223" w:rsidP="0086627E">
            <w:pPr>
              <w:keepNext/>
              <w:keepLines/>
              <w:spacing w:after="0" w:line="240" w:lineRule="auto"/>
              <w:ind w:left="57"/>
              <w:jc w:val="right"/>
              <w:rPr>
                <w:sz w:val="18"/>
                <w:szCs w:val="18"/>
              </w:rPr>
            </w:pPr>
            <w:r w:rsidRPr="00587F01">
              <w:rPr>
                <w:sz w:val="18"/>
                <w:szCs w:val="18"/>
              </w:rPr>
              <w:t>94</w:t>
            </w:r>
          </w:p>
        </w:tc>
        <w:tc>
          <w:tcPr>
            <w:tcW w:w="2481" w:type="dxa"/>
            <w:shd w:val="clear" w:color="auto" w:fill="auto"/>
            <w:tcMar>
              <w:top w:w="57" w:type="dxa"/>
              <w:left w:w="57" w:type="dxa"/>
              <w:bottom w:w="57" w:type="dxa"/>
              <w:right w:w="57" w:type="dxa"/>
            </w:tcMar>
            <w:vAlign w:val="center"/>
          </w:tcPr>
          <w:p w14:paraId="1467B307" w14:textId="77777777" w:rsidR="00477223" w:rsidRPr="00A24ECA" w:rsidRDefault="00477223" w:rsidP="0086627E">
            <w:pPr>
              <w:keepNext/>
              <w:keepLines/>
              <w:spacing w:after="0" w:line="240" w:lineRule="auto"/>
              <w:jc w:val="right"/>
              <w:rPr>
                <w:sz w:val="18"/>
                <w:szCs w:val="18"/>
              </w:rPr>
            </w:pPr>
            <w:r w:rsidRPr="00A24ECA">
              <w:rPr>
                <w:sz w:val="18"/>
                <w:szCs w:val="18"/>
              </w:rPr>
              <w:t>85</w:t>
            </w:r>
          </w:p>
        </w:tc>
      </w:tr>
      <w:tr w:rsidR="00477223" w:rsidRPr="004A1345" w14:paraId="0B3A8C77" w14:textId="77777777" w:rsidTr="00F65D12">
        <w:trPr>
          <w:trHeight w:val="61"/>
        </w:trPr>
        <w:tc>
          <w:tcPr>
            <w:tcW w:w="2263" w:type="dxa"/>
            <w:shd w:val="clear" w:color="auto" w:fill="auto"/>
            <w:tcMar>
              <w:top w:w="0" w:type="dxa"/>
              <w:left w:w="113" w:type="dxa"/>
              <w:bottom w:w="0" w:type="dxa"/>
              <w:right w:w="0" w:type="dxa"/>
            </w:tcMar>
            <w:vAlign w:val="center"/>
          </w:tcPr>
          <w:p w14:paraId="1D1E8578" w14:textId="77777777" w:rsidR="00477223" w:rsidRPr="00EE11DD" w:rsidRDefault="00477223" w:rsidP="0086627E">
            <w:pPr>
              <w:keepNext/>
              <w:keepLines/>
              <w:spacing w:after="0" w:line="240" w:lineRule="auto"/>
              <w:rPr>
                <w:sz w:val="18"/>
                <w:szCs w:val="18"/>
              </w:rPr>
            </w:pPr>
            <w:r w:rsidRPr="00EE11DD">
              <w:rPr>
                <w:sz w:val="18"/>
                <w:szCs w:val="18"/>
              </w:rPr>
              <w:t>Browsing and surfing</w:t>
            </w:r>
          </w:p>
        </w:tc>
        <w:tc>
          <w:tcPr>
            <w:tcW w:w="2481" w:type="dxa"/>
            <w:shd w:val="clear" w:color="auto" w:fill="auto"/>
            <w:vAlign w:val="center"/>
          </w:tcPr>
          <w:p w14:paraId="36F32157" w14:textId="77777777" w:rsidR="00477223" w:rsidRPr="00587F01" w:rsidRDefault="00477223" w:rsidP="0086627E">
            <w:pPr>
              <w:keepNext/>
              <w:keepLines/>
              <w:spacing w:after="0" w:line="240" w:lineRule="auto"/>
              <w:ind w:left="57"/>
              <w:jc w:val="right"/>
              <w:rPr>
                <w:sz w:val="18"/>
                <w:szCs w:val="18"/>
              </w:rPr>
            </w:pPr>
            <w:r w:rsidRPr="00587F01">
              <w:rPr>
                <w:sz w:val="18"/>
                <w:szCs w:val="18"/>
              </w:rPr>
              <w:t>93</w:t>
            </w:r>
          </w:p>
        </w:tc>
        <w:tc>
          <w:tcPr>
            <w:tcW w:w="2481" w:type="dxa"/>
            <w:shd w:val="clear" w:color="auto" w:fill="auto"/>
            <w:tcMar>
              <w:top w:w="57" w:type="dxa"/>
              <w:left w:w="57" w:type="dxa"/>
              <w:bottom w:w="57" w:type="dxa"/>
              <w:right w:w="57" w:type="dxa"/>
            </w:tcMar>
            <w:vAlign w:val="center"/>
          </w:tcPr>
          <w:p w14:paraId="2852CACB" w14:textId="77777777" w:rsidR="00477223" w:rsidRPr="00A24ECA" w:rsidRDefault="00477223" w:rsidP="0086627E">
            <w:pPr>
              <w:keepNext/>
              <w:keepLines/>
              <w:spacing w:after="0" w:line="240" w:lineRule="auto"/>
              <w:jc w:val="right"/>
              <w:rPr>
                <w:sz w:val="18"/>
                <w:szCs w:val="18"/>
              </w:rPr>
            </w:pPr>
            <w:r w:rsidRPr="00A24ECA">
              <w:rPr>
                <w:sz w:val="18"/>
                <w:szCs w:val="18"/>
              </w:rPr>
              <w:t>87</w:t>
            </w:r>
          </w:p>
        </w:tc>
      </w:tr>
      <w:tr w:rsidR="00477223" w:rsidRPr="004A1345" w14:paraId="52F3EEBB" w14:textId="77777777" w:rsidTr="00F65D12">
        <w:trPr>
          <w:trHeight w:val="24"/>
        </w:trPr>
        <w:tc>
          <w:tcPr>
            <w:tcW w:w="2263" w:type="dxa"/>
            <w:shd w:val="clear" w:color="auto" w:fill="auto"/>
            <w:tcMar>
              <w:top w:w="0" w:type="dxa"/>
              <w:left w:w="113" w:type="dxa"/>
              <w:bottom w:w="0" w:type="dxa"/>
              <w:right w:w="0" w:type="dxa"/>
            </w:tcMar>
            <w:vAlign w:val="center"/>
          </w:tcPr>
          <w:p w14:paraId="602B65FA" w14:textId="77777777" w:rsidR="00477223" w:rsidRPr="00EE11DD" w:rsidRDefault="00477223" w:rsidP="0086627E">
            <w:pPr>
              <w:keepNext/>
              <w:keepLines/>
              <w:spacing w:after="0" w:line="240" w:lineRule="auto"/>
              <w:rPr>
                <w:sz w:val="18"/>
                <w:szCs w:val="18"/>
              </w:rPr>
            </w:pPr>
            <w:r w:rsidRPr="00EE11DD">
              <w:rPr>
                <w:sz w:val="18"/>
                <w:szCs w:val="18"/>
              </w:rPr>
              <w:t>Buying goods or services</w:t>
            </w:r>
          </w:p>
        </w:tc>
        <w:tc>
          <w:tcPr>
            <w:tcW w:w="2481" w:type="dxa"/>
            <w:shd w:val="clear" w:color="auto" w:fill="auto"/>
            <w:vAlign w:val="center"/>
          </w:tcPr>
          <w:p w14:paraId="7BF42339" w14:textId="77777777" w:rsidR="00477223" w:rsidRPr="00587F01" w:rsidRDefault="00477223" w:rsidP="0086627E">
            <w:pPr>
              <w:keepNext/>
              <w:keepLines/>
              <w:spacing w:after="0" w:line="240" w:lineRule="auto"/>
              <w:ind w:left="57"/>
              <w:jc w:val="right"/>
              <w:rPr>
                <w:sz w:val="18"/>
                <w:szCs w:val="18"/>
              </w:rPr>
            </w:pPr>
            <w:r>
              <w:rPr>
                <w:sz w:val="18"/>
                <w:szCs w:val="18"/>
              </w:rPr>
              <w:t>76</w:t>
            </w:r>
          </w:p>
        </w:tc>
        <w:tc>
          <w:tcPr>
            <w:tcW w:w="2481" w:type="dxa"/>
            <w:shd w:val="clear" w:color="auto" w:fill="auto"/>
            <w:tcMar>
              <w:top w:w="57" w:type="dxa"/>
              <w:left w:w="57" w:type="dxa"/>
              <w:bottom w:w="57" w:type="dxa"/>
              <w:right w:w="57" w:type="dxa"/>
            </w:tcMar>
            <w:vAlign w:val="center"/>
          </w:tcPr>
          <w:p w14:paraId="5FF84820" w14:textId="77777777" w:rsidR="00477223" w:rsidRPr="004A1345" w:rsidRDefault="00477223" w:rsidP="0086627E">
            <w:pPr>
              <w:keepNext/>
              <w:keepLines/>
              <w:spacing w:after="0" w:line="240" w:lineRule="auto"/>
              <w:jc w:val="right"/>
              <w:rPr>
                <w:sz w:val="18"/>
                <w:szCs w:val="18"/>
                <w:highlight w:val="yellow"/>
              </w:rPr>
            </w:pPr>
            <w:r w:rsidRPr="00CA1DDC">
              <w:rPr>
                <w:sz w:val="18"/>
                <w:szCs w:val="18"/>
              </w:rPr>
              <w:t>69</w:t>
            </w:r>
          </w:p>
        </w:tc>
      </w:tr>
      <w:tr w:rsidR="00477223" w:rsidRPr="004A1345" w14:paraId="0262558F" w14:textId="77777777" w:rsidTr="00F65D12">
        <w:trPr>
          <w:trHeight w:val="116"/>
        </w:trPr>
        <w:tc>
          <w:tcPr>
            <w:tcW w:w="2263" w:type="dxa"/>
            <w:shd w:val="clear" w:color="auto" w:fill="auto"/>
            <w:tcMar>
              <w:top w:w="0" w:type="dxa"/>
              <w:left w:w="113" w:type="dxa"/>
              <w:bottom w:w="0" w:type="dxa"/>
              <w:right w:w="0" w:type="dxa"/>
            </w:tcMar>
            <w:vAlign w:val="center"/>
          </w:tcPr>
          <w:p w14:paraId="731A667B" w14:textId="77777777" w:rsidR="00477223" w:rsidRPr="00EE11DD" w:rsidRDefault="00477223" w:rsidP="0086627E">
            <w:pPr>
              <w:spacing w:after="0" w:line="240" w:lineRule="auto"/>
              <w:rPr>
                <w:sz w:val="18"/>
                <w:szCs w:val="18"/>
              </w:rPr>
            </w:pPr>
            <w:r w:rsidRPr="00EE11DD">
              <w:rPr>
                <w:sz w:val="18"/>
                <w:szCs w:val="18"/>
              </w:rPr>
              <w:t>Accessing news online</w:t>
            </w:r>
          </w:p>
        </w:tc>
        <w:tc>
          <w:tcPr>
            <w:tcW w:w="2481" w:type="dxa"/>
            <w:shd w:val="clear" w:color="auto" w:fill="auto"/>
            <w:vAlign w:val="center"/>
          </w:tcPr>
          <w:p w14:paraId="56DA61C3" w14:textId="77777777" w:rsidR="00477223" w:rsidRPr="00587F01" w:rsidRDefault="00477223" w:rsidP="0086627E">
            <w:pPr>
              <w:spacing w:after="0" w:line="240" w:lineRule="auto"/>
              <w:ind w:left="57"/>
              <w:jc w:val="right"/>
              <w:rPr>
                <w:color w:val="000000"/>
                <w:sz w:val="18"/>
                <w:szCs w:val="18"/>
              </w:rPr>
            </w:pPr>
            <w:r>
              <w:rPr>
                <w:color w:val="000000"/>
                <w:sz w:val="18"/>
                <w:szCs w:val="18"/>
              </w:rPr>
              <w:t>75</w:t>
            </w:r>
          </w:p>
        </w:tc>
        <w:tc>
          <w:tcPr>
            <w:tcW w:w="2481" w:type="dxa"/>
            <w:shd w:val="clear" w:color="auto" w:fill="auto"/>
            <w:tcMar>
              <w:top w:w="57" w:type="dxa"/>
              <w:left w:w="57" w:type="dxa"/>
              <w:bottom w:w="57" w:type="dxa"/>
              <w:right w:w="57" w:type="dxa"/>
            </w:tcMar>
            <w:vAlign w:val="center"/>
          </w:tcPr>
          <w:p w14:paraId="12E55108" w14:textId="77777777" w:rsidR="00477223" w:rsidRPr="004A1345" w:rsidRDefault="00477223" w:rsidP="0086627E">
            <w:pPr>
              <w:spacing w:after="0" w:line="240" w:lineRule="auto"/>
              <w:jc w:val="right"/>
              <w:rPr>
                <w:sz w:val="18"/>
                <w:szCs w:val="18"/>
                <w:highlight w:val="yellow"/>
              </w:rPr>
            </w:pPr>
            <w:r w:rsidRPr="00CA1DDC">
              <w:rPr>
                <w:sz w:val="18"/>
                <w:szCs w:val="18"/>
              </w:rPr>
              <w:t>49</w:t>
            </w:r>
          </w:p>
        </w:tc>
      </w:tr>
      <w:tr w:rsidR="00477223" w:rsidRPr="004A1345" w14:paraId="3311ADB4" w14:textId="77777777" w:rsidTr="00F65D12">
        <w:trPr>
          <w:trHeight w:val="186"/>
        </w:trPr>
        <w:tc>
          <w:tcPr>
            <w:tcW w:w="2263" w:type="dxa"/>
            <w:shd w:val="clear" w:color="auto" w:fill="auto"/>
            <w:tcMar>
              <w:top w:w="0" w:type="dxa"/>
              <w:left w:w="113" w:type="dxa"/>
              <w:bottom w:w="0" w:type="dxa"/>
              <w:right w:w="0" w:type="dxa"/>
            </w:tcMar>
            <w:vAlign w:val="center"/>
          </w:tcPr>
          <w:p w14:paraId="11790487" w14:textId="77777777" w:rsidR="00477223" w:rsidRPr="00EE11DD" w:rsidRDefault="00477223" w:rsidP="0086627E">
            <w:pPr>
              <w:spacing w:after="0" w:line="240" w:lineRule="auto"/>
              <w:rPr>
                <w:sz w:val="18"/>
                <w:szCs w:val="18"/>
              </w:rPr>
            </w:pPr>
            <w:r w:rsidRPr="00EE11DD">
              <w:rPr>
                <w:sz w:val="18"/>
                <w:szCs w:val="18"/>
              </w:rPr>
              <w:t xml:space="preserve">Social networking </w:t>
            </w:r>
          </w:p>
        </w:tc>
        <w:tc>
          <w:tcPr>
            <w:tcW w:w="2481" w:type="dxa"/>
            <w:shd w:val="clear" w:color="auto" w:fill="auto"/>
            <w:vAlign w:val="center"/>
          </w:tcPr>
          <w:p w14:paraId="6AAF5DA6" w14:textId="77777777" w:rsidR="00477223" w:rsidRPr="00587F01" w:rsidRDefault="00477223" w:rsidP="0086627E">
            <w:pPr>
              <w:spacing w:after="0" w:line="240" w:lineRule="auto"/>
              <w:ind w:left="57"/>
              <w:jc w:val="right"/>
              <w:rPr>
                <w:color w:val="000000"/>
                <w:sz w:val="18"/>
                <w:szCs w:val="18"/>
              </w:rPr>
            </w:pPr>
            <w:r w:rsidRPr="00587F01">
              <w:rPr>
                <w:color w:val="000000"/>
                <w:sz w:val="18"/>
                <w:szCs w:val="18"/>
              </w:rPr>
              <w:t>72</w:t>
            </w:r>
          </w:p>
        </w:tc>
        <w:tc>
          <w:tcPr>
            <w:tcW w:w="2481" w:type="dxa"/>
            <w:shd w:val="clear" w:color="auto" w:fill="auto"/>
            <w:tcMar>
              <w:top w:w="57" w:type="dxa"/>
              <w:left w:w="57" w:type="dxa"/>
              <w:bottom w:w="57" w:type="dxa"/>
              <w:right w:w="57" w:type="dxa"/>
            </w:tcMar>
            <w:vAlign w:val="center"/>
          </w:tcPr>
          <w:p w14:paraId="64A89965" w14:textId="77777777" w:rsidR="00477223" w:rsidRPr="004A1345" w:rsidRDefault="00477223" w:rsidP="0086627E">
            <w:pPr>
              <w:spacing w:after="0" w:line="240" w:lineRule="auto"/>
              <w:jc w:val="right"/>
              <w:rPr>
                <w:sz w:val="18"/>
                <w:szCs w:val="18"/>
                <w:highlight w:val="yellow"/>
              </w:rPr>
            </w:pPr>
            <w:r w:rsidRPr="00CA1DDC">
              <w:rPr>
                <w:sz w:val="18"/>
                <w:szCs w:val="18"/>
              </w:rPr>
              <w:t>58</w:t>
            </w:r>
          </w:p>
        </w:tc>
      </w:tr>
      <w:tr w:rsidR="00477223" w:rsidRPr="004A1345" w14:paraId="54762978" w14:textId="77777777" w:rsidTr="00F65D12">
        <w:trPr>
          <w:trHeight w:val="17"/>
        </w:trPr>
        <w:tc>
          <w:tcPr>
            <w:tcW w:w="2263" w:type="dxa"/>
            <w:shd w:val="clear" w:color="auto" w:fill="auto"/>
            <w:tcMar>
              <w:top w:w="0" w:type="dxa"/>
              <w:left w:w="113" w:type="dxa"/>
              <w:bottom w:w="0" w:type="dxa"/>
              <w:right w:w="0" w:type="dxa"/>
            </w:tcMar>
            <w:vAlign w:val="center"/>
          </w:tcPr>
          <w:p w14:paraId="4841AF74" w14:textId="77777777" w:rsidR="00477223" w:rsidRPr="00EE11DD" w:rsidRDefault="00477223" w:rsidP="0086627E">
            <w:pPr>
              <w:spacing w:after="0" w:line="240" w:lineRule="auto"/>
              <w:rPr>
                <w:sz w:val="18"/>
                <w:szCs w:val="18"/>
              </w:rPr>
            </w:pPr>
            <w:r w:rsidRPr="00EE11DD">
              <w:rPr>
                <w:sz w:val="18"/>
                <w:szCs w:val="18"/>
              </w:rPr>
              <w:t>Playing games</w:t>
            </w:r>
          </w:p>
        </w:tc>
        <w:tc>
          <w:tcPr>
            <w:tcW w:w="2481" w:type="dxa"/>
            <w:shd w:val="clear" w:color="auto" w:fill="auto"/>
            <w:vAlign w:val="center"/>
          </w:tcPr>
          <w:p w14:paraId="1AF4BF8C" w14:textId="77777777" w:rsidR="00477223" w:rsidRPr="00587F01" w:rsidRDefault="00477223" w:rsidP="0086627E">
            <w:pPr>
              <w:spacing w:after="0" w:line="240" w:lineRule="auto"/>
              <w:ind w:left="57"/>
              <w:jc w:val="right"/>
              <w:rPr>
                <w:sz w:val="18"/>
                <w:szCs w:val="18"/>
              </w:rPr>
            </w:pPr>
            <w:r>
              <w:rPr>
                <w:sz w:val="18"/>
                <w:szCs w:val="18"/>
              </w:rPr>
              <w:t>45</w:t>
            </w:r>
          </w:p>
        </w:tc>
        <w:tc>
          <w:tcPr>
            <w:tcW w:w="2481" w:type="dxa"/>
            <w:shd w:val="clear" w:color="auto" w:fill="auto"/>
            <w:tcMar>
              <w:top w:w="57" w:type="dxa"/>
              <w:left w:w="57" w:type="dxa"/>
              <w:bottom w:w="57" w:type="dxa"/>
              <w:right w:w="57" w:type="dxa"/>
            </w:tcMar>
            <w:vAlign w:val="center"/>
          </w:tcPr>
          <w:p w14:paraId="3A651F7F" w14:textId="77777777" w:rsidR="00477223" w:rsidRPr="004A1345" w:rsidRDefault="00477223" w:rsidP="0086627E">
            <w:pPr>
              <w:spacing w:after="0" w:line="240" w:lineRule="auto"/>
              <w:jc w:val="right"/>
              <w:rPr>
                <w:sz w:val="18"/>
                <w:szCs w:val="18"/>
                <w:highlight w:val="yellow"/>
              </w:rPr>
            </w:pPr>
            <w:r w:rsidRPr="00CA1DDC">
              <w:rPr>
                <w:sz w:val="18"/>
                <w:szCs w:val="18"/>
              </w:rPr>
              <w:t>24</w:t>
            </w:r>
          </w:p>
        </w:tc>
      </w:tr>
    </w:tbl>
    <w:p w14:paraId="5421D4BB" w14:textId="77777777" w:rsidR="00AA1089" w:rsidRPr="004D463E" w:rsidRDefault="00AA1089" w:rsidP="00607F01">
      <w:pPr>
        <w:spacing w:before="120" w:after="0" w:line="240" w:lineRule="auto"/>
        <w:rPr>
          <w:rFonts w:cs="Arial"/>
          <w:i/>
          <w:sz w:val="16"/>
        </w:rPr>
      </w:pPr>
      <w:r w:rsidRPr="004D463E">
        <w:rPr>
          <w:rFonts w:cs="Arial"/>
          <w:i/>
          <w:sz w:val="16"/>
        </w:rPr>
        <w:t>Base: Australia: internet users aged 18 and over; UK: internet users aged 16 and over.</w:t>
      </w:r>
    </w:p>
    <w:p w14:paraId="30EAF89B" w14:textId="36527B48" w:rsidR="00AA1089" w:rsidRPr="00587F01" w:rsidRDefault="00AA1089" w:rsidP="00AA1089">
      <w:pPr>
        <w:spacing w:before="80" w:after="0" w:line="240" w:lineRule="auto"/>
        <w:rPr>
          <w:rFonts w:cs="Arial"/>
          <w:i/>
          <w:sz w:val="16"/>
        </w:rPr>
      </w:pPr>
      <w:r w:rsidRPr="00587F01">
        <w:rPr>
          <w:rFonts w:cs="Arial"/>
          <w:i/>
          <w:sz w:val="16"/>
        </w:rPr>
        <w:t>Note</w:t>
      </w:r>
      <w:r w:rsidR="007D0C9E">
        <w:rPr>
          <w:rFonts w:cs="Arial"/>
          <w:i/>
          <w:sz w:val="16"/>
        </w:rPr>
        <w:t xml:space="preserve"> 1</w:t>
      </w:r>
      <w:r w:rsidRPr="00587F01">
        <w:rPr>
          <w:rFonts w:cs="Arial"/>
          <w:i/>
          <w:sz w:val="16"/>
        </w:rPr>
        <w:t xml:space="preserve">: Australian data relates to performing activities online in the six months to June 2017. </w:t>
      </w:r>
    </w:p>
    <w:p w14:paraId="415010A6" w14:textId="2C4E08E7" w:rsidR="00AA1089" w:rsidRPr="00A24ECA" w:rsidRDefault="007D0C9E" w:rsidP="00AA1089">
      <w:pPr>
        <w:spacing w:before="80" w:after="0" w:line="240" w:lineRule="auto"/>
        <w:rPr>
          <w:rFonts w:cs="Arial"/>
          <w:i/>
          <w:sz w:val="16"/>
        </w:rPr>
      </w:pPr>
      <w:r>
        <w:rPr>
          <w:rFonts w:cs="Arial"/>
          <w:i/>
          <w:sz w:val="16"/>
        </w:rPr>
        <w:t xml:space="preserve">Note 2: </w:t>
      </w:r>
      <w:r w:rsidR="00AA1089" w:rsidRPr="00A24ECA">
        <w:rPr>
          <w:rFonts w:cs="Arial"/>
          <w:i/>
          <w:sz w:val="16"/>
        </w:rPr>
        <w:t>UK (Ofcom) data was collected January to February 2017 and covers all adults aged 16 and over who go online at home or</w:t>
      </w:r>
      <w:r w:rsidR="00446F50">
        <w:rPr>
          <w:rFonts w:cs="Arial"/>
          <w:i/>
          <w:sz w:val="16"/>
        </w:rPr>
        <w:t> </w:t>
      </w:r>
      <w:r w:rsidR="00AA1089" w:rsidRPr="00A24ECA">
        <w:rPr>
          <w:rFonts w:cs="Arial"/>
          <w:i/>
          <w:sz w:val="16"/>
        </w:rPr>
        <w:t>elsewhere.</w:t>
      </w:r>
    </w:p>
    <w:p w14:paraId="6331CCF1" w14:textId="311F44DA" w:rsidR="009D17F7" w:rsidRDefault="00AA1089" w:rsidP="00574883">
      <w:pPr>
        <w:keepNext/>
        <w:keepLines/>
        <w:spacing w:after="360"/>
        <w:rPr>
          <w:rFonts w:cs="Arial"/>
          <w:i/>
          <w:sz w:val="16"/>
        </w:rPr>
        <w:sectPr w:rsidR="009D17F7" w:rsidSect="00604073">
          <w:headerReference w:type="even" r:id="rId85"/>
          <w:headerReference w:type="default" r:id="rId86"/>
          <w:endnotePr>
            <w:numFmt w:val="decimal"/>
            <w:numRestart w:val="eachSect"/>
          </w:endnotePr>
          <w:pgSz w:w="11907" w:h="16839" w:code="9"/>
          <w:pgMar w:top="1945" w:right="1134" w:bottom="1134" w:left="1134" w:header="709" w:footer="119" w:gutter="284"/>
          <w:cols w:space="708"/>
          <w:docGrid w:linePitch="360"/>
        </w:sectPr>
      </w:pPr>
      <w:r w:rsidRPr="004D463E">
        <w:rPr>
          <w:rFonts w:cs="Arial"/>
          <w:i/>
          <w:sz w:val="16"/>
        </w:rPr>
        <w:t xml:space="preserve">Source: Australian data: ACMA-commissioned survey, June 2017. UK data: Ofcom, </w:t>
      </w:r>
      <w:r w:rsidR="00212C50" w:rsidRPr="00212C50">
        <w:rPr>
          <w:rFonts w:cs="Arial"/>
          <w:i/>
          <w:sz w:val="16"/>
        </w:rPr>
        <w:t>Adults’ media use and attitudes, R</w:t>
      </w:r>
      <w:r w:rsidRPr="00212C50">
        <w:rPr>
          <w:rFonts w:cs="Arial"/>
          <w:i/>
          <w:sz w:val="16"/>
        </w:rPr>
        <w:t>eport 2017.</w:t>
      </w:r>
    </w:p>
    <w:p w14:paraId="379B8EF1" w14:textId="372D62BD" w:rsidR="00477223" w:rsidRPr="00477223" w:rsidRDefault="00477223" w:rsidP="00477223">
      <w:pPr>
        <w:keepNext/>
        <w:keepLines/>
        <w:rPr>
          <w:b/>
          <w:highlight w:val="yellow"/>
        </w:rPr>
      </w:pPr>
    </w:p>
    <w:p w14:paraId="65C776D6" w14:textId="77777777" w:rsidR="00961E72" w:rsidRPr="00961E72" w:rsidRDefault="00961E72" w:rsidP="00961E72">
      <w:pPr>
        <w:pStyle w:val="Heading1"/>
        <w:numPr>
          <w:ilvl w:val="0"/>
          <w:numId w:val="12"/>
        </w:numPr>
        <w:ind w:left="851" w:hanging="851"/>
      </w:pPr>
      <w:bookmarkStart w:id="990" w:name="_Toc500320908"/>
      <w:bookmarkStart w:id="991" w:name="_Toc494799417"/>
      <w:bookmarkStart w:id="992" w:name="_Toc494805720"/>
      <w:bookmarkStart w:id="993" w:name="_Toc494805950"/>
      <w:bookmarkStart w:id="994" w:name="_Toc494808180"/>
      <w:bookmarkStart w:id="995" w:name="_Toc494808834"/>
      <w:bookmarkStart w:id="996" w:name="_Toc494815990"/>
      <w:bookmarkStart w:id="997" w:name="_Toc494818848"/>
      <w:bookmarkStart w:id="998" w:name="_Toc494819114"/>
      <w:bookmarkStart w:id="999" w:name="_Toc462899606"/>
      <w:bookmarkStart w:id="1000" w:name="_Toc433790348"/>
      <w:bookmarkStart w:id="1001" w:name="_Toc463529096"/>
      <w:bookmarkEnd w:id="989"/>
      <w:r w:rsidRPr="00961E72">
        <w:t>Television, radio and online content developments</w:t>
      </w:r>
      <w:bookmarkEnd w:id="990"/>
      <w:r w:rsidRPr="00961E72">
        <w:t xml:space="preserve"> </w:t>
      </w:r>
      <w:bookmarkEnd w:id="991"/>
      <w:bookmarkEnd w:id="992"/>
      <w:bookmarkEnd w:id="993"/>
      <w:bookmarkEnd w:id="994"/>
      <w:bookmarkEnd w:id="995"/>
      <w:bookmarkEnd w:id="996"/>
      <w:bookmarkEnd w:id="997"/>
      <w:bookmarkEnd w:id="998"/>
    </w:p>
    <w:bookmarkEnd w:id="999"/>
    <w:bookmarkEnd w:id="1000"/>
    <w:bookmarkEnd w:id="1001"/>
    <w:p w14:paraId="123AD186" w14:textId="23D4CBBB" w:rsidR="00E57AD7" w:rsidRPr="00171DD0" w:rsidRDefault="00E57AD7" w:rsidP="00E57AD7">
      <w:pPr>
        <w:pStyle w:val="ACMASpaceaftertable"/>
        <w:rPr>
          <w:color w:val="37897E"/>
        </w:rPr>
      </w:pPr>
      <w:r w:rsidRPr="00171DD0">
        <w:rPr>
          <w:color w:val="37897E"/>
        </w:rPr>
        <w:t>This chapter explores developments in audio and video content</w:t>
      </w:r>
      <w:r w:rsidR="00F42607" w:rsidRPr="00171DD0">
        <w:rPr>
          <w:color w:val="37897E"/>
        </w:rPr>
        <w:t xml:space="preserve"> in Australia, as part of reporting on the efficiency, adequacy and quality of broadcasting and OTT content services</w:t>
      </w:r>
      <w:r w:rsidR="00967495" w:rsidRPr="00171DD0">
        <w:rPr>
          <w:color w:val="37897E"/>
        </w:rPr>
        <w:t xml:space="preserve">. </w:t>
      </w:r>
      <w:r w:rsidRPr="00171DD0">
        <w:rPr>
          <w:color w:val="37897E"/>
        </w:rPr>
        <w:t xml:space="preserve">It examines </w:t>
      </w:r>
      <w:r w:rsidR="006E1A45" w:rsidRPr="00171DD0">
        <w:rPr>
          <w:color w:val="37897E"/>
        </w:rPr>
        <w:t xml:space="preserve">industry </w:t>
      </w:r>
      <w:r w:rsidRPr="00171DD0">
        <w:rPr>
          <w:color w:val="37897E"/>
        </w:rPr>
        <w:t xml:space="preserve">developments and changes in </w:t>
      </w:r>
      <w:r w:rsidR="00F42607" w:rsidRPr="00171DD0">
        <w:rPr>
          <w:color w:val="37897E"/>
        </w:rPr>
        <w:t xml:space="preserve">the </w:t>
      </w:r>
      <w:r w:rsidRPr="00171DD0">
        <w:rPr>
          <w:color w:val="37897E"/>
        </w:rPr>
        <w:t>technology used to supply audio and video content and services. It</w:t>
      </w:r>
      <w:r w:rsidR="007D0C9E">
        <w:rPr>
          <w:color w:val="37897E"/>
        </w:rPr>
        <w:t> </w:t>
      </w:r>
      <w:r w:rsidR="006E1A45" w:rsidRPr="00171DD0">
        <w:rPr>
          <w:color w:val="37897E"/>
        </w:rPr>
        <w:t xml:space="preserve">also </w:t>
      </w:r>
      <w:r w:rsidRPr="00171DD0">
        <w:rPr>
          <w:color w:val="37897E"/>
        </w:rPr>
        <w:t>focuses on viewing behaviours</w:t>
      </w:r>
      <w:r w:rsidR="006E1A45" w:rsidRPr="00171DD0">
        <w:rPr>
          <w:color w:val="37897E"/>
        </w:rPr>
        <w:t>,</w:t>
      </w:r>
      <w:r w:rsidRPr="00171DD0">
        <w:rPr>
          <w:color w:val="37897E"/>
        </w:rPr>
        <w:t xml:space="preserve"> including access to new and traditional services and devices</w:t>
      </w:r>
      <w:r w:rsidR="005905ED" w:rsidRPr="00171DD0">
        <w:rPr>
          <w:color w:val="37897E"/>
        </w:rPr>
        <w:t>,</w:t>
      </w:r>
      <w:r w:rsidRPr="00171DD0">
        <w:rPr>
          <w:color w:val="37897E"/>
        </w:rPr>
        <w:t xml:space="preserve"> and</w:t>
      </w:r>
      <w:r w:rsidR="007D0C9E">
        <w:rPr>
          <w:color w:val="37897E"/>
        </w:rPr>
        <w:t> </w:t>
      </w:r>
      <w:r w:rsidRPr="00171DD0">
        <w:rPr>
          <w:color w:val="37897E"/>
        </w:rPr>
        <w:t>engagement with traditional media, subscription services, online viewing and online news services.</w:t>
      </w:r>
      <w:r w:rsidR="00171DD0" w:rsidRPr="00171DD0">
        <w:rPr>
          <w:color w:val="37897E"/>
        </w:rPr>
        <w:t xml:space="preserve"> </w:t>
      </w:r>
      <w:r w:rsidR="007D0C9E">
        <w:rPr>
          <w:color w:val="37897E"/>
        </w:rPr>
        <w:t>This chapter</w:t>
      </w:r>
      <w:r w:rsidR="005905ED" w:rsidRPr="00171DD0">
        <w:rPr>
          <w:color w:val="37897E"/>
        </w:rPr>
        <w:t xml:space="preserve"> addresses </w:t>
      </w:r>
      <w:r w:rsidR="00967495" w:rsidRPr="00171DD0">
        <w:rPr>
          <w:color w:val="37897E"/>
        </w:rPr>
        <w:t>the statutory requirements under paragraphs 105(3)(a) an</w:t>
      </w:r>
      <w:r w:rsidR="006F7D2E" w:rsidRPr="00171DD0">
        <w:rPr>
          <w:color w:val="37897E"/>
        </w:rPr>
        <w:t>d (b) of the Telecommunications </w:t>
      </w:r>
      <w:r w:rsidR="00967495" w:rsidRPr="00171DD0">
        <w:rPr>
          <w:color w:val="37897E"/>
        </w:rPr>
        <w:t>Act.</w:t>
      </w:r>
    </w:p>
    <w:p w14:paraId="7584BF45" w14:textId="52A681A4" w:rsidR="00E57AD7" w:rsidRDefault="007D0C9E" w:rsidP="00E57AD7">
      <w:pPr>
        <w:pStyle w:val="Heading3"/>
      </w:pPr>
      <w:r>
        <w:t>Key points</w:t>
      </w:r>
      <w:r w:rsidR="00E57AD7">
        <w:t xml:space="preserve"> for </w:t>
      </w:r>
      <w:r w:rsidR="00E57AD7" w:rsidRPr="001A4BCF">
        <w:t>2016–17</w:t>
      </w:r>
    </w:p>
    <w:p w14:paraId="00AA9FC0" w14:textId="77777777" w:rsidR="00E57AD7" w:rsidRPr="00E57AD7" w:rsidRDefault="00E57AD7" w:rsidP="00F3697E">
      <w:pPr>
        <w:pStyle w:val="ListBullet"/>
      </w:pPr>
      <w:r w:rsidRPr="00E57AD7">
        <w:t xml:space="preserve">Content and communications providers are investing in the local market and advancing user experience on their platforms, with Netflix commissioning </w:t>
      </w:r>
      <w:r w:rsidR="006E1A45">
        <w:t>its</w:t>
      </w:r>
      <w:r w:rsidR="006E1A45" w:rsidRPr="00E57AD7">
        <w:t xml:space="preserve"> </w:t>
      </w:r>
      <w:r w:rsidRPr="00E57AD7">
        <w:t xml:space="preserve">first Australian production, Seven West Media developing a new online catch-up app and Optus launching Yes TV by Fetch Multiroom. </w:t>
      </w:r>
    </w:p>
    <w:p w14:paraId="2CBF2899" w14:textId="77777777" w:rsidR="00E57AD7" w:rsidRPr="00E57AD7" w:rsidRDefault="006E1A45" w:rsidP="00DC2B04">
      <w:pPr>
        <w:pStyle w:val="ListBullet"/>
      </w:pPr>
      <w:r>
        <w:t>T</w:t>
      </w:r>
      <w:r w:rsidR="00E57AD7" w:rsidRPr="00E57AD7">
        <w:t>raditional TV is still the most used source</w:t>
      </w:r>
      <w:r w:rsidR="00D330D9">
        <w:t xml:space="preserve"> for entertainment and news;</w:t>
      </w:r>
      <w:r w:rsidR="00E57AD7" w:rsidRPr="00E57AD7">
        <w:t xml:space="preserve"> however, the gradual decline in </w:t>
      </w:r>
      <w:r w:rsidR="0061701C">
        <w:t xml:space="preserve">FTA </w:t>
      </w:r>
      <w:r w:rsidR="00E57AD7" w:rsidRPr="00E57AD7">
        <w:t xml:space="preserve">TV viewing over the last six years continues. Time spent viewing FTA TV live </w:t>
      </w:r>
      <w:r>
        <w:t xml:space="preserve">has </w:t>
      </w:r>
      <w:r w:rsidR="00E57AD7" w:rsidRPr="00E57AD7">
        <w:t>increased proportional to age—older Australians aged 65 and over are spending most of their total viewing time watching FTA TV.</w:t>
      </w:r>
    </w:p>
    <w:p w14:paraId="3C8530A1" w14:textId="7F6B4F8E" w:rsidR="00E57AD7" w:rsidRPr="00E57AD7" w:rsidRDefault="00E57AD7" w:rsidP="00DC2B04">
      <w:pPr>
        <w:pStyle w:val="ListBullet"/>
      </w:pPr>
      <w:r w:rsidRPr="00E57AD7">
        <w:t>Online streaming continues to increase</w:t>
      </w:r>
      <w:r w:rsidR="006E1A45">
        <w:t>,</w:t>
      </w:r>
      <w:r w:rsidRPr="00E57AD7">
        <w:t xml:space="preserve"> with an estimated 3.7 million (paid and non-paid) SVOD subscriptions at June 2017, compared to 2.7 million at June 2016. </w:t>
      </w:r>
      <w:r w:rsidR="00171DD0">
        <w:t xml:space="preserve">Netflix holds </w:t>
      </w:r>
      <w:r w:rsidRPr="00E57AD7">
        <w:t>a 55 per</w:t>
      </w:r>
      <w:r w:rsidR="00171DD0">
        <w:t xml:space="preserve"> cent share of the SVOD market and </w:t>
      </w:r>
      <w:r w:rsidRPr="00E57AD7">
        <w:t>remains the most used online video platform.</w:t>
      </w:r>
      <w:r w:rsidR="00171DD0">
        <w:t xml:space="preserve"> Consumer survey data shows that 62 per cent of Australians have at least one TV or video subscription or pay-as-you-go service in their household. A Netflix subscription is the most common (41 per cent).</w:t>
      </w:r>
      <w:r w:rsidRPr="00E57AD7">
        <w:t xml:space="preserve"> </w:t>
      </w:r>
    </w:p>
    <w:p w14:paraId="5CA7548F" w14:textId="77777777" w:rsidR="00E57AD7" w:rsidRPr="00E57AD7" w:rsidRDefault="00E57AD7" w:rsidP="00DC2B04">
      <w:pPr>
        <w:pStyle w:val="ListBullet"/>
      </w:pPr>
      <w:r w:rsidRPr="00E57AD7">
        <w:t xml:space="preserve">There are clear generational differences in engagement with online video content. Time spent viewing online content (catch-up TV, subscription and free video content) decreased proportional to age—younger Australians aged 18–24 are spending most of their total viewing time watching online content. </w:t>
      </w:r>
    </w:p>
    <w:p w14:paraId="1A63DFCC" w14:textId="77777777" w:rsidR="00A77EE0" w:rsidRPr="00CB74BE" w:rsidRDefault="00E57AD7" w:rsidP="00AD2B94">
      <w:pPr>
        <w:pStyle w:val="ListBulletLast"/>
      </w:pPr>
      <w:r w:rsidRPr="001A3C79">
        <w:t xml:space="preserve">Listening to the radio </w:t>
      </w:r>
      <w:r>
        <w:t xml:space="preserve">remains popular among </w:t>
      </w:r>
      <w:r w:rsidRPr="001A3C79">
        <w:t>Australian</w:t>
      </w:r>
      <w:r>
        <w:t xml:space="preserve"> adult</w:t>
      </w:r>
      <w:r w:rsidRPr="001A3C79">
        <w:t>s</w:t>
      </w:r>
      <w:r w:rsidRPr="00F25524">
        <w:t>—</w:t>
      </w:r>
      <w:r>
        <w:t>more time is spent listening to traditional radio (AM and FM)</w:t>
      </w:r>
      <w:r w:rsidR="00344DB0">
        <w:t>;</w:t>
      </w:r>
      <w:r>
        <w:t xml:space="preserve"> however, use of digital radio is becoming more prevalent.</w:t>
      </w:r>
    </w:p>
    <w:p w14:paraId="048D5387" w14:textId="77777777" w:rsidR="00C9027D" w:rsidRPr="001A3C79" w:rsidRDefault="00C9027D" w:rsidP="00C9027D">
      <w:pPr>
        <w:pStyle w:val="Heading2"/>
        <w:numPr>
          <w:ilvl w:val="1"/>
          <w:numId w:val="18"/>
        </w:numPr>
      </w:pPr>
      <w:bookmarkStart w:id="1002" w:name="_Toc462899607"/>
      <w:bookmarkStart w:id="1003" w:name="_Toc433790349"/>
      <w:bookmarkStart w:id="1004" w:name="_Toc463529097"/>
      <w:bookmarkStart w:id="1005" w:name="_Toc494799419"/>
      <w:bookmarkStart w:id="1006" w:name="_Toc494805722"/>
      <w:bookmarkStart w:id="1007" w:name="_Toc494805952"/>
      <w:bookmarkStart w:id="1008" w:name="_Toc494808182"/>
      <w:bookmarkStart w:id="1009" w:name="_Toc494808836"/>
      <w:bookmarkStart w:id="1010" w:name="_Toc494815992"/>
      <w:bookmarkStart w:id="1011" w:name="_Toc494818850"/>
      <w:bookmarkStart w:id="1012" w:name="_Toc494819116"/>
      <w:bookmarkStart w:id="1013" w:name="_Toc500320909"/>
      <w:r>
        <w:t>A</w:t>
      </w:r>
      <w:r w:rsidRPr="001A3C79">
        <w:t>udio content</w:t>
      </w:r>
      <w:bookmarkEnd w:id="1002"/>
      <w:bookmarkEnd w:id="1003"/>
      <w:bookmarkEnd w:id="1004"/>
      <w:r>
        <w:t xml:space="preserve"> access and engagement</w:t>
      </w:r>
      <w:bookmarkEnd w:id="1005"/>
      <w:bookmarkEnd w:id="1006"/>
      <w:bookmarkEnd w:id="1007"/>
      <w:bookmarkEnd w:id="1008"/>
      <w:bookmarkEnd w:id="1009"/>
      <w:bookmarkEnd w:id="1010"/>
      <w:bookmarkEnd w:id="1011"/>
      <w:bookmarkEnd w:id="1012"/>
      <w:bookmarkEnd w:id="1013"/>
    </w:p>
    <w:p w14:paraId="3CCA2148" w14:textId="77777777" w:rsidR="00C9027D" w:rsidRDefault="00C9027D" w:rsidP="00C9027D">
      <w:pPr>
        <w:pStyle w:val="Heading3"/>
      </w:pPr>
      <w:r w:rsidRPr="001A3C79">
        <w:t>Industry developments in radio and audio content</w:t>
      </w:r>
    </w:p>
    <w:p w14:paraId="316BACAF" w14:textId="77777777" w:rsidR="00C9027D" w:rsidRDefault="00C9027D" w:rsidP="00C9027D">
      <w:pPr>
        <w:spacing w:after="120"/>
      </w:pPr>
      <w:r>
        <w:t xml:space="preserve">Australians have access to a growing array of audio entertainment options, from radio to online music streaming and podcasting. </w:t>
      </w:r>
    </w:p>
    <w:p w14:paraId="0ACC9423" w14:textId="77777777" w:rsidR="00C9027D" w:rsidRDefault="00C9027D" w:rsidP="003D67C0">
      <w:pPr>
        <w:spacing w:before="120" w:after="0"/>
      </w:pPr>
      <w:r>
        <w:t>Digital audio is increasing in importance. Revenue from m</w:t>
      </w:r>
      <w:r w:rsidRPr="008C61FC">
        <w:t xml:space="preserve">usic streaming in Australia increased by more than 90 per cent </w:t>
      </w:r>
      <w:r>
        <w:t>in 2016</w:t>
      </w:r>
      <w:r w:rsidR="005F73C6">
        <w:t>,</w:t>
      </w:r>
      <w:r>
        <w:t xml:space="preserve"> with streaming revenue now accounting for 38.5 per cent of Australia</w:t>
      </w:r>
      <w:r w:rsidR="005F73C6">
        <w:t>’</w:t>
      </w:r>
      <w:r>
        <w:t>s overall music market</w:t>
      </w:r>
      <w:r w:rsidR="005F73C6">
        <w:t>—</w:t>
      </w:r>
      <w:r>
        <w:t>exceeding revenues for both physical music purchases and downloads for the first time.</w:t>
      </w:r>
      <w:r>
        <w:rPr>
          <w:rStyle w:val="EndnoteReference"/>
        </w:rPr>
        <w:endnoteReference w:id="166"/>
      </w:r>
      <w:r>
        <w:t xml:space="preserve"> </w:t>
      </w:r>
    </w:p>
    <w:p w14:paraId="655BBF08" w14:textId="77777777" w:rsidR="00C9027D" w:rsidRDefault="00C9027D" w:rsidP="00C9027D">
      <w:pPr>
        <w:pStyle w:val="ACMASpaceaftertable"/>
        <w:spacing w:before="120" w:after="0"/>
      </w:pPr>
      <w:r>
        <w:t>Streaming service sales account</w:t>
      </w:r>
      <w:r w:rsidR="005F73C6">
        <w:t>ed</w:t>
      </w:r>
      <w:r>
        <w:t xml:space="preserve"> for approximately 70 per cent of the total digital market in 2016.</w:t>
      </w:r>
      <w:r>
        <w:rPr>
          <w:rStyle w:val="EndnoteReference"/>
        </w:rPr>
        <w:endnoteReference w:id="167"/>
      </w:r>
      <w:r>
        <w:t xml:space="preserve"> Services in Australia include Spotify, Soundcloud, Apple Music and Pandora</w:t>
      </w:r>
      <w:r w:rsidR="005F73C6">
        <w:t>,</w:t>
      </w:r>
      <w:r>
        <w:t xml:space="preserve"> which all offer free and paid premium services</w:t>
      </w:r>
      <w:r w:rsidR="0023007A">
        <w:t>—although, d</w:t>
      </w:r>
      <w:r>
        <w:t>espite Pandora’s prominence in the Australian market</w:t>
      </w:r>
      <w:r w:rsidR="003A1C16">
        <w:t>, it</w:t>
      </w:r>
      <w:r>
        <w:t xml:space="preserve"> ceased operating in Australia on 31 July 2017. It was reported that of </w:t>
      </w:r>
      <w:r w:rsidR="003A1C16">
        <w:t>its</w:t>
      </w:r>
      <w:r>
        <w:t xml:space="preserve"> 1.5 million listeners across</w:t>
      </w:r>
      <w:r w:rsidRPr="008C61FC">
        <w:t xml:space="preserve"> Australia and New Zealand, 97 per cent use</w:t>
      </w:r>
      <w:r w:rsidR="0023007A">
        <w:t>d</w:t>
      </w:r>
      <w:r w:rsidRPr="008C61FC">
        <w:t xml:space="preserve"> the ads-supported free version.</w:t>
      </w:r>
      <w:r>
        <w:rPr>
          <w:rStyle w:val="EndnoteReference"/>
        </w:rPr>
        <w:endnoteReference w:id="168"/>
      </w:r>
    </w:p>
    <w:p w14:paraId="0BBC7837" w14:textId="77777777" w:rsidR="00C9027D" w:rsidRDefault="0057266E" w:rsidP="00C9027D">
      <w:pPr>
        <w:pStyle w:val="ACMASpaceaftertable"/>
        <w:spacing w:before="240"/>
      </w:pPr>
      <w:r>
        <w:t>In</w:t>
      </w:r>
      <w:r w:rsidR="0023007A">
        <w:t xml:space="preserve"> March 2017, t</w:t>
      </w:r>
      <w:r w:rsidR="00C9027D">
        <w:t>he ACMA registered a new Commercial Radio Industry Code of Practice.</w:t>
      </w:r>
      <w:r w:rsidR="0023007A">
        <w:rPr>
          <w:rStyle w:val="EndnoteReference"/>
        </w:rPr>
        <w:endnoteReference w:id="169"/>
      </w:r>
      <w:r w:rsidR="00C9027D">
        <w:t xml:space="preserve"> </w:t>
      </w:r>
      <w:r w:rsidR="00E85D83">
        <w:t>T</w:t>
      </w:r>
      <w:r w:rsidR="00C9027D">
        <w:t>he new code incorporates commitments by radio licensees about accuracy and impartiality in news, privacy, the treatment of participants in live-hosted programs, and the broadcast of Australian music.</w:t>
      </w:r>
      <w:r w:rsidR="00C9027D">
        <w:rPr>
          <w:rStyle w:val="EndnoteReference"/>
        </w:rPr>
        <w:endnoteReference w:id="170"/>
      </w:r>
      <w:r w:rsidR="00C9027D">
        <w:t xml:space="preserve"> </w:t>
      </w:r>
    </w:p>
    <w:p w14:paraId="585C9572" w14:textId="77777777" w:rsidR="00C9027D" w:rsidRPr="00831377" w:rsidRDefault="00C9027D" w:rsidP="00C9027D">
      <w:pPr>
        <w:pStyle w:val="Heading3"/>
      </w:pPr>
      <w:bookmarkStart w:id="1014" w:name="_Toc494799421"/>
      <w:bookmarkStart w:id="1015" w:name="_Toc494805724"/>
      <w:bookmarkStart w:id="1016" w:name="_Toc494805954"/>
      <w:bookmarkStart w:id="1017" w:name="_Toc494808184"/>
      <w:bookmarkStart w:id="1018" w:name="_Toc494808838"/>
      <w:bookmarkStart w:id="1019" w:name="_Toc494815994"/>
      <w:bookmarkStart w:id="1020" w:name="_Toc494818852"/>
      <w:bookmarkStart w:id="1021" w:name="_Toc494819118"/>
      <w:r w:rsidRPr="00831377">
        <w:t>Reach of radio remains stable</w:t>
      </w:r>
      <w:bookmarkEnd w:id="1014"/>
      <w:bookmarkEnd w:id="1015"/>
      <w:bookmarkEnd w:id="1016"/>
      <w:bookmarkEnd w:id="1017"/>
      <w:bookmarkEnd w:id="1018"/>
      <w:bookmarkEnd w:id="1019"/>
      <w:bookmarkEnd w:id="1020"/>
      <w:bookmarkEnd w:id="1021"/>
    </w:p>
    <w:p w14:paraId="72DE0A7B" w14:textId="77777777" w:rsidR="00C9027D" w:rsidRDefault="00C9027D" w:rsidP="00C9027D">
      <w:r w:rsidRPr="000D30F3">
        <w:t>Listening to the radio remains popular</w:t>
      </w:r>
      <w:r>
        <w:t>,</w:t>
      </w:r>
      <w:r w:rsidRPr="000D30F3">
        <w:t xml:space="preserve"> with </w:t>
      </w:r>
      <w:r>
        <w:t xml:space="preserve">88 per cent of </w:t>
      </w:r>
      <w:r w:rsidRPr="000D30F3">
        <w:t>Australian</w:t>
      </w:r>
      <w:r w:rsidR="00FE6E3B">
        <w:t xml:space="preserve"> adult</w:t>
      </w:r>
      <w:r w:rsidRPr="000D30F3">
        <w:t xml:space="preserve">s listening to some radio in an average seven-day period </w:t>
      </w:r>
      <w:r>
        <w:t>in the 12 months</w:t>
      </w:r>
      <w:r w:rsidRPr="000D30F3">
        <w:t xml:space="preserve"> to June 2017. This figure is consistent with the previous four years (Figure </w:t>
      </w:r>
      <w:r w:rsidRPr="00EE11DD">
        <w:t>3</w:t>
      </w:r>
      <w:r w:rsidRPr="000D30F3">
        <w:t>.1).</w:t>
      </w:r>
    </w:p>
    <w:p w14:paraId="4B45093E" w14:textId="77777777" w:rsidR="00C9027D" w:rsidRPr="00603B28" w:rsidRDefault="00C9027D" w:rsidP="00574883">
      <w:pPr>
        <w:pStyle w:val="ACMAFigureHeader"/>
      </w:pPr>
      <w:r w:rsidRPr="00410E74">
        <w:t>Figure 3.</w:t>
      </w:r>
      <w:r>
        <w:t>1</w:t>
      </w:r>
      <w:r w:rsidRPr="00410E74">
        <w:tab/>
      </w:r>
      <w:r>
        <w:t>Listening to radio, last seven days (percentage)</w:t>
      </w:r>
    </w:p>
    <w:p w14:paraId="32807367" w14:textId="77777777" w:rsidR="00C9027D" w:rsidRDefault="007F216C" w:rsidP="00E22A4D">
      <w:pPr>
        <w:spacing w:after="120"/>
      </w:pPr>
      <w:r>
        <w:rPr>
          <w:noProof/>
        </w:rPr>
        <w:drawing>
          <wp:inline distT="0" distB="0" distL="0" distR="0" wp14:anchorId="32D3E677" wp14:editId="0C2A9B5F">
            <wp:extent cx="5940425" cy="1111250"/>
            <wp:effectExtent l="0" t="0" r="3175" b="0"/>
            <wp:docPr id="37" name="Picture 37" descr="Data for Figure 3.1 is in the .ods file for Chapter 3 on the landing page ‘Communications report 2016-17’, available from the ACMA website." title="Figure 3.1  Listening to radio, last seven day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CH3 - charts_Figure 3.1.png"/>
                    <pic:cNvPicPr/>
                  </pic:nvPicPr>
                  <pic:blipFill>
                    <a:blip r:embed="rId87">
                      <a:extLst>
                        <a:ext uri="{28A0092B-C50C-407E-A947-70E740481C1C}">
                          <a14:useLocalDpi xmlns:a14="http://schemas.microsoft.com/office/drawing/2010/main" val="0"/>
                        </a:ext>
                      </a:extLst>
                    </a:blip>
                    <a:stretch>
                      <a:fillRect/>
                    </a:stretch>
                  </pic:blipFill>
                  <pic:spPr>
                    <a:xfrm>
                      <a:off x="0" y="0"/>
                      <a:ext cx="5940425" cy="1111250"/>
                    </a:xfrm>
                    <a:prstGeom prst="rect">
                      <a:avLst/>
                    </a:prstGeom>
                  </pic:spPr>
                </pic:pic>
              </a:graphicData>
            </a:graphic>
          </wp:inline>
        </w:drawing>
      </w:r>
    </w:p>
    <w:p w14:paraId="04D81522" w14:textId="77777777" w:rsidR="00C9027D" w:rsidRDefault="00C9027D" w:rsidP="00574883">
      <w:pPr>
        <w:pStyle w:val="ACMANotes"/>
        <w:spacing w:before="240"/>
      </w:pPr>
      <w:r w:rsidRPr="000D30F3">
        <w:t xml:space="preserve">Base: </w:t>
      </w:r>
      <w:r w:rsidRPr="00365422">
        <w:t>Australians aged 18+ who listened to the radio in the p</w:t>
      </w:r>
      <w:r>
        <w:t xml:space="preserve">revious </w:t>
      </w:r>
      <w:r w:rsidR="0057266E">
        <w:t>seven</w:t>
      </w:r>
      <w:r>
        <w:t xml:space="preserve"> days (</w:t>
      </w:r>
      <w:r w:rsidRPr="00365422">
        <w:t>over the 12 months to June for each year).</w:t>
      </w:r>
    </w:p>
    <w:p w14:paraId="70AF5D3D" w14:textId="33FC3043" w:rsidR="00C9027D" w:rsidRPr="000D30F3" w:rsidRDefault="00C9027D" w:rsidP="00C9027D">
      <w:pPr>
        <w:pStyle w:val="ACMANotes"/>
      </w:pPr>
      <w:r w:rsidRPr="000D30F3">
        <w:t xml:space="preserve">Note: </w:t>
      </w:r>
      <w:r w:rsidR="005024A1" w:rsidRPr="005024A1">
        <w:t xml:space="preserve">Changes to Roy Morgan weighting methodology in 2014 may have resulted in some differences to 2014–15 data reported in </w:t>
      </w:r>
      <w:r w:rsidR="005024A1">
        <w:t>previous Communications reports</w:t>
      </w:r>
      <w:r w:rsidRPr="000D30F3">
        <w:t>.</w:t>
      </w:r>
    </w:p>
    <w:p w14:paraId="1298ED97" w14:textId="77777777" w:rsidR="00C9027D" w:rsidRDefault="00C9027D" w:rsidP="00574883">
      <w:pPr>
        <w:pStyle w:val="ACMANotesspaceafter"/>
        <w:spacing w:after="360"/>
        <w:rPr>
          <w:highlight w:val="yellow"/>
        </w:rPr>
      </w:pPr>
      <w:r w:rsidRPr="000D30F3">
        <w:t>Source: Roy Morgan Single Source.</w:t>
      </w:r>
    </w:p>
    <w:p w14:paraId="0FDF7A39" w14:textId="77777777" w:rsidR="00C9027D" w:rsidRDefault="00C9027D" w:rsidP="00C9027D">
      <w:r w:rsidRPr="001A3C79">
        <w:t xml:space="preserve">ACMA research </w:t>
      </w:r>
      <w:r>
        <w:t>found that 70</w:t>
      </w:r>
      <w:r w:rsidRPr="001A3C79">
        <w:t xml:space="preserve"> per cent of Australian</w:t>
      </w:r>
      <w:r w:rsidR="00FE6E3B">
        <w:t xml:space="preserve"> adult</w:t>
      </w:r>
      <w:r w:rsidRPr="001A3C79">
        <w:t>s had a radio at home</w:t>
      </w:r>
      <w:r>
        <w:t xml:space="preserve"> and 90 per cent </w:t>
      </w:r>
      <w:r w:rsidR="00A40750">
        <w:t xml:space="preserve">had one </w:t>
      </w:r>
      <w:r>
        <w:t>in their car</w:t>
      </w:r>
      <w:r w:rsidR="00A40750" w:rsidRPr="00A40750">
        <w:t xml:space="preserve"> </w:t>
      </w:r>
      <w:r w:rsidR="00A40750">
        <w:t>at June 2017</w:t>
      </w:r>
      <w:r w:rsidRPr="001A3C79">
        <w:t xml:space="preserve">. </w:t>
      </w:r>
      <w:r>
        <w:t>People living in regional areas were more likely to have a radio in their car (94</w:t>
      </w:r>
      <w:r w:rsidR="00A40750">
        <w:t> </w:t>
      </w:r>
      <w:r>
        <w:t>per cent)</w:t>
      </w:r>
      <w:r w:rsidR="00A40750">
        <w:t xml:space="preserve"> than</w:t>
      </w:r>
      <w:r>
        <w:t xml:space="preserve"> those living in metro areas (87 per cent). Those </w:t>
      </w:r>
      <w:r w:rsidR="004533EA">
        <w:t>with no home</w:t>
      </w:r>
      <w:r>
        <w:t xml:space="preserve"> internet access were more likely to have a radio (80 per cent</w:t>
      </w:r>
      <w:r w:rsidR="004533EA">
        <w:t>) than those with internet access (</w:t>
      </w:r>
      <w:r>
        <w:t>69 per cent).</w:t>
      </w:r>
      <w:r w:rsidR="00A40750">
        <w:t xml:space="preserve"> </w:t>
      </w:r>
    </w:p>
    <w:p w14:paraId="0B60914F" w14:textId="77777777" w:rsidR="00C9027D" w:rsidRDefault="00C9027D" w:rsidP="00C9027D">
      <w:r>
        <w:t>Australians who work full</w:t>
      </w:r>
      <w:r w:rsidR="004533EA">
        <w:t>-</w:t>
      </w:r>
      <w:r>
        <w:t xml:space="preserve">time were most likely to make a daily habit of listening to the radio (41 per cent), ahead of retirees (40 per cent), part-time workers (35 per cent) and people on home duties or those who do not work (29 per cent). </w:t>
      </w:r>
      <w:bookmarkStart w:id="1022" w:name="_Toc494799422"/>
      <w:bookmarkStart w:id="1023" w:name="_Toc494805725"/>
      <w:bookmarkStart w:id="1024" w:name="_Toc494805955"/>
      <w:bookmarkStart w:id="1025" w:name="_Toc494808185"/>
      <w:bookmarkStart w:id="1026" w:name="_Toc494808839"/>
      <w:bookmarkStart w:id="1027" w:name="_Toc494815995"/>
      <w:bookmarkStart w:id="1028" w:name="_Toc494818853"/>
      <w:bookmarkStart w:id="1029" w:name="_Toc494819119"/>
    </w:p>
    <w:p w14:paraId="12B34ACF" w14:textId="77777777" w:rsidR="00C9027D" w:rsidRPr="00410E74" w:rsidRDefault="00C9027D" w:rsidP="00C9027D">
      <w:pPr>
        <w:pStyle w:val="Heading3"/>
        <w:rPr>
          <w:b w:val="0"/>
        </w:rPr>
      </w:pPr>
      <w:r w:rsidRPr="00410E74">
        <w:t>Time spent listening to radio</w:t>
      </w:r>
      <w:bookmarkEnd w:id="1022"/>
      <w:bookmarkEnd w:id="1023"/>
      <w:bookmarkEnd w:id="1024"/>
      <w:bookmarkEnd w:id="1025"/>
      <w:bookmarkEnd w:id="1026"/>
      <w:bookmarkEnd w:id="1027"/>
      <w:bookmarkEnd w:id="1028"/>
      <w:bookmarkEnd w:id="1029"/>
    </w:p>
    <w:p w14:paraId="0349A924" w14:textId="77777777" w:rsidR="00DB416E" w:rsidRDefault="00C04912" w:rsidP="00C9027D">
      <w:r>
        <w:t>At June 2017, Australian adults had spent 12.3 hours, on average, listening to the radio in the past seven days (Figure 3.2).</w:t>
      </w:r>
      <w:r w:rsidR="00C9027D" w:rsidRPr="00052D26">
        <w:t xml:space="preserve"> </w:t>
      </w:r>
    </w:p>
    <w:p w14:paraId="3BEA778F" w14:textId="55BDD478" w:rsidR="00C04912" w:rsidRDefault="00C04912" w:rsidP="00C9027D">
      <w:r>
        <w:t>Eighty</w:t>
      </w:r>
      <w:r w:rsidRPr="00052D26">
        <w:t xml:space="preserve"> </w:t>
      </w:r>
      <w:r w:rsidR="00C9027D" w:rsidRPr="00052D26">
        <w:t>per cent</w:t>
      </w:r>
      <w:r w:rsidR="00C9027D">
        <w:t xml:space="preserve"> </w:t>
      </w:r>
      <w:r w:rsidR="00C9027D" w:rsidRPr="00052D26">
        <w:t>had listened to FM radio</w:t>
      </w:r>
      <w:r>
        <w:t>,</w:t>
      </w:r>
      <w:r w:rsidR="00C9027D">
        <w:t xml:space="preserve"> </w:t>
      </w:r>
      <w:r w:rsidR="00C9027D" w:rsidRPr="00052D26">
        <w:t>38</w:t>
      </w:r>
      <w:r>
        <w:t> </w:t>
      </w:r>
      <w:r w:rsidR="00C9027D" w:rsidRPr="00052D26">
        <w:t>per cent to AM radio, 14 per cent to digital radio (DAB+) and 13 per cent</w:t>
      </w:r>
      <w:r w:rsidR="00C9027D">
        <w:t xml:space="preserve"> to radio </w:t>
      </w:r>
      <w:r w:rsidR="00C9027D" w:rsidRPr="00052D26">
        <w:t>online.</w:t>
      </w:r>
      <w:r w:rsidR="00DB416E">
        <w:t xml:space="preserve"> </w:t>
      </w:r>
      <w:r w:rsidR="00C9027D" w:rsidRPr="00410E74">
        <w:t xml:space="preserve">More time </w:t>
      </w:r>
      <w:r w:rsidR="00C9027D">
        <w:t>was</w:t>
      </w:r>
      <w:r w:rsidR="00C9027D" w:rsidRPr="00410E74">
        <w:t xml:space="preserve"> </w:t>
      </w:r>
      <w:r w:rsidR="00DB416E">
        <w:t xml:space="preserve">also </w:t>
      </w:r>
      <w:r w:rsidR="00C9027D" w:rsidRPr="00410E74">
        <w:t>spent listening to tradit</w:t>
      </w:r>
      <w:r w:rsidR="00C9027D">
        <w:t>ional radio (AM and FM)</w:t>
      </w:r>
      <w:r>
        <w:t>—o</w:t>
      </w:r>
      <w:r w:rsidR="00B31816">
        <w:t>n average, 7.1</w:t>
      </w:r>
      <w:r w:rsidR="00C9027D">
        <w:t xml:space="preserve"> hours to FM radio</w:t>
      </w:r>
      <w:r w:rsidR="00B31816">
        <w:t xml:space="preserve"> (in the car or at home) and 3.2</w:t>
      </w:r>
      <w:r w:rsidR="00DB416E">
        <w:t> </w:t>
      </w:r>
      <w:r w:rsidR="00C9027D">
        <w:t xml:space="preserve">hours to AM radio (in the car or at home). </w:t>
      </w:r>
      <w:r>
        <w:t>Less time was spent l</w:t>
      </w:r>
      <w:r w:rsidR="00C9027D">
        <w:t xml:space="preserve">istening to digital radio </w:t>
      </w:r>
      <w:r>
        <w:t xml:space="preserve">(0.9 hours) </w:t>
      </w:r>
      <w:r w:rsidR="00C9027D">
        <w:t xml:space="preserve">and online radio </w:t>
      </w:r>
      <w:r>
        <w:t>(0.8 hours)</w:t>
      </w:r>
      <w:r w:rsidR="00C9027D" w:rsidRPr="00410E74">
        <w:t xml:space="preserve">. </w:t>
      </w:r>
    </w:p>
    <w:p w14:paraId="2CF98C9C" w14:textId="77777777" w:rsidR="00C9027D" w:rsidRDefault="00C9027D" w:rsidP="00C9027D">
      <w:r>
        <w:t xml:space="preserve">Radio listening increases with age, with Australians aged 65 and over listening to the radio the most, </w:t>
      </w:r>
      <w:r w:rsidR="00AF49AA">
        <w:t xml:space="preserve">for </w:t>
      </w:r>
      <w:r>
        <w:t>an average of 17.1 hours a week. The type of radio listening activity undertaken differed across age groups. Listening to radio online was most popular among younger Australians aged 18</w:t>
      </w:r>
      <w:r w:rsidR="00AF49AA">
        <w:t>–</w:t>
      </w:r>
      <w:r>
        <w:t xml:space="preserve">34, </w:t>
      </w:r>
      <w:r w:rsidR="00AF49AA">
        <w:t>who</w:t>
      </w:r>
      <w:r>
        <w:t xml:space="preserve"> spen</w:t>
      </w:r>
      <w:r w:rsidR="00AF49AA">
        <w:t>t</w:t>
      </w:r>
      <w:r>
        <w:t xml:space="preserve"> 1.5 hours listening online. </w:t>
      </w:r>
      <w:r w:rsidR="00AF49AA">
        <w:t>L</w:t>
      </w:r>
      <w:r>
        <w:t xml:space="preserve">istening </w:t>
      </w:r>
      <w:r w:rsidR="00AF49AA">
        <w:t xml:space="preserve">to AM radio </w:t>
      </w:r>
      <w:r>
        <w:t>was by far the most popular among Australians aged 65</w:t>
      </w:r>
      <w:r w:rsidR="00D92D51">
        <w:t> </w:t>
      </w:r>
      <w:r>
        <w:t>and over (8.0 hours)</w:t>
      </w:r>
      <w:r w:rsidR="00A41024">
        <w:t>,</w:t>
      </w:r>
      <w:r>
        <w:t xml:space="preserve"> while FM listening was equally embraced across the age groups (between 6.7 and 7.4 hours). </w:t>
      </w:r>
    </w:p>
    <w:p w14:paraId="7C93F71D" w14:textId="77777777" w:rsidR="00C9027D" w:rsidRPr="00410E74" w:rsidRDefault="00C9027D" w:rsidP="00574883">
      <w:pPr>
        <w:pStyle w:val="ACMAFigureHeader"/>
        <w:keepNext/>
        <w:ind w:left="1136" w:hanging="1136"/>
      </w:pPr>
      <w:r w:rsidRPr="00410E74">
        <w:t>Figure 3.2</w:t>
      </w:r>
      <w:r w:rsidRPr="00410E74">
        <w:tab/>
      </w:r>
      <w:r>
        <w:t>Average t</w:t>
      </w:r>
      <w:r w:rsidRPr="00410E74">
        <w:t>ime spent listening to the radio (AM, FM, DAB+</w:t>
      </w:r>
      <w:r>
        <w:t xml:space="preserve"> and </w:t>
      </w:r>
      <w:r w:rsidRPr="00410E74">
        <w:t xml:space="preserve">online) in the </w:t>
      </w:r>
      <w:r>
        <w:t xml:space="preserve">past </w:t>
      </w:r>
      <w:r w:rsidRPr="00410E74">
        <w:t>seven</w:t>
      </w:r>
      <w:r w:rsidR="00D92D51">
        <w:t> </w:t>
      </w:r>
      <w:r w:rsidRPr="00410E74">
        <w:t>days</w:t>
      </w:r>
    </w:p>
    <w:p w14:paraId="537C0773" w14:textId="38DB3D3A" w:rsidR="00C9027D" w:rsidRDefault="00666C13" w:rsidP="00E22A4D">
      <w:pPr>
        <w:spacing w:after="120"/>
      </w:pPr>
      <w:r>
        <w:rPr>
          <w:noProof/>
        </w:rPr>
        <w:drawing>
          <wp:inline distT="0" distB="0" distL="0" distR="0" wp14:anchorId="4DC8B256" wp14:editId="713B18FF">
            <wp:extent cx="5940425" cy="3284855"/>
            <wp:effectExtent l="0" t="0" r="3175" b="0"/>
            <wp:docPr id="67" name="Picture 67" descr="Data for Figure 3.2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CH3 - charts_Figure 3.2.png"/>
                    <pic:cNvPicPr/>
                  </pic:nvPicPr>
                  <pic:blipFill>
                    <a:blip r:embed="rId88">
                      <a:extLst>
                        <a:ext uri="{28A0092B-C50C-407E-A947-70E740481C1C}">
                          <a14:useLocalDpi xmlns:a14="http://schemas.microsoft.com/office/drawing/2010/main" val="0"/>
                        </a:ext>
                      </a:extLst>
                    </a:blip>
                    <a:stretch>
                      <a:fillRect/>
                    </a:stretch>
                  </pic:blipFill>
                  <pic:spPr>
                    <a:xfrm>
                      <a:off x="0" y="0"/>
                      <a:ext cx="5940425" cy="3284855"/>
                    </a:xfrm>
                    <a:prstGeom prst="rect">
                      <a:avLst/>
                    </a:prstGeom>
                  </pic:spPr>
                </pic:pic>
              </a:graphicData>
            </a:graphic>
          </wp:inline>
        </w:drawing>
      </w:r>
    </w:p>
    <w:p w14:paraId="5836A09D" w14:textId="77777777" w:rsidR="00C9027D" w:rsidRPr="00410E74" w:rsidRDefault="00C9027D" w:rsidP="00574883">
      <w:pPr>
        <w:pStyle w:val="ACMANotes"/>
        <w:spacing w:before="240"/>
      </w:pPr>
      <w:r w:rsidRPr="00410E74">
        <w:t xml:space="preserve">Base: Australians aged 18 and over who listened to the radio in the </w:t>
      </w:r>
      <w:r>
        <w:t>past</w:t>
      </w:r>
      <w:r w:rsidRPr="00410E74">
        <w:t xml:space="preserve"> seven days (</w:t>
      </w:r>
      <w:r>
        <w:t>n</w:t>
      </w:r>
      <w:r w:rsidRPr="00410E74">
        <w:t>=</w:t>
      </w:r>
      <w:r>
        <w:t>1,932</w:t>
      </w:r>
      <w:r w:rsidRPr="00410E74">
        <w:t>)</w:t>
      </w:r>
      <w:r>
        <w:t>; 18</w:t>
      </w:r>
      <w:r w:rsidR="00D92D51">
        <w:t>–</w:t>
      </w:r>
      <w:r>
        <w:t xml:space="preserve">34 </w:t>
      </w:r>
      <w:r w:rsidR="006E3C90">
        <w:t>(</w:t>
      </w:r>
      <w:r>
        <w:t>n=537</w:t>
      </w:r>
      <w:r w:rsidR="006E3C90">
        <w:t>)</w:t>
      </w:r>
      <w:r>
        <w:t>; 35</w:t>
      </w:r>
      <w:r w:rsidR="00D92D51">
        <w:t>–</w:t>
      </w:r>
      <w:r>
        <w:t xml:space="preserve">64 </w:t>
      </w:r>
      <w:r w:rsidR="006E3C90">
        <w:t>(</w:t>
      </w:r>
      <w:r>
        <w:t>n=1</w:t>
      </w:r>
      <w:r w:rsidR="006E3C90">
        <w:t>,</w:t>
      </w:r>
      <w:r>
        <w:t>006</w:t>
      </w:r>
      <w:r w:rsidR="006E3C90">
        <w:t>)</w:t>
      </w:r>
      <w:r>
        <w:t>; 65+</w:t>
      </w:r>
      <w:r w:rsidR="00D92D51">
        <w:t> </w:t>
      </w:r>
      <w:r w:rsidR="006E3C90">
        <w:t>(</w:t>
      </w:r>
      <w:r>
        <w:t>n=389)</w:t>
      </w:r>
      <w:r w:rsidR="008561C6">
        <w:t>.</w:t>
      </w:r>
      <w:r w:rsidRPr="00410E74">
        <w:t xml:space="preserve"> </w:t>
      </w:r>
    </w:p>
    <w:p w14:paraId="42BC9F12" w14:textId="77777777" w:rsidR="00C9027D" w:rsidRPr="00410E74" w:rsidRDefault="00C9027D" w:rsidP="00C9027D">
      <w:pPr>
        <w:pStyle w:val="ACMANotes"/>
      </w:pPr>
      <w:r w:rsidRPr="00410E74">
        <w:t>Note: Number may not add up to category total due to rounding.</w:t>
      </w:r>
    </w:p>
    <w:p w14:paraId="592F4EED" w14:textId="77777777" w:rsidR="00C9027D" w:rsidRDefault="00C9027D" w:rsidP="00574883">
      <w:pPr>
        <w:pStyle w:val="ACMANotes"/>
        <w:spacing w:after="360"/>
      </w:pPr>
      <w:r w:rsidRPr="00410E74">
        <w:t>Source: ACMA-commissioned survey, June 2017.</w:t>
      </w:r>
    </w:p>
    <w:p w14:paraId="06F3CEB1" w14:textId="77777777" w:rsidR="00C9027D" w:rsidRPr="00112DF6" w:rsidRDefault="00C9027D" w:rsidP="00C9027D">
      <w:pPr>
        <w:pStyle w:val="BodySubHeader"/>
        <w:rPr>
          <w:i w:val="0"/>
        </w:rPr>
      </w:pPr>
      <w:r w:rsidRPr="00112DF6">
        <w:rPr>
          <w:i w:val="0"/>
        </w:rPr>
        <w:t xml:space="preserve">Digital and online radio </w:t>
      </w:r>
    </w:p>
    <w:p w14:paraId="524D01B0" w14:textId="73595D17" w:rsidR="00C9027D" w:rsidRDefault="00C9027D" w:rsidP="00C9027D">
      <w:r w:rsidRPr="00052D26">
        <w:t xml:space="preserve">The use of digital radio </w:t>
      </w:r>
      <w:r>
        <w:t>has become more prevalent</w:t>
      </w:r>
      <w:r w:rsidR="00D92D51">
        <w:t>, with</w:t>
      </w:r>
      <w:r w:rsidRPr="00052D26">
        <w:t xml:space="preserve"> 30 per cent of people </w:t>
      </w:r>
      <w:r>
        <w:t>ha</w:t>
      </w:r>
      <w:r w:rsidR="00D92D51">
        <w:t>ving</w:t>
      </w:r>
      <w:r w:rsidRPr="00052D26">
        <w:t xml:space="preserve"> a DAB+ </w:t>
      </w:r>
      <w:r w:rsidR="00D92D51">
        <w:t xml:space="preserve">radio </w:t>
      </w:r>
      <w:r w:rsidRPr="00052D26">
        <w:t>at</w:t>
      </w:r>
      <w:r w:rsidR="00CB494E">
        <w:t> </w:t>
      </w:r>
      <w:r w:rsidRPr="00052D26">
        <w:t>home and 28</w:t>
      </w:r>
      <w:r>
        <w:t xml:space="preserve"> per cent in their car. Those aged 35 and over were more likely to have digital radio at</w:t>
      </w:r>
      <w:r w:rsidR="00CB494E">
        <w:t> </w:t>
      </w:r>
      <w:r>
        <w:t>home.</w:t>
      </w:r>
      <w:r>
        <w:rPr>
          <w:rStyle w:val="EndnoteReference"/>
        </w:rPr>
        <w:endnoteReference w:id="171"/>
      </w:r>
    </w:p>
    <w:p w14:paraId="6F46AF47" w14:textId="77777777" w:rsidR="00C9027D" w:rsidRDefault="00C9027D" w:rsidP="00C9027D">
      <w:r>
        <w:t xml:space="preserve">Commercial Radio Australia </w:t>
      </w:r>
      <w:r w:rsidR="0023004F">
        <w:t xml:space="preserve">(CRA) </w:t>
      </w:r>
      <w:r>
        <w:t xml:space="preserve">reported that more than 40 per cent of all new vehicles sold in Australia in the 12 months to 30 June 2017 were fitted with a DAB+ digital radio. Over 1.4 million new vehicles have been sold in Australia with DAB+ digital radio since </w:t>
      </w:r>
      <w:r w:rsidR="00D92D51">
        <w:t xml:space="preserve">its </w:t>
      </w:r>
      <w:r>
        <w:t>adoption in vehicles in 2011.</w:t>
      </w:r>
      <w:r>
        <w:rPr>
          <w:rStyle w:val="EndnoteReference"/>
        </w:rPr>
        <w:endnoteReference w:id="172"/>
      </w:r>
    </w:p>
    <w:p w14:paraId="05BF17AE" w14:textId="77777777" w:rsidR="00C9027D" w:rsidRDefault="00C9027D" w:rsidP="00C9027D">
      <w:r>
        <w:t xml:space="preserve">Listening to radio online was more prevalent for </w:t>
      </w:r>
      <w:r w:rsidRPr="001A3C79">
        <w:t xml:space="preserve">Australians </w:t>
      </w:r>
      <w:r>
        <w:t>under 45, with 18 per cent aged 18–45 listening in the last seven days compared with only eight per cent of those aged 4</w:t>
      </w:r>
      <w:r w:rsidRPr="001A3C79">
        <w:t>5 and over.</w:t>
      </w:r>
      <w:r>
        <w:rPr>
          <w:rStyle w:val="EndnoteReference"/>
        </w:rPr>
        <w:endnoteReference w:id="173"/>
      </w:r>
      <w:r>
        <w:t xml:space="preserve"> </w:t>
      </w:r>
    </w:p>
    <w:p w14:paraId="0EFC1C72" w14:textId="77777777" w:rsidR="00C9027D" w:rsidRPr="00EA149D" w:rsidRDefault="00C9027D" w:rsidP="00C9027D">
      <w:pPr>
        <w:pStyle w:val="Heading3"/>
        <w:rPr>
          <w:b w:val="0"/>
        </w:rPr>
      </w:pPr>
      <w:bookmarkStart w:id="1030" w:name="_Toc494799423"/>
      <w:bookmarkStart w:id="1031" w:name="_Toc494805726"/>
      <w:bookmarkStart w:id="1032" w:name="_Toc494805956"/>
      <w:bookmarkStart w:id="1033" w:name="_Toc494808186"/>
      <w:bookmarkStart w:id="1034" w:name="_Toc494808840"/>
      <w:bookmarkStart w:id="1035" w:name="_Toc494815996"/>
      <w:bookmarkStart w:id="1036" w:name="_Toc494818854"/>
      <w:bookmarkStart w:id="1037" w:name="_Toc494819120"/>
      <w:r>
        <w:t>M</w:t>
      </w:r>
      <w:r w:rsidRPr="00EA149D">
        <w:t>usic streaming services</w:t>
      </w:r>
      <w:bookmarkEnd w:id="1030"/>
      <w:bookmarkEnd w:id="1031"/>
      <w:bookmarkEnd w:id="1032"/>
      <w:bookmarkEnd w:id="1033"/>
      <w:bookmarkEnd w:id="1034"/>
      <w:bookmarkEnd w:id="1035"/>
      <w:bookmarkEnd w:id="1036"/>
      <w:bookmarkEnd w:id="1037"/>
    </w:p>
    <w:p w14:paraId="78DBF7A9" w14:textId="7E04531B" w:rsidR="00C9027D" w:rsidRDefault="00C956C1" w:rsidP="0062710E">
      <w:pPr>
        <w:keepNext/>
        <w:keepLines/>
      </w:pPr>
      <w:r>
        <w:t xml:space="preserve">At </w:t>
      </w:r>
      <w:r w:rsidR="00C9027D">
        <w:t xml:space="preserve">June 2017, </w:t>
      </w:r>
      <w:r>
        <w:t>37</w:t>
      </w:r>
      <w:r w:rsidR="00C9027D">
        <w:t xml:space="preserve"> </w:t>
      </w:r>
      <w:r w:rsidR="00C9027D" w:rsidRPr="001A3C79">
        <w:t>per cent of Australian</w:t>
      </w:r>
      <w:r w:rsidR="00FE6E3B">
        <w:t xml:space="preserve"> adult</w:t>
      </w:r>
      <w:r w:rsidR="00C9027D" w:rsidRPr="001A3C79">
        <w:t xml:space="preserve">s had used a streaming music service such as Spotify, </w:t>
      </w:r>
      <w:r w:rsidR="00C9027D">
        <w:t>Apple</w:t>
      </w:r>
      <w:r w:rsidR="00CB494E">
        <w:t> </w:t>
      </w:r>
      <w:r w:rsidR="00C9027D">
        <w:t>Music</w:t>
      </w:r>
      <w:r w:rsidR="00C9027D" w:rsidRPr="001A3C79">
        <w:t xml:space="preserve"> or Pandora radio in the last seven days</w:t>
      </w:r>
      <w:r>
        <w:t xml:space="preserve"> </w:t>
      </w:r>
      <w:r w:rsidRPr="001A3C79">
        <w:t>(Figure 3.3)</w:t>
      </w:r>
      <w:r w:rsidR="00C9027D" w:rsidRPr="001A3C79">
        <w:t>. Spotify</w:t>
      </w:r>
      <w:r w:rsidR="00C9027D">
        <w:t xml:space="preserve"> was by far the</w:t>
      </w:r>
      <w:r w:rsidR="00C9027D" w:rsidRPr="001A3C79">
        <w:t xml:space="preserve"> most used music</w:t>
      </w:r>
      <w:r w:rsidR="00CB494E">
        <w:t> </w:t>
      </w:r>
      <w:r w:rsidR="00C9027D" w:rsidRPr="001A3C79">
        <w:t>streaming service</w:t>
      </w:r>
      <w:r>
        <w:t xml:space="preserve"> (</w:t>
      </w:r>
      <w:r w:rsidR="00C9027D" w:rsidRPr="001A3C79">
        <w:t>5</w:t>
      </w:r>
      <w:r w:rsidR="00C9027D">
        <w:t>4</w:t>
      </w:r>
      <w:r w:rsidR="00C9027D" w:rsidRPr="001A3C79">
        <w:t xml:space="preserve"> per cent</w:t>
      </w:r>
      <w:r>
        <w:t>)</w:t>
      </w:r>
      <w:r w:rsidR="00C9027D">
        <w:t xml:space="preserve">, </w:t>
      </w:r>
      <w:r>
        <w:t xml:space="preserve">with </w:t>
      </w:r>
      <w:r w:rsidR="00C9027D">
        <w:t>Apple Music</w:t>
      </w:r>
      <w:r>
        <w:t xml:space="preserve"> second (</w:t>
      </w:r>
      <w:r w:rsidR="00C9027D">
        <w:t>18 per cent</w:t>
      </w:r>
      <w:r>
        <w:t>)</w:t>
      </w:r>
      <w:r w:rsidR="00C9027D">
        <w:t>.</w:t>
      </w:r>
    </w:p>
    <w:p w14:paraId="29B8FBB7" w14:textId="77777777" w:rsidR="00C9027D" w:rsidRPr="001A3C79" w:rsidRDefault="00C9027D" w:rsidP="00574883">
      <w:pPr>
        <w:pStyle w:val="ACMAFigureHeader"/>
        <w:keepNext/>
      </w:pPr>
      <w:r w:rsidRPr="001A3C79">
        <w:t>Figure 3.3</w:t>
      </w:r>
      <w:r w:rsidRPr="001A3C79">
        <w:tab/>
        <w:t>Music streaming services used in the last seven days (percentage)</w:t>
      </w:r>
    </w:p>
    <w:p w14:paraId="389D75EB" w14:textId="77777777" w:rsidR="00C9027D" w:rsidRDefault="00553806" w:rsidP="00E22A4D">
      <w:pPr>
        <w:spacing w:after="120"/>
      </w:pPr>
      <w:r>
        <w:rPr>
          <w:noProof/>
        </w:rPr>
        <w:drawing>
          <wp:inline distT="0" distB="0" distL="0" distR="0" wp14:anchorId="64CBF4D7" wp14:editId="70FDCC92">
            <wp:extent cx="6074927" cy="2364828"/>
            <wp:effectExtent l="0" t="0" r="2540" b="0"/>
            <wp:docPr id="61" name="Picture 61" descr="Data for Figure 3.3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CH3 - charts_Figure 3.3.png"/>
                    <pic:cNvPicPr/>
                  </pic:nvPicPr>
                  <pic:blipFill rotWithShape="1">
                    <a:blip r:embed="rId89">
                      <a:extLst>
                        <a:ext uri="{28A0092B-C50C-407E-A947-70E740481C1C}">
                          <a14:useLocalDpi xmlns:a14="http://schemas.microsoft.com/office/drawing/2010/main" val="0"/>
                        </a:ext>
                      </a:extLst>
                    </a:blip>
                    <a:srcRect/>
                    <a:stretch/>
                  </pic:blipFill>
                  <pic:spPr bwMode="auto">
                    <a:xfrm>
                      <a:off x="0" y="0"/>
                      <a:ext cx="6083730" cy="2368255"/>
                    </a:xfrm>
                    <a:prstGeom prst="rect">
                      <a:avLst/>
                    </a:prstGeom>
                    <a:ln>
                      <a:noFill/>
                    </a:ln>
                    <a:extLst>
                      <a:ext uri="{53640926-AAD7-44D8-BBD7-CCE9431645EC}">
                        <a14:shadowObscured xmlns:a14="http://schemas.microsoft.com/office/drawing/2010/main"/>
                      </a:ext>
                    </a:extLst>
                  </pic:spPr>
                </pic:pic>
              </a:graphicData>
            </a:graphic>
          </wp:inline>
        </w:drawing>
      </w:r>
    </w:p>
    <w:p w14:paraId="0BC19B6E" w14:textId="77777777" w:rsidR="00C9027D" w:rsidRPr="006B6998" w:rsidRDefault="00C9027D" w:rsidP="00A45509">
      <w:pPr>
        <w:pStyle w:val="ACMASpaceaftertable"/>
        <w:spacing w:before="240" w:after="80" w:line="240" w:lineRule="auto"/>
        <w:rPr>
          <w:i/>
          <w:sz w:val="16"/>
        </w:rPr>
      </w:pPr>
      <w:r w:rsidRPr="006B6998">
        <w:rPr>
          <w:i/>
          <w:sz w:val="16"/>
        </w:rPr>
        <w:t>Base: Australians aged 18 and over who used streaming services in the last seven days (</w:t>
      </w:r>
      <w:r>
        <w:rPr>
          <w:i/>
          <w:sz w:val="16"/>
        </w:rPr>
        <w:t>n</w:t>
      </w:r>
      <w:r w:rsidRPr="006B6998">
        <w:rPr>
          <w:i/>
          <w:sz w:val="16"/>
        </w:rPr>
        <w:t xml:space="preserve">=727). </w:t>
      </w:r>
    </w:p>
    <w:p w14:paraId="224138C8" w14:textId="77777777" w:rsidR="00A45509" w:rsidRPr="001A3C79" w:rsidRDefault="00A45509" w:rsidP="00A45509">
      <w:pPr>
        <w:pStyle w:val="ACMASpaceaftertable"/>
        <w:spacing w:after="80" w:line="240" w:lineRule="auto"/>
      </w:pPr>
      <w:r w:rsidRPr="006B6998">
        <w:rPr>
          <w:i/>
          <w:sz w:val="16"/>
        </w:rPr>
        <w:t>Note: No one recorded listening to Tidal music in the last seven days</w:t>
      </w:r>
      <w:r>
        <w:rPr>
          <w:i/>
          <w:sz w:val="16"/>
        </w:rPr>
        <w:t>.</w:t>
      </w:r>
    </w:p>
    <w:p w14:paraId="1D748362" w14:textId="77777777" w:rsidR="00C9027D" w:rsidRPr="006B6998" w:rsidRDefault="00C9027D" w:rsidP="00A45509">
      <w:pPr>
        <w:pStyle w:val="ACMASpaceaftertable"/>
        <w:spacing w:after="360" w:line="240" w:lineRule="auto"/>
        <w:rPr>
          <w:i/>
          <w:sz w:val="16"/>
        </w:rPr>
      </w:pPr>
      <w:r w:rsidRPr="006B6998">
        <w:rPr>
          <w:i/>
          <w:sz w:val="16"/>
        </w:rPr>
        <w:t>Source: ACMA-commissioned survey, June 2017.</w:t>
      </w:r>
    </w:p>
    <w:p w14:paraId="6B5BCF98" w14:textId="77777777" w:rsidR="00C9027D" w:rsidRDefault="00C9027D" w:rsidP="00C9027D">
      <w:r>
        <w:t xml:space="preserve">Australians spent an average of 10.7 hours a week streaming online music services, with </w:t>
      </w:r>
      <w:r w:rsidR="00C956C1">
        <w:t xml:space="preserve">those aged </w:t>
      </w:r>
      <w:r w:rsidR="00C956C1">
        <w:br/>
      </w:r>
      <w:r>
        <w:t xml:space="preserve">18–24 spending the most time </w:t>
      </w:r>
      <w:r w:rsidR="004C10BB">
        <w:t xml:space="preserve">at </w:t>
      </w:r>
      <w:r>
        <w:t>19.7 hours, compared to 4.3 hours for those aged 45–54 years (Figure</w:t>
      </w:r>
      <w:r w:rsidR="00C956C1">
        <w:t> </w:t>
      </w:r>
      <w:r>
        <w:t>3.4).</w:t>
      </w:r>
    </w:p>
    <w:p w14:paraId="3C37E12C" w14:textId="77777777" w:rsidR="00C9027D" w:rsidRDefault="00C9027D" w:rsidP="00574883">
      <w:pPr>
        <w:keepNext/>
        <w:spacing w:after="160"/>
      </w:pPr>
      <w:r w:rsidRPr="000F3334">
        <w:rPr>
          <w:b/>
        </w:rPr>
        <w:t>Figure 3.</w:t>
      </w:r>
      <w:r>
        <w:rPr>
          <w:b/>
        </w:rPr>
        <w:t>4</w:t>
      </w:r>
      <w:r w:rsidRPr="00EA5F76">
        <w:rPr>
          <w:b/>
        </w:rPr>
        <w:tab/>
        <w:t>Time spent listening to m</w:t>
      </w:r>
      <w:r w:rsidRPr="00EA5F76">
        <w:rPr>
          <w:b/>
          <w:bCs/>
          <w:color w:val="323232"/>
          <w:szCs w:val="20"/>
        </w:rPr>
        <w:t>usic</w:t>
      </w:r>
      <w:r w:rsidRPr="001A3C79">
        <w:rPr>
          <w:b/>
          <w:bCs/>
          <w:color w:val="323232"/>
          <w:szCs w:val="20"/>
        </w:rPr>
        <w:t xml:space="preserve"> streaming services in the last seven days (</w:t>
      </w:r>
      <w:r>
        <w:rPr>
          <w:b/>
          <w:bCs/>
          <w:color w:val="323232"/>
          <w:szCs w:val="20"/>
        </w:rPr>
        <w:t>hours</w:t>
      </w:r>
      <w:r w:rsidRPr="001A3C79">
        <w:rPr>
          <w:b/>
          <w:bCs/>
          <w:color w:val="323232"/>
          <w:szCs w:val="20"/>
        </w:rPr>
        <w:t>)</w:t>
      </w:r>
    </w:p>
    <w:p w14:paraId="46C61EA4" w14:textId="77777777" w:rsidR="00C9027D" w:rsidRDefault="00553806" w:rsidP="00E22A4D">
      <w:pPr>
        <w:spacing w:after="120"/>
      </w:pPr>
      <w:r>
        <w:rPr>
          <w:noProof/>
        </w:rPr>
        <w:drawing>
          <wp:inline distT="0" distB="0" distL="0" distR="0" wp14:anchorId="71342CDE" wp14:editId="0CF2015E">
            <wp:extent cx="5686096" cy="3027996"/>
            <wp:effectExtent l="0" t="0" r="0" b="1270"/>
            <wp:docPr id="62" name="Picture 62" descr="Data for Figure 3.4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CH3 - charts_Figure 3.4.png"/>
                    <pic:cNvPicPr/>
                  </pic:nvPicPr>
                  <pic:blipFill rotWithShape="1">
                    <a:blip r:embed="rId90">
                      <a:extLst>
                        <a:ext uri="{28A0092B-C50C-407E-A947-70E740481C1C}">
                          <a14:useLocalDpi xmlns:a14="http://schemas.microsoft.com/office/drawing/2010/main" val="0"/>
                        </a:ext>
                      </a:extLst>
                    </a:blip>
                    <a:srcRect t="2786" r="10474" b="1629"/>
                    <a:stretch/>
                  </pic:blipFill>
                  <pic:spPr bwMode="auto">
                    <a:xfrm>
                      <a:off x="0" y="0"/>
                      <a:ext cx="5689086" cy="3029588"/>
                    </a:xfrm>
                    <a:prstGeom prst="rect">
                      <a:avLst/>
                    </a:prstGeom>
                    <a:ln>
                      <a:noFill/>
                    </a:ln>
                    <a:extLst>
                      <a:ext uri="{53640926-AAD7-44D8-BBD7-CCE9431645EC}">
                        <a14:shadowObscured xmlns:a14="http://schemas.microsoft.com/office/drawing/2010/main"/>
                      </a:ext>
                    </a:extLst>
                  </pic:spPr>
                </pic:pic>
              </a:graphicData>
            </a:graphic>
          </wp:inline>
        </w:drawing>
      </w:r>
    </w:p>
    <w:p w14:paraId="39924242" w14:textId="77777777" w:rsidR="00C9027D" w:rsidRPr="000F3334" w:rsidRDefault="00C9027D" w:rsidP="00574883">
      <w:pPr>
        <w:pStyle w:val="ACMANotes"/>
        <w:spacing w:before="240"/>
      </w:pPr>
      <w:r w:rsidRPr="000F3334">
        <w:t>Base: Australians aged 18 and over who used streaming services in the last seven days (</w:t>
      </w:r>
      <w:r>
        <w:t>n</w:t>
      </w:r>
      <w:r w:rsidRPr="000F3334">
        <w:t xml:space="preserve">=727). </w:t>
      </w:r>
    </w:p>
    <w:p w14:paraId="3B04BF29" w14:textId="77777777" w:rsidR="00C9027D" w:rsidRDefault="00C9027D" w:rsidP="00574883">
      <w:pPr>
        <w:pStyle w:val="ACMANotesspaceafter"/>
        <w:spacing w:after="360"/>
      </w:pPr>
      <w:r w:rsidRPr="000F3334">
        <w:t>Source: ACMA-commissioned survey, June 2017.</w:t>
      </w:r>
    </w:p>
    <w:p w14:paraId="402651ED" w14:textId="77777777" w:rsidR="00C9027D" w:rsidRDefault="00C9027D" w:rsidP="00C9027D">
      <w:pPr>
        <w:pStyle w:val="Heading3"/>
      </w:pPr>
      <w:bookmarkStart w:id="1038" w:name="_Toc494799425"/>
      <w:bookmarkStart w:id="1039" w:name="_Toc494805728"/>
      <w:bookmarkStart w:id="1040" w:name="_Toc494805958"/>
      <w:bookmarkStart w:id="1041" w:name="_Toc494808188"/>
      <w:bookmarkStart w:id="1042" w:name="_Toc494808842"/>
      <w:bookmarkStart w:id="1043" w:name="_Toc494815998"/>
      <w:bookmarkStart w:id="1044" w:name="_Toc494818856"/>
      <w:bookmarkStart w:id="1045" w:name="_Toc494819122"/>
      <w:r>
        <w:t>Podcasts</w:t>
      </w:r>
      <w:bookmarkEnd w:id="1038"/>
      <w:bookmarkEnd w:id="1039"/>
      <w:bookmarkEnd w:id="1040"/>
      <w:bookmarkEnd w:id="1041"/>
      <w:bookmarkEnd w:id="1042"/>
      <w:bookmarkEnd w:id="1043"/>
      <w:bookmarkEnd w:id="1044"/>
      <w:bookmarkEnd w:id="1045"/>
    </w:p>
    <w:p w14:paraId="1921B642" w14:textId="77777777" w:rsidR="00C9027D" w:rsidRDefault="00CD0147" w:rsidP="0062710E">
      <w:pPr>
        <w:pStyle w:val="ACMASpaceaftertable"/>
        <w:keepNext/>
        <w:keepLines/>
      </w:pPr>
      <w:r>
        <w:t>I</w:t>
      </w:r>
      <w:r w:rsidR="00C9027D">
        <w:t>n the first quarter of 2017, 72 per cent</w:t>
      </w:r>
      <w:r w:rsidR="00C9027D" w:rsidRPr="00704084">
        <w:t xml:space="preserve"> of Australians </w:t>
      </w:r>
      <w:r w:rsidR="00C9027D">
        <w:t>aged 12 and over were</w:t>
      </w:r>
      <w:r w:rsidR="00C9027D" w:rsidRPr="00704084">
        <w:t xml:space="preserve"> familiar with podcasting</w:t>
      </w:r>
      <w:r w:rsidR="00C9027D">
        <w:t>, while only 10 per cent had listened to a podcast in an average week. Those who listened to podcasts weekly listened to an average of six per week.</w:t>
      </w:r>
      <w:r w:rsidR="00C9027D">
        <w:rPr>
          <w:rStyle w:val="EndnoteReference"/>
        </w:rPr>
        <w:endnoteReference w:id="174"/>
      </w:r>
      <w:r w:rsidR="00C9027D">
        <w:t xml:space="preserve"> </w:t>
      </w:r>
    </w:p>
    <w:p w14:paraId="3D59CE8E" w14:textId="77777777" w:rsidR="00C9027D" w:rsidRDefault="00C9027D" w:rsidP="00C9027D">
      <w:pPr>
        <w:pStyle w:val="ACMASpaceaftertable"/>
      </w:pPr>
      <w:r>
        <w:t>Listening to podcasts was most frequently done at home (75 per cent of those who listened to podcasts weekly)</w:t>
      </w:r>
      <w:r w:rsidR="00CD0147">
        <w:t>. A</w:t>
      </w:r>
      <w:r>
        <w:t xml:space="preserve"> portable device </w:t>
      </w:r>
      <w:r w:rsidR="00CD0147">
        <w:t>like</w:t>
      </w:r>
      <w:r>
        <w:t xml:space="preserve"> a smartphone or tablet </w:t>
      </w:r>
      <w:r w:rsidR="00CD0147">
        <w:t xml:space="preserve">was </w:t>
      </w:r>
      <w:r>
        <w:t>the most used device to listen to podcasts (62</w:t>
      </w:r>
      <w:r w:rsidR="00CD0147">
        <w:t> </w:t>
      </w:r>
      <w:r>
        <w:t>per cent, compared to 36 per cent on a computer).</w:t>
      </w:r>
      <w:r>
        <w:rPr>
          <w:rStyle w:val="EndnoteReference"/>
        </w:rPr>
        <w:endnoteReference w:id="175"/>
      </w:r>
    </w:p>
    <w:p w14:paraId="3955E97D" w14:textId="77777777" w:rsidR="00C9027D" w:rsidRDefault="00C9027D" w:rsidP="00C9027D">
      <w:pPr>
        <w:pStyle w:val="Heading3"/>
      </w:pPr>
      <w:bookmarkStart w:id="1046" w:name="_Toc494799426"/>
      <w:bookmarkStart w:id="1047" w:name="_Toc494805729"/>
      <w:bookmarkStart w:id="1048" w:name="_Toc494805960"/>
      <w:bookmarkStart w:id="1049" w:name="_Toc494808190"/>
      <w:bookmarkStart w:id="1050" w:name="_Toc494808844"/>
      <w:bookmarkStart w:id="1051" w:name="_Toc494815999"/>
      <w:bookmarkStart w:id="1052" w:name="_Toc494818858"/>
      <w:bookmarkStart w:id="1053" w:name="_Toc494819123"/>
      <w:r>
        <w:t>Concern with traditional and online radio content</w:t>
      </w:r>
      <w:bookmarkEnd w:id="1046"/>
      <w:bookmarkEnd w:id="1047"/>
      <w:bookmarkEnd w:id="1048"/>
      <w:bookmarkEnd w:id="1049"/>
      <w:bookmarkEnd w:id="1050"/>
      <w:bookmarkEnd w:id="1051"/>
      <w:bookmarkEnd w:id="1052"/>
      <w:bookmarkEnd w:id="1053"/>
    </w:p>
    <w:p w14:paraId="2FEB3A53" w14:textId="77777777" w:rsidR="00C9027D" w:rsidRDefault="00C9027D" w:rsidP="00C9027D">
      <w:r>
        <w:t>Thirty-five per cent of Australians did not have any concerns about content they heard on the radio. Among those who did, the amount of advertising was the most common source of disquiet</w:t>
      </w:r>
      <w:r w:rsidR="00CD0147">
        <w:t xml:space="preserve"> (</w:t>
      </w:r>
      <w:r>
        <w:t>32 per cent</w:t>
      </w:r>
      <w:r w:rsidR="00CD0147">
        <w:t>)</w:t>
      </w:r>
      <w:r>
        <w:t xml:space="preserve"> followed by gambling advertising</w:t>
      </w:r>
      <w:r w:rsidR="00CD0147">
        <w:t>;</w:t>
      </w:r>
      <w:r>
        <w:t xml:space="preserve"> perceived bias in the news</w:t>
      </w:r>
      <w:r w:rsidR="00CD0147">
        <w:t>;</w:t>
      </w:r>
      <w:r>
        <w:t xml:space="preserve"> and incorrect, false or misleading information </w:t>
      </w:r>
      <w:r w:rsidR="00CD0147">
        <w:t>(</w:t>
      </w:r>
      <w:r>
        <w:t>all 23 per cent</w:t>
      </w:r>
      <w:r w:rsidR="00CD0147">
        <w:t>)</w:t>
      </w:r>
      <w:r>
        <w:t xml:space="preserve"> (Figure 3.5).</w:t>
      </w:r>
    </w:p>
    <w:p w14:paraId="6E295ACA" w14:textId="77777777" w:rsidR="00B76D18" w:rsidRDefault="00B76D18" w:rsidP="00574883">
      <w:pPr>
        <w:pStyle w:val="ACMAFigureHeader"/>
        <w:keepNext/>
        <w:ind w:left="1136" w:hanging="1136"/>
      </w:pPr>
      <w:r w:rsidRPr="00EA5F76">
        <w:t>Figure 3.</w:t>
      </w:r>
      <w:r>
        <w:t>5</w:t>
      </w:r>
      <w:r w:rsidRPr="00EA5F76">
        <w:tab/>
      </w:r>
      <w:r>
        <w:t xml:space="preserve">Types of </w:t>
      </w:r>
      <w:r w:rsidR="00CD0147">
        <w:t xml:space="preserve">radio </w:t>
      </w:r>
      <w:r>
        <w:t>content (traditional, analog, digital and online radio) caus</w:t>
      </w:r>
      <w:r w:rsidR="00CD0147">
        <w:t>ing</w:t>
      </w:r>
      <w:r>
        <w:t xml:space="preserve"> concern </w:t>
      </w:r>
      <w:r w:rsidRPr="001A3C79">
        <w:t>(percentage)</w:t>
      </w:r>
    </w:p>
    <w:p w14:paraId="438CF304" w14:textId="77777777" w:rsidR="00B76D18" w:rsidRDefault="00AD2DA0" w:rsidP="00E22A4D">
      <w:pPr>
        <w:spacing w:after="120"/>
      </w:pPr>
      <w:r>
        <w:rPr>
          <w:noProof/>
        </w:rPr>
        <w:drawing>
          <wp:inline distT="0" distB="0" distL="0" distR="0" wp14:anchorId="1119D8E1" wp14:editId="2DB9370D">
            <wp:extent cx="6159062" cy="4457142"/>
            <wp:effectExtent l="0" t="0" r="0" b="635"/>
            <wp:docPr id="29" name="Picture 29" descr="Data for Figure 3.5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H3 - charts_Figure 3.5.png"/>
                    <pic:cNvPicPr/>
                  </pic:nvPicPr>
                  <pic:blipFill rotWithShape="1">
                    <a:blip r:embed="rId91">
                      <a:extLst>
                        <a:ext uri="{28A0092B-C50C-407E-A947-70E740481C1C}">
                          <a14:useLocalDpi xmlns:a14="http://schemas.microsoft.com/office/drawing/2010/main" val="0"/>
                        </a:ext>
                      </a:extLst>
                    </a:blip>
                    <a:srcRect/>
                    <a:stretch/>
                  </pic:blipFill>
                  <pic:spPr bwMode="auto">
                    <a:xfrm>
                      <a:off x="0" y="0"/>
                      <a:ext cx="6161433" cy="4458858"/>
                    </a:xfrm>
                    <a:prstGeom prst="rect">
                      <a:avLst/>
                    </a:prstGeom>
                    <a:ln>
                      <a:noFill/>
                    </a:ln>
                    <a:extLst>
                      <a:ext uri="{53640926-AAD7-44D8-BBD7-CCE9431645EC}">
                        <a14:shadowObscured xmlns:a14="http://schemas.microsoft.com/office/drawing/2010/main"/>
                      </a:ext>
                    </a:extLst>
                  </pic:spPr>
                </pic:pic>
              </a:graphicData>
            </a:graphic>
          </wp:inline>
        </w:drawing>
      </w:r>
    </w:p>
    <w:p w14:paraId="1153AF35" w14:textId="77777777" w:rsidR="00B76D18" w:rsidRPr="00831377" w:rsidRDefault="00B76D18" w:rsidP="00574883">
      <w:pPr>
        <w:pStyle w:val="ACMANotes"/>
        <w:spacing w:before="240"/>
      </w:pPr>
      <w:r w:rsidRPr="00831377">
        <w:t>Base: Australians aged 18 and over (</w:t>
      </w:r>
      <w:r>
        <w:t>n</w:t>
      </w:r>
      <w:r w:rsidRPr="00831377">
        <w:t>=</w:t>
      </w:r>
      <w:r>
        <w:t>2,277</w:t>
      </w:r>
      <w:r w:rsidRPr="00831377">
        <w:t xml:space="preserve">). </w:t>
      </w:r>
    </w:p>
    <w:p w14:paraId="5275340F" w14:textId="77777777" w:rsidR="00B76D18" w:rsidRPr="001A3C79" w:rsidRDefault="00B76D18" w:rsidP="00574883">
      <w:pPr>
        <w:pStyle w:val="ACMANotesspaceafter"/>
        <w:spacing w:after="360"/>
      </w:pPr>
      <w:r w:rsidRPr="00831377">
        <w:t>Source: ACMA-commissioned survey, June 2017.</w:t>
      </w:r>
    </w:p>
    <w:p w14:paraId="755AF8F1" w14:textId="77777777" w:rsidR="00B76D18" w:rsidRDefault="00B76D18" w:rsidP="00B76D18">
      <w:pPr>
        <w:pStyle w:val="Heading2"/>
        <w:numPr>
          <w:ilvl w:val="1"/>
          <w:numId w:val="18"/>
        </w:numPr>
      </w:pPr>
      <w:bookmarkStart w:id="1054" w:name="_Toc433790352"/>
      <w:bookmarkStart w:id="1055" w:name="_Toc462899610"/>
      <w:bookmarkStart w:id="1056" w:name="_Toc463529100"/>
      <w:bookmarkStart w:id="1057" w:name="_Toc494799427"/>
      <w:bookmarkStart w:id="1058" w:name="_Toc494805730"/>
      <w:bookmarkStart w:id="1059" w:name="_Toc494805961"/>
      <w:bookmarkStart w:id="1060" w:name="_Toc494808191"/>
      <w:bookmarkStart w:id="1061" w:name="_Toc494808845"/>
      <w:bookmarkStart w:id="1062" w:name="_Toc494816000"/>
      <w:bookmarkStart w:id="1063" w:name="_Toc494818859"/>
      <w:bookmarkStart w:id="1064" w:name="_Toc494819124"/>
      <w:bookmarkStart w:id="1065" w:name="_Toc500320910"/>
      <w:r w:rsidRPr="001A3C79">
        <w:t>Video content</w:t>
      </w:r>
      <w:bookmarkEnd w:id="1054"/>
      <w:bookmarkEnd w:id="1055"/>
      <w:bookmarkEnd w:id="1056"/>
      <w:r>
        <w:t xml:space="preserve"> access</w:t>
      </w:r>
      <w:bookmarkEnd w:id="1057"/>
      <w:bookmarkEnd w:id="1058"/>
      <w:bookmarkEnd w:id="1059"/>
      <w:bookmarkEnd w:id="1060"/>
      <w:bookmarkEnd w:id="1061"/>
      <w:bookmarkEnd w:id="1062"/>
      <w:bookmarkEnd w:id="1063"/>
      <w:bookmarkEnd w:id="1064"/>
      <w:bookmarkEnd w:id="1065"/>
    </w:p>
    <w:p w14:paraId="3E0D190E" w14:textId="77777777" w:rsidR="00B76D18" w:rsidRPr="00E967C4" w:rsidRDefault="00B76D18" w:rsidP="0062710E">
      <w:pPr>
        <w:keepNext/>
        <w:keepLines/>
      </w:pPr>
      <w:r w:rsidDel="00E967C4">
        <w:rPr>
          <w:rFonts w:cs="Arial"/>
        </w:rPr>
        <w:t xml:space="preserve">Australians </w:t>
      </w:r>
      <w:r>
        <w:rPr>
          <w:rFonts w:cs="Arial"/>
        </w:rPr>
        <w:t>are watching</w:t>
      </w:r>
      <w:r w:rsidDel="00E967C4">
        <w:rPr>
          <w:rFonts w:cs="Arial"/>
        </w:rPr>
        <w:t xml:space="preserve"> more TV-like content, with average viewing hours increasing</w:t>
      </w:r>
      <w:r>
        <w:rPr>
          <w:rFonts w:cs="Arial"/>
        </w:rPr>
        <w:t xml:space="preserve"> in the year to June 2017</w:t>
      </w:r>
      <w:r w:rsidDel="00E967C4">
        <w:rPr>
          <w:rFonts w:cs="Arial"/>
        </w:rPr>
        <w:t xml:space="preserve">. However, content is being consumed in a variety of different ways, </w:t>
      </w:r>
      <w:r w:rsidR="0058018D">
        <w:rPr>
          <w:rFonts w:cs="Arial"/>
        </w:rPr>
        <w:t>which</w:t>
      </w:r>
      <w:r w:rsidDel="00E967C4">
        <w:rPr>
          <w:rFonts w:cs="Arial"/>
        </w:rPr>
        <w:t xml:space="preserve"> may include watching traditional linear TV</w:t>
      </w:r>
      <w:r w:rsidR="0058018D">
        <w:rPr>
          <w:rFonts w:cs="Arial"/>
        </w:rPr>
        <w:t xml:space="preserve"> or</w:t>
      </w:r>
      <w:r w:rsidDel="00E967C4">
        <w:rPr>
          <w:rFonts w:cs="Arial"/>
        </w:rPr>
        <w:t xml:space="preserve"> catch-up TV, as well as streaming or watching content on a SVOD service</w:t>
      </w:r>
      <w:r w:rsidR="0058018D">
        <w:rPr>
          <w:rFonts w:cs="Arial"/>
        </w:rPr>
        <w:t>.</w:t>
      </w:r>
      <w:r>
        <w:rPr>
          <w:rStyle w:val="EndnoteReference"/>
          <w:rFonts w:cs="Arial"/>
        </w:rPr>
        <w:endnoteReference w:id="176"/>
      </w:r>
    </w:p>
    <w:p w14:paraId="17871052" w14:textId="77777777" w:rsidR="00B76D18" w:rsidRPr="00EA149D" w:rsidRDefault="00B76D18" w:rsidP="00B76D18">
      <w:pPr>
        <w:pStyle w:val="Heading3"/>
        <w:rPr>
          <w:b w:val="0"/>
        </w:rPr>
      </w:pPr>
      <w:bookmarkStart w:id="1066" w:name="_Toc462899611"/>
      <w:bookmarkStart w:id="1067" w:name="_Toc463529101"/>
      <w:bookmarkStart w:id="1068" w:name="_Toc494799428"/>
      <w:bookmarkStart w:id="1069" w:name="_Toc494805731"/>
      <w:bookmarkStart w:id="1070" w:name="_Toc494805962"/>
      <w:bookmarkStart w:id="1071" w:name="_Toc494808192"/>
      <w:bookmarkStart w:id="1072" w:name="_Toc494808846"/>
      <w:bookmarkStart w:id="1073" w:name="_Toc494816001"/>
      <w:bookmarkStart w:id="1074" w:name="_Toc494818860"/>
      <w:bookmarkStart w:id="1075" w:name="_Toc494819125"/>
      <w:r w:rsidRPr="00EA149D">
        <w:t xml:space="preserve">Industry </w:t>
      </w:r>
      <w:r w:rsidRPr="00A16EEF">
        <w:t>developments</w:t>
      </w:r>
      <w:bookmarkEnd w:id="1066"/>
      <w:bookmarkEnd w:id="1067"/>
      <w:bookmarkEnd w:id="1068"/>
      <w:bookmarkEnd w:id="1069"/>
      <w:bookmarkEnd w:id="1070"/>
      <w:bookmarkEnd w:id="1071"/>
      <w:bookmarkEnd w:id="1072"/>
      <w:bookmarkEnd w:id="1073"/>
      <w:bookmarkEnd w:id="1074"/>
      <w:bookmarkEnd w:id="1075"/>
    </w:p>
    <w:p w14:paraId="3389D249" w14:textId="77777777" w:rsidR="00B76D18" w:rsidRDefault="00B76D18" w:rsidP="00B76D18">
      <w:r w:rsidRPr="00303947">
        <w:t>The cha</w:t>
      </w:r>
      <w:r>
        <w:t>ng</w:t>
      </w:r>
      <w:r w:rsidRPr="00303947">
        <w:t>ing viewing habit</w:t>
      </w:r>
      <w:r w:rsidR="00F60F48">
        <w:t>s</w:t>
      </w:r>
      <w:r w:rsidRPr="00303947">
        <w:t xml:space="preserve"> of consumers has led traditional broadcasters, communications providers, online content providers and technology companies </w:t>
      </w:r>
      <w:r w:rsidR="00F60F48">
        <w:t>to</w:t>
      </w:r>
      <w:r w:rsidRPr="00303947">
        <w:t xml:space="preserve"> </w:t>
      </w:r>
      <w:r>
        <w:t>deliver</w:t>
      </w:r>
      <w:r w:rsidRPr="00303947">
        <w:t xml:space="preserve"> more content via multiple services and devices. Viewers are now able to access more video content than ever before through a range of web-based services, </w:t>
      </w:r>
      <w:r>
        <w:t>apps</w:t>
      </w:r>
      <w:r w:rsidRPr="00303947">
        <w:t xml:space="preserve"> and devices.</w:t>
      </w:r>
    </w:p>
    <w:p w14:paraId="495512B6" w14:textId="77777777" w:rsidR="00F60F48" w:rsidRDefault="00B76D18" w:rsidP="00C77BDF">
      <w:pPr>
        <w:pStyle w:val="Bodysubheader0"/>
      </w:pPr>
      <w:r>
        <w:t>C</w:t>
      </w:r>
      <w:r w:rsidRPr="00C43159">
        <w:t>hanges to media laws</w:t>
      </w:r>
    </w:p>
    <w:p w14:paraId="5FBBA1F0" w14:textId="40BF5D9C" w:rsidR="00B75F48" w:rsidRDefault="00B76D18" w:rsidP="00C77BDF">
      <w:pPr>
        <w:pStyle w:val="ACMASpaceaftertable"/>
        <w:spacing w:after="80"/>
      </w:pPr>
      <w:r w:rsidRPr="00923E16">
        <w:t xml:space="preserve">The </w:t>
      </w:r>
      <w:r w:rsidRPr="008C549B">
        <w:rPr>
          <w:i/>
        </w:rPr>
        <w:t xml:space="preserve">Broadcasting Legislation Amendment (Broadcasting Reform) </w:t>
      </w:r>
      <w:r w:rsidR="00F055BA" w:rsidRPr="008C549B">
        <w:rPr>
          <w:i/>
        </w:rPr>
        <w:t xml:space="preserve">Act </w:t>
      </w:r>
      <w:r w:rsidR="0077281C" w:rsidRPr="008C549B">
        <w:rPr>
          <w:i/>
        </w:rPr>
        <w:t>2017</w:t>
      </w:r>
      <w:r w:rsidR="0077281C">
        <w:t xml:space="preserve"> </w:t>
      </w:r>
      <w:r w:rsidR="00677486">
        <w:t>(Broadcast</w:t>
      </w:r>
      <w:r w:rsidR="005318A5">
        <w:t>ing</w:t>
      </w:r>
      <w:r w:rsidR="00677486">
        <w:t xml:space="preserve"> Reform Act) </w:t>
      </w:r>
      <w:r w:rsidRPr="00923E16">
        <w:t xml:space="preserve">was </w:t>
      </w:r>
      <w:r w:rsidR="00F055BA">
        <w:t>enacted on 16 October 2017.</w:t>
      </w:r>
      <w:r w:rsidR="003A069D">
        <w:rPr>
          <w:rStyle w:val="EndnoteReference"/>
        </w:rPr>
        <w:endnoteReference w:id="177"/>
      </w:r>
      <w:r w:rsidR="00F055BA">
        <w:t xml:space="preserve"> Together with the </w:t>
      </w:r>
      <w:r w:rsidR="00F055BA">
        <w:rPr>
          <w:i/>
        </w:rPr>
        <w:t xml:space="preserve">Commercial </w:t>
      </w:r>
      <w:r w:rsidR="00152650">
        <w:rPr>
          <w:i/>
        </w:rPr>
        <w:t>Broadcasting</w:t>
      </w:r>
      <w:r w:rsidR="00F055BA">
        <w:rPr>
          <w:i/>
        </w:rPr>
        <w:t xml:space="preserve"> (Tax) Act 2017</w:t>
      </w:r>
      <w:r w:rsidR="00F055BA">
        <w:t xml:space="preserve">, the Broadcasting Reform Act implemented a number of measures forming part of the </w:t>
      </w:r>
      <w:r w:rsidR="00ED073B">
        <w:t>g</w:t>
      </w:r>
      <w:r w:rsidR="00F055BA">
        <w:t>overnment’s Broadcasting and Content Reform Package announced as part of the 2017</w:t>
      </w:r>
      <w:r w:rsidR="00ED073B">
        <w:t>–</w:t>
      </w:r>
      <w:r w:rsidR="00F055BA">
        <w:t>18 Budget.</w:t>
      </w:r>
      <w:r w:rsidR="003A069D">
        <w:rPr>
          <w:rStyle w:val="EndnoteReference"/>
        </w:rPr>
        <w:endnoteReference w:id="178"/>
      </w:r>
      <w:r w:rsidR="00F055BA">
        <w:t xml:space="preserve"> </w:t>
      </w:r>
      <w:r w:rsidR="005318A5">
        <w:t>The measures include</w:t>
      </w:r>
      <w:r w:rsidR="00005481">
        <w:t>d</w:t>
      </w:r>
      <w:r w:rsidR="005318A5">
        <w:t>:</w:t>
      </w:r>
    </w:p>
    <w:p w14:paraId="3C405B84" w14:textId="77777777" w:rsidR="00B93EAB" w:rsidRDefault="005318A5" w:rsidP="00C77BDF">
      <w:pPr>
        <w:pStyle w:val="ListBullet"/>
      </w:pPr>
      <w:r>
        <w:t>a</w:t>
      </w:r>
      <w:r w:rsidR="00B93EAB" w:rsidRPr="00923E16">
        <w:t>boli</w:t>
      </w:r>
      <w:r>
        <w:t>tion of</w:t>
      </w:r>
      <w:r w:rsidR="00B93EAB">
        <w:t xml:space="preserve"> </w:t>
      </w:r>
      <w:r w:rsidR="00B93EAB" w:rsidRPr="00923E16">
        <w:t xml:space="preserve">the ‘75 per cent </w:t>
      </w:r>
      <w:r w:rsidR="00B93EAB">
        <w:t xml:space="preserve">audience </w:t>
      </w:r>
      <w:r w:rsidR="00B93EAB" w:rsidRPr="00923E16">
        <w:t xml:space="preserve">reach rule’, which prohibits </w:t>
      </w:r>
      <w:r w:rsidR="00B93EAB" w:rsidRPr="00037600">
        <w:t xml:space="preserve">a person, either in their own right or as a director of one or more companies, from being in a position to exercise control of commercial television broadcasting licences whose combined licence area populations exceed 75 per cent </w:t>
      </w:r>
      <w:r w:rsidR="00B93EAB">
        <w:t>of the population of Australia</w:t>
      </w:r>
    </w:p>
    <w:p w14:paraId="0C039CF1" w14:textId="77777777" w:rsidR="00B93EAB" w:rsidRDefault="005318A5" w:rsidP="00C77BDF">
      <w:pPr>
        <w:pStyle w:val="ListBullet"/>
      </w:pPr>
      <w:r>
        <w:t>a</w:t>
      </w:r>
      <w:r w:rsidR="00B93EAB">
        <w:t>boli</w:t>
      </w:r>
      <w:r>
        <w:t>tion of</w:t>
      </w:r>
      <w:r w:rsidR="00B93EAB">
        <w:t xml:space="preserve"> </w:t>
      </w:r>
      <w:r w:rsidR="00B93EAB" w:rsidRPr="00923E16">
        <w:t>the ‘2 out of 3 rule’, which prohibits control of more than two out of three radio, television and newspaper platforms in any commercial radio licence area</w:t>
      </w:r>
    </w:p>
    <w:p w14:paraId="01A86FB2" w14:textId="77777777" w:rsidR="00611D68" w:rsidRDefault="00611D68" w:rsidP="00611D68">
      <w:pPr>
        <w:pStyle w:val="ListBullet"/>
      </w:pPr>
      <w:r>
        <w:t>new l</w:t>
      </w:r>
      <w:r w:rsidRPr="00611D68">
        <w:t xml:space="preserve">ocal programming requirements for regional commercial television broadcasting licensees </w:t>
      </w:r>
    </w:p>
    <w:p w14:paraId="35D19E3C" w14:textId="77777777" w:rsidR="00005481" w:rsidRDefault="00005481" w:rsidP="00005481">
      <w:pPr>
        <w:pStyle w:val="ListBullet"/>
      </w:pPr>
      <w:r>
        <w:t>abolition of licence fees and datacasting charges</w:t>
      </w:r>
      <w:r w:rsidR="00ED073B">
        <w:t>,</w:t>
      </w:r>
      <w:r>
        <w:t xml:space="preserve"> and an introduction of a fee </w:t>
      </w:r>
      <w:r w:rsidR="00ED073B">
        <w:t xml:space="preserve">for </w:t>
      </w:r>
      <w:r>
        <w:t>the use of broadcasting spectrum</w:t>
      </w:r>
    </w:p>
    <w:p w14:paraId="45B041D5" w14:textId="77777777" w:rsidR="00005481" w:rsidRDefault="00005481" w:rsidP="008C549B">
      <w:pPr>
        <w:pStyle w:val="ListBulletLast"/>
      </w:pPr>
      <w:r>
        <w:t>changes to the anti-siphoning scheme and list.</w:t>
      </w:r>
    </w:p>
    <w:p w14:paraId="15DA6C1D" w14:textId="35980296" w:rsidR="00611D68" w:rsidRDefault="00611D68" w:rsidP="006533CA">
      <w:pPr>
        <w:pStyle w:val="ListBulletLast"/>
        <w:numPr>
          <w:ilvl w:val="0"/>
          <w:numId w:val="0"/>
        </w:numPr>
      </w:pPr>
      <w:r>
        <w:t xml:space="preserve">The </w:t>
      </w:r>
      <w:r w:rsidR="00ED073B">
        <w:t>p</w:t>
      </w:r>
      <w:r>
        <w:t xml:space="preserve">ackage also included new restrictions on gambling advertising and a review of Australian and children’s </w:t>
      </w:r>
      <w:r w:rsidR="00F1464D">
        <w:t xml:space="preserve">screen </w:t>
      </w:r>
      <w:r>
        <w:t>content.</w:t>
      </w:r>
      <w:r>
        <w:rPr>
          <w:rStyle w:val="EndnoteReference"/>
        </w:rPr>
        <w:endnoteReference w:id="179"/>
      </w:r>
      <w:r>
        <w:t xml:space="preserve"> </w:t>
      </w:r>
      <w:r w:rsidRPr="006C127F">
        <w:t xml:space="preserve">The review </w:t>
      </w:r>
      <w:r>
        <w:t>is being</w:t>
      </w:r>
      <w:r w:rsidRPr="006C127F">
        <w:t xml:space="preserve"> conducted </w:t>
      </w:r>
      <w:r>
        <w:t>by</w:t>
      </w:r>
      <w:r w:rsidRPr="006C127F">
        <w:t xml:space="preserve"> </w:t>
      </w:r>
      <w:r w:rsidR="00F1464D">
        <w:t>DoCA</w:t>
      </w:r>
      <w:r>
        <w:t xml:space="preserve"> in conjunction with </w:t>
      </w:r>
      <w:r w:rsidRPr="006C127F">
        <w:t>the ACMA and Screen Australia</w:t>
      </w:r>
      <w:r w:rsidR="00F1464D">
        <w:t>,</w:t>
      </w:r>
      <w:r w:rsidRPr="006C127F">
        <w:t xml:space="preserve"> and include</w:t>
      </w:r>
      <w:r>
        <w:t>s</w:t>
      </w:r>
      <w:r w:rsidRPr="006C127F">
        <w:t xml:space="preserve"> a </w:t>
      </w:r>
      <w:r>
        <w:t>f</w:t>
      </w:r>
      <w:r w:rsidRPr="006C127F">
        <w:t>irst-</w:t>
      </w:r>
      <w:r>
        <w:t>p</w:t>
      </w:r>
      <w:r w:rsidRPr="006C127F">
        <w:t>rinciples examination of support measures, regulations and incentives currently in place to support the production and distribution of Australian and children’s</w:t>
      </w:r>
      <w:r>
        <w:t xml:space="preserve"> screen</w:t>
      </w:r>
      <w:r w:rsidR="007D0C9E">
        <w:t> </w:t>
      </w:r>
      <w:r w:rsidRPr="006C127F">
        <w:t>content. The review process include</w:t>
      </w:r>
      <w:r>
        <w:t>s</w:t>
      </w:r>
      <w:r w:rsidRPr="006C127F">
        <w:t xml:space="preserve"> extensive consultation with individuals and organisations in the sector.</w:t>
      </w:r>
    </w:p>
    <w:p w14:paraId="77723EF1" w14:textId="77777777" w:rsidR="00B76D18" w:rsidRDefault="00F1464D" w:rsidP="00B76D18">
      <w:pPr>
        <w:pStyle w:val="BodySubHeader"/>
      </w:pPr>
      <w:r>
        <w:t>FTA</w:t>
      </w:r>
      <w:r w:rsidR="00C7155B">
        <w:t xml:space="preserve"> TV</w:t>
      </w:r>
      <w:r w:rsidR="00C7155B" w:rsidRPr="00EA149D">
        <w:t xml:space="preserve"> </w:t>
      </w:r>
      <w:r w:rsidR="00B76D18" w:rsidRPr="00EA149D">
        <w:t xml:space="preserve">broadcasters </w:t>
      </w:r>
    </w:p>
    <w:p w14:paraId="74E59C68" w14:textId="77777777" w:rsidR="00B76D18" w:rsidRDefault="00B76D18" w:rsidP="00B76D18">
      <w:pPr>
        <w:pStyle w:val="ACMASpaceaftertable"/>
      </w:pPr>
      <w:r>
        <w:t xml:space="preserve">Traditional broadcasters are continuing to offer new services and platforms to access their content. </w:t>
      </w:r>
      <w:r w:rsidRPr="00E60135">
        <w:t xml:space="preserve">In December 2016, Nine launched </w:t>
      </w:r>
      <w:r>
        <w:t xml:space="preserve">Go! Kids, a children’s entertainment space </w:t>
      </w:r>
      <w:r w:rsidR="008F4DB3">
        <w:t xml:space="preserve">that </w:t>
      </w:r>
      <w:r>
        <w:t>includes a dedicated app and daily children’s viewing</w:t>
      </w:r>
      <w:r w:rsidR="00BB034B">
        <w:t xml:space="preserve"> </w:t>
      </w:r>
      <w:r>
        <w:t>between 11 am and 2 pm, with children’s programming continuing from 6</w:t>
      </w:r>
      <w:r w:rsidR="002A2AD5">
        <w:t> </w:t>
      </w:r>
      <w:r>
        <w:t>am to 11 am and 2 pm to 6 pm.</w:t>
      </w:r>
      <w:r>
        <w:rPr>
          <w:rStyle w:val="EndnoteReference"/>
        </w:rPr>
        <w:endnoteReference w:id="180"/>
      </w:r>
      <w:r>
        <w:t xml:space="preserve"> </w:t>
      </w:r>
    </w:p>
    <w:p w14:paraId="27AE4189" w14:textId="6906FBBE" w:rsidR="00B76D18" w:rsidRDefault="00B76D18" w:rsidP="00B76D18">
      <w:pPr>
        <w:pStyle w:val="ACMASpaceaftertable"/>
      </w:pPr>
      <w:r>
        <w:t>In June 2017, Seven West Media announced the decision to launch a new catch-up TV service to replace the current Plus7 service</w:t>
      </w:r>
      <w:r w:rsidR="002A2AD5">
        <w:t>,</w:t>
      </w:r>
      <w:r>
        <w:t xml:space="preserve"> which is jointly operated with Yahoo7. The new service is scheduled to be released by the end of 2017, with the current Plus7 service to continue as </w:t>
      </w:r>
      <w:r w:rsidR="002A2AD5">
        <w:t xml:space="preserve">a </w:t>
      </w:r>
      <w:r>
        <w:t>news and video portal, generating revenue through digital advertising.</w:t>
      </w:r>
      <w:r>
        <w:rPr>
          <w:rStyle w:val="EndnoteReference"/>
        </w:rPr>
        <w:endnoteReference w:id="181"/>
      </w:r>
    </w:p>
    <w:p w14:paraId="6314F311" w14:textId="77777777" w:rsidR="00B76D18" w:rsidRDefault="00B76D18" w:rsidP="00B76D18">
      <w:pPr>
        <w:pStyle w:val="ACMASpaceaftertable"/>
      </w:pPr>
      <w:r>
        <w:t xml:space="preserve">The shift to online advertising has seen an increase in internet advertising expenditure and a decline in the </w:t>
      </w:r>
      <w:r w:rsidR="002A2AD5">
        <w:t xml:space="preserve">amount </w:t>
      </w:r>
      <w:r>
        <w:t>spent on traditional TV.</w:t>
      </w:r>
      <w:r>
        <w:rPr>
          <w:rStyle w:val="EndnoteReference"/>
        </w:rPr>
        <w:endnoteReference w:id="182"/>
      </w:r>
      <w:r>
        <w:t xml:space="preserve"> Network Ten, which has a 25 per cent share of the advertising market, posted a $232.2 million loss in the first half of 2017, and in June entered into voluntary administration after failing to secure a guarantee for a new $250 million loan in order to continue its operations.</w:t>
      </w:r>
      <w:r w:rsidR="00B864DA">
        <w:rPr>
          <w:rStyle w:val="EndnoteReference"/>
        </w:rPr>
        <w:endnoteReference w:id="183"/>
      </w:r>
      <w:r w:rsidR="00B864DA">
        <w:t xml:space="preserve"> </w:t>
      </w:r>
      <w:r w:rsidR="00B864DA">
        <w:rPr>
          <w:rStyle w:val="EndnoteReference"/>
        </w:rPr>
        <w:endnoteReference w:id="184"/>
      </w:r>
      <w:r w:rsidR="00B864DA">
        <w:t xml:space="preserve"> </w:t>
      </w:r>
      <w:r w:rsidR="00C01B7E">
        <w:t>On 19 September, Ten Network Holdings Limited announced a proposed deed of company arrangement with CBS International Television Australia Pty Limited.</w:t>
      </w:r>
      <w:r w:rsidR="00C01B7E">
        <w:rPr>
          <w:rStyle w:val="EndnoteReference"/>
        </w:rPr>
        <w:endnoteReference w:id="185"/>
      </w:r>
      <w:r w:rsidR="00C01B7E">
        <w:t xml:space="preserve"> </w:t>
      </w:r>
    </w:p>
    <w:p w14:paraId="35BDCC43" w14:textId="77777777" w:rsidR="00B76D18" w:rsidRPr="00EA149D" w:rsidRDefault="00B76D18" w:rsidP="00B76D18">
      <w:pPr>
        <w:pStyle w:val="BodySubHeader"/>
      </w:pPr>
      <w:r w:rsidRPr="00EA149D">
        <w:t>Changes in regional television</w:t>
      </w:r>
    </w:p>
    <w:p w14:paraId="4D51EE32" w14:textId="77777777" w:rsidR="00B76D18" w:rsidRDefault="00B76D18" w:rsidP="00964884">
      <w:pPr>
        <w:spacing w:after="80"/>
      </w:pPr>
      <w:r>
        <w:t xml:space="preserve">The Nine </w:t>
      </w:r>
      <w:r w:rsidR="00551A29">
        <w:t>N</w:t>
      </w:r>
      <w:r>
        <w:t>etwork, in partnership with Southern Cross Austereo, launched 15 local news services in Queensland, Southern N</w:t>
      </w:r>
      <w:r w:rsidR="00551A29">
        <w:t xml:space="preserve">ew </w:t>
      </w:r>
      <w:r>
        <w:t>S</w:t>
      </w:r>
      <w:r w:rsidR="00551A29">
        <w:t xml:space="preserve">outh </w:t>
      </w:r>
      <w:r>
        <w:t>W</w:t>
      </w:r>
      <w:r w:rsidR="00551A29">
        <w:t>ales</w:t>
      </w:r>
      <w:r>
        <w:t xml:space="preserve"> and Victorian regional markets</w:t>
      </w:r>
      <w:r w:rsidR="00551A29">
        <w:t>,</w:t>
      </w:r>
      <w:r>
        <w:t xml:space="preserve"> which were progressively rolled out from February to September 2017.</w:t>
      </w:r>
      <w:r>
        <w:rPr>
          <w:rStyle w:val="EndnoteReference"/>
        </w:rPr>
        <w:endnoteReference w:id="186"/>
      </w:r>
      <w:r>
        <w:t xml:space="preserve"> The news services cover the</w:t>
      </w:r>
      <w:r w:rsidR="00551A29">
        <w:t xml:space="preserve"> following</w:t>
      </w:r>
      <w:r>
        <w:t xml:space="preserve"> regional television markets:</w:t>
      </w:r>
    </w:p>
    <w:p w14:paraId="5B2BD56B" w14:textId="77777777" w:rsidR="00B76D18" w:rsidRDefault="00B76D18" w:rsidP="00F3697E">
      <w:pPr>
        <w:pStyle w:val="ListBullet"/>
      </w:pPr>
      <w:r>
        <w:t>Southern N</w:t>
      </w:r>
      <w:r w:rsidR="00551A29">
        <w:t xml:space="preserve">ew </w:t>
      </w:r>
      <w:r>
        <w:t>S</w:t>
      </w:r>
      <w:r w:rsidR="00551A29">
        <w:t xml:space="preserve">outh </w:t>
      </w:r>
      <w:r>
        <w:t>W</w:t>
      </w:r>
      <w:r w:rsidR="00551A29">
        <w:t>ales</w:t>
      </w:r>
      <w:r>
        <w:t>—Canberra, Wollongong, the Central West (Orange, Bathurst, Dubbo), Wagga Wagga</w:t>
      </w:r>
    </w:p>
    <w:p w14:paraId="3BA7613C" w14:textId="77777777" w:rsidR="00B76D18" w:rsidRDefault="00B76D18" w:rsidP="00DC2B04">
      <w:pPr>
        <w:pStyle w:val="ListBullet"/>
      </w:pPr>
      <w:r>
        <w:t xml:space="preserve">Regional Victoria—Ballarat, Bendigo, Albury/Shepparton, Gippsland </w:t>
      </w:r>
    </w:p>
    <w:p w14:paraId="1F49FBD6" w14:textId="77777777" w:rsidR="00B76D18" w:rsidRDefault="00B76D18" w:rsidP="00964884">
      <w:pPr>
        <w:pStyle w:val="ListBulletLast"/>
      </w:pPr>
      <w:r>
        <w:t>Regional Queensland—Cairns, Townsville, Mackay, Rockhampton, Wide Bay, Toowoomba, Sunshine Coast.</w:t>
      </w:r>
      <w:r>
        <w:rPr>
          <w:rStyle w:val="EndnoteReference"/>
        </w:rPr>
        <w:endnoteReference w:id="187"/>
      </w:r>
    </w:p>
    <w:p w14:paraId="744F0DB1" w14:textId="77777777" w:rsidR="00B76D18" w:rsidRPr="00B10766" w:rsidRDefault="00B76D18" w:rsidP="00B76D18">
      <w:pPr>
        <w:pStyle w:val="ACMASpaceaftertable"/>
      </w:pPr>
      <w:r>
        <w:t xml:space="preserve">The Nine Network closed </w:t>
      </w:r>
      <w:r w:rsidR="00551A29">
        <w:t xml:space="preserve">its </w:t>
      </w:r>
      <w:r>
        <w:t xml:space="preserve">Darwin newsroom in July 2017. While local news is being produced for the Darwin region, it is sourced from Nine’s Queensland newsroom and combines </w:t>
      </w:r>
      <w:r w:rsidRPr="00212C50">
        <w:t>Territory</w:t>
      </w:r>
      <w:r>
        <w:t xml:space="preserve"> news with national and international news.</w:t>
      </w:r>
      <w:r>
        <w:rPr>
          <w:rStyle w:val="EndnoteReference"/>
        </w:rPr>
        <w:endnoteReference w:id="188"/>
      </w:r>
    </w:p>
    <w:p w14:paraId="17CD2E0C" w14:textId="77777777" w:rsidR="00B76D18" w:rsidRPr="000933FC" w:rsidRDefault="00B76D18" w:rsidP="00B76D18">
      <w:pPr>
        <w:pStyle w:val="BodySubHeader"/>
      </w:pPr>
      <w:bookmarkStart w:id="1076" w:name="_Toc463529102"/>
      <w:r w:rsidRPr="00EA149D">
        <w:t>Developments in audience measurement</w:t>
      </w:r>
      <w:bookmarkEnd w:id="1076"/>
    </w:p>
    <w:p w14:paraId="356C47D2" w14:textId="77777777" w:rsidR="00B76D18" w:rsidRDefault="00B76D18" w:rsidP="00B76D18">
      <w:pPr>
        <w:pStyle w:val="ACMASpaceaftertable"/>
      </w:pPr>
      <w:bookmarkStart w:id="1077" w:name="_Toc433790353"/>
      <w:bookmarkEnd w:id="1077"/>
      <w:r w:rsidRPr="005731EF">
        <w:t>B</w:t>
      </w:r>
      <w:r>
        <w:t>oth OzTAM and RegionalTAM increased their audience ratings panels by 50 per cent in 2017. In April, OzTAM completed the increase of the metropolitan panel from 3,500 homes to</w:t>
      </w:r>
      <w:r w:rsidRPr="0030674C">
        <w:t xml:space="preserve"> 5,250</w:t>
      </w:r>
      <w:r w:rsidR="00551A29">
        <w:t>,</w:t>
      </w:r>
      <w:r w:rsidRPr="0030674C">
        <w:t xml:space="preserve"> </w:t>
      </w:r>
      <w:r>
        <w:t xml:space="preserve">and the </w:t>
      </w:r>
      <w:r w:rsidR="00A54DBD">
        <w:t xml:space="preserve">national </w:t>
      </w:r>
      <w:r w:rsidR="00E71B1E">
        <w:t xml:space="preserve">subscription </w:t>
      </w:r>
      <w:r w:rsidR="00A54DBD">
        <w:t>television (</w:t>
      </w:r>
      <w:r>
        <w:t>STV</w:t>
      </w:r>
      <w:r w:rsidR="00A54DBD">
        <w:t>)</w:t>
      </w:r>
      <w:r>
        <w:t xml:space="preserve"> panel from 1,413 home to</w:t>
      </w:r>
      <w:r w:rsidRPr="0030674C">
        <w:t xml:space="preserve"> 2,120</w:t>
      </w:r>
      <w:r w:rsidR="00F1464D">
        <w:t>.</w:t>
      </w:r>
      <w:r>
        <w:rPr>
          <w:rStyle w:val="EndnoteReference"/>
        </w:rPr>
        <w:endnoteReference w:id="189"/>
      </w:r>
      <w:r>
        <w:t xml:space="preserve"> RegionalTAM’s panel increased from </w:t>
      </w:r>
      <w:r w:rsidRPr="005731EF">
        <w:t>2,135 homes</w:t>
      </w:r>
      <w:r>
        <w:t xml:space="preserve"> to 3,198 homes in June.</w:t>
      </w:r>
      <w:r>
        <w:rPr>
          <w:rStyle w:val="EndnoteReference"/>
        </w:rPr>
        <w:endnoteReference w:id="190"/>
      </w:r>
    </w:p>
    <w:p w14:paraId="160C0561" w14:textId="77777777" w:rsidR="00B76D18" w:rsidRPr="00EA149D" w:rsidRDefault="00B76D18" w:rsidP="00B76D18">
      <w:pPr>
        <w:pStyle w:val="BodySubHeader"/>
      </w:pPr>
      <w:r>
        <w:t xml:space="preserve">Developments in </w:t>
      </w:r>
      <w:r w:rsidRPr="00EA149D">
        <w:t>SVOD and streaming devices</w:t>
      </w:r>
    </w:p>
    <w:p w14:paraId="663715A8" w14:textId="77777777" w:rsidR="00B76D18" w:rsidRPr="00611124" w:rsidRDefault="00B76D18" w:rsidP="00964884">
      <w:pPr>
        <w:pStyle w:val="ACMASpaceaftertable"/>
      </w:pPr>
      <w:r w:rsidRPr="009B4661">
        <w:t>In</w:t>
      </w:r>
      <w:r>
        <w:rPr>
          <w:b/>
        </w:rPr>
        <w:t xml:space="preserve"> </w:t>
      </w:r>
      <w:r>
        <w:t xml:space="preserve">December 2016, the government announced a self-regulation tool </w:t>
      </w:r>
      <w:r w:rsidR="00B0001C">
        <w:t xml:space="preserve">that </w:t>
      </w:r>
      <w:r>
        <w:t>allowed Netflix to process classifications of titles for Australian viewers. The 12</w:t>
      </w:r>
      <w:r w:rsidR="00B0001C">
        <w:t>-</w:t>
      </w:r>
      <w:r>
        <w:t xml:space="preserve">month pilot program seeks to speed up the classification process, </w:t>
      </w:r>
      <w:r w:rsidR="00012289">
        <w:t>in</w:t>
      </w:r>
      <w:r>
        <w:t xml:space="preserve"> response to Netflix’s concern that gaining Australian classification for its content was a significant obstacle and the reason </w:t>
      </w:r>
      <w:r w:rsidR="00B0001C">
        <w:t xml:space="preserve">the airing of </w:t>
      </w:r>
      <w:r>
        <w:t xml:space="preserve">some titles </w:t>
      </w:r>
      <w:r w:rsidR="00B0001C">
        <w:t xml:space="preserve">was </w:t>
      </w:r>
      <w:r>
        <w:t>delayed in Australia.</w:t>
      </w:r>
      <w:r>
        <w:rPr>
          <w:rStyle w:val="EndnoteReference"/>
        </w:rPr>
        <w:endnoteReference w:id="191"/>
      </w:r>
    </w:p>
    <w:p w14:paraId="6A46A971" w14:textId="77777777" w:rsidR="00B76D18" w:rsidRDefault="00B76D18" w:rsidP="00964884">
      <w:pPr>
        <w:pStyle w:val="ACMASpaceaftertable"/>
      </w:pPr>
      <w:r>
        <w:t>New SVOD services launched in 2016–17 into an increasingly crowded space. In April 2017, nature and wildlife documentary service Love Nature launched with a subscription cost of $4.99 a month, with a percentage of each subscription fee donated to conservation projects.</w:t>
      </w:r>
      <w:r>
        <w:rPr>
          <w:rStyle w:val="EndnoteReference"/>
        </w:rPr>
        <w:endnoteReference w:id="192"/>
      </w:r>
      <w:r>
        <w:t xml:space="preserve"> Amazon Prime launched in Australia in the first quarter of 2017, with subscriptions starting at $8.</w:t>
      </w:r>
      <w:r>
        <w:rPr>
          <w:rStyle w:val="EndnoteReference"/>
        </w:rPr>
        <w:endnoteReference w:id="193"/>
      </w:r>
      <w:r>
        <w:t xml:space="preserve"> </w:t>
      </w:r>
    </w:p>
    <w:p w14:paraId="33DF44F8" w14:textId="77777777" w:rsidR="00B76D18" w:rsidRDefault="00B76D18" w:rsidP="00B76D18">
      <w:pPr>
        <w:pStyle w:val="ACMASpaceaftertable"/>
      </w:pPr>
      <w:r>
        <w:t xml:space="preserve">Foxtel launched Foxtel Now in June 2017, amid increasing competition in the </w:t>
      </w:r>
      <w:r w:rsidR="00CC278F">
        <w:t>S</w:t>
      </w:r>
      <w:r>
        <w:t>VOD space. The service offers low-priced and more flexible bundles</w:t>
      </w:r>
      <w:r w:rsidR="00012289">
        <w:t>, giving</w:t>
      </w:r>
      <w:r>
        <w:t xml:space="preserve"> subscribers greater freedom to access Foxtel’s content. Entry packages start from $10 a month with optional movie and sports packages available at an additional charge.</w:t>
      </w:r>
      <w:r>
        <w:rPr>
          <w:rStyle w:val="EndnoteReference"/>
        </w:rPr>
        <w:endnoteReference w:id="194"/>
      </w:r>
      <w:r>
        <w:t xml:space="preserve"> </w:t>
      </w:r>
    </w:p>
    <w:p w14:paraId="1765ADAC" w14:textId="77777777" w:rsidR="00B76D18" w:rsidRPr="007C18D2" w:rsidRDefault="00B76D18" w:rsidP="00B76D18">
      <w:pPr>
        <w:pStyle w:val="ACMASpaceaftertable"/>
      </w:pPr>
      <w:r>
        <w:t>Optus launched Fetch Multiroom, allowing households to watch Fetch, Stan and Netflix content on up to three televisions concurrently by attaching multiple Fetch set-top boxes to a single account.</w:t>
      </w:r>
      <w:r>
        <w:rPr>
          <w:rStyle w:val="EndnoteReference"/>
        </w:rPr>
        <w:endnoteReference w:id="195"/>
      </w:r>
      <w:r>
        <w:t xml:space="preserve"> Additionally, </w:t>
      </w:r>
      <w:r w:rsidRPr="007C18D2">
        <w:t>Fetch TV</w:t>
      </w:r>
      <w:r>
        <w:t xml:space="preserve"> added 10 extra channels to </w:t>
      </w:r>
      <w:r w:rsidR="00012289">
        <w:t xml:space="preserve">its </w:t>
      </w:r>
      <w:r>
        <w:t xml:space="preserve">service and updated </w:t>
      </w:r>
      <w:r w:rsidR="00012289">
        <w:t xml:space="preserve">its </w:t>
      </w:r>
      <w:r>
        <w:t xml:space="preserve">pricing structure, offering four packages for </w:t>
      </w:r>
      <w:r w:rsidR="00012289">
        <w:t>$</w:t>
      </w:r>
      <w:r>
        <w:t>6 each or all four packages (with access to 49 channels) for $20 a month.</w:t>
      </w:r>
      <w:r>
        <w:rPr>
          <w:rStyle w:val="EndnoteReference"/>
        </w:rPr>
        <w:endnoteReference w:id="196"/>
      </w:r>
    </w:p>
    <w:p w14:paraId="32C44F37" w14:textId="77777777" w:rsidR="00B76D18" w:rsidRPr="004047FB" w:rsidRDefault="00B76D18" w:rsidP="00B76D18">
      <w:pPr>
        <w:pStyle w:val="BodySubHeader"/>
      </w:pPr>
      <w:r w:rsidRPr="00EA149D">
        <w:t xml:space="preserve">Developments from </w:t>
      </w:r>
      <w:r w:rsidRPr="00A16EEF">
        <w:t>content</w:t>
      </w:r>
      <w:r w:rsidRPr="00EA149D">
        <w:t xml:space="preserve"> providers</w:t>
      </w:r>
    </w:p>
    <w:p w14:paraId="301FBF82" w14:textId="77777777" w:rsidR="00B76D18" w:rsidRDefault="00B76D18" w:rsidP="00B76D18">
      <w:pPr>
        <w:pStyle w:val="ACMASpaceaftertable"/>
      </w:pPr>
      <w:r>
        <w:t xml:space="preserve">In addition to developing and updating product offerings, content providers are now commissioning original programs to create a competitive advantage in an increasingly saturated space. </w:t>
      </w:r>
    </w:p>
    <w:p w14:paraId="4D029F7D" w14:textId="77777777" w:rsidR="00B76D18" w:rsidRDefault="00B76D18" w:rsidP="00B76D18">
      <w:pPr>
        <w:pStyle w:val="ACMASpaceaftertable"/>
      </w:pPr>
      <w:r>
        <w:t>In Australia, Foxtel has invested heavily in locally</w:t>
      </w:r>
      <w:r w:rsidR="00012289">
        <w:t xml:space="preserve"> </w:t>
      </w:r>
      <w:r>
        <w:t>produced content, offering a range of reality programs, dramas and documentaries. In November 2016, Foxtel had 22 non-scripted shows in production</w:t>
      </w:r>
      <w:r w:rsidR="00012289">
        <w:t xml:space="preserve"> and</w:t>
      </w:r>
      <w:r>
        <w:t xml:space="preserve"> 10 dramas in development.</w:t>
      </w:r>
      <w:r>
        <w:rPr>
          <w:rStyle w:val="EndnoteReference"/>
        </w:rPr>
        <w:endnoteReference w:id="197"/>
      </w:r>
      <w:r>
        <w:t xml:space="preserve"> Many of these programs are on</w:t>
      </w:r>
      <w:r w:rsidR="00012289">
        <w:t>-</w:t>
      </w:r>
      <w:r>
        <w:t xml:space="preserve">sold to </w:t>
      </w:r>
      <w:r w:rsidR="00012289">
        <w:t>FTA</w:t>
      </w:r>
      <w:r>
        <w:t xml:space="preserve"> channels for broadcast at a later date, providing additional income for the service provider. </w:t>
      </w:r>
    </w:p>
    <w:p w14:paraId="78AD6043" w14:textId="77777777" w:rsidR="00B76D18" w:rsidRDefault="00B76D18" w:rsidP="00B76D18">
      <w:pPr>
        <w:pStyle w:val="ACMASpaceaftertable"/>
      </w:pPr>
      <w:r>
        <w:t xml:space="preserve">In May 2017, Netflix announced it had commissioned its first Australian original series </w:t>
      </w:r>
      <w:r>
        <w:rPr>
          <w:i/>
        </w:rPr>
        <w:t>Tidelands</w:t>
      </w:r>
      <w:r>
        <w:t xml:space="preserve">. Produced in Queensland by Hoodlum Entertainment, the </w:t>
      </w:r>
      <w:r w:rsidR="00012289">
        <w:t>10</w:t>
      </w:r>
      <w:r>
        <w:t>-episode series will air in 2018.</w:t>
      </w:r>
      <w:r>
        <w:rPr>
          <w:rStyle w:val="EndnoteReference"/>
        </w:rPr>
        <w:endnoteReference w:id="198"/>
      </w:r>
      <w:r>
        <w:t xml:space="preserve"> </w:t>
      </w:r>
    </w:p>
    <w:p w14:paraId="2E52F316" w14:textId="77777777" w:rsidR="00B76D18" w:rsidRDefault="00B76D18" w:rsidP="00E22A4D">
      <w:pPr>
        <w:pStyle w:val="ACMASpaceaftertable"/>
        <w:keepLines/>
      </w:pPr>
      <w:r>
        <w:t xml:space="preserve">Internationally, 2017 </w:t>
      </w:r>
      <w:r w:rsidR="00012289">
        <w:t>saw</w:t>
      </w:r>
      <w:r>
        <w:t xml:space="preserve"> several major developments in the streaming industry. In mid-2017, Apple and Facebook were reported to be investing $1 billion in producing original content to compete against Netflix and Amazon, companies that have been producing original content for years.</w:t>
      </w:r>
      <w:r>
        <w:rPr>
          <w:rStyle w:val="EndnoteReference"/>
        </w:rPr>
        <w:endnoteReference w:id="199"/>
      </w:r>
      <w:r>
        <w:t xml:space="preserve"> In August 2017, established content producer Disney announced it would launch a streaming service in 2019, adding another competitor to the streaming service market.</w:t>
      </w:r>
    </w:p>
    <w:p w14:paraId="3F445980" w14:textId="77777777" w:rsidR="00B76D18" w:rsidRDefault="00B76D18" w:rsidP="00B76D18">
      <w:pPr>
        <w:pStyle w:val="ACMASpaceaftertable"/>
      </w:pPr>
      <w:r>
        <w:t>YouTube Red announced in February 2017 it had commissioned a suite of original US TV shows. Released from April 2017 and aimed at children aged 12 years and under</w:t>
      </w:r>
      <w:r>
        <w:rPr>
          <w:rStyle w:val="EndnoteReference"/>
        </w:rPr>
        <w:endnoteReference w:id="200"/>
      </w:r>
      <w:r>
        <w:t>, the programs are available through the mobile app YouTube Kids.</w:t>
      </w:r>
      <w:r>
        <w:rPr>
          <w:rStyle w:val="EndnoteReference"/>
        </w:rPr>
        <w:endnoteReference w:id="201"/>
      </w:r>
      <w:r>
        <w:t xml:space="preserve"> </w:t>
      </w:r>
    </w:p>
    <w:p w14:paraId="3C2A5A6B" w14:textId="77777777" w:rsidR="00B76D18" w:rsidRPr="00EA149D" w:rsidRDefault="00B76D18" w:rsidP="00B76D18">
      <w:pPr>
        <w:pStyle w:val="Heading3"/>
        <w:rPr>
          <w:b w:val="0"/>
          <w:lang w:val="en-US"/>
        </w:rPr>
      </w:pPr>
      <w:bookmarkStart w:id="1078" w:name="_Toc463529105"/>
      <w:bookmarkStart w:id="1079" w:name="_Toc494799429"/>
      <w:bookmarkStart w:id="1080" w:name="_Toc494805732"/>
      <w:bookmarkStart w:id="1081" w:name="_Toc494805963"/>
      <w:bookmarkStart w:id="1082" w:name="_Toc494808193"/>
      <w:bookmarkStart w:id="1083" w:name="_Toc494808847"/>
      <w:bookmarkStart w:id="1084" w:name="_Toc494816030"/>
      <w:bookmarkStart w:id="1085" w:name="_Toc494818861"/>
      <w:bookmarkStart w:id="1086" w:name="_Toc494819126"/>
      <w:r>
        <w:rPr>
          <w:lang w:val="en-US"/>
        </w:rPr>
        <w:t>Traditional</w:t>
      </w:r>
      <w:r w:rsidRPr="00EA149D">
        <w:rPr>
          <w:lang w:val="en-US"/>
        </w:rPr>
        <w:t xml:space="preserve"> broadcast </w:t>
      </w:r>
      <w:bookmarkEnd w:id="1078"/>
      <w:r>
        <w:rPr>
          <w:lang w:val="en-US"/>
        </w:rPr>
        <w:t>TV</w:t>
      </w:r>
      <w:bookmarkEnd w:id="1079"/>
      <w:bookmarkEnd w:id="1080"/>
      <w:bookmarkEnd w:id="1081"/>
      <w:bookmarkEnd w:id="1082"/>
      <w:bookmarkEnd w:id="1083"/>
      <w:bookmarkEnd w:id="1084"/>
      <w:bookmarkEnd w:id="1085"/>
      <w:bookmarkEnd w:id="1086"/>
    </w:p>
    <w:p w14:paraId="3FDB8952" w14:textId="77777777" w:rsidR="00B76D18" w:rsidRPr="001A3C79" w:rsidRDefault="00B76D18" w:rsidP="00B76D18">
      <w:pPr>
        <w:rPr>
          <w:lang w:val="en-US"/>
        </w:rPr>
      </w:pPr>
      <w:r w:rsidRPr="0030186F">
        <w:rPr>
          <w:lang w:val="en-US"/>
        </w:rPr>
        <w:t>Time spent watching live FTA</w:t>
      </w:r>
      <w:r w:rsidR="00293496">
        <w:rPr>
          <w:lang w:val="en-US"/>
        </w:rPr>
        <w:t xml:space="preserve"> broadcast</w:t>
      </w:r>
      <w:r w:rsidRPr="0030186F">
        <w:rPr>
          <w:lang w:val="en-US"/>
        </w:rPr>
        <w:t xml:space="preserve"> television (viewed on the day of broadcast) is declining and so is the number of Australian</w:t>
      </w:r>
      <w:r w:rsidR="00FE6E3B">
        <w:rPr>
          <w:lang w:val="en-US"/>
        </w:rPr>
        <w:t xml:space="preserve"> adult</w:t>
      </w:r>
      <w:r w:rsidRPr="0030186F">
        <w:rPr>
          <w:lang w:val="en-US"/>
        </w:rPr>
        <w:t>s watching traditional broadcast television every yea</w:t>
      </w:r>
      <w:r w:rsidRPr="00AC7EEE">
        <w:rPr>
          <w:lang w:val="en-US"/>
        </w:rPr>
        <w:t>r.</w:t>
      </w:r>
    </w:p>
    <w:p w14:paraId="642FEF72" w14:textId="77777777" w:rsidR="00B76D18" w:rsidRDefault="00B76D18" w:rsidP="00B76D18">
      <w:r>
        <w:t>Australians spent 28 per cent of their time across the day (in a 28</w:t>
      </w:r>
      <w:r w:rsidR="00B16EDF">
        <w:t>-</w:t>
      </w:r>
      <w:r>
        <w:t xml:space="preserve">day period) </w:t>
      </w:r>
      <w:r w:rsidR="00B16EDF">
        <w:t xml:space="preserve">using </w:t>
      </w:r>
      <w:r>
        <w:t xml:space="preserve">their TV set </w:t>
      </w:r>
      <w:r w:rsidR="00B16EDF">
        <w:t xml:space="preserve">for </w:t>
      </w:r>
      <w:r>
        <w:t xml:space="preserve">something other than watching live or </w:t>
      </w:r>
      <w:r w:rsidR="00BC68B5">
        <w:t xml:space="preserve">recorded </w:t>
      </w:r>
      <w:r>
        <w:t>broadcast</w:t>
      </w:r>
      <w:r w:rsidR="00BC68B5">
        <w:t xml:space="preserve"> </w:t>
      </w:r>
      <w:r>
        <w:t>TV. The time spent watching broadcast TV declined by almost six hours a month in the first quarter of 2017</w:t>
      </w:r>
      <w:r w:rsidR="00B16EDF">
        <w:t>—we</w:t>
      </w:r>
      <w:r>
        <w:t xml:space="preserve"> are spending 79 hours and 30</w:t>
      </w:r>
      <w:r w:rsidR="00B16EDF">
        <w:t> </w:t>
      </w:r>
      <w:r>
        <w:t>minutes a month watching live TV, compared to 85 hours and 20 min</w:t>
      </w:r>
      <w:r w:rsidR="00B16EDF">
        <w:t>ute</w:t>
      </w:r>
      <w:r>
        <w:t xml:space="preserve">s during the </w:t>
      </w:r>
      <w:r w:rsidR="0011783C">
        <w:t xml:space="preserve">comparable period </w:t>
      </w:r>
      <w:r>
        <w:t>in 2016.</w:t>
      </w:r>
      <w:r>
        <w:rPr>
          <w:rStyle w:val="EndnoteReference"/>
        </w:rPr>
        <w:endnoteReference w:id="202"/>
      </w:r>
    </w:p>
    <w:p w14:paraId="1E01CE65" w14:textId="77777777" w:rsidR="00B76D18" w:rsidRPr="00D055AF" w:rsidRDefault="00B76D18" w:rsidP="00B76D18">
      <w:r w:rsidRPr="00D055AF">
        <w:t xml:space="preserve">There has been a gradual decline in </w:t>
      </w:r>
      <w:r>
        <w:t xml:space="preserve">audience </w:t>
      </w:r>
      <w:r w:rsidRPr="00D055AF">
        <w:t>reach of FTA television over the last six years, with 8</w:t>
      </w:r>
      <w:r>
        <w:t>2</w:t>
      </w:r>
      <w:r w:rsidRPr="00D055AF">
        <w:t xml:space="preserve"> per cent of Australian adults in the five major cities watching at least five minutes of FTA television in an average week in 2016</w:t>
      </w:r>
      <w:r w:rsidRPr="00D055AF">
        <w:rPr>
          <w:rFonts w:cs="Arial"/>
        </w:rPr>
        <w:t>–</w:t>
      </w:r>
      <w:r w:rsidRPr="00D055AF">
        <w:t>17, compared to 8</w:t>
      </w:r>
      <w:r>
        <w:t>9</w:t>
      </w:r>
      <w:r w:rsidRPr="00D055AF">
        <w:t xml:space="preserve"> per cent in 2010</w:t>
      </w:r>
      <w:r w:rsidRPr="00D055AF">
        <w:rPr>
          <w:rFonts w:cs="Arial"/>
        </w:rPr>
        <w:t>–</w:t>
      </w:r>
      <w:r w:rsidRPr="00D055AF">
        <w:t xml:space="preserve">11. Regional markets have </w:t>
      </w:r>
      <w:r>
        <w:t xml:space="preserve">also </w:t>
      </w:r>
      <w:r w:rsidRPr="00D055AF">
        <w:t>seen a decline in audience viewing</w:t>
      </w:r>
      <w:r>
        <w:t>,</w:t>
      </w:r>
      <w:r w:rsidRPr="00D055AF">
        <w:t xml:space="preserve"> </w:t>
      </w:r>
      <w:r>
        <w:t xml:space="preserve">decreasing </w:t>
      </w:r>
      <w:r w:rsidRPr="00D055AF">
        <w:t>from 87 per cent to 79 per cent (see Figure 3.6).</w:t>
      </w:r>
    </w:p>
    <w:p w14:paraId="2DAE1133" w14:textId="5B7DCCA2" w:rsidR="003C3A8A" w:rsidRPr="00D055AF" w:rsidRDefault="00B76D18" w:rsidP="00B76D18">
      <w:r>
        <w:t>Nevertheless, while there has been a slight decline in FTA viewing, FTA broadcast programs remain the most watched of any type of content</w:t>
      </w:r>
      <w:r w:rsidR="00B16EDF">
        <w:t xml:space="preserve"> (</w:t>
      </w:r>
      <w:r>
        <w:t>Figure 3.11</w:t>
      </w:r>
      <w:r w:rsidR="00B16EDF">
        <w:t>)</w:t>
      </w:r>
      <w:r>
        <w:t>.</w:t>
      </w:r>
    </w:p>
    <w:p w14:paraId="09D68FB9" w14:textId="77777777" w:rsidR="001F2D82" w:rsidRPr="00D055AF" w:rsidRDefault="001F2D82" w:rsidP="007D0C9E">
      <w:pPr>
        <w:pStyle w:val="ACMAFigureHeader"/>
        <w:keepNext/>
        <w:ind w:left="1136" w:hanging="1136"/>
      </w:pPr>
      <w:r w:rsidRPr="00D055AF">
        <w:t>Figure 3.6</w:t>
      </w:r>
      <w:r w:rsidRPr="00D055AF">
        <w:tab/>
        <w:t>FTA television viewing—average weekly cumulative reach (five minutes consecutive), five</w:t>
      </w:r>
      <w:r w:rsidR="00B16EDF">
        <w:t>-</w:t>
      </w:r>
      <w:r w:rsidRPr="00D055AF">
        <w:t xml:space="preserve">city metro and consolidated regional markets </w:t>
      </w:r>
      <w:r w:rsidR="009D4CD3">
        <w:t>(percentage)</w:t>
      </w:r>
    </w:p>
    <w:p w14:paraId="0754568C" w14:textId="77777777" w:rsidR="00B76D18" w:rsidRDefault="006A0E03" w:rsidP="00E22A4D">
      <w:pPr>
        <w:spacing w:after="120"/>
      </w:pPr>
      <w:r>
        <w:rPr>
          <w:noProof/>
        </w:rPr>
        <w:drawing>
          <wp:inline distT="0" distB="0" distL="0" distR="0" wp14:anchorId="0ABE6DD3" wp14:editId="79EF75DF">
            <wp:extent cx="6117841" cy="2490952"/>
            <wp:effectExtent l="0" t="0" r="0" b="5080"/>
            <wp:docPr id="2" name="Picture 2" descr="Data for Figure 3.6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3 - charts_Figure 3.6.png"/>
                    <pic:cNvPicPr/>
                  </pic:nvPicPr>
                  <pic:blipFill>
                    <a:blip r:embed="rId92">
                      <a:extLst>
                        <a:ext uri="{28A0092B-C50C-407E-A947-70E740481C1C}">
                          <a14:useLocalDpi xmlns:a14="http://schemas.microsoft.com/office/drawing/2010/main" val="0"/>
                        </a:ext>
                      </a:extLst>
                    </a:blip>
                    <a:stretch>
                      <a:fillRect/>
                    </a:stretch>
                  </pic:blipFill>
                  <pic:spPr>
                    <a:xfrm>
                      <a:off x="0" y="0"/>
                      <a:ext cx="6125847" cy="2494212"/>
                    </a:xfrm>
                    <a:prstGeom prst="rect">
                      <a:avLst/>
                    </a:prstGeom>
                  </pic:spPr>
                </pic:pic>
              </a:graphicData>
            </a:graphic>
          </wp:inline>
        </w:drawing>
      </w:r>
    </w:p>
    <w:p w14:paraId="4988DE06" w14:textId="77777777" w:rsidR="001F2D82" w:rsidRPr="00D055AF" w:rsidRDefault="001F2D82" w:rsidP="00574883">
      <w:pPr>
        <w:spacing w:before="240" w:after="0" w:line="240" w:lineRule="auto"/>
        <w:rPr>
          <w:rFonts w:cs="Arial"/>
          <w:i/>
          <w:sz w:val="16"/>
        </w:rPr>
      </w:pPr>
      <w:r w:rsidRPr="00EE11DD">
        <w:rPr>
          <w:rFonts w:cs="Arial"/>
          <w:i/>
          <w:sz w:val="16"/>
        </w:rPr>
        <w:t>Base: People aged 18 and over in the five mainland metropolitan markets (Sydney, Melbourne, Brisbane, Adelaid</w:t>
      </w:r>
      <w:r w:rsidRPr="00D055AF">
        <w:rPr>
          <w:rFonts w:cs="Arial"/>
          <w:i/>
          <w:sz w:val="16"/>
        </w:rPr>
        <w:t>e and Perth) for OzTAM, and for the combined regional markets (RegionalTAM).</w:t>
      </w:r>
    </w:p>
    <w:p w14:paraId="22BA699E" w14:textId="77777777" w:rsidR="001F2D82" w:rsidRPr="00D055AF" w:rsidRDefault="001F2D82" w:rsidP="001F2D82">
      <w:pPr>
        <w:spacing w:before="80" w:after="0" w:line="240" w:lineRule="auto"/>
        <w:rPr>
          <w:rFonts w:cs="Arial"/>
          <w:i/>
          <w:sz w:val="16"/>
        </w:rPr>
      </w:pPr>
      <w:r w:rsidRPr="00D055AF">
        <w:rPr>
          <w:rFonts w:cs="Arial"/>
          <w:i/>
          <w:sz w:val="16"/>
        </w:rPr>
        <w:t xml:space="preserve">Note: Definition of reach—the cumulative percentage or total (usually expressed in thousands) of a population that has been counted as viewers at least once during a specified interval. From 27 December 2015, figures are consolidated to 28 days. </w:t>
      </w:r>
    </w:p>
    <w:p w14:paraId="64729947" w14:textId="2883E440" w:rsidR="001F2D82" w:rsidRPr="00EA149D" w:rsidRDefault="001F2D82" w:rsidP="00574883">
      <w:pPr>
        <w:pStyle w:val="ACMANotesspaceafter"/>
        <w:spacing w:after="360"/>
        <w:rPr>
          <w:b/>
        </w:rPr>
      </w:pPr>
      <w:r w:rsidRPr="00D055AF">
        <w:t xml:space="preserve">Source: </w:t>
      </w:r>
      <w:r w:rsidRPr="00D055AF">
        <w:rPr>
          <w:vertAlign w:val="superscript"/>
        </w:rPr>
        <w:t>©</w:t>
      </w:r>
      <w:r w:rsidRPr="00D055AF">
        <w:t xml:space="preserve">OzTAM Pty Limited and Regional TAM Pty Limited 2017. Apart from any use permitted under the </w:t>
      </w:r>
      <w:r w:rsidRPr="00560060">
        <w:rPr>
          <w:i w:val="0"/>
        </w:rPr>
        <w:t>Copyright Act 1968</w:t>
      </w:r>
      <w:r w:rsidRPr="00D055AF">
        <w:t>, the data may not be reproduced, published or communicated (electronically or in hard copy) without the prior written consent of OzTAM and/or RegionalTAM</w:t>
      </w:r>
      <w:r w:rsidR="00B16EDF">
        <w:t>.</w:t>
      </w:r>
    </w:p>
    <w:p w14:paraId="1B6F328E" w14:textId="77777777" w:rsidR="00560060" w:rsidRPr="00560060" w:rsidRDefault="00560060" w:rsidP="00560060">
      <w:pPr>
        <w:pStyle w:val="Heading3"/>
        <w:rPr>
          <w:lang w:val="en-US"/>
        </w:rPr>
      </w:pPr>
      <w:r w:rsidRPr="00560060">
        <w:rPr>
          <w:lang w:val="en-US"/>
        </w:rPr>
        <w:t>Subscription TV</w:t>
      </w:r>
    </w:p>
    <w:p w14:paraId="13F32B6F" w14:textId="2B9364F3" w:rsidR="001F2D82" w:rsidRDefault="001F2D82" w:rsidP="001F2D82">
      <w:r w:rsidRPr="001A3C79">
        <w:t xml:space="preserve">The number of SVOD subscribers has grown rapidly since the </w:t>
      </w:r>
      <w:r>
        <w:t xml:space="preserve">first service </w:t>
      </w:r>
      <w:r w:rsidRPr="001A3C79">
        <w:t>launch</w:t>
      </w:r>
      <w:r>
        <w:t>ed</w:t>
      </w:r>
      <w:r w:rsidRPr="001A3C79">
        <w:t xml:space="preserve"> </w:t>
      </w:r>
      <w:r>
        <w:t xml:space="preserve">in </w:t>
      </w:r>
      <w:r w:rsidRPr="001A3C79">
        <w:t xml:space="preserve">Australia in 2015. </w:t>
      </w:r>
      <w:r>
        <w:t xml:space="preserve">Netflix entered </w:t>
      </w:r>
      <w:r w:rsidRPr="001A3C79">
        <w:t>the Australi</w:t>
      </w:r>
      <w:r>
        <w:t>an market in March 2015 and</w:t>
      </w:r>
      <w:r w:rsidRPr="001A3C79">
        <w:t xml:space="preserve"> quickly became the largest</w:t>
      </w:r>
      <w:r>
        <w:t xml:space="preserve"> of the SVOD services available. </w:t>
      </w:r>
    </w:p>
    <w:p w14:paraId="72D5FD7D" w14:textId="77777777" w:rsidR="001F2D82" w:rsidRDefault="001F2D82" w:rsidP="001F2D82">
      <w:pPr>
        <w:pStyle w:val="ACMASpaceaftertable"/>
      </w:pPr>
      <w:r>
        <w:t xml:space="preserve">Industry research estimated there were 3.7 million SVOD subscriptions (paid and non-paid) </w:t>
      </w:r>
      <w:r w:rsidR="00B16EDF">
        <w:t xml:space="preserve">at June 2017. </w:t>
      </w:r>
      <w:r>
        <w:t xml:space="preserve">Netflix was estimated to have 2.02 million subscribers and a 55 per cent share of the market. Stan </w:t>
      </w:r>
      <w:r w:rsidR="00B16EDF">
        <w:t>had</w:t>
      </w:r>
      <w:r>
        <w:t xml:space="preserve"> the second largest share</w:t>
      </w:r>
      <w:r w:rsidR="00B16EDF">
        <w:t>,</w:t>
      </w:r>
      <w:r>
        <w:t xml:space="preserve"> with 24 per cent and 867,000 subscribers, while other services such as Foxtel Play/Now, Optus and YouTube Red made up the remaining 21 per cent and 769,000 subscriptions.</w:t>
      </w:r>
      <w:r>
        <w:rPr>
          <w:rStyle w:val="EndnoteReference"/>
        </w:rPr>
        <w:endnoteReference w:id="203"/>
      </w:r>
    </w:p>
    <w:p w14:paraId="166A9F25" w14:textId="77777777" w:rsidR="001F2D82" w:rsidRDefault="001F2D82" w:rsidP="001F2D82">
      <w:pPr>
        <w:pStyle w:val="ACMASpaceaftertable"/>
      </w:pPr>
      <w:r>
        <w:t xml:space="preserve">Almost half of Australian households reportedly subscribed to either pay TV or SVOD services, </w:t>
      </w:r>
      <w:r w:rsidR="0006774B">
        <w:t>reaching more than 3.7 million at the end of June 2017—</w:t>
      </w:r>
      <w:r>
        <w:t>an increase from 38 per cent in 2015</w:t>
      </w:r>
      <w:r w:rsidR="004E50A8">
        <w:t>. O</w:t>
      </w:r>
      <w:r>
        <w:t xml:space="preserve">nly 11 per cent of households had both </w:t>
      </w:r>
      <w:r w:rsidR="002E63C6">
        <w:t>p</w:t>
      </w:r>
      <w:r>
        <w:t>ay TV and SVOD.</w:t>
      </w:r>
      <w:r>
        <w:rPr>
          <w:rStyle w:val="EndnoteReference"/>
        </w:rPr>
        <w:endnoteReference w:id="204"/>
      </w:r>
      <w:r>
        <w:t xml:space="preserve"> Forty-six per cent of SVOD subscribers claimed to ‘rarely’ watch FTA TV</w:t>
      </w:r>
      <w:r w:rsidR="002E63C6">
        <w:t>—</w:t>
      </w:r>
      <w:r>
        <w:t>the average subscriber watch</w:t>
      </w:r>
      <w:r w:rsidR="002E63C6">
        <w:t>ed</w:t>
      </w:r>
      <w:r>
        <w:t xml:space="preserve"> nearly 26 hours of video content a week across FTA TV, STV, SVOD, on</w:t>
      </w:r>
      <w:r w:rsidR="002E63C6">
        <w:t>-</w:t>
      </w:r>
      <w:r>
        <w:t>demand services such as catch-up and live streaming</w:t>
      </w:r>
      <w:r w:rsidR="002E63C6">
        <w:t>,</w:t>
      </w:r>
      <w:r>
        <w:t xml:space="preserve"> and other video sources</w:t>
      </w:r>
      <w:r w:rsidR="002E63C6">
        <w:t xml:space="preserve">. This </w:t>
      </w:r>
      <w:r>
        <w:t xml:space="preserve">compared to approximately 21 hours </w:t>
      </w:r>
      <w:r w:rsidR="00676EFE">
        <w:t xml:space="preserve">of </w:t>
      </w:r>
      <w:r w:rsidR="00BA05CB">
        <w:t xml:space="preserve">video content viewing across all services </w:t>
      </w:r>
      <w:r>
        <w:t>for the average Australian.</w:t>
      </w:r>
      <w:r>
        <w:rPr>
          <w:rStyle w:val="EndnoteReference"/>
        </w:rPr>
        <w:endnoteReference w:id="205"/>
      </w:r>
      <w:r>
        <w:t xml:space="preserve"> </w:t>
      </w:r>
    </w:p>
    <w:p w14:paraId="1368164D" w14:textId="3326C76D" w:rsidR="003A3838" w:rsidRDefault="00335D23" w:rsidP="003A3838">
      <w:pPr>
        <w:keepNext/>
      </w:pPr>
      <w:r>
        <w:t>Consumer survey data shows that 62</w:t>
      </w:r>
      <w:r w:rsidR="003A3838">
        <w:t xml:space="preserve"> per cent of Australians have at least one TV subscription, video subscription or pay-as-you-go service in their household. A Netflix subscription is the most common (41</w:t>
      </w:r>
      <w:r w:rsidR="002C2C93">
        <w:t> </w:t>
      </w:r>
      <w:r w:rsidR="003A3838">
        <w:t xml:space="preserve">per cent of households), followed by Foxtel </w:t>
      </w:r>
      <w:r w:rsidR="003A3838" w:rsidRPr="000F3334">
        <w:t>(Figure</w:t>
      </w:r>
      <w:r w:rsidR="003A3838">
        <w:t xml:space="preserve"> 3.</w:t>
      </w:r>
      <w:r w:rsidR="00A350A4">
        <w:t>7</w:t>
      </w:r>
      <w:r w:rsidR="003A3838" w:rsidRPr="000F3334">
        <w:t>).</w:t>
      </w:r>
    </w:p>
    <w:p w14:paraId="1B2C42DE" w14:textId="4D98B11C" w:rsidR="003A3838" w:rsidRDefault="003A3838" w:rsidP="00574883">
      <w:pPr>
        <w:pStyle w:val="ACMAFigureHeader"/>
        <w:keepNext/>
      </w:pPr>
      <w:r w:rsidRPr="000F3334">
        <w:t>Figure 3.</w:t>
      </w:r>
      <w:r w:rsidR="00A350A4">
        <w:t>7</w:t>
      </w:r>
      <w:r w:rsidRPr="001A3C79">
        <w:tab/>
      </w:r>
      <w:r>
        <w:t xml:space="preserve">Subscriptions or pay-as-you-go services </w:t>
      </w:r>
      <w:r w:rsidRPr="001A3C79">
        <w:t>(percentage)</w:t>
      </w:r>
    </w:p>
    <w:p w14:paraId="0C0E0FA6" w14:textId="77777777" w:rsidR="003A3838" w:rsidRDefault="003A3838" w:rsidP="003A3838">
      <w:pPr>
        <w:spacing w:after="120"/>
      </w:pPr>
      <w:r>
        <w:rPr>
          <w:noProof/>
        </w:rPr>
        <w:drawing>
          <wp:inline distT="0" distB="0" distL="0" distR="0" wp14:anchorId="696ACA9A" wp14:editId="1EE551B5">
            <wp:extent cx="6129965" cy="3728434"/>
            <wp:effectExtent l="0" t="0" r="4445" b="5715"/>
            <wp:docPr id="34" name="Picture 34" descr="Data for Figure 3.7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H3 - charts_Figure 3.8.png"/>
                    <pic:cNvPicPr/>
                  </pic:nvPicPr>
                  <pic:blipFill rotWithShape="1">
                    <a:blip r:embed="rId93">
                      <a:extLst>
                        <a:ext uri="{28A0092B-C50C-407E-A947-70E740481C1C}">
                          <a14:useLocalDpi xmlns:a14="http://schemas.microsoft.com/office/drawing/2010/main" val="0"/>
                        </a:ext>
                      </a:extLst>
                    </a:blip>
                    <a:srcRect/>
                    <a:stretch/>
                  </pic:blipFill>
                  <pic:spPr bwMode="auto">
                    <a:xfrm>
                      <a:off x="0" y="0"/>
                      <a:ext cx="6133765" cy="3730745"/>
                    </a:xfrm>
                    <a:prstGeom prst="rect">
                      <a:avLst/>
                    </a:prstGeom>
                    <a:ln>
                      <a:noFill/>
                    </a:ln>
                    <a:extLst>
                      <a:ext uri="{53640926-AAD7-44D8-BBD7-CCE9431645EC}">
                        <a14:shadowObscured xmlns:a14="http://schemas.microsoft.com/office/drawing/2010/main"/>
                      </a:ext>
                    </a:extLst>
                  </pic:spPr>
                </pic:pic>
              </a:graphicData>
            </a:graphic>
          </wp:inline>
        </w:drawing>
      </w:r>
    </w:p>
    <w:p w14:paraId="127B1458" w14:textId="77777777" w:rsidR="003A3838" w:rsidRPr="001B7CA2" w:rsidRDefault="003A3838" w:rsidP="00DD1035">
      <w:pPr>
        <w:pStyle w:val="ACMANotes"/>
        <w:spacing w:before="240"/>
      </w:pPr>
      <w:r w:rsidRPr="00022501">
        <w:t>Base: Australians aged 18 who have a television set in the home (n</w:t>
      </w:r>
      <w:r w:rsidRPr="009A6013">
        <w:t xml:space="preserve">=2,193). </w:t>
      </w:r>
    </w:p>
    <w:p w14:paraId="16C840EC" w14:textId="77777777" w:rsidR="003A3838" w:rsidRPr="00956811" w:rsidRDefault="003A3838" w:rsidP="00DD1035">
      <w:pPr>
        <w:pStyle w:val="ACMANotesspaceafter"/>
        <w:spacing w:after="360"/>
      </w:pPr>
      <w:r w:rsidRPr="00022501">
        <w:t>Source: ACMA-commissioned survey, June 2017.</w:t>
      </w:r>
    </w:p>
    <w:p w14:paraId="1B6F661E" w14:textId="77777777" w:rsidR="003A3838" w:rsidRDefault="003A3838" w:rsidP="003A3838">
      <w:bookmarkStart w:id="1087" w:name="_Toc494799431"/>
      <w:bookmarkStart w:id="1088" w:name="_Toc494805734"/>
      <w:bookmarkStart w:id="1089" w:name="_Toc494805965"/>
      <w:bookmarkStart w:id="1090" w:name="_Toc494808195"/>
      <w:bookmarkStart w:id="1091" w:name="_Toc494808849"/>
      <w:bookmarkStart w:id="1092" w:name="_Toc494816032"/>
      <w:bookmarkStart w:id="1093" w:name="_Toc494818863"/>
      <w:bookmarkStart w:id="1094" w:name="_Toc494819128"/>
      <w:r w:rsidRPr="00956811">
        <w:t>Foxtel</w:t>
      </w:r>
      <w:r>
        <w:t>’s</w:t>
      </w:r>
      <w:r w:rsidRPr="00956811">
        <w:t xml:space="preserve"> subscriber numbers decreased from 2.83 million in </w:t>
      </w:r>
      <w:r>
        <w:t>2015–</w:t>
      </w:r>
      <w:r w:rsidRPr="00956811">
        <w:t xml:space="preserve">16 to 2.77 million in </w:t>
      </w:r>
      <w:r>
        <w:t>2016–</w:t>
      </w:r>
      <w:r w:rsidRPr="00956811">
        <w:t xml:space="preserve">17, a </w:t>
      </w:r>
      <w:r>
        <w:t>fall</w:t>
      </w:r>
      <w:r w:rsidRPr="00956811">
        <w:t xml:space="preserve"> of 1.8 per cent.</w:t>
      </w:r>
      <w:r w:rsidRPr="00956811">
        <w:rPr>
          <w:rStyle w:val="EndnoteReference"/>
        </w:rPr>
        <w:endnoteReference w:id="206"/>
      </w:r>
    </w:p>
    <w:p w14:paraId="633795C4" w14:textId="77777777" w:rsidR="001F2D82" w:rsidRDefault="001F2D82" w:rsidP="001F2D82">
      <w:pPr>
        <w:pStyle w:val="Heading3"/>
      </w:pPr>
      <w:r>
        <w:t xml:space="preserve">Online </w:t>
      </w:r>
      <w:r w:rsidR="00FC1615">
        <w:t>s</w:t>
      </w:r>
      <w:r>
        <w:t>treaming</w:t>
      </w:r>
      <w:bookmarkEnd w:id="1087"/>
      <w:bookmarkEnd w:id="1088"/>
      <w:bookmarkEnd w:id="1089"/>
      <w:bookmarkEnd w:id="1090"/>
      <w:bookmarkEnd w:id="1091"/>
      <w:bookmarkEnd w:id="1092"/>
      <w:bookmarkEnd w:id="1093"/>
      <w:bookmarkEnd w:id="1094"/>
    </w:p>
    <w:p w14:paraId="66796A3A" w14:textId="77777777" w:rsidR="001F2D82" w:rsidRDefault="001F2D82" w:rsidP="002C2C93">
      <w:pPr>
        <w:pStyle w:val="ACMASpaceaftertable"/>
        <w:keepNext/>
        <w:keepLines/>
      </w:pPr>
      <w:r>
        <w:t>In the four months to August 2017, there was a 25 per cent increase in streaming television as more Australians use online catch-up and live viewing services to watch broadcast TV. Over this period, 6.9</w:t>
      </w:r>
      <w:r w:rsidR="00C4686E">
        <w:t> </w:t>
      </w:r>
      <w:r>
        <w:t xml:space="preserve">million Australians watched 1.5 billion minutes of catch-up and live streaming, </w:t>
      </w:r>
      <w:r w:rsidR="00C4686E">
        <w:t xml:space="preserve">and </w:t>
      </w:r>
      <w:r>
        <w:t>5.8 million Australians watched free video on demand (FVOD)</w:t>
      </w:r>
      <w:r w:rsidR="00975E07">
        <w:t>,</w:t>
      </w:r>
      <w:r>
        <w:t xml:space="preserve"> compared to 4.3 million watching SVOD.</w:t>
      </w:r>
      <w:r>
        <w:rPr>
          <w:rStyle w:val="EndnoteReference"/>
        </w:rPr>
        <w:endnoteReference w:id="207"/>
      </w:r>
    </w:p>
    <w:p w14:paraId="5AED0DBB" w14:textId="77777777" w:rsidR="001F2D82" w:rsidRDefault="001F2D82" w:rsidP="001F2D82">
      <w:pPr>
        <w:pStyle w:val="ACMASpaceaftertable"/>
      </w:pPr>
      <w:r w:rsidRPr="005265AD">
        <w:t>Younger Australians aged 18</w:t>
      </w:r>
      <w:r>
        <w:t>–</w:t>
      </w:r>
      <w:r w:rsidRPr="005265AD">
        <w:t xml:space="preserve">24 are the </w:t>
      </w:r>
      <w:r w:rsidR="00975E07">
        <w:t>most</w:t>
      </w:r>
      <w:r w:rsidR="00975E07" w:rsidRPr="005265AD">
        <w:t xml:space="preserve"> </w:t>
      </w:r>
      <w:r w:rsidRPr="005265AD">
        <w:t>engage</w:t>
      </w:r>
      <w:r w:rsidR="00975E07">
        <w:t>d with</w:t>
      </w:r>
      <w:r w:rsidRPr="005265AD">
        <w:t xml:space="preserve"> video content online</w:t>
      </w:r>
      <w:r w:rsidR="00975E07">
        <w:t>,</w:t>
      </w:r>
      <w:r w:rsidRPr="005265AD">
        <w:t xml:space="preserve"> spending more than 22</w:t>
      </w:r>
      <w:r w:rsidR="00975E07">
        <w:t> </w:t>
      </w:r>
      <w:r w:rsidRPr="005265AD">
        <w:t>hours per month watching video via desktop or laptop</w:t>
      </w:r>
      <w:r w:rsidR="00F3158F">
        <w:t>,</w:t>
      </w:r>
      <w:r w:rsidRPr="005265AD">
        <w:t xml:space="preserve"> and more than nine hours a month watching video via a smartphone.</w:t>
      </w:r>
      <w:r w:rsidRPr="005265AD">
        <w:rPr>
          <w:rStyle w:val="EndnoteReference"/>
        </w:rPr>
        <w:endnoteReference w:id="208"/>
      </w:r>
    </w:p>
    <w:p w14:paraId="5334B6E5" w14:textId="77777777" w:rsidR="001F2D82" w:rsidRPr="00FB6FC9" w:rsidRDefault="001F2D82" w:rsidP="001F2D82">
      <w:pPr>
        <w:pStyle w:val="Heading3"/>
        <w:rPr>
          <w:b w:val="0"/>
        </w:rPr>
      </w:pPr>
      <w:bookmarkStart w:id="1095" w:name="_Toc494799432"/>
      <w:bookmarkStart w:id="1096" w:name="_Toc494805735"/>
      <w:bookmarkStart w:id="1097" w:name="_Toc494805966"/>
      <w:bookmarkStart w:id="1098" w:name="_Toc494808196"/>
      <w:bookmarkStart w:id="1099" w:name="_Toc494808850"/>
      <w:bookmarkStart w:id="1100" w:name="_Toc494816033"/>
      <w:bookmarkStart w:id="1101" w:name="_Toc494818864"/>
      <w:bookmarkStart w:id="1102" w:name="_Toc494819129"/>
      <w:r w:rsidRPr="00FB6FC9">
        <w:t>Online video traffic</w:t>
      </w:r>
      <w:bookmarkEnd w:id="1095"/>
      <w:bookmarkEnd w:id="1096"/>
      <w:bookmarkEnd w:id="1097"/>
      <w:bookmarkEnd w:id="1098"/>
      <w:bookmarkEnd w:id="1099"/>
      <w:bookmarkEnd w:id="1100"/>
      <w:bookmarkEnd w:id="1101"/>
      <w:bookmarkEnd w:id="1102"/>
    </w:p>
    <w:p w14:paraId="2859419D" w14:textId="77777777" w:rsidR="001F2D82" w:rsidRDefault="001F2D82" w:rsidP="001F2D82">
      <w:r>
        <w:t xml:space="preserve">Australia’s </w:t>
      </w:r>
      <w:r w:rsidRPr="009F60A3">
        <w:t>internet protocol (IP) traffic</w:t>
      </w:r>
      <w:r>
        <w:t xml:space="preserve"> reached 1.0 </w:t>
      </w:r>
      <w:r w:rsidR="00146623">
        <w:t>e</w:t>
      </w:r>
      <w:r>
        <w:t xml:space="preserve">xabytes per month, up from 697 petabytes in 2015, with </w:t>
      </w:r>
      <w:r w:rsidRPr="009F60A3">
        <w:t>video traffic</w:t>
      </w:r>
      <w:r>
        <w:t xml:space="preserve"> accounting for 72 per cent of all IP traffic in 2016, up from 68 per cent in 2015. In 2016, 11 billion minutes of video content crossed the internet each month and </w:t>
      </w:r>
      <w:r w:rsidR="0023686D">
        <w:t xml:space="preserve">this is forecast </w:t>
      </w:r>
      <w:r>
        <w:t>to rise to 12 billion minutes by 2021.</w:t>
      </w:r>
      <w:r>
        <w:rPr>
          <w:rStyle w:val="EndnoteReference"/>
        </w:rPr>
        <w:endnoteReference w:id="209"/>
      </w:r>
      <w:r>
        <w:t xml:space="preserve"> </w:t>
      </w:r>
    </w:p>
    <w:p w14:paraId="0336F663" w14:textId="57032A47" w:rsidR="001F2D82" w:rsidRPr="000445FE" w:rsidRDefault="001F2D82" w:rsidP="001F2D82">
      <w:r>
        <w:t xml:space="preserve">Globally, IP traffic grew 29 per cent in </w:t>
      </w:r>
      <w:r w:rsidR="00B82A2C">
        <w:t xml:space="preserve">2016, </w:t>
      </w:r>
      <w:r>
        <w:t>reach</w:t>
      </w:r>
      <w:r w:rsidR="00B82A2C">
        <w:t>ing</w:t>
      </w:r>
      <w:r>
        <w:t xml:space="preserve"> 96.1</w:t>
      </w:r>
      <w:r w:rsidR="00095C15">
        <w:t xml:space="preserve"> e</w:t>
      </w:r>
      <w:r>
        <w:t>xabytes per month, an increase from 74.3</w:t>
      </w:r>
      <w:r w:rsidR="00B82A2C">
        <w:t> </w:t>
      </w:r>
      <w:r w:rsidR="00095C15">
        <w:t>e</w:t>
      </w:r>
      <w:r>
        <w:t>xabytes per month in 2015</w:t>
      </w:r>
      <w:r w:rsidR="00B82A2C">
        <w:t>. It</w:t>
      </w:r>
      <w:r w:rsidR="00095C15">
        <w:t xml:space="preserve"> is predicted to reach 378.1 e</w:t>
      </w:r>
      <w:r>
        <w:t>xabytes per month in 2021.</w:t>
      </w:r>
      <w:r>
        <w:rPr>
          <w:rStyle w:val="EndnoteReference"/>
        </w:rPr>
        <w:endnoteReference w:id="210"/>
      </w:r>
    </w:p>
    <w:p w14:paraId="6E96D8FA" w14:textId="77777777" w:rsidR="001F2D82" w:rsidRPr="00471B60" w:rsidRDefault="001F2D82" w:rsidP="001F2D82">
      <w:pPr>
        <w:pStyle w:val="Heading3"/>
      </w:pPr>
      <w:bookmarkStart w:id="1103" w:name="_Toc494799433"/>
      <w:bookmarkStart w:id="1104" w:name="_Toc494805736"/>
      <w:bookmarkStart w:id="1105" w:name="_Toc494805967"/>
      <w:bookmarkStart w:id="1106" w:name="_Toc494808197"/>
      <w:bookmarkStart w:id="1107" w:name="_Toc494808851"/>
      <w:bookmarkStart w:id="1108" w:name="_Toc494816034"/>
      <w:bookmarkStart w:id="1109" w:name="_Toc494818865"/>
      <w:bookmarkStart w:id="1110" w:name="_Toc494819130"/>
      <w:r w:rsidRPr="00471B60">
        <w:t>Devices and services used to access video content</w:t>
      </w:r>
      <w:bookmarkEnd w:id="1103"/>
      <w:bookmarkEnd w:id="1104"/>
      <w:bookmarkEnd w:id="1105"/>
      <w:bookmarkEnd w:id="1106"/>
      <w:bookmarkEnd w:id="1107"/>
      <w:bookmarkEnd w:id="1108"/>
      <w:bookmarkEnd w:id="1109"/>
      <w:bookmarkEnd w:id="1110"/>
    </w:p>
    <w:p w14:paraId="2C0EE4B0" w14:textId="77777777" w:rsidR="001F2D82" w:rsidRDefault="001F2D82" w:rsidP="001F2D82">
      <w:r w:rsidRPr="00471B60">
        <w:t xml:space="preserve">The </w:t>
      </w:r>
      <w:r>
        <w:t>growth</w:t>
      </w:r>
      <w:r w:rsidRPr="00471B60">
        <w:t xml:space="preserve"> </w:t>
      </w:r>
      <w:r>
        <w:t xml:space="preserve">in </w:t>
      </w:r>
      <w:r w:rsidRPr="00471B60">
        <w:t>online video content and access to SVOD services has seen a rise in the number of devices used to access the internet. However, despite the wide range of devices able to display broadcast and online content, the television set remains the most popular way of watching video content.</w:t>
      </w:r>
      <w:r w:rsidRPr="001A3C79">
        <w:t xml:space="preserve"> </w:t>
      </w:r>
    </w:p>
    <w:p w14:paraId="5267F3B3" w14:textId="77777777" w:rsidR="001F2D82" w:rsidRPr="005265AD" w:rsidRDefault="001F2D82" w:rsidP="001F2D82">
      <w:pPr>
        <w:rPr>
          <w:highlight w:val="yellow"/>
        </w:rPr>
      </w:pPr>
      <w:r>
        <w:t xml:space="preserve">In the first quarter of 2017, </w:t>
      </w:r>
      <w:r w:rsidRPr="005265AD">
        <w:t>19.9 million Australians (84</w:t>
      </w:r>
      <w:r>
        <w:t xml:space="preserve"> per cent</w:t>
      </w:r>
      <w:r w:rsidRPr="005265AD">
        <w:t xml:space="preserve"> of the population in people</w:t>
      </w:r>
      <w:r w:rsidR="00B82A2C">
        <w:t>-</w:t>
      </w:r>
      <w:r w:rsidRPr="005265AD">
        <w:t>metered markets) watched some broadcast TV (</w:t>
      </w:r>
      <w:r w:rsidR="00B82A2C">
        <w:t>FTA</w:t>
      </w:r>
      <w:r w:rsidRPr="005265AD">
        <w:t xml:space="preserve"> and subscription channels) on in-home TV sets each week.</w:t>
      </w:r>
      <w:r>
        <w:t xml:space="preserve"> </w:t>
      </w:r>
      <w:r w:rsidRPr="005265AD">
        <w:t xml:space="preserve">More than two-thirds of homes </w:t>
      </w:r>
      <w:r>
        <w:t>had</w:t>
      </w:r>
      <w:r w:rsidRPr="005265AD">
        <w:t xml:space="preserve"> internet-capable TVs, half had at least one tablet and eight</w:t>
      </w:r>
      <w:r w:rsidR="00B82A2C">
        <w:t xml:space="preserve"> </w:t>
      </w:r>
      <w:r w:rsidRPr="005265AD">
        <w:t>in</w:t>
      </w:r>
      <w:r w:rsidR="00B82A2C">
        <w:t xml:space="preserve"> 10</w:t>
      </w:r>
      <w:r w:rsidRPr="005265AD">
        <w:t xml:space="preserve"> ha</w:t>
      </w:r>
      <w:r w:rsidR="00B82A2C">
        <w:t>d</w:t>
      </w:r>
      <w:r w:rsidRPr="005265AD">
        <w:t xml:space="preserve"> one or more </w:t>
      </w:r>
      <w:r w:rsidRPr="00FB6FC9">
        <w:t>smartphones</w:t>
      </w:r>
      <w:r w:rsidRPr="005265AD">
        <w:t>.</w:t>
      </w:r>
      <w:r w:rsidRPr="005265AD">
        <w:rPr>
          <w:rStyle w:val="EndnoteReference"/>
        </w:rPr>
        <w:endnoteReference w:id="211"/>
      </w:r>
    </w:p>
    <w:p w14:paraId="78FD09F8" w14:textId="064B12E0" w:rsidR="001F2D82" w:rsidRDefault="001F2D82" w:rsidP="00DD1035">
      <w:r>
        <w:t xml:space="preserve">Fifty-six per cent of Australians who have a </w:t>
      </w:r>
      <w:r w:rsidR="00B82A2C">
        <w:t xml:space="preserve">TV </w:t>
      </w:r>
      <w:r>
        <w:t xml:space="preserve">set in the home used a device or service to stream video content to </w:t>
      </w:r>
      <w:r w:rsidR="007D0C9E">
        <w:t>their</w:t>
      </w:r>
      <w:r>
        <w:t xml:space="preserve"> </w:t>
      </w:r>
      <w:r w:rsidR="00B82A2C">
        <w:t>TV</w:t>
      </w:r>
      <w:r>
        <w:t xml:space="preserve">. While smart TVs are the most commonly used device </w:t>
      </w:r>
      <w:r w:rsidR="00B82A2C">
        <w:t>for this purpose</w:t>
      </w:r>
      <w:r>
        <w:t xml:space="preserve">, 39 per cent of Australians aged 18 and over do not have a device or service available to stream video to their television </w:t>
      </w:r>
      <w:r w:rsidRPr="000F3334">
        <w:t>set (Figure 3.</w:t>
      </w:r>
      <w:r w:rsidR="00A350A4">
        <w:t>8</w:t>
      </w:r>
      <w:r w:rsidRPr="000F3334">
        <w:t>).</w:t>
      </w:r>
    </w:p>
    <w:p w14:paraId="1E74572C" w14:textId="7398196A" w:rsidR="001F2D82" w:rsidRDefault="001F2D82" w:rsidP="00DD1035">
      <w:pPr>
        <w:pStyle w:val="ACMAFigureHeader"/>
        <w:keepNext/>
      </w:pPr>
      <w:r w:rsidRPr="000F3334">
        <w:t>Figure 3.</w:t>
      </w:r>
      <w:r w:rsidR="00A350A4">
        <w:t>8</w:t>
      </w:r>
      <w:r w:rsidRPr="001A3C79">
        <w:tab/>
        <w:t>Devices</w:t>
      </w:r>
      <w:r>
        <w:t xml:space="preserve"> or services</w:t>
      </w:r>
      <w:r w:rsidRPr="001A3C79">
        <w:t xml:space="preserve"> used for </w:t>
      </w:r>
      <w:r>
        <w:t xml:space="preserve">streaming video to television </w:t>
      </w:r>
      <w:r w:rsidRPr="001A3C79">
        <w:t>(percentage)</w:t>
      </w:r>
    </w:p>
    <w:p w14:paraId="7040F1FF" w14:textId="77777777" w:rsidR="001F2D82" w:rsidRDefault="000F61FE" w:rsidP="001662A3">
      <w:pPr>
        <w:spacing w:after="120"/>
      </w:pPr>
      <w:r>
        <w:rPr>
          <w:noProof/>
        </w:rPr>
        <w:drawing>
          <wp:inline distT="0" distB="0" distL="0" distR="0" wp14:anchorId="242BE0F6" wp14:editId="46E6C096">
            <wp:extent cx="6295696" cy="3876345"/>
            <wp:effectExtent l="0" t="0" r="0" b="0"/>
            <wp:docPr id="58" name="Picture 58" descr="Data for Figure 3.8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H3 - charts_Figure 3.7.png"/>
                    <pic:cNvPicPr/>
                  </pic:nvPicPr>
                  <pic:blipFill rotWithShape="1">
                    <a:blip r:embed="rId94">
                      <a:extLst>
                        <a:ext uri="{28A0092B-C50C-407E-A947-70E740481C1C}">
                          <a14:useLocalDpi xmlns:a14="http://schemas.microsoft.com/office/drawing/2010/main" val="0"/>
                        </a:ext>
                      </a:extLst>
                    </a:blip>
                    <a:srcRect/>
                    <a:stretch/>
                  </pic:blipFill>
                  <pic:spPr bwMode="auto">
                    <a:xfrm>
                      <a:off x="0" y="0"/>
                      <a:ext cx="6301816" cy="3880113"/>
                    </a:xfrm>
                    <a:prstGeom prst="rect">
                      <a:avLst/>
                    </a:prstGeom>
                    <a:ln>
                      <a:noFill/>
                    </a:ln>
                    <a:extLst>
                      <a:ext uri="{53640926-AAD7-44D8-BBD7-CCE9431645EC}">
                        <a14:shadowObscured xmlns:a14="http://schemas.microsoft.com/office/drawing/2010/main"/>
                      </a:ext>
                    </a:extLst>
                  </pic:spPr>
                </pic:pic>
              </a:graphicData>
            </a:graphic>
          </wp:inline>
        </w:drawing>
      </w:r>
    </w:p>
    <w:p w14:paraId="0690BAA0" w14:textId="77777777" w:rsidR="008E5BD2" w:rsidRPr="00FB6FC9" w:rsidRDefault="008E5BD2" w:rsidP="00DD1035">
      <w:pPr>
        <w:pStyle w:val="ACMANotes"/>
        <w:spacing w:before="240"/>
      </w:pPr>
      <w:r w:rsidRPr="00FB6FC9">
        <w:t xml:space="preserve">Base: Australians aged 18 who have a television set in the </w:t>
      </w:r>
      <w:r w:rsidRPr="00760BF8">
        <w:t>home</w:t>
      </w:r>
      <w:r w:rsidRPr="00FB6FC9">
        <w:t xml:space="preserve"> (n=2,193). </w:t>
      </w:r>
    </w:p>
    <w:p w14:paraId="656DE563" w14:textId="599B3DDF" w:rsidR="00FD528E" w:rsidRDefault="008E5BD2" w:rsidP="00DD1035">
      <w:pPr>
        <w:pStyle w:val="ACMANotes"/>
        <w:spacing w:after="360"/>
      </w:pPr>
      <w:r w:rsidRPr="00831377">
        <w:t>Source: ACMA-commissioned survey, June 2017.</w:t>
      </w:r>
    </w:p>
    <w:p w14:paraId="44060405" w14:textId="77777777" w:rsidR="008E5BD2" w:rsidRPr="001A3C79" w:rsidRDefault="008E5BD2" w:rsidP="00DD1035">
      <w:r w:rsidRPr="001A3C79">
        <w:t>Figure 3.</w:t>
      </w:r>
      <w:r>
        <w:t>9</w:t>
      </w:r>
      <w:r w:rsidRPr="001A3C79">
        <w:t xml:space="preserve"> shows that a </w:t>
      </w:r>
      <w:r w:rsidR="00FD528E">
        <w:t>TV</w:t>
      </w:r>
      <w:r w:rsidR="00FD528E" w:rsidRPr="001A3C79">
        <w:t xml:space="preserve"> </w:t>
      </w:r>
      <w:r w:rsidRPr="001A3C79">
        <w:t>set remains the main way to watch video content—even online content—although free video content (such as YouTube) is more likely to be watched on computers or mobile devices.</w:t>
      </w:r>
    </w:p>
    <w:p w14:paraId="35D513BA" w14:textId="77777777" w:rsidR="008E5BD2" w:rsidRDefault="008E5BD2" w:rsidP="00DD1035">
      <w:pPr>
        <w:pStyle w:val="ACMAFigureHeader"/>
        <w:keepNext/>
      </w:pPr>
      <w:r>
        <w:t>Figure 3.9</w:t>
      </w:r>
      <w:r w:rsidRPr="001A3C79">
        <w:tab/>
        <w:t>Devices used for viewing different types of content (percentage)</w:t>
      </w:r>
    </w:p>
    <w:p w14:paraId="4A628D3A" w14:textId="77777777" w:rsidR="008E5BD2" w:rsidRDefault="00292159" w:rsidP="00DD1035">
      <w:pPr>
        <w:spacing w:after="120"/>
      </w:pPr>
      <w:r>
        <w:rPr>
          <w:noProof/>
        </w:rPr>
        <w:drawing>
          <wp:inline distT="0" distB="0" distL="0" distR="0" wp14:anchorId="778949CF" wp14:editId="31F2E8F8">
            <wp:extent cx="5923489" cy="4372377"/>
            <wp:effectExtent l="0" t="0" r="1270" b="9525"/>
            <wp:docPr id="63" name="Picture 63" descr="Data for Figure 3.9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CH3 - charts_Figure 3.9.png"/>
                    <pic:cNvPicPr/>
                  </pic:nvPicPr>
                  <pic:blipFill rotWithShape="1">
                    <a:blip r:embed="rId95">
                      <a:extLst>
                        <a:ext uri="{28A0092B-C50C-407E-A947-70E740481C1C}">
                          <a14:useLocalDpi xmlns:a14="http://schemas.microsoft.com/office/drawing/2010/main" val="0"/>
                        </a:ext>
                      </a:extLst>
                    </a:blip>
                    <a:srcRect/>
                    <a:stretch/>
                  </pic:blipFill>
                  <pic:spPr bwMode="auto">
                    <a:xfrm>
                      <a:off x="0" y="0"/>
                      <a:ext cx="5935438" cy="4381197"/>
                    </a:xfrm>
                    <a:prstGeom prst="rect">
                      <a:avLst/>
                    </a:prstGeom>
                    <a:ln>
                      <a:noFill/>
                    </a:ln>
                    <a:extLst>
                      <a:ext uri="{53640926-AAD7-44D8-BBD7-CCE9431645EC}">
                        <a14:shadowObscured xmlns:a14="http://schemas.microsoft.com/office/drawing/2010/main"/>
                      </a:ext>
                    </a:extLst>
                  </pic:spPr>
                </pic:pic>
              </a:graphicData>
            </a:graphic>
          </wp:inline>
        </w:drawing>
      </w:r>
    </w:p>
    <w:p w14:paraId="41D0CEED" w14:textId="77777777" w:rsidR="008E5BD2" w:rsidRPr="008556B1" w:rsidRDefault="008E5BD2" w:rsidP="00DD1035">
      <w:pPr>
        <w:pStyle w:val="ACMANotes"/>
        <w:spacing w:before="240"/>
      </w:pPr>
      <w:r w:rsidRPr="008556B1">
        <w:t>Base: Australians aged 18 and over who watched: Recorded Foxtel or free-to-air TV (n=706)</w:t>
      </w:r>
      <w:r>
        <w:t xml:space="preserve">, </w:t>
      </w:r>
      <w:r w:rsidRPr="008556B1">
        <w:t xml:space="preserve">Free-to-air live (n=1,659), Foxtel live (n=523), Catch-up TV for free-to-air programs (n=464), Other free online video content (n=315), Video content via an online subscription service (n=599). </w:t>
      </w:r>
    </w:p>
    <w:p w14:paraId="029F204F" w14:textId="77777777" w:rsidR="008E5BD2" w:rsidRPr="008556B1" w:rsidRDefault="008E5BD2" w:rsidP="00DD1035">
      <w:pPr>
        <w:pStyle w:val="ACMANotes"/>
      </w:pPr>
      <w:r w:rsidRPr="008556B1">
        <w:t xml:space="preserve">Note: Data includes multiple responses. ‘Other free online video content’ excludes user-generated content. </w:t>
      </w:r>
    </w:p>
    <w:p w14:paraId="2DA731BF" w14:textId="77777777" w:rsidR="00FD528E" w:rsidRDefault="008E5BD2" w:rsidP="00DD1035">
      <w:pPr>
        <w:pStyle w:val="ACMANotes"/>
        <w:spacing w:after="360"/>
      </w:pPr>
      <w:r w:rsidRPr="008556B1">
        <w:t>Source: ACMA-commissioned survey, June 2017.</w:t>
      </w:r>
    </w:p>
    <w:p w14:paraId="022C24F7" w14:textId="77777777" w:rsidR="008E5BD2" w:rsidRDefault="008E5BD2" w:rsidP="005F4A6F">
      <w:pPr>
        <w:pStyle w:val="Heading3"/>
        <w:keepNext w:val="0"/>
      </w:pPr>
      <w:r>
        <w:t xml:space="preserve">Barriers </w:t>
      </w:r>
      <w:r w:rsidR="009954F5">
        <w:t xml:space="preserve">to </w:t>
      </w:r>
      <w:r>
        <w:t>accessing online video content</w:t>
      </w:r>
    </w:p>
    <w:p w14:paraId="7292C12A" w14:textId="77777777" w:rsidR="008E5BD2" w:rsidRDefault="008E5BD2" w:rsidP="005F4A6F">
      <w:r>
        <w:t xml:space="preserve">Twenty-five per cent of Australians reported having no barrier </w:t>
      </w:r>
      <w:r w:rsidR="009954F5">
        <w:t xml:space="preserve">to </w:t>
      </w:r>
      <w:r>
        <w:t xml:space="preserve">accessing online content, while the main obstacle reported </w:t>
      </w:r>
      <w:r w:rsidR="009954F5">
        <w:t xml:space="preserve">(33 per cent) </w:t>
      </w:r>
      <w:r>
        <w:t xml:space="preserve">was an unwillingness to pay extra for an online content </w:t>
      </w:r>
      <w:r w:rsidR="009954F5">
        <w:t xml:space="preserve">subscription </w:t>
      </w:r>
      <w:r>
        <w:t>(Figure 3.10).</w:t>
      </w:r>
    </w:p>
    <w:p w14:paraId="03095343" w14:textId="77777777" w:rsidR="00292159" w:rsidRDefault="00292159" w:rsidP="005F4A6F">
      <w:pPr>
        <w:pStyle w:val="ACMAFigureHeader"/>
        <w:keepNext/>
      </w:pPr>
      <w:r>
        <w:t>Figure 3.10</w:t>
      </w:r>
      <w:r w:rsidRPr="001A3C79">
        <w:tab/>
      </w:r>
      <w:r>
        <w:t>Barriers in accessing online video content</w:t>
      </w:r>
      <w:r w:rsidRPr="001A3C79">
        <w:t xml:space="preserve"> (percentage)</w:t>
      </w:r>
    </w:p>
    <w:p w14:paraId="17CBE438" w14:textId="77777777" w:rsidR="008E5BD2" w:rsidRDefault="008E5BD2" w:rsidP="00F75636">
      <w:pPr>
        <w:spacing w:after="120"/>
      </w:pPr>
      <w:r>
        <w:rPr>
          <w:noProof/>
        </w:rPr>
        <w:drawing>
          <wp:inline distT="0" distB="0" distL="0" distR="0" wp14:anchorId="2BF54C4B" wp14:editId="6CA5913F">
            <wp:extent cx="6485219" cy="3909849"/>
            <wp:effectExtent l="0" t="0" r="0" b="0"/>
            <wp:docPr id="41" name="Picture 41" descr="Data for Figure 3.10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CR16-17_Figure 3.10.png"/>
                    <pic:cNvPicPr/>
                  </pic:nvPicPr>
                  <pic:blipFill rotWithShape="1">
                    <a:blip r:embed="rId96">
                      <a:extLst>
                        <a:ext uri="{28A0092B-C50C-407E-A947-70E740481C1C}">
                          <a14:useLocalDpi xmlns:a14="http://schemas.microsoft.com/office/drawing/2010/main" val="0"/>
                        </a:ext>
                      </a:extLst>
                    </a:blip>
                    <a:srcRect/>
                    <a:stretch/>
                  </pic:blipFill>
                  <pic:spPr bwMode="auto">
                    <a:xfrm>
                      <a:off x="0" y="0"/>
                      <a:ext cx="6490564" cy="3913072"/>
                    </a:xfrm>
                    <a:prstGeom prst="rect">
                      <a:avLst/>
                    </a:prstGeom>
                    <a:ln>
                      <a:noFill/>
                    </a:ln>
                    <a:extLst>
                      <a:ext uri="{53640926-AAD7-44D8-BBD7-CCE9431645EC}">
                        <a14:shadowObscured xmlns:a14="http://schemas.microsoft.com/office/drawing/2010/main"/>
                      </a:ext>
                    </a:extLst>
                  </pic:spPr>
                </pic:pic>
              </a:graphicData>
            </a:graphic>
          </wp:inline>
        </w:drawing>
      </w:r>
    </w:p>
    <w:p w14:paraId="03FEF8A3" w14:textId="77777777" w:rsidR="008E5BD2" w:rsidRDefault="008E5BD2" w:rsidP="00DD1035">
      <w:pPr>
        <w:pStyle w:val="ACMANotes"/>
        <w:spacing w:before="240"/>
      </w:pPr>
      <w:r>
        <w:t xml:space="preserve">Base: Australians aged 18 and over (n=2,277). </w:t>
      </w:r>
    </w:p>
    <w:p w14:paraId="679549D9" w14:textId="77777777" w:rsidR="008E5BD2" w:rsidRDefault="008E5BD2" w:rsidP="00DD1035">
      <w:pPr>
        <w:pStyle w:val="ACMANotesspaceafter"/>
        <w:spacing w:after="360"/>
      </w:pPr>
      <w:r>
        <w:t>Source: ACMA-commissioned survey, June 2017.</w:t>
      </w:r>
    </w:p>
    <w:p w14:paraId="653EF25B" w14:textId="77777777" w:rsidR="0046604C" w:rsidRPr="001A3C79" w:rsidRDefault="0046604C" w:rsidP="005F4A6F">
      <w:pPr>
        <w:pStyle w:val="Heading2"/>
        <w:keepNext w:val="0"/>
        <w:numPr>
          <w:ilvl w:val="1"/>
          <w:numId w:val="18"/>
        </w:numPr>
      </w:pPr>
      <w:bookmarkStart w:id="1111" w:name="_Toc463529104"/>
      <w:bookmarkStart w:id="1112" w:name="_Toc494799435"/>
      <w:bookmarkStart w:id="1113" w:name="_Toc494805738"/>
      <w:bookmarkStart w:id="1114" w:name="_Toc494805970"/>
      <w:bookmarkStart w:id="1115" w:name="_Toc494808200"/>
      <w:bookmarkStart w:id="1116" w:name="_Toc494808854"/>
      <w:bookmarkStart w:id="1117" w:name="_Toc494816037"/>
      <w:bookmarkStart w:id="1118" w:name="_Toc494818868"/>
      <w:bookmarkStart w:id="1119" w:name="_Toc494819132"/>
      <w:bookmarkStart w:id="1120" w:name="_Toc500320911"/>
      <w:r>
        <w:t>V</w:t>
      </w:r>
      <w:r w:rsidRPr="001A3C79">
        <w:t>ideo</w:t>
      </w:r>
      <w:r>
        <w:t xml:space="preserve"> content</w:t>
      </w:r>
      <w:r w:rsidRPr="001A3C79">
        <w:t xml:space="preserve"> engagement</w:t>
      </w:r>
      <w:bookmarkEnd w:id="1111"/>
      <w:bookmarkEnd w:id="1112"/>
      <w:bookmarkEnd w:id="1113"/>
      <w:bookmarkEnd w:id="1114"/>
      <w:bookmarkEnd w:id="1115"/>
      <w:bookmarkEnd w:id="1116"/>
      <w:bookmarkEnd w:id="1117"/>
      <w:bookmarkEnd w:id="1118"/>
      <w:bookmarkEnd w:id="1119"/>
      <w:bookmarkEnd w:id="1120"/>
      <w:r w:rsidRPr="001A3C79">
        <w:t xml:space="preserve"> </w:t>
      </w:r>
    </w:p>
    <w:p w14:paraId="3AE475CF" w14:textId="77777777" w:rsidR="0046604C" w:rsidRPr="001A3C79" w:rsidRDefault="0046604C" w:rsidP="005F4A6F">
      <w:r w:rsidRPr="001A3C79">
        <w:t xml:space="preserve">Despite the decline in time spent </w:t>
      </w:r>
      <w:r>
        <w:t>viewing</w:t>
      </w:r>
      <w:r w:rsidRPr="001A3C79">
        <w:t xml:space="preserve"> broadcast content, watching FTA television live still represents the largest share (</w:t>
      </w:r>
      <w:r>
        <w:t>50</w:t>
      </w:r>
      <w:r w:rsidRPr="001A3C79">
        <w:t xml:space="preserve"> per cent) of the weekly average time spent watching television or video content (excluding pre-recorded DVDs) among Australian adults. </w:t>
      </w:r>
    </w:p>
    <w:p w14:paraId="69885D7D" w14:textId="77777777" w:rsidR="0046604C" w:rsidRPr="001A3C79" w:rsidRDefault="0046604C" w:rsidP="005F4A6F">
      <w:r w:rsidRPr="001A3C79">
        <w:t>Watching professionally</w:t>
      </w:r>
      <w:r w:rsidR="009954F5">
        <w:t xml:space="preserve"> </w:t>
      </w:r>
      <w:r w:rsidRPr="001A3C79">
        <w:t>produced online content (catch-up television, other free online video content, video content via a subscription service or pay-per-view co</w:t>
      </w:r>
      <w:r>
        <w:t>ntent) accounted for 25</w:t>
      </w:r>
      <w:r w:rsidRPr="001A3C79">
        <w:t xml:space="preserve"> per cent of time spent</w:t>
      </w:r>
      <w:r>
        <w:t xml:space="preserve"> viewing content (Figure 3.11</w:t>
      </w:r>
      <w:r w:rsidRPr="001A3C79">
        <w:t>).</w:t>
      </w:r>
    </w:p>
    <w:p w14:paraId="2F7775B4" w14:textId="77777777" w:rsidR="0046604C" w:rsidRPr="001A3C79" w:rsidRDefault="0046604C" w:rsidP="00DD1035">
      <w:pPr>
        <w:pStyle w:val="ACMAFigureHeader"/>
        <w:keepNext/>
        <w:ind w:left="1136" w:hanging="1136"/>
      </w:pPr>
      <w:r>
        <w:t>Figure 3.11</w:t>
      </w:r>
      <w:r w:rsidRPr="001A3C79">
        <w:tab/>
      </w:r>
      <w:r w:rsidR="009954F5">
        <w:t>T</w:t>
      </w:r>
      <w:r w:rsidRPr="001A3C79">
        <w:t xml:space="preserve">ime spent watching </w:t>
      </w:r>
      <w:r w:rsidR="009954F5">
        <w:t>TV</w:t>
      </w:r>
      <w:r w:rsidR="009954F5" w:rsidRPr="001A3C79">
        <w:t xml:space="preserve"> </w:t>
      </w:r>
      <w:r w:rsidRPr="001A3C79">
        <w:t>(live or recorded) or professional online video content, in the last seven days (percentage)</w:t>
      </w:r>
    </w:p>
    <w:p w14:paraId="14EB4672" w14:textId="77777777" w:rsidR="008E5BD2" w:rsidRDefault="00B00B0D" w:rsidP="00F75636">
      <w:r>
        <w:rPr>
          <w:noProof/>
        </w:rPr>
        <w:drawing>
          <wp:inline distT="0" distB="0" distL="0" distR="0" wp14:anchorId="53153106" wp14:editId="08308131">
            <wp:extent cx="5391150" cy="2823262"/>
            <wp:effectExtent l="0" t="0" r="0" b="0"/>
            <wp:docPr id="64" name="Picture 64" descr="Data for Figure 3.11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CH3 - charts_Figure 3.11.png"/>
                    <pic:cNvPicPr/>
                  </pic:nvPicPr>
                  <pic:blipFill rotWithShape="1">
                    <a:blip r:embed="rId97">
                      <a:extLst>
                        <a:ext uri="{28A0092B-C50C-407E-A947-70E740481C1C}">
                          <a14:useLocalDpi xmlns:a14="http://schemas.microsoft.com/office/drawing/2010/main" val="0"/>
                        </a:ext>
                      </a:extLst>
                    </a:blip>
                    <a:srcRect t="2389" r="12840" b="4865"/>
                    <a:stretch/>
                  </pic:blipFill>
                  <pic:spPr bwMode="auto">
                    <a:xfrm>
                      <a:off x="0" y="0"/>
                      <a:ext cx="5400121" cy="2827960"/>
                    </a:xfrm>
                    <a:prstGeom prst="rect">
                      <a:avLst/>
                    </a:prstGeom>
                    <a:ln>
                      <a:noFill/>
                    </a:ln>
                    <a:extLst>
                      <a:ext uri="{53640926-AAD7-44D8-BBD7-CCE9431645EC}">
                        <a14:shadowObscured xmlns:a14="http://schemas.microsoft.com/office/drawing/2010/main"/>
                      </a:ext>
                    </a:extLst>
                  </pic:spPr>
                </pic:pic>
              </a:graphicData>
            </a:graphic>
          </wp:inline>
        </w:drawing>
      </w:r>
    </w:p>
    <w:p w14:paraId="20FA44E7" w14:textId="77777777" w:rsidR="0046604C" w:rsidRPr="00F6534B" w:rsidRDefault="0046604C" w:rsidP="00DD1035">
      <w:pPr>
        <w:spacing w:before="360" w:after="0" w:line="240" w:lineRule="auto"/>
        <w:rPr>
          <w:rFonts w:cs="Arial"/>
          <w:i/>
          <w:iCs/>
          <w:color w:val="000000"/>
          <w:sz w:val="16"/>
          <w:szCs w:val="16"/>
        </w:rPr>
      </w:pPr>
      <w:r w:rsidRPr="00F6534B">
        <w:rPr>
          <w:rFonts w:cs="Arial"/>
          <w:i/>
          <w:iCs/>
          <w:color w:val="000000"/>
          <w:sz w:val="16"/>
          <w:szCs w:val="16"/>
        </w:rPr>
        <w:t xml:space="preserve">Base: Australians aged 18 who watched any FTA TV or online video content in the last </w:t>
      </w:r>
      <w:r w:rsidR="009954F5">
        <w:rPr>
          <w:rFonts w:cs="Arial"/>
          <w:i/>
          <w:iCs/>
          <w:color w:val="000000"/>
          <w:sz w:val="16"/>
          <w:szCs w:val="16"/>
        </w:rPr>
        <w:t>seven</w:t>
      </w:r>
      <w:r w:rsidRPr="00F6534B">
        <w:rPr>
          <w:rFonts w:cs="Arial"/>
          <w:i/>
          <w:iCs/>
          <w:color w:val="000000"/>
          <w:sz w:val="16"/>
          <w:szCs w:val="16"/>
        </w:rPr>
        <w:t xml:space="preserve"> days (</w:t>
      </w:r>
      <w:r>
        <w:rPr>
          <w:rFonts w:cs="Arial"/>
          <w:i/>
          <w:iCs/>
          <w:color w:val="000000"/>
          <w:sz w:val="16"/>
          <w:szCs w:val="16"/>
        </w:rPr>
        <w:t>n</w:t>
      </w:r>
      <w:r w:rsidRPr="00F6534B">
        <w:rPr>
          <w:rFonts w:cs="Arial"/>
          <w:i/>
          <w:iCs/>
          <w:color w:val="000000"/>
          <w:sz w:val="16"/>
          <w:szCs w:val="16"/>
        </w:rPr>
        <w:t xml:space="preserve">=2,016). </w:t>
      </w:r>
    </w:p>
    <w:p w14:paraId="3C322251" w14:textId="77777777" w:rsidR="0046604C" w:rsidRDefault="0046604C" w:rsidP="0046604C">
      <w:pPr>
        <w:spacing w:before="80" w:after="0" w:line="240" w:lineRule="auto"/>
        <w:rPr>
          <w:rFonts w:cs="Arial"/>
          <w:i/>
          <w:sz w:val="16"/>
        </w:rPr>
      </w:pPr>
      <w:r w:rsidRPr="009C1BE9">
        <w:rPr>
          <w:rFonts w:cs="Arial"/>
          <w:i/>
          <w:sz w:val="16"/>
        </w:rPr>
        <w:t xml:space="preserve">Note: Numbers may not add up due to rounding. </w:t>
      </w:r>
      <w:r w:rsidR="00D77CF6">
        <w:rPr>
          <w:rFonts w:cs="Arial"/>
          <w:i/>
          <w:sz w:val="16"/>
        </w:rPr>
        <w:t>‘</w:t>
      </w:r>
      <w:r w:rsidRPr="009C1BE9">
        <w:rPr>
          <w:rFonts w:cs="Arial"/>
          <w:i/>
          <w:sz w:val="16"/>
        </w:rPr>
        <w:t>Other free online video content’ excludes user-generated content.</w:t>
      </w:r>
    </w:p>
    <w:p w14:paraId="6A5B5371" w14:textId="77777777" w:rsidR="0046604C" w:rsidRPr="00DB440C" w:rsidRDefault="0046604C" w:rsidP="00DD1035">
      <w:pPr>
        <w:pStyle w:val="ACMANotesspaceafter"/>
        <w:spacing w:after="360"/>
      </w:pPr>
      <w:r w:rsidRPr="001A3C79">
        <w:t>Source: ACMA-commissioned survey, June 2016.</w:t>
      </w:r>
    </w:p>
    <w:p w14:paraId="4C9D03F8" w14:textId="77777777" w:rsidR="0046604C" w:rsidRPr="001A3C79" w:rsidRDefault="0046604C" w:rsidP="0046604C">
      <w:pPr>
        <w:pStyle w:val="Heading3"/>
      </w:pPr>
      <w:bookmarkStart w:id="1121" w:name="_Toc494799436"/>
      <w:bookmarkStart w:id="1122" w:name="_Toc494805739"/>
      <w:bookmarkStart w:id="1123" w:name="_Toc494805971"/>
      <w:bookmarkStart w:id="1124" w:name="_Toc494808201"/>
      <w:bookmarkStart w:id="1125" w:name="_Toc494808855"/>
      <w:bookmarkStart w:id="1126" w:name="_Toc494816040"/>
      <w:bookmarkStart w:id="1127" w:name="_Toc494818869"/>
      <w:bookmarkStart w:id="1128" w:name="_Toc494819133"/>
      <w:bookmarkStart w:id="1129" w:name="_Toc463529107"/>
      <w:r>
        <w:t>Engagement with</w:t>
      </w:r>
      <w:r w:rsidRPr="001A3C79">
        <w:t xml:space="preserve"> online content</w:t>
      </w:r>
      <w:bookmarkEnd w:id="1121"/>
      <w:bookmarkEnd w:id="1122"/>
      <w:bookmarkEnd w:id="1123"/>
      <w:bookmarkEnd w:id="1124"/>
      <w:bookmarkEnd w:id="1125"/>
      <w:bookmarkEnd w:id="1126"/>
      <w:bookmarkEnd w:id="1127"/>
      <w:bookmarkEnd w:id="1128"/>
      <w:r w:rsidRPr="001A3C79">
        <w:t xml:space="preserve"> </w:t>
      </w:r>
      <w:bookmarkEnd w:id="1129"/>
    </w:p>
    <w:p w14:paraId="3EAE2CD7" w14:textId="77777777" w:rsidR="0046604C" w:rsidRPr="001A3C79" w:rsidRDefault="0046604C" w:rsidP="00875371">
      <w:pPr>
        <w:keepNext/>
        <w:keepLines/>
      </w:pPr>
      <w:r>
        <w:t>ACMA research shows that 59 per cent of Australian</w:t>
      </w:r>
      <w:r w:rsidR="00FE6E3B">
        <w:t xml:space="preserve"> adult</w:t>
      </w:r>
      <w:r>
        <w:t xml:space="preserve">s </w:t>
      </w:r>
      <w:r w:rsidR="00D15288">
        <w:t>(</w:t>
      </w:r>
      <w:r w:rsidR="00D15288" w:rsidRPr="00B755A6">
        <w:t xml:space="preserve">11.35 million) </w:t>
      </w:r>
      <w:r>
        <w:t xml:space="preserve">had </w:t>
      </w:r>
      <w:r w:rsidRPr="001A3C79">
        <w:t xml:space="preserve">watched some online </w:t>
      </w:r>
      <w:r w:rsidR="009954F5">
        <w:t>TV</w:t>
      </w:r>
      <w:r w:rsidR="009954F5" w:rsidRPr="001A3C79">
        <w:t xml:space="preserve"> </w:t>
      </w:r>
      <w:r w:rsidRPr="001A3C79">
        <w:t>or professionally</w:t>
      </w:r>
      <w:r w:rsidR="009954F5">
        <w:t xml:space="preserve"> </w:t>
      </w:r>
      <w:r w:rsidRPr="001A3C79">
        <w:t>produced online video content in the six months to June 201</w:t>
      </w:r>
      <w:r>
        <w:t>7, with 47</w:t>
      </w:r>
      <w:r w:rsidRPr="001A3C79">
        <w:t xml:space="preserve"> per cent watching in the last seven days. </w:t>
      </w:r>
      <w:r>
        <w:t xml:space="preserve">Almost a third (32 per cent) watched video content via an online subscription service such as Netflix or Stan, and 19 per cent watched catch-up TV for </w:t>
      </w:r>
      <w:r w:rsidR="009954F5">
        <w:t>FTA</w:t>
      </w:r>
      <w:r>
        <w:t xml:space="preserve"> programs in the last seven days (Figure 3.12</w:t>
      </w:r>
      <w:r w:rsidRPr="001A3C79">
        <w:t xml:space="preserve">). </w:t>
      </w:r>
    </w:p>
    <w:p w14:paraId="3AFB1596" w14:textId="77777777" w:rsidR="0046604C" w:rsidRPr="001A3C79" w:rsidRDefault="0046604C" w:rsidP="00DD1035">
      <w:pPr>
        <w:keepNext/>
        <w:spacing w:after="160"/>
        <w:rPr>
          <w:b/>
          <w:bCs/>
          <w:color w:val="323232"/>
          <w:szCs w:val="20"/>
        </w:rPr>
      </w:pPr>
      <w:r w:rsidRPr="001A3C79">
        <w:rPr>
          <w:b/>
          <w:bCs/>
          <w:color w:val="323232"/>
          <w:szCs w:val="20"/>
        </w:rPr>
        <w:t>Figure 3.</w:t>
      </w:r>
      <w:r>
        <w:rPr>
          <w:b/>
          <w:bCs/>
          <w:color w:val="323232"/>
          <w:szCs w:val="20"/>
        </w:rPr>
        <w:t>12</w:t>
      </w:r>
      <w:r w:rsidRPr="001A3C79">
        <w:rPr>
          <w:b/>
          <w:bCs/>
          <w:color w:val="323232"/>
          <w:szCs w:val="20"/>
        </w:rPr>
        <w:tab/>
        <w:t>Online content watched in the last six months and last seven days (percentage)</w:t>
      </w:r>
    </w:p>
    <w:p w14:paraId="4D780165" w14:textId="6B0ADC35" w:rsidR="0046604C" w:rsidRDefault="00666C13" w:rsidP="00F75636">
      <w:pPr>
        <w:spacing w:after="120"/>
      </w:pPr>
      <w:r>
        <w:rPr>
          <w:noProof/>
        </w:rPr>
        <w:drawing>
          <wp:inline distT="0" distB="0" distL="0" distR="0" wp14:anchorId="1AAEC961" wp14:editId="78A1D728">
            <wp:extent cx="5940425" cy="2114550"/>
            <wp:effectExtent l="0" t="0" r="3175" b="0"/>
            <wp:docPr id="4" name="Picture 4" descr="Data for Figure 3.12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H3 - charts_Figure 3.12.png"/>
                    <pic:cNvPicPr/>
                  </pic:nvPicPr>
                  <pic:blipFill>
                    <a:blip r:embed="rId98">
                      <a:extLst>
                        <a:ext uri="{28A0092B-C50C-407E-A947-70E740481C1C}">
                          <a14:useLocalDpi xmlns:a14="http://schemas.microsoft.com/office/drawing/2010/main" val="0"/>
                        </a:ext>
                      </a:extLst>
                    </a:blip>
                    <a:stretch>
                      <a:fillRect/>
                    </a:stretch>
                  </pic:blipFill>
                  <pic:spPr>
                    <a:xfrm>
                      <a:off x="0" y="0"/>
                      <a:ext cx="5940425" cy="2114550"/>
                    </a:xfrm>
                    <a:prstGeom prst="rect">
                      <a:avLst/>
                    </a:prstGeom>
                  </pic:spPr>
                </pic:pic>
              </a:graphicData>
            </a:graphic>
          </wp:inline>
        </w:drawing>
      </w:r>
    </w:p>
    <w:p w14:paraId="0FDA5ABC" w14:textId="77777777" w:rsidR="0046604C" w:rsidRPr="00DB440C" w:rsidRDefault="0046604C" w:rsidP="00DD1035">
      <w:pPr>
        <w:pStyle w:val="ACMANotes"/>
        <w:spacing w:before="240"/>
      </w:pPr>
      <w:r w:rsidRPr="001A3C79">
        <w:t>*Excludes user-generated content.</w:t>
      </w:r>
    </w:p>
    <w:p w14:paraId="46D78602" w14:textId="77777777" w:rsidR="0046604C" w:rsidRPr="001A3C79" w:rsidRDefault="0046604C" w:rsidP="0046604C">
      <w:pPr>
        <w:pStyle w:val="ACMANotes"/>
      </w:pPr>
      <w:r w:rsidRPr="00DB440C">
        <w:t xml:space="preserve">Base: Australians aged </w:t>
      </w:r>
      <w:r w:rsidRPr="001A3C79">
        <w:t>18 and over</w:t>
      </w:r>
      <w:r>
        <w:t xml:space="preserve"> (n=2,277)</w:t>
      </w:r>
      <w:r w:rsidRPr="001A3C79">
        <w:t>.</w:t>
      </w:r>
    </w:p>
    <w:p w14:paraId="553CDEE8" w14:textId="77777777" w:rsidR="0046604C" w:rsidRPr="001A3C79" w:rsidRDefault="0046604C" w:rsidP="00DD1035">
      <w:pPr>
        <w:pStyle w:val="ACMANotesspaceafter"/>
        <w:spacing w:after="360"/>
      </w:pPr>
      <w:r w:rsidRPr="00DB440C">
        <w:t>Source: ACMA-commissioned survey, June 201</w:t>
      </w:r>
      <w:r>
        <w:t>7</w:t>
      </w:r>
      <w:r w:rsidRPr="001A3C79">
        <w:t>.</w:t>
      </w:r>
    </w:p>
    <w:p w14:paraId="1B403E81" w14:textId="77777777" w:rsidR="0046604C" w:rsidRPr="001A3C79" w:rsidRDefault="0046604C" w:rsidP="00D67738">
      <w:pPr>
        <w:keepNext/>
        <w:keepLines/>
      </w:pPr>
      <w:r w:rsidRPr="001A3C79">
        <w:t xml:space="preserve">Netflix is </w:t>
      </w:r>
      <w:r>
        <w:t xml:space="preserve">the most popular </w:t>
      </w:r>
      <w:r w:rsidRPr="001A3C79">
        <w:t xml:space="preserve">online source for </w:t>
      </w:r>
      <w:r>
        <w:t xml:space="preserve">viewing </w:t>
      </w:r>
      <w:r w:rsidRPr="001A3C79">
        <w:t>professional video content.</w:t>
      </w:r>
      <w:r>
        <w:t xml:space="preserve"> For the 68 per cent of adults who had accessed Netflix in the six months to June 2017, almost all of them (66 per cent) had accessed the service in the last seven days. YouTube is the second most used service to view professionally</w:t>
      </w:r>
      <w:r w:rsidR="009954F5">
        <w:t xml:space="preserve"> </w:t>
      </w:r>
      <w:r>
        <w:t xml:space="preserve">produced content, with 20 per cent having </w:t>
      </w:r>
      <w:r w:rsidRPr="001A3C79">
        <w:t>watched professional content</w:t>
      </w:r>
      <w:r>
        <w:t xml:space="preserve"> in the last six months and 14 per cent in the last seven </w:t>
      </w:r>
      <w:r w:rsidRPr="008132C8">
        <w:t>days (Figure 3.13).</w:t>
      </w:r>
    </w:p>
    <w:p w14:paraId="0AAA94A3" w14:textId="77777777" w:rsidR="0046604C" w:rsidRPr="001A3C79" w:rsidRDefault="0046604C" w:rsidP="005F4A6F">
      <w:pPr>
        <w:keepNext/>
        <w:spacing w:after="160"/>
        <w:rPr>
          <w:b/>
          <w:bCs/>
          <w:color w:val="323232"/>
          <w:szCs w:val="20"/>
        </w:rPr>
      </w:pPr>
      <w:r>
        <w:rPr>
          <w:b/>
          <w:bCs/>
          <w:color w:val="323232"/>
          <w:szCs w:val="20"/>
        </w:rPr>
        <w:t>Figure 3.13</w:t>
      </w:r>
      <w:r w:rsidRPr="001A3C79">
        <w:rPr>
          <w:b/>
          <w:bCs/>
          <w:color w:val="323232"/>
          <w:szCs w:val="20"/>
        </w:rPr>
        <w:tab/>
        <w:t>Online video services used</w:t>
      </w:r>
      <w:r>
        <w:rPr>
          <w:b/>
          <w:bCs/>
          <w:color w:val="323232"/>
          <w:szCs w:val="20"/>
        </w:rPr>
        <w:t xml:space="preserve"> in the last six months and seven days</w:t>
      </w:r>
      <w:r w:rsidRPr="001A3C79">
        <w:rPr>
          <w:b/>
          <w:bCs/>
          <w:color w:val="323232"/>
          <w:szCs w:val="20"/>
        </w:rPr>
        <w:t xml:space="preserve"> (percentage)</w:t>
      </w:r>
    </w:p>
    <w:p w14:paraId="4D14E66A" w14:textId="5BDBE1CA" w:rsidR="0046604C" w:rsidRDefault="00666C13" w:rsidP="00F75636">
      <w:pPr>
        <w:spacing w:after="120"/>
      </w:pPr>
      <w:r>
        <w:rPr>
          <w:noProof/>
        </w:rPr>
        <w:drawing>
          <wp:inline distT="0" distB="0" distL="0" distR="0" wp14:anchorId="1D71F22E" wp14:editId="5C94DD34">
            <wp:extent cx="5940425" cy="3392170"/>
            <wp:effectExtent l="0" t="0" r="3175" b="0"/>
            <wp:docPr id="21" name="Picture 21" descr="Data for Figure 3.13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H3 - charts_Figure 3.13.png"/>
                    <pic:cNvPicPr/>
                  </pic:nvPicPr>
                  <pic:blipFill>
                    <a:blip r:embed="rId99">
                      <a:extLst>
                        <a:ext uri="{28A0092B-C50C-407E-A947-70E740481C1C}">
                          <a14:useLocalDpi xmlns:a14="http://schemas.microsoft.com/office/drawing/2010/main" val="0"/>
                        </a:ext>
                      </a:extLst>
                    </a:blip>
                    <a:stretch>
                      <a:fillRect/>
                    </a:stretch>
                  </pic:blipFill>
                  <pic:spPr>
                    <a:xfrm>
                      <a:off x="0" y="0"/>
                      <a:ext cx="5940425" cy="3392170"/>
                    </a:xfrm>
                    <a:prstGeom prst="rect">
                      <a:avLst/>
                    </a:prstGeom>
                  </pic:spPr>
                </pic:pic>
              </a:graphicData>
            </a:graphic>
          </wp:inline>
        </w:drawing>
      </w:r>
    </w:p>
    <w:p w14:paraId="35D84900" w14:textId="77777777" w:rsidR="0046604C" w:rsidRPr="001A3C79" w:rsidRDefault="0046604C" w:rsidP="006050D6">
      <w:pPr>
        <w:pStyle w:val="ACMANotes"/>
        <w:spacing w:before="160"/>
      </w:pPr>
      <w:r w:rsidRPr="009C1BE9">
        <w:t>Base: Australians aged 18 and over who had watched online video, excluding catch-up</w:t>
      </w:r>
      <w:r>
        <w:t>, in the last six months (n=1,122</w:t>
      </w:r>
      <w:r w:rsidRPr="009C1BE9">
        <w:t>)</w:t>
      </w:r>
      <w:r>
        <w:t xml:space="preserve"> and in the last seven days (n=947)</w:t>
      </w:r>
      <w:r w:rsidRPr="009C1BE9">
        <w:t>.</w:t>
      </w:r>
    </w:p>
    <w:p w14:paraId="45754C55" w14:textId="77777777" w:rsidR="0046604C" w:rsidRPr="001A3C79" w:rsidRDefault="0046604C" w:rsidP="005F4A6F">
      <w:pPr>
        <w:pStyle w:val="ACMANotesspaceafter"/>
        <w:spacing w:after="360"/>
      </w:pPr>
      <w:r w:rsidRPr="00DB440C">
        <w:t>Source: ACM</w:t>
      </w:r>
      <w:r>
        <w:t>A-commissioned survey, June 2017</w:t>
      </w:r>
      <w:r w:rsidRPr="001A3C79">
        <w:t>.</w:t>
      </w:r>
    </w:p>
    <w:p w14:paraId="3FFE2FB9" w14:textId="77777777" w:rsidR="0046604C" w:rsidRPr="001A3C79" w:rsidRDefault="0046604C" w:rsidP="0046604C">
      <w:r>
        <w:t>In June 2017</w:t>
      </w:r>
      <w:r w:rsidRPr="001A3C79">
        <w:t xml:space="preserve">, </w:t>
      </w:r>
      <w:r>
        <w:t>ABC’s</w:t>
      </w:r>
      <w:r w:rsidRPr="001A3C79">
        <w:t xml:space="preserve"> </w:t>
      </w:r>
      <w:r>
        <w:t>iView</w:t>
      </w:r>
      <w:r w:rsidRPr="001A3C79">
        <w:t xml:space="preserve"> was the most watched </w:t>
      </w:r>
      <w:r>
        <w:t xml:space="preserve">catch-up </w:t>
      </w:r>
      <w:r w:rsidRPr="001A3C79">
        <w:t>s</w:t>
      </w:r>
      <w:r>
        <w:t>ervice for FTA programs, followed by SBS</w:t>
      </w:r>
      <w:r w:rsidR="00F64ED0">
        <w:t> O</w:t>
      </w:r>
      <w:r>
        <w:t>n</w:t>
      </w:r>
      <w:r w:rsidR="00F64ED0">
        <w:t xml:space="preserve"> </w:t>
      </w:r>
      <w:r>
        <w:t>Demand (67 per cent) (Figure 3.14</w:t>
      </w:r>
      <w:r w:rsidRPr="001A3C79">
        <w:t xml:space="preserve">). </w:t>
      </w:r>
    </w:p>
    <w:p w14:paraId="157993B1" w14:textId="77777777" w:rsidR="0046604C" w:rsidRPr="001A3C79" w:rsidRDefault="0046604C" w:rsidP="0046604C">
      <w:pPr>
        <w:rPr>
          <w:noProof/>
        </w:rPr>
      </w:pPr>
      <w:r>
        <w:t>Over 80</w:t>
      </w:r>
      <w:r w:rsidRPr="001A3C79">
        <w:t xml:space="preserve"> per cent of </w:t>
      </w:r>
      <w:r>
        <w:t xml:space="preserve">catch-up viewers aged </w:t>
      </w:r>
      <w:r w:rsidRPr="001A3C79">
        <w:t xml:space="preserve">65 and over had watched ABC’s iView in </w:t>
      </w:r>
      <w:r>
        <w:t>the last seven days, while only </w:t>
      </w:r>
      <w:r w:rsidRPr="001A3C79">
        <w:t>1</w:t>
      </w:r>
      <w:r>
        <w:t>5</w:t>
      </w:r>
      <w:r w:rsidRPr="001A3C79">
        <w:t xml:space="preserve"> per cent </w:t>
      </w:r>
      <w:r>
        <w:t xml:space="preserve">had </w:t>
      </w:r>
      <w:r w:rsidRPr="001A3C79">
        <w:t>watched 9Now. Plus7 was the most watched service for younger Australians aged 18</w:t>
      </w:r>
      <w:r>
        <w:rPr>
          <w:rFonts w:cs="Arial"/>
        </w:rPr>
        <w:t>–</w:t>
      </w:r>
      <w:r w:rsidRPr="001A3C79">
        <w:t xml:space="preserve">34. </w:t>
      </w:r>
    </w:p>
    <w:p w14:paraId="7423ABB7" w14:textId="77777777" w:rsidR="0046604C" w:rsidRPr="001A3C79" w:rsidRDefault="0046604C" w:rsidP="005F4A6F">
      <w:pPr>
        <w:keepNext/>
        <w:spacing w:after="160"/>
        <w:rPr>
          <w:b/>
          <w:bCs/>
          <w:color w:val="323232"/>
          <w:szCs w:val="20"/>
        </w:rPr>
      </w:pPr>
      <w:r w:rsidRPr="001A3C79">
        <w:rPr>
          <w:b/>
          <w:bCs/>
          <w:color w:val="323232"/>
          <w:szCs w:val="20"/>
        </w:rPr>
        <w:t>Figure 3.</w:t>
      </w:r>
      <w:r>
        <w:rPr>
          <w:b/>
          <w:bCs/>
          <w:color w:val="323232"/>
          <w:szCs w:val="20"/>
        </w:rPr>
        <w:t>14</w:t>
      </w:r>
      <w:r w:rsidRPr="001A3C79">
        <w:rPr>
          <w:b/>
          <w:bCs/>
          <w:color w:val="323232"/>
          <w:szCs w:val="20"/>
        </w:rPr>
        <w:tab/>
        <w:t>Catch-up TV services used in the last seven days (percentage)</w:t>
      </w:r>
    </w:p>
    <w:p w14:paraId="177F7116" w14:textId="77777777" w:rsidR="0046604C" w:rsidRDefault="00776ACF" w:rsidP="006050D6">
      <w:pPr>
        <w:spacing w:after="0"/>
      </w:pPr>
      <w:r>
        <w:rPr>
          <w:noProof/>
        </w:rPr>
        <w:drawing>
          <wp:inline distT="0" distB="0" distL="0" distR="0" wp14:anchorId="59729AA4" wp14:editId="56D737F4">
            <wp:extent cx="5953125" cy="1364987"/>
            <wp:effectExtent l="0" t="0" r="0" b="6985"/>
            <wp:docPr id="68" name="Picture 68" descr="Data for Figure 3.14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CH3 - charts_Figure 3.14.png"/>
                    <pic:cNvPicPr/>
                  </pic:nvPicPr>
                  <pic:blipFill rotWithShape="1">
                    <a:blip r:embed="rId100">
                      <a:extLst>
                        <a:ext uri="{28A0092B-C50C-407E-A947-70E740481C1C}">
                          <a14:useLocalDpi xmlns:a14="http://schemas.microsoft.com/office/drawing/2010/main" val="0"/>
                        </a:ext>
                      </a:extLst>
                    </a:blip>
                    <a:srcRect/>
                    <a:stretch/>
                  </pic:blipFill>
                  <pic:spPr bwMode="auto">
                    <a:xfrm>
                      <a:off x="0" y="0"/>
                      <a:ext cx="6000043" cy="1375745"/>
                    </a:xfrm>
                    <a:prstGeom prst="rect">
                      <a:avLst/>
                    </a:prstGeom>
                    <a:ln>
                      <a:noFill/>
                    </a:ln>
                    <a:extLst>
                      <a:ext uri="{53640926-AAD7-44D8-BBD7-CCE9431645EC}">
                        <a14:shadowObscured xmlns:a14="http://schemas.microsoft.com/office/drawing/2010/main"/>
                      </a:ext>
                    </a:extLst>
                  </pic:spPr>
                </pic:pic>
              </a:graphicData>
            </a:graphic>
          </wp:inline>
        </w:drawing>
      </w:r>
    </w:p>
    <w:p w14:paraId="0F221829" w14:textId="77777777" w:rsidR="0046604C" w:rsidRPr="001A3C79" w:rsidRDefault="0046604C" w:rsidP="00F65D12">
      <w:pPr>
        <w:spacing w:before="240" w:after="0" w:line="240" w:lineRule="auto"/>
        <w:rPr>
          <w:rFonts w:cs="Arial"/>
          <w:i/>
          <w:sz w:val="16"/>
        </w:rPr>
      </w:pPr>
      <w:r w:rsidRPr="001A3C79">
        <w:rPr>
          <w:rFonts w:cs="Arial"/>
          <w:i/>
          <w:sz w:val="16"/>
        </w:rPr>
        <w:t>Base: Australians aged 18 and over who watched catch-up T</w:t>
      </w:r>
      <w:r>
        <w:rPr>
          <w:rFonts w:cs="Arial"/>
          <w:i/>
          <w:sz w:val="16"/>
        </w:rPr>
        <w:t>V for FTA programs in the last seven days (n=464</w:t>
      </w:r>
      <w:r w:rsidRPr="001A3C79">
        <w:rPr>
          <w:rFonts w:cs="Arial"/>
          <w:i/>
          <w:sz w:val="16"/>
        </w:rPr>
        <w:t>).</w:t>
      </w:r>
    </w:p>
    <w:p w14:paraId="2A059518" w14:textId="77777777" w:rsidR="0046604C" w:rsidRDefault="0046604C" w:rsidP="005F4A6F">
      <w:pPr>
        <w:pStyle w:val="ACMANotesspaceafter"/>
        <w:spacing w:after="360"/>
        <w:rPr>
          <w:i w:val="0"/>
        </w:rPr>
      </w:pPr>
      <w:r w:rsidRPr="001A3C79">
        <w:t>Source: ACMA-commissioned survey, June 201</w:t>
      </w:r>
      <w:r>
        <w:rPr>
          <w:i w:val="0"/>
        </w:rPr>
        <w:t>7</w:t>
      </w:r>
      <w:r w:rsidRPr="001A3C79">
        <w:rPr>
          <w:i w:val="0"/>
        </w:rPr>
        <w:t>.</w:t>
      </w:r>
    </w:p>
    <w:p w14:paraId="3335760A" w14:textId="77777777" w:rsidR="0046604C" w:rsidRPr="003C659C" w:rsidRDefault="0046604C" w:rsidP="0046604C">
      <w:pPr>
        <w:pStyle w:val="Heading3"/>
      </w:pPr>
      <w:r w:rsidRPr="003C659C">
        <w:t>Online viewer profile</w:t>
      </w:r>
    </w:p>
    <w:p w14:paraId="24FE1994" w14:textId="77777777" w:rsidR="0046604C" w:rsidRDefault="0046604C" w:rsidP="0046604C">
      <w:r>
        <w:t xml:space="preserve">Australian adults watched a total of 18.9 hours of </w:t>
      </w:r>
      <w:r w:rsidR="00F64ED0">
        <w:t xml:space="preserve">TV </w:t>
      </w:r>
      <w:r>
        <w:t xml:space="preserve">and online content in the </w:t>
      </w:r>
      <w:r w:rsidR="00AA3253">
        <w:t xml:space="preserve">last </w:t>
      </w:r>
      <w:r>
        <w:t xml:space="preserve">seven days </w:t>
      </w:r>
      <w:r w:rsidR="00AA3253">
        <w:t xml:space="preserve">(at </w:t>
      </w:r>
      <w:r>
        <w:t>June 2017</w:t>
      </w:r>
      <w:r w:rsidR="00AA3253">
        <w:t>)</w:t>
      </w:r>
      <w:r>
        <w:t>. The total viewing hours across platforms increase</w:t>
      </w:r>
      <w:r w:rsidR="00F64ED0">
        <w:t>d</w:t>
      </w:r>
      <w:r>
        <w:t xml:space="preserve"> with age, ranging from 14.9 hours for younger adults (18</w:t>
      </w:r>
      <w:r w:rsidR="00F64ED0">
        <w:t>–</w:t>
      </w:r>
      <w:r>
        <w:t>34)</w:t>
      </w:r>
      <w:r w:rsidR="00F64ED0">
        <w:t xml:space="preserve"> to</w:t>
      </w:r>
      <w:r>
        <w:t xml:space="preserve"> 18.7 hours for those aged 35</w:t>
      </w:r>
      <w:r w:rsidR="00F64ED0">
        <w:t>–</w:t>
      </w:r>
      <w:r>
        <w:t xml:space="preserve">64 </w:t>
      </w:r>
      <w:r w:rsidR="00F64ED0">
        <w:t xml:space="preserve">and </w:t>
      </w:r>
      <w:r>
        <w:t>24.9 hours for older Australians over 65 (Figure</w:t>
      </w:r>
      <w:r w:rsidR="00F64ED0">
        <w:t> </w:t>
      </w:r>
      <w:r>
        <w:t xml:space="preserve">3.15). </w:t>
      </w:r>
    </w:p>
    <w:p w14:paraId="4328023B" w14:textId="77777777" w:rsidR="0046604C" w:rsidRDefault="0046604C" w:rsidP="0046604C">
      <w:r>
        <w:t xml:space="preserve">Viewing habits, including choice of content platform, are linked to age. Traditional </w:t>
      </w:r>
      <w:r w:rsidR="00F64ED0">
        <w:t xml:space="preserve">TV </w:t>
      </w:r>
      <w:r>
        <w:t xml:space="preserve">viewing, including </w:t>
      </w:r>
      <w:r w:rsidR="00F64ED0">
        <w:t>FTA TV</w:t>
      </w:r>
      <w:r>
        <w:t xml:space="preserve"> and Foxtel</w:t>
      </w:r>
      <w:r w:rsidR="00F64ED0">
        <w:t>,</w:t>
      </w:r>
      <w:r>
        <w:t xml:space="preserve"> increases with age</w:t>
      </w:r>
      <w:r w:rsidR="00F64ED0">
        <w:t>,</w:t>
      </w:r>
      <w:r>
        <w:t xml:space="preserve"> while online content viewing (catch</w:t>
      </w:r>
      <w:r w:rsidR="00F64ED0">
        <w:t>-</w:t>
      </w:r>
      <w:r>
        <w:t>up TV, subscription, pay</w:t>
      </w:r>
      <w:r w:rsidR="009B655B">
        <w:noBreakHyphen/>
      </w:r>
      <w:r>
        <w:t>per</w:t>
      </w:r>
      <w:r w:rsidR="009B655B">
        <w:noBreakHyphen/>
      </w:r>
      <w:r>
        <w:t>view or free video content) diminishes with age.</w:t>
      </w:r>
    </w:p>
    <w:p w14:paraId="70EA6580" w14:textId="77777777" w:rsidR="0046604C" w:rsidRDefault="0046604C" w:rsidP="0046604C">
      <w:r>
        <w:t>Younger adults aged 18</w:t>
      </w:r>
      <w:r w:rsidR="00F64ED0">
        <w:t>–</w:t>
      </w:r>
      <w:r>
        <w:t>34 spent most of their viewing time watching online content (9.2 hours per week).</w:t>
      </w:r>
      <w:r w:rsidR="00F64ED0">
        <w:t xml:space="preserve"> </w:t>
      </w:r>
      <w:r>
        <w:t>This decrease</w:t>
      </w:r>
      <w:r w:rsidR="00F64ED0">
        <w:t>d</w:t>
      </w:r>
      <w:r>
        <w:t xml:space="preserve"> to 0.9 hours for those aged 65 and over. </w:t>
      </w:r>
    </w:p>
    <w:p w14:paraId="6B44D80F" w14:textId="77777777" w:rsidR="0046604C" w:rsidRDefault="0046604C" w:rsidP="0046604C">
      <w:r>
        <w:t>Those aged 35</w:t>
      </w:r>
      <w:r w:rsidR="00F64ED0">
        <w:t>–</w:t>
      </w:r>
      <w:r>
        <w:t xml:space="preserve">64 </w:t>
      </w:r>
      <w:r w:rsidR="00F64ED0">
        <w:t xml:space="preserve">had </w:t>
      </w:r>
      <w:r>
        <w:t>a more even spread of viewing time across the content platforms, spending 9.4</w:t>
      </w:r>
      <w:r w:rsidR="00F64ED0">
        <w:t> </w:t>
      </w:r>
      <w:r>
        <w:t xml:space="preserve">hours watching </w:t>
      </w:r>
      <w:r w:rsidR="00F64ED0">
        <w:t>FTA TV</w:t>
      </w:r>
      <w:r>
        <w:t xml:space="preserve"> and 3.8 hours </w:t>
      </w:r>
      <w:r w:rsidR="00F64ED0">
        <w:t xml:space="preserve">watching </w:t>
      </w:r>
      <w:r>
        <w:t>online content.</w:t>
      </w:r>
    </w:p>
    <w:p w14:paraId="4B219B54" w14:textId="77777777" w:rsidR="0046604C" w:rsidRDefault="0046604C" w:rsidP="0046604C">
      <w:r>
        <w:t>For older Australians over 65</w:t>
      </w:r>
      <w:r w:rsidR="00F64ED0">
        <w:t>,</w:t>
      </w:r>
      <w:r>
        <w:t xml:space="preserve"> </w:t>
      </w:r>
      <w:r w:rsidR="00F64ED0">
        <w:t>FTA TV</w:t>
      </w:r>
      <w:r>
        <w:t xml:space="preserve"> occupie</w:t>
      </w:r>
      <w:r w:rsidR="00F64ED0">
        <w:t>d</w:t>
      </w:r>
      <w:r>
        <w:t xml:space="preserve"> most of their viewing time</w:t>
      </w:r>
      <w:r w:rsidR="00F64ED0">
        <w:t>—</w:t>
      </w:r>
      <w:r w:rsidR="009B655B">
        <w:t>17.4 hours on average per </w:t>
      </w:r>
      <w:r>
        <w:t xml:space="preserve">week. </w:t>
      </w:r>
    </w:p>
    <w:p w14:paraId="6350C44C" w14:textId="0F0A2245" w:rsidR="0046604C" w:rsidRPr="003C659C" w:rsidRDefault="00CB494E" w:rsidP="003547F7">
      <w:pPr>
        <w:pStyle w:val="ACMAFigureHeader"/>
        <w:spacing w:after="120"/>
        <w:ind w:left="1136" w:hanging="1136"/>
      </w:pPr>
      <w:r>
        <w:rPr>
          <w:noProof/>
        </w:rPr>
        <w:drawing>
          <wp:anchor distT="0" distB="0" distL="114300" distR="114300" simplePos="0" relativeHeight="251661312" behindDoc="1" locked="0" layoutInCell="1" allowOverlap="1" wp14:anchorId="7533BC20" wp14:editId="5B4F4FE5">
            <wp:simplePos x="0" y="0"/>
            <wp:positionH relativeFrom="margin">
              <wp:align>left</wp:align>
            </wp:positionH>
            <wp:positionV relativeFrom="paragraph">
              <wp:posOffset>377190</wp:posOffset>
            </wp:positionV>
            <wp:extent cx="6071870" cy="4118610"/>
            <wp:effectExtent l="0" t="0" r="5080" b="0"/>
            <wp:wrapTight wrapText="bothSides">
              <wp:wrapPolygon edited="0">
                <wp:start x="0" y="0"/>
                <wp:lineTo x="0" y="21480"/>
                <wp:lineTo x="21550" y="21480"/>
                <wp:lineTo x="21550" y="0"/>
                <wp:lineTo x="0" y="0"/>
              </wp:wrapPolygon>
            </wp:wrapTight>
            <wp:docPr id="70" name="Picture 70" descr="Data for Figure 3.15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H3 - charts_Figure 3.15.png"/>
                    <pic:cNvPicPr/>
                  </pic:nvPicPr>
                  <pic:blipFill rotWithShape="1">
                    <a:blip r:embed="rId101">
                      <a:extLst>
                        <a:ext uri="{28A0092B-C50C-407E-A947-70E740481C1C}">
                          <a14:useLocalDpi xmlns:a14="http://schemas.microsoft.com/office/drawing/2010/main" val="0"/>
                        </a:ext>
                      </a:extLst>
                    </a:blip>
                    <a:srcRect t="1822" b="3076"/>
                    <a:stretch/>
                  </pic:blipFill>
                  <pic:spPr bwMode="auto">
                    <a:xfrm>
                      <a:off x="0" y="0"/>
                      <a:ext cx="6071870" cy="41186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6604C" w:rsidRPr="003C659C">
        <w:t>Figure 3.1</w:t>
      </w:r>
      <w:r w:rsidR="0046604C">
        <w:t>5</w:t>
      </w:r>
      <w:r w:rsidR="0046604C" w:rsidRPr="003C659C">
        <w:tab/>
        <w:t xml:space="preserve">Time spent watching </w:t>
      </w:r>
      <w:r w:rsidR="00F64ED0">
        <w:t>TV</w:t>
      </w:r>
      <w:r w:rsidR="00F64ED0" w:rsidRPr="003C659C">
        <w:t xml:space="preserve"> </w:t>
      </w:r>
      <w:r w:rsidR="0046604C" w:rsidRPr="003C659C">
        <w:t>(live or recorded) and online video content in the last seven days</w:t>
      </w:r>
      <w:r w:rsidR="0046604C">
        <w:t xml:space="preserve"> (average hours)</w:t>
      </w:r>
    </w:p>
    <w:p w14:paraId="2C878F32" w14:textId="611F764C" w:rsidR="0046604C" w:rsidRPr="003C659C" w:rsidRDefault="003547F7" w:rsidP="003547F7">
      <w:pPr>
        <w:spacing w:after="0" w:line="240" w:lineRule="auto"/>
        <w:rPr>
          <w:rFonts w:cs="Arial"/>
          <w:i/>
          <w:sz w:val="16"/>
        </w:rPr>
      </w:pPr>
      <w:r w:rsidRPr="00F65D12">
        <w:rPr>
          <w:rFonts w:cs="Arial"/>
          <w:i/>
          <w:sz w:val="8"/>
          <w:szCs w:val="8"/>
        </w:rPr>
        <w:br/>
      </w:r>
      <w:r w:rsidR="005F4A6F">
        <w:rPr>
          <w:rFonts w:cs="Arial"/>
          <w:i/>
          <w:sz w:val="16"/>
        </w:rPr>
        <w:br/>
      </w:r>
      <w:r w:rsidR="0046604C" w:rsidRPr="003C659C">
        <w:rPr>
          <w:rFonts w:cs="Arial"/>
          <w:i/>
          <w:sz w:val="16"/>
        </w:rPr>
        <w:t xml:space="preserve">Base: Australians aged 18 who watched any </w:t>
      </w:r>
      <w:r w:rsidR="00F64ED0">
        <w:rPr>
          <w:rFonts w:cs="Arial"/>
          <w:i/>
          <w:sz w:val="16"/>
        </w:rPr>
        <w:t>FTA TV</w:t>
      </w:r>
      <w:r w:rsidR="0046604C" w:rsidRPr="003C659C">
        <w:rPr>
          <w:rFonts w:cs="Arial"/>
          <w:i/>
          <w:sz w:val="16"/>
        </w:rPr>
        <w:t xml:space="preserve"> or online video content in the last </w:t>
      </w:r>
      <w:r w:rsidR="0046604C">
        <w:rPr>
          <w:rFonts w:cs="Arial"/>
          <w:i/>
          <w:sz w:val="16"/>
        </w:rPr>
        <w:t>seven</w:t>
      </w:r>
      <w:r w:rsidR="0046604C" w:rsidRPr="003C659C">
        <w:rPr>
          <w:rFonts w:cs="Arial"/>
          <w:i/>
          <w:sz w:val="16"/>
        </w:rPr>
        <w:t xml:space="preserve"> days (</w:t>
      </w:r>
      <w:r w:rsidR="00DC4E1F">
        <w:rPr>
          <w:rFonts w:cs="Arial"/>
          <w:i/>
          <w:sz w:val="16"/>
        </w:rPr>
        <w:t>N</w:t>
      </w:r>
      <w:r w:rsidR="0046604C" w:rsidRPr="003C659C">
        <w:rPr>
          <w:rFonts w:cs="Arial"/>
          <w:i/>
          <w:sz w:val="16"/>
        </w:rPr>
        <w:t>=</w:t>
      </w:r>
      <w:r w:rsidR="0046604C">
        <w:rPr>
          <w:rFonts w:cs="Arial"/>
          <w:i/>
          <w:sz w:val="16"/>
        </w:rPr>
        <w:t>1,978</w:t>
      </w:r>
      <w:r w:rsidR="0046604C" w:rsidRPr="003C659C">
        <w:rPr>
          <w:rFonts w:cs="Arial"/>
          <w:i/>
          <w:sz w:val="16"/>
        </w:rPr>
        <w:t>)</w:t>
      </w:r>
      <w:r w:rsidR="0046604C">
        <w:rPr>
          <w:rFonts w:cs="Arial"/>
          <w:i/>
          <w:sz w:val="16"/>
        </w:rPr>
        <w:t>; 18</w:t>
      </w:r>
      <w:r w:rsidR="00F64ED0">
        <w:rPr>
          <w:rFonts w:cs="Arial"/>
          <w:i/>
          <w:sz w:val="16"/>
        </w:rPr>
        <w:t>–</w:t>
      </w:r>
      <w:r w:rsidR="0046604C">
        <w:rPr>
          <w:rFonts w:cs="Arial"/>
          <w:i/>
          <w:sz w:val="16"/>
        </w:rPr>
        <w:t xml:space="preserve">34 </w:t>
      </w:r>
      <w:r w:rsidR="0094259D">
        <w:rPr>
          <w:rFonts w:cs="Arial"/>
          <w:i/>
          <w:sz w:val="16"/>
        </w:rPr>
        <w:t>(</w:t>
      </w:r>
      <w:r w:rsidR="0046604C">
        <w:rPr>
          <w:rFonts w:cs="Arial"/>
          <w:i/>
          <w:sz w:val="16"/>
        </w:rPr>
        <w:t>n=568</w:t>
      </w:r>
      <w:r w:rsidR="0094259D">
        <w:rPr>
          <w:rFonts w:cs="Arial"/>
          <w:i/>
          <w:sz w:val="16"/>
        </w:rPr>
        <w:t>);</w:t>
      </w:r>
      <w:r w:rsidR="0046604C">
        <w:rPr>
          <w:rFonts w:cs="Arial"/>
          <w:i/>
          <w:sz w:val="16"/>
        </w:rPr>
        <w:t xml:space="preserve"> </w:t>
      </w:r>
      <w:r w:rsidR="00F64ED0">
        <w:rPr>
          <w:rFonts w:cs="Arial"/>
          <w:i/>
          <w:sz w:val="16"/>
        </w:rPr>
        <w:br/>
      </w:r>
      <w:r w:rsidR="0046604C">
        <w:rPr>
          <w:rFonts w:cs="Arial"/>
          <w:i/>
          <w:sz w:val="16"/>
        </w:rPr>
        <w:t>35</w:t>
      </w:r>
      <w:r w:rsidR="00F64ED0">
        <w:rPr>
          <w:rFonts w:cs="Arial"/>
          <w:i/>
          <w:sz w:val="16"/>
        </w:rPr>
        <w:t>–</w:t>
      </w:r>
      <w:r w:rsidR="0046604C">
        <w:rPr>
          <w:rFonts w:cs="Arial"/>
          <w:i/>
          <w:sz w:val="16"/>
        </w:rPr>
        <w:t>64</w:t>
      </w:r>
      <w:r w:rsidR="0094259D">
        <w:rPr>
          <w:rFonts w:cs="Arial"/>
          <w:i/>
          <w:sz w:val="16"/>
        </w:rPr>
        <w:t xml:space="preserve"> (</w:t>
      </w:r>
      <w:r w:rsidR="0046604C">
        <w:rPr>
          <w:rFonts w:cs="Arial"/>
          <w:i/>
          <w:sz w:val="16"/>
        </w:rPr>
        <w:t>n=1</w:t>
      </w:r>
      <w:r w:rsidR="00F64ED0">
        <w:rPr>
          <w:rFonts w:cs="Arial"/>
          <w:i/>
          <w:sz w:val="16"/>
        </w:rPr>
        <w:t>,</w:t>
      </w:r>
      <w:r w:rsidR="0046604C">
        <w:rPr>
          <w:rFonts w:cs="Arial"/>
          <w:i/>
          <w:sz w:val="16"/>
        </w:rPr>
        <w:t>006</w:t>
      </w:r>
      <w:r w:rsidR="0094259D">
        <w:rPr>
          <w:rFonts w:cs="Arial"/>
          <w:i/>
          <w:sz w:val="16"/>
        </w:rPr>
        <w:t>);</w:t>
      </w:r>
      <w:r w:rsidR="0046604C">
        <w:rPr>
          <w:rFonts w:cs="Arial"/>
          <w:i/>
          <w:sz w:val="16"/>
        </w:rPr>
        <w:t xml:space="preserve"> 65+ </w:t>
      </w:r>
      <w:r w:rsidR="0094259D">
        <w:rPr>
          <w:rFonts w:cs="Arial"/>
          <w:i/>
          <w:sz w:val="16"/>
        </w:rPr>
        <w:t>(</w:t>
      </w:r>
      <w:r w:rsidR="0046604C">
        <w:rPr>
          <w:rFonts w:cs="Arial"/>
          <w:i/>
          <w:sz w:val="16"/>
        </w:rPr>
        <w:t>n=404</w:t>
      </w:r>
      <w:r w:rsidR="0094259D">
        <w:rPr>
          <w:rFonts w:cs="Arial"/>
          <w:i/>
          <w:sz w:val="16"/>
        </w:rPr>
        <w:t>)</w:t>
      </w:r>
      <w:r w:rsidR="00F64ED0">
        <w:rPr>
          <w:rFonts w:cs="Arial"/>
          <w:i/>
          <w:sz w:val="16"/>
        </w:rPr>
        <w:t>.</w:t>
      </w:r>
    </w:p>
    <w:p w14:paraId="678D471B" w14:textId="77777777" w:rsidR="0046604C" w:rsidRPr="003C659C" w:rsidRDefault="0046604C" w:rsidP="005F4A6F">
      <w:pPr>
        <w:spacing w:before="80" w:after="0" w:line="240" w:lineRule="auto"/>
        <w:rPr>
          <w:rFonts w:cs="Arial"/>
          <w:i/>
          <w:sz w:val="16"/>
        </w:rPr>
      </w:pPr>
      <w:r w:rsidRPr="003C659C">
        <w:rPr>
          <w:rFonts w:cs="Arial"/>
          <w:i/>
          <w:sz w:val="16"/>
        </w:rPr>
        <w:t>Note: Numbers may not add up to category totals due to rounding. Online (catch-up TV, subscription</w:t>
      </w:r>
      <w:r>
        <w:rPr>
          <w:rFonts w:cs="Arial"/>
          <w:i/>
          <w:sz w:val="16"/>
        </w:rPr>
        <w:t>, pay</w:t>
      </w:r>
      <w:r w:rsidR="00F64ED0">
        <w:rPr>
          <w:rFonts w:cs="Arial"/>
          <w:i/>
          <w:sz w:val="16"/>
        </w:rPr>
        <w:t>-</w:t>
      </w:r>
      <w:r>
        <w:rPr>
          <w:rFonts w:cs="Arial"/>
          <w:i/>
          <w:sz w:val="16"/>
        </w:rPr>
        <w:t>per</w:t>
      </w:r>
      <w:r w:rsidR="00F64ED0">
        <w:rPr>
          <w:rFonts w:cs="Arial"/>
          <w:i/>
          <w:sz w:val="16"/>
        </w:rPr>
        <w:t>-</w:t>
      </w:r>
      <w:r>
        <w:rPr>
          <w:rFonts w:cs="Arial"/>
          <w:i/>
          <w:sz w:val="16"/>
        </w:rPr>
        <w:t xml:space="preserve">view </w:t>
      </w:r>
      <w:r w:rsidRPr="003C659C">
        <w:rPr>
          <w:rFonts w:cs="Arial"/>
          <w:i/>
          <w:sz w:val="16"/>
        </w:rPr>
        <w:t>and free video content) excludes user-generated content.</w:t>
      </w:r>
    </w:p>
    <w:p w14:paraId="31EDBDC3" w14:textId="77777777" w:rsidR="00F64ED0" w:rsidRPr="00B33D67" w:rsidRDefault="0046604C" w:rsidP="005F4A6F">
      <w:pPr>
        <w:spacing w:before="80" w:after="360" w:line="240" w:lineRule="auto"/>
        <w:rPr>
          <w:i/>
          <w:sz w:val="16"/>
        </w:rPr>
      </w:pPr>
      <w:r w:rsidRPr="00B33D67">
        <w:rPr>
          <w:rFonts w:cs="Arial"/>
          <w:i/>
          <w:sz w:val="16"/>
        </w:rPr>
        <w:t>Source: ACMA-commissioned survey, June 2017.</w:t>
      </w:r>
    </w:p>
    <w:p w14:paraId="0895AB59" w14:textId="77777777" w:rsidR="0046604C" w:rsidRPr="00175058" w:rsidRDefault="0046604C" w:rsidP="0046604C">
      <w:pPr>
        <w:pStyle w:val="Heading3"/>
      </w:pPr>
      <w:r w:rsidRPr="00170AE5">
        <w:t xml:space="preserve">Concerns about content </w:t>
      </w:r>
      <w:r>
        <w:t xml:space="preserve">viewed online and via </w:t>
      </w:r>
      <w:r w:rsidR="004662EF">
        <w:t>TV</w:t>
      </w:r>
    </w:p>
    <w:p w14:paraId="70DB3013" w14:textId="77777777" w:rsidR="0046604C" w:rsidRDefault="004662EF" w:rsidP="0046604C">
      <w:r>
        <w:t>Of those who watched TV in the six months to June 2017, 21</w:t>
      </w:r>
      <w:r w:rsidR="0046604C">
        <w:t xml:space="preserve"> per cent had seen content that caused concern, compared to 15 per cent who had viewed concerning content online. Nevertheless, Australian adults are more concerned about content they view online (38 per cent) than on </w:t>
      </w:r>
      <w:r w:rsidR="0090368A">
        <w:t>TV</w:t>
      </w:r>
      <w:r w:rsidR="0046604C">
        <w:t xml:space="preserve"> (14 per cent).</w:t>
      </w:r>
    </w:p>
    <w:p w14:paraId="23D03254" w14:textId="77777777" w:rsidR="0046604C" w:rsidRDefault="0046604C" w:rsidP="0046604C">
      <w:r>
        <w:t xml:space="preserve">For adults who had watched online content, incorrect, false or misleading information </w:t>
      </w:r>
      <w:r w:rsidR="0090368A">
        <w:t xml:space="preserve">was </w:t>
      </w:r>
      <w:r>
        <w:t xml:space="preserve">of </w:t>
      </w:r>
      <w:r w:rsidR="0090368A">
        <w:t xml:space="preserve">greater </w:t>
      </w:r>
      <w:r>
        <w:t xml:space="preserve">concern (33 per cent) than among those who had seen concerning content on TV (31 per cent). For adults who watched TV, violence was of greatest concern, with two-thirds witnessing a level of violence that had caused </w:t>
      </w:r>
      <w:r w:rsidRPr="008132C8">
        <w:t>concern (Figure 3.16).</w:t>
      </w:r>
    </w:p>
    <w:p w14:paraId="052789E0" w14:textId="77777777" w:rsidR="0046604C" w:rsidRPr="006B3AE9" w:rsidRDefault="0046604C" w:rsidP="005F4A6F">
      <w:pPr>
        <w:pStyle w:val="ACMAFigureHeader"/>
      </w:pPr>
      <w:r>
        <w:t>Figure 3.16</w:t>
      </w:r>
      <w:r w:rsidRPr="006B3AE9">
        <w:tab/>
        <w:t xml:space="preserve">Types of content viewed online or on </w:t>
      </w:r>
      <w:r w:rsidR="0090368A">
        <w:t>TV</w:t>
      </w:r>
      <w:r w:rsidRPr="006B3AE9">
        <w:t xml:space="preserve"> that caused concern (percentage) </w:t>
      </w:r>
    </w:p>
    <w:p w14:paraId="58E1032E" w14:textId="55C4D597" w:rsidR="0046604C" w:rsidRDefault="00666C13" w:rsidP="00600D89">
      <w:pPr>
        <w:spacing w:after="120"/>
      </w:pPr>
      <w:r>
        <w:rPr>
          <w:noProof/>
        </w:rPr>
        <w:drawing>
          <wp:inline distT="0" distB="0" distL="0" distR="0" wp14:anchorId="7B42EC66" wp14:editId="232E5990">
            <wp:extent cx="5940425" cy="5558155"/>
            <wp:effectExtent l="0" t="0" r="3175" b="4445"/>
            <wp:docPr id="36" name="Picture 36" descr="Data for Figure 3.16 is in the .ods file for Chapter 3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H3 - charts_Figure 3.16.png"/>
                    <pic:cNvPicPr/>
                  </pic:nvPicPr>
                  <pic:blipFill>
                    <a:blip r:embed="rId102">
                      <a:extLst>
                        <a:ext uri="{28A0092B-C50C-407E-A947-70E740481C1C}">
                          <a14:useLocalDpi xmlns:a14="http://schemas.microsoft.com/office/drawing/2010/main" val="0"/>
                        </a:ext>
                      </a:extLst>
                    </a:blip>
                    <a:stretch>
                      <a:fillRect/>
                    </a:stretch>
                  </pic:blipFill>
                  <pic:spPr>
                    <a:xfrm>
                      <a:off x="0" y="0"/>
                      <a:ext cx="5940425" cy="5558155"/>
                    </a:xfrm>
                    <a:prstGeom prst="rect">
                      <a:avLst/>
                    </a:prstGeom>
                  </pic:spPr>
                </pic:pic>
              </a:graphicData>
            </a:graphic>
          </wp:inline>
        </w:drawing>
      </w:r>
    </w:p>
    <w:p w14:paraId="4B43ED60" w14:textId="77777777" w:rsidR="00776ACF" w:rsidRPr="006B3AE9" w:rsidRDefault="00776ACF" w:rsidP="005F4A6F">
      <w:pPr>
        <w:pStyle w:val="ACMANotes"/>
        <w:spacing w:before="240"/>
      </w:pPr>
      <w:bookmarkStart w:id="1130" w:name="_Toc462899614"/>
      <w:bookmarkStart w:id="1131" w:name="_Toc433790361"/>
      <w:bookmarkStart w:id="1132" w:name="_Toc463529109"/>
      <w:r w:rsidRPr="006B3AE9">
        <w:t xml:space="preserve">Base: Australians aged 18 who were concerned about content viewed recently, online (n=367) and on television (n=477). </w:t>
      </w:r>
    </w:p>
    <w:p w14:paraId="07F66AC6" w14:textId="77777777" w:rsidR="00776ACF" w:rsidRDefault="00776ACF" w:rsidP="005F4A6F">
      <w:pPr>
        <w:pStyle w:val="ACMANotesspaceafter"/>
        <w:spacing w:after="360"/>
      </w:pPr>
      <w:r w:rsidRPr="006B3AE9">
        <w:t>Source: ACMA-commissioned survey, June 2017.</w:t>
      </w:r>
    </w:p>
    <w:p w14:paraId="136ADAD1" w14:textId="77777777" w:rsidR="00776ACF" w:rsidRPr="00446CE5" w:rsidRDefault="00776ACF" w:rsidP="00776ACF">
      <w:pPr>
        <w:pStyle w:val="Heading3"/>
      </w:pPr>
      <w:bookmarkStart w:id="1133" w:name="_Toc494799439"/>
      <w:bookmarkStart w:id="1134" w:name="_Toc494805742"/>
      <w:bookmarkStart w:id="1135" w:name="_Toc494805974"/>
      <w:bookmarkStart w:id="1136" w:name="_Toc494808204"/>
      <w:bookmarkStart w:id="1137" w:name="_Toc494808858"/>
      <w:bookmarkStart w:id="1138" w:name="_Toc494816043"/>
      <w:bookmarkStart w:id="1139" w:name="_Toc494818872"/>
      <w:bookmarkStart w:id="1140" w:name="_Toc494819136"/>
      <w:bookmarkEnd w:id="1130"/>
      <w:bookmarkEnd w:id="1131"/>
      <w:bookmarkEnd w:id="1132"/>
      <w:r w:rsidRPr="00446CE5">
        <w:t>Technical experience</w:t>
      </w:r>
      <w:bookmarkEnd w:id="1133"/>
      <w:bookmarkEnd w:id="1134"/>
      <w:bookmarkEnd w:id="1135"/>
      <w:bookmarkEnd w:id="1136"/>
      <w:bookmarkEnd w:id="1137"/>
      <w:bookmarkEnd w:id="1138"/>
      <w:bookmarkEnd w:id="1139"/>
      <w:bookmarkEnd w:id="1140"/>
    </w:p>
    <w:p w14:paraId="05592FD6" w14:textId="77777777" w:rsidR="00776ACF" w:rsidRDefault="00776ACF" w:rsidP="00A90680">
      <w:pPr>
        <w:keepNext/>
        <w:keepLines/>
      </w:pPr>
      <w:r w:rsidRPr="00446CE5">
        <w:t xml:space="preserve">Eighty-seven per cent of Australians </w:t>
      </w:r>
      <w:r>
        <w:t xml:space="preserve">aged </w:t>
      </w:r>
      <w:r w:rsidRPr="00446CE5">
        <w:t>18 an</w:t>
      </w:r>
      <w:r w:rsidR="00ED4B00">
        <w:t>d</w:t>
      </w:r>
      <w:r w:rsidRPr="00446CE5">
        <w:t xml:space="preserve"> over </w:t>
      </w:r>
      <w:r>
        <w:t>were</w:t>
      </w:r>
      <w:r w:rsidRPr="00446CE5">
        <w:t xml:space="preserve"> satisfied with the technical quality of online video, including picture quality and pauses caused by buffering, in the last seven days. Twenty-six per cent were very satisfied, compared to 12 per cent who </w:t>
      </w:r>
      <w:r w:rsidR="00ED4B00">
        <w:t>were</w:t>
      </w:r>
      <w:r w:rsidRPr="00446CE5">
        <w:t xml:space="preserve"> dissatisfied</w:t>
      </w:r>
      <w:r>
        <w:t>. O</w:t>
      </w:r>
      <w:r w:rsidRPr="00446CE5">
        <w:t xml:space="preserve">nly </w:t>
      </w:r>
      <w:r>
        <w:t>three</w:t>
      </w:r>
      <w:r w:rsidRPr="00446CE5">
        <w:t xml:space="preserve"> per cent </w:t>
      </w:r>
      <w:r w:rsidR="00ED4B00">
        <w:t>were</w:t>
      </w:r>
      <w:r>
        <w:t xml:space="preserve"> </w:t>
      </w:r>
      <w:r w:rsidRPr="00446CE5">
        <w:t>very dissatisfied</w:t>
      </w:r>
      <w:r>
        <w:t xml:space="preserve"> (Table 3.1)</w:t>
      </w:r>
      <w:r w:rsidRPr="00446CE5">
        <w:t>.</w:t>
      </w:r>
    </w:p>
    <w:p w14:paraId="498CE927" w14:textId="77777777" w:rsidR="00776ACF" w:rsidRPr="001A3C79" w:rsidRDefault="00776ACF" w:rsidP="005F4A6F">
      <w:pPr>
        <w:keepNext/>
        <w:keepLines/>
        <w:spacing w:after="160"/>
        <w:rPr>
          <w:b/>
          <w:bCs/>
          <w:color w:val="323232"/>
          <w:szCs w:val="20"/>
        </w:rPr>
      </w:pPr>
      <w:r w:rsidRPr="001A3C79">
        <w:rPr>
          <w:b/>
          <w:bCs/>
          <w:color w:val="323232"/>
          <w:szCs w:val="20"/>
        </w:rPr>
        <w:t>Table 3.1</w:t>
      </w:r>
      <w:r w:rsidRPr="001A3C79">
        <w:rPr>
          <w:b/>
          <w:bCs/>
          <w:color w:val="323232"/>
          <w:szCs w:val="20"/>
        </w:rPr>
        <w:tab/>
        <w:t>Satisfaction with technical quality of online video, including catch-up TV services</w:t>
      </w:r>
    </w:p>
    <w:tbl>
      <w:tblPr>
        <w:tblW w:w="7483"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3.1  Satisfaction with technical quality of online video, including catch-up TV services"/>
      </w:tblPr>
      <w:tblGrid>
        <w:gridCol w:w="2989"/>
        <w:gridCol w:w="4494"/>
      </w:tblGrid>
      <w:tr w:rsidR="00776ACF" w:rsidRPr="004A0773" w14:paraId="0E600286" w14:textId="77777777" w:rsidTr="00F65D12">
        <w:trPr>
          <w:cantSplit/>
          <w:trHeight w:val="199"/>
          <w:tblHeader/>
        </w:trPr>
        <w:tc>
          <w:tcPr>
            <w:tcW w:w="2989" w:type="dxa"/>
            <w:tcBorders>
              <w:top w:val="nil"/>
              <w:left w:val="nil"/>
            </w:tcBorders>
            <w:shd w:val="clear" w:color="auto" w:fill="FFFFFF" w:themeFill="background1"/>
            <w:vAlign w:val="center"/>
          </w:tcPr>
          <w:p w14:paraId="3DD950CA" w14:textId="77777777" w:rsidR="00776ACF" w:rsidRPr="00EE11DD" w:rsidRDefault="00776ACF" w:rsidP="005F4A6F">
            <w:pPr>
              <w:pStyle w:val="TableHeading"/>
              <w:spacing w:before="0"/>
              <w:rPr>
                <w:b w:val="0"/>
              </w:rPr>
            </w:pPr>
          </w:p>
        </w:tc>
        <w:tc>
          <w:tcPr>
            <w:tcW w:w="4494" w:type="dxa"/>
            <w:shd w:val="clear" w:color="auto" w:fill="37897E"/>
            <w:vAlign w:val="center"/>
          </w:tcPr>
          <w:p w14:paraId="54FD2422" w14:textId="77777777" w:rsidR="00776ACF" w:rsidRPr="00EE11DD" w:rsidRDefault="00776ACF" w:rsidP="005F4A6F">
            <w:pPr>
              <w:pStyle w:val="TableHeading"/>
              <w:spacing w:before="0"/>
              <w:jc w:val="right"/>
              <w:rPr>
                <w:b w:val="0"/>
              </w:rPr>
            </w:pPr>
            <w:r w:rsidRPr="00F51704">
              <w:t>Technical quality satisfaction (%)</w:t>
            </w:r>
          </w:p>
        </w:tc>
      </w:tr>
      <w:tr w:rsidR="00776ACF" w:rsidRPr="004A0773" w14:paraId="67AB489F" w14:textId="77777777" w:rsidTr="00F65D12">
        <w:trPr>
          <w:cantSplit/>
          <w:trHeight w:val="23"/>
        </w:trPr>
        <w:tc>
          <w:tcPr>
            <w:tcW w:w="2989" w:type="dxa"/>
            <w:shd w:val="clear" w:color="auto" w:fill="auto"/>
            <w:vAlign w:val="center"/>
          </w:tcPr>
          <w:p w14:paraId="144D7DD0" w14:textId="77777777" w:rsidR="00776ACF" w:rsidRPr="00BF41CC" w:rsidRDefault="00776ACF" w:rsidP="005F4A6F">
            <w:pPr>
              <w:keepNext/>
              <w:keepLines/>
              <w:spacing w:after="0"/>
              <w:rPr>
                <w:sz w:val="18"/>
                <w:szCs w:val="18"/>
              </w:rPr>
            </w:pPr>
            <w:r w:rsidRPr="00BF41CC">
              <w:rPr>
                <w:sz w:val="18"/>
                <w:szCs w:val="18"/>
              </w:rPr>
              <w:t>Very satisfied</w:t>
            </w:r>
          </w:p>
        </w:tc>
        <w:tc>
          <w:tcPr>
            <w:tcW w:w="4494" w:type="dxa"/>
            <w:shd w:val="clear" w:color="auto" w:fill="auto"/>
            <w:vAlign w:val="center"/>
          </w:tcPr>
          <w:p w14:paraId="7BE051B3" w14:textId="77777777" w:rsidR="00776ACF" w:rsidRPr="00BF41CC" w:rsidRDefault="00776ACF" w:rsidP="005F4A6F">
            <w:pPr>
              <w:keepNext/>
              <w:keepLines/>
              <w:spacing w:after="0"/>
              <w:jc w:val="right"/>
              <w:rPr>
                <w:sz w:val="18"/>
                <w:szCs w:val="18"/>
              </w:rPr>
            </w:pPr>
            <w:r w:rsidRPr="00BF41CC">
              <w:rPr>
                <w:rFonts w:cs="Arial"/>
                <w:sz w:val="18"/>
                <w:szCs w:val="18"/>
              </w:rPr>
              <w:t>26</w:t>
            </w:r>
          </w:p>
        </w:tc>
      </w:tr>
      <w:tr w:rsidR="00776ACF" w:rsidRPr="004A0773" w14:paraId="3AFE155B" w14:textId="77777777" w:rsidTr="00F65D12">
        <w:trPr>
          <w:cantSplit/>
          <w:trHeight w:val="23"/>
        </w:trPr>
        <w:tc>
          <w:tcPr>
            <w:tcW w:w="2989" w:type="dxa"/>
            <w:shd w:val="clear" w:color="auto" w:fill="auto"/>
            <w:vAlign w:val="center"/>
          </w:tcPr>
          <w:p w14:paraId="310DDAB2" w14:textId="77777777" w:rsidR="00776ACF" w:rsidRPr="00BF41CC" w:rsidRDefault="00776ACF" w:rsidP="005F4A6F">
            <w:pPr>
              <w:keepNext/>
              <w:keepLines/>
              <w:spacing w:after="0"/>
              <w:rPr>
                <w:sz w:val="18"/>
                <w:szCs w:val="18"/>
              </w:rPr>
            </w:pPr>
            <w:r w:rsidRPr="00BF41CC">
              <w:rPr>
                <w:sz w:val="18"/>
                <w:szCs w:val="18"/>
              </w:rPr>
              <w:t>Satisfied</w:t>
            </w:r>
          </w:p>
        </w:tc>
        <w:tc>
          <w:tcPr>
            <w:tcW w:w="4494" w:type="dxa"/>
            <w:shd w:val="clear" w:color="auto" w:fill="auto"/>
            <w:vAlign w:val="center"/>
          </w:tcPr>
          <w:p w14:paraId="7B8BBDD2" w14:textId="77777777" w:rsidR="00776ACF" w:rsidRPr="00BF41CC" w:rsidRDefault="00776ACF" w:rsidP="005F4A6F">
            <w:pPr>
              <w:keepNext/>
              <w:keepLines/>
              <w:spacing w:after="0"/>
              <w:jc w:val="right"/>
              <w:rPr>
                <w:sz w:val="18"/>
                <w:szCs w:val="18"/>
              </w:rPr>
            </w:pPr>
            <w:r w:rsidRPr="00BF41CC">
              <w:rPr>
                <w:rFonts w:cs="Arial"/>
                <w:sz w:val="18"/>
                <w:szCs w:val="18"/>
              </w:rPr>
              <w:t>61</w:t>
            </w:r>
          </w:p>
        </w:tc>
      </w:tr>
      <w:tr w:rsidR="00776ACF" w:rsidRPr="004A0773" w14:paraId="6223FC1A" w14:textId="77777777" w:rsidTr="00F65D12">
        <w:trPr>
          <w:cantSplit/>
          <w:trHeight w:val="46"/>
        </w:trPr>
        <w:tc>
          <w:tcPr>
            <w:tcW w:w="2989" w:type="dxa"/>
            <w:shd w:val="clear" w:color="auto" w:fill="F2F2F2" w:themeFill="background1" w:themeFillShade="F2"/>
            <w:vAlign w:val="center"/>
          </w:tcPr>
          <w:p w14:paraId="40860579" w14:textId="77777777" w:rsidR="00776ACF" w:rsidRPr="00BF41CC" w:rsidRDefault="00776ACF" w:rsidP="005F4A6F">
            <w:pPr>
              <w:keepNext/>
              <w:keepLines/>
              <w:spacing w:after="0"/>
              <w:rPr>
                <w:sz w:val="18"/>
                <w:szCs w:val="18"/>
              </w:rPr>
            </w:pPr>
            <w:r w:rsidRPr="00BF41CC">
              <w:rPr>
                <w:b/>
                <w:sz w:val="18"/>
                <w:szCs w:val="18"/>
              </w:rPr>
              <w:t>Total satisfied</w:t>
            </w:r>
          </w:p>
        </w:tc>
        <w:tc>
          <w:tcPr>
            <w:tcW w:w="4494" w:type="dxa"/>
            <w:shd w:val="clear" w:color="auto" w:fill="F2F2F2" w:themeFill="background1" w:themeFillShade="F2"/>
            <w:vAlign w:val="center"/>
          </w:tcPr>
          <w:p w14:paraId="708CBC62" w14:textId="77777777" w:rsidR="00776ACF" w:rsidRPr="00BF41CC" w:rsidRDefault="00776ACF" w:rsidP="005F4A6F">
            <w:pPr>
              <w:keepNext/>
              <w:keepLines/>
              <w:spacing w:after="0"/>
              <w:jc w:val="right"/>
              <w:rPr>
                <w:sz w:val="18"/>
                <w:szCs w:val="18"/>
              </w:rPr>
            </w:pPr>
            <w:r w:rsidRPr="00BF41CC">
              <w:rPr>
                <w:rFonts w:cs="Arial"/>
                <w:b/>
                <w:sz w:val="18"/>
                <w:szCs w:val="18"/>
              </w:rPr>
              <w:t>87</w:t>
            </w:r>
          </w:p>
        </w:tc>
      </w:tr>
      <w:tr w:rsidR="00776ACF" w:rsidRPr="004A0773" w14:paraId="0BDBC154" w14:textId="77777777" w:rsidTr="00F65D12">
        <w:trPr>
          <w:cantSplit/>
          <w:trHeight w:val="23"/>
        </w:trPr>
        <w:tc>
          <w:tcPr>
            <w:tcW w:w="2989" w:type="dxa"/>
            <w:shd w:val="clear" w:color="auto" w:fill="auto"/>
            <w:vAlign w:val="center"/>
          </w:tcPr>
          <w:p w14:paraId="198B5F11" w14:textId="77777777" w:rsidR="00776ACF" w:rsidRPr="00BF41CC" w:rsidRDefault="00776ACF" w:rsidP="005F4A6F">
            <w:pPr>
              <w:keepNext/>
              <w:keepLines/>
              <w:spacing w:after="0"/>
              <w:rPr>
                <w:sz w:val="18"/>
                <w:szCs w:val="18"/>
              </w:rPr>
            </w:pPr>
            <w:r w:rsidRPr="00BF41CC">
              <w:rPr>
                <w:sz w:val="18"/>
                <w:szCs w:val="18"/>
              </w:rPr>
              <w:t>Dissatisfied</w:t>
            </w:r>
          </w:p>
        </w:tc>
        <w:tc>
          <w:tcPr>
            <w:tcW w:w="4494" w:type="dxa"/>
            <w:shd w:val="clear" w:color="auto" w:fill="auto"/>
            <w:vAlign w:val="center"/>
          </w:tcPr>
          <w:p w14:paraId="12CADF0D" w14:textId="77777777" w:rsidR="00776ACF" w:rsidRPr="00BF41CC" w:rsidRDefault="00776ACF" w:rsidP="005F4A6F">
            <w:pPr>
              <w:keepNext/>
              <w:keepLines/>
              <w:spacing w:after="0"/>
              <w:jc w:val="right"/>
              <w:rPr>
                <w:sz w:val="18"/>
                <w:szCs w:val="18"/>
              </w:rPr>
            </w:pPr>
            <w:r w:rsidRPr="00BF41CC">
              <w:rPr>
                <w:rFonts w:cs="Arial"/>
                <w:sz w:val="18"/>
                <w:szCs w:val="18"/>
              </w:rPr>
              <w:t>9</w:t>
            </w:r>
          </w:p>
        </w:tc>
      </w:tr>
      <w:tr w:rsidR="00776ACF" w:rsidRPr="004A0773" w14:paraId="2CAD42E3" w14:textId="77777777" w:rsidTr="00F65D12">
        <w:trPr>
          <w:cantSplit/>
          <w:trHeight w:val="23"/>
        </w:trPr>
        <w:tc>
          <w:tcPr>
            <w:tcW w:w="2989" w:type="dxa"/>
            <w:shd w:val="clear" w:color="auto" w:fill="auto"/>
            <w:vAlign w:val="center"/>
          </w:tcPr>
          <w:p w14:paraId="0894718F" w14:textId="77777777" w:rsidR="00776ACF" w:rsidRPr="00BF41CC" w:rsidRDefault="00776ACF" w:rsidP="005F4A6F">
            <w:pPr>
              <w:keepNext/>
              <w:keepLines/>
              <w:spacing w:after="0"/>
              <w:rPr>
                <w:sz w:val="18"/>
                <w:szCs w:val="18"/>
              </w:rPr>
            </w:pPr>
            <w:r w:rsidRPr="00BF41CC">
              <w:rPr>
                <w:sz w:val="18"/>
                <w:szCs w:val="18"/>
              </w:rPr>
              <w:t>Very dissatisfied</w:t>
            </w:r>
          </w:p>
        </w:tc>
        <w:tc>
          <w:tcPr>
            <w:tcW w:w="4494" w:type="dxa"/>
            <w:shd w:val="clear" w:color="auto" w:fill="auto"/>
            <w:vAlign w:val="center"/>
          </w:tcPr>
          <w:p w14:paraId="41D53DB6" w14:textId="77777777" w:rsidR="00776ACF" w:rsidRPr="00BF41CC" w:rsidRDefault="00776ACF" w:rsidP="005F4A6F">
            <w:pPr>
              <w:keepNext/>
              <w:keepLines/>
              <w:spacing w:after="0"/>
              <w:jc w:val="right"/>
              <w:rPr>
                <w:sz w:val="18"/>
                <w:szCs w:val="18"/>
              </w:rPr>
            </w:pPr>
            <w:r w:rsidRPr="00BF41CC">
              <w:rPr>
                <w:rFonts w:cs="Arial"/>
                <w:sz w:val="18"/>
                <w:szCs w:val="18"/>
              </w:rPr>
              <w:t>3</w:t>
            </w:r>
          </w:p>
        </w:tc>
      </w:tr>
      <w:tr w:rsidR="00776ACF" w:rsidRPr="004A0773" w14:paraId="2958AFF7" w14:textId="77777777" w:rsidTr="00F65D12">
        <w:trPr>
          <w:cantSplit/>
          <w:trHeight w:val="23"/>
        </w:trPr>
        <w:tc>
          <w:tcPr>
            <w:tcW w:w="2989" w:type="dxa"/>
            <w:shd w:val="clear" w:color="auto" w:fill="F2F2F2" w:themeFill="background1" w:themeFillShade="F2"/>
            <w:vAlign w:val="center"/>
          </w:tcPr>
          <w:p w14:paraId="0DEBDB28" w14:textId="77777777" w:rsidR="00776ACF" w:rsidRPr="00BF41CC" w:rsidRDefault="00776ACF" w:rsidP="005F4A6F">
            <w:pPr>
              <w:keepNext/>
              <w:keepLines/>
              <w:spacing w:after="0"/>
              <w:rPr>
                <w:sz w:val="18"/>
                <w:szCs w:val="18"/>
              </w:rPr>
            </w:pPr>
            <w:r w:rsidRPr="00BF41CC">
              <w:rPr>
                <w:b/>
                <w:sz w:val="18"/>
                <w:szCs w:val="18"/>
              </w:rPr>
              <w:t>Total dissatisfied</w:t>
            </w:r>
          </w:p>
        </w:tc>
        <w:tc>
          <w:tcPr>
            <w:tcW w:w="4494" w:type="dxa"/>
            <w:shd w:val="clear" w:color="auto" w:fill="F2F2F2" w:themeFill="background1" w:themeFillShade="F2"/>
            <w:vAlign w:val="center"/>
          </w:tcPr>
          <w:p w14:paraId="2C433518" w14:textId="77777777" w:rsidR="00776ACF" w:rsidRPr="00BF41CC" w:rsidRDefault="00776ACF" w:rsidP="005F4A6F">
            <w:pPr>
              <w:keepNext/>
              <w:keepLines/>
              <w:spacing w:after="0"/>
              <w:jc w:val="right"/>
              <w:rPr>
                <w:sz w:val="18"/>
                <w:szCs w:val="18"/>
              </w:rPr>
            </w:pPr>
            <w:r w:rsidRPr="00BF41CC">
              <w:rPr>
                <w:rFonts w:cs="Arial"/>
                <w:b/>
                <w:sz w:val="18"/>
                <w:szCs w:val="18"/>
              </w:rPr>
              <w:t>12</w:t>
            </w:r>
          </w:p>
        </w:tc>
      </w:tr>
      <w:tr w:rsidR="00776ACF" w:rsidRPr="004A0773" w14:paraId="05BE6BAA" w14:textId="77777777" w:rsidTr="00F65D12">
        <w:trPr>
          <w:cantSplit/>
          <w:trHeight w:val="23"/>
        </w:trPr>
        <w:tc>
          <w:tcPr>
            <w:tcW w:w="2989" w:type="dxa"/>
            <w:shd w:val="clear" w:color="auto" w:fill="auto"/>
            <w:vAlign w:val="center"/>
          </w:tcPr>
          <w:p w14:paraId="4A634CD4" w14:textId="77777777" w:rsidR="00776ACF" w:rsidRPr="00BF41CC" w:rsidRDefault="00776ACF" w:rsidP="005F4A6F">
            <w:pPr>
              <w:keepNext/>
              <w:keepLines/>
              <w:spacing w:after="0"/>
              <w:rPr>
                <w:sz w:val="18"/>
                <w:szCs w:val="18"/>
              </w:rPr>
            </w:pPr>
            <w:r w:rsidRPr="00BF41CC">
              <w:rPr>
                <w:sz w:val="18"/>
                <w:szCs w:val="18"/>
              </w:rPr>
              <w:t>Don’t know/not applicable</w:t>
            </w:r>
          </w:p>
        </w:tc>
        <w:tc>
          <w:tcPr>
            <w:tcW w:w="4494" w:type="dxa"/>
            <w:shd w:val="clear" w:color="auto" w:fill="auto"/>
            <w:vAlign w:val="center"/>
          </w:tcPr>
          <w:p w14:paraId="5E874066" w14:textId="77777777" w:rsidR="00776ACF" w:rsidRPr="00BF41CC" w:rsidRDefault="00A90680" w:rsidP="005F4A6F">
            <w:pPr>
              <w:keepNext/>
              <w:keepLines/>
              <w:spacing w:after="0"/>
              <w:jc w:val="right"/>
              <w:rPr>
                <w:b/>
                <w:i/>
                <w:sz w:val="18"/>
                <w:szCs w:val="18"/>
              </w:rPr>
            </w:pPr>
            <w:r>
              <w:rPr>
                <w:rFonts w:cs="Arial"/>
                <w:sz w:val="18"/>
                <w:szCs w:val="18"/>
              </w:rPr>
              <w:t>&lt;</w:t>
            </w:r>
            <w:r w:rsidR="00776ACF" w:rsidRPr="00BF41CC">
              <w:rPr>
                <w:rFonts w:cs="Arial"/>
                <w:sz w:val="18"/>
                <w:szCs w:val="18"/>
              </w:rPr>
              <w:t>1</w:t>
            </w:r>
          </w:p>
        </w:tc>
      </w:tr>
    </w:tbl>
    <w:p w14:paraId="75350DBB" w14:textId="77777777" w:rsidR="00776ACF" w:rsidRDefault="00776ACF" w:rsidP="00D92649">
      <w:pPr>
        <w:pStyle w:val="ACMANotes"/>
        <w:spacing w:before="120"/>
      </w:pPr>
      <w:r w:rsidRPr="00417C23">
        <w:t xml:space="preserve">Base: Australians aged 18 and over who watched online content in the last seven days (n=987). </w:t>
      </w:r>
    </w:p>
    <w:p w14:paraId="0F5CA8E3" w14:textId="77777777" w:rsidR="00776ACF" w:rsidRPr="001A3C79" w:rsidRDefault="00776ACF" w:rsidP="00776ACF">
      <w:pPr>
        <w:pStyle w:val="ACMANotes"/>
      </w:pPr>
      <w:r w:rsidRPr="001A3C79">
        <w:t>Note: Data may not add up to category totals due to rounding.</w:t>
      </w:r>
    </w:p>
    <w:p w14:paraId="70C7B9F2" w14:textId="77777777" w:rsidR="00776ACF" w:rsidRPr="001A3C79" w:rsidRDefault="00776ACF" w:rsidP="00A54C72">
      <w:pPr>
        <w:pStyle w:val="ACMANotesspaceafter"/>
        <w:spacing w:after="360"/>
      </w:pPr>
      <w:r w:rsidRPr="001A3C79">
        <w:t>Source: ACMA-commissioned survey, June 201</w:t>
      </w:r>
      <w:r>
        <w:t>7</w:t>
      </w:r>
      <w:r w:rsidRPr="001A3C79">
        <w:t>.</w:t>
      </w:r>
    </w:p>
    <w:p w14:paraId="39355C92" w14:textId="77777777" w:rsidR="00776ACF" w:rsidRPr="001A3C79" w:rsidRDefault="00776ACF" w:rsidP="00776ACF">
      <w:pPr>
        <w:pStyle w:val="Heading2"/>
        <w:numPr>
          <w:ilvl w:val="1"/>
          <w:numId w:val="18"/>
        </w:numPr>
      </w:pPr>
      <w:bookmarkStart w:id="1141" w:name="_Toc462899615"/>
      <w:bookmarkStart w:id="1142" w:name="_Toc433790365"/>
      <w:bookmarkStart w:id="1143" w:name="_Toc463529110"/>
      <w:bookmarkStart w:id="1144" w:name="_Toc494799440"/>
      <w:bookmarkStart w:id="1145" w:name="_Toc494805743"/>
      <w:bookmarkStart w:id="1146" w:name="_Toc494805976"/>
      <w:bookmarkStart w:id="1147" w:name="_Toc494808206"/>
      <w:bookmarkStart w:id="1148" w:name="_Toc494808860"/>
      <w:bookmarkStart w:id="1149" w:name="_Toc494816044"/>
      <w:bookmarkStart w:id="1150" w:name="_Toc494818874"/>
      <w:bookmarkStart w:id="1151" w:name="_Toc494819137"/>
      <w:bookmarkStart w:id="1152" w:name="_Toc500320912"/>
      <w:r w:rsidRPr="001A3C79">
        <w:t>Online news services</w:t>
      </w:r>
      <w:bookmarkEnd w:id="1141"/>
      <w:bookmarkEnd w:id="1142"/>
      <w:bookmarkEnd w:id="1143"/>
      <w:bookmarkEnd w:id="1144"/>
      <w:bookmarkEnd w:id="1145"/>
      <w:bookmarkEnd w:id="1146"/>
      <w:bookmarkEnd w:id="1147"/>
      <w:bookmarkEnd w:id="1148"/>
      <w:bookmarkEnd w:id="1149"/>
      <w:bookmarkEnd w:id="1150"/>
      <w:bookmarkEnd w:id="1151"/>
      <w:bookmarkEnd w:id="1152"/>
    </w:p>
    <w:p w14:paraId="4F2D16FE" w14:textId="77777777" w:rsidR="00776ACF" w:rsidRPr="0059200C" w:rsidRDefault="00776ACF" w:rsidP="00776ACF">
      <w:r>
        <w:t xml:space="preserve">More Australians are accessing </w:t>
      </w:r>
      <w:r w:rsidRPr="008C4651">
        <w:t>their news online</w:t>
      </w:r>
      <w:r>
        <w:t>.</w:t>
      </w:r>
      <w:r w:rsidRPr="008C4651">
        <w:t xml:space="preserve"> </w:t>
      </w:r>
      <w:r>
        <w:t>I</w:t>
      </w:r>
      <w:r w:rsidRPr="008C4651">
        <w:t>n the six months to June 201</w:t>
      </w:r>
      <w:r>
        <w:t>7</w:t>
      </w:r>
      <w:r w:rsidRPr="008C4651">
        <w:t xml:space="preserve">, </w:t>
      </w:r>
      <w:r w:rsidR="00135B97">
        <w:t>12.73</w:t>
      </w:r>
      <w:r w:rsidRPr="008C4651">
        <w:t xml:space="preserve"> million Australians accessed an online news site.</w:t>
      </w:r>
      <w:r w:rsidRPr="008C4651">
        <w:rPr>
          <w:vertAlign w:val="superscript"/>
        </w:rPr>
        <w:endnoteReference w:id="212"/>
      </w:r>
      <w:r w:rsidRPr="001A3C79">
        <w:t xml:space="preserve"> </w:t>
      </w:r>
      <w:r>
        <w:t xml:space="preserve">Younger Australians are using social media as their main source </w:t>
      </w:r>
      <w:r w:rsidR="00ED4B00">
        <w:t xml:space="preserve">of </w:t>
      </w:r>
      <w:r>
        <w:t xml:space="preserve">news and </w:t>
      </w:r>
      <w:r w:rsidR="00ED4B00">
        <w:t>more</w:t>
      </w:r>
      <w:r>
        <w:t xml:space="preserve"> free online sources</w:t>
      </w:r>
      <w:r w:rsidR="00ED4B00">
        <w:t xml:space="preserve"> means</w:t>
      </w:r>
      <w:r>
        <w:t xml:space="preserve"> competition between news sources has intensified. </w:t>
      </w:r>
    </w:p>
    <w:p w14:paraId="0FD7F2D5" w14:textId="77777777" w:rsidR="00776ACF" w:rsidRDefault="00776ACF" w:rsidP="00776ACF">
      <w:r>
        <w:t xml:space="preserve">Research undertaken by the </w:t>
      </w:r>
      <w:r>
        <w:rPr>
          <w:rFonts w:cs="Arial"/>
          <w:szCs w:val="16"/>
        </w:rPr>
        <w:t>News and</w:t>
      </w:r>
      <w:r w:rsidRPr="00EE11DD">
        <w:rPr>
          <w:rFonts w:cs="Arial"/>
          <w:szCs w:val="16"/>
        </w:rPr>
        <w:t xml:space="preserve"> Media Research Centre</w:t>
      </w:r>
      <w:r>
        <w:t xml:space="preserve"> indicates that a growing number of Australians are choosing to consume their news via digital platforms. In 2017</w:t>
      </w:r>
      <w:r w:rsidR="00600D89">
        <w:t>,</w:t>
      </w:r>
      <w:r w:rsidR="004F1002">
        <w:t xml:space="preserve"> a survey conducted by News and Media Research Centre found that</w:t>
      </w:r>
      <w:r>
        <w:t xml:space="preserve"> 53 per cent of Australians accessed news sources more than once a day, with those aged 18–24 the lightest users. </w:t>
      </w:r>
      <w:r w:rsidR="00ED4B00">
        <w:t xml:space="preserve">TV </w:t>
      </w:r>
      <w:r>
        <w:t>was the most common source of news, watched by 63 per cent of adults in the seven days prior to the survey, while social media-based news sites remained popular, despite a decline from 55 per cent in 2016 to 48</w:t>
      </w:r>
      <w:r w:rsidR="00ED4B00">
        <w:t> </w:t>
      </w:r>
      <w:r>
        <w:t>per cent in 2017.</w:t>
      </w:r>
      <w:r>
        <w:rPr>
          <w:rStyle w:val="EndnoteReference"/>
        </w:rPr>
        <w:endnoteReference w:id="213"/>
      </w:r>
    </w:p>
    <w:p w14:paraId="6A8B7FB6" w14:textId="77777777" w:rsidR="00776ACF" w:rsidRDefault="00776ACF" w:rsidP="00776ACF">
      <w:r>
        <w:t>For Australia</w:t>
      </w:r>
      <w:r w:rsidR="00ED4B00">
        <w:t>n</w:t>
      </w:r>
      <w:r>
        <w:t xml:space="preserve"> adults, the preferred source of news in June 2017 was terrestrial TV </w:t>
      </w:r>
      <w:r w:rsidR="00ED4B00">
        <w:t>(</w:t>
      </w:r>
      <w:r>
        <w:t>38 per cent</w:t>
      </w:r>
      <w:r w:rsidR="00ED4B00">
        <w:t>)</w:t>
      </w:r>
      <w:r>
        <w:t xml:space="preserve">, with websites at 27 per cent and social media at 17 per cent. Of all the age cohorts surveyed, only </w:t>
      </w:r>
      <w:r w:rsidR="00ED4B00">
        <w:t xml:space="preserve">those aged </w:t>
      </w:r>
      <w:r>
        <w:t xml:space="preserve">18–24 used social media as their main news source </w:t>
      </w:r>
      <w:r w:rsidR="00ED4B00">
        <w:t>(</w:t>
      </w:r>
      <w:r>
        <w:t>38 per cent</w:t>
      </w:r>
      <w:r w:rsidR="00ED4B00">
        <w:t>)</w:t>
      </w:r>
      <w:r>
        <w:t xml:space="preserve">, </w:t>
      </w:r>
      <w:r w:rsidR="00ED4B00">
        <w:t>al</w:t>
      </w:r>
      <w:r>
        <w:t>though this declined from 41 per cent in 2016. The TV set was the main news source for Australians aged 35 and over.</w:t>
      </w:r>
      <w:r>
        <w:rPr>
          <w:rStyle w:val="EndnoteReference"/>
        </w:rPr>
        <w:endnoteReference w:id="214"/>
      </w:r>
    </w:p>
    <w:p w14:paraId="04AF5B03" w14:textId="77777777" w:rsidR="00776ACF" w:rsidRPr="0059200C" w:rsidRDefault="00776ACF" w:rsidP="00776ACF">
      <w:r>
        <w:t xml:space="preserve">Australians are still largely reluctant to pay for news, with the wide availability of free online sources cited as the main deterrent in paying for </w:t>
      </w:r>
      <w:r w:rsidRPr="00AB19AE">
        <w:t>news.</w:t>
      </w:r>
      <w:r w:rsidRPr="00AB19AE">
        <w:rPr>
          <w:rStyle w:val="EndnoteReference"/>
        </w:rPr>
        <w:endnoteReference w:id="215"/>
      </w:r>
      <w:r w:rsidRPr="00AB19AE">
        <w:t xml:space="preserve"> Industry research indicates that in 2016, only 13 per cent of people paid for news, an increase from 10 per cent in 2015</w:t>
      </w:r>
      <w:r>
        <w:t xml:space="preserve">. Those who </w:t>
      </w:r>
      <w:r w:rsidR="00ED4B00">
        <w:t>used</w:t>
      </w:r>
      <w:r>
        <w:t xml:space="preserve"> social media as their main source of news had the lowest likelihood of paying for news </w:t>
      </w:r>
      <w:r w:rsidR="00ED4B00">
        <w:t>(</w:t>
      </w:r>
      <w:r>
        <w:t>five per cent</w:t>
      </w:r>
      <w:r w:rsidR="00ED4B00">
        <w:t>)</w:t>
      </w:r>
      <w:r>
        <w:t>, while 83 per cent of those who had not paid for news would not be willing to pay for it in the next 12 months.</w:t>
      </w:r>
      <w:r>
        <w:rPr>
          <w:rStyle w:val="EndnoteReference"/>
        </w:rPr>
        <w:endnoteReference w:id="216"/>
      </w:r>
    </w:p>
    <w:p w14:paraId="56433929" w14:textId="6FC623F8" w:rsidR="00776ACF" w:rsidRDefault="00776ACF" w:rsidP="00776ACF">
      <w:pPr>
        <w:pStyle w:val="ACMASpaceaftertable"/>
      </w:pPr>
      <w:r>
        <w:t>The diversity of online referrals</w:t>
      </w:r>
      <w:r w:rsidR="00ED4B00">
        <w:rPr>
          <w:rStyle w:val="EndnoteReference"/>
        </w:rPr>
        <w:endnoteReference w:id="217"/>
      </w:r>
      <w:r>
        <w:t xml:space="preserve"> of news and entertainment has decreased in recent years. In 2016, Facebook and Google accounted for three</w:t>
      </w:r>
      <w:r w:rsidR="008D7DAC">
        <w:t>-</w:t>
      </w:r>
      <w:r>
        <w:t xml:space="preserve">quarters (75 per cent) of all referrals </w:t>
      </w:r>
      <w:r w:rsidR="003D34D5">
        <w:t xml:space="preserve">to </w:t>
      </w:r>
      <w:r>
        <w:t>major news and entertainment sites, with Facebook (40 per cent) superseding Google (35 per cent) for the first time.</w:t>
      </w:r>
      <w:r>
        <w:rPr>
          <w:rStyle w:val="EndnoteReference"/>
        </w:rPr>
        <w:endnoteReference w:id="218"/>
      </w:r>
      <w:r>
        <w:t xml:space="preserve"> </w:t>
      </w:r>
      <w:r w:rsidR="008D7DAC">
        <w:t>F</w:t>
      </w:r>
      <w:r>
        <w:t>our years ago</w:t>
      </w:r>
      <w:r w:rsidR="008D7DAC">
        <w:t>,</w:t>
      </w:r>
      <w:r>
        <w:t xml:space="preserve"> Google accounted for 40 per cent and Facebook 12 per cent of referrals. With Facebook</w:t>
      </w:r>
      <w:r w:rsidR="00600D89">
        <w:t> </w:t>
      </w:r>
      <w:r>
        <w:t xml:space="preserve">and Google accounting for such a larger percentage, </w:t>
      </w:r>
      <w:r w:rsidR="00E057BF">
        <w:t xml:space="preserve">fewer </w:t>
      </w:r>
      <w:r>
        <w:t>than one</w:t>
      </w:r>
      <w:r w:rsidR="008D7DAC">
        <w:t>-</w:t>
      </w:r>
      <w:r>
        <w:t>quarter come directly to a</w:t>
      </w:r>
      <w:r w:rsidR="00533D29">
        <w:t> </w:t>
      </w:r>
      <w:r>
        <w:t>site or app.</w:t>
      </w:r>
      <w:r>
        <w:rPr>
          <w:rStyle w:val="EndnoteReference"/>
        </w:rPr>
        <w:endnoteReference w:id="219"/>
      </w:r>
    </w:p>
    <w:p w14:paraId="6BF4C723" w14:textId="77777777" w:rsidR="00776ACF" w:rsidRDefault="00776ACF" w:rsidP="00600D89">
      <w:pPr>
        <w:pStyle w:val="ACMASpaceaftertable"/>
        <w:keepNext/>
        <w:keepLines/>
      </w:pPr>
      <w:r>
        <w:t>With the advances of digital and online news, traditional newspapers have transformed in recent years into multi-platform news providers. While print newspaper circulation has continued to decline, digital newspaper circulation has increased. In 2016, the combined readership of print and digital newspapers was nearly 17 million Australians, compared to 16.4 million in 2015. Sixty per cent used both print and digital, while 19 per cent used digital only and 21 per cent used traditional print for their news.</w:t>
      </w:r>
      <w:r>
        <w:rPr>
          <w:rStyle w:val="EndnoteReference"/>
        </w:rPr>
        <w:endnoteReference w:id="220"/>
      </w:r>
      <w:r>
        <w:t xml:space="preserve"> </w:t>
      </w:r>
    </w:p>
    <w:p w14:paraId="2888837A" w14:textId="77777777" w:rsidR="00776ACF" w:rsidRPr="001A3C79" w:rsidRDefault="00776ACF" w:rsidP="00776ACF">
      <w:r>
        <w:t xml:space="preserve">The research showed the most accessed online </w:t>
      </w:r>
      <w:r w:rsidR="00590EB5">
        <w:t xml:space="preserve">news </w:t>
      </w:r>
      <w:r>
        <w:t>platforms were news.com.au</w:t>
      </w:r>
      <w:r w:rsidR="00590EB5">
        <w:t>,</w:t>
      </w:r>
      <w:r>
        <w:t xml:space="preserve"> with 24 per cent accessing the site in the last seven days, ABC News Online and nine.com.au (Table 3.2).</w:t>
      </w:r>
    </w:p>
    <w:p w14:paraId="1828993E" w14:textId="77777777" w:rsidR="00776ACF" w:rsidRPr="001A3C79" w:rsidRDefault="00776ACF" w:rsidP="00A54C72">
      <w:pPr>
        <w:spacing w:after="160"/>
        <w:ind w:left="993" w:hanging="964"/>
        <w:rPr>
          <w:b/>
          <w:bCs/>
          <w:color w:val="323232"/>
          <w:szCs w:val="20"/>
        </w:rPr>
      </w:pPr>
      <w:r>
        <w:rPr>
          <w:b/>
          <w:bCs/>
          <w:color w:val="323232"/>
          <w:szCs w:val="20"/>
        </w:rPr>
        <w:t>Table 3.2</w:t>
      </w:r>
      <w:r w:rsidRPr="001A3C79">
        <w:rPr>
          <w:b/>
          <w:bCs/>
          <w:color w:val="323232"/>
          <w:szCs w:val="20"/>
        </w:rPr>
        <w:tab/>
      </w:r>
      <w:r>
        <w:rPr>
          <w:b/>
          <w:bCs/>
          <w:color w:val="323232"/>
          <w:szCs w:val="20"/>
        </w:rPr>
        <w:t>News brands used via online platforms in the last seven days (percentage)</w:t>
      </w:r>
    </w:p>
    <w:tbl>
      <w:tblPr>
        <w:tblW w:w="734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3.3  Top 10 by unique audience, current events and global news sub-category, June 2016 "/>
      </w:tblPr>
      <w:tblGrid>
        <w:gridCol w:w="5215"/>
        <w:gridCol w:w="2126"/>
      </w:tblGrid>
      <w:tr w:rsidR="00776ACF" w:rsidRPr="005220F6" w14:paraId="2B6E6B06" w14:textId="77777777" w:rsidTr="00F65D12">
        <w:trPr>
          <w:trHeight w:val="23"/>
          <w:tblHeader/>
        </w:trPr>
        <w:tc>
          <w:tcPr>
            <w:tcW w:w="5215" w:type="dxa"/>
            <w:shd w:val="clear" w:color="auto" w:fill="37897E"/>
            <w:vAlign w:val="center"/>
          </w:tcPr>
          <w:p w14:paraId="688BA2A8" w14:textId="77777777" w:rsidR="00776ACF" w:rsidRPr="00D9021F" w:rsidRDefault="00776ACF" w:rsidP="00A54C72">
            <w:pPr>
              <w:pStyle w:val="TableHeading"/>
              <w:spacing w:before="0"/>
              <w:rPr>
                <w:rFonts w:cs="Arial"/>
                <w:szCs w:val="18"/>
              </w:rPr>
            </w:pPr>
            <w:r w:rsidRPr="00D9021F">
              <w:rPr>
                <w:rFonts w:cs="Arial"/>
                <w:szCs w:val="18"/>
              </w:rPr>
              <w:t>Brand</w:t>
            </w:r>
          </w:p>
        </w:tc>
        <w:tc>
          <w:tcPr>
            <w:tcW w:w="2126" w:type="dxa"/>
            <w:shd w:val="clear" w:color="auto" w:fill="37897E"/>
            <w:vAlign w:val="center"/>
          </w:tcPr>
          <w:p w14:paraId="4FEBFDA4" w14:textId="77777777" w:rsidR="00776ACF" w:rsidRPr="00D9021F" w:rsidRDefault="00776ACF" w:rsidP="00A54C72">
            <w:pPr>
              <w:pStyle w:val="TableHeading"/>
              <w:spacing w:before="0"/>
              <w:jc w:val="right"/>
              <w:rPr>
                <w:rFonts w:cs="Arial"/>
                <w:szCs w:val="18"/>
              </w:rPr>
            </w:pPr>
            <w:r w:rsidRPr="00D9021F">
              <w:rPr>
                <w:rFonts w:cs="Arial"/>
                <w:szCs w:val="18"/>
              </w:rPr>
              <w:t xml:space="preserve">% </w:t>
            </w:r>
          </w:p>
        </w:tc>
      </w:tr>
      <w:tr w:rsidR="00776ACF" w:rsidRPr="005220F6" w14:paraId="2C03AB74" w14:textId="77777777" w:rsidTr="00F65D12">
        <w:trPr>
          <w:trHeight w:val="67"/>
        </w:trPr>
        <w:tc>
          <w:tcPr>
            <w:tcW w:w="5215" w:type="dxa"/>
            <w:shd w:val="clear" w:color="auto" w:fill="auto"/>
            <w:vAlign w:val="center"/>
          </w:tcPr>
          <w:p w14:paraId="460C94FA" w14:textId="77777777" w:rsidR="00776ACF" w:rsidRPr="005220F6" w:rsidRDefault="00776ACF" w:rsidP="00A54C72">
            <w:pPr>
              <w:pStyle w:val="TableBody"/>
              <w:rPr>
                <w:rFonts w:cs="Arial"/>
                <w:sz w:val="18"/>
                <w:szCs w:val="18"/>
              </w:rPr>
            </w:pPr>
            <w:r w:rsidRPr="005220F6">
              <w:rPr>
                <w:rFonts w:cs="Arial"/>
                <w:sz w:val="18"/>
                <w:szCs w:val="18"/>
              </w:rPr>
              <w:t>news.com.au</w:t>
            </w:r>
          </w:p>
        </w:tc>
        <w:tc>
          <w:tcPr>
            <w:tcW w:w="2126" w:type="dxa"/>
            <w:shd w:val="clear" w:color="auto" w:fill="auto"/>
            <w:vAlign w:val="center"/>
          </w:tcPr>
          <w:p w14:paraId="6BBC25D1" w14:textId="77777777" w:rsidR="00776ACF" w:rsidRPr="005220F6" w:rsidRDefault="00776ACF" w:rsidP="00A54C72">
            <w:pPr>
              <w:pStyle w:val="TableBody"/>
              <w:jc w:val="right"/>
              <w:rPr>
                <w:rFonts w:cs="Arial"/>
                <w:sz w:val="18"/>
                <w:szCs w:val="18"/>
              </w:rPr>
            </w:pPr>
            <w:r w:rsidRPr="005220F6">
              <w:rPr>
                <w:rFonts w:cs="Arial"/>
                <w:sz w:val="18"/>
                <w:szCs w:val="18"/>
              </w:rPr>
              <w:t>23.9</w:t>
            </w:r>
          </w:p>
        </w:tc>
      </w:tr>
      <w:tr w:rsidR="00776ACF" w:rsidRPr="005220F6" w14:paraId="5EF83D0F" w14:textId="77777777" w:rsidTr="00F65D12">
        <w:trPr>
          <w:trHeight w:val="100"/>
        </w:trPr>
        <w:tc>
          <w:tcPr>
            <w:tcW w:w="5215" w:type="dxa"/>
            <w:shd w:val="clear" w:color="auto" w:fill="auto"/>
            <w:vAlign w:val="center"/>
          </w:tcPr>
          <w:p w14:paraId="23D5439B" w14:textId="77777777" w:rsidR="00776ACF" w:rsidRPr="005220F6" w:rsidRDefault="00776ACF" w:rsidP="00A54C72">
            <w:pPr>
              <w:pStyle w:val="TableBody"/>
              <w:rPr>
                <w:rFonts w:cs="Arial"/>
                <w:sz w:val="18"/>
                <w:szCs w:val="18"/>
              </w:rPr>
            </w:pPr>
            <w:r w:rsidRPr="005220F6">
              <w:rPr>
                <w:rFonts w:cs="Arial"/>
                <w:sz w:val="18"/>
                <w:szCs w:val="18"/>
              </w:rPr>
              <w:t>ABC News Online</w:t>
            </w:r>
          </w:p>
        </w:tc>
        <w:tc>
          <w:tcPr>
            <w:tcW w:w="2126" w:type="dxa"/>
            <w:shd w:val="clear" w:color="auto" w:fill="auto"/>
            <w:vAlign w:val="center"/>
          </w:tcPr>
          <w:p w14:paraId="478F4934" w14:textId="77777777" w:rsidR="00776ACF" w:rsidRPr="005220F6" w:rsidRDefault="00776ACF" w:rsidP="00A54C72">
            <w:pPr>
              <w:pStyle w:val="TableBody"/>
              <w:jc w:val="right"/>
              <w:rPr>
                <w:rFonts w:cs="Arial"/>
                <w:sz w:val="18"/>
                <w:szCs w:val="18"/>
              </w:rPr>
            </w:pPr>
            <w:r w:rsidRPr="005220F6">
              <w:rPr>
                <w:rFonts w:cs="Arial"/>
                <w:sz w:val="18"/>
                <w:szCs w:val="18"/>
              </w:rPr>
              <w:t>22.3</w:t>
            </w:r>
          </w:p>
        </w:tc>
      </w:tr>
      <w:tr w:rsidR="00776ACF" w:rsidRPr="005220F6" w14:paraId="0DA9F8A5" w14:textId="77777777" w:rsidTr="00F65D12">
        <w:trPr>
          <w:trHeight w:val="162"/>
        </w:trPr>
        <w:tc>
          <w:tcPr>
            <w:tcW w:w="5215" w:type="dxa"/>
            <w:shd w:val="clear" w:color="auto" w:fill="auto"/>
            <w:vAlign w:val="center"/>
          </w:tcPr>
          <w:p w14:paraId="744B5B3D" w14:textId="77777777" w:rsidR="00776ACF" w:rsidRPr="005220F6" w:rsidRDefault="00776ACF" w:rsidP="00A54C72">
            <w:pPr>
              <w:pStyle w:val="TableBody"/>
              <w:rPr>
                <w:rFonts w:cs="Arial"/>
                <w:sz w:val="18"/>
                <w:szCs w:val="18"/>
              </w:rPr>
            </w:pPr>
            <w:r w:rsidRPr="005220F6">
              <w:rPr>
                <w:rFonts w:cs="Arial"/>
                <w:sz w:val="18"/>
                <w:szCs w:val="18"/>
              </w:rPr>
              <w:t>nine.com.au</w:t>
            </w:r>
          </w:p>
        </w:tc>
        <w:tc>
          <w:tcPr>
            <w:tcW w:w="2126" w:type="dxa"/>
            <w:shd w:val="clear" w:color="auto" w:fill="auto"/>
            <w:vAlign w:val="center"/>
          </w:tcPr>
          <w:p w14:paraId="09F8177E" w14:textId="77777777" w:rsidR="00776ACF" w:rsidRPr="005220F6" w:rsidRDefault="00776ACF" w:rsidP="00A54C72">
            <w:pPr>
              <w:pStyle w:val="TableBody"/>
              <w:jc w:val="right"/>
              <w:rPr>
                <w:rFonts w:cs="Arial"/>
                <w:sz w:val="18"/>
                <w:szCs w:val="18"/>
              </w:rPr>
            </w:pPr>
            <w:r w:rsidRPr="005220F6">
              <w:rPr>
                <w:rFonts w:cs="Arial"/>
                <w:sz w:val="18"/>
                <w:szCs w:val="18"/>
              </w:rPr>
              <w:t>21.1</w:t>
            </w:r>
          </w:p>
        </w:tc>
      </w:tr>
      <w:tr w:rsidR="00776ACF" w:rsidRPr="005220F6" w14:paraId="5454038F" w14:textId="77777777" w:rsidTr="00F65D12">
        <w:trPr>
          <w:trHeight w:val="55"/>
        </w:trPr>
        <w:tc>
          <w:tcPr>
            <w:tcW w:w="5215" w:type="dxa"/>
            <w:shd w:val="clear" w:color="auto" w:fill="auto"/>
            <w:vAlign w:val="center"/>
          </w:tcPr>
          <w:p w14:paraId="4CB48A70" w14:textId="77777777" w:rsidR="00776ACF" w:rsidRPr="005220F6" w:rsidRDefault="00776ACF" w:rsidP="00A54C72">
            <w:pPr>
              <w:pStyle w:val="TableBody"/>
              <w:rPr>
                <w:rFonts w:cs="Arial"/>
                <w:sz w:val="18"/>
                <w:szCs w:val="18"/>
              </w:rPr>
            </w:pPr>
            <w:r w:rsidRPr="005220F6">
              <w:rPr>
                <w:rFonts w:cs="Arial"/>
                <w:sz w:val="18"/>
                <w:szCs w:val="18"/>
              </w:rPr>
              <w:t>Yahoo!7</w:t>
            </w:r>
          </w:p>
        </w:tc>
        <w:tc>
          <w:tcPr>
            <w:tcW w:w="2126" w:type="dxa"/>
            <w:shd w:val="clear" w:color="auto" w:fill="auto"/>
            <w:vAlign w:val="center"/>
          </w:tcPr>
          <w:p w14:paraId="452FC2E1" w14:textId="77777777" w:rsidR="00776ACF" w:rsidRPr="005220F6" w:rsidRDefault="00776ACF" w:rsidP="00A54C72">
            <w:pPr>
              <w:pStyle w:val="TableBody"/>
              <w:jc w:val="right"/>
              <w:rPr>
                <w:rFonts w:cs="Arial"/>
                <w:sz w:val="18"/>
                <w:szCs w:val="18"/>
              </w:rPr>
            </w:pPr>
            <w:r w:rsidRPr="005220F6">
              <w:rPr>
                <w:rFonts w:cs="Arial"/>
                <w:sz w:val="18"/>
                <w:szCs w:val="18"/>
              </w:rPr>
              <w:t>17.4</w:t>
            </w:r>
          </w:p>
        </w:tc>
      </w:tr>
      <w:tr w:rsidR="00776ACF" w:rsidRPr="005220F6" w14:paraId="3EF38FCC" w14:textId="77777777" w:rsidTr="00F65D12">
        <w:trPr>
          <w:trHeight w:val="23"/>
        </w:trPr>
        <w:tc>
          <w:tcPr>
            <w:tcW w:w="5215" w:type="dxa"/>
            <w:shd w:val="clear" w:color="auto" w:fill="auto"/>
            <w:vAlign w:val="center"/>
          </w:tcPr>
          <w:p w14:paraId="36196C47" w14:textId="77777777" w:rsidR="00776ACF" w:rsidRPr="005220F6" w:rsidRDefault="00590EB5" w:rsidP="00A54C72">
            <w:pPr>
              <w:pStyle w:val="TableBody"/>
              <w:rPr>
                <w:rFonts w:cs="Arial"/>
                <w:sz w:val="18"/>
                <w:szCs w:val="18"/>
              </w:rPr>
            </w:pPr>
            <w:r w:rsidRPr="005220F6">
              <w:rPr>
                <w:rFonts w:cs="Arial"/>
                <w:i/>
                <w:sz w:val="18"/>
                <w:szCs w:val="18"/>
              </w:rPr>
              <w:t xml:space="preserve">The </w:t>
            </w:r>
            <w:r w:rsidR="00776ACF" w:rsidRPr="005220F6">
              <w:rPr>
                <w:rFonts w:cs="Arial"/>
                <w:i/>
                <w:sz w:val="18"/>
                <w:szCs w:val="18"/>
              </w:rPr>
              <w:t>Sydney Morning Herald</w:t>
            </w:r>
            <w:r w:rsidR="00776ACF" w:rsidRPr="005220F6">
              <w:rPr>
                <w:rFonts w:cs="Arial"/>
                <w:sz w:val="18"/>
                <w:szCs w:val="18"/>
              </w:rPr>
              <w:t xml:space="preserve"> (smh.com.au)</w:t>
            </w:r>
          </w:p>
        </w:tc>
        <w:tc>
          <w:tcPr>
            <w:tcW w:w="2126" w:type="dxa"/>
            <w:shd w:val="clear" w:color="auto" w:fill="auto"/>
            <w:vAlign w:val="center"/>
          </w:tcPr>
          <w:p w14:paraId="085BA5C8" w14:textId="77777777" w:rsidR="00776ACF" w:rsidRPr="005220F6" w:rsidRDefault="00776ACF" w:rsidP="00A54C72">
            <w:pPr>
              <w:pStyle w:val="TableBody"/>
              <w:jc w:val="right"/>
              <w:rPr>
                <w:rFonts w:cs="Arial"/>
                <w:sz w:val="18"/>
                <w:szCs w:val="18"/>
              </w:rPr>
            </w:pPr>
            <w:r w:rsidRPr="005220F6">
              <w:rPr>
                <w:rFonts w:cs="Arial"/>
                <w:sz w:val="18"/>
                <w:szCs w:val="18"/>
              </w:rPr>
              <w:t>14.0</w:t>
            </w:r>
          </w:p>
        </w:tc>
      </w:tr>
      <w:tr w:rsidR="00776ACF" w:rsidRPr="005220F6" w14:paraId="33A8192C" w14:textId="77777777" w:rsidTr="00F65D12">
        <w:trPr>
          <w:trHeight w:val="151"/>
        </w:trPr>
        <w:tc>
          <w:tcPr>
            <w:tcW w:w="5215" w:type="dxa"/>
            <w:shd w:val="clear" w:color="auto" w:fill="auto"/>
            <w:vAlign w:val="center"/>
          </w:tcPr>
          <w:p w14:paraId="20E04A0C" w14:textId="77777777" w:rsidR="00776ACF" w:rsidRPr="005220F6" w:rsidRDefault="00776ACF" w:rsidP="00A54C72">
            <w:pPr>
              <w:pStyle w:val="TableBody"/>
              <w:rPr>
                <w:rFonts w:cs="Arial"/>
                <w:sz w:val="18"/>
                <w:szCs w:val="18"/>
              </w:rPr>
            </w:pPr>
            <w:r w:rsidRPr="005220F6">
              <w:rPr>
                <w:rFonts w:cs="Arial"/>
                <w:sz w:val="18"/>
                <w:szCs w:val="18"/>
              </w:rPr>
              <w:t>BBC news online</w:t>
            </w:r>
          </w:p>
        </w:tc>
        <w:tc>
          <w:tcPr>
            <w:tcW w:w="2126" w:type="dxa"/>
            <w:shd w:val="clear" w:color="auto" w:fill="auto"/>
            <w:vAlign w:val="center"/>
          </w:tcPr>
          <w:p w14:paraId="57856608" w14:textId="77777777" w:rsidR="00776ACF" w:rsidRPr="005220F6" w:rsidRDefault="00776ACF" w:rsidP="00A54C72">
            <w:pPr>
              <w:pStyle w:val="TableBody"/>
              <w:jc w:val="right"/>
              <w:rPr>
                <w:rFonts w:cs="Arial"/>
                <w:sz w:val="18"/>
                <w:szCs w:val="18"/>
              </w:rPr>
            </w:pPr>
            <w:r w:rsidRPr="005220F6">
              <w:rPr>
                <w:rFonts w:cs="Arial"/>
                <w:sz w:val="18"/>
                <w:szCs w:val="18"/>
              </w:rPr>
              <w:t>11.2</w:t>
            </w:r>
          </w:p>
        </w:tc>
      </w:tr>
      <w:tr w:rsidR="00776ACF" w:rsidRPr="005220F6" w14:paraId="67856512" w14:textId="77777777" w:rsidTr="00F65D12">
        <w:trPr>
          <w:trHeight w:val="23"/>
        </w:trPr>
        <w:tc>
          <w:tcPr>
            <w:tcW w:w="5215" w:type="dxa"/>
            <w:shd w:val="clear" w:color="auto" w:fill="auto"/>
            <w:vAlign w:val="center"/>
          </w:tcPr>
          <w:p w14:paraId="52DA85C6" w14:textId="77777777" w:rsidR="00776ACF" w:rsidRPr="005220F6" w:rsidRDefault="00776ACF" w:rsidP="00A54C72">
            <w:pPr>
              <w:pStyle w:val="TableBody"/>
              <w:rPr>
                <w:rFonts w:cs="Arial"/>
                <w:sz w:val="18"/>
                <w:szCs w:val="18"/>
              </w:rPr>
            </w:pPr>
            <w:r w:rsidRPr="005220F6">
              <w:rPr>
                <w:rFonts w:cs="Arial"/>
                <w:sz w:val="18"/>
                <w:szCs w:val="18"/>
              </w:rPr>
              <w:t>HuffPost Australia</w:t>
            </w:r>
          </w:p>
        </w:tc>
        <w:tc>
          <w:tcPr>
            <w:tcW w:w="2126" w:type="dxa"/>
            <w:shd w:val="clear" w:color="auto" w:fill="auto"/>
            <w:vAlign w:val="center"/>
          </w:tcPr>
          <w:p w14:paraId="244AE023" w14:textId="77777777" w:rsidR="00776ACF" w:rsidRPr="005220F6" w:rsidRDefault="00776ACF" w:rsidP="00A54C72">
            <w:pPr>
              <w:pStyle w:val="TableBody"/>
              <w:jc w:val="right"/>
              <w:rPr>
                <w:rFonts w:cs="Arial"/>
                <w:sz w:val="18"/>
                <w:szCs w:val="18"/>
              </w:rPr>
            </w:pPr>
            <w:r w:rsidRPr="005220F6">
              <w:rPr>
                <w:rFonts w:cs="Arial"/>
                <w:sz w:val="18"/>
                <w:szCs w:val="18"/>
              </w:rPr>
              <w:t>10.7</w:t>
            </w:r>
          </w:p>
        </w:tc>
      </w:tr>
      <w:tr w:rsidR="00776ACF" w:rsidRPr="005220F6" w14:paraId="4D8011A7" w14:textId="77777777" w:rsidTr="00F65D12">
        <w:trPr>
          <w:trHeight w:val="23"/>
        </w:trPr>
        <w:tc>
          <w:tcPr>
            <w:tcW w:w="5215" w:type="dxa"/>
            <w:shd w:val="clear" w:color="auto" w:fill="auto"/>
            <w:vAlign w:val="center"/>
          </w:tcPr>
          <w:p w14:paraId="038352E3" w14:textId="77777777" w:rsidR="00776ACF" w:rsidRPr="005220F6" w:rsidRDefault="00776ACF" w:rsidP="00A54C72">
            <w:pPr>
              <w:pStyle w:val="TableBody"/>
              <w:rPr>
                <w:rFonts w:cs="Arial"/>
                <w:sz w:val="18"/>
                <w:szCs w:val="18"/>
              </w:rPr>
            </w:pPr>
            <w:r w:rsidRPr="005220F6">
              <w:rPr>
                <w:rFonts w:cs="Arial"/>
                <w:i/>
                <w:sz w:val="18"/>
                <w:szCs w:val="18"/>
              </w:rPr>
              <w:t>The Age</w:t>
            </w:r>
            <w:r w:rsidRPr="005220F6">
              <w:rPr>
                <w:rFonts w:cs="Arial"/>
                <w:sz w:val="18"/>
                <w:szCs w:val="18"/>
              </w:rPr>
              <w:t xml:space="preserve"> (age.com.au)</w:t>
            </w:r>
          </w:p>
        </w:tc>
        <w:tc>
          <w:tcPr>
            <w:tcW w:w="2126" w:type="dxa"/>
            <w:shd w:val="clear" w:color="auto" w:fill="auto"/>
            <w:vAlign w:val="center"/>
          </w:tcPr>
          <w:p w14:paraId="600F7ECB" w14:textId="77777777" w:rsidR="00776ACF" w:rsidRPr="005220F6" w:rsidRDefault="00776ACF" w:rsidP="00A54C72">
            <w:pPr>
              <w:pStyle w:val="TableBody"/>
              <w:jc w:val="right"/>
              <w:rPr>
                <w:rFonts w:cs="Arial"/>
                <w:sz w:val="18"/>
                <w:szCs w:val="18"/>
              </w:rPr>
            </w:pPr>
            <w:r w:rsidRPr="005220F6">
              <w:rPr>
                <w:rFonts w:cs="Arial"/>
                <w:sz w:val="18"/>
                <w:szCs w:val="18"/>
              </w:rPr>
              <w:t>10.7</w:t>
            </w:r>
          </w:p>
        </w:tc>
      </w:tr>
      <w:tr w:rsidR="00776ACF" w:rsidRPr="005220F6" w14:paraId="028205F5" w14:textId="77777777" w:rsidTr="00F65D12">
        <w:trPr>
          <w:trHeight w:val="124"/>
        </w:trPr>
        <w:tc>
          <w:tcPr>
            <w:tcW w:w="5215" w:type="dxa"/>
            <w:shd w:val="clear" w:color="auto" w:fill="auto"/>
            <w:vAlign w:val="center"/>
          </w:tcPr>
          <w:p w14:paraId="453220B0" w14:textId="77777777" w:rsidR="00776ACF" w:rsidRPr="005220F6" w:rsidRDefault="00776ACF" w:rsidP="00A54C72">
            <w:pPr>
              <w:pStyle w:val="TableBody"/>
              <w:rPr>
                <w:rFonts w:cs="Arial"/>
                <w:sz w:val="18"/>
                <w:szCs w:val="18"/>
              </w:rPr>
            </w:pPr>
            <w:r w:rsidRPr="005220F6">
              <w:rPr>
                <w:rFonts w:cs="Arial"/>
                <w:i/>
                <w:sz w:val="18"/>
                <w:szCs w:val="18"/>
              </w:rPr>
              <w:t>Herald Sun</w:t>
            </w:r>
            <w:r w:rsidRPr="005220F6">
              <w:rPr>
                <w:rFonts w:cs="Arial"/>
                <w:sz w:val="18"/>
                <w:szCs w:val="18"/>
              </w:rPr>
              <w:t xml:space="preserve"> (heraldsun.com.au)</w:t>
            </w:r>
          </w:p>
        </w:tc>
        <w:tc>
          <w:tcPr>
            <w:tcW w:w="2126" w:type="dxa"/>
            <w:shd w:val="clear" w:color="auto" w:fill="auto"/>
            <w:vAlign w:val="center"/>
          </w:tcPr>
          <w:p w14:paraId="2F1CE4CB" w14:textId="77777777" w:rsidR="00776ACF" w:rsidRPr="005220F6" w:rsidRDefault="00776ACF" w:rsidP="00A54C72">
            <w:pPr>
              <w:pStyle w:val="TableBody"/>
              <w:jc w:val="right"/>
              <w:rPr>
                <w:rFonts w:cs="Arial"/>
                <w:sz w:val="18"/>
                <w:szCs w:val="18"/>
              </w:rPr>
            </w:pPr>
            <w:r w:rsidRPr="005220F6">
              <w:rPr>
                <w:rFonts w:cs="Arial"/>
                <w:sz w:val="18"/>
                <w:szCs w:val="18"/>
              </w:rPr>
              <w:t>9.7</w:t>
            </w:r>
          </w:p>
        </w:tc>
      </w:tr>
      <w:tr w:rsidR="00776ACF" w:rsidRPr="005220F6" w14:paraId="453CED68" w14:textId="77777777" w:rsidTr="00F65D12">
        <w:trPr>
          <w:trHeight w:val="30"/>
        </w:trPr>
        <w:tc>
          <w:tcPr>
            <w:tcW w:w="5215" w:type="dxa"/>
            <w:shd w:val="clear" w:color="auto" w:fill="auto"/>
            <w:vAlign w:val="center"/>
          </w:tcPr>
          <w:p w14:paraId="512B430C" w14:textId="77777777" w:rsidR="00776ACF" w:rsidRPr="005220F6" w:rsidRDefault="00776ACF" w:rsidP="00A54C72">
            <w:pPr>
              <w:pStyle w:val="TableBody"/>
              <w:rPr>
                <w:rFonts w:cs="Arial"/>
                <w:sz w:val="18"/>
                <w:szCs w:val="18"/>
              </w:rPr>
            </w:pPr>
            <w:r w:rsidRPr="005220F6">
              <w:rPr>
                <w:rFonts w:cs="Arial"/>
                <w:sz w:val="18"/>
                <w:szCs w:val="18"/>
              </w:rPr>
              <w:t>Other regional or local newspaper website</w:t>
            </w:r>
          </w:p>
        </w:tc>
        <w:tc>
          <w:tcPr>
            <w:tcW w:w="2126" w:type="dxa"/>
            <w:shd w:val="clear" w:color="auto" w:fill="auto"/>
            <w:vAlign w:val="center"/>
          </w:tcPr>
          <w:p w14:paraId="03B8024D" w14:textId="77777777" w:rsidR="00776ACF" w:rsidRPr="005220F6" w:rsidRDefault="00776ACF" w:rsidP="00A54C72">
            <w:pPr>
              <w:pStyle w:val="TableBody"/>
              <w:jc w:val="right"/>
              <w:rPr>
                <w:rFonts w:cs="Arial"/>
                <w:sz w:val="18"/>
                <w:szCs w:val="18"/>
              </w:rPr>
            </w:pPr>
            <w:r w:rsidRPr="005220F6">
              <w:rPr>
                <w:rFonts w:cs="Arial"/>
                <w:sz w:val="18"/>
                <w:szCs w:val="18"/>
              </w:rPr>
              <w:t>9.5</w:t>
            </w:r>
          </w:p>
        </w:tc>
      </w:tr>
      <w:tr w:rsidR="00776ACF" w:rsidRPr="005220F6" w14:paraId="6F86EDAC" w14:textId="77777777" w:rsidTr="00F65D12">
        <w:trPr>
          <w:trHeight w:val="30"/>
        </w:trPr>
        <w:tc>
          <w:tcPr>
            <w:tcW w:w="5215" w:type="dxa"/>
            <w:shd w:val="clear" w:color="auto" w:fill="auto"/>
            <w:vAlign w:val="center"/>
          </w:tcPr>
          <w:p w14:paraId="4D6C99C7" w14:textId="77777777" w:rsidR="00776ACF" w:rsidRPr="005220F6" w:rsidRDefault="00776ACF" w:rsidP="00A54C72">
            <w:pPr>
              <w:pStyle w:val="TableBody"/>
              <w:rPr>
                <w:rFonts w:cs="Arial"/>
                <w:sz w:val="18"/>
                <w:szCs w:val="18"/>
              </w:rPr>
            </w:pPr>
            <w:r w:rsidRPr="005220F6">
              <w:rPr>
                <w:rFonts w:cs="Arial"/>
                <w:i/>
                <w:sz w:val="18"/>
                <w:szCs w:val="18"/>
              </w:rPr>
              <w:t>Daily Telegraph</w:t>
            </w:r>
            <w:r w:rsidRPr="005220F6">
              <w:rPr>
                <w:rFonts w:cs="Arial"/>
                <w:sz w:val="18"/>
                <w:szCs w:val="18"/>
              </w:rPr>
              <w:t xml:space="preserve"> (dailytelegraph.com.au)</w:t>
            </w:r>
          </w:p>
        </w:tc>
        <w:tc>
          <w:tcPr>
            <w:tcW w:w="2126" w:type="dxa"/>
            <w:shd w:val="clear" w:color="auto" w:fill="auto"/>
            <w:vAlign w:val="center"/>
          </w:tcPr>
          <w:p w14:paraId="5A544FD1" w14:textId="77777777" w:rsidR="00776ACF" w:rsidRPr="005220F6" w:rsidRDefault="00776ACF" w:rsidP="00A54C72">
            <w:pPr>
              <w:pStyle w:val="TableBody"/>
              <w:jc w:val="right"/>
              <w:rPr>
                <w:rFonts w:cs="Arial"/>
                <w:sz w:val="18"/>
                <w:szCs w:val="18"/>
              </w:rPr>
            </w:pPr>
            <w:r w:rsidRPr="005220F6">
              <w:rPr>
                <w:rFonts w:cs="Arial"/>
                <w:sz w:val="18"/>
                <w:szCs w:val="18"/>
              </w:rPr>
              <w:t>9.0</w:t>
            </w:r>
          </w:p>
        </w:tc>
      </w:tr>
      <w:tr w:rsidR="00776ACF" w:rsidRPr="005220F6" w14:paraId="3DB9EDA6" w14:textId="77777777" w:rsidTr="00F65D12">
        <w:trPr>
          <w:trHeight w:val="30"/>
        </w:trPr>
        <w:tc>
          <w:tcPr>
            <w:tcW w:w="5215" w:type="dxa"/>
            <w:shd w:val="clear" w:color="auto" w:fill="auto"/>
            <w:vAlign w:val="center"/>
          </w:tcPr>
          <w:p w14:paraId="2658DD24" w14:textId="77777777" w:rsidR="00776ACF" w:rsidRPr="005220F6" w:rsidRDefault="00776ACF" w:rsidP="00A54C72">
            <w:pPr>
              <w:pStyle w:val="TableBody"/>
              <w:rPr>
                <w:rFonts w:cs="Arial"/>
                <w:sz w:val="18"/>
                <w:szCs w:val="18"/>
              </w:rPr>
            </w:pPr>
            <w:r w:rsidRPr="005220F6">
              <w:rPr>
                <w:rFonts w:cs="Arial"/>
                <w:i/>
                <w:sz w:val="18"/>
                <w:szCs w:val="18"/>
              </w:rPr>
              <w:t>The Australian</w:t>
            </w:r>
            <w:r w:rsidRPr="005220F6">
              <w:rPr>
                <w:rFonts w:cs="Arial"/>
                <w:sz w:val="18"/>
                <w:szCs w:val="18"/>
              </w:rPr>
              <w:t xml:space="preserve"> (theaustralian.com.au)</w:t>
            </w:r>
          </w:p>
        </w:tc>
        <w:tc>
          <w:tcPr>
            <w:tcW w:w="2126" w:type="dxa"/>
            <w:shd w:val="clear" w:color="auto" w:fill="auto"/>
            <w:vAlign w:val="center"/>
          </w:tcPr>
          <w:p w14:paraId="3A287915" w14:textId="77777777" w:rsidR="00776ACF" w:rsidRPr="005220F6" w:rsidRDefault="00776ACF" w:rsidP="00A54C72">
            <w:pPr>
              <w:pStyle w:val="TableBody"/>
              <w:jc w:val="right"/>
              <w:rPr>
                <w:rFonts w:cs="Arial"/>
                <w:sz w:val="18"/>
                <w:szCs w:val="18"/>
              </w:rPr>
            </w:pPr>
            <w:r w:rsidRPr="005220F6">
              <w:rPr>
                <w:rFonts w:cs="Arial"/>
                <w:sz w:val="18"/>
                <w:szCs w:val="18"/>
              </w:rPr>
              <w:t>8.8</w:t>
            </w:r>
          </w:p>
        </w:tc>
      </w:tr>
      <w:tr w:rsidR="00776ACF" w:rsidRPr="005220F6" w14:paraId="44943F7E" w14:textId="77777777" w:rsidTr="00F65D12">
        <w:trPr>
          <w:trHeight w:val="30"/>
        </w:trPr>
        <w:tc>
          <w:tcPr>
            <w:tcW w:w="5215" w:type="dxa"/>
            <w:shd w:val="clear" w:color="auto" w:fill="auto"/>
            <w:vAlign w:val="center"/>
          </w:tcPr>
          <w:p w14:paraId="20DEDD09" w14:textId="77777777" w:rsidR="00776ACF" w:rsidRPr="005220F6" w:rsidRDefault="00776ACF" w:rsidP="00A54C72">
            <w:pPr>
              <w:pStyle w:val="TableBody"/>
              <w:rPr>
                <w:rFonts w:cs="Arial"/>
                <w:sz w:val="18"/>
                <w:szCs w:val="18"/>
              </w:rPr>
            </w:pPr>
            <w:r w:rsidRPr="005220F6">
              <w:rPr>
                <w:rFonts w:cs="Arial"/>
                <w:sz w:val="18"/>
                <w:szCs w:val="18"/>
              </w:rPr>
              <w:t>CNN.com</w:t>
            </w:r>
          </w:p>
        </w:tc>
        <w:tc>
          <w:tcPr>
            <w:tcW w:w="2126" w:type="dxa"/>
            <w:shd w:val="clear" w:color="auto" w:fill="auto"/>
            <w:vAlign w:val="center"/>
          </w:tcPr>
          <w:p w14:paraId="20D2730B" w14:textId="77777777" w:rsidR="00776ACF" w:rsidRPr="005220F6" w:rsidRDefault="00776ACF" w:rsidP="00A54C72">
            <w:pPr>
              <w:pStyle w:val="TableBody"/>
              <w:jc w:val="right"/>
              <w:rPr>
                <w:rFonts w:cs="Arial"/>
                <w:sz w:val="18"/>
                <w:szCs w:val="18"/>
              </w:rPr>
            </w:pPr>
            <w:r w:rsidRPr="005220F6">
              <w:rPr>
                <w:rFonts w:cs="Arial"/>
                <w:sz w:val="18"/>
                <w:szCs w:val="18"/>
              </w:rPr>
              <w:t>7.9</w:t>
            </w:r>
          </w:p>
        </w:tc>
      </w:tr>
      <w:tr w:rsidR="00776ACF" w:rsidRPr="005220F6" w14:paraId="2B9519E9" w14:textId="77777777" w:rsidTr="00F65D12">
        <w:trPr>
          <w:trHeight w:val="30"/>
        </w:trPr>
        <w:tc>
          <w:tcPr>
            <w:tcW w:w="5215" w:type="dxa"/>
            <w:shd w:val="clear" w:color="auto" w:fill="auto"/>
            <w:vAlign w:val="center"/>
          </w:tcPr>
          <w:p w14:paraId="06549E18" w14:textId="77777777" w:rsidR="00776ACF" w:rsidRPr="005220F6" w:rsidRDefault="00776ACF" w:rsidP="00A54C72">
            <w:pPr>
              <w:pStyle w:val="TableBody"/>
              <w:rPr>
                <w:rFonts w:cs="Arial"/>
                <w:sz w:val="18"/>
                <w:szCs w:val="18"/>
              </w:rPr>
            </w:pPr>
            <w:r w:rsidRPr="005220F6">
              <w:rPr>
                <w:rFonts w:cs="Arial"/>
                <w:i/>
                <w:sz w:val="18"/>
                <w:szCs w:val="18"/>
              </w:rPr>
              <w:t>Guardian</w:t>
            </w:r>
            <w:r w:rsidRPr="005220F6">
              <w:rPr>
                <w:rFonts w:cs="Arial"/>
                <w:sz w:val="18"/>
                <w:szCs w:val="18"/>
              </w:rPr>
              <w:t xml:space="preserve"> online</w:t>
            </w:r>
          </w:p>
        </w:tc>
        <w:tc>
          <w:tcPr>
            <w:tcW w:w="2126" w:type="dxa"/>
            <w:shd w:val="clear" w:color="auto" w:fill="auto"/>
            <w:vAlign w:val="center"/>
          </w:tcPr>
          <w:p w14:paraId="77419F9C" w14:textId="77777777" w:rsidR="00776ACF" w:rsidRPr="005220F6" w:rsidRDefault="00776ACF" w:rsidP="00A54C72">
            <w:pPr>
              <w:pStyle w:val="TableBody"/>
              <w:jc w:val="right"/>
              <w:rPr>
                <w:rFonts w:cs="Arial"/>
                <w:sz w:val="18"/>
                <w:szCs w:val="18"/>
              </w:rPr>
            </w:pPr>
            <w:r w:rsidRPr="005220F6">
              <w:rPr>
                <w:rFonts w:cs="Arial"/>
                <w:sz w:val="18"/>
                <w:szCs w:val="18"/>
              </w:rPr>
              <w:t>7.6</w:t>
            </w:r>
          </w:p>
        </w:tc>
      </w:tr>
      <w:tr w:rsidR="00776ACF" w:rsidRPr="005220F6" w14:paraId="6BA517C9" w14:textId="77777777" w:rsidTr="00F65D12">
        <w:trPr>
          <w:trHeight w:val="30"/>
        </w:trPr>
        <w:tc>
          <w:tcPr>
            <w:tcW w:w="5215" w:type="dxa"/>
            <w:shd w:val="clear" w:color="auto" w:fill="auto"/>
            <w:vAlign w:val="center"/>
          </w:tcPr>
          <w:p w14:paraId="120FCB66" w14:textId="77777777" w:rsidR="00776ACF" w:rsidRPr="005220F6" w:rsidRDefault="00776ACF" w:rsidP="00A54C72">
            <w:pPr>
              <w:pStyle w:val="TableBody"/>
              <w:rPr>
                <w:rFonts w:cs="Arial"/>
                <w:sz w:val="18"/>
                <w:szCs w:val="18"/>
              </w:rPr>
            </w:pPr>
            <w:r w:rsidRPr="005220F6">
              <w:rPr>
                <w:rFonts w:cs="Arial"/>
                <w:sz w:val="18"/>
                <w:szCs w:val="18"/>
              </w:rPr>
              <w:t>Buzzfeed News</w:t>
            </w:r>
          </w:p>
        </w:tc>
        <w:tc>
          <w:tcPr>
            <w:tcW w:w="2126" w:type="dxa"/>
            <w:shd w:val="clear" w:color="auto" w:fill="auto"/>
            <w:vAlign w:val="center"/>
          </w:tcPr>
          <w:p w14:paraId="02FAD409" w14:textId="77777777" w:rsidR="00776ACF" w:rsidRPr="005220F6" w:rsidRDefault="00776ACF" w:rsidP="00A54C72">
            <w:pPr>
              <w:pStyle w:val="TableBody"/>
              <w:jc w:val="right"/>
              <w:rPr>
                <w:rFonts w:cs="Arial"/>
                <w:sz w:val="18"/>
                <w:szCs w:val="18"/>
              </w:rPr>
            </w:pPr>
            <w:r w:rsidRPr="005220F6">
              <w:rPr>
                <w:rFonts w:cs="Arial"/>
                <w:sz w:val="18"/>
                <w:szCs w:val="18"/>
              </w:rPr>
              <w:t>7.5</w:t>
            </w:r>
          </w:p>
        </w:tc>
      </w:tr>
      <w:tr w:rsidR="00776ACF" w:rsidRPr="005220F6" w14:paraId="6063928F" w14:textId="77777777" w:rsidTr="00F65D12">
        <w:trPr>
          <w:trHeight w:val="30"/>
        </w:trPr>
        <w:tc>
          <w:tcPr>
            <w:tcW w:w="5215" w:type="dxa"/>
            <w:shd w:val="clear" w:color="auto" w:fill="auto"/>
            <w:vAlign w:val="center"/>
          </w:tcPr>
          <w:p w14:paraId="378E74E8" w14:textId="77777777" w:rsidR="00776ACF" w:rsidRPr="005220F6" w:rsidRDefault="00776ACF" w:rsidP="00A54C72">
            <w:pPr>
              <w:pStyle w:val="TableBody"/>
              <w:rPr>
                <w:rFonts w:cs="Arial"/>
                <w:sz w:val="18"/>
                <w:szCs w:val="18"/>
              </w:rPr>
            </w:pPr>
            <w:r w:rsidRPr="005220F6">
              <w:rPr>
                <w:rFonts w:cs="Arial"/>
                <w:sz w:val="18"/>
                <w:szCs w:val="18"/>
              </w:rPr>
              <w:t>Skynews.com.au</w:t>
            </w:r>
          </w:p>
        </w:tc>
        <w:tc>
          <w:tcPr>
            <w:tcW w:w="2126" w:type="dxa"/>
            <w:shd w:val="clear" w:color="auto" w:fill="auto"/>
            <w:vAlign w:val="center"/>
          </w:tcPr>
          <w:p w14:paraId="6F27AEA3" w14:textId="77777777" w:rsidR="00776ACF" w:rsidRPr="005220F6" w:rsidRDefault="00776ACF" w:rsidP="00A54C72">
            <w:pPr>
              <w:pStyle w:val="TableBody"/>
              <w:jc w:val="right"/>
              <w:rPr>
                <w:rFonts w:cs="Arial"/>
                <w:sz w:val="18"/>
                <w:szCs w:val="18"/>
              </w:rPr>
            </w:pPr>
            <w:r w:rsidRPr="005220F6">
              <w:rPr>
                <w:rFonts w:cs="Arial"/>
                <w:sz w:val="18"/>
                <w:szCs w:val="18"/>
              </w:rPr>
              <w:t>7.2</w:t>
            </w:r>
          </w:p>
        </w:tc>
      </w:tr>
      <w:tr w:rsidR="00776ACF" w:rsidRPr="005220F6" w14:paraId="3B765AD9" w14:textId="77777777" w:rsidTr="00F65D12">
        <w:trPr>
          <w:trHeight w:val="30"/>
        </w:trPr>
        <w:tc>
          <w:tcPr>
            <w:tcW w:w="5215" w:type="dxa"/>
            <w:shd w:val="clear" w:color="auto" w:fill="auto"/>
            <w:vAlign w:val="center"/>
          </w:tcPr>
          <w:p w14:paraId="66FA4ECA" w14:textId="77777777" w:rsidR="00776ACF" w:rsidRPr="005220F6" w:rsidRDefault="00776ACF" w:rsidP="00A54C72">
            <w:pPr>
              <w:pStyle w:val="TableBody"/>
              <w:rPr>
                <w:rFonts w:cs="Arial"/>
                <w:sz w:val="18"/>
                <w:szCs w:val="18"/>
              </w:rPr>
            </w:pPr>
            <w:r w:rsidRPr="005220F6">
              <w:rPr>
                <w:rFonts w:cs="Arial"/>
                <w:sz w:val="18"/>
                <w:szCs w:val="18"/>
              </w:rPr>
              <w:t>Channel TEN news online</w:t>
            </w:r>
          </w:p>
        </w:tc>
        <w:tc>
          <w:tcPr>
            <w:tcW w:w="2126" w:type="dxa"/>
            <w:shd w:val="clear" w:color="auto" w:fill="auto"/>
            <w:vAlign w:val="center"/>
          </w:tcPr>
          <w:p w14:paraId="2BAD893B" w14:textId="77777777" w:rsidR="00776ACF" w:rsidRPr="005220F6" w:rsidRDefault="00776ACF" w:rsidP="00A54C72">
            <w:pPr>
              <w:pStyle w:val="TableBody"/>
              <w:jc w:val="right"/>
              <w:rPr>
                <w:rFonts w:cs="Arial"/>
                <w:sz w:val="18"/>
                <w:szCs w:val="18"/>
              </w:rPr>
            </w:pPr>
            <w:r w:rsidRPr="005220F6">
              <w:rPr>
                <w:rFonts w:cs="Arial"/>
                <w:sz w:val="18"/>
                <w:szCs w:val="18"/>
              </w:rPr>
              <w:t>6.4</w:t>
            </w:r>
          </w:p>
        </w:tc>
      </w:tr>
      <w:tr w:rsidR="00776ACF" w:rsidRPr="005220F6" w14:paraId="187B90C2" w14:textId="77777777" w:rsidTr="00F65D12">
        <w:trPr>
          <w:trHeight w:val="30"/>
        </w:trPr>
        <w:tc>
          <w:tcPr>
            <w:tcW w:w="5215" w:type="dxa"/>
            <w:shd w:val="clear" w:color="auto" w:fill="auto"/>
            <w:vAlign w:val="center"/>
          </w:tcPr>
          <w:p w14:paraId="46881C6F" w14:textId="77777777" w:rsidR="00776ACF" w:rsidRPr="005220F6" w:rsidRDefault="00590EB5" w:rsidP="00A54C72">
            <w:pPr>
              <w:pStyle w:val="TableBody"/>
              <w:rPr>
                <w:rFonts w:cs="Arial"/>
                <w:sz w:val="18"/>
                <w:szCs w:val="18"/>
              </w:rPr>
            </w:pPr>
            <w:r w:rsidRPr="005220F6">
              <w:rPr>
                <w:rFonts w:cs="Arial"/>
                <w:i/>
                <w:sz w:val="18"/>
                <w:szCs w:val="18"/>
              </w:rPr>
              <w:t xml:space="preserve">The </w:t>
            </w:r>
            <w:r w:rsidR="00776ACF" w:rsidRPr="005220F6">
              <w:rPr>
                <w:rFonts w:cs="Arial"/>
                <w:i/>
                <w:sz w:val="18"/>
                <w:szCs w:val="18"/>
              </w:rPr>
              <w:t>Courier Mail</w:t>
            </w:r>
            <w:r w:rsidR="00776ACF" w:rsidRPr="005220F6">
              <w:rPr>
                <w:rFonts w:cs="Arial"/>
                <w:sz w:val="18"/>
                <w:szCs w:val="18"/>
              </w:rPr>
              <w:t xml:space="preserve"> (couriermail.com.au)</w:t>
            </w:r>
          </w:p>
        </w:tc>
        <w:tc>
          <w:tcPr>
            <w:tcW w:w="2126" w:type="dxa"/>
            <w:shd w:val="clear" w:color="auto" w:fill="auto"/>
            <w:vAlign w:val="center"/>
          </w:tcPr>
          <w:p w14:paraId="6EB7B3D9" w14:textId="77777777" w:rsidR="00776ACF" w:rsidRPr="005220F6" w:rsidRDefault="00776ACF" w:rsidP="00A54C72">
            <w:pPr>
              <w:pStyle w:val="TableBody"/>
              <w:jc w:val="right"/>
              <w:rPr>
                <w:rFonts w:cs="Arial"/>
                <w:sz w:val="18"/>
                <w:szCs w:val="18"/>
              </w:rPr>
            </w:pPr>
            <w:r w:rsidRPr="005220F6">
              <w:rPr>
                <w:rFonts w:cs="Arial"/>
                <w:sz w:val="18"/>
                <w:szCs w:val="18"/>
              </w:rPr>
              <w:t>6.2</w:t>
            </w:r>
          </w:p>
        </w:tc>
      </w:tr>
      <w:tr w:rsidR="00776ACF" w:rsidRPr="005220F6" w14:paraId="59BD9055" w14:textId="77777777" w:rsidTr="00F65D12">
        <w:trPr>
          <w:trHeight w:val="30"/>
        </w:trPr>
        <w:tc>
          <w:tcPr>
            <w:tcW w:w="5215" w:type="dxa"/>
            <w:shd w:val="clear" w:color="auto" w:fill="auto"/>
            <w:vAlign w:val="center"/>
          </w:tcPr>
          <w:p w14:paraId="576D1EF1" w14:textId="77777777" w:rsidR="00776ACF" w:rsidRPr="005220F6" w:rsidRDefault="00590EB5" w:rsidP="00A54C72">
            <w:pPr>
              <w:pStyle w:val="TableBody"/>
              <w:rPr>
                <w:rFonts w:cs="Arial"/>
                <w:sz w:val="18"/>
                <w:szCs w:val="18"/>
              </w:rPr>
            </w:pPr>
            <w:r w:rsidRPr="005220F6">
              <w:rPr>
                <w:rFonts w:cs="Arial"/>
                <w:i/>
                <w:sz w:val="18"/>
                <w:szCs w:val="18"/>
              </w:rPr>
              <w:t xml:space="preserve">The </w:t>
            </w:r>
            <w:r w:rsidR="00776ACF" w:rsidRPr="005220F6">
              <w:rPr>
                <w:rFonts w:cs="Arial"/>
                <w:i/>
                <w:sz w:val="18"/>
                <w:szCs w:val="18"/>
              </w:rPr>
              <w:t>New York Times</w:t>
            </w:r>
            <w:r w:rsidR="00776ACF" w:rsidRPr="005220F6">
              <w:rPr>
                <w:rFonts w:cs="Arial"/>
                <w:sz w:val="18"/>
                <w:szCs w:val="18"/>
              </w:rPr>
              <w:t xml:space="preserve"> online</w:t>
            </w:r>
          </w:p>
        </w:tc>
        <w:tc>
          <w:tcPr>
            <w:tcW w:w="2126" w:type="dxa"/>
            <w:shd w:val="clear" w:color="auto" w:fill="auto"/>
            <w:vAlign w:val="center"/>
          </w:tcPr>
          <w:p w14:paraId="1048F3CC" w14:textId="77777777" w:rsidR="00776ACF" w:rsidRPr="005220F6" w:rsidRDefault="00776ACF" w:rsidP="00A54C72">
            <w:pPr>
              <w:pStyle w:val="TableBody"/>
              <w:jc w:val="right"/>
              <w:rPr>
                <w:rFonts w:cs="Arial"/>
                <w:sz w:val="18"/>
                <w:szCs w:val="18"/>
              </w:rPr>
            </w:pPr>
            <w:r w:rsidRPr="005220F6">
              <w:rPr>
                <w:rFonts w:cs="Arial"/>
                <w:sz w:val="18"/>
                <w:szCs w:val="18"/>
              </w:rPr>
              <w:t>6.1</w:t>
            </w:r>
          </w:p>
        </w:tc>
      </w:tr>
    </w:tbl>
    <w:p w14:paraId="181D5B2F" w14:textId="77777777" w:rsidR="00590EB5" w:rsidRDefault="00776ACF" w:rsidP="00734EE2">
      <w:pPr>
        <w:spacing w:before="120" w:after="0" w:line="240" w:lineRule="auto"/>
        <w:rPr>
          <w:rFonts w:cs="Arial"/>
          <w:i/>
          <w:sz w:val="16"/>
        </w:rPr>
      </w:pPr>
      <w:r w:rsidRPr="008852E5">
        <w:rPr>
          <w:rFonts w:cs="Arial"/>
          <w:i/>
          <w:sz w:val="16"/>
        </w:rPr>
        <w:t>Note: Survey response based on online usage in the last seven days prior to the survey.</w:t>
      </w:r>
    </w:p>
    <w:p w14:paraId="7779BFF4" w14:textId="77777777" w:rsidR="00734EE2" w:rsidRDefault="00734EE2" w:rsidP="00734EE2">
      <w:pPr>
        <w:spacing w:before="80" w:after="360" w:line="240" w:lineRule="auto"/>
        <w:rPr>
          <w:rFonts w:cs="Arial"/>
          <w:i/>
          <w:sz w:val="16"/>
        </w:rPr>
      </w:pPr>
      <w:r w:rsidRPr="001A3C79">
        <w:rPr>
          <w:rFonts w:cs="Arial"/>
          <w:i/>
          <w:sz w:val="16"/>
        </w:rPr>
        <w:t xml:space="preserve">Source: </w:t>
      </w:r>
      <w:r>
        <w:rPr>
          <w:rFonts w:cs="Arial"/>
          <w:i/>
          <w:sz w:val="16"/>
        </w:rPr>
        <w:t xml:space="preserve">Digital News Report: Australia 2017, News &amp; Media Research Centre, University of Canberra. </w:t>
      </w:r>
    </w:p>
    <w:p w14:paraId="393FD4AB" w14:textId="77777777" w:rsidR="00776ACF" w:rsidRPr="001A3C79" w:rsidRDefault="00776ACF" w:rsidP="00776ACF">
      <w:pPr>
        <w:pStyle w:val="Heading3"/>
      </w:pPr>
      <w:r w:rsidRPr="001A3C79">
        <w:t>Trust in news</w:t>
      </w:r>
    </w:p>
    <w:p w14:paraId="60CE7F9B" w14:textId="77777777" w:rsidR="00776ACF" w:rsidRDefault="00776ACF" w:rsidP="00776ACF">
      <w:pPr>
        <w:pStyle w:val="ACMASpaceaftertable"/>
      </w:pPr>
      <w:bookmarkStart w:id="1153" w:name="_Toc462899617"/>
      <w:bookmarkStart w:id="1154" w:name="_Toc463529112"/>
      <w:r>
        <w:t>Australia’s trust in media has declined since 2010. The largest decline in trust has been reported for newspapers</w:t>
      </w:r>
      <w:r w:rsidR="00590EB5">
        <w:t>—</w:t>
      </w:r>
      <w:r>
        <w:t>in 2011, 62 per cent had ‘a lot’ or ‘some’ trust</w:t>
      </w:r>
      <w:r w:rsidR="00590EB5">
        <w:t>,</w:t>
      </w:r>
      <w:r>
        <w:t xml:space="preserve"> compared to only 42 per cent in 2017</w:t>
      </w:r>
      <w:r w:rsidR="00590EB5">
        <w:t>. L</w:t>
      </w:r>
      <w:r>
        <w:t xml:space="preserve">ocal newspapers have declined from 56 per cent </w:t>
      </w:r>
      <w:r w:rsidR="00590EB5">
        <w:t xml:space="preserve">in 2012 </w:t>
      </w:r>
      <w:r>
        <w:t xml:space="preserve">to 45 per cent </w:t>
      </w:r>
      <w:r w:rsidR="00590EB5">
        <w:t>in</w:t>
      </w:r>
      <w:r>
        <w:t xml:space="preserve"> 2017. ABC TV remains the most trusted news source despite a decline from 70 per cent in 2010 to 59 per cent in 2017.</w:t>
      </w:r>
      <w:r>
        <w:rPr>
          <w:rStyle w:val="EndnoteReference"/>
        </w:rPr>
        <w:endnoteReference w:id="221"/>
      </w:r>
    </w:p>
    <w:p w14:paraId="6D025531" w14:textId="77777777" w:rsidR="00776ACF" w:rsidRDefault="00776ACF" w:rsidP="00776ACF">
      <w:pPr>
        <w:pStyle w:val="ACMASpaceaftertable"/>
      </w:pPr>
      <w:r>
        <w:t xml:space="preserve">The rise in ‘fake’ news in 2016 was a cause for concern for some Australians. According to Deloitte’s Media Consumer Survey, </w:t>
      </w:r>
      <w:r w:rsidR="00590EB5">
        <w:t>65</w:t>
      </w:r>
      <w:r>
        <w:t xml:space="preserve"> per cent of survey respondents who had accessed news through online sources were concerned about being exposed to fake news online, while 77 per cent believed they had been exposed.</w:t>
      </w:r>
      <w:r>
        <w:rPr>
          <w:rStyle w:val="EndnoteReference"/>
        </w:rPr>
        <w:endnoteReference w:id="222"/>
      </w:r>
      <w:r>
        <w:t xml:space="preserve"> More than half (58 per cent) of the respondents changed the way they accessed news material online to avoid fake news. This shift in consumer behaviour may be a cause of the slight decline in the proportion of people using social media as their main source </w:t>
      </w:r>
      <w:r w:rsidR="00590EB5">
        <w:t xml:space="preserve">of </w:t>
      </w:r>
      <w:r>
        <w:t>news.</w:t>
      </w:r>
      <w:r w:rsidDel="001754F8">
        <w:rPr>
          <w:rStyle w:val="EndnoteReference"/>
        </w:rPr>
        <w:t xml:space="preserve"> </w:t>
      </w:r>
    </w:p>
    <w:p w14:paraId="0D8B2A9F" w14:textId="77777777" w:rsidR="00776ACF" w:rsidRDefault="00776ACF" w:rsidP="00600D89">
      <w:pPr>
        <w:pStyle w:val="ACMASpaceaftertable"/>
        <w:keepNext/>
        <w:keepLines/>
      </w:pPr>
      <w:r w:rsidRPr="00D26722">
        <w:t xml:space="preserve">Industry reporting </w:t>
      </w:r>
      <w:r>
        <w:t>indicates</w:t>
      </w:r>
      <w:r w:rsidRPr="00D26722">
        <w:t xml:space="preserve"> that </w:t>
      </w:r>
      <w:r>
        <w:t>Australians</w:t>
      </w:r>
      <w:r w:rsidRPr="00D26722">
        <w:t xml:space="preserve"> who listen to the radio believe </w:t>
      </w:r>
      <w:r w:rsidR="00590EB5">
        <w:t>it</w:t>
      </w:r>
      <w:r w:rsidRPr="00D26722">
        <w:t xml:space="preserve"> provides the most trusted and authentic news compared to </w:t>
      </w:r>
      <w:r>
        <w:t>other forms of media</w:t>
      </w:r>
      <w:r w:rsidR="00590EB5">
        <w:t>—42</w:t>
      </w:r>
      <w:r w:rsidRPr="00D26722">
        <w:t xml:space="preserve"> per cent of listeners believe radio is trustworthy, compared to TV (24 per cent), online (18 per cent), </w:t>
      </w:r>
      <w:r>
        <w:t>newspapers/</w:t>
      </w:r>
      <w:r w:rsidRPr="00D26722">
        <w:t>magazine</w:t>
      </w:r>
      <w:r>
        <w:t>s</w:t>
      </w:r>
      <w:r w:rsidRPr="00D26722">
        <w:t xml:space="preserve"> (15 per cent) and outdoor</w:t>
      </w:r>
      <w:r>
        <w:rPr>
          <w:rStyle w:val="EndnoteReference"/>
        </w:rPr>
        <w:endnoteReference w:id="223"/>
      </w:r>
      <w:r w:rsidRPr="00D26722">
        <w:t xml:space="preserve"> (</w:t>
      </w:r>
      <w:r>
        <w:t>three</w:t>
      </w:r>
      <w:r w:rsidRPr="00D26722">
        <w:t xml:space="preserve"> per cent).</w:t>
      </w:r>
      <w:r>
        <w:rPr>
          <w:rStyle w:val="EndnoteReference"/>
        </w:rPr>
        <w:endnoteReference w:id="224"/>
      </w:r>
    </w:p>
    <w:p w14:paraId="2EEEC5F1" w14:textId="77777777" w:rsidR="00776ACF" w:rsidRPr="002C43CD" w:rsidRDefault="00776ACF" w:rsidP="00776ACF">
      <w:pPr>
        <w:pStyle w:val="Heading2"/>
        <w:numPr>
          <w:ilvl w:val="1"/>
          <w:numId w:val="18"/>
        </w:numPr>
      </w:pPr>
      <w:bookmarkStart w:id="1155" w:name="_Toc494799442"/>
      <w:bookmarkStart w:id="1156" w:name="_Toc494805745"/>
      <w:bookmarkStart w:id="1157" w:name="_Toc494805978"/>
      <w:bookmarkStart w:id="1158" w:name="_Toc494808208"/>
      <w:bookmarkStart w:id="1159" w:name="_Toc494808862"/>
      <w:bookmarkStart w:id="1160" w:name="_Toc494816046"/>
      <w:bookmarkStart w:id="1161" w:name="_Toc494818876"/>
      <w:bookmarkStart w:id="1162" w:name="_Toc494819139"/>
      <w:bookmarkStart w:id="1163" w:name="_Toc500320913"/>
      <w:bookmarkEnd w:id="1153"/>
      <w:bookmarkEnd w:id="1154"/>
      <w:r w:rsidRPr="002C43CD">
        <w:t>B</w:t>
      </w:r>
      <w:bookmarkStart w:id="1164" w:name="_Toc462899618"/>
      <w:bookmarkStart w:id="1165" w:name="_Toc433790366"/>
      <w:bookmarkStart w:id="1166" w:name="_Toc463529113"/>
      <w:r w:rsidRPr="002C43CD">
        <w:t>roadcasting in Australia</w:t>
      </w:r>
      <w:bookmarkEnd w:id="1155"/>
      <w:bookmarkEnd w:id="1156"/>
      <w:bookmarkEnd w:id="1157"/>
      <w:bookmarkEnd w:id="1158"/>
      <w:bookmarkEnd w:id="1159"/>
      <w:bookmarkEnd w:id="1160"/>
      <w:bookmarkEnd w:id="1161"/>
      <w:bookmarkEnd w:id="1162"/>
      <w:bookmarkEnd w:id="1164"/>
      <w:bookmarkEnd w:id="1165"/>
      <w:bookmarkEnd w:id="1166"/>
      <w:bookmarkEnd w:id="1163"/>
    </w:p>
    <w:p w14:paraId="192C8086" w14:textId="77777777" w:rsidR="00776ACF" w:rsidRPr="002C43CD" w:rsidRDefault="00804A74" w:rsidP="00776ACF">
      <w:r w:rsidRPr="002C43CD">
        <w:t xml:space="preserve">Australian </w:t>
      </w:r>
      <w:r w:rsidR="0072467C">
        <w:t xml:space="preserve">TV </w:t>
      </w:r>
      <w:r w:rsidRPr="002C43CD">
        <w:t xml:space="preserve">broadcasters are subject to certain content requirements </w:t>
      </w:r>
      <w:r>
        <w:t>imposed by</w:t>
      </w:r>
      <w:r w:rsidRPr="002C43CD">
        <w:t xml:space="preserve"> the</w:t>
      </w:r>
      <w:r>
        <w:t xml:space="preserve"> </w:t>
      </w:r>
      <w:r w:rsidRPr="002C43CD">
        <w:t>BSA. These include meeting minimum amounts of Australian content</w:t>
      </w:r>
      <w:r>
        <w:t xml:space="preserve"> and </w:t>
      </w:r>
      <w:r w:rsidRPr="002C43CD">
        <w:t>children’s program content</w:t>
      </w:r>
      <w:r>
        <w:t xml:space="preserve"> for commercial FTA broadcasters</w:t>
      </w:r>
      <w:r w:rsidRPr="002C43CD">
        <w:t>, captioning</w:t>
      </w:r>
      <w:r>
        <w:t xml:space="preserve"> for all </w:t>
      </w:r>
      <w:r w:rsidR="0072467C">
        <w:t xml:space="preserve">TV </w:t>
      </w:r>
      <w:r>
        <w:t>broadcasters</w:t>
      </w:r>
      <w:r w:rsidRPr="002C43CD">
        <w:t xml:space="preserve">, local content for regional </w:t>
      </w:r>
      <w:r>
        <w:t xml:space="preserve">commercial </w:t>
      </w:r>
      <w:r w:rsidR="0072467C">
        <w:t xml:space="preserve">TV </w:t>
      </w:r>
      <w:r>
        <w:t xml:space="preserve">and radio </w:t>
      </w:r>
      <w:r w:rsidRPr="002C43CD">
        <w:t>broadcasters</w:t>
      </w:r>
      <w:r w:rsidR="0072467C">
        <w:t>,</w:t>
      </w:r>
      <w:r w:rsidRPr="002C43CD">
        <w:t xml:space="preserve"> and Australian content expenditure for subscription </w:t>
      </w:r>
      <w:r w:rsidR="0072467C">
        <w:t>TV</w:t>
      </w:r>
      <w:r w:rsidR="0072467C" w:rsidRPr="002C43CD">
        <w:t xml:space="preserve"> </w:t>
      </w:r>
      <w:r w:rsidRPr="002C43CD">
        <w:t>broadcasters.</w:t>
      </w:r>
      <w:r w:rsidR="00776ACF" w:rsidRPr="002C43CD">
        <w:t xml:space="preserve"> </w:t>
      </w:r>
    </w:p>
    <w:p w14:paraId="5B4B6394" w14:textId="77777777" w:rsidR="00776ACF" w:rsidRPr="001A3C79" w:rsidRDefault="00776ACF" w:rsidP="00776ACF">
      <w:pPr>
        <w:pStyle w:val="Heading3"/>
      </w:pPr>
      <w:bookmarkStart w:id="1167" w:name="_Toc462899619"/>
      <w:bookmarkStart w:id="1168" w:name="_Toc463529114"/>
      <w:bookmarkStart w:id="1169" w:name="_Toc494799443"/>
      <w:bookmarkStart w:id="1170" w:name="_Toc494805746"/>
      <w:bookmarkStart w:id="1171" w:name="_Toc494805979"/>
      <w:bookmarkStart w:id="1172" w:name="_Toc494808209"/>
      <w:bookmarkStart w:id="1173" w:name="_Toc494808863"/>
      <w:bookmarkStart w:id="1174" w:name="_Toc494816047"/>
      <w:bookmarkStart w:id="1175" w:name="_Toc494818877"/>
      <w:bookmarkStart w:id="1176" w:name="_Toc494819140"/>
      <w:r w:rsidRPr="001A3C79">
        <w:t>Australian content</w:t>
      </w:r>
      <w:bookmarkEnd w:id="1167"/>
      <w:bookmarkEnd w:id="1168"/>
      <w:r w:rsidRPr="001A3C79">
        <w:t xml:space="preserve"> </w:t>
      </w:r>
      <w:bookmarkEnd w:id="1169"/>
      <w:bookmarkEnd w:id="1170"/>
      <w:bookmarkEnd w:id="1171"/>
      <w:bookmarkEnd w:id="1172"/>
      <w:bookmarkEnd w:id="1173"/>
      <w:bookmarkEnd w:id="1174"/>
      <w:bookmarkEnd w:id="1175"/>
      <w:bookmarkEnd w:id="1176"/>
    </w:p>
    <w:p w14:paraId="763808DE" w14:textId="77777777" w:rsidR="00776ACF" w:rsidRPr="001A3C79" w:rsidRDefault="00776ACF" w:rsidP="00776ACF">
      <w:pPr>
        <w:spacing w:after="80"/>
        <w:rPr>
          <w:rFonts w:cs="Arial"/>
          <w:szCs w:val="20"/>
        </w:rPr>
      </w:pPr>
      <w:r w:rsidRPr="001A3C79">
        <w:rPr>
          <w:rFonts w:cs="Arial"/>
          <w:szCs w:val="20"/>
        </w:rPr>
        <w:t xml:space="preserve">The BSA and the </w:t>
      </w:r>
      <w:r w:rsidRPr="008852E5">
        <w:rPr>
          <w:rFonts w:cs="Arial"/>
          <w:szCs w:val="20"/>
        </w:rPr>
        <w:t>Broadcasting Services (Australian Content) Standard 2016</w:t>
      </w:r>
      <w:r w:rsidRPr="001A3C79">
        <w:rPr>
          <w:rFonts w:cs="Arial"/>
          <w:szCs w:val="20"/>
        </w:rPr>
        <w:t xml:space="preserve"> (Australian Content Standard) stipulate Australian content quotas for commercial </w:t>
      </w:r>
      <w:r w:rsidR="0072467C">
        <w:rPr>
          <w:rFonts w:cs="Arial"/>
          <w:szCs w:val="20"/>
        </w:rPr>
        <w:t>TV</w:t>
      </w:r>
      <w:r w:rsidRPr="001A3C79">
        <w:rPr>
          <w:rFonts w:cs="Arial"/>
          <w:szCs w:val="20"/>
        </w:rPr>
        <w:t xml:space="preserve">. Under the BSA, commercial </w:t>
      </w:r>
      <w:r w:rsidR="0072467C">
        <w:rPr>
          <w:rFonts w:cs="Arial"/>
          <w:szCs w:val="20"/>
        </w:rPr>
        <w:t xml:space="preserve">TV </w:t>
      </w:r>
      <w:r w:rsidRPr="001A3C79">
        <w:rPr>
          <w:rFonts w:cs="Arial"/>
          <w:szCs w:val="20"/>
        </w:rPr>
        <w:t>broadcasters must provide:</w:t>
      </w:r>
    </w:p>
    <w:p w14:paraId="5EB92043" w14:textId="77777777" w:rsidR="00776ACF" w:rsidRPr="007E786E" w:rsidRDefault="00776ACF" w:rsidP="008852E5">
      <w:pPr>
        <w:pStyle w:val="ListBullet"/>
      </w:pPr>
      <w:r w:rsidRPr="007E786E">
        <w:t xml:space="preserve">55 per cent </w:t>
      </w:r>
      <w:r w:rsidRPr="00760BF8">
        <w:t>Australian</w:t>
      </w:r>
      <w:r w:rsidRPr="007E786E">
        <w:t xml:space="preserve"> content, between 6</w:t>
      </w:r>
      <w:r>
        <w:t xml:space="preserve"> </w:t>
      </w:r>
      <w:r w:rsidRPr="007E786E">
        <w:t>am and midnight across the year, on their primary channel</w:t>
      </w:r>
    </w:p>
    <w:p w14:paraId="7F178EAA" w14:textId="26A537F8" w:rsidR="00776ACF" w:rsidRPr="007E786E" w:rsidRDefault="00776ACF" w:rsidP="008852E5">
      <w:pPr>
        <w:pStyle w:val="ListBulletLast"/>
      </w:pPr>
      <w:r w:rsidRPr="007E786E">
        <w:t xml:space="preserve">1,460 hours of Australian programming on </w:t>
      </w:r>
      <w:r w:rsidR="009C55BD">
        <w:t xml:space="preserve">channels </w:t>
      </w:r>
      <w:r w:rsidRPr="007E786E">
        <w:t>other than their primary channel (multi</w:t>
      </w:r>
      <w:r w:rsidR="007D0C9E">
        <w:noBreakHyphen/>
      </w:r>
      <w:r w:rsidRPr="007E786E">
        <w:t>channels).</w:t>
      </w:r>
    </w:p>
    <w:p w14:paraId="45C91847" w14:textId="77777777" w:rsidR="00776ACF" w:rsidRPr="001A3C79" w:rsidRDefault="00776ACF" w:rsidP="00E32D7B">
      <w:pPr>
        <w:spacing w:after="80"/>
      </w:pPr>
      <w:r w:rsidRPr="001A3C79">
        <w:t xml:space="preserve">The </w:t>
      </w:r>
      <w:r w:rsidRPr="00E32D7B">
        <w:rPr>
          <w:rFonts w:cs="Arial"/>
          <w:szCs w:val="20"/>
        </w:rPr>
        <w:t>Australian</w:t>
      </w:r>
      <w:r w:rsidRPr="001A3C79">
        <w:t xml:space="preserve"> Content Standard requires commercial </w:t>
      </w:r>
      <w:r w:rsidR="0072467C">
        <w:t>TV</w:t>
      </w:r>
      <w:r w:rsidR="0072467C" w:rsidRPr="001A3C79">
        <w:t xml:space="preserve"> </w:t>
      </w:r>
      <w:r w:rsidRPr="001A3C79">
        <w:t>broadcasters to:</w:t>
      </w:r>
    </w:p>
    <w:p w14:paraId="4EB533D5" w14:textId="77777777" w:rsidR="00776ACF" w:rsidRPr="00760BF8" w:rsidRDefault="00776ACF" w:rsidP="008852E5">
      <w:pPr>
        <w:pStyle w:val="ListBullet"/>
      </w:pPr>
      <w:r w:rsidRPr="007E786E">
        <w:t xml:space="preserve">broadcast </w:t>
      </w:r>
      <w:r w:rsidRPr="00760BF8">
        <w:t>minimum amounts of first-release Australian drama and documentary programs</w:t>
      </w:r>
    </w:p>
    <w:p w14:paraId="18925CA1" w14:textId="77777777" w:rsidR="00776ACF" w:rsidRPr="007E786E" w:rsidRDefault="00776ACF" w:rsidP="008852E5">
      <w:pPr>
        <w:pStyle w:val="ListBullet"/>
      </w:pPr>
      <w:r w:rsidRPr="00760BF8">
        <w:t>broadcast</w:t>
      </w:r>
      <w:r w:rsidRPr="007E786E">
        <w:t xml:space="preserve"> minimum amounts of Australian-made children’s programs </w:t>
      </w:r>
    </w:p>
    <w:p w14:paraId="41F855B2" w14:textId="77777777" w:rsidR="00776ACF" w:rsidRPr="007E786E" w:rsidRDefault="00776ACF" w:rsidP="008852E5">
      <w:pPr>
        <w:pStyle w:val="ListBulletLast"/>
      </w:pPr>
      <w:r w:rsidRPr="00760BF8">
        <w:t>ensure</w:t>
      </w:r>
      <w:r w:rsidRPr="007E786E">
        <w:t xml:space="preserve"> that all preschool programs are Australian programs.</w:t>
      </w:r>
    </w:p>
    <w:p w14:paraId="6EFC52E5" w14:textId="77777777" w:rsidR="00776ACF" w:rsidRDefault="00776ACF" w:rsidP="00776ACF">
      <w:r w:rsidRPr="001A3C79">
        <w:t>Assessment of compliance with the quota requirements is calendar</w:t>
      </w:r>
      <w:r>
        <w:t xml:space="preserve">-year </w:t>
      </w:r>
      <w:r w:rsidRPr="001A3C79">
        <w:t>based. The metropolitan FTA commercial network licensees all met the Australian content transmission quotas for overall content, drama and documentaries for the 201</w:t>
      </w:r>
      <w:r>
        <w:t>6</w:t>
      </w:r>
      <w:r w:rsidRPr="001A3C79">
        <w:t xml:space="preserve"> calendar year (Table 3.</w:t>
      </w:r>
      <w:r>
        <w:t>3</w:t>
      </w:r>
      <w:r w:rsidRPr="001A3C79">
        <w:t>).</w:t>
      </w:r>
    </w:p>
    <w:p w14:paraId="61051519" w14:textId="77777777" w:rsidR="00017DB8" w:rsidRPr="00C46472" w:rsidRDefault="00017DB8" w:rsidP="00A54C72">
      <w:pPr>
        <w:keepNext/>
        <w:keepLines/>
        <w:spacing w:after="160"/>
        <w:ind w:left="1136" w:hanging="1136"/>
        <w:rPr>
          <w:b/>
          <w:bCs/>
          <w:color w:val="323232"/>
        </w:rPr>
      </w:pPr>
      <w:r>
        <w:rPr>
          <w:b/>
          <w:bCs/>
          <w:color w:val="323232"/>
        </w:rPr>
        <w:t>Table 3.3</w:t>
      </w:r>
      <w:r w:rsidRPr="00C46472">
        <w:rPr>
          <w:b/>
          <w:bCs/>
          <w:color w:val="323232"/>
        </w:rPr>
        <w:tab/>
        <w:t>Metropolitan FTA commercial network licensee compliance with the Australian Content Standard for the 2016 calendar year</w:t>
      </w:r>
    </w:p>
    <w:tbl>
      <w:tblPr>
        <w:tblW w:w="4974" w:type="pct"/>
        <w:tblInd w:w="5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3.4 Metropolitan free-to-air commercial network licensee compliance with the Australian Content Standard for the 2015 calendar year"/>
      </w:tblPr>
      <w:tblGrid>
        <w:gridCol w:w="2246"/>
        <w:gridCol w:w="1764"/>
        <w:gridCol w:w="1764"/>
        <w:gridCol w:w="1764"/>
        <w:gridCol w:w="1763"/>
      </w:tblGrid>
      <w:tr w:rsidR="000977D7" w:rsidRPr="00D9021F" w14:paraId="512AF45D" w14:textId="77777777" w:rsidTr="00ED1F6B">
        <w:trPr>
          <w:trHeight w:val="213"/>
          <w:tblHeader/>
        </w:trPr>
        <w:tc>
          <w:tcPr>
            <w:tcW w:w="1207" w:type="pct"/>
            <w:vMerge w:val="restart"/>
            <w:tcBorders>
              <w:top w:val="nil"/>
              <w:left w:val="nil"/>
            </w:tcBorders>
            <w:shd w:val="clear" w:color="auto" w:fill="FFFFFF" w:themeFill="background1"/>
            <w:vAlign w:val="center"/>
          </w:tcPr>
          <w:p w14:paraId="4C92752E" w14:textId="77777777" w:rsidR="000977D7" w:rsidRPr="00D9021F" w:rsidRDefault="000977D7" w:rsidP="00A54C72">
            <w:pPr>
              <w:pStyle w:val="TableHeading"/>
              <w:spacing w:before="0"/>
              <w:rPr>
                <w:szCs w:val="18"/>
              </w:rPr>
            </w:pPr>
          </w:p>
        </w:tc>
        <w:tc>
          <w:tcPr>
            <w:tcW w:w="948" w:type="pct"/>
            <w:vMerge w:val="restart"/>
            <w:shd w:val="clear" w:color="auto" w:fill="37897E"/>
            <w:vAlign w:val="center"/>
          </w:tcPr>
          <w:p w14:paraId="0253C13C" w14:textId="77777777" w:rsidR="000977D7" w:rsidRPr="00D9021F" w:rsidRDefault="000977D7" w:rsidP="00A54C72">
            <w:pPr>
              <w:pStyle w:val="TableHeading"/>
              <w:spacing w:before="0"/>
              <w:jc w:val="right"/>
              <w:rPr>
                <w:szCs w:val="18"/>
              </w:rPr>
            </w:pPr>
            <w:r w:rsidRPr="00D9021F">
              <w:rPr>
                <w:szCs w:val="18"/>
              </w:rPr>
              <w:t>Minimum quota*</w:t>
            </w:r>
          </w:p>
        </w:tc>
        <w:tc>
          <w:tcPr>
            <w:tcW w:w="2844" w:type="pct"/>
            <w:gridSpan w:val="3"/>
            <w:shd w:val="clear" w:color="auto" w:fill="37897E"/>
            <w:vAlign w:val="center"/>
          </w:tcPr>
          <w:p w14:paraId="6228C56E" w14:textId="77777777" w:rsidR="000977D7" w:rsidRPr="00321970" w:rsidRDefault="000977D7" w:rsidP="00A54C72">
            <w:pPr>
              <w:pStyle w:val="TableHeading"/>
              <w:spacing w:before="0"/>
              <w:jc w:val="center"/>
              <w:rPr>
                <w:szCs w:val="18"/>
              </w:rPr>
            </w:pPr>
            <w:r w:rsidRPr="00D9021F">
              <w:rPr>
                <w:szCs w:val="18"/>
              </w:rPr>
              <w:t>Licensee</w:t>
            </w:r>
          </w:p>
        </w:tc>
      </w:tr>
      <w:tr w:rsidR="000977D7" w:rsidRPr="00D9021F" w14:paraId="02EBF499" w14:textId="77777777" w:rsidTr="00ED1F6B">
        <w:trPr>
          <w:trHeight w:val="248"/>
        </w:trPr>
        <w:tc>
          <w:tcPr>
            <w:tcW w:w="1207" w:type="pct"/>
            <w:vMerge/>
            <w:tcBorders>
              <w:left w:val="nil"/>
            </w:tcBorders>
            <w:shd w:val="clear" w:color="auto" w:fill="FFFFFF" w:themeFill="background1"/>
            <w:vAlign w:val="center"/>
          </w:tcPr>
          <w:p w14:paraId="60F06AB8" w14:textId="77777777" w:rsidR="000977D7" w:rsidRPr="00D9021F" w:rsidRDefault="000977D7" w:rsidP="00A54C72">
            <w:pPr>
              <w:keepNext/>
              <w:keepLines/>
              <w:spacing w:after="0"/>
              <w:rPr>
                <w:b/>
                <w:color w:val="FFFFFF"/>
                <w:sz w:val="18"/>
                <w:szCs w:val="18"/>
              </w:rPr>
            </w:pPr>
          </w:p>
        </w:tc>
        <w:tc>
          <w:tcPr>
            <w:tcW w:w="948" w:type="pct"/>
            <w:vMerge/>
            <w:shd w:val="clear" w:color="auto" w:fill="37897E"/>
            <w:vAlign w:val="center"/>
          </w:tcPr>
          <w:p w14:paraId="6C177356" w14:textId="77777777" w:rsidR="000977D7" w:rsidRPr="00D9021F" w:rsidRDefault="000977D7" w:rsidP="00A54C72">
            <w:pPr>
              <w:keepNext/>
              <w:keepLines/>
              <w:spacing w:after="0"/>
              <w:jc w:val="right"/>
              <w:rPr>
                <w:b/>
                <w:color w:val="FFFFFF"/>
                <w:sz w:val="18"/>
                <w:szCs w:val="18"/>
              </w:rPr>
            </w:pPr>
          </w:p>
        </w:tc>
        <w:tc>
          <w:tcPr>
            <w:tcW w:w="948" w:type="pct"/>
            <w:shd w:val="clear" w:color="auto" w:fill="37897E"/>
            <w:vAlign w:val="center"/>
          </w:tcPr>
          <w:p w14:paraId="5AB096D0" w14:textId="77777777" w:rsidR="000977D7" w:rsidRPr="00D9021F" w:rsidRDefault="000977D7" w:rsidP="00A54C72">
            <w:pPr>
              <w:keepNext/>
              <w:keepLines/>
              <w:spacing w:after="0"/>
              <w:jc w:val="right"/>
              <w:rPr>
                <w:b/>
                <w:color w:val="FFFFFF"/>
                <w:sz w:val="18"/>
                <w:szCs w:val="18"/>
              </w:rPr>
            </w:pPr>
            <w:r w:rsidRPr="00D9021F">
              <w:rPr>
                <w:b/>
                <w:color w:val="FFFFFF"/>
                <w:sz w:val="18"/>
                <w:szCs w:val="18"/>
              </w:rPr>
              <w:t>Seven Network</w:t>
            </w:r>
          </w:p>
        </w:tc>
        <w:tc>
          <w:tcPr>
            <w:tcW w:w="948" w:type="pct"/>
            <w:shd w:val="clear" w:color="auto" w:fill="37897E"/>
            <w:vAlign w:val="center"/>
          </w:tcPr>
          <w:p w14:paraId="43968B0B" w14:textId="77777777" w:rsidR="000977D7" w:rsidRPr="00D9021F" w:rsidRDefault="000977D7" w:rsidP="00A54C72">
            <w:pPr>
              <w:keepNext/>
              <w:keepLines/>
              <w:spacing w:after="0"/>
              <w:jc w:val="right"/>
              <w:rPr>
                <w:b/>
                <w:color w:val="FFFFFF"/>
                <w:sz w:val="18"/>
                <w:szCs w:val="18"/>
              </w:rPr>
            </w:pPr>
            <w:r w:rsidRPr="00D9021F">
              <w:rPr>
                <w:b/>
                <w:color w:val="FFFFFF"/>
                <w:sz w:val="18"/>
                <w:szCs w:val="18"/>
              </w:rPr>
              <w:t>Nine Network</w:t>
            </w:r>
          </w:p>
        </w:tc>
        <w:tc>
          <w:tcPr>
            <w:tcW w:w="948" w:type="pct"/>
            <w:shd w:val="clear" w:color="auto" w:fill="37897E"/>
            <w:vAlign w:val="center"/>
          </w:tcPr>
          <w:p w14:paraId="01610AE7" w14:textId="25071456" w:rsidR="000977D7" w:rsidRPr="00D9021F" w:rsidRDefault="000977D7" w:rsidP="00A54C72">
            <w:pPr>
              <w:keepNext/>
              <w:keepLines/>
              <w:spacing w:after="0"/>
              <w:jc w:val="right"/>
              <w:rPr>
                <w:b/>
                <w:color w:val="FFFFFF"/>
                <w:sz w:val="18"/>
                <w:szCs w:val="18"/>
              </w:rPr>
            </w:pPr>
            <w:r w:rsidRPr="00D9021F">
              <w:rPr>
                <w:b/>
                <w:color w:val="FFFFFF"/>
                <w:sz w:val="18"/>
                <w:szCs w:val="18"/>
              </w:rPr>
              <w:t>Network</w:t>
            </w:r>
            <w:r w:rsidRPr="00D9021F">
              <w:rPr>
                <w:rFonts w:cs="Arial"/>
                <w:b/>
                <w:bCs/>
                <w:color w:val="FFFFFF"/>
                <w:sz w:val="18"/>
                <w:szCs w:val="18"/>
              </w:rPr>
              <w:t xml:space="preserve"> Ten </w:t>
            </w:r>
          </w:p>
        </w:tc>
      </w:tr>
      <w:tr w:rsidR="000977D7" w:rsidRPr="00D9021F" w14:paraId="3656D2D4" w14:textId="77777777" w:rsidTr="00ED1F6B">
        <w:trPr>
          <w:trHeight w:val="228"/>
        </w:trPr>
        <w:tc>
          <w:tcPr>
            <w:tcW w:w="1207" w:type="pct"/>
            <w:shd w:val="clear" w:color="auto" w:fill="auto"/>
            <w:vAlign w:val="center"/>
          </w:tcPr>
          <w:p w14:paraId="4989E1ED" w14:textId="032305E1" w:rsidR="000977D7" w:rsidRPr="00600D89" w:rsidRDefault="000977D7" w:rsidP="00A54C72">
            <w:pPr>
              <w:pStyle w:val="TableBody"/>
              <w:rPr>
                <w:sz w:val="18"/>
                <w:szCs w:val="18"/>
              </w:rPr>
            </w:pPr>
            <w:r w:rsidRPr="000977D7">
              <w:rPr>
                <w:sz w:val="18"/>
                <w:szCs w:val="18"/>
              </w:rPr>
              <w:t>Overall Australian content</w:t>
            </w:r>
            <w:r>
              <w:rPr>
                <w:sz w:val="18"/>
                <w:szCs w:val="18"/>
              </w:rPr>
              <w:t xml:space="preserve"> o</w:t>
            </w:r>
            <w:r w:rsidRPr="00600D89">
              <w:rPr>
                <w:sz w:val="18"/>
                <w:szCs w:val="18"/>
              </w:rPr>
              <w:t>n primary channel</w:t>
            </w:r>
          </w:p>
        </w:tc>
        <w:tc>
          <w:tcPr>
            <w:tcW w:w="948" w:type="pct"/>
            <w:shd w:val="clear" w:color="auto" w:fill="auto"/>
            <w:vAlign w:val="center"/>
          </w:tcPr>
          <w:p w14:paraId="0ED72305" w14:textId="20EE52DE" w:rsidR="000977D7" w:rsidRPr="00600D89" w:rsidRDefault="000977D7" w:rsidP="00A54C72">
            <w:pPr>
              <w:pStyle w:val="TableBody"/>
              <w:jc w:val="right"/>
              <w:rPr>
                <w:sz w:val="18"/>
                <w:szCs w:val="18"/>
              </w:rPr>
            </w:pPr>
            <w:r w:rsidRPr="00600D89">
              <w:rPr>
                <w:rFonts w:cs="Arial"/>
                <w:sz w:val="18"/>
                <w:szCs w:val="18"/>
              </w:rPr>
              <w:t>55</w:t>
            </w:r>
            <w:r w:rsidRPr="00600D89">
              <w:rPr>
                <w:sz w:val="18"/>
                <w:szCs w:val="18"/>
              </w:rPr>
              <w:t>%</w:t>
            </w:r>
          </w:p>
        </w:tc>
        <w:tc>
          <w:tcPr>
            <w:tcW w:w="948" w:type="pct"/>
            <w:shd w:val="clear" w:color="auto" w:fill="auto"/>
            <w:vAlign w:val="center"/>
          </w:tcPr>
          <w:p w14:paraId="6E672EA3" w14:textId="5B0DE96E" w:rsidR="000977D7" w:rsidRPr="00600D89" w:rsidRDefault="000977D7" w:rsidP="00A54C72">
            <w:pPr>
              <w:pStyle w:val="TableBody"/>
              <w:jc w:val="right"/>
              <w:rPr>
                <w:sz w:val="18"/>
                <w:szCs w:val="18"/>
              </w:rPr>
            </w:pPr>
            <w:r w:rsidRPr="00600D89">
              <w:rPr>
                <w:rFonts w:cs="Arial"/>
                <w:sz w:val="18"/>
                <w:szCs w:val="18"/>
              </w:rPr>
              <w:t>73</w:t>
            </w:r>
            <w:r w:rsidRPr="00600D89">
              <w:rPr>
                <w:sz w:val="18"/>
                <w:szCs w:val="18"/>
              </w:rPr>
              <w:t>%</w:t>
            </w:r>
          </w:p>
        </w:tc>
        <w:tc>
          <w:tcPr>
            <w:tcW w:w="948" w:type="pct"/>
            <w:shd w:val="clear" w:color="auto" w:fill="auto"/>
            <w:vAlign w:val="center"/>
          </w:tcPr>
          <w:p w14:paraId="0775096C" w14:textId="68449255" w:rsidR="000977D7" w:rsidRPr="00600D89" w:rsidRDefault="000977D7" w:rsidP="00A54C72">
            <w:pPr>
              <w:pStyle w:val="TableBody"/>
              <w:jc w:val="right"/>
              <w:rPr>
                <w:sz w:val="18"/>
                <w:szCs w:val="18"/>
              </w:rPr>
            </w:pPr>
            <w:r w:rsidRPr="00600D89">
              <w:rPr>
                <w:rFonts w:cs="Arial"/>
                <w:sz w:val="18"/>
                <w:szCs w:val="18"/>
              </w:rPr>
              <w:t>72</w:t>
            </w:r>
            <w:r w:rsidRPr="00600D89">
              <w:rPr>
                <w:sz w:val="18"/>
                <w:szCs w:val="18"/>
              </w:rPr>
              <w:t>%</w:t>
            </w:r>
          </w:p>
        </w:tc>
        <w:tc>
          <w:tcPr>
            <w:tcW w:w="948" w:type="pct"/>
            <w:shd w:val="clear" w:color="auto" w:fill="auto"/>
            <w:vAlign w:val="center"/>
          </w:tcPr>
          <w:p w14:paraId="2FF71E6C" w14:textId="2369BB24" w:rsidR="000977D7" w:rsidRPr="00600D89" w:rsidRDefault="000977D7" w:rsidP="00A54C72">
            <w:pPr>
              <w:pStyle w:val="TableBody"/>
              <w:jc w:val="right"/>
              <w:rPr>
                <w:sz w:val="18"/>
                <w:szCs w:val="18"/>
              </w:rPr>
            </w:pPr>
            <w:r w:rsidRPr="00600D89">
              <w:rPr>
                <w:rFonts w:cs="Arial"/>
                <w:sz w:val="18"/>
                <w:szCs w:val="18"/>
              </w:rPr>
              <w:t>65</w:t>
            </w:r>
            <w:r w:rsidRPr="00600D89">
              <w:rPr>
                <w:sz w:val="18"/>
                <w:szCs w:val="18"/>
              </w:rPr>
              <w:t>%</w:t>
            </w:r>
          </w:p>
        </w:tc>
      </w:tr>
      <w:tr w:rsidR="000977D7" w:rsidRPr="00D9021F" w14:paraId="7E3BBD97" w14:textId="77777777" w:rsidTr="00ED1F6B">
        <w:trPr>
          <w:trHeight w:val="454"/>
        </w:trPr>
        <w:tc>
          <w:tcPr>
            <w:tcW w:w="1207" w:type="pct"/>
            <w:shd w:val="clear" w:color="auto" w:fill="auto"/>
            <w:vAlign w:val="center"/>
          </w:tcPr>
          <w:p w14:paraId="07125904" w14:textId="459BD291" w:rsidR="000977D7" w:rsidRPr="00600D89" w:rsidRDefault="000977D7" w:rsidP="00A54C72">
            <w:pPr>
              <w:pStyle w:val="TableBody"/>
              <w:rPr>
                <w:sz w:val="18"/>
                <w:szCs w:val="18"/>
              </w:rPr>
            </w:pPr>
            <w:r w:rsidRPr="000977D7">
              <w:rPr>
                <w:sz w:val="18"/>
                <w:szCs w:val="18"/>
              </w:rPr>
              <w:t>Overall Australian content</w:t>
            </w:r>
            <w:r>
              <w:rPr>
                <w:sz w:val="18"/>
                <w:szCs w:val="18"/>
              </w:rPr>
              <w:t xml:space="preserve"> o</w:t>
            </w:r>
            <w:r w:rsidRPr="00600D89">
              <w:rPr>
                <w:sz w:val="18"/>
                <w:szCs w:val="18"/>
              </w:rPr>
              <w:t>n non-primary channel</w:t>
            </w:r>
          </w:p>
        </w:tc>
        <w:tc>
          <w:tcPr>
            <w:tcW w:w="948" w:type="pct"/>
            <w:shd w:val="clear" w:color="auto" w:fill="auto"/>
            <w:vAlign w:val="center"/>
          </w:tcPr>
          <w:p w14:paraId="6880F819" w14:textId="4722EC3E" w:rsidR="000977D7" w:rsidRPr="00600D89" w:rsidRDefault="000977D7" w:rsidP="00A54C72">
            <w:pPr>
              <w:pStyle w:val="TableBody"/>
              <w:jc w:val="right"/>
              <w:rPr>
                <w:sz w:val="18"/>
                <w:szCs w:val="18"/>
              </w:rPr>
            </w:pPr>
            <w:r w:rsidRPr="00600D89">
              <w:rPr>
                <w:rFonts w:cs="Arial"/>
                <w:sz w:val="18"/>
                <w:szCs w:val="18"/>
              </w:rPr>
              <w:t>1,460</w:t>
            </w:r>
            <w:r>
              <w:rPr>
                <w:rFonts w:cs="Arial"/>
                <w:sz w:val="18"/>
                <w:szCs w:val="18"/>
              </w:rPr>
              <w:t xml:space="preserve"> </w:t>
            </w:r>
            <w:r w:rsidR="005A39F1">
              <w:rPr>
                <w:sz w:val="18"/>
                <w:szCs w:val="18"/>
              </w:rPr>
              <w:t xml:space="preserve">average </w:t>
            </w:r>
            <w:r w:rsidRPr="00600D89">
              <w:rPr>
                <w:sz w:val="18"/>
                <w:szCs w:val="18"/>
              </w:rPr>
              <w:t>hours</w:t>
            </w:r>
          </w:p>
        </w:tc>
        <w:tc>
          <w:tcPr>
            <w:tcW w:w="948" w:type="pct"/>
            <w:shd w:val="clear" w:color="auto" w:fill="auto"/>
            <w:vAlign w:val="center"/>
          </w:tcPr>
          <w:p w14:paraId="36BAB5DE" w14:textId="482E17BE" w:rsidR="000977D7" w:rsidRPr="00600D89" w:rsidRDefault="000977D7" w:rsidP="00A54C72">
            <w:pPr>
              <w:pStyle w:val="TableBody"/>
              <w:jc w:val="right"/>
              <w:rPr>
                <w:sz w:val="18"/>
                <w:szCs w:val="18"/>
              </w:rPr>
            </w:pPr>
            <w:r w:rsidRPr="00600D89">
              <w:rPr>
                <w:rFonts w:cs="Arial"/>
                <w:sz w:val="18"/>
                <w:szCs w:val="18"/>
              </w:rPr>
              <w:t>4,163</w:t>
            </w:r>
            <w:r>
              <w:rPr>
                <w:rFonts w:cs="Arial"/>
                <w:sz w:val="18"/>
                <w:szCs w:val="18"/>
              </w:rPr>
              <w:t xml:space="preserve"> </w:t>
            </w:r>
            <w:r w:rsidRPr="00600D89">
              <w:rPr>
                <w:sz w:val="18"/>
                <w:szCs w:val="18"/>
              </w:rPr>
              <w:t>average hours</w:t>
            </w:r>
          </w:p>
        </w:tc>
        <w:tc>
          <w:tcPr>
            <w:tcW w:w="948" w:type="pct"/>
            <w:shd w:val="clear" w:color="auto" w:fill="auto"/>
            <w:vAlign w:val="center"/>
          </w:tcPr>
          <w:p w14:paraId="33DFD6DF" w14:textId="6AA48A58" w:rsidR="000977D7" w:rsidRPr="00600D89" w:rsidRDefault="000977D7" w:rsidP="00A54C72">
            <w:pPr>
              <w:pStyle w:val="TableBody"/>
              <w:jc w:val="right"/>
              <w:rPr>
                <w:sz w:val="18"/>
                <w:szCs w:val="18"/>
              </w:rPr>
            </w:pPr>
            <w:r w:rsidRPr="00600D89">
              <w:rPr>
                <w:rFonts w:cs="Arial"/>
                <w:sz w:val="18"/>
                <w:szCs w:val="18"/>
              </w:rPr>
              <w:t>2,365</w:t>
            </w:r>
            <w:r>
              <w:rPr>
                <w:rFonts w:cs="Arial"/>
                <w:sz w:val="18"/>
                <w:szCs w:val="18"/>
              </w:rPr>
              <w:t xml:space="preserve"> </w:t>
            </w:r>
            <w:r w:rsidRPr="00600D89">
              <w:rPr>
                <w:sz w:val="18"/>
                <w:szCs w:val="18"/>
              </w:rPr>
              <w:t>average hours</w:t>
            </w:r>
          </w:p>
        </w:tc>
        <w:tc>
          <w:tcPr>
            <w:tcW w:w="948" w:type="pct"/>
            <w:shd w:val="clear" w:color="auto" w:fill="auto"/>
            <w:vAlign w:val="center"/>
          </w:tcPr>
          <w:p w14:paraId="2D42FEF5" w14:textId="40F10DBC" w:rsidR="000977D7" w:rsidRPr="00600D89" w:rsidRDefault="000977D7" w:rsidP="00A54C72">
            <w:pPr>
              <w:pStyle w:val="TableBody"/>
              <w:jc w:val="right"/>
              <w:rPr>
                <w:sz w:val="18"/>
                <w:szCs w:val="18"/>
              </w:rPr>
            </w:pPr>
            <w:r w:rsidRPr="00600D89">
              <w:rPr>
                <w:rFonts w:cs="Arial"/>
                <w:sz w:val="18"/>
                <w:szCs w:val="18"/>
              </w:rPr>
              <w:t>2,707</w:t>
            </w:r>
            <w:r>
              <w:rPr>
                <w:rFonts w:cs="Arial"/>
                <w:sz w:val="18"/>
                <w:szCs w:val="18"/>
              </w:rPr>
              <w:t xml:space="preserve"> </w:t>
            </w:r>
            <w:r w:rsidRPr="00600D89">
              <w:rPr>
                <w:sz w:val="18"/>
                <w:szCs w:val="18"/>
              </w:rPr>
              <w:t>average hours</w:t>
            </w:r>
          </w:p>
        </w:tc>
      </w:tr>
      <w:tr w:rsidR="000977D7" w:rsidRPr="00D9021F" w14:paraId="6D623455" w14:textId="77777777" w:rsidTr="00ED1F6B">
        <w:trPr>
          <w:trHeight w:val="448"/>
        </w:trPr>
        <w:tc>
          <w:tcPr>
            <w:tcW w:w="1207" w:type="pct"/>
            <w:shd w:val="clear" w:color="auto" w:fill="auto"/>
            <w:vAlign w:val="center"/>
          </w:tcPr>
          <w:p w14:paraId="78E44F63" w14:textId="77777777" w:rsidR="000977D7" w:rsidRPr="00600D89" w:rsidRDefault="000977D7" w:rsidP="00A54C72">
            <w:pPr>
              <w:pStyle w:val="TableBody"/>
              <w:rPr>
                <w:sz w:val="18"/>
                <w:szCs w:val="18"/>
              </w:rPr>
            </w:pPr>
            <w:r w:rsidRPr="00600D89">
              <w:rPr>
                <w:sz w:val="18"/>
                <w:szCs w:val="18"/>
              </w:rPr>
              <w:t>First-release Australian drama</w:t>
            </w:r>
          </w:p>
        </w:tc>
        <w:tc>
          <w:tcPr>
            <w:tcW w:w="948" w:type="pct"/>
            <w:shd w:val="clear" w:color="auto" w:fill="auto"/>
            <w:vAlign w:val="center"/>
          </w:tcPr>
          <w:p w14:paraId="7E2A8394" w14:textId="131EAD91" w:rsidR="000977D7" w:rsidRPr="00600D89" w:rsidRDefault="000977D7" w:rsidP="00A54C72">
            <w:pPr>
              <w:pStyle w:val="TableBody"/>
              <w:jc w:val="right"/>
              <w:rPr>
                <w:sz w:val="18"/>
                <w:szCs w:val="18"/>
              </w:rPr>
            </w:pPr>
            <w:r w:rsidRPr="00600D89">
              <w:rPr>
                <w:rFonts w:cs="Arial"/>
                <w:sz w:val="18"/>
                <w:szCs w:val="18"/>
              </w:rPr>
              <w:t>250</w:t>
            </w:r>
            <w:r>
              <w:rPr>
                <w:rFonts w:cs="Arial"/>
                <w:sz w:val="18"/>
                <w:szCs w:val="18"/>
              </w:rPr>
              <w:t xml:space="preserve"> </w:t>
            </w:r>
            <w:r w:rsidRPr="00600D89">
              <w:rPr>
                <w:sz w:val="18"/>
                <w:szCs w:val="18"/>
              </w:rPr>
              <w:t>points</w:t>
            </w:r>
          </w:p>
        </w:tc>
        <w:tc>
          <w:tcPr>
            <w:tcW w:w="948" w:type="pct"/>
            <w:shd w:val="clear" w:color="auto" w:fill="auto"/>
            <w:vAlign w:val="center"/>
          </w:tcPr>
          <w:p w14:paraId="4006B7B5" w14:textId="0487C956" w:rsidR="000977D7" w:rsidRPr="00600D89" w:rsidRDefault="000977D7" w:rsidP="00A54C72">
            <w:pPr>
              <w:pStyle w:val="TableBody"/>
              <w:jc w:val="right"/>
              <w:rPr>
                <w:sz w:val="18"/>
                <w:szCs w:val="18"/>
              </w:rPr>
            </w:pPr>
            <w:r w:rsidRPr="00600D89">
              <w:rPr>
                <w:rFonts w:cs="Arial"/>
                <w:sz w:val="18"/>
                <w:szCs w:val="18"/>
              </w:rPr>
              <w:t>280</w:t>
            </w:r>
            <w:r>
              <w:rPr>
                <w:rFonts w:cs="Arial"/>
                <w:sz w:val="18"/>
                <w:szCs w:val="18"/>
              </w:rPr>
              <w:t xml:space="preserve"> </w:t>
            </w:r>
            <w:r w:rsidRPr="00600D89">
              <w:rPr>
                <w:sz w:val="18"/>
                <w:szCs w:val="18"/>
              </w:rPr>
              <w:t>points</w:t>
            </w:r>
          </w:p>
        </w:tc>
        <w:tc>
          <w:tcPr>
            <w:tcW w:w="948" w:type="pct"/>
            <w:shd w:val="clear" w:color="auto" w:fill="auto"/>
            <w:vAlign w:val="center"/>
          </w:tcPr>
          <w:p w14:paraId="5CC266CE" w14:textId="1FC26CDB" w:rsidR="000977D7" w:rsidRPr="00600D89" w:rsidRDefault="000977D7" w:rsidP="00A54C72">
            <w:pPr>
              <w:pStyle w:val="TableBody"/>
              <w:jc w:val="right"/>
              <w:rPr>
                <w:sz w:val="18"/>
                <w:szCs w:val="18"/>
              </w:rPr>
            </w:pPr>
            <w:r w:rsidRPr="00600D89">
              <w:rPr>
                <w:rFonts w:cs="Arial"/>
                <w:sz w:val="18"/>
                <w:szCs w:val="18"/>
              </w:rPr>
              <w:t>338</w:t>
            </w:r>
            <w:r>
              <w:rPr>
                <w:rFonts w:cs="Arial"/>
                <w:sz w:val="18"/>
                <w:szCs w:val="18"/>
              </w:rPr>
              <w:t xml:space="preserve"> </w:t>
            </w:r>
            <w:r w:rsidRPr="00600D89">
              <w:rPr>
                <w:sz w:val="18"/>
                <w:szCs w:val="18"/>
              </w:rPr>
              <w:t>points</w:t>
            </w:r>
          </w:p>
        </w:tc>
        <w:tc>
          <w:tcPr>
            <w:tcW w:w="948" w:type="pct"/>
            <w:shd w:val="clear" w:color="auto" w:fill="auto"/>
            <w:vAlign w:val="center"/>
          </w:tcPr>
          <w:p w14:paraId="28EED4B0" w14:textId="38BE611B" w:rsidR="000977D7" w:rsidRPr="00600D89" w:rsidRDefault="000977D7" w:rsidP="00A54C72">
            <w:pPr>
              <w:pStyle w:val="TableBody"/>
              <w:jc w:val="right"/>
              <w:rPr>
                <w:sz w:val="18"/>
                <w:szCs w:val="18"/>
              </w:rPr>
            </w:pPr>
            <w:r w:rsidRPr="00600D89">
              <w:rPr>
                <w:rFonts w:cs="Arial"/>
                <w:sz w:val="18"/>
                <w:szCs w:val="18"/>
              </w:rPr>
              <w:t>290</w:t>
            </w:r>
            <w:r>
              <w:rPr>
                <w:rFonts w:cs="Arial"/>
                <w:sz w:val="18"/>
                <w:szCs w:val="18"/>
              </w:rPr>
              <w:t xml:space="preserve"> </w:t>
            </w:r>
            <w:r w:rsidRPr="00600D89">
              <w:rPr>
                <w:sz w:val="18"/>
                <w:szCs w:val="18"/>
              </w:rPr>
              <w:t>points</w:t>
            </w:r>
          </w:p>
        </w:tc>
      </w:tr>
      <w:tr w:rsidR="000977D7" w:rsidRPr="00D9021F" w14:paraId="5DFD5A1B" w14:textId="77777777" w:rsidTr="00ED1F6B">
        <w:trPr>
          <w:trHeight w:val="365"/>
        </w:trPr>
        <w:tc>
          <w:tcPr>
            <w:tcW w:w="1207" w:type="pct"/>
            <w:shd w:val="clear" w:color="auto" w:fill="auto"/>
            <w:vAlign w:val="center"/>
          </w:tcPr>
          <w:p w14:paraId="7363DAE5" w14:textId="77777777" w:rsidR="000977D7" w:rsidRPr="00600D89" w:rsidRDefault="000977D7" w:rsidP="00A54C72">
            <w:pPr>
              <w:pStyle w:val="TableBody"/>
              <w:rPr>
                <w:sz w:val="18"/>
                <w:szCs w:val="18"/>
              </w:rPr>
            </w:pPr>
            <w:r w:rsidRPr="00600D89">
              <w:rPr>
                <w:sz w:val="18"/>
                <w:szCs w:val="18"/>
              </w:rPr>
              <w:t>First-release Australian documentaries</w:t>
            </w:r>
          </w:p>
        </w:tc>
        <w:tc>
          <w:tcPr>
            <w:tcW w:w="948" w:type="pct"/>
            <w:shd w:val="clear" w:color="auto" w:fill="auto"/>
            <w:vAlign w:val="center"/>
          </w:tcPr>
          <w:p w14:paraId="759CAE9D" w14:textId="640E6F28" w:rsidR="000977D7" w:rsidRPr="00600D89" w:rsidRDefault="000977D7" w:rsidP="00A54C72">
            <w:pPr>
              <w:pStyle w:val="TableBody"/>
              <w:jc w:val="right"/>
              <w:rPr>
                <w:sz w:val="18"/>
                <w:szCs w:val="18"/>
              </w:rPr>
            </w:pPr>
            <w:r w:rsidRPr="00600D89">
              <w:rPr>
                <w:rFonts w:cs="Arial"/>
                <w:sz w:val="18"/>
                <w:szCs w:val="18"/>
              </w:rPr>
              <w:t>20</w:t>
            </w:r>
            <w:r>
              <w:rPr>
                <w:rFonts w:cs="Arial"/>
                <w:sz w:val="18"/>
                <w:szCs w:val="18"/>
              </w:rPr>
              <w:t xml:space="preserve"> </w:t>
            </w:r>
            <w:r w:rsidRPr="00600D89">
              <w:rPr>
                <w:sz w:val="18"/>
                <w:szCs w:val="18"/>
              </w:rPr>
              <w:t>average hours</w:t>
            </w:r>
          </w:p>
        </w:tc>
        <w:tc>
          <w:tcPr>
            <w:tcW w:w="948" w:type="pct"/>
            <w:shd w:val="clear" w:color="auto" w:fill="auto"/>
            <w:vAlign w:val="center"/>
          </w:tcPr>
          <w:p w14:paraId="16E3A5CA" w14:textId="4573EB5F" w:rsidR="000977D7" w:rsidRPr="00600D89" w:rsidRDefault="000977D7" w:rsidP="00A54C72">
            <w:pPr>
              <w:pStyle w:val="TableBody"/>
              <w:jc w:val="right"/>
              <w:rPr>
                <w:sz w:val="18"/>
                <w:szCs w:val="18"/>
              </w:rPr>
            </w:pPr>
            <w:r w:rsidRPr="00600D89">
              <w:rPr>
                <w:rFonts w:cs="Arial"/>
                <w:sz w:val="18"/>
                <w:szCs w:val="18"/>
              </w:rPr>
              <w:t>80</w:t>
            </w:r>
            <w:r>
              <w:rPr>
                <w:rFonts w:cs="Arial"/>
                <w:sz w:val="18"/>
                <w:szCs w:val="18"/>
              </w:rPr>
              <w:t xml:space="preserve"> </w:t>
            </w:r>
            <w:r w:rsidRPr="00600D89">
              <w:rPr>
                <w:sz w:val="18"/>
                <w:szCs w:val="18"/>
              </w:rPr>
              <w:t>average hours</w:t>
            </w:r>
          </w:p>
        </w:tc>
        <w:tc>
          <w:tcPr>
            <w:tcW w:w="948" w:type="pct"/>
            <w:shd w:val="clear" w:color="auto" w:fill="auto"/>
            <w:vAlign w:val="center"/>
          </w:tcPr>
          <w:p w14:paraId="365BE776" w14:textId="6D80AF4B" w:rsidR="000977D7" w:rsidRPr="00600D89" w:rsidRDefault="000977D7" w:rsidP="00A54C72">
            <w:pPr>
              <w:pStyle w:val="TableBody"/>
              <w:jc w:val="right"/>
              <w:rPr>
                <w:sz w:val="18"/>
                <w:szCs w:val="18"/>
              </w:rPr>
            </w:pPr>
            <w:r w:rsidRPr="00600D89">
              <w:rPr>
                <w:rFonts w:cs="Arial"/>
                <w:sz w:val="18"/>
                <w:szCs w:val="18"/>
              </w:rPr>
              <w:t>34</w:t>
            </w:r>
            <w:r>
              <w:rPr>
                <w:rFonts w:cs="Arial"/>
                <w:sz w:val="18"/>
                <w:szCs w:val="18"/>
              </w:rPr>
              <w:t xml:space="preserve"> </w:t>
            </w:r>
            <w:r w:rsidRPr="00600D89">
              <w:rPr>
                <w:sz w:val="18"/>
                <w:szCs w:val="18"/>
              </w:rPr>
              <w:t>average hours</w:t>
            </w:r>
          </w:p>
        </w:tc>
        <w:tc>
          <w:tcPr>
            <w:tcW w:w="948" w:type="pct"/>
            <w:shd w:val="clear" w:color="auto" w:fill="auto"/>
            <w:vAlign w:val="center"/>
          </w:tcPr>
          <w:p w14:paraId="7ECB72BB" w14:textId="147688B9" w:rsidR="000977D7" w:rsidRPr="00600D89" w:rsidRDefault="000977D7" w:rsidP="00A54C72">
            <w:pPr>
              <w:pStyle w:val="TableBody"/>
              <w:jc w:val="right"/>
              <w:rPr>
                <w:sz w:val="18"/>
                <w:szCs w:val="18"/>
              </w:rPr>
            </w:pPr>
            <w:r w:rsidRPr="00600D89">
              <w:rPr>
                <w:rFonts w:cs="Arial"/>
                <w:sz w:val="18"/>
                <w:szCs w:val="18"/>
              </w:rPr>
              <w:t>29</w:t>
            </w:r>
            <w:r>
              <w:rPr>
                <w:rFonts w:cs="Arial"/>
                <w:sz w:val="18"/>
                <w:szCs w:val="18"/>
              </w:rPr>
              <w:t xml:space="preserve"> </w:t>
            </w:r>
            <w:r w:rsidRPr="00600D89">
              <w:rPr>
                <w:sz w:val="18"/>
                <w:szCs w:val="18"/>
              </w:rPr>
              <w:t>average hours</w:t>
            </w:r>
          </w:p>
        </w:tc>
      </w:tr>
    </w:tbl>
    <w:p w14:paraId="5B76A67B" w14:textId="77777777" w:rsidR="00017DB8" w:rsidRPr="00C46472" w:rsidRDefault="00017DB8" w:rsidP="007A2A5F">
      <w:pPr>
        <w:pStyle w:val="ACMANotes"/>
        <w:spacing w:before="120"/>
      </w:pPr>
      <w:r w:rsidRPr="00C46472">
        <w:t xml:space="preserve">*Minimum transmission quota required as per section 121G of the </w:t>
      </w:r>
      <w:r w:rsidR="00E46666">
        <w:t>BSA</w:t>
      </w:r>
      <w:r w:rsidRPr="00C46472">
        <w:t>.</w:t>
      </w:r>
    </w:p>
    <w:p w14:paraId="71DDB35E" w14:textId="2B60F14C" w:rsidR="00017DB8" w:rsidRPr="00C46472" w:rsidRDefault="00017DB8" w:rsidP="006123DB">
      <w:pPr>
        <w:pStyle w:val="ACMANotes"/>
      </w:pPr>
      <w:r w:rsidRPr="00C46472">
        <w:t>Note</w:t>
      </w:r>
      <w:r w:rsidR="007D0C9E">
        <w:t xml:space="preserve"> 1</w:t>
      </w:r>
      <w:r w:rsidRPr="00C46472">
        <w:t>: Overall Australian content relates to first</w:t>
      </w:r>
      <w:r w:rsidR="00E46666">
        <w:t>-</w:t>
      </w:r>
      <w:r w:rsidRPr="00C46472">
        <w:t>release and repeat programs that must be broadcast between 6.00 am and midnight. Licensee requirements for each network are calculated by averaging across the following locations: Seven Network—five mainland state capital cities, Nine Network—Brisbane, Melbourne and Sydney, Network Ten—five mainland capital cities.</w:t>
      </w:r>
    </w:p>
    <w:p w14:paraId="6137128F" w14:textId="4115C009" w:rsidR="00017DB8" w:rsidRPr="00C46472" w:rsidRDefault="007D0C9E" w:rsidP="006123DB">
      <w:pPr>
        <w:pStyle w:val="ACMANotes"/>
      </w:pPr>
      <w:r>
        <w:t xml:space="preserve">Note 2: </w:t>
      </w:r>
      <w:r w:rsidR="00017DB8" w:rsidRPr="00C46472">
        <w:t>Australian drama and Australian documentaries relate to first-release programs only.</w:t>
      </w:r>
    </w:p>
    <w:p w14:paraId="18CFEA11" w14:textId="77777777" w:rsidR="00017DB8" w:rsidRPr="00DB440C" w:rsidRDefault="00017DB8" w:rsidP="00A54C72">
      <w:pPr>
        <w:pStyle w:val="ACMANotesspaceafter"/>
        <w:spacing w:after="360"/>
      </w:pPr>
      <w:r w:rsidRPr="00C46472">
        <w:t>Source: ACMA.</w:t>
      </w:r>
    </w:p>
    <w:p w14:paraId="7B535A26" w14:textId="77777777" w:rsidR="00017DB8" w:rsidRPr="001A3C79" w:rsidRDefault="00017DB8" w:rsidP="00017DB8">
      <w:pPr>
        <w:pStyle w:val="Heading3"/>
      </w:pPr>
      <w:bookmarkStart w:id="1177" w:name="_Toc399331815"/>
      <w:bookmarkStart w:id="1178" w:name="_Toc399336996"/>
      <w:bookmarkStart w:id="1179" w:name="_Toc402337601"/>
      <w:bookmarkStart w:id="1180" w:name="_Toc462899620"/>
      <w:bookmarkStart w:id="1181" w:name="_Toc433790368"/>
      <w:bookmarkStart w:id="1182" w:name="_Toc463529115"/>
      <w:bookmarkStart w:id="1183" w:name="_Toc494799444"/>
      <w:bookmarkStart w:id="1184" w:name="_Toc494805747"/>
      <w:bookmarkStart w:id="1185" w:name="_Toc494805980"/>
      <w:bookmarkStart w:id="1186" w:name="_Toc494808210"/>
      <w:bookmarkStart w:id="1187" w:name="_Toc494808864"/>
      <w:bookmarkStart w:id="1188" w:name="_Toc494816048"/>
      <w:bookmarkStart w:id="1189" w:name="_Toc494818878"/>
      <w:bookmarkStart w:id="1190" w:name="_Toc494819141"/>
      <w:r w:rsidRPr="001A3C79">
        <w:t>Children’s programs on commercial television</w:t>
      </w:r>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p>
    <w:p w14:paraId="47B66B0D" w14:textId="77777777" w:rsidR="00017DB8" w:rsidRPr="001A3C79" w:rsidRDefault="00017DB8" w:rsidP="00017DB8">
      <w:pPr>
        <w:rPr>
          <w:rFonts w:cs="Arial"/>
          <w:szCs w:val="20"/>
        </w:rPr>
      </w:pPr>
      <w:r w:rsidRPr="001A3C79">
        <w:rPr>
          <w:rFonts w:cs="Arial"/>
          <w:szCs w:val="20"/>
        </w:rPr>
        <w:t xml:space="preserve">In conjunction with the Australian Content Standard, the </w:t>
      </w:r>
      <w:r w:rsidRPr="006123DB">
        <w:rPr>
          <w:rFonts w:cs="Arial"/>
          <w:szCs w:val="20"/>
        </w:rPr>
        <w:t>Children’s Television Standards 2009</w:t>
      </w:r>
      <w:r w:rsidRPr="001A3C79">
        <w:rPr>
          <w:rFonts w:cs="Arial"/>
          <w:szCs w:val="20"/>
        </w:rPr>
        <w:t xml:space="preserve"> (CTS) are designed to give children under 14 years of age access to quality television programs that are specifically made for them and reflect their cultural experience.</w:t>
      </w:r>
    </w:p>
    <w:p w14:paraId="3C35A651" w14:textId="77777777" w:rsidR="00017DB8" w:rsidRPr="001A3C79" w:rsidRDefault="00017DB8" w:rsidP="00017DB8">
      <w:pPr>
        <w:spacing w:after="80"/>
      </w:pPr>
      <w:r w:rsidRPr="001A3C79">
        <w:t>The CTS requires licensees to provide at least 390 hours annually of children’s programs comprising:</w:t>
      </w:r>
    </w:p>
    <w:p w14:paraId="713A4E09" w14:textId="77777777" w:rsidR="00017DB8" w:rsidRPr="00A65C1C" w:rsidRDefault="00017DB8" w:rsidP="00321970">
      <w:pPr>
        <w:pStyle w:val="ListBullet"/>
      </w:pPr>
      <w:r w:rsidRPr="00A65C1C">
        <w:t>260 hours of children’s (C) programs</w:t>
      </w:r>
    </w:p>
    <w:p w14:paraId="64D09C97" w14:textId="77777777" w:rsidR="00017DB8" w:rsidRPr="00A65C1C" w:rsidRDefault="00017DB8" w:rsidP="00321970">
      <w:pPr>
        <w:pStyle w:val="ListBulletLast"/>
      </w:pPr>
      <w:r w:rsidRPr="00A65C1C">
        <w:t>130 hours of preschool (P) programs.</w:t>
      </w:r>
    </w:p>
    <w:p w14:paraId="3214274C" w14:textId="77777777" w:rsidR="00017DB8" w:rsidRDefault="00017DB8" w:rsidP="00017DB8">
      <w:pPr>
        <w:rPr>
          <w:rFonts w:cs="Arial"/>
          <w:szCs w:val="20"/>
        </w:rPr>
      </w:pPr>
      <w:r>
        <w:rPr>
          <w:rFonts w:cs="Arial"/>
          <w:szCs w:val="20"/>
        </w:rPr>
        <w:t xml:space="preserve">For C and P programs to qualify, they </w:t>
      </w:r>
      <w:r w:rsidR="00334B39">
        <w:rPr>
          <w:rFonts w:cs="Arial"/>
          <w:szCs w:val="20"/>
        </w:rPr>
        <w:t xml:space="preserve">must be </w:t>
      </w:r>
      <w:r>
        <w:rPr>
          <w:rFonts w:cs="Arial"/>
          <w:szCs w:val="20"/>
        </w:rPr>
        <w:t xml:space="preserve">classified </w:t>
      </w:r>
      <w:r w:rsidR="00A65F4C">
        <w:rPr>
          <w:rFonts w:cs="Arial"/>
          <w:szCs w:val="20"/>
        </w:rPr>
        <w:t>in accordance with</w:t>
      </w:r>
      <w:r>
        <w:rPr>
          <w:rFonts w:cs="Arial"/>
          <w:szCs w:val="20"/>
        </w:rPr>
        <w:t xml:space="preserve"> criteria in the CTS. In 2016–17, the ACMA assessed 34 applications for C and P classification. All </w:t>
      </w:r>
      <w:r w:rsidR="00A65F4C">
        <w:rPr>
          <w:rFonts w:cs="Arial"/>
          <w:szCs w:val="20"/>
        </w:rPr>
        <w:t xml:space="preserve">but one </w:t>
      </w:r>
      <w:r>
        <w:rPr>
          <w:rFonts w:cs="Arial"/>
          <w:szCs w:val="20"/>
        </w:rPr>
        <w:t>were approved.</w:t>
      </w:r>
    </w:p>
    <w:p w14:paraId="4A344B4D" w14:textId="77777777" w:rsidR="00017DB8" w:rsidRPr="001A3C79" w:rsidRDefault="00017DB8" w:rsidP="00017DB8">
      <w:pPr>
        <w:rPr>
          <w:rFonts w:cs="Arial"/>
          <w:color w:val="000000"/>
          <w:szCs w:val="20"/>
        </w:rPr>
      </w:pPr>
      <w:r>
        <w:rPr>
          <w:rFonts w:cs="Arial"/>
          <w:szCs w:val="20"/>
        </w:rPr>
        <w:t xml:space="preserve">The </w:t>
      </w:r>
      <w:r w:rsidRPr="001A3C79">
        <w:rPr>
          <w:rFonts w:cs="Arial"/>
          <w:szCs w:val="20"/>
        </w:rPr>
        <w:t>Australian Content Standard sets out additional annual and triennial first-release and</w:t>
      </w:r>
      <w:r>
        <w:rPr>
          <w:rFonts w:cs="Arial"/>
          <w:szCs w:val="20"/>
        </w:rPr>
        <w:t xml:space="preserve"> C-drama requirements within C and P</w:t>
      </w:r>
      <w:r w:rsidRPr="001A3C79">
        <w:rPr>
          <w:rFonts w:cs="Arial"/>
          <w:szCs w:val="20"/>
        </w:rPr>
        <w:t xml:space="preserve"> quotas. For the 201</w:t>
      </w:r>
      <w:r>
        <w:rPr>
          <w:rFonts w:cs="Arial"/>
          <w:szCs w:val="20"/>
        </w:rPr>
        <w:t>6</w:t>
      </w:r>
      <w:r w:rsidRPr="001A3C79">
        <w:rPr>
          <w:rFonts w:cs="Arial"/>
          <w:szCs w:val="20"/>
        </w:rPr>
        <w:t xml:space="preserve"> calendar year, all metropolitan FTA commercial television broadcasting licensees met all </w:t>
      </w:r>
      <w:r>
        <w:rPr>
          <w:rFonts w:cs="Arial"/>
          <w:szCs w:val="20"/>
        </w:rPr>
        <w:t>annual quotas (Table 3.4</w:t>
      </w:r>
      <w:r w:rsidRPr="001A3C79">
        <w:rPr>
          <w:rFonts w:cs="Arial"/>
          <w:szCs w:val="20"/>
        </w:rPr>
        <w:t xml:space="preserve">). </w:t>
      </w:r>
    </w:p>
    <w:p w14:paraId="5339A7C2" w14:textId="03F0A71C" w:rsidR="00017DB8" w:rsidRPr="00C46472" w:rsidRDefault="00017DB8" w:rsidP="00A54C72">
      <w:pPr>
        <w:keepNext/>
        <w:keepLines/>
        <w:spacing w:after="160"/>
        <w:ind w:left="1136" w:hanging="1136"/>
        <w:rPr>
          <w:rFonts w:cs="Arial"/>
          <w:b/>
          <w:bCs/>
          <w:color w:val="323232"/>
        </w:rPr>
      </w:pPr>
      <w:r>
        <w:rPr>
          <w:rFonts w:cs="Arial"/>
          <w:b/>
          <w:bCs/>
          <w:color w:val="323232"/>
        </w:rPr>
        <w:t>Table 3.4</w:t>
      </w:r>
      <w:r w:rsidRPr="00C46472">
        <w:rPr>
          <w:rFonts w:cs="Arial"/>
          <w:b/>
          <w:bCs/>
          <w:color w:val="323232"/>
        </w:rPr>
        <w:tab/>
        <w:t xml:space="preserve">Metropolitan </w:t>
      </w:r>
      <w:r w:rsidR="007D0C9E">
        <w:rPr>
          <w:rFonts w:cs="Arial"/>
          <w:b/>
          <w:bCs/>
          <w:color w:val="323232"/>
        </w:rPr>
        <w:t>FTA</w:t>
      </w:r>
      <w:r w:rsidRPr="00C46472">
        <w:rPr>
          <w:rFonts w:cs="Arial"/>
          <w:b/>
          <w:bCs/>
          <w:color w:val="323232"/>
        </w:rPr>
        <w:t xml:space="preserve"> commercial network licensees</w:t>
      </w:r>
      <w:r w:rsidR="00E46666">
        <w:rPr>
          <w:rFonts w:cs="Arial"/>
          <w:b/>
          <w:bCs/>
          <w:color w:val="323232"/>
        </w:rPr>
        <w:t>'</w:t>
      </w:r>
      <w:r w:rsidRPr="00C46472">
        <w:rPr>
          <w:rFonts w:cs="Arial"/>
          <w:b/>
          <w:bCs/>
          <w:color w:val="323232"/>
        </w:rPr>
        <w:t xml:space="preserve"> compliance with </w:t>
      </w:r>
      <w:r w:rsidR="007D0C9E">
        <w:rPr>
          <w:rFonts w:cs="Arial"/>
          <w:b/>
          <w:bCs/>
          <w:color w:val="323232"/>
        </w:rPr>
        <w:t>C</w:t>
      </w:r>
      <w:r w:rsidRPr="00C46472">
        <w:rPr>
          <w:rFonts w:cs="Arial"/>
          <w:b/>
          <w:bCs/>
          <w:color w:val="323232"/>
        </w:rPr>
        <w:t xml:space="preserve"> and </w:t>
      </w:r>
      <w:r w:rsidR="007D0C9E">
        <w:rPr>
          <w:rFonts w:cs="Arial"/>
          <w:b/>
          <w:bCs/>
          <w:color w:val="323232"/>
        </w:rPr>
        <w:t>P</w:t>
      </w:r>
      <w:r w:rsidRPr="00C46472">
        <w:rPr>
          <w:rFonts w:cs="Arial"/>
          <w:b/>
          <w:bCs/>
          <w:color w:val="323232"/>
        </w:rPr>
        <w:t xml:space="preserve"> </w:t>
      </w:r>
      <w:r w:rsidR="005024A1">
        <w:rPr>
          <w:rFonts w:cs="Arial"/>
          <w:b/>
          <w:bCs/>
          <w:color w:val="323232"/>
        </w:rPr>
        <w:t xml:space="preserve">program </w:t>
      </w:r>
      <w:r w:rsidRPr="00C46472">
        <w:rPr>
          <w:rFonts w:cs="Arial"/>
          <w:b/>
          <w:bCs/>
          <w:color w:val="323232"/>
        </w:rPr>
        <w:t>quotas</w:t>
      </w:r>
      <w:r w:rsidR="007D0C9E">
        <w:rPr>
          <w:rFonts w:cs="Arial"/>
          <w:b/>
          <w:bCs/>
          <w:color w:val="323232"/>
        </w:rPr>
        <w:t>,</w:t>
      </w:r>
      <w:r w:rsidRPr="00C46472">
        <w:rPr>
          <w:rFonts w:cs="Arial"/>
          <w:b/>
          <w:bCs/>
          <w:color w:val="323232"/>
        </w:rPr>
        <w:t xml:space="preserve"> 2016 calendar year</w:t>
      </w:r>
    </w:p>
    <w:tbl>
      <w:tblPr>
        <w:tblW w:w="9294"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ayout w:type="fixed"/>
        <w:tblCellMar>
          <w:top w:w="57" w:type="dxa"/>
          <w:left w:w="57" w:type="dxa"/>
          <w:bottom w:w="57" w:type="dxa"/>
          <w:right w:w="57" w:type="dxa"/>
        </w:tblCellMar>
        <w:tblLook w:val="01E0" w:firstRow="1" w:lastRow="1" w:firstColumn="1" w:lastColumn="1" w:noHBand="0" w:noVBand="0"/>
        <w:tblCaption w:val="Table 3.5 Metropolitan free-to-air commercial network licensee’s compliance with children’s and preschool children’s program quotas (total annual hours), for the 2015 calendar year"/>
      </w:tblPr>
      <w:tblGrid>
        <w:gridCol w:w="936"/>
        <w:gridCol w:w="1296"/>
        <w:gridCol w:w="1776"/>
        <w:gridCol w:w="1542"/>
        <w:gridCol w:w="1248"/>
        <w:gridCol w:w="1248"/>
        <w:gridCol w:w="1248"/>
      </w:tblGrid>
      <w:tr w:rsidR="00017DB8" w:rsidRPr="00321970" w14:paraId="322678C1" w14:textId="77777777" w:rsidTr="00F65D12">
        <w:trPr>
          <w:trHeight w:val="103"/>
          <w:tblHeader/>
        </w:trPr>
        <w:tc>
          <w:tcPr>
            <w:tcW w:w="936" w:type="dxa"/>
            <w:tcBorders>
              <w:top w:val="nil"/>
              <w:left w:val="nil"/>
              <w:bottom w:val="nil"/>
              <w:right w:val="nil"/>
            </w:tcBorders>
            <w:shd w:val="clear" w:color="auto" w:fill="FFFFFF" w:themeFill="background1"/>
            <w:vAlign w:val="center"/>
          </w:tcPr>
          <w:p w14:paraId="65E58EB2" w14:textId="77777777" w:rsidR="00017DB8" w:rsidRPr="00321970" w:rsidRDefault="00017DB8" w:rsidP="00A54C72">
            <w:pPr>
              <w:pStyle w:val="TableHeading"/>
              <w:spacing w:before="0"/>
              <w:rPr>
                <w:b w:val="0"/>
                <w:szCs w:val="18"/>
              </w:rPr>
            </w:pPr>
          </w:p>
        </w:tc>
        <w:tc>
          <w:tcPr>
            <w:tcW w:w="1296" w:type="dxa"/>
            <w:tcBorders>
              <w:top w:val="nil"/>
              <w:left w:val="nil"/>
              <w:bottom w:val="nil"/>
              <w:right w:val="nil"/>
            </w:tcBorders>
            <w:shd w:val="clear" w:color="auto" w:fill="FFFFFF" w:themeFill="background1"/>
            <w:vAlign w:val="center"/>
          </w:tcPr>
          <w:p w14:paraId="32A03EF9" w14:textId="77777777" w:rsidR="00017DB8" w:rsidRPr="00321970" w:rsidRDefault="00017DB8" w:rsidP="00A54C72">
            <w:pPr>
              <w:pStyle w:val="TableHeading"/>
              <w:spacing w:before="0"/>
              <w:rPr>
                <w:b w:val="0"/>
                <w:szCs w:val="18"/>
              </w:rPr>
            </w:pPr>
          </w:p>
        </w:tc>
        <w:tc>
          <w:tcPr>
            <w:tcW w:w="1776" w:type="dxa"/>
            <w:tcBorders>
              <w:top w:val="nil"/>
              <w:left w:val="nil"/>
              <w:bottom w:val="nil"/>
            </w:tcBorders>
            <w:shd w:val="clear" w:color="auto" w:fill="FFFFFF" w:themeFill="background1"/>
            <w:vAlign w:val="center"/>
          </w:tcPr>
          <w:p w14:paraId="489C970C" w14:textId="77777777" w:rsidR="00017DB8" w:rsidRPr="00321970" w:rsidRDefault="00017DB8" w:rsidP="00A54C72">
            <w:pPr>
              <w:pStyle w:val="TableHeading"/>
              <w:spacing w:before="0"/>
              <w:rPr>
                <w:b w:val="0"/>
                <w:szCs w:val="18"/>
              </w:rPr>
            </w:pPr>
          </w:p>
        </w:tc>
        <w:tc>
          <w:tcPr>
            <w:tcW w:w="1542" w:type="dxa"/>
            <w:vMerge w:val="restart"/>
            <w:shd w:val="clear" w:color="auto" w:fill="37897E"/>
            <w:vAlign w:val="center"/>
          </w:tcPr>
          <w:p w14:paraId="3A5B70DD" w14:textId="08606833" w:rsidR="00017DB8" w:rsidRPr="00321970" w:rsidRDefault="00017DB8" w:rsidP="007D0C9E">
            <w:pPr>
              <w:pStyle w:val="TableHeading"/>
              <w:spacing w:before="0" w:line="240" w:lineRule="auto"/>
              <w:jc w:val="right"/>
              <w:rPr>
                <w:szCs w:val="18"/>
              </w:rPr>
            </w:pPr>
            <w:r w:rsidRPr="00321970">
              <w:rPr>
                <w:szCs w:val="18"/>
              </w:rPr>
              <w:t>Minimum annual requirement</w:t>
            </w:r>
            <w:r w:rsidR="007D0C9E">
              <w:rPr>
                <w:szCs w:val="18"/>
              </w:rPr>
              <w:t>—hours</w:t>
            </w:r>
          </w:p>
        </w:tc>
        <w:tc>
          <w:tcPr>
            <w:tcW w:w="3744" w:type="dxa"/>
            <w:gridSpan w:val="3"/>
            <w:shd w:val="clear" w:color="auto" w:fill="37897E"/>
            <w:vAlign w:val="center"/>
          </w:tcPr>
          <w:p w14:paraId="6105AF64" w14:textId="758F3060" w:rsidR="00017DB8" w:rsidRPr="00321970" w:rsidRDefault="00017DB8" w:rsidP="007D0C9E">
            <w:pPr>
              <w:pStyle w:val="TableHeading"/>
              <w:spacing w:before="0" w:line="240" w:lineRule="auto"/>
              <w:jc w:val="center"/>
              <w:rPr>
                <w:szCs w:val="18"/>
              </w:rPr>
            </w:pPr>
            <w:r w:rsidRPr="00321970">
              <w:rPr>
                <w:szCs w:val="18"/>
              </w:rPr>
              <w:t>Licensee</w:t>
            </w:r>
            <w:r w:rsidR="007D0C9E">
              <w:rPr>
                <w:szCs w:val="18"/>
              </w:rPr>
              <w:t>—total annual hours</w:t>
            </w:r>
          </w:p>
        </w:tc>
      </w:tr>
      <w:tr w:rsidR="00017DB8" w:rsidRPr="00321970" w14:paraId="715CE66A" w14:textId="77777777" w:rsidTr="00F65D12">
        <w:trPr>
          <w:trHeight w:val="293"/>
        </w:trPr>
        <w:tc>
          <w:tcPr>
            <w:tcW w:w="936" w:type="dxa"/>
            <w:tcBorders>
              <w:top w:val="nil"/>
              <w:left w:val="nil"/>
              <w:bottom w:val="single" w:sz="6" w:space="0" w:color="BFBFBF" w:themeColor="background1" w:themeShade="BF"/>
              <w:right w:val="nil"/>
            </w:tcBorders>
            <w:shd w:val="clear" w:color="auto" w:fill="FFFFFF" w:themeFill="background1"/>
            <w:vAlign w:val="center"/>
          </w:tcPr>
          <w:p w14:paraId="08F34D66" w14:textId="77777777" w:rsidR="00017DB8" w:rsidRPr="006123DB" w:rsidRDefault="00017DB8" w:rsidP="00A54C72">
            <w:pPr>
              <w:keepNext/>
              <w:keepLines/>
              <w:spacing w:after="0"/>
              <w:rPr>
                <w:b/>
                <w:sz w:val="18"/>
                <w:szCs w:val="18"/>
              </w:rPr>
            </w:pPr>
          </w:p>
        </w:tc>
        <w:tc>
          <w:tcPr>
            <w:tcW w:w="1296" w:type="dxa"/>
            <w:tcBorders>
              <w:top w:val="nil"/>
              <w:left w:val="nil"/>
              <w:bottom w:val="single" w:sz="6" w:space="0" w:color="BFBFBF" w:themeColor="background1" w:themeShade="BF"/>
              <w:right w:val="nil"/>
            </w:tcBorders>
            <w:shd w:val="clear" w:color="auto" w:fill="FFFFFF" w:themeFill="background1"/>
            <w:vAlign w:val="center"/>
          </w:tcPr>
          <w:p w14:paraId="78ECE7E4" w14:textId="77777777" w:rsidR="00017DB8" w:rsidRPr="006123DB" w:rsidRDefault="00017DB8" w:rsidP="00A54C72">
            <w:pPr>
              <w:keepNext/>
              <w:keepLines/>
              <w:spacing w:after="0"/>
              <w:rPr>
                <w:b/>
                <w:color w:val="FFFFFF"/>
                <w:sz w:val="18"/>
                <w:szCs w:val="18"/>
              </w:rPr>
            </w:pPr>
          </w:p>
        </w:tc>
        <w:tc>
          <w:tcPr>
            <w:tcW w:w="1776" w:type="dxa"/>
            <w:tcBorders>
              <w:top w:val="nil"/>
              <w:left w:val="nil"/>
              <w:bottom w:val="single" w:sz="6" w:space="0" w:color="BFBFBF" w:themeColor="background1" w:themeShade="BF"/>
            </w:tcBorders>
            <w:shd w:val="clear" w:color="auto" w:fill="FFFFFF" w:themeFill="background1"/>
            <w:vAlign w:val="center"/>
          </w:tcPr>
          <w:p w14:paraId="33890B9E" w14:textId="77777777" w:rsidR="00017DB8" w:rsidRPr="006123DB" w:rsidRDefault="00017DB8" w:rsidP="00A54C72">
            <w:pPr>
              <w:keepNext/>
              <w:keepLines/>
              <w:spacing w:after="0"/>
              <w:jc w:val="center"/>
              <w:rPr>
                <w:b/>
                <w:color w:val="FFFFFF"/>
                <w:sz w:val="18"/>
                <w:szCs w:val="18"/>
              </w:rPr>
            </w:pPr>
          </w:p>
        </w:tc>
        <w:tc>
          <w:tcPr>
            <w:tcW w:w="1542" w:type="dxa"/>
            <w:vMerge/>
            <w:shd w:val="clear" w:color="auto" w:fill="37897E"/>
            <w:vAlign w:val="center"/>
          </w:tcPr>
          <w:p w14:paraId="2B8F748E" w14:textId="77777777" w:rsidR="00017DB8" w:rsidRPr="00321970" w:rsidRDefault="00017DB8" w:rsidP="007D0C9E">
            <w:pPr>
              <w:pStyle w:val="TableHeading"/>
              <w:spacing w:before="0" w:line="240" w:lineRule="auto"/>
              <w:jc w:val="right"/>
              <w:rPr>
                <w:color w:val="FFFFFF"/>
                <w:szCs w:val="18"/>
              </w:rPr>
            </w:pPr>
          </w:p>
        </w:tc>
        <w:tc>
          <w:tcPr>
            <w:tcW w:w="1248" w:type="dxa"/>
            <w:shd w:val="clear" w:color="auto" w:fill="37897E"/>
            <w:vAlign w:val="center"/>
          </w:tcPr>
          <w:p w14:paraId="3977425B" w14:textId="77777777" w:rsidR="00017DB8" w:rsidRPr="00321970" w:rsidRDefault="00017DB8" w:rsidP="007D0C9E">
            <w:pPr>
              <w:pStyle w:val="TableHeading"/>
              <w:spacing w:before="0" w:line="240" w:lineRule="auto"/>
              <w:jc w:val="right"/>
              <w:rPr>
                <w:color w:val="FFFFFF"/>
                <w:szCs w:val="18"/>
              </w:rPr>
            </w:pPr>
            <w:r w:rsidRPr="00321970">
              <w:rPr>
                <w:color w:val="FFFFFF"/>
                <w:szCs w:val="18"/>
              </w:rPr>
              <w:t>Seven Network</w:t>
            </w:r>
          </w:p>
        </w:tc>
        <w:tc>
          <w:tcPr>
            <w:tcW w:w="1248" w:type="dxa"/>
            <w:shd w:val="clear" w:color="auto" w:fill="37897E"/>
            <w:vAlign w:val="center"/>
          </w:tcPr>
          <w:p w14:paraId="2F395D93" w14:textId="77777777" w:rsidR="00017DB8" w:rsidRPr="00321970" w:rsidRDefault="00017DB8" w:rsidP="007D0C9E">
            <w:pPr>
              <w:pStyle w:val="TableHeading"/>
              <w:spacing w:before="0" w:line="240" w:lineRule="auto"/>
              <w:jc w:val="right"/>
              <w:rPr>
                <w:color w:val="FFFFFF"/>
                <w:szCs w:val="18"/>
              </w:rPr>
            </w:pPr>
            <w:r w:rsidRPr="00321970">
              <w:rPr>
                <w:color w:val="FFFFFF"/>
                <w:szCs w:val="18"/>
              </w:rPr>
              <w:t>Nine Network</w:t>
            </w:r>
          </w:p>
        </w:tc>
        <w:tc>
          <w:tcPr>
            <w:tcW w:w="1248" w:type="dxa"/>
            <w:shd w:val="clear" w:color="auto" w:fill="37897E"/>
            <w:vAlign w:val="center"/>
          </w:tcPr>
          <w:p w14:paraId="46C792F0" w14:textId="77777777" w:rsidR="00017DB8" w:rsidRPr="00334B39" w:rsidRDefault="00017DB8" w:rsidP="007D0C9E">
            <w:pPr>
              <w:pStyle w:val="TableHeading"/>
              <w:spacing w:before="0" w:line="240" w:lineRule="auto"/>
              <w:jc w:val="right"/>
              <w:rPr>
                <w:color w:val="FFFFFF"/>
                <w:szCs w:val="18"/>
              </w:rPr>
            </w:pPr>
            <w:r w:rsidRPr="00620259">
              <w:rPr>
                <w:color w:val="FFFFFF"/>
                <w:szCs w:val="18"/>
              </w:rPr>
              <w:t>Network</w:t>
            </w:r>
            <w:r w:rsidRPr="00321970">
              <w:rPr>
                <w:rFonts w:cs="Arial"/>
                <w:color w:val="FFFFFF"/>
                <w:szCs w:val="18"/>
              </w:rPr>
              <w:t xml:space="preserve"> </w:t>
            </w:r>
            <w:r w:rsidR="0039624C">
              <w:rPr>
                <w:rFonts w:cs="Arial"/>
                <w:color w:val="FFFFFF"/>
                <w:szCs w:val="18"/>
              </w:rPr>
              <w:br/>
            </w:r>
            <w:r w:rsidRPr="00321970">
              <w:rPr>
                <w:rFonts w:cs="Arial"/>
                <w:color w:val="FFFFFF"/>
                <w:szCs w:val="18"/>
              </w:rPr>
              <w:t xml:space="preserve">Ten </w:t>
            </w:r>
          </w:p>
        </w:tc>
      </w:tr>
      <w:tr w:rsidR="00017DB8" w:rsidRPr="00321970" w14:paraId="19592083" w14:textId="77777777" w:rsidTr="00F65D12">
        <w:trPr>
          <w:trHeight w:val="259"/>
        </w:trPr>
        <w:tc>
          <w:tcPr>
            <w:tcW w:w="2232" w:type="dxa"/>
            <w:gridSpan w:val="2"/>
            <w:vMerge w:val="restart"/>
            <w:tcBorders>
              <w:top w:val="single" w:sz="6" w:space="0" w:color="BFBFBF" w:themeColor="background1" w:themeShade="BF"/>
            </w:tcBorders>
            <w:shd w:val="clear" w:color="auto" w:fill="auto"/>
            <w:vAlign w:val="center"/>
          </w:tcPr>
          <w:p w14:paraId="1400598F" w14:textId="77777777" w:rsidR="00017DB8" w:rsidRPr="006123DB" w:rsidRDefault="00017DB8" w:rsidP="00A54C72">
            <w:pPr>
              <w:pStyle w:val="TableBody"/>
              <w:rPr>
                <w:sz w:val="18"/>
                <w:szCs w:val="18"/>
              </w:rPr>
            </w:pPr>
            <w:r w:rsidRPr="006123DB">
              <w:rPr>
                <w:sz w:val="18"/>
                <w:szCs w:val="18"/>
              </w:rPr>
              <w:t>Australian children’s</w:t>
            </w:r>
            <w:r w:rsidRPr="006123DB">
              <w:rPr>
                <w:sz w:val="18"/>
                <w:szCs w:val="18"/>
              </w:rPr>
              <w:br/>
              <w:t>C drama</w:t>
            </w:r>
          </w:p>
        </w:tc>
        <w:tc>
          <w:tcPr>
            <w:tcW w:w="1776" w:type="dxa"/>
            <w:tcBorders>
              <w:top w:val="single" w:sz="6" w:space="0" w:color="BFBFBF" w:themeColor="background1" w:themeShade="BF"/>
            </w:tcBorders>
            <w:shd w:val="clear" w:color="auto" w:fill="auto"/>
            <w:vAlign w:val="center"/>
          </w:tcPr>
          <w:p w14:paraId="6C788FE6" w14:textId="77777777" w:rsidR="00017DB8" w:rsidRPr="006123DB" w:rsidRDefault="00017DB8" w:rsidP="00A54C72">
            <w:pPr>
              <w:pStyle w:val="TableBody"/>
              <w:rPr>
                <w:sz w:val="18"/>
                <w:szCs w:val="18"/>
              </w:rPr>
            </w:pPr>
            <w:r w:rsidRPr="006123DB">
              <w:rPr>
                <w:sz w:val="18"/>
                <w:szCs w:val="18"/>
              </w:rPr>
              <w:t>First</w:t>
            </w:r>
            <w:r w:rsidRPr="006123DB">
              <w:rPr>
                <w:rFonts w:cs="Arial"/>
                <w:sz w:val="18"/>
                <w:szCs w:val="18"/>
              </w:rPr>
              <w:t>-</w:t>
            </w:r>
            <w:r w:rsidRPr="006123DB">
              <w:rPr>
                <w:sz w:val="18"/>
                <w:szCs w:val="18"/>
              </w:rPr>
              <w:t>release</w:t>
            </w:r>
          </w:p>
        </w:tc>
        <w:tc>
          <w:tcPr>
            <w:tcW w:w="1542" w:type="dxa"/>
            <w:shd w:val="clear" w:color="auto" w:fill="auto"/>
            <w:vAlign w:val="center"/>
          </w:tcPr>
          <w:p w14:paraId="6835594C" w14:textId="77777777" w:rsidR="00017DB8" w:rsidRPr="006123DB" w:rsidRDefault="00017DB8" w:rsidP="00A54C72">
            <w:pPr>
              <w:pStyle w:val="TableBody"/>
              <w:jc w:val="right"/>
              <w:rPr>
                <w:sz w:val="18"/>
                <w:szCs w:val="18"/>
              </w:rPr>
            </w:pPr>
            <w:r w:rsidRPr="006123DB">
              <w:rPr>
                <w:sz w:val="18"/>
                <w:szCs w:val="18"/>
              </w:rPr>
              <w:t>25</w:t>
            </w:r>
          </w:p>
        </w:tc>
        <w:tc>
          <w:tcPr>
            <w:tcW w:w="1248" w:type="dxa"/>
            <w:shd w:val="clear" w:color="auto" w:fill="auto"/>
            <w:vAlign w:val="center"/>
          </w:tcPr>
          <w:p w14:paraId="61AFA46E" w14:textId="77777777" w:rsidR="00017DB8" w:rsidRPr="006123DB" w:rsidRDefault="00017DB8" w:rsidP="00A54C72">
            <w:pPr>
              <w:pStyle w:val="TableBody"/>
              <w:jc w:val="right"/>
              <w:rPr>
                <w:sz w:val="18"/>
                <w:szCs w:val="18"/>
              </w:rPr>
            </w:pPr>
            <w:r w:rsidRPr="006123DB">
              <w:rPr>
                <w:sz w:val="18"/>
                <w:szCs w:val="18"/>
              </w:rPr>
              <w:t>34</w:t>
            </w:r>
          </w:p>
        </w:tc>
        <w:tc>
          <w:tcPr>
            <w:tcW w:w="1248" w:type="dxa"/>
            <w:shd w:val="clear" w:color="auto" w:fill="auto"/>
            <w:vAlign w:val="center"/>
          </w:tcPr>
          <w:p w14:paraId="2A43F86A" w14:textId="77777777" w:rsidR="00017DB8" w:rsidRPr="006123DB" w:rsidRDefault="00017DB8" w:rsidP="00A54C72">
            <w:pPr>
              <w:pStyle w:val="TableBody"/>
              <w:jc w:val="right"/>
              <w:rPr>
                <w:sz w:val="18"/>
                <w:szCs w:val="18"/>
              </w:rPr>
            </w:pPr>
            <w:r w:rsidRPr="006123DB">
              <w:rPr>
                <w:sz w:val="18"/>
                <w:szCs w:val="18"/>
              </w:rPr>
              <w:t>32</w:t>
            </w:r>
          </w:p>
        </w:tc>
        <w:tc>
          <w:tcPr>
            <w:tcW w:w="1248" w:type="dxa"/>
            <w:shd w:val="clear" w:color="auto" w:fill="auto"/>
            <w:vAlign w:val="center"/>
          </w:tcPr>
          <w:p w14:paraId="0C9DB5EE" w14:textId="77777777" w:rsidR="00017DB8" w:rsidRPr="006123DB" w:rsidRDefault="00017DB8" w:rsidP="00A54C72">
            <w:pPr>
              <w:pStyle w:val="TableBody"/>
              <w:jc w:val="right"/>
              <w:rPr>
                <w:sz w:val="18"/>
                <w:szCs w:val="18"/>
              </w:rPr>
            </w:pPr>
            <w:r w:rsidRPr="006123DB">
              <w:rPr>
                <w:sz w:val="18"/>
                <w:szCs w:val="18"/>
              </w:rPr>
              <w:t>27</w:t>
            </w:r>
          </w:p>
        </w:tc>
      </w:tr>
      <w:tr w:rsidR="00017DB8" w:rsidRPr="00321970" w14:paraId="7F14F67A" w14:textId="77777777" w:rsidTr="00F65D12">
        <w:trPr>
          <w:trHeight w:val="122"/>
        </w:trPr>
        <w:tc>
          <w:tcPr>
            <w:tcW w:w="2232" w:type="dxa"/>
            <w:gridSpan w:val="2"/>
            <w:vMerge/>
            <w:shd w:val="clear" w:color="auto" w:fill="auto"/>
            <w:vAlign w:val="center"/>
          </w:tcPr>
          <w:p w14:paraId="0B410C26" w14:textId="77777777" w:rsidR="00017DB8" w:rsidRPr="00F96F83" w:rsidRDefault="00017DB8" w:rsidP="00A54C72">
            <w:pPr>
              <w:pStyle w:val="TableBody"/>
              <w:rPr>
                <w:sz w:val="18"/>
                <w:szCs w:val="18"/>
              </w:rPr>
            </w:pPr>
          </w:p>
        </w:tc>
        <w:tc>
          <w:tcPr>
            <w:tcW w:w="1776" w:type="dxa"/>
            <w:shd w:val="clear" w:color="auto" w:fill="auto"/>
            <w:vAlign w:val="center"/>
          </w:tcPr>
          <w:p w14:paraId="597BB704" w14:textId="77777777" w:rsidR="00017DB8" w:rsidRPr="00F96F83" w:rsidRDefault="00017DB8" w:rsidP="00A54C72">
            <w:pPr>
              <w:pStyle w:val="TableBody"/>
              <w:rPr>
                <w:sz w:val="18"/>
                <w:szCs w:val="18"/>
              </w:rPr>
            </w:pPr>
            <w:r w:rsidRPr="00F96F83">
              <w:rPr>
                <w:sz w:val="18"/>
                <w:szCs w:val="18"/>
              </w:rPr>
              <w:t>Repeat</w:t>
            </w:r>
          </w:p>
        </w:tc>
        <w:tc>
          <w:tcPr>
            <w:tcW w:w="1542" w:type="dxa"/>
            <w:shd w:val="clear" w:color="auto" w:fill="auto"/>
            <w:vAlign w:val="center"/>
          </w:tcPr>
          <w:p w14:paraId="7A28EA8B" w14:textId="77777777" w:rsidR="00017DB8" w:rsidRPr="00F96F83" w:rsidRDefault="00017DB8" w:rsidP="00A54C72">
            <w:pPr>
              <w:pStyle w:val="TableBody"/>
              <w:jc w:val="right"/>
              <w:rPr>
                <w:sz w:val="18"/>
                <w:szCs w:val="18"/>
              </w:rPr>
            </w:pPr>
            <w:r w:rsidRPr="00F96F83">
              <w:rPr>
                <w:sz w:val="18"/>
                <w:szCs w:val="18"/>
              </w:rPr>
              <w:t>8</w:t>
            </w:r>
          </w:p>
        </w:tc>
        <w:tc>
          <w:tcPr>
            <w:tcW w:w="1248" w:type="dxa"/>
            <w:shd w:val="clear" w:color="auto" w:fill="auto"/>
            <w:vAlign w:val="center"/>
          </w:tcPr>
          <w:p w14:paraId="0EBACB63" w14:textId="77777777" w:rsidR="00017DB8" w:rsidRPr="00F96F83" w:rsidRDefault="00017DB8" w:rsidP="00A54C72">
            <w:pPr>
              <w:pStyle w:val="TableBody"/>
              <w:jc w:val="right"/>
              <w:rPr>
                <w:sz w:val="18"/>
                <w:szCs w:val="18"/>
              </w:rPr>
            </w:pPr>
            <w:r w:rsidRPr="00F96F83">
              <w:rPr>
                <w:sz w:val="18"/>
                <w:szCs w:val="18"/>
              </w:rPr>
              <w:t>67</w:t>
            </w:r>
          </w:p>
        </w:tc>
        <w:tc>
          <w:tcPr>
            <w:tcW w:w="1248" w:type="dxa"/>
            <w:shd w:val="clear" w:color="auto" w:fill="auto"/>
            <w:vAlign w:val="center"/>
          </w:tcPr>
          <w:p w14:paraId="2F19563B" w14:textId="77777777" w:rsidR="00017DB8" w:rsidRPr="00F96F83" w:rsidRDefault="00017DB8" w:rsidP="00A54C72">
            <w:pPr>
              <w:pStyle w:val="TableBody"/>
              <w:jc w:val="right"/>
              <w:rPr>
                <w:sz w:val="18"/>
                <w:szCs w:val="18"/>
              </w:rPr>
            </w:pPr>
            <w:r w:rsidRPr="00F96F83">
              <w:rPr>
                <w:sz w:val="18"/>
                <w:szCs w:val="18"/>
              </w:rPr>
              <w:t>79</w:t>
            </w:r>
          </w:p>
        </w:tc>
        <w:tc>
          <w:tcPr>
            <w:tcW w:w="1248" w:type="dxa"/>
            <w:shd w:val="clear" w:color="auto" w:fill="auto"/>
            <w:vAlign w:val="center"/>
          </w:tcPr>
          <w:p w14:paraId="7A0DD0EC" w14:textId="77777777" w:rsidR="00017DB8" w:rsidRPr="00F96F83" w:rsidRDefault="00017DB8" w:rsidP="00A54C72">
            <w:pPr>
              <w:pStyle w:val="TableBody"/>
              <w:jc w:val="right"/>
              <w:rPr>
                <w:sz w:val="18"/>
                <w:szCs w:val="18"/>
              </w:rPr>
            </w:pPr>
            <w:r w:rsidRPr="00F96F83">
              <w:rPr>
                <w:sz w:val="18"/>
                <w:szCs w:val="18"/>
              </w:rPr>
              <w:t>69</w:t>
            </w:r>
          </w:p>
        </w:tc>
      </w:tr>
      <w:tr w:rsidR="00017DB8" w:rsidRPr="00321970" w14:paraId="42D13047" w14:textId="77777777" w:rsidTr="00F65D12">
        <w:trPr>
          <w:trHeight w:val="398"/>
        </w:trPr>
        <w:tc>
          <w:tcPr>
            <w:tcW w:w="2232" w:type="dxa"/>
            <w:gridSpan w:val="2"/>
            <w:shd w:val="clear" w:color="auto" w:fill="auto"/>
            <w:vAlign w:val="center"/>
          </w:tcPr>
          <w:p w14:paraId="62409330" w14:textId="77777777" w:rsidR="00017DB8" w:rsidRPr="006123DB" w:rsidDel="00965438" w:rsidRDefault="00017DB8" w:rsidP="00A54C72">
            <w:pPr>
              <w:pStyle w:val="TableBody"/>
              <w:rPr>
                <w:rFonts w:cs="Arial"/>
                <w:noProof/>
                <w:sz w:val="18"/>
                <w:szCs w:val="18"/>
              </w:rPr>
            </w:pPr>
            <w:r w:rsidRPr="006123DB">
              <w:rPr>
                <w:sz w:val="18"/>
                <w:szCs w:val="18"/>
              </w:rPr>
              <w:t>Australian children’s</w:t>
            </w:r>
            <w:r w:rsidRPr="006123DB">
              <w:rPr>
                <w:sz w:val="18"/>
                <w:szCs w:val="18"/>
              </w:rPr>
              <w:br/>
              <w:t>C programs</w:t>
            </w:r>
          </w:p>
        </w:tc>
        <w:tc>
          <w:tcPr>
            <w:tcW w:w="1776" w:type="dxa"/>
            <w:shd w:val="clear" w:color="auto" w:fill="auto"/>
            <w:vAlign w:val="center"/>
          </w:tcPr>
          <w:p w14:paraId="625B95CA" w14:textId="77777777" w:rsidR="00017DB8" w:rsidRPr="006123DB" w:rsidRDefault="00017DB8" w:rsidP="00A54C72">
            <w:pPr>
              <w:pStyle w:val="TableBody"/>
              <w:rPr>
                <w:sz w:val="18"/>
                <w:szCs w:val="18"/>
              </w:rPr>
            </w:pPr>
            <w:r w:rsidRPr="006123DB">
              <w:rPr>
                <w:sz w:val="18"/>
                <w:szCs w:val="18"/>
              </w:rPr>
              <w:t>First</w:t>
            </w:r>
            <w:r w:rsidRPr="006123DB">
              <w:rPr>
                <w:rFonts w:cs="Arial"/>
                <w:sz w:val="18"/>
                <w:szCs w:val="18"/>
              </w:rPr>
              <w:t>-</w:t>
            </w:r>
            <w:r w:rsidRPr="006123DB">
              <w:rPr>
                <w:sz w:val="18"/>
                <w:szCs w:val="18"/>
              </w:rPr>
              <w:t>release including C drama</w:t>
            </w:r>
          </w:p>
        </w:tc>
        <w:tc>
          <w:tcPr>
            <w:tcW w:w="1542" w:type="dxa"/>
            <w:shd w:val="clear" w:color="auto" w:fill="auto"/>
            <w:vAlign w:val="center"/>
          </w:tcPr>
          <w:p w14:paraId="6E8E6229" w14:textId="77777777" w:rsidR="00017DB8" w:rsidRPr="006123DB" w:rsidRDefault="00017DB8" w:rsidP="00A54C72">
            <w:pPr>
              <w:pStyle w:val="TableBody"/>
              <w:jc w:val="right"/>
              <w:rPr>
                <w:sz w:val="18"/>
                <w:szCs w:val="18"/>
              </w:rPr>
            </w:pPr>
            <w:r w:rsidRPr="006123DB">
              <w:rPr>
                <w:sz w:val="18"/>
                <w:szCs w:val="18"/>
              </w:rPr>
              <w:t>130</w:t>
            </w:r>
          </w:p>
        </w:tc>
        <w:tc>
          <w:tcPr>
            <w:tcW w:w="1248" w:type="dxa"/>
            <w:shd w:val="clear" w:color="auto" w:fill="auto"/>
            <w:vAlign w:val="center"/>
          </w:tcPr>
          <w:p w14:paraId="6758C1CB" w14:textId="77777777" w:rsidR="00017DB8" w:rsidRPr="006123DB" w:rsidRDefault="00017DB8" w:rsidP="00A54C72">
            <w:pPr>
              <w:pStyle w:val="TableBody"/>
              <w:jc w:val="right"/>
              <w:rPr>
                <w:sz w:val="18"/>
                <w:szCs w:val="18"/>
              </w:rPr>
            </w:pPr>
            <w:r w:rsidRPr="006123DB">
              <w:rPr>
                <w:sz w:val="18"/>
                <w:szCs w:val="18"/>
              </w:rPr>
              <w:t>130</w:t>
            </w:r>
          </w:p>
        </w:tc>
        <w:tc>
          <w:tcPr>
            <w:tcW w:w="1248" w:type="dxa"/>
            <w:shd w:val="clear" w:color="auto" w:fill="auto"/>
            <w:vAlign w:val="center"/>
          </w:tcPr>
          <w:p w14:paraId="530F6F2C" w14:textId="77777777" w:rsidR="00017DB8" w:rsidRPr="006123DB" w:rsidRDefault="00017DB8" w:rsidP="00A54C72">
            <w:pPr>
              <w:pStyle w:val="TableBody"/>
              <w:jc w:val="right"/>
              <w:rPr>
                <w:sz w:val="18"/>
                <w:szCs w:val="18"/>
              </w:rPr>
            </w:pPr>
            <w:r w:rsidRPr="006123DB">
              <w:rPr>
                <w:sz w:val="18"/>
                <w:szCs w:val="18"/>
              </w:rPr>
              <w:t>131</w:t>
            </w:r>
          </w:p>
        </w:tc>
        <w:tc>
          <w:tcPr>
            <w:tcW w:w="1248" w:type="dxa"/>
            <w:shd w:val="clear" w:color="auto" w:fill="auto"/>
            <w:vAlign w:val="center"/>
          </w:tcPr>
          <w:p w14:paraId="1228D071" w14:textId="77777777" w:rsidR="00017DB8" w:rsidRPr="006123DB" w:rsidRDefault="00017DB8" w:rsidP="00A54C72">
            <w:pPr>
              <w:pStyle w:val="TableBody"/>
              <w:jc w:val="right"/>
              <w:rPr>
                <w:sz w:val="18"/>
                <w:szCs w:val="18"/>
              </w:rPr>
            </w:pPr>
            <w:r w:rsidRPr="006123DB">
              <w:rPr>
                <w:sz w:val="18"/>
                <w:szCs w:val="18"/>
              </w:rPr>
              <w:t>133</w:t>
            </w:r>
          </w:p>
        </w:tc>
      </w:tr>
      <w:tr w:rsidR="00017DB8" w:rsidRPr="00321970" w14:paraId="00FB8F29" w14:textId="77777777" w:rsidTr="00F65D12">
        <w:trPr>
          <w:trHeight w:val="279"/>
        </w:trPr>
        <w:tc>
          <w:tcPr>
            <w:tcW w:w="2232" w:type="dxa"/>
            <w:gridSpan w:val="2"/>
            <w:shd w:val="clear" w:color="auto" w:fill="auto"/>
            <w:vAlign w:val="center"/>
          </w:tcPr>
          <w:p w14:paraId="6E35FA98" w14:textId="77777777" w:rsidR="00017DB8" w:rsidRPr="006123DB" w:rsidDel="00965438" w:rsidRDefault="00017DB8" w:rsidP="00A54C72">
            <w:pPr>
              <w:pStyle w:val="TableBody"/>
              <w:rPr>
                <w:rFonts w:cs="Arial"/>
                <w:noProof/>
                <w:sz w:val="18"/>
                <w:szCs w:val="18"/>
              </w:rPr>
            </w:pPr>
            <w:r w:rsidRPr="006123DB">
              <w:rPr>
                <w:sz w:val="18"/>
                <w:szCs w:val="18"/>
              </w:rPr>
              <w:t>Children’s</w:t>
            </w:r>
            <w:r w:rsidRPr="006123DB">
              <w:rPr>
                <w:sz w:val="18"/>
                <w:szCs w:val="18"/>
              </w:rPr>
              <w:br/>
              <w:t>C programs</w:t>
            </w:r>
          </w:p>
        </w:tc>
        <w:tc>
          <w:tcPr>
            <w:tcW w:w="1776" w:type="dxa"/>
            <w:shd w:val="clear" w:color="auto" w:fill="auto"/>
            <w:vAlign w:val="center"/>
          </w:tcPr>
          <w:p w14:paraId="27DB7B27" w14:textId="77777777" w:rsidR="00017DB8" w:rsidRPr="006123DB" w:rsidRDefault="00017DB8" w:rsidP="00A54C72">
            <w:pPr>
              <w:pStyle w:val="TableBody"/>
              <w:rPr>
                <w:sz w:val="18"/>
                <w:szCs w:val="18"/>
              </w:rPr>
            </w:pPr>
            <w:r w:rsidRPr="006123DB">
              <w:rPr>
                <w:sz w:val="18"/>
                <w:szCs w:val="18"/>
              </w:rPr>
              <w:t>All</w:t>
            </w:r>
          </w:p>
        </w:tc>
        <w:tc>
          <w:tcPr>
            <w:tcW w:w="1542" w:type="dxa"/>
            <w:shd w:val="clear" w:color="auto" w:fill="auto"/>
            <w:vAlign w:val="center"/>
          </w:tcPr>
          <w:p w14:paraId="2A104A3B" w14:textId="77777777" w:rsidR="00017DB8" w:rsidRPr="006123DB" w:rsidRDefault="00017DB8" w:rsidP="00A54C72">
            <w:pPr>
              <w:pStyle w:val="TableBody"/>
              <w:jc w:val="right"/>
              <w:rPr>
                <w:sz w:val="18"/>
                <w:szCs w:val="18"/>
              </w:rPr>
            </w:pPr>
            <w:r w:rsidRPr="006123DB">
              <w:rPr>
                <w:sz w:val="18"/>
                <w:szCs w:val="18"/>
              </w:rPr>
              <w:t>260</w:t>
            </w:r>
          </w:p>
        </w:tc>
        <w:tc>
          <w:tcPr>
            <w:tcW w:w="1248" w:type="dxa"/>
            <w:shd w:val="clear" w:color="auto" w:fill="auto"/>
            <w:vAlign w:val="center"/>
          </w:tcPr>
          <w:p w14:paraId="4DFC82B7" w14:textId="77777777" w:rsidR="00017DB8" w:rsidRPr="006123DB" w:rsidRDefault="00017DB8" w:rsidP="00A54C72">
            <w:pPr>
              <w:pStyle w:val="TableBody"/>
              <w:jc w:val="right"/>
              <w:rPr>
                <w:sz w:val="18"/>
                <w:szCs w:val="18"/>
              </w:rPr>
            </w:pPr>
            <w:r w:rsidRPr="006123DB">
              <w:rPr>
                <w:sz w:val="18"/>
                <w:szCs w:val="18"/>
              </w:rPr>
              <w:t>261</w:t>
            </w:r>
          </w:p>
        </w:tc>
        <w:tc>
          <w:tcPr>
            <w:tcW w:w="1248" w:type="dxa"/>
            <w:shd w:val="clear" w:color="auto" w:fill="auto"/>
            <w:vAlign w:val="center"/>
          </w:tcPr>
          <w:p w14:paraId="6B2F72AE" w14:textId="77777777" w:rsidR="00017DB8" w:rsidRPr="006123DB" w:rsidRDefault="00017DB8" w:rsidP="00A54C72">
            <w:pPr>
              <w:pStyle w:val="TableBody"/>
              <w:jc w:val="right"/>
              <w:rPr>
                <w:sz w:val="18"/>
                <w:szCs w:val="18"/>
              </w:rPr>
            </w:pPr>
            <w:r w:rsidRPr="006123DB">
              <w:rPr>
                <w:sz w:val="18"/>
                <w:szCs w:val="18"/>
              </w:rPr>
              <w:t>392</w:t>
            </w:r>
          </w:p>
        </w:tc>
        <w:tc>
          <w:tcPr>
            <w:tcW w:w="1248" w:type="dxa"/>
            <w:shd w:val="clear" w:color="auto" w:fill="auto"/>
            <w:vAlign w:val="center"/>
          </w:tcPr>
          <w:p w14:paraId="164F7300" w14:textId="77777777" w:rsidR="00017DB8" w:rsidRPr="006123DB" w:rsidRDefault="00017DB8" w:rsidP="00A54C72">
            <w:pPr>
              <w:pStyle w:val="TableBody"/>
              <w:jc w:val="right"/>
              <w:rPr>
                <w:sz w:val="18"/>
                <w:szCs w:val="18"/>
              </w:rPr>
            </w:pPr>
            <w:r w:rsidRPr="006123DB">
              <w:rPr>
                <w:sz w:val="18"/>
                <w:szCs w:val="18"/>
              </w:rPr>
              <w:t>263</w:t>
            </w:r>
          </w:p>
        </w:tc>
      </w:tr>
      <w:tr w:rsidR="00017DB8" w:rsidRPr="00321970" w14:paraId="36B055DA" w14:textId="77777777" w:rsidTr="00F65D12">
        <w:trPr>
          <w:trHeight w:val="321"/>
        </w:trPr>
        <w:tc>
          <w:tcPr>
            <w:tcW w:w="2232" w:type="dxa"/>
            <w:gridSpan w:val="2"/>
            <w:shd w:val="clear" w:color="auto" w:fill="auto"/>
            <w:vAlign w:val="center"/>
          </w:tcPr>
          <w:p w14:paraId="4DAFC84C" w14:textId="77777777" w:rsidR="00017DB8" w:rsidRPr="006123DB" w:rsidDel="00965438" w:rsidRDefault="00017DB8" w:rsidP="00A54C72">
            <w:pPr>
              <w:pStyle w:val="TableBody"/>
              <w:rPr>
                <w:rFonts w:cs="Arial"/>
                <w:noProof/>
                <w:sz w:val="18"/>
                <w:szCs w:val="18"/>
              </w:rPr>
            </w:pPr>
            <w:r w:rsidRPr="006123DB">
              <w:rPr>
                <w:sz w:val="18"/>
                <w:szCs w:val="18"/>
              </w:rPr>
              <w:t>Australian preschool</w:t>
            </w:r>
            <w:r w:rsidRPr="006123DB">
              <w:rPr>
                <w:sz w:val="18"/>
                <w:szCs w:val="18"/>
              </w:rPr>
              <w:br/>
              <w:t>P programs</w:t>
            </w:r>
          </w:p>
        </w:tc>
        <w:tc>
          <w:tcPr>
            <w:tcW w:w="1776" w:type="dxa"/>
            <w:shd w:val="clear" w:color="auto" w:fill="auto"/>
            <w:vAlign w:val="center"/>
          </w:tcPr>
          <w:p w14:paraId="6BA3F27C" w14:textId="77777777" w:rsidR="00017DB8" w:rsidRPr="006123DB" w:rsidRDefault="00017DB8" w:rsidP="00A54C72">
            <w:pPr>
              <w:pStyle w:val="TableBody"/>
              <w:rPr>
                <w:sz w:val="18"/>
                <w:szCs w:val="18"/>
              </w:rPr>
            </w:pPr>
            <w:r w:rsidRPr="006123DB">
              <w:rPr>
                <w:sz w:val="18"/>
                <w:szCs w:val="18"/>
              </w:rPr>
              <w:t>All</w:t>
            </w:r>
          </w:p>
        </w:tc>
        <w:tc>
          <w:tcPr>
            <w:tcW w:w="1542" w:type="dxa"/>
            <w:shd w:val="clear" w:color="auto" w:fill="auto"/>
            <w:vAlign w:val="center"/>
          </w:tcPr>
          <w:p w14:paraId="0B9A736A" w14:textId="77777777" w:rsidR="00017DB8" w:rsidRPr="006123DB" w:rsidRDefault="00017DB8" w:rsidP="00A54C72">
            <w:pPr>
              <w:pStyle w:val="TableBody"/>
              <w:jc w:val="right"/>
              <w:rPr>
                <w:sz w:val="18"/>
                <w:szCs w:val="18"/>
              </w:rPr>
            </w:pPr>
            <w:r w:rsidRPr="006123DB">
              <w:rPr>
                <w:sz w:val="18"/>
                <w:szCs w:val="18"/>
              </w:rPr>
              <w:t>130</w:t>
            </w:r>
          </w:p>
        </w:tc>
        <w:tc>
          <w:tcPr>
            <w:tcW w:w="1248" w:type="dxa"/>
            <w:shd w:val="clear" w:color="auto" w:fill="auto"/>
            <w:vAlign w:val="center"/>
          </w:tcPr>
          <w:p w14:paraId="3F4A606E" w14:textId="77777777" w:rsidR="00017DB8" w:rsidRPr="006123DB" w:rsidRDefault="00017DB8" w:rsidP="00A54C72">
            <w:pPr>
              <w:pStyle w:val="TableBody"/>
              <w:jc w:val="right"/>
              <w:rPr>
                <w:sz w:val="18"/>
                <w:szCs w:val="18"/>
              </w:rPr>
            </w:pPr>
            <w:r w:rsidRPr="006123DB">
              <w:rPr>
                <w:sz w:val="18"/>
                <w:szCs w:val="18"/>
              </w:rPr>
              <w:t>131</w:t>
            </w:r>
          </w:p>
        </w:tc>
        <w:tc>
          <w:tcPr>
            <w:tcW w:w="1248" w:type="dxa"/>
            <w:shd w:val="clear" w:color="auto" w:fill="auto"/>
            <w:vAlign w:val="center"/>
          </w:tcPr>
          <w:p w14:paraId="23623B46" w14:textId="77777777" w:rsidR="00017DB8" w:rsidRPr="006123DB" w:rsidRDefault="00017DB8" w:rsidP="00A54C72">
            <w:pPr>
              <w:pStyle w:val="TableBody"/>
              <w:jc w:val="right"/>
              <w:rPr>
                <w:sz w:val="18"/>
                <w:szCs w:val="18"/>
              </w:rPr>
            </w:pPr>
            <w:r w:rsidRPr="006123DB">
              <w:rPr>
                <w:sz w:val="18"/>
                <w:szCs w:val="18"/>
              </w:rPr>
              <w:t>131</w:t>
            </w:r>
          </w:p>
        </w:tc>
        <w:tc>
          <w:tcPr>
            <w:tcW w:w="1248" w:type="dxa"/>
            <w:shd w:val="clear" w:color="auto" w:fill="auto"/>
            <w:vAlign w:val="center"/>
          </w:tcPr>
          <w:p w14:paraId="0A88A1B5" w14:textId="77777777" w:rsidR="00017DB8" w:rsidRPr="006123DB" w:rsidRDefault="00017DB8" w:rsidP="00A54C72">
            <w:pPr>
              <w:pStyle w:val="TableBody"/>
              <w:jc w:val="right"/>
              <w:rPr>
                <w:sz w:val="18"/>
                <w:szCs w:val="18"/>
              </w:rPr>
            </w:pPr>
            <w:r w:rsidRPr="006123DB">
              <w:rPr>
                <w:sz w:val="18"/>
                <w:szCs w:val="18"/>
              </w:rPr>
              <w:t>131</w:t>
            </w:r>
          </w:p>
        </w:tc>
      </w:tr>
    </w:tbl>
    <w:p w14:paraId="25DA4F68" w14:textId="77777777" w:rsidR="00017DB8" w:rsidRPr="00C46472" w:rsidRDefault="00017DB8" w:rsidP="007A2A5F">
      <w:pPr>
        <w:pStyle w:val="ACMANotes"/>
        <w:spacing w:before="120"/>
      </w:pPr>
      <w:r w:rsidRPr="00C46472">
        <w:t>Note: Licensee requirements for each network are calculated by averaging across the following locations: Seven Network—five mainland state capital cities, Nine Network—Brisbane, Melbourne and Sydney, Network Ten —five mainland capital cities.</w:t>
      </w:r>
    </w:p>
    <w:p w14:paraId="43251FFF" w14:textId="77777777" w:rsidR="00017DB8" w:rsidRPr="003D72F2" w:rsidRDefault="00017DB8" w:rsidP="00A54C72">
      <w:pPr>
        <w:pStyle w:val="ACMANotesspaceafter"/>
        <w:spacing w:after="360"/>
        <w:rPr>
          <w:highlight w:val="yellow"/>
        </w:rPr>
      </w:pPr>
      <w:r w:rsidRPr="00C46472">
        <w:t>Source: ACMA.</w:t>
      </w:r>
    </w:p>
    <w:p w14:paraId="024963F7" w14:textId="77777777" w:rsidR="00017DB8" w:rsidRPr="001A3C79" w:rsidRDefault="00017DB8" w:rsidP="00017DB8">
      <w:pPr>
        <w:pStyle w:val="Heading3"/>
      </w:pPr>
      <w:r w:rsidRPr="001A3C79">
        <w:t xml:space="preserve">Subscription </w:t>
      </w:r>
      <w:r w:rsidR="0019500E">
        <w:t xml:space="preserve">and </w:t>
      </w:r>
      <w:r w:rsidR="006123DB">
        <w:t>FTA TV</w:t>
      </w:r>
      <w:r w:rsidRPr="001A3C79">
        <w:t xml:space="preserve"> drama expenditure</w:t>
      </w:r>
    </w:p>
    <w:p w14:paraId="548CA48A" w14:textId="77777777" w:rsidR="00017DB8" w:rsidRPr="001A3C79" w:rsidRDefault="00017DB8" w:rsidP="00017DB8">
      <w:pPr>
        <w:rPr>
          <w:rFonts w:cs="Arial"/>
          <w:szCs w:val="20"/>
        </w:rPr>
      </w:pPr>
      <w:r w:rsidRPr="001A3C79">
        <w:rPr>
          <w:rFonts w:cs="Arial"/>
          <w:szCs w:val="20"/>
        </w:rPr>
        <w:t xml:space="preserve">The new eligible drama expenditure scheme requires subscription </w:t>
      </w:r>
      <w:r w:rsidR="006123DB">
        <w:rPr>
          <w:rFonts w:cs="Arial"/>
          <w:szCs w:val="20"/>
        </w:rPr>
        <w:t>TV</w:t>
      </w:r>
      <w:r w:rsidR="006123DB" w:rsidRPr="001A3C79">
        <w:rPr>
          <w:rFonts w:cs="Arial"/>
          <w:szCs w:val="20"/>
        </w:rPr>
        <w:t xml:space="preserve"> </w:t>
      </w:r>
      <w:r w:rsidRPr="001A3C79">
        <w:rPr>
          <w:rFonts w:cs="Arial"/>
          <w:szCs w:val="20"/>
        </w:rPr>
        <w:t>broadcasting licensees and channel providers that provide drama services to spend at least 10 per cent of their annual total program expenditure on eligible drama programs during a financial year.</w:t>
      </w:r>
      <w:r w:rsidRPr="001A3C79">
        <w:rPr>
          <w:rFonts w:cs="Arial"/>
          <w:szCs w:val="20"/>
          <w:vertAlign w:val="superscript"/>
        </w:rPr>
        <w:endnoteReference w:id="225"/>
      </w:r>
      <w:r w:rsidRPr="001A3C79">
        <w:rPr>
          <w:rFonts w:cs="Arial"/>
          <w:szCs w:val="20"/>
        </w:rPr>
        <w:t xml:space="preserve"> If the 10 per cent expenditure requirement is not met in the relevant financial year, the shortfall amount must be made up in the following year.</w:t>
      </w:r>
    </w:p>
    <w:p w14:paraId="3291299D" w14:textId="77777777" w:rsidR="00017DB8" w:rsidRPr="001A3C79" w:rsidRDefault="00017DB8" w:rsidP="00017DB8">
      <w:pPr>
        <w:rPr>
          <w:rFonts w:cs="Arial"/>
          <w:szCs w:val="20"/>
        </w:rPr>
      </w:pPr>
      <w:r w:rsidRPr="001A3C79">
        <w:rPr>
          <w:rFonts w:cs="Arial"/>
          <w:szCs w:val="20"/>
        </w:rPr>
        <w:t xml:space="preserve">To be eligible, a drama program must be an Australian or </w:t>
      </w:r>
      <w:r w:rsidR="00E46666">
        <w:rPr>
          <w:rFonts w:cs="Arial"/>
          <w:szCs w:val="20"/>
        </w:rPr>
        <w:t xml:space="preserve">a </w:t>
      </w:r>
      <w:r w:rsidRPr="001A3C79">
        <w:rPr>
          <w:rFonts w:cs="Arial"/>
          <w:szCs w:val="20"/>
        </w:rPr>
        <w:t xml:space="preserve">New Zealand production or co-production, and must not have been televised in Australia or New Zealand on a broadcasting service at any time before the expenditure on the program was incurred. </w:t>
      </w:r>
    </w:p>
    <w:p w14:paraId="05F63099" w14:textId="77777777" w:rsidR="00017DB8" w:rsidRPr="001A3C79" w:rsidRDefault="00017DB8" w:rsidP="00017DB8">
      <w:pPr>
        <w:rPr>
          <w:rFonts w:cs="Arial"/>
          <w:szCs w:val="20"/>
        </w:rPr>
      </w:pPr>
      <w:r w:rsidRPr="001A3C79">
        <w:rPr>
          <w:rFonts w:cs="Arial"/>
          <w:szCs w:val="20"/>
        </w:rPr>
        <w:t>The BSA defines a subscription television drama service as a service devoted predominantly to drama programs</w:t>
      </w:r>
      <w:r w:rsidR="00E46666">
        <w:rPr>
          <w:rFonts w:cs="Arial"/>
          <w:szCs w:val="20"/>
        </w:rPr>
        <w:t>;</w:t>
      </w:r>
      <w:r w:rsidRPr="001A3C79">
        <w:rPr>
          <w:rFonts w:cs="Arial"/>
          <w:szCs w:val="20"/>
        </w:rPr>
        <w:t xml:space="preserve"> that is, more than 50 per cent of the programming consists of drama programs.</w:t>
      </w:r>
    </w:p>
    <w:p w14:paraId="50B318C6" w14:textId="77777777" w:rsidR="00017DB8" w:rsidRPr="001A3C79" w:rsidRDefault="00017DB8" w:rsidP="007D0C9E">
      <w:pPr>
        <w:keepNext/>
        <w:rPr>
          <w:rFonts w:cs="Arial"/>
          <w:szCs w:val="20"/>
        </w:rPr>
      </w:pPr>
      <w:r w:rsidRPr="001A3C79">
        <w:rPr>
          <w:rFonts w:cs="Arial"/>
          <w:szCs w:val="20"/>
        </w:rPr>
        <w:t>For the 201</w:t>
      </w:r>
      <w:r>
        <w:rPr>
          <w:rFonts w:cs="Arial"/>
          <w:szCs w:val="20"/>
        </w:rPr>
        <w:t>5</w:t>
      </w:r>
      <w:r w:rsidRPr="001A3C79">
        <w:rPr>
          <w:rFonts w:cs="Arial"/>
          <w:szCs w:val="20"/>
        </w:rPr>
        <w:t>–1</w:t>
      </w:r>
      <w:r>
        <w:rPr>
          <w:rFonts w:cs="Arial"/>
          <w:szCs w:val="20"/>
        </w:rPr>
        <w:t>6</w:t>
      </w:r>
      <w:r w:rsidRPr="001A3C79">
        <w:rPr>
          <w:rFonts w:cs="Arial"/>
          <w:szCs w:val="20"/>
        </w:rPr>
        <w:t xml:space="preserve"> compliance period</w:t>
      </w:r>
      <w:r w:rsidRPr="001A3C79">
        <w:rPr>
          <w:rFonts w:cs="Arial"/>
          <w:szCs w:val="20"/>
          <w:vertAlign w:val="superscript"/>
        </w:rPr>
        <w:endnoteReference w:id="226"/>
      </w:r>
      <w:r w:rsidRPr="001A3C79">
        <w:rPr>
          <w:rFonts w:cs="Arial"/>
          <w:szCs w:val="20"/>
        </w:rPr>
        <w:t>, six licensees</w:t>
      </w:r>
      <w:r>
        <w:rPr>
          <w:rFonts w:cs="Arial"/>
          <w:szCs w:val="20"/>
        </w:rPr>
        <w:t>,</w:t>
      </w:r>
      <w:r w:rsidRPr="001A3C79">
        <w:rPr>
          <w:rFonts w:cs="Arial"/>
          <w:szCs w:val="20"/>
        </w:rPr>
        <w:t xml:space="preserve"> five channel providers</w:t>
      </w:r>
      <w:r>
        <w:rPr>
          <w:rFonts w:cs="Arial"/>
          <w:szCs w:val="20"/>
        </w:rPr>
        <w:t xml:space="preserve"> and two pass-through providers</w:t>
      </w:r>
      <w:r w:rsidRPr="001A3C79">
        <w:rPr>
          <w:rFonts w:cs="Arial"/>
          <w:szCs w:val="20"/>
        </w:rPr>
        <w:t xml:space="preserve"> supplied 2</w:t>
      </w:r>
      <w:r>
        <w:rPr>
          <w:rFonts w:cs="Arial"/>
          <w:szCs w:val="20"/>
        </w:rPr>
        <w:t>8</w:t>
      </w:r>
      <w:r w:rsidRPr="001A3C79">
        <w:rPr>
          <w:rFonts w:cs="Arial"/>
          <w:szCs w:val="20"/>
        </w:rPr>
        <w:t xml:space="preserve"> eligible drama channels. All participants met their expenditure obligations for </w:t>
      </w:r>
      <w:r w:rsidR="00E46666">
        <w:rPr>
          <w:rFonts w:cs="Arial"/>
          <w:szCs w:val="20"/>
        </w:rPr>
        <w:br/>
      </w:r>
      <w:r w:rsidRPr="001A3C79">
        <w:rPr>
          <w:rFonts w:cs="Arial"/>
          <w:szCs w:val="20"/>
        </w:rPr>
        <w:t>201</w:t>
      </w:r>
      <w:r>
        <w:rPr>
          <w:rFonts w:cs="Arial"/>
          <w:szCs w:val="20"/>
        </w:rPr>
        <w:t>5</w:t>
      </w:r>
      <w:r w:rsidRPr="001A3C79">
        <w:rPr>
          <w:rFonts w:cs="Arial"/>
          <w:szCs w:val="20"/>
        </w:rPr>
        <w:t>–1</w:t>
      </w:r>
      <w:r>
        <w:rPr>
          <w:rFonts w:cs="Arial"/>
          <w:szCs w:val="20"/>
        </w:rPr>
        <w:t>6</w:t>
      </w:r>
      <w:r w:rsidRPr="001A3C79">
        <w:rPr>
          <w:rFonts w:cs="Arial"/>
          <w:szCs w:val="20"/>
        </w:rPr>
        <w:t>, reporting an expenditure of $</w:t>
      </w:r>
      <w:r>
        <w:rPr>
          <w:rFonts w:cs="Arial"/>
          <w:szCs w:val="20"/>
        </w:rPr>
        <w:t>51.2</w:t>
      </w:r>
      <w:r w:rsidRPr="001A3C79">
        <w:rPr>
          <w:rFonts w:cs="Arial"/>
          <w:szCs w:val="20"/>
        </w:rPr>
        <w:t> million (aggregated) on new eligible Australian drama programs. Of that expenditure, $</w:t>
      </w:r>
      <w:r>
        <w:rPr>
          <w:rFonts w:cs="Arial"/>
          <w:szCs w:val="20"/>
        </w:rPr>
        <w:t>15.4</w:t>
      </w:r>
      <w:r w:rsidRPr="001A3C79">
        <w:rPr>
          <w:rFonts w:cs="Arial"/>
          <w:szCs w:val="20"/>
        </w:rPr>
        <w:t xml:space="preserve"> million was nominated to acquit the expenditure shortfall for </w:t>
      </w:r>
      <w:r w:rsidR="00E46666">
        <w:rPr>
          <w:rFonts w:cs="Arial"/>
          <w:szCs w:val="20"/>
        </w:rPr>
        <w:br/>
      </w:r>
      <w:r w:rsidRPr="001A3C79">
        <w:rPr>
          <w:rFonts w:cs="Arial"/>
          <w:szCs w:val="20"/>
        </w:rPr>
        <w:t>201</w:t>
      </w:r>
      <w:r>
        <w:rPr>
          <w:rFonts w:cs="Arial"/>
          <w:szCs w:val="20"/>
        </w:rPr>
        <w:t>4</w:t>
      </w:r>
      <w:r w:rsidRPr="001A3C79">
        <w:rPr>
          <w:rFonts w:cs="Arial"/>
          <w:szCs w:val="20"/>
        </w:rPr>
        <w:t>–1</w:t>
      </w:r>
      <w:r>
        <w:rPr>
          <w:rFonts w:cs="Arial"/>
          <w:szCs w:val="20"/>
        </w:rPr>
        <w:t>5</w:t>
      </w:r>
      <w:r w:rsidRPr="001A3C79">
        <w:rPr>
          <w:rFonts w:cs="Arial"/>
          <w:szCs w:val="20"/>
        </w:rPr>
        <w:t>. For 201</w:t>
      </w:r>
      <w:r>
        <w:rPr>
          <w:rFonts w:cs="Arial"/>
          <w:szCs w:val="20"/>
        </w:rPr>
        <w:t>6</w:t>
      </w:r>
      <w:r w:rsidRPr="001A3C79">
        <w:rPr>
          <w:rFonts w:cs="Arial"/>
          <w:szCs w:val="20"/>
        </w:rPr>
        <w:t>–1</w:t>
      </w:r>
      <w:r>
        <w:rPr>
          <w:rFonts w:cs="Arial"/>
          <w:szCs w:val="20"/>
        </w:rPr>
        <w:t>7</w:t>
      </w:r>
      <w:r w:rsidRPr="001A3C79">
        <w:rPr>
          <w:rFonts w:cs="Arial"/>
          <w:szCs w:val="20"/>
        </w:rPr>
        <w:t>, licensees and channel providers must spend a minimum of $</w:t>
      </w:r>
      <w:r>
        <w:rPr>
          <w:rFonts w:cs="Arial"/>
          <w:szCs w:val="20"/>
        </w:rPr>
        <w:t>2.4</w:t>
      </w:r>
      <w:r w:rsidRPr="001A3C79">
        <w:rPr>
          <w:rFonts w:cs="Arial"/>
          <w:szCs w:val="20"/>
        </w:rPr>
        <w:t xml:space="preserve"> million (in total) on new eligible </w:t>
      </w:r>
      <w:r w:rsidR="00092A6F">
        <w:rPr>
          <w:rFonts w:cs="Arial"/>
          <w:szCs w:val="20"/>
        </w:rPr>
        <w:t xml:space="preserve">drama </w:t>
      </w:r>
      <w:r w:rsidRPr="001A3C79">
        <w:rPr>
          <w:rFonts w:cs="Arial"/>
          <w:szCs w:val="20"/>
        </w:rPr>
        <w:t>programs to acquit the 201</w:t>
      </w:r>
      <w:r>
        <w:rPr>
          <w:rFonts w:cs="Arial"/>
          <w:szCs w:val="20"/>
        </w:rPr>
        <w:t>5</w:t>
      </w:r>
      <w:r w:rsidRPr="001A3C79">
        <w:rPr>
          <w:rFonts w:cs="Arial"/>
          <w:szCs w:val="20"/>
        </w:rPr>
        <w:t>–1</w:t>
      </w:r>
      <w:r>
        <w:rPr>
          <w:rFonts w:cs="Arial"/>
          <w:szCs w:val="20"/>
        </w:rPr>
        <w:t>6</w:t>
      </w:r>
      <w:r w:rsidRPr="001A3C79">
        <w:rPr>
          <w:rFonts w:cs="Arial"/>
          <w:szCs w:val="20"/>
        </w:rPr>
        <w:t xml:space="preserve"> </w:t>
      </w:r>
      <w:r>
        <w:rPr>
          <w:rFonts w:cs="Arial"/>
          <w:szCs w:val="20"/>
        </w:rPr>
        <w:t>shortfall</w:t>
      </w:r>
      <w:r w:rsidRPr="001A3C79">
        <w:rPr>
          <w:rFonts w:cs="Arial"/>
          <w:szCs w:val="20"/>
        </w:rPr>
        <w:t>.</w:t>
      </w:r>
      <w:r w:rsidR="00477AC6">
        <w:rPr>
          <w:rFonts w:cs="Arial"/>
          <w:szCs w:val="20"/>
        </w:rPr>
        <w:t xml:space="preserve"> </w:t>
      </w:r>
      <w:r w:rsidRPr="001A3C79">
        <w:rPr>
          <w:rFonts w:cs="Arial"/>
          <w:szCs w:val="20"/>
        </w:rPr>
        <w:t>Annual licensee and channel provider returns for 201</w:t>
      </w:r>
      <w:r>
        <w:rPr>
          <w:rFonts w:cs="Arial"/>
          <w:szCs w:val="20"/>
        </w:rPr>
        <w:t>6</w:t>
      </w:r>
      <w:r w:rsidRPr="001A3C79">
        <w:rPr>
          <w:rFonts w:cs="Arial"/>
          <w:szCs w:val="20"/>
        </w:rPr>
        <w:t>–1</w:t>
      </w:r>
      <w:r>
        <w:rPr>
          <w:rFonts w:cs="Arial"/>
          <w:szCs w:val="20"/>
        </w:rPr>
        <w:t>7</w:t>
      </w:r>
      <w:r w:rsidRPr="001A3C79">
        <w:rPr>
          <w:rFonts w:cs="Arial"/>
          <w:szCs w:val="20"/>
        </w:rPr>
        <w:t xml:space="preserve"> fall due on 29 August 201</w:t>
      </w:r>
      <w:r w:rsidR="000A0648">
        <w:rPr>
          <w:rFonts w:cs="Arial"/>
          <w:szCs w:val="20"/>
        </w:rPr>
        <w:t>7</w:t>
      </w:r>
      <w:r w:rsidRPr="001A3C79">
        <w:rPr>
          <w:rFonts w:cs="Arial"/>
          <w:szCs w:val="20"/>
        </w:rPr>
        <w:t xml:space="preserve"> and results were not available at the time of publication.</w:t>
      </w:r>
    </w:p>
    <w:p w14:paraId="01CA50CE" w14:textId="77777777" w:rsidR="0019500E" w:rsidRPr="001A3C79" w:rsidRDefault="00723315" w:rsidP="00017DB8">
      <w:pPr>
        <w:rPr>
          <w:rFonts w:cs="Arial"/>
          <w:szCs w:val="20"/>
        </w:rPr>
      </w:pPr>
      <w:bookmarkStart w:id="1191" w:name="_Toc494799446"/>
      <w:bookmarkStart w:id="1192" w:name="_Toc494805749"/>
      <w:bookmarkStart w:id="1193" w:name="_Toc494805982"/>
      <w:bookmarkStart w:id="1194" w:name="_Toc494808212"/>
      <w:bookmarkStart w:id="1195" w:name="_Toc494808866"/>
      <w:bookmarkStart w:id="1196" w:name="_Toc494816050"/>
      <w:bookmarkStart w:id="1197" w:name="_Toc494818880"/>
      <w:bookmarkStart w:id="1198" w:name="_Toc494819143"/>
      <w:r>
        <w:rPr>
          <w:rFonts w:cs="Arial"/>
          <w:szCs w:val="20"/>
        </w:rPr>
        <w:t>FTA</w:t>
      </w:r>
      <w:r w:rsidR="006123DB">
        <w:rPr>
          <w:rFonts w:cs="Arial"/>
          <w:szCs w:val="20"/>
        </w:rPr>
        <w:t xml:space="preserve"> TV</w:t>
      </w:r>
      <w:r>
        <w:rPr>
          <w:rFonts w:cs="Arial"/>
          <w:szCs w:val="20"/>
        </w:rPr>
        <w:t xml:space="preserve"> </w:t>
      </w:r>
      <w:r w:rsidR="0019500E">
        <w:rPr>
          <w:rFonts w:cs="Arial"/>
          <w:szCs w:val="20"/>
        </w:rPr>
        <w:t xml:space="preserve">broadcasters were the largest investors in Australian </w:t>
      </w:r>
      <w:r>
        <w:rPr>
          <w:rFonts w:cs="Arial"/>
          <w:szCs w:val="20"/>
        </w:rPr>
        <w:t xml:space="preserve">drama </w:t>
      </w:r>
      <w:r w:rsidR="0019500E">
        <w:rPr>
          <w:rFonts w:cs="Arial"/>
          <w:szCs w:val="20"/>
        </w:rPr>
        <w:t>production in 2016</w:t>
      </w:r>
      <w:r w:rsidR="006123DB">
        <w:rPr>
          <w:rFonts w:cs="Arial"/>
          <w:szCs w:val="20"/>
        </w:rPr>
        <w:t>–</w:t>
      </w:r>
      <w:r w:rsidR="0019500E">
        <w:rPr>
          <w:rFonts w:cs="Arial"/>
          <w:szCs w:val="20"/>
        </w:rPr>
        <w:t xml:space="preserve">17. According to the </w:t>
      </w:r>
      <w:r>
        <w:rPr>
          <w:rFonts w:cs="Arial"/>
          <w:szCs w:val="20"/>
        </w:rPr>
        <w:t>most recent Drama Report by Screen Australia, commercial FTA broadcasters invested $107 million into local drama production in 2016</w:t>
      </w:r>
      <w:r w:rsidR="006123DB">
        <w:rPr>
          <w:rFonts w:cs="Arial"/>
          <w:szCs w:val="20"/>
        </w:rPr>
        <w:t>–</w:t>
      </w:r>
      <w:r>
        <w:rPr>
          <w:rFonts w:cs="Arial"/>
          <w:szCs w:val="20"/>
        </w:rPr>
        <w:t>17, with almost 80 per cent of their programming expenditure spent on local content.</w:t>
      </w:r>
      <w:r>
        <w:rPr>
          <w:rStyle w:val="EndnoteReference"/>
          <w:rFonts w:cs="Arial"/>
          <w:szCs w:val="20"/>
        </w:rPr>
        <w:endnoteReference w:id="227"/>
      </w:r>
    </w:p>
    <w:p w14:paraId="498A9F64" w14:textId="77777777" w:rsidR="00017DB8" w:rsidRPr="001A3C79" w:rsidRDefault="00017DB8" w:rsidP="00017DB8">
      <w:pPr>
        <w:pStyle w:val="Heading3"/>
      </w:pPr>
      <w:r w:rsidRPr="001A3C79">
        <w:t>Captioning</w:t>
      </w:r>
      <w:bookmarkEnd w:id="1191"/>
      <w:bookmarkEnd w:id="1192"/>
      <w:bookmarkEnd w:id="1193"/>
      <w:bookmarkEnd w:id="1194"/>
      <w:bookmarkEnd w:id="1195"/>
      <w:bookmarkEnd w:id="1196"/>
      <w:bookmarkEnd w:id="1197"/>
      <w:bookmarkEnd w:id="1198"/>
    </w:p>
    <w:p w14:paraId="66118DC7" w14:textId="77777777" w:rsidR="00017DB8" w:rsidRPr="001A3C79" w:rsidRDefault="00017DB8" w:rsidP="00017DB8">
      <w:pPr>
        <w:keepNext/>
        <w:spacing w:after="80"/>
      </w:pPr>
      <w:r w:rsidRPr="001A3C79">
        <w:t>During 201</w:t>
      </w:r>
      <w:r>
        <w:t>5</w:t>
      </w:r>
      <w:r w:rsidRPr="001A3C79">
        <w:t>–1</w:t>
      </w:r>
      <w:r>
        <w:t>6</w:t>
      </w:r>
      <w:r w:rsidRPr="001A3C79">
        <w:t xml:space="preserve">, </w:t>
      </w:r>
      <w:r w:rsidR="00CC0FEA">
        <w:t>broadcasters</w:t>
      </w:r>
      <w:r w:rsidRPr="001A3C79">
        <w:t xml:space="preserve"> reported a high level of compliance with annual captioning target requirements set out in the BSA: </w:t>
      </w:r>
    </w:p>
    <w:p w14:paraId="4A7902F4" w14:textId="77777777" w:rsidR="00017DB8" w:rsidRPr="00190E7E" w:rsidRDefault="00017DB8" w:rsidP="00F3697E">
      <w:pPr>
        <w:pStyle w:val="ListBullet"/>
        <w:rPr>
          <w:rFonts w:eastAsia="Calibri"/>
        </w:rPr>
      </w:pPr>
      <w:r w:rsidRPr="00190E7E">
        <w:rPr>
          <w:rFonts w:eastAsia="Calibri"/>
        </w:rPr>
        <w:t xml:space="preserve">Ninety-two out of 95 commercial and national television broadcasting services achieved between 99.86 per cent and 99.99 per cent captioning between </w:t>
      </w:r>
      <w:r w:rsidRPr="00190E7E">
        <w:t xml:space="preserve">6 am </w:t>
      </w:r>
      <w:r w:rsidRPr="00190E7E">
        <w:rPr>
          <w:rFonts w:eastAsia="Calibri"/>
        </w:rPr>
        <w:t xml:space="preserve">and midnight on their primary channels. The shortfalls against the 100 per cent captioning target were small, averaging 1.6 hours per service across the whole year. </w:t>
      </w:r>
    </w:p>
    <w:p w14:paraId="1F73278E" w14:textId="77777777" w:rsidR="00017DB8" w:rsidRPr="00190E7E" w:rsidRDefault="00017DB8" w:rsidP="00DC2B04">
      <w:pPr>
        <w:pStyle w:val="ListBullet"/>
        <w:rPr>
          <w:rFonts w:eastAsia="Calibri"/>
        </w:rPr>
      </w:pPr>
      <w:r w:rsidRPr="00190E7E">
        <w:rPr>
          <w:rFonts w:eastAsia="Calibri"/>
        </w:rPr>
        <w:t>The remaining three services each exceeded their reduced captioning target of 90 per cent for the year. They had target reduction orders in place for 2015–16 on grounds of unjustifiable hardship.</w:t>
      </w:r>
    </w:p>
    <w:p w14:paraId="1FC12F0E" w14:textId="77777777" w:rsidR="00017DB8" w:rsidRPr="00190E7E" w:rsidRDefault="00017DB8" w:rsidP="00DC2B04">
      <w:pPr>
        <w:pStyle w:val="ListBullet"/>
        <w:rPr>
          <w:rFonts w:eastAsia="Calibri"/>
        </w:rPr>
      </w:pPr>
      <w:r w:rsidRPr="00190E7E">
        <w:rPr>
          <w:rFonts w:eastAsia="Calibri"/>
        </w:rPr>
        <w:t>A total of 594,439 hours of television programs was broadcast with a captioning service on the primary channels of commercial and national television broadcasting services (6 am to midnight). This was an increase of 5,585 hours of captioning compared to the same period in 2014–15.</w:t>
      </w:r>
    </w:p>
    <w:p w14:paraId="5136F5F7" w14:textId="77777777" w:rsidR="00017DB8" w:rsidRPr="00190E7E" w:rsidRDefault="00017DB8" w:rsidP="00DC2B04">
      <w:pPr>
        <w:pStyle w:val="ListBullet"/>
        <w:rPr>
          <w:rFonts w:eastAsia="Calibri"/>
        </w:rPr>
      </w:pPr>
      <w:r w:rsidRPr="00190E7E">
        <w:rPr>
          <w:rFonts w:eastAsia="Calibri"/>
        </w:rPr>
        <w:t>Approximately 99.4 per cent of subscription television licensees (651 out of 655) met their annual captioning target requirements, while 65.3 per cent exceeded their captioning target.</w:t>
      </w:r>
    </w:p>
    <w:p w14:paraId="4486E251" w14:textId="0C59B17E" w:rsidR="00017DB8" w:rsidRPr="00A65C1C" w:rsidRDefault="00017DB8" w:rsidP="00E36CC5">
      <w:pPr>
        <w:pStyle w:val="ListBulletLast"/>
        <w:rPr>
          <w:rFonts w:eastAsia="Calibri"/>
        </w:rPr>
      </w:pPr>
      <w:r w:rsidRPr="00A65C1C">
        <w:rPr>
          <w:rFonts w:eastAsia="Calibri"/>
        </w:rPr>
        <w:t xml:space="preserve">A total of </w:t>
      </w:r>
      <w:r>
        <w:rPr>
          <w:rFonts w:eastAsia="Calibri"/>
        </w:rPr>
        <w:t>2,619,798</w:t>
      </w:r>
      <w:r w:rsidRPr="00A65C1C">
        <w:rPr>
          <w:rFonts w:eastAsia="Calibri"/>
        </w:rPr>
        <w:t xml:space="preserve"> hours of captioned </w:t>
      </w:r>
      <w:r w:rsidRPr="00190E7E">
        <w:rPr>
          <w:rFonts w:eastAsia="Calibri"/>
        </w:rPr>
        <w:t>content</w:t>
      </w:r>
      <w:r w:rsidRPr="00A65C1C">
        <w:rPr>
          <w:rFonts w:eastAsia="Calibri"/>
        </w:rPr>
        <w:t xml:space="preserve"> was broadcast on subscription television services in</w:t>
      </w:r>
      <w:r w:rsidR="00ED1F6B">
        <w:rPr>
          <w:rFonts w:eastAsia="Calibri"/>
        </w:rPr>
        <w:t> </w:t>
      </w:r>
      <w:r w:rsidRPr="00A65C1C">
        <w:rPr>
          <w:rFonts w:eastAsia="Calibri"/>
        </w:rPr>
        <w:t>201</w:t>
      </w:r>
      <w:r>
        <w:rPr>
          <w:rFonts w:eastAsia="Calibri"/>
        </w:rPr>
        <w:t>5</w:t>
      </w:r>
      <w:r w:rsidRPr="00A65C1C">
        <w:rPr>
          <w:rFonts w:eastAsia="Calibri"/>
        </w:rPr>
        <w:t>–1</w:t>
      </w:r>
      <w:r>
        <w:rPr>
          <w:rFonts w:eastAsia="Calibri"/>
        </w:rPr>
        <w:t>6</w:t>
      </w:r>
      <w:r w:rsidRPr="00A65C1C">
        <w:rPr>
          <w:rFonts w:eastAsia="Calibri"/>
        </w:rPr>
        <w:t xml:space="preserve">. This was an increase of </w:t>
      </w:r>
      <w:r w:rsidRPr="00E12904">
        <w:rPr>
          <w:rFonts w:eastAsia="Calibri"/>
        </w:rPr>
        <w:t>89,794</w:t>
      </w:r>
      <w:r w:rsidRPr="00A65C1C">
        <w:rPr>
          <w:rFonts w:eastAsia="Calibri"/>
        </w:rPr>
        <w:t xml:space="preserve"> hours compared to 201</w:t>
      </w:r>
      <w:r>
        <w:rPr>
          <w:rFonts w:eastAsia="Calibri"/>
        </w:rPr>
        <w:t>4</w:t>
      </w:r>
      <w:r w:rsidRPr="00A65C1C">
        <w:rPr>
          <w:rFonts w:eastAsia="Calibri"/>
        </w:rPr>
        <w:t>–1</w:t>
      </w:r>
      <w:r>
        <w:rPr>
          <w:rFonts w:eastAsia="Calibri"/>
        </w:rPr>
        <w:t>5</w:t>
      </w:r>
      <w:r w:rsidRPr="00A65C1C">
        <w:rPr>
          <w:rFonts w:eastAsia="Calibri"/>
        </w:rPr>
        <w:t>.</w:t>
      </w:r>
    </w:p>
    <w:p w14:paraId="05A51240" w14:textId="5E59CD11" w:rsidR="00017DB8" w:rsidRPr="00D4494B" w:rsidRDefault="00E46666" w:rsidP="00017DB8">
      <w:pPr>
        <w:rPr>
          <w:rFonts w:eastAsia="Calibri" w:cs="Arial"/>
        </w:rPr>
      </w:pPr>
      <w:r>
        <w:rPr>
          <w:rFonts w:eastAsia="Calibri" w:cs="Arial"/>
        </w:rPr>
        <w:t>Each of the</w:t>
      </w:r>
      <w:r w:rsidR="00017DB8" w:rsidRPr="00D4494B">
        <w:rPr>
          <w:rFonts w:eastAsia="Calibri" w:cs="Arial"/>
        </w:rPr>
        <w:t xml:space="preserve"> television service providers </w:t>
      </w:r>
      <w:r>
        <w:rPr>
          <w:rFonts w:eastAsia="Calibri" w:cs="Arial"/>
        </w:rPr>
        <w:t>who</w:t>
      </w:r>
      <w:r w:rsidRPr="00D4494B">
        <w:rPr>
          <w:rFonts w:eastAsia="Calibri" w:cs="Arial"/>
        </w:rPr>
        <w:t xml:space="preserve"> </w:t>
      </w:r>
      <w:r w:rsidR="00017DB8" w:rsidRPr="00D4494B">
        <w:rPr>
          <w:rFonts w:eastAsia="Calibri" w:cs="Arial"/>
        </w:rPr>
        <w:t>did not meet captioning targets have taken appropriate steps</w:t>
      </w:r>
      <w:r w:rsidR="00ED1F6B">
        <w:rPr>
          <w:rFonts w:eastAsia="Calibri" w:cs="Arial"/>
        </w:rPr>
        <w:t> </w:t>
      </w:r>
      <w:r w:rsidR="00017DB8" w:rsidRPr="00D4494B">
        <w:rPr>
          <w:rFonts w:eastAsia="Calibri" w:cs="Arial"/>
        </w:rPr>
        <w:t>to prevent similar issues recurring, including resolving technical issues, enhancing procedures and</w:t>
      </w:r>
      <w:r w:rsidR="00ED1F6B">
        <w:rPr>
          <w:rFonts w:eastAsia="Calibri" w:cs="Arial"/>
        </w:rPr>
        <w:t> </w:t>
      </w:r>
      <w:r w:rsidR="00017DB8" w:rsidRPr="00D4494B">
        <w:rPr>
          <w:rFonts w:eastAsia="Calibri" w:cs="Arial"/>
        </w:rPr>
        <w:t xml:space="preserve">undertaking staff training. The ACMA did not </w:t>
      </w:r>
      <w:r w:rsidR="007C56F7">
        <w:rPr>
          <w:rFonts w:eastAsia="Calibri" w:cs="Arial"/>
        </w:rPr>
        <w:t xml:space="preserve">need to </w:t>
      </w:r>
      <w:r w:rsidR="00017DB8" w:rsidRPr="00D4494B">
        <w:rPr>
          <w:rFonts w:eastAsia="Calibri" w:cs="Arial"/>
        </w:rPr>
        <w:t xml:space="preserve">take any </w:t>
      </w:r>
      <w:r w:rsidR="007C56F7">
        <w:rPr>
          <w:rFonts w:eastAsia="Calibri" w:cs="Arial"/>
        </w:rPr>
        <w:t xml:space="preserve">additional </w:t>
      </w:r>
      <w:r w:rsidR="00017DB8" w:rsidRPr="00D4494B">
        <w:rPr>
          <w:rFonts w:eastAsia="Calibri" w:cs="Arial"/>
        </w:rPr>
        <w:t>enforcement action on these</w:t>
      </w:r>
      <w:r w:rsidR="00ED1F6B">
        <w:rPr>
          <w:rFonts w:eastAsia="Calibri" w:cs="Arial"/>
        </w:rPr>
        <w:t> </w:t>
      </w:r>
      <w:r w:rsidR="00017DB8" w:rsidRPr="00D4494B">
        <w:rPr>
          <w:rFonts w:eastAsia="Calibri" w:cs="Arial"/>
        </w:rPr>
        <w:t xml:space="preserve">matters. </w:t>
      </w:r>
    </w:p>
    <w:p w14:paraId="28B9C60B" w14:textId="77777777" w:rsidR="00017DB8" w:rsidRPr="00D4494B" w:rsidRDefault="00017DB8" w:rsidP="00017DB8">
      <w:pPr>
        <w:rPr>
          <w:rFonts w:eastAsia="Calibri" w:cs="Arial"/>
        </w:rPr>
      </w:pPr>
      <w:r>
        <w:rPr>
          <w:rFonts w:eastAsia="Calibri" w:cs="Arial"/>
        </w:rPr>
        <w:t>Table 3.5</w:t>
      </w:r>
      <w:r w:rsidRPr="00D4494B">
        <w:rPr>
          <w:rFonts w:eastAsia="Calibri" w:cs="Arial"/>
        </w:rPr>
        <w:t xml:space="preserve"> summar</w:t>
      </w:r>
      <w:r w:rsidR="00E46666">
        <w:rPr>
          <w:rFonts w:eastAsia="Calibri" w:cs="Arial"/>
        </w:rPr>
        <w:t>ises</w:t>
      </w:r>
      <w:r w:rsidRPr="00D4494B">
        <w:rPr>
          <w:rFonts w:eastAsia="Calibri" w:cs="Arial"/>
        </w:rPr>
        <w:t xml:space="preserve"> the self-reported breaches, excluding disregarded breaches</w:t>
      </w:r>
      <w:r w:rsidR="00E46666">
        <w:rPr>
          <w:rFonts w:eastAsia="Calibri" w:cs="Arial"/>
        </w:rPr>
        <w:t>. B</w:t>
      </w:r>
      <w:r w:rsidRPr="00D4494B">
        <w:rPr>
          <w:rFonts w:eastAsia="Calibri" w:cs="Arial"/>
        </w:rPr>
        <w:t>reaches solely resulting from unforeseen technical difficulties were disregarded</w:t>
      </w:r>
      <w:r w:rsidR="00E46666">
        <w:rPr>
          <w:rFonts w:eastAsia="Calibri" w:cs="Arial"/>
        </w:rPr>
        <w:t>,</w:t>
      </w:r>
      <w:r w:rsidRPr="00D4494B">
        <w:rPr>
          <w:rFonts w:eastAsia="Calibri" w:cs="Arial"/>
        </w:rPr>
        <w:t xml:space="preserve"> as </w:t>
      </w:r>
      <w:r w:rsidR="00E46666">
        <w:rPr>
          <w:rFonts w:eastAsia="Calibri" w:cs="Arial"/>
        </w:rPr>
        <w:t xml:space="preserve">per </w:t>
      </w:r>
      <w:r w:rsidRPr="00D4494B">
        <w:rPr>
          <w:rFonts w:eastAsia="Calibri" w:cs="Arial"/>
        </w:rPr>
        <w:t>the captioning legislation.</w:t>
      </w:r>
    </w:p>
    <w:p w14:paraId="79EF4E96" w14:textId="77777777" w:rsidR="00017DB8" w:rsidRPr="00637128" w:rsidRDefault="00017DB8" w:rsidP="00A54C72">
      <w:pPr>
        <w:keepNext/>
        <w:spacing w:after="160"/>
        <w:ind w:left="1418" w:hanging="1418"/>
        <w:rPr>
          <w:b/>
          <w:bCs/>
          <w:noProof/>
          <w:color w:val="323232"/>
        </w:rPr>
      </w:pPr>
      <w:r>
        <w:rPr>
          <w:b/>
          <w:bCs/>
          <w:noProof/>
          <w:color w:val="323232"/>
        </w:rPr>
        <w:t>Table 3.5</w:t>
      </w:r>
      <w:r w:rsidRPr="00637128">
        <w:rPr>
          <w:b/>
          <w:bCs/>
          <w:noProof/>
          <w:color w:val="323232"/>
        </w:rPr>
        <w:tab/>
        <w:t xml:space="preserve">Breaches of captioning target requirements reported by television services, </w:t>
      </w:r>
      <w:r w:rsidRPr="00637128">
        <w:rPr>
          <w:b/>
          <w:bCs/>
          <w:noProof/>
          <w:color w:val="323232"/>
        </w:rPr>
        <w:br/>
        <w:t>201</w:t>
      </w:r>
      <w:r w:rsidR="00E47FDE">
        <w:rPr>
          <w:b/>
          <w:bCs/>
          <w:noProof/>
          <w:color w:val="323232"/>
        </w:rPr>
        <w:t>5</w:t>
      </w:r>
      <w:r w:rsidRPr="00637128">
        <w:rPr>
          <w:b/>
          <w:bCs/>
          <w:noProof/>
          <w:color w:val="323232"/>
        </w:rPr>
        <w:t>–1</w:t>
      </w:r>
      <w:r w:rsidR="00E47FDE">
        <w:rPr>
          <w:b/>
          <w:bCs/>
          <w:noProof/>
          <w:color w:val="323232"/>
        </w:rPr>
        <w:t>6</w:t>
      </w:r>
      <w:r w:rsidR="006123DB">
        <w:rPr>
          <w:b/>
          <w:bCs/>
          <w:noProof/>
          <w:color w:val="323232"/>
        </w:rPr>
        <w:t>,</w:t>
      </w:r>
      <w:r w:rsidRPr="00637128">
        <w:rPr>
          <w:b/>
          <w:bCs/>
          <w:noProof/>
          <w:color w:val="323232"/>
        </w:rPr>
        <w:t xml:space="preserve"> excluding disregarded breaches</w:t>
      </w:r>
    </w:p>
    <w:tbl>
      <w:tblPr>
        <w:tblW w:w="8966"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3.6: Breaches of caption target requirements reported by television services, 2014-15, excluding disregarded breaches"/>
      </w:tblPr>
      <w:tblGrid>
        <w:gridCol w:w="1493"/>
        <w:gridCol w:w="2595"/>
        <w:gridCol w:w="2439"/>
        <w:gridCol w:w="2439"/>
      </w:tblGrid>
      <w:tr w:rsidR="00017DB8" w:rsidRPr="00345821" w14:paraId="15218A3B" w14:textId="77777777" w:rsidTr="00F65D12">
        <w:trPr>
          <w:trHeight w:val="291"/>
          <w:tblHeader/>
        </w:trPr>
        <w:tc>
          <w:tcPr>
            <w:tcW w:w="1493" w:type="dxa"/>
            <w:shd w:val="clear" w:color="auto" w:fill="37897E"/>
            <w:vAlign w:val="center"/>
          </w:tcPr>
          <w:p w14:paraId="6CA6D257" w14:textId="77777777" w:rsidR="00017DB8" w:rsidRPr="00345821" w:rsidRDefault="00017DB8" w:rsidP="00A54C72">
            <w:pPr>
              <w:pStyle w:val="TableHeading"/>
              <w:spacing w:before="0" w:line="240" w:lineRule="auto"/>
              <w:rPr>
                <w:szCs w:val="18"/>
              </w:rPr>
            </w:pPr>
            <w:r w:rsidRPr="00345821">
              <w:rPr>
                <w:szCs w:val="18"/>
              </w:rPr>
              <w:t>Sector</w:t>
            </w:r>
          </w:p>
        </w:tc>
        <w:tc>
          <w:tcPr>
            <w:tcW w:w="2595" w:type="dxa"/>
            <w:shd w:val="clear" w:color="auto" w:fill="37897E"/>
            <w:vAlign w:val="center"/>
          </w:tcPr>
          <w:p w14:paraId="56E04B91" w14:textId="77777777" w:rsidR="00017DB8" w:rsidRPr="00345821" w:rsidRDefault="00017DB8" w:rsidP="00A54C72">
            <w:pPr>
              <w:pStyle w:val="TableHeading"/>
              <w:spacing w:before="0" w:line="240" w:lineRule="auto"/>
              <w:rPr>
                <w:szCs w:val="18"/>
              </w:rPr>
            </w:pPr>
            <w:r w:rsidRPr="00345821">
              <w:rPr>
                <w:szCs w:val="18"/>
              </w:rPr>
              <w:t>Captioning target</w:t>
            </w:r>
          </w:p>
        </w:tc>
        <w:tc>
          <w:tcPr>
            <w:tcW w:w="2439" w:type="dxa"/>
            <w:shd w:val="clear" w:color="auto" w:fill="37897E"/>
            <w:vAlign w:val="center"/>
          </w:tcPr>
          <w:p w14:paraId="75BFCC2B" w14:textId="77777777" w:rsidR="00017DB8" w:rsidRPr="00345821" w:rsidRDefault="00017DB8" w:rsidP="00A54C72">
            <w:pPr>
              <w:pStyle w:val="TableHeading"/>
              <w:spacing w:before="0" w:line="240" w:lineRule="auto"/>
              <w:rPr>
                <w:szCs w:val="18"/>
              </w:rPr>
            </w:pPr>
            <w:r w:rsidRPr="00345821">
              <w:rPr>
                <w:szCs w:val="18"/>
              </w:rPr>
              <w:t>Number of services in</w:t>
            </w:r>
            <w:r w:rsidR="00477AC6">
              <w:rPr>
                <w:szCs w:val="18"/>
              </w:rPr>
              <w:t> </w:t>
            </w:r>
            <w:r w:rsidRPr="00345821">
              <w:rPr>
                <w:szCs w:val="18"/>
              </w:rPr>
              <w:t>breach</w:t>
            </w:r>
          </w:p>
        </w:tc>
        <w:tc>
          <w:tcPr>
            <w:tcW w:w="2439" w:type="dxa"/>
            <w:shd w:val="clear" w:color="auto" w:fill="37897E"/>
            <w:vAlign w:val="center"/>
          </w:tcPr>
          <w:p w14:paraId="5A088D4C" w14:textId="77777777" w:rsidR="00017DB8" w:rsidRPr="00345821" w:rsidRDefault="00017DB8" w:rsidP="00A54C72">
            <w:pPr>
              <w:pStyle w:val="TableHeading"/>
              <w:spacing w:before="0" w:line="240" w:lineRule="auto"/>
              <w:rPr>
                <w:szCs w:val="18"/>
              </w:rPr>
            </w:pPr>
            <w:r w:rsidRPr="00345821">
              <w:rPr>
                <w:szCs w:val="18"/>
              </w:rPr>
              <w:t>Causes of breaches</w:t>
            </w:r>
          </w:p>
        </w:tc>
      </w:tr>
      <w:tr w:rsidR="00017DB8" w:rsidRPr="00345821" w14:paraId="077A3268" w14:textId="77777777" w:rsidTr="00F65D12">
        <w:trPr>
          <w:trHeight w:val="920"/>
        </w:trPr>
        <w:tc>
          <w:tcPr>
            <w:tcW w:w="1493" w:type="dxa"/>
            <w:shd w:val="clear" w:color="auto" w:fill="auto"/>
            <w:vAlign w:val="center"/>
          </w:tcPr>
          <w:p w14:paraId="42C0C94F" w14:textId="77777777" w:rsidR="00017DB8" w:rsidRPr="00345821" w:rsidRDefault="00017DB8" w:rsidP="00A54C72">
            <w:pPr>
              <w:keepNext/>
              <w:spacing w:after="0" w:line="240" w:lineRule="auto"/>
              <w:rPr>
                <w:sz w:val="18"/>
                <w:szCs w:val="18"/>
              </w:rPr>
            </w:pPr>
            <w:r w:rsidRPr="00345821">
              <w:rPr>
                <w:sz w:val="18"/>
                <w:szCs w:val="18"/>
              </w:rPr>
              <w:t xml:space="preserve">Commercial and national television </w:t>
            </w:r>
          </w:p>
        </w:tc>
        <w:tc>
          <w:tcPr>
            <w:tcW w:w="2595" w:type="dxa"/>
            <w:shd w:val="clear" w:color="auto" w:fill="auto"/>
            <w:vAlign w:val="center"/>
          </w:tcPr>
          <w:p w14:paraId="78F7A74C" w14:textId="77777777" w:rsidR="00017DB8" w:rsidRPr="00345821" w:rsidRDefault="00017DB8" w:rsidP="00A54C72">
            <w:pPr>
              <w:keepNext/>
              <w:spacing w:after="0" w:line="240" w:lineRule="auto"/>
              <w:rPr>
                <w:sz w:val="18"/>
                <w:szCs w:val="18"/>
              </w:rPr>
            </w:pPr>
            <w:r w:rsidRPr="00345821">
              <w:rPr>
                <w:sz w:val="18"/>
                <w:szCs w:val="18"/>
              </w:rPr>
              <w:t>100% captioning from 6 am to midnight each day on primary channels, with exceptions*</w:t>
            </w:r>
          </w:p>
        </w:tc>
        <w:tc>
          <w:tcPr>
            <w:tcW w:w="2439" w:type="dxa"/>
            <w:shd w:val="clear" w:color="auto" w:fill="auto"/>
            <w:vAlign w:val="center"/>
          </w:tcPr>
          <w:p w14:paraId="4FDA1960" w14:textId="77777777" w:rsidR="00017DB8" w:rsidRPr="00345821" w:rsidRDefault="00017DB8" w:rsidP="00A54C72">
            <w:pPr>
              <w:keepNext/>
              <w:spacing w:after="80" w:line="240" w:lineRule="auto"/>
              <w:rPr>
                <w:sz w:val="18"/>
                <w:szCs w:val="18"/>
              </w:rPr>
            </w:pPr>
            <w:r w:rsidRPr="00345821">
              <w:rPr>
                <w:sz w:val="18"/>
                <w:szCs w:val="18"/>
              </w:rPr>
              <w:t>70 services</w:t>
            </w:r>
          </w:p>
          <w:p w14:paraId="7D0C60FF" w14:textId="77777777" w:rsidR="00017DB8" w:rsidRPr="00345821" w:rsidRDefault="00017DB8" w:rsidP="00A54C72">
            <w:pPr>
              <w:keepNext/>
              <w:spacing w:after="0" w:line="240" w:lineRule="auto"/>
              <w:rPr>
                <w:sz w:val="18"/>
                <w:szCs w:val="18"/>
              </w:rPr>
            </w:pPr>
            <w:r w:rsidRPr="00345821">
              <w:rPr>
                <w:sz w:val="18"/>
                <w:szCs w:val="18"/>
              </w:rPr>
              <w:t>Both national broadcasters and 41 commercial television licensees were involved</w:t>
            </w:r>
          </w:p>
        </w:tc>
        <w:tc>
          <w:tcPr>
            <w:tcW w:w="2439" w:type="dxa"/>
            <w:shd w:val="clear" w:color="auto" w:fill="auto"/>
            <w:vAlign w:val="center"/>
          </w:tcPr>
          <w:p w14:paraId="5EF210C5" w14:textId="77777777" w:rsidR="00017DB8" w:rsidRPr="00345821" w:rsidRDefault="00017DB8" w:rsidP="00A54C72">
            <w:pPr>
              <w:keepNext/>
              <w:spacing w:after="0" w:line="240" w:lineRule="auto"/>
              <w:rPr>
                <w:sz w:val="18"/>
                <w:szCs w:val="18"/>
              </w:rPr>
            </w:pPr>
            <w:r w:rsidRPr="00345821">
              <w:rPr>
                <w:sz w:val="18"/>
                <w:szCs w:val="18"/>
              </w:rPr>
              <w:t>Largely caused by unforeseen technical difficulties, with some minor instances of human or procedural errors</w:t>
            </w:r>
          </w:p>
        </w:tc>
      </w:tr>
      <w:tr w:rsidR="00017DB8" w:rsidRPr="00345821" w14:paraId="6CD87FC8" w14:textId="77777777" w:rsidTr="00F65D12">
        <w:trPr>
          <w:trHeight w:val="616"/>
        </w:trPr>
        <w:tc>
          <w:tcPr>
            <w:tcW w:w="1493" w:type="dxa"/>
            <w:shd w:val="clear" w:color="auto" w:fill="auto"/>
            <w:vAlign w:val="center"/>
          </w:tcPr>
          <w:p w14:paraId="75EC7547" w14:textId="77777777" w:rsidR="00017DB8" w:rsidRPr="00345821" w:rsidRDefault="00017DB8" w:rsidP="00A54C72">
            <w:pPr>
              <w:keepNext/>
              <w:spacing w:after="0" w:line="240" w:lineRule="auto"/>
              <w:rPr>
                <w:sz w:val="18"/>
                <w:szCs w:val="18"/>
              </w:rPr>
            </w:pPr>
            <w:r w:rsidRPr="00345821">
              <w:rPr>
                <w:sz w:val="18"/>
                <w:szCs w:val="18"/>
              </w:rPr>
              <w:t xml:space="preserve">Subscription television </w:t>
            </w:r>
          </w:p>
        </w:tc>
        <w:tc>
          <w:tcPr>
            <w:tcW w:w="2595" w:type="dxa"/>
            <w:shd w:val="clear" w:color="auto" w:fill="auto"/>
            <w:vAlign w:val="center"/>
          </w:tcPr>
          <w:p w14:paraId="0B5C1929" w14:textId="77777777" w:rsidR="00017DB8" w:rsidRPr="00345821" w:rsidRDefault="00017DB8" w:rsidP="00A54C72">
            <w:pPr>
              <w:keepNext/>
              <w:spacing w:after="0" w:line="240" w:lineRule="auto"/>
              <w:rPr>
                <w:sz w:val="18"/>
                <w:szCs w:val="18"/>
              </w:rPr>
            </w:pPr>
            <w:r w:rsidRPr="00345821">
              <w:rPr>
                <w:sz w:val="18"/>
                <w:szCs w:val="18"/>
              </w:rPr>
              <w:t>10–80% captioning across the year depending on service category, with exceptions*</w:t>
            </w:r>
          </w:p>
        </w:tc>
        <w:tc>
          <w:tcPr>
            <w:tcW w:w="2439" w:type="dxa"/>
            <w:shd w:val="clear" w:color="auto" w:fill="auto"/>
            <w:vAlign w:val="center"/>
          </w:tcPr>
          <w:p w14:paraId="673DF0D1" w14:textId="77777777" w:rsidR="00017DB8" w:rsidRPr="00345821" w:rsidRDefault="00017DB8" w:rsidP="00A54C72">
            <w:pPr>
              <w:keepNext/>
              <w:spacing w:after="80" w:line="240" w:lineRule="auto"/>
              <w:rPr>
                <w:sz w:val="18"/>
                <w:szCs w:val="18"/>
              </w:rPr>
            </w:pPr>
            <w:r w:rsidRPr="00345821">
              <w:rPr>
                <w:sz w:val="18"/>
                <w:szCs w:val="18"/>
              </w:rPr>
              <w:t>4 services</w:t>
            </w:r>
          </w:p>
          <w:p w14:paraId="4E4C613C" w14:textId="77777777" w:rsidR="00017DB8" w:rsidRPr="00345821" w:rsidRDefault="00017DB8" w:rsidP="00A54C72">
            <w:pPr>
              <w:keepNext/>
              <w:spacing w:after="0" w:line="240" w:lineRule="auto"/>
              <w:rPr>
                <w:sz w:val="18"/>
                <w:szCs w:val="18"/>
              </w:rPr>
            </w:pPr>
            <w:r w:rsidRPr="00345821">
              <w:rPr>
                <w:sz w:val="18"/>
                <w:szCs w:val="18"/>
              </w:rPr>
              <w:t>2 licensees (4 distinct channels) were involved</w:t>
            </w:r>
          </w:p>
        </w:tc>
        <w:tc>
          <w:tcPr>
            <w:tcW w:w="2439" w:type="dxa"/>
            <w:shd w:val="clear" w:color="auto" w:fill="auto"/>
            <w:vAlign w:val="center"/>
          </w:tcPr>
          <w:p w14:paraId="633B166F" w14:textId="77777777" w:rsidR="00017DB8" w:rsidRPr="00345821" w:rsidRDefault="00017DB8" w:rsidP="00A54C72">
            <w:pPr>
              <w:keepNext/>
              <w:spacing w:after="0" w:line="240" w:lineRule="auto"/>
              <w:rPr>
                <w:sz w:val="18"/>
                <w:szCs w:val="18"/>
              </w:rPr>
            </w:pPr>
            <w:r w:rsidRPr="00345821">
              <w:rPr>
                <w:sz w:val="18"/>
                <w:szCs w:val="18"/>
              </w:rPr>
              <w:t>Administrative or procedural issues</w:t>
            </w:r>
          </w:p>
        </w:tc>
      </w:tr>
    </w:tbl>
    <w:p w14:paraId="48AB053B" w14:textId="77777777" w:rsidR="00017DB8" w:rsidRPr="00637128" w:rsidRDefault="00017DB8" w:rsidP="007A2A5F">
      <w:pPr>
        <w:pStyle w:val="ACMANotes"/>
        <w:spacing w:before="120"/>
      </w:pPr>
      <w:r w:rsidRPr="00637128">
        <w:t xml:space="preserve">*Captioning obligations do not apply to exempt programs, which include foreign programs (not wholly in English) and music programs that do not contain any human vocal content. In 2015–16, three commercial television broadcasters had a reduced captioning target of 90 per cent </w:t>
      </w:r>
      <w:r w:rsidR="00E46666" w:rsidRPr="00637128">
        <w:t>because of</w:t>
      </w:r>
      <w:r w:rsidRPr="00637128">
        <w:t xml:space="preserve"> target reduction orders (unjustifiable hardship). Some subscription television services were exempt from the annual captioning target </w:t>
      </w:r>
      <w:r w:rsidR="00E46666" w:rsidRPr="00637128">
        <w:t>because of</w:t>
      </w:r>
      <w:r w:rsidRPr="00637128">
        <w:t xml:space="preserve"> exemption orders (unjustifiable hardship) and nominations under section</w:t>
      </w:r>
      <w:r w:rsidR="006123DB">
        <w:t> </w:t>
      </w:r>
      <w:r w:rsidRPr="00637128">
        <w:t>130ZX of the BSA—a transitional measure that allows exemption of certain services if the licensee has met the annual captioning target for the threshold number of services.</w:t>
      </w:r>
    </w:p>
    <w:p w14:paraId="63F47FB9" w14:textId="77777777" w:rsidR="00E46666" w:rsidRDefault="00017DB8" w:rsidP="00A54C72">
      <w:pPr>
        <w:pStyle w:val="ACMANotes"/>
        <w:spacing w:after="360"/>
      </w:pPr>
      <w:r w:rsidRPr="00637128">
        <w:t>Source: ACMA.</w:t>
      </w:r>
    </w:p>
    <w:p w14:paraId="35D4CD80" w14:textId="77777777" w:rsidR="00017DB8" w:rsidRPr="001A3C79" w:rsidRDefault="00017DB8" w:rsidP="00477AC6">
      <w:pPr>
        <w:pStyle w:val="Bodysubheader0"/>
        <w:keepNext/>
      </w:pPr>
      <w:r w:rsidRPr="001A3C79">
        <w:t>Exemption orders and target reduction orders</w:t>
      </w:r>
    </w:p>
    <w:p w14:paraId="3FDC738D" w14:textId="77777777" w:rsidR="00017DB8" w:rsidRPr="001A3C79" w:rsidRDefault="00017DB8" w:rsidP="00017DB8">
      <w:pPr>
        <w:keepLines/>
      </w:pPr>
      <w:r w:rsidRPr="001A3C79">
        <w:t>In 201</w:t>
      </w:r>
      <w:r>
        <w:t>6</w:t>
      </w:r>
      <w:r w:rsidRPr="001A3C79">
        <w:t>–1</w:t>
      </w:r>
      <w:r>
        <w:t>7</w:t>
      </w:r>
      <w:r w:rsidRPr="001A3C79">
        <w:t xml:space="preserve">, the ACMA approved </w:t>
      </w:r>
      <w:r>
        <w:t>67</w:t>
      </w:r>
      <w:r w:rsidRPr="001A3C79">
        <w:t xml:space="preserve"> applications for exemption orders (for </w:t>
      </w:r>
      <w:r>
        <w:t>67</w:t>
      </w:r>
      <w:r w:rsidRPr="001A3C79">
        <w:t xml:space="preserve"> separate subscription television services) and </w:t>
      </w:r>
      <w:r>
        <w:t>four</w:t>
      </w:r>
      <w:r w:rsidRPr="001A3C79">
        <w:t xml:space="preserve"> applications for target reduction orders (for </w:t>
      </w:r>
      <w:r>
        <w:t xml:space="preserve">four separate subscription </w:t>
      </w:r>
      <w:r w:rsidRPr="001A3C79">
        <w:t>television services) (Table 3.</w:t>
      </w:r>
      <w:r>
        <w:t>6</w:t>
      </w:r>
      <w:r w:rsidRPr="001A3C79">
        <w:t xml:space="preserve">). </w:t>
      </w:r>
    </w:p>
    <w:p w14:paraId="0749D014" w14:textId="77777777" w:rsidR="00DA599E" w:rsidRPr="00637128" w:rsidRDefault="00DA599E" w:rsidP="00A54C72">
      <w:pPr>
        <w:keepNext/>
        <w:spacing w:after="160"/>
        <w:rPr>
          <w:b/>
          <w:bCs/>
          <w:noProof/>
          <w:color w:val="323232"/>
        </w:rPr>
      </w:pPr>
      <w:r w:rsidRPr="00637128">
        <w:rPr>
          <w:b/>
          <w:bCs/>
          <w:noProof/>
          <w:color w:val="323232"/>
        </w:rPr>
        <w:t>Table 3.</w:t>
      </w:r>
      <w:r>
        <w:rPr>
          <w:b/>
          <w:bCs/>
          <w:noProof/>
          <w:color w:val="323232"/>
        </w:rPr>
        <w:t>6</w:t>
      </w:r>
      <w:r w:rsidRPr="00637128">
        <w:rPr>
          <w:b/>
          <w:bCs/>
          <w:noProof/>
          <w:color w:val="323232"/>
        </w:rPr>
        <w:tab/>
        <w:t>Captioning exemption orders and target reduction orders</w:t>
      </w:r>
    </w:p>
    <w:tbl>
      <w:tblPr>
        <w:tblW w:w="894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3.7 Captioning exemption orders and target reduction orders"/>
      </w:tblPr>
      <w:tblGrid>
        <w:gridCol w:w="2981"/>
        <w:gridCol w:w="2982"/>
        <w:gridCol w:w="2982"/>
      </w:tblGrid>
      <w:tr w:rsidR="00DA599E" w:rsidRPr="00F25748" w14:paraId="621D7FC3" w14:textId="77777777" w:rsidTr="00F65D12">
        <w:trPr>
          <w:trHeight w:val="199"/>
          <w:tblHeader/>
        </w:trPr>
        <w:tc>
          <w:tcPr>
            <w:tcW w:w="2981" w:type="dxa"/>
            <w:shd w:val="clear" w:color="auto" w:fill="37897E"/>
            <w:vAlign w:val="center"/>
          </w:tcPr>
          <w:p w14:paraId="35C0394D" w14:textId="77777777" w:rsidR="00DA599E" w:rsidRPr="00F25748" w:rsidRDefault="00DA599E" w:rsidP="00A54C72">
            <w:pPr>
              <w:pStyle w:val="TableHeading"/>
              <w:spacing w:before="0"/>
              <w:rPr>
                <w:szCs w:val="18"/>
              </w:rPr>
            </w:pPr>
            <w:r w:rsidRPr="00F25748">
              <w:rPr>
                <w:szCs w:val="18"/>
              </w:rPr>
              <w:t>Application type*</w:t>
            </w:r>
          </w:p>
        </w:tc>
        <w:tc>
          <w:tcPr>
            <w:tcW w:w="2982" w:type="dxa"/>
            <w:shd w:val="clear" w:color="auto" w:fill="37897E"/>
            <w:vAlign w:val="center"/>
          </w:tcPr>
          <w:p w14:paraId="2A6314FE" w14:textId="77777777" w:rsidR="00DA599E" w:rsidRPr="00F25748" w:rsidRDefault="00DA599E" w:rsidP="00A54C72">
            <w:pPr>
              <w:pStyle w:val="TableHeading"/>
              <w:spacing w:before="0"/>
              <w:jc w:val="right"/>
              <w:rPr>
                <w:szCs w:val="18"/>
              </w:rPr>
            </w:pPr>
            <w:r w:rsidRPr="00F25748">
              <w:rPr>
                <w:szCs w:val="18"/>
              </w:rPr>
              <w:t>Approved</w:t>
            </w:r>
          </w:p>
        </w:tc>
        <w:tc>
          <w:tcPr>
            <w:tcW w:w="2982" w:type="dxa"/>
            <w:shd w:val="clear" w:color="auto" w:fill="37897E"/>
            <w:vAlign w:val="center"/>
          </w:tcPr>
          <w:p w14:paraId="36291BD5" w14:textId="77777777" w:rsidR="00DA599E" w:rsidRPr="00F25748" w:rsidRDefault="00DA599E" w:rsidP="00A54C72">
            <w:pPr>
              <w:pStyle w:val="TableHeading"/>
              <w:spacing w:before="0"/>
              <w:jc w:val="right"/>
              <w:rPr>
                <w:szCs w:val="18"/>
              </w:rPr>
            </w:pPr>
            <w:r w:rsidRPr="00F25748">
              <w:rPr>
                <w:szCs w:val="18"/>
              </w:rPr>
              <w:t>Refused</w:t>
            </w:r>
          </w:p>
        </w:tc>
      </w:tr>
      <w:tr w:rsidR="00DA599E" w:rsidRPr="00F25748" w14:paraId="72972CAE" w14:textId="77777777" w:rsidTr="00F65D12">
        <w:trPr>
          <w:trHeight w:val="23"/>
        </w:trPr>
        <w:tc>
          <w:tcPr>
            <w:tcW w:w="2981" w:type="dxa"/>
            <w:shd w:val="clear" w:color="auto" w:fill="auto"/>
            <w:vAlign w:val="center"/>
          </w:tcPr>
          <w:p w14:paraId="20BB3D53" w14:textId="77777777" w:rsidR="00DA599E" w:rsidRPr="00F25748" w:rsidRDefault="00DA599E" w:rsidP="00A54C72">
            <w:pPr>
              <w:keepNext/>
              <w:spacing w:after="0"/>
              <w:rPr>
                <w:sz w:val="18"/>
                <w:szCs w:val="18"/>
              </w:rPr>
            </w:pPr>
            <w:r w:rsidRPr="00F25748">
              <w:rPr>
                <w:sz w:val="18"/>
                <w:szCs w:val="18"/>
              </w:rPr>
              <w:t>Exemption order</w:t>
            </w:r>
          </w:p>
        </w:tc>
        <w:tc>
          <w:tcPr>
            <w:tcW w:w="2982" w:type="dxa"/>
            <w:shd w:val="clear" w:color="auto" w:fill="auto"/>
            <w:vAlign w:val="center"/>
          </w:tcPr>
          <w:p w14:paraId="4A2C58B1" w14:textId="77777777" w:rsidR="00DA599E" w:rsidRPr="00F25748" w:rsidRDefault="00DA599E" w:rsidP="00A54C72">
            <w:pPr>
              <w:keepNext/>
              <w:spacing w:after="0"/>
              <w:jc w:val="right"/>
              <w:rPr>
                <w:sz w:val="18"/>
                <w:szCs w:val="18"/>
              </w:rPr>
            </w:pPr>
            <w:r w:rsidRPr="00F25748">
              <w:rPr>
                <w:sz w:val="18"/>
                <w:szCs w:val="18"/>
              </w:rPr>
              <w:t>67</w:t>
            </w:r>
          </w:p>
        </w:tc>
        <w:tc>
          <w:tcPr>
            <w:tcW w:w="2982" w:type="dxa"/>
            <w:shd w:val="clear" w:color="auto" w:fill="auto"/>
            <w:vAlign w:val="center"/>
          </w:tcPr>
          <w:p w14:paraId="22535957" w14:textId="77777777" w:rsidR="00DA599E" w:rsidRPr="00F25748" w:rsidRDefault="00DA599E" w:rsidP="00A54C72">
            <w:pPr>
              <w:keepNext/>
              <w:spacing w:after="0"/>
              <w:jc w:val="right"/>
              <w:rPr>
                <w:sz w:val="18"/>
                <w:szCs w:val="18"/>
              </w:rPr>
            </w:pPr>
            <w:r w:rsidRPr="00F25748">
              <w:rPr>
                <w:sz w:val="18"/>
                <w:szCs w:val="18"/>
              </w:rPr>
              <w:t>0</w:t>
            </w:r>
          </w:p>
        </w:tc>
      </w:tr>
      <w:tr w:rsidR="00DA599E" w:rsidRPr="00F25748" w14:paraId="5A6196BA" w14:textId="77777777" w:rsidTr="00F65D12">
        <w:trPr>
          <w:trHeight w:val="23"/>
        </w:trPr>
        <w:tc>
          <w:tcPr>
            <w:tcW w:w="2981" w:type="dxa"/>
            <w:shd w:val="clear" w:color="auto" w:fill="auto"/>
            <w:vAlign w:val="center"/>
          </w:tcPr>
          <w:p w14:paraId="2C99F364" w14:textId="77777777" w:rsidR="00DA599E" w:rsidRPr="00F25748" w:rsidRDefault="00DA599E" w:rsidP="00A54C72">
            <w:pPr>
              <w:keepNext/>
              <w:spacing w:after="0"/>
              <w:rPr>
                <w:sz w:val="18"/>
                <w:szCs w:val="18"/>
              </w:rPr>
            </w:pPr>
            <w:r w:rsidRPr="00F25748">
              <w:rPr>
                <w:sz w:val="18"/>
                <w:szCs w:val="18"/>
              </w:rPr>
              <w:t>Target reduction order</w:t>
            </w:r>
          </w:p>
        </w:tc>
        <w:tc>
          <w:tcPr>
            <w:tcW w:w="2982" w:type="dxa"/>
            <w:shd w:val="clear" w:color="auto" w:fill="auto"/>
            <w:vAlign w:val="center"/>
          </w:tcPr>
          <w:p w14:paraId="291B17A0" w14:textId="77777777" w:rsidR="00DA599E" w:rsidRPr="00F25748" w:rsidRDefault="00DA599E" w:rsidP="00A54C72">
            <w:pPr>
              <w:keepNext/>
              <w:spacing w:after="0"/>
              <w:jc w:val="right"/>
              <w:rPr>
                <w:sz w:val="18"/>
                <w:szCs w:val="18"/>
              </w:rPr>
            </w:pPr>
            <w:r w:rsidRPr="00F25748">
              <w:rPr>
                <w:sz w:val="18"/>
                <w:szCs w:val="18"/>
              </w:rPr>
              <w:t>4</w:t>
            </w:r>
          </w:p>
        </w:tc>
        <w:tc>
          <w:tcPr>
            <w:tcW w:w="2982" w:type="dxa"/>
            <w:shd w:val="clear" w:color="auto" w:fill="auto"/>
            <w:vAlign w:val="center"/>
          </w:tcPr>
          <w:p w14:paraId="0F6615DE" w14:textId="77777777" w:rsidR="00DA599E" w:rsidRPr="00F25748" w:rsidRDefault="00DA599E" w:rsidP="00A54C72">
            <w:pPr>
              <w:keepNext/>
              <w:spacing w:after="0"/>
              <w:jc w:val="right"/>
              <w:rPr>
                <w:sz w:val="18"/>
                <w:szCs w:val="18"/>
              </w:rPr>
            </w:pPr>
            <w:r w:rsidRPr="00F25748">
              <w:rPr>
                <w:sz w:val="18"/>
                <w:szCs w:val="18"/>
              </w:rPr>
              <w:t>0</w:t>
            </w:r>
          </w:p>
        </w:tc>
      </w:tr>
    </w:tbl>
    <w:p w14:paraId="6CE0366F" w14:textId="77777777" w:rsidR="00DA599E" w:rsidRPr="00EE11DD" w:rsidRDefault="00DA599E" w:rsidP="007A2A5F">
      <w:pPr>
        <w:pStyle w:val="ACMANotes"/>
        <w:spacing w:before="120"/>
        <w:rPr>
          <w:i w:val="0"/>
        </w:rPr>
      </w:pPr>
      <w:r w:rsidRPr="00D75CEF">
        <w:t xml:space="preserve">*The ACMA has the power </w:t>
      </w:r>
      <w:r w:rsidR="002C3469" w:rsidRPr="00477AC6">
        <w:t xml:space="preserve">under section 130ZY of the BSA </w:t>
      </w:r>
      <w:r w:rsidRPr="00D75CEF">
        <w:t>to make an exemption order or a target reduction order for a specified commercial, national or subscription television service if it is satisfied that refusing to do so would cause unjustifiable hardship to the broadcaster or licensee.</w:t>
      </w:r>
    </w:p>
    <w:p w14:paraId="70952A7F" w14:textId="77777777" w:rsidR="00E46666" w:rsidRDefault="00DA599E" w:rsidP="003547F7">
      <w:pPr>
        <w:pStyle w:val="ACMANotes"/>
        <w:spacing w:after="360"/>
      </w:pPr>
      <w:r w:rsidRPr="009A6013">
        <w:t>Source: ACMA.</w:t>
      </w:r>
    </w:p>
    <w:p w14:paraId="258C32D0" w14:textId="77777777" w:rsidR="00DA599E" w:rsidRPr="001A3C79" w:rsidRDefault="00DA599E" w:rsidP="00DA599E">
      <w:pPr>
        <w:pStyle w:val="BodySubHeader"/>
      </w:pPr>
      <w:r w:rsidRPr="001A3C79">
        <w:t xml:space="preserve">Review of captioning legislation </w:t>
      </w:r>
    </w:p>
    <w:p w14:paraId="0E8625F7" w14:textId="74EF6A8D" w:rsidR="00DA599E" w:rsidRPr="001A3C79" w:rsidRDefault="00DA599E" w:rsidP="00DA599E">
      <w:pPr>
        <w:rPr>
          <w:rFonts w:eastAsia="Calibri"/>
        </w:rPr>
      </w:pPr>
      <w:r w:rsidRPr="001A3C79">
        <w:rPr>
          <w:rFonts w:eastAsia="Calibri"/>
        </w:rPr>
        <w:t xml:space="preserve">The ACMA </w:t>
      </w:r>
      <w:r>
        <w:rPr>
          <w:rFonts w:eastAsia="Calibri"/>
        </w:rPr>
        <w:t>wa</w:t>
      </w:r>
      <w:r w:rsidRPr="001A3C79">
        <w:rPr>
          <w:rFonts w:eastAsia="Calibri"/>
        </w:rPr>
        <w:t xml:space="preserve">s required, before 31 December 2016, to conduct a review of the captioning rules in the BSA. </w:t>
      </w:r>
      <w:r w:rsidR="00E46666">
        <w:rPr>
          <w:rFonts w:eastAsia="Calibri"/>
        </w:rPr>
        <w:t>We</w:t>
      </w:r>
      <w:r w:rsidRPr="001A3C79">
        <w:rPr>
          <w:rFonts w:eastAsia="Calibri"/>
        </w:rPr>
        <w:t xml:space="preserve"> released a consultation paper on 8 June 2016 seeking stakeholder submissions about the operation of the rules</w:t>
      </w:r>
      <w:r>
        <w:rPr>
          <w:rFonts w:eastAsia="Calibri"/>
        </w:rPr>
        <w:t xml:space="preserve">. </w:t>
      </w:r>
      <w:r w:rsidR="00E46666">
        <w:rPr>
          <w:rFonts w:eastAsia="Calibri"/>
        </w:rPr>
        <w:t>Our</w:t>
      </w:r>
      <w:r w:rsidRPr="0024314B">
        <w:rPr>
          <w:rFonts w:eastAsia="Calibri"/>
        </w:rPr>
        <w:t xml:space="preserve"> report</w:t>
      </w:r>
      <w:r>
        <w:rPr>
          <w:rFonts w:eastAsia="Calibri"/>
        </w:rPr>
        <w:t xml:space="preserve"> on the outcomes of the review</w:t>
      </w:r>
      <w:r w:rsidRPr="0024314B">
        <w:rPr>
          <w:rFonts w:eastAsia="Calibri"/>
        </w:rPr>
        <w:t>, dated April 2017, was tabled in the Senate and House of Representatives on 19 and 20 June 2017</w:t>
      </w:r>
      <w:r w:rsidR="0056483A">
        <w:rPr>
          <w:rFonts w:eastAsia="Calibri"/>
        </w:rPr>
        <w:t>,</w:t>
      </w:r>
      <w:r w:rsidRPr="0024314B">
        <w:rPr>
          <w:rFonts w:eastAsia="Calibri"/>
        </w:rPr>
        <w:t xml:space="preserve"> respectively.</w:t>
      </w:r>
    </w:p>
    <w:p w14:paraId="4B6B2462" w14:textId="77777777" w:rsidR="00DA599E" w:rsidRPr="001A3C79" w:rsidRDefault="00DA599E" w:rsidP="00DA599E">
      <w:pPr>
        <w:pStyle w:val="Bodysubheader0"/>
        <w:rPr>
          <w:rFonts w:eastAsia="Calibri"/>
        </w:rPr>
      </w:pPr>
      <w:r w:rsidRPr="001A3C79">
        <w:t>Consumer use of captioning</w:t>
      </w:r>
    </w:p>
    <w:p w14:paraId="685FB185" w14:textId="77777777" w:rsidR="00DA599E" w:rsidRPr="001A3C79" w:rsidRDefault="00DA599E" w:rsidP="00DA599E">
      <w:pPr>
        <w:rPr>
          <w:rFonts w:eastAsia="Calibri"/>
        </w:rPr>
      </w:pPr>
      <w:r w:rsidRPr="001A3C79">
        <w:rPr>
          <w:rFonts w:eastAsia="Calibri"/>
        </w:rPr>
        <w:t xml:space="preserve">ACMA research found that one in three </w:t>
      </w:r>
      <w:r w:rsidRPr="00212C50">
        <w:rPr>
          <w:rFonts w:eastAsia="Calibri"/>
        </w:rPr>
        <w:t xml:space="preserve">Australians </w:t>
      </w:r>
      <w:r w:rsidR="00E46666" w:rsidRPr="00212C50">
        <w:rPr>
          <w:rFonts w:eastAsia="Calibri"/>
        </w:rPr>
        <w:t xml:space="preserve">is </w:t>
      </w:r>
      <w:r w:rsidRPr="00212C50">
        <w:rPr>
          <w:rFonts w:eastAsia="Calibri"/>
        </w:rPr>
        <w:t>regularly</w:t>
      </w:r>
      <w:r w:rsidRPr="001A3C79">
        <w:rPr>
          <w:rFonts w:eastAsia="Calibri"/>
        </w:rPr>
        <w:t xml:space="preserve"> using captioning, with 52 per cent using it at least once a month. Thirty-five per cent cited the reason for using captioning was ‘to watch TV in a noisy environment’, while 29 per cent use it ‘to watch TV in a quiet environment’. Fifteen per cent of </w:t>
      </w:r>
      <w:r>
        <w:rPr>
          <w:rFonts w:eastAsia="Calibri"/>
        </w:rPr>
        <w:t>respondents</w:t>
      </w:r>
      <w:r w:rsidRPr="001A3C79">
        <w:rPr>
          <w:rFonts w:eastAsia="Calibri"/>
        </w:rPr>
        <w:t xml:space="preserve"> </w:t>
      </w:r>
      <w:r>
        <w:rPr>
          <w:rFonts w:eastAsia="Calibri"/>
        </w:rPr>
        <w:t xml:space="preserve">who use captions </w:t>
      </w:r>
      <w:r w:rsidR="00B846D1">
        <w:rPr>
          <w:rFonts w:eastAsia="Calibri"/>
        </w:rPr>
        <w:t>did so</w:t>
      </w:r>
      <w:r w:rsidRPr="001A3C79">
        <w:rPr>
          <w:rFonts w:eastAsia="Calibri"/>
        </w:rPr>
        <w:t xml:space="preserve"> due to a hearing impairment.</w:t>
      </w:r>
      <w:r w:rsidRPr="001A3C79">
        <w:rPr>
          <w:rFonts w:eastAsia="Calibri"/>
          <w:vertAlign w:val="superscript"/>
        </w:rPr>
        <w:endnoteReference w:id="228"/>
      </w:r>
      <w:bookmarkStart w:id="1199" w:name="OLE_LINK1"/>
      <w:bookmarkStart w:id="1200" w:name="OLE_LINK2"/>
      <w:bookmarkStart w:id="1201" w:name="_Toc433790371"/>
      <w:bookmarkEnd w:id="1199"/>
      <w:bookmarkEnd w:id="1200"/>
    </w:p>
    <w:p w14:paraId="3A2A2710" w14:textId="77777777" w:rsidR="00DA599E" w:rsidRPr="001A3C79" w:rsidDel="00B73730" w:rsidRDefault="00DA599E" w:rsidP="00DA599E">
      <w:pPr>
        <w:pStyle w:val="Heading3"/>
      </w:pPr>
      <w:bookmarkStart w:id="1202" w:name="_Toc462899623"/>
      <w:bookmarkStart w:id="1203" w:name="_Toc463529118"/>
      <w:bookmarkStart w:id="1204" w:name="_Toc494799447"/>
      <w:bookmarkStart w:id="1205" w:name="_Toc494805750"/>
      <w:bookmarkStart w:id="1206" w:name="_Toc494805983"/>
      <w:bookmarkStart w:id="1207" w:name="_Toc494808213"/>
      <w:bookmarkStart w:id="1208" w:name="_Toc494808867"/>
      <w:bookmarkStart w:id="1209" w:name="_Toc494816051"/>
      <w:bookmarkStart w:id="1210" w:name="_Toc494818881"/>
      <w:bookmarkStart w:id="1211" w:name="_Toc494819144"/>
      <w:r w:rsidRPr="001A3C79" w:rsidDel="00B73730">
        <w:t>Notification of changes in control</w:t>
      </w:r>
      <w:bookmarkEnd w:id="1201"/>
      <w:bookmarkEnd w:id="1202"/>
      <w:bookmarkEnd w:id="1203"/>
      <w:bookmarkEnd w:id="1204"/>
      <w:bookmarkEnd w:id="1205"/>
      <w:bookmarkEnd w:id="1206"/>
      <w:bookmarkEnd w:id="1207"/>
      <w:bookmarkEnd w:id="1208"/>
      <w:bookmarkEnd w:id="1209"/>
      <w:bookmarkEnd w:id="1210"/>
      <w:bookmarkEnd w:id="1211"/>
      <w:r w:rsidRPr="001A3C79">
        <w:t xml:space="preserve"> </w:t>
      </w:r>
    </w:p>
    <w:p w14:paraId="7E29724A" w14:textId="77777777" w:rsidR="00DA599E" w:rsidRPr="001A3C79" w:rsidDel="00B73730" w:rsidRDefault="00DA599E" w:rsidP="00DA599E">
      <w:r w:rsidRPr="001A3C79" w:rsidDel="00B73730">
        <w:t xml:space="preserve">Commercial television licensees, commercial radio licensees and publishers of associated newspapers must notify the ACMA of any changes in control within </w:t>
      </w:r>
      <w:r w:rsidRPr="001A3C79">
        <w:t>10</w:t>
      </w:r>
      <w:r w:rsidRPr="001A3C79" w:rsidDel="00B73730">
        <w:t xml:space="preserve"> business days of becoming aware of those changes (section 63 of the BSA). Persons who come into a position to exercise control of such licences and associated newspapers are also required to notify the ACMA within 10 business days of becoming aware of the change in control (section 64 of the BSA). </w:t>
      </w:r>
    </w:p>
    <w:p w14:paraId="17128D27" w14:textId="77777777" w:rsidR="00DA599E" w:rsidRPr="001A3C79" w:rsidDel="00B73730" w:rsidRDefault="00DA599E" w:rsidP="00DA599E">
      <w:r w:rsidRPr="001A3C79" w:rsidDel="00B73730">
        <w:t>During 201</w:t>
      </w:r>
      <w:r>
        <w:t>6</w:t>
      </w:r>
      <w:r w:rsidRPr="001A3C79" w:rsidDel="00B73730">
        <w:t>–1</w:t>
      </w:r>
      <w:r>
        <w:t>7</w:t>
      </w:r>
      <w:r w:rsidRPr="001A3C79" w:rsidDel="00B73730">
        <w:t>, no</w:t>
      </w:r>
      <w:r w:rsidRPr="001A3C79">
        <w:t xml:space="preserve"> formal warnings or </w:t>
      </w:r>
      <w:r w:rsidRPr="001A3C79" w:rsidDel="00B73730">
        <w:t>infringement notices were given for late notifications of changes of control</w:t>
      </w:r>
      <w:r w:rsidRPr="001A3C79">
        <w:t>, while there were eight</w:t>
      </w:r>
      <w:r w:rsidRPr="001A3C79" w:rsidDel="00B73730">
        <w:t xml:space="preserve"> events affecting the control of media operations. </w:t>
      </w:r>
    </w:p>
    <w:p w14:paraId="3DBDC5D8" w14:textId="77777777" w:rsidR="00DA599E" w:rsidRPr="001A3C79" w:rsidRDefault="00DA599E" w:rsidP="00DA599E">
      <w:pPr>
        <w:pStyle w:val="Heading3"/>
      </w:pPr>
      <w:bookmarkStart w:id="1212" w:name="_Toc462899624"/>
      <w:bookmarkStart w:id="1213" w:name="_Toc433790372"/>
      <w:bookmarkStart w:id="1214" w:name="_Toc463529119"/>
      <w:bookmarkStart w:id="1215" w:name="_Toc494799448"/>
      <w:bookmarkStart w:id="1216" w:name="_Toc494805751"/>
      <w:bookmarkStart w:id="1217" w:name="_Toc494805984"/>
      <w:bookmarkStart w:id="1218" w:name="_Toc494808214"/>
      <w:bookmarkStart w:id="1219" w:name="_Toc494808868"/>
      <w:bookmarkStart w:id="1220" w:name="_Toc494816052"/>
      <w:bookmarkStart w:id="1221" w:name="_Toc494818882"/>
      <w:bookmarkStart w:id="1222" w:name="_Toc494819145"/>
      <w:r w:rsidRPr="001A3C79">
        <w:t>Local information on regional television</w:t>
      </w:r>
      <w:bookmarkEnd w:id="1212"/>
      <w:bookmarkEnd w:id="1213"/>
      <w:bookmarkEnd w:id="1214"/>
      <w:bookmarkEnd w:id="1215"/>
      <w:bookmarkEnd w:id="1216"/>
      <w:bookmarkEnd w:id="1217"/>
      <w:bookmarkEnd w:id="1218"/>
      <w:bookmarkEnd w:id="1219"/>
      <w:bookmarkEnd w:id="1220"/>
      <w:bookmarkEnd w:id="1221"/>
      <w:bookmarkEnd w:id="1222"/>
    </w:p>
    <w:p w14:paraId="345BBD8C" w14:textId="77777777" w:rsidR="00DA599E" w:rsidRPr="001A3C79" w:rsidRDefault="00DA599E" w:rsidP="00DA599E">
      <w:pPr>
        <w:spacing w:after="80"/>
      </w:pPr>
      <w:r w:rsidRPr="001A3C79">
        <w:t xml:space="preserve">The following regional commercial television broadcasting licensees in Queensland, New South Wales, Victoria and Tasmania must broadcast minimum amounts of material of local significance (local content) </w:t>
      </w:r>
      <w:r w:rsidR="0023004F" w:rsidRPr="001A3C79">
        <w:t>because of</w:t>
      </w:r>
      <w:r w:rsidRPr="001A3C79">
        <w:t xml:space="preserve"> an additional licence condition:</w:t>
      </w:r>
    </w:p>
    <w:p w14:paraId="3E8361AD" w14:textId="77777777" w:rsidR="00DA599E" w:rsidRPr="00760BF8" w:rsidRDefault="00DA599E" w:rsidP="00012450">
      <w:pPr>
        <w:pStyle w:val="ListBullet"/>
      </w:pPr>
      <w:r w:rsidRPr="00A65C1C">
        <w:t xml:space="preserve">Seven Qld, </w:t>
      </w:r>
      <w:r w:rsidRPr="00760BF8">
        <w:t xml:space="preserve">Southern Cross and WIN TV in regional Queensland </w:t>
      </w:r>
    </w:p>
    <w:p w14:paraId="5146FE11" w14:textId="77777777" w:rsidR="00DA599E" w:rsidRPr="0023004F" w:rsidRDefault="00DA599E" w:rsidP="00012450">
      <w:pPr>
        <w:pStyle w:val="ListBullet"/>
      </w:pPr>
      <w:r w:rsidRPr="00760BF8">
        <w:t>NBN Ltd, Prime Television and WIN TV</w:t>
      </w:r>
      <w:r w:rsidRPr="0023004F">
        <w:t xml:space="preserve"> in northern New South Wales</w:t>
      </w:r>
    </w:p>
    <w:p w14:paraId="2B8DB24F" w14:textId="77777777" w:rsidR="00DA599E" w:rsidRPr="0023004F" w:rsidRDefault="00DA599E" w:rsidP="00012450">
      <w:pPr>
        <w:pStyle w:val="ListBullet"/>
      </w:pPr>
      <w:r w:rsidRPr="0023004F">
        <w:t>Prime Television, Southern Cross and WIN TV in southern New South Wales</w:t>
      </w:r>
    </w:p>
    <w:p w14:paraId="75FE5C42" w14:textId="77777777" w:rsidR="00DA599E" w:rsidRPr="00A65C1C" w:rsidRDefault="00DA599E" w:rsidP="00012450">
      <w:pPr>
        <w:pStyle w:val="ListBullet"/>
      </w:pPr>
      <w:r w:rsidRPr="0023004F">
        <w:t>Prime Televi</w:t>
      </w:r>
      <w:r w:rsidRPr="00A65C1C">
        <w:t>sion, Southern Cross and WIN TV in regional Victoria</w:t>
      </w:r>
    </w:p>
    <w:p w14:paraId="3A264ED5" w14:textId="77777777" w:rsidR="00DA599E" w:rsidRPr="00A65C1C" w:rsidRDefault="00DA599E" w:rsidP="00012450">
      <w:pPr>
        <w:pStyle w:val="ListBulletLast"/>
      </w:pPr>
      <w:r w:rsidRPr="00A65C1C">
        <w:t>Southern Cross, WIN TV and Southern Cross/WIN joint venture in Tasmania.</w:t>
      </w:r>
    </w:p>
    <w:p w14:paraId="6AAB08C9" w14:textId="77777777" w:rsidR="00DA599E" w:rsidRPr="001A3C79" w:rsidRDefault="00DA599E" w:rsidP="00DA599E">
      <w:r w:rsidRPr="001A3C79">
        <w:t>For the period 1 July 201</w:t>
      </w:r>
      <w:r>
        <w:t>6</w:t>
      </w:r>
      <w:r w:rsidRPr="001A3C79">
        <w:t xml:space="preserve"> to 30 June 201</w:t>
      </w:r>
      <w:r>
        <w:t>7</w:t>
      </w:r>
      <w:r w:rsidRPr="001A3C79">
        <w:t>, the ACMA did not receive any complaints about compliance under the local content additional licence condition.</w:t>
      </w:r>
    </w:p>
    <w:p w14:paraId="3E7CE4D5" w14:textId="77777777" w:rsidR="00DA599E" w:rsidRPr="001A3C79" w:rsidRDefault="00DA599E" w:rsidP="00DA599E">
      <w:pPr>
        <w:pStyle w:val="Heading3"/>
      </w:pPr>
      <w:bookmarkStart w:id="1223" w:name="_Toc462899625"/>
      <w:bookmarkStart w:id="1224" w:name="_Toc433790373"/>
      <w:bookmarkStart w:id="1225" w:name="_Toc463529120"/>
      <w:bookmarkStart w:id="1226" w:name="_Toc494799449"/>
      <w:bookmarkStart w:id="1227" w:name="_Toc494805752"/>
      <w:bookmarkStart w:id="1228" w:name="_Toc494805985"/>
      <w:bookmarkStart w:id="1229" w:name="_Toc494808215"/>
      <w:bookmarkStart w:id="1230" w:name="_Toc494808869"/>
      <w:bookmarkStart w:id="1231" w:name="_Toc494816053"/>
      <w:bookmarkStart w:id="1232" w:name="_Toc494818883"/>
      <w:bookmarkStart w:id="1233" w:name="_Toc494819146"/>
      <w:r w:rsidRPr="001A3C79">
        <w:t>Local content, information and presence on regional commercial radio</w:t>
      </w:r>
      <w:bookmarkEnd w:id="1223"/>
      <w:bookmarkEnd w:id="1224"/>
      <w:bookmarkEnd w:id="1225"/>
      <w:bookmarkEnd w:id="1226"/>
      <w:bookmarkEnd w:id="1227"/>
      <w:bookmarkEnd w:id="1228"/>
      <w:bookmarkEnd w:id="1229"/>
      <w:bookmarkEnd w:id="1230"/>
      <w:bookmarkEnd w:id="1231"/>
      <w:bookmarkEnd w:id="1232"/>
      <w:bookmarkEnd w:id="1233"/>
    </w:p>
    <w:p w14:paraId="586382BD" w14:textId="77777777" w:rsidR="00DA599E" w:rsidRPr="001A3C79" w:rsidRDefault="00DA599E" w:rsidP="00DA599E">
      <w:r w:rsidRPr="001A3C79">
        <w:t>Regional commercial radio licensees are required to broadcast prescribed amounts of material of local significance (local content) each year.</w:t>
      </w:r>
      <w:r w:rsidRPr="001A3C79">
        <w:rPr>
          <w:szCs w:val="20"/>
          <w:vertAlign w:val="superscript"/>
        </w:rPr>
        <w:endnoteReference w:id="229"/>
      </w:r>
      <w:r w:rsidRPr="001A3C79">
        <w:t xml:space="preserve"> For the period 1 July 201</w:t>
      </w:r>
      <w:r>
        <w:t>6</w:t>
      </w:r>
      <w:r w:rsidRPr="001A3C79">
        <w:t xml:space="preserve"> to 30 June 201</w:t>
      </w:r>
      <w:r>
        <w:t>7</w:t>
      </w:r>
      <w:r w:rsidRPr="001A3C79">
        <w:t>, the ACMA did not receive any complaints about compliance with local content</w:t>
      </w:r>
      <w:r w:rsidR="00431735">
        <w:t xml:space="preserve"> obligations</w:t>
      </w:r>
      <w:r w:rsidRPr="001A3C79">
        <w:t>.</w:t>
      </w:r>
    </w:p>
    <w:p w14:paraId="7C9B71CF" w14:textId="77777777" w:rsidR="00DA599E" w:rsidRPr="001A3C79" w:rsidRDefault="00DA599E" w:rsidP="00DA599E">
      <w:pPr>
        <w:keepNext/>
        <w:spacing w:after="80"/>
      </w:pPr>
      <w:r w:rsidRPr="001A3C79">
        <w:t xml:space="preserve">Regional commercial radio </w:t>
      </w:r>
      <w:r>
        <w:t>l</w:t>
      </w:r>
      <w:r w:rsidRPr="001A3C79">
        <w:t xml:space="preserve">icensees are also required to comply with </w:t>
      </w:r>
      <w:r>
        <w:t xml:space="preserve">additional obligations </w:t>
      </w:r>
      <w:r w:rsidRPr="001A3C79">
        <w:t>where there</w:t>
      </w:r>
      <w:r w:rsidR="00477AC6">
        <w:t> </w:t>
      </w:r>
      <w:r w:rsidRPr="001A3C79">
        <w:t>has been a change in ownership or control known as a ‘trigger event’.</w:t>
      </w:r>
      <w:r w:rsidRPr="001A3C79">
        <w:rPr>
          <w:szCs w:val="20"/>
          <w:vertAlign w:val="superscript"/>
        </w:rPr>
        <w:endnoteReference w:id="230"/>
      </w:r>
      <w:r w:rsidRPr="001A3C79">
        <w:t xml:space="preserve"> </w:t>
      </w:r>
      <w:r w:rsidR="007023FD">
        <w:t xml:space="preserve">The licensee for a trigger </w:t>
      </w:r>
      <w:r>
        <w:t>event</w:t>
      </w:r>
      <w:r w:rsidR="00477AC6">
        <w:noBreakHyphen/>
      </w:r>
      <w:r>
        <w:t>affected licence</w:t>
      </w:r>
      <w:r w:rsidR="0094259D">
        <w:t xml:space="preserve"> </w:t>
      </w:r>
      <w:r w:rsidR="007023FD">
        <w:t>must</w:t>
      </w:r>
      <w:r w:rsidRPr="001A3C79">
        <w:t>:</w:t>
      </w:r>
    </w:p>
    <w:p w14:paraId="726A1AA4" w14:textId="1D849169" w:rsidR="00DA599E" w:rsidRPr="00A65C1C" w:rsidRDefault="00147015" w:rsidP="00012450">
      <w:pPr>
        <w:pStyle w:val="ListBullet"/>
      </w:pPr>
      <w:r>
        <w:t xml:space="preserve">meet minimum service standards requiring the </w:t>
      </w:r>
      <w:r w:rsidR="00DA599E" w:rsidRPr="00A65C1C">
        <w:t>broadcast</w:t>
      </w:r>
      <w:r>
        <w:t>ing of</w:t>
      </w:r>
      <w:r w:rsidR="00DA599E" w:rsidRPr="00A65C1C">
        <w:t xml:space="preserve"> </w:t>
      </w:r>
      <w:r w:rsidR="00DA599E" w:rsidRPr="00F778AB">
        <w:t>specified</w:t>
      </w:r>
      <w:r w:rsidR="00DA599E" w:rsidRPr="00A65C1C">
        <w:t xml:space="preserve"> </w:t>
      </w:r>
      <w:r w:rsidR="00DA599E" w:rsidRPr="00760BF8">
        <w:t>amounts</w:t>
      </w:r>
      <w:r w:rsidR="00DA599E" w:rsidRPr="00A65C1C">
        <w:t xml:space="preserve"> of local news and</w:t>
      </w:r>
      <w:r w:rsidR="00ED1F6B">
        <w:t> </w:t>
      </w:r>
      <w:r w:rsidR="00DA599E" w:rsidRPr="00A65C1C">
        <w:t>information</w:t>
      </w:r>
    </w:p>
    <w:p w14:paraId="6B8CFCF0" w14:textId="77777777" w:rsidR="00DA599E" w:rsidRPr="00A65C1C" w:rsidRDefault="00DA599E" w:rsidP="00012450">
      <w:pPr>
        <w:pStyle w:val="ListBulletLast"/>
      </w:pPr>
      <w:r w:rsidRPr="00760BF8">
        <w:t>maintain</w:t>
      </w:r>
      <w:r w:rsidRPr="00A65C1C">
        <w:t xml:space="preserve"> existing levels of ‘local presence’</w:t>
      </w:r>
      <w:r>
        <w:t xml:space="preserve"> </w:t>
      </w:r>
      <w:r w:rsidRPr="00A65C1C">
        <w:t>(that is, local staff and facilities) for 24 months from the date of the trigger event</w:t>
      </w:r>
      <w:r>
        <w:t xml:space="preserve"> (the local presence obligation)</w:t>
      </w:r>
      <w:r w:rsidRPr="00A65C1C">
        <w:t>.</w:t>
      </w:r>
      <w:r w:rsidRPr="001A3C79">
        <w:rPr>
          <w:vertAlign w:val="superscript"/>
        </w:rPr>
        <w:endnoteReference w:id="231"/>
      </w:r>
      <w:r w:rsidRPr="00A65C1C">
        <w:rPr>
          <w:vertAlign w:val="superscript"/>
        </w:rPr>
        <w:t xml:space="preserve"> </w:t>
      </w:r>
    </w:p>
    <w:p w14:paraId="1AD06AAB" w14:textId="77777777" w:rsidR="00DA599E" w:rsidRDefault="00DA599E" w:rsidP="00DA599E">
      <w:r w:rsidRPr="003D3015">
        <w:t>The ACMA did not receive any complaints about compliance with minimum service standards</w:t>
      </w:r>
      <w:r>
        <w:t xml:space="preserve"> or</w:t>
      </w:r>
      <w:r w:rsidRPr="003D3015">
        <w:t xml:space="preserve"> local presence obligations.</w:t>
      </w:r>
    </w:p>
    <w:p w14:paraId="4898CFC1" w14:textId="77777777" w:rsidR="00DA599E" w:rsidRPr="00E92E14" w:rsidRDefault="00DA599E" w:rsidP="00DA599E">
      <w:pPr>
        <w:pStyle w:val="Bodysubheader0"/>
      </w:pPr>
      <w:r>
        <w:t>Reporting on minimum service standards</w:t>
      </w:r>
    </w:p>
    <w:p w14:paraId="2966EA58" w14:textId="77777777" w:rsidR="00DA599E" w:rsidRDefault="00DA599E" w:rsidP="00DA599E">
      <w:r>
        <w:t xml:space="preserve">As part of the requirement to </w:t>
      </w:r>
      <w:r w:rsidR="0001067C">
        <w:t xml:space="preserve">meet </w:t>
      </w:r>
      <w:r>
        <w:t>minimum service standards, licensees for trigger event</w:t>
      </w:r>
      <w:r w:rsidR="0023004F">
        <w:t>-</w:t>
      </w:r>
      <w:r>
        <w:t xml:space="preserve">affected licences are required to submit </w:t>
      </w:r>
      <w:r w:rsidRPr="001A3C79">
        <w:t xml:space="preserve">local content plans </w:t>
      </w:r>
      <w:r>
        <w:t>to</w:t>
      </w:r>
      <w:r w:rsidRPr="001A3C79">
        <w:t xml:space="preserve"> the ACMA</w:t>
      </w:r>
      <w:r>
        <w:t xml:space="preserve"> for approval within 90 days of the trigger event and must </w:t>
      </w:r>
      <w:r w:rsidR="0001067C">
        <w:t xml:space="preserve">submit </w:t>
      </w:r>
      <w:r>
        <w:t xml:space="preserve">annual </w:t>
      </w:r>
      <w:r w:rsidR="0001067C">
        <w:t xml:space="preserve">compliance </w:t>
      </w:r>
      <w:r>
        <w:t>reports on these plans by 30 September each year.</w:t>
      </w:r>
    </w:p>
    <w:p w14:paraId="6C38F387" w14:textId="77777777" w:rsidR="00DA599E" w:rsidRDefault="00DA599E" w:rsidP="00DA599E">
      <w:r>
        <w:t xml:space="preserve">During the period 1 July 2016 to 30 June 2017, </w:t>
      </w:r>
      <w:r w:rsidRPr="000D0F66">
        <w:t>there was one trigger event affecting two regional commercial radio licences. All required local content plans were provided within the 90</w:t>
      </w:r>
      <w:r w:rsidR="0023004F">
        <w:t>-</w:t>
      </w:r>
      <w:r w:rsidRPr="000D0F66">
        <w:t>day time</w:t>
      </w:r>
      <w:r w:rsidR="0023004F">
        <w:t xml:space="preserve"> </w:t>
      </w:r>
      <w:r w:rsidRPr="000D0F66">
        <w:t>frame.</w:t>
      </w:r>
    </w:p>
    <w:p w14:paraId="5FE37FC5" w14:textId="77777777" w:rsidR="00DA599E" w:rsidRDefault="00DA599E" w:rsidP="00DA599E">
      <w:r>
        <w:t>Annual reports f</w:t>
      </w:r>
      <w:r w:rsidRPr="001A3C79">
        <w:t>or the period 1 July 201</w:t>
      </w:r>
      <w:r>
        <w:t>5</w:t>
      </w:r>
      <w:r w:rsidRPr="001A3C79">
        <w:t xml:space="preserve"> to 30 June 201</w:t>
      </w:r>
      <w:r>
        <w:t>6</w:t>
      </w:r>
      <w:r w:rsidRPr="001A3C79">
        <w:t xml:space="preserve">, </w:t>
      </w:r>
      <w:r>
        <w:t>were received by</w:t>
      </w:r>
      <w:r w:rsidRPr="001A3C79">
        <w:t xml:space="preserve"> </w:t>
      </w:r>
      <w:r>
        <w:t>all 132</w:t>
      </w:r>
      <w:r w:rsidRPr="001A3C79">
        <w:t xml:space="preserve"> trigger event-affected licensees </w:t>
      </w:r>
      <w:r>
        <w:t>with local content plans in force. In each case</w:t>
      </w:r>
      <w:r w:rsidR="0023004F">
        <w:t>,</w:t>
      </w:r>
      <w:r>
        <w:t xml:space="preserve"> licensees were found to have complied with the requirement to </w:t>
      </w:r>
      <w:r w:rsidRPr="00E117DF">
        <w:t>take all reasonable steps to ensure compliance with a local content plan.</w:t>
      </w:r>
      <w:r>
        <w:t xml:space="preserve"> </w:t>
      </w:r>
    </w:p>
    <w:p w14:paraId="35A9A0FA" w14:textId="77777777" w:rsidR="00DA599E" w:rsidRDefault="00DA599E" w:rsidP="00DA599E">
      <w:r w:rsidRPr="001A3C79">
        <w:t xml:space="preserve">The ACMA conducted two investigations into the requirement for a licensee to take all reasonable steps to ensure compliance with a local content plan. The investigations related to two licences held by the same licensee. </w:t>
      </w:r>
      <w:r w:rsidRPr="00E117DF">
        <w:t>The investigations found that in both cases the licensee was not in breach of this requirement and no further action was taken.</w:t>
      </w:r>
      <w:r w:rsidRPr="003D3015">
        <w:t xml:space="preserve"> </w:t>
      </w:r>
    </w:p>
    <w:p w14:paraId="47916CB0" w14:textId="77777777" w:rsidR="00DA599E" w:rsidRPr="00E92E14" w:rsidRDefault="00DA599E" w:rsidP="00DA599E">
      <w:pPr>
        <w:pStyle w:val="Bodysubheader0"/>
      </w:pPr>
      <w:r>
        <w:t>Reporting on the local presence obligation</w:t>
      </w:r>
    </w:p>
    <w:p w14:paraId="31037BEC" w14:textId="77777777" w:rsidR="00DA599E" w:rsidRDefault="00DA599E" w:rsidP="00DA599E">
      <w:r>
        <w:t>As part of the requirement to maintain existing levels of local presence, licensees for trigger event</w:t>
      </w:r>
      <w:r w:rsidR="0023004F">
        <w:t>-</w:t>
      </w:r>
      <w:r>
        <w:t>affected licences are required to report on the existing levels of local presence within 90 days of a trigger event, and to report again on their compliance with the requirement within three months of the end of the 24</w:t>
      </w:r>
      <w:r w:rsidR="0023004F">
        <w:t>-</w:t>
      </w:r>
      <w:r>
        <w:t>month local presence obligation period.</w:t>
      </w:r>
    </w:p>
    <w:p w14:paraId="6DB5DA5C" w14:textId="77777777" w:rsidR="00DA599E" w:rsidRPr="00E117DF" w:rsidRDefault="00DA599E" w:rsidP="00DA599E">
      <w:r>
        <w:t>During the period 1 July 2016 to 30 June 2017</w:t>
      </w:r>
      <w:r w:rsidR="0023004F">
        <w:t>,</w:t>
      </w:r>
      <w:r>
        <w:t xml:space="preserve"> </w:t>
      </w:r>
      <w:r w:rsidRPr="00E117DF">
        <w:t>there was one trigger event affecting two regional commercial radio licences. The required existing level of local presence reports were provided in the required time</w:t>
      </w:r>
      <w:r w:rsidR="0023004F">
        <w:t xml:space="preserve"> </w:t>
      </w:r>
      <w:r w:rsidRPr="00E117DF">
        <w:t>frame.</w:t>
      </w:r>
    </w:p>
    <w:p w14:paraId="7486DC27" w14:textId="77777777" w:rsidR="00DA599E" w:rsidRPr="001A3C79" w:rsidRDefault="00DA599E" w:rsidP="00DA599E">
      <w:r w:rsidRPr="001A3C79">
        <w:t xml:space="preserve">The 24-month local presence </w:t>
      </w:r>
      <w:r>
        <w:t>obligation</w:t>
      </w:r>
      <w:r w:rsidRPr="001A3C79">
        <w:t xml:space="preserve"> also ceased for </w:t>
      </w:r>
      <w:r>
        <w:t>three</w:t>
      </w:r>
      <w:r w:rsidRPr="001A3C79">
        <w:t xml:space="preserve"> regional commercial radio licences.</w:t>
      </w:r>
      <w:r>
        <w:t xml:space="preserve"> </w:t>
      </w:r>
      <w:r w:rsidRPr="00E117DF">
        <w:t>The required end</w:t>
      </w:r>
      <w:r w:rsidR="0023004F">
        <w:t>-</w:t>
      </w:r>
      <w:r w:rsidRPr="00E117DF">
        <w:t>of</w:t>
      </w:r>
      <w:r w:rsidR="0023004F">
        <w:t>-</w:t>
      </w:r>
      <w:r w:rsidRPr="00E117DF">
        <w:t>period local presence compliance reports were provided in the required time</w:t>
      </w:r>
      <w:r w:rsidR="0023004F">
        <w:t xml:space="preserve"> </w:t>
      </w:r>
      <w:r w:rsidRPr="00E117DF">
        <w:t>frame.</w:t>
      </w:r>
    </w:p>
    <w:p w14:paraId="74B8B130" w14:textId="77777777" w:rsidR="00DA599E" w:rsidRPr="001A3C79" w:rsidRDefault="00DA599E" w:rsidP="00DA599E">
      <w:pPr>
        <w:pStyle w:val="Heading3"/>
      </w:pPr>
      <w:bookmarkStart w:id="1234" w:name="_Toc494799450"/>
      <w:bookmarkStart w:id="1235" w:name="_Toc494805753"/>
      <w:bookmarkStart w:id="1236" w:name="_Toc494805986"/>
      <w:bookmarkStart w:id="1237" w:name="_Toc494808216"/>
      <w:bookmarkStart w:id="1238" w:name="_Toc494808870"/>
      <w:bookmarkStart w:id="1239" w:name="_Toc494816054"/>
      <w:bookmarkStart w:id="1240" w:name="_Toc494818884"/>
      <w:bookmarkStart w:id="1241" w:name="_Toc494819147"/>
      <w:r w:rsidRPr="001A3C79">
        <w:t>Anti-siphoning provisions</w:t>
      </w:r>
      <w:bookmarkEnd w:id="1234"/>
      <w:bookmarkEnd w:id="1235"/>
      <w:bookmarkEnd w:id="1236"/>
      <w:bookmarkEnd w:id="1237"/>
      <w:bookmarkEnd w:id="1238"/>
      <w:bookmarkEnd w:id="1239"/>
      <w:bookmarkEnd w:id="1240"/>
      <w:bookmarkEnd w:id="1241"/>
    </w:p>
    <w:p w14:paraId="6C72635D" w14:textId="77777777" w:rsidR="00DA599E" w:rsidRPr="001A3C79" w:rsidRDefault="00DA599E" w:rsidP="00DA599E">
      <w:r w:rsidRPr="001A3C79">
        <w:t>The anti-siphoning scheme in the BSA restricts subscription television broadcasting licensees from acquiring anti-siphoning events in certain instances. The scheme also restricts the broadcast of anti</w:t>
      </w:r>
      <w:r w:rsidR="0023004F">
        <w:noBreakHyphen/>
      </w:r>
      <w:r w:rsidRPr="001A3C79">
        <w:t>siphoning events by FTA broadcasters on their digital multi-channels.</w:t>
      </w:r>
    </w:p>
    <w:p w14:paraId="7B5ADA65" w14:textId="77777777" w:rsidR="00DA599E" w:rsidRPr="001A3C79" w:rsidRDefault="00DA599E" w:rsidP="00DA599E">
      <w:r w:rsidRPr="001A3C79">
        <w:t xml:space="preserve">During the reporting period, the ACMA did not commence any investigations into </w:t>
      </w:r>
      <w:r w:rsidR="007B4E73">
        <w:t xml:space="preserve">compliance by </w:t>
      </w:r>
      <w:r w:rsidRPr="001A3C79">
        <w:t xml:space="preserve">any commercial television licensee with the licence condition restricting the broadcast of anti-siphoning events. </w:t>
      </w:r>
    </w:p>
    <w:p w14:paraId="67795F62" w14:textId="77777777" w:rsidR="00DA599E" w:rsidRPr="001A3C79" w:rsidRDefault="00DA599E" w:rsidP="00012450">
      <w:pPr>
        <w:pStyle w:val="Bodysubheader0"/>
        <w:keepNext/>
      </w:pPr>
      <w:r w:rsidRPr="001A3C79">
        <w:t>Digital television</w:t>
      </w:r>
    </w:p>
    <w:p w14:paraId="364D14D5" w14:textId="77777777" w:rsidR="00DA599E" w:rsidRPr="001A3C79" w:rsidRDefault="00DA599E" w:rsidP="00E95AE8">
      <w:pPr>
        <w:keepNext/>
        <w:keepLines/>
      </w:pPr>
      <w:r w:rsidRPr="001A3C79">
        <w:t xml:space="preserve">The ACMA seeks to ensure that all members of the community are </w:t>
      </w:r>
      <w:r w:rsidR="00012450">
        <w:t>benefitting</w:t>
      </w:r>
      <w:r w:rsidRPr="001A3C79">
        <w:t xml:space="preserve"> from digital television. While issues of external interference (such as ducting, receiver overload or power</w:t>
      </w:r>
      <w:r w:rsidR="0023004F">
        <w:t>-</w:t>
      </w:r>
      <w:r w:rsidRPr="001A3C79">
        <w:t xml:space="preserve">line interference) may serve to trigger community complaints about reception, the </w:t>
      </w:r>
      <w:r w:rsidR="0023004F">
        <w:t xml:space="preserve">ACMA’s </w:t>
      </w:r>
      <w:r w:rsidRPr="001A3C79">
        <w:t xml:space="preserve">experience over many years is that most poor TV reception across Australia is caused or exacerbated either by inadequate receive antenna systems (such as poorly maintained, broken or incorrectly installed antennas) or by viewers not taking advantage of the most appropriate transmission service for their area. </w:t>
      </w:r>
    </w:p>
    <w:p w14:paraId="46250E3D" w14:textId="77777777" w:rsidR="00DA599E" w:rsidRPr="001A3C79" w:rsidRDefault="0023004F" w:rsidP="00DA599E">
      <w:r>
        <w:t>We have</w:t>
      </w:r>
      <w:r w:rsidR="00DA599E" w:rsidRPr="001A3C79">
        <w:t xml:space="preserve"> focused </w:t>
      </w:r>
      <w:r>
        <w:t>our</w:t>
      </w:r>
      <w:r w:rsidRPr="001A3C79">
        <w:t xml:space="preserve"> </w:t>
      </w:r>
      <w:r w:rsidR="00DA599E" w:rsidRPr="001A3C79">
        <w:t xml:space="preserve">strategies to inform and help affected viewers and, when required, to support broadcasters. </w:t>
      </w:r>
      <w:r>
        <w:t>We have</w:t>
      </w:r>
      <w:r w:rsidR="00DA599E" w:rsidRPr="001A3C79">
        <w:t xml:space="preserve"> also been working with industry to develop planning solutions to improve the reliability of television coverage into Springsure, Queensland. </w:t>
      </w:r>
      <w:r w:rsidR="00DA599E">
        <w:t>The upgrade to the Apollo Bay, Victoria</w:t>
      </w:r>
      <w:r>
        <w:t>,</w:t>
      </w:r>
      <w:r w:rsidR="00DA599E">
        <w:t xml:space="preserve"> transmission site has been completed and issues with reception have been resolved </w:t>
      </w:r>
    </w:p>
    <w:p w14:paraId="16A0125B" w14:textId="77777777" w:rsidR="00DA599E" w:rsidRPr="001A3C79" w:rsidRDefault="00DA599E" w:rsidP="00DA599E">
      <w:pPr>
        <w:keepNext/>
        <w:spacing w:before="240" w:after="0"/>
        <w:rPr>
          <w:b/>
          <w:i/>
        </w:rPr>
      </w:pPr>
      <w:r w:rsidRPr="001A3C79">
        <w:rPr>
          <w:b/>
          <w:i/>
        </w:rPr>
        <w:t>Digital radio</w:t>
      </w:r>
    </w:p>
    <w:p w14:paraId="15ECD885" w14:textId="77777777" w:rsidR="00DA599E" w:rsidRPr="001A3C79" w:rsidRDefault="00DA599E" w:rsidP="00DA599E">
      <w:r w:rsidRPr="001A3C79">
        <w:t xml:space="preserve">Digital radio services, using DAB+ technology in VHF Band III spectrum, have been running on a permanent basis in Adelaide, Brisbane, Melbourne, Perth and Sydney since July 2009. </w:t>
      </w:r>
    </w:p>
    <w:p w14:paraId="3A3B2748" w14:textId="77777777" w:rsidR="00DA599E" w:rsidRPr="001A3C79" w:rsidRDefault="00DA599E" w:rsidP="00DA599E">
      <w:r w:rsidRPr="001A3C79">
        <w:t xml:space="preserve">Trials of DAB+ are being conducted in Canberra and Darwin by the peak commercial radio body, </w:t>
      </w:r>
      <w:r w:rsidR="0023004F">
        <w:t>CRA</w:t>
      </w:r>
      <w:r w:rsidRPr="001A3C79">
        <w:t>. The trial licences were to expire on 30 June 201</w:t>
      </w:r>
      <w:r>
        <w:t>7</w:t>
      </w:r>
      <w:r w:rsidRPr="001A3C79">
        <w:t xml:space="preserve"> </w:t>
      </w:r>
      <w:r w:rsidR="002A46EC">
        <w:t>but have been</w:t>
      </w:r>
      <w:r w:rsidRPr="001A3C79">
        <w:t xml:space="preserve"> extended to 30 June 201</w:t>
      </w:r>
      <w:r>
        <w:t>8</w:t>
      </w:r>
      <w:r w:rsidRPr="001A3C79">
        <w:t>.</w:t>
      </w:r>
      <w:r>
        <w:t xml:space="preserve"> </w:t>
      </w:r>
      <w:r w:rsidRPr="003005DB">
        <w:t>The ACMA is now working with industry to facilitate the permanent licensing of these trial services.</w:t>
      </w:r>
    </w:p>
    <w:p w14:paraId="0A5EBB25" w14:textId="77777777" w:rsidR="00DA599E" w:rsidRDefault="00DA599E" w:rsidP="00DA599E">
      <w:r w:rsidRPr="001A3C79">
        <w:t>Following on from the recommendations of the 2015 report prepared by the Department of Communications on digital radio services in Australia, the ACMA established a joint government–industry Digital Radio Planning Committee.</w:t>
      </w:r>
      <w:r w:rsidRPr="001A3C79">
        <w:rPr>
          <w:vertAlign w:val="superscript"/>
        </w:rPr>
        <w:endnoteReference w:id="232"/>
      </w:r>
      <w:r w:rsidRPr="001A3C79">
        <w:t xml:space="preserve"> The committee </w:t>
      </w:r>
      <w:r>
        <w:t xml:space="preserve">provides </w:t>
      </w:r>
      <w:r w:rsidRPr="001A3C79">
        <w:t>a forum for the ACMA to work closely with the radio industry to facilitate the rollout of digital radio into regional areas of Australia.</w:t>
      </w:r>
      <w:r>
        <w:t xml:space="preserve"> The work of </w:t>
      </w:r>
      <w:r w:rsidRPr="003005DB">
        <w:t>the</w:t>
      </w:r>
      <w:r>
        <w:t xml:space="preserve"> committee has enabled the ACMA to</w:t>
      </w:r>
      <w:r w:rsidRPr="003005DB">
        <w:t xml:space="preserve"> adopt a set of planning principles to be applied in developments to establish regional digital radio services.</w:t>
      </w:r>
      <w:r>
        <w:t xml:space="preserve"> Guided by these principles, </w:t>
      </w:r>
      <w:r w:rsidR="0023004F">
        <w:t>we have</w:t>
      </w:r>
      <w:r>
        <w:t xml:space="preserve"> now made formal digital radio channel plans for Canberra and Darwin. </w:t>
      </w:r>
    </w:p>
    <w:p w14:paraId="6F3E2094" w14:textId="77777777" w:rsidR="00DA599E" w:rsidRPr="001A3C79" w:rsidRDefault="00DA599E" w:rsidP="00DA599E">
      <w:pPr>
        <w:spacing w:after="0"/>
        <w:rPr>
          <w:b/>
          <w:i/>
        </w:rPr>
      </w:pPr>
      <w:r w:rsidRPr="001A3C79">
        <w:rPr>
          <w:b/>
          <w:i/>
        </w:rPr>
        <w:t>AM to FM conversions in selected regional areas</w:t>
      </w:r>
    </w:p>
    <w:p w14:paraId="3D74B910" w14:textId="77777777" w:rsidR="00DA599E" w:rsidRPr="001A3C79" w:rsidRDefault="00DA599E" w:rsidP="00DA599E">
      <w:r w:rsidRPr="001A3C79">
        <w:t>The ACMA is coordinating the necessary planning and approvals to facilitate the conversion of the transmission of commercial radio services from the AM to the FM band in single licensee (solus) regional licence areas.</w:t>
      </w:r>
      <w:r w:rsidRPr="001A3C79">
        <w:rPr>
          <w:vertAlign w:val="superscript"/>
        </w:rPr>
        <w:endnoteReference w:id="233"/>
      </w:r>
      <w:r w:rsidRPr="001A3C79">
        <w:t xml:space="preserve"> </w:t>
      </w:r>
    </w:p>
    <w:p w14:paraId="41EC78D9" w14:textId="77777777" w:rsidR="00DA599E" w:rsidRPr="001A3C79" w:rsidRDefault="00DA599E" w:rsidP="00DA599E">
      <w:r w:rsidRPr="001A3C79">
        <w:t xml:space="preserve">CRA has requested that AM to FM conversions be allowed in solus regional licence areas. The Minister for Communications and the Arts agreed in principle, subject to certain caveats. The minister subsequently requested the ACMA give priority to these AM to FM conversions, subject to </w:t>
      </w:r>
      <w:r w:rsidR="0023004F">
        <w:t>our</w:t>
      </w:r>
      <w:r w:rsidRPr="001A3C79">
        <w:t xml:space="preserve"> statutory broadcast planning considerations under Part 3 of the BSA.</w:t>
      </w:r>
    </w:p>
    <w:p w14:paraId="27E4F519" w14:textId="77777777" w:rsidR="00DA599E" w:rsidRPr="00E85389" w:rsidRDefault="00DA599E" w:rsidP="00DA599E">
      <w:pPr>
        <w:rPr>
          <w:rFonts w:cs="Arial"/>
          <w:b/>
          <w:bCs/>
          <w:szCs w:val="26"/>
        </w:rPr>
      </w:pPr>
      <w:r>
        <w:t xml:space="preserve">The ACMA, with assistance from the commercial radio industry, has </w:t>
      </w:r>
      <w:r w:rsidR="0023004F">
        <w:t xml:space="preserve">begun </w:t>
      </w:r>
      <w:r>
        <w:t>the planning required to facilitate AM–FM conversion in eligible areas of regional Australia. To date</w:t>
      </w:r>
      <w:r w:rsidR="0023004F">
        <w:t>, we have</w:t>
      </w:r>
      <w:r>
        <w:t xml:space="preserve"> approved AM–FM conversions in Karratha, Port Hedland, </w:t>
      </w:r>
      <w:r w:rsidRPr="002D1597">
        <w:t>Exmouth, Paraburdoo and Tom Price</w:t>
      </w:r>
      <w:r>
        <w:t xml:space="preserve"> in Western Australia. </w:t>
      </w:r>
      <w:r w:rsidRPr="001A3C79">
        <w:t>The AM to FM conversion in these regional areas has the potential to deliver a range of benefits, including improved audio quality, reduced signal interference and lower costs for regional broadcasters.</w:t>
      </w:r>
      <w:r w:rsidRPr="001A3C79">
        <w:rPr>
          <w:rFonts w:cs="Arial"/>
          <w:b/>
          <w:bCs/>
          <w:szCs w:val="26"/>
        </w:rPr>
        <w:t xml:space="preserve"> </w:t>
      </w:r>
    </w:p>
    <w:p w14:paraId="159B98E0" w14:textId="77777777" w:rsidR="00DA599E" w:rsidRPr="001A3C79" w:rsidRDefault="00DA599E" w:rsidP="00DA599E">
      <w:pPr>
        <w:keepNext/>
        <w:spacing w:before="60" w:after="60"/>
        <w:outlineLvl w:val="2"/>
        <w:rPr>
          <w:rFonts w:cs="Arial"/>
          <w:b/>
          <w:bCs/>
          <w:szCs w:val="26"/>
        </w:rPr>
      </w:pPr>
      <w:r w:rsidRPr="001A3C79">
        <w:rPr>
          <w:rFonts w:cs="Arial"/>
          <w:b/>
          <w:bCs/>
          <w:szCs w:val="26"/>
        </w:rPr>
        <w:t>Broadcasting complaints and investigations</w:t>
      </w:r>
    </w:p>
    <w:p w14:paraId="0D448638" w14:textId="77777777" w:rsidR="00DA599E" w:rsidRDefault="00DA599E" w:rsidP="00DA599E">
      <w:r w:rsidRPr="009C1BE9">
        <w:t xml:space="preserve">The ACMA </w:t>
      </w:r>
      <w:r>
        <w:t>is responsible for a range of compliance,</w:t>
      </w:r>
      <w:r w:rsidRPr="00355CDD">
        <w:t xml:space="preserve"> </w:t>
      </w:r>
      <w:r>
        <w:t>investigation and enforcement activities for content</w:t>
      </w:r>
      <w:r w:rsidR="00CD0321">
        <w:noBreakHyphen/>
      </w:r>
      <w:r>
        <w:t xml:space="preserve">related standards, codes and legislative obligations under the BSA. As part of this role, </w:t>
      </w:r>
      <w:r w:rsidR="00CD0321">
        <w:t>we</w:t>
      </w:r>
      <w:r w:rsidRPr="00073A78">
        <w:t xml:space="preserve"> received 1,028 written complaints and enquiries </w:t>
      </w:r>
      <w:r>
        <w:t xml:space="preserve">in 2016–17 </w:t>
      </w:r>
      <w:r w:rsidRPr="00073A78">
        <w:t xml:space="preserve">about </w:t>
      </w:r>
      <w:r>
        <w:t>television and radio content broadcast on community, commercial, subscription and national broadcasting and narrowcasting services.</w:t>
      </w:r>
      <w:r w:rsidR="00FF0434">
        <w:t xml:space="preserve"> This </w:t>
      </w:r>
      <w:r w:rsidR="00CD0321">
        <w:t xml:space="preserve">was </w:t>
      </w:r>
      <w:r w:rsidR="00FF0434">
        <w:t xml:space="preserve">a 17 per cent decrease on the number of complaints and enquiries </w:t>
      </w:r>
      <w:r w:rsidR="00CD0321">
        <w:t xml:space="preserve">we </w:t>
      </w:r>
      <w:r w:rsidR="00FF0434">
        <w:t>received in the previous year.</w:t>
      </w:r>
    </w:p>
    <w:p w14:paraId="18DDD8B4" w14:textId="77777777" w:rsidR="00DA599E" w:rsidRDefault="00DA599E" w:rsidP="00DA599E">
      <w:r>
        <w:t>The</w:t>
      </w:r>
      <w:r w:rsidRPr="006E5E90">
        <w:t xml:space="preserve"> ACMA has</w:t>
      </w:r>
      <w:r>
        <w:t xml:space="preserve"> </w:t>
      </w:r>
      <w:r w:rsidRPr="006E5E90">
        <w:t>a discretion</w:t>
      </w:r>
      <w:r>
        <w:t xml:space="preserve"> </w:t>
      </w:r>
      <w:r w:rsidRPr="006E5E90">
        <w:t>to investigate complai</w:t>
      </w:r>
      <w:r>
        <w:t xml:space="preserve">nts about broadcasting matters. This discretion allows </w:t>
      </w:r>
      <w:r w:rsidR="00CD0321">
        <w:t>us</w:t>
      </w:r>
      <w:r>
        <w:t xml:space="preserve"> to consider the public interest in the matters it investigates and to focus </w:t>
      </w:r>
      <w:r w:rsidR="00CD0321">
        <w:t xml:space="preserve">our </w:t>
      </w:r>
      <w:r>
        <w:t xml:space="preserve">resources on complaints of a more serious or systemic nature. </w:t>
      </w:r>
      <w:r w:rsidRPr="00073A78">
        <w:t>In 2016</w:t>
      </w:r>
      <w:r>
        <w:t>–</w:t>
      </w:r>
      <w:r w:rsidRPr="00073A78">
        <w:t>17</w:t>
      </w:r>
      <w:r w:rsidRPr="006E5E90">
        <w:t xml:space="preserve">, </w:t>
      </w:r>
      <w:r w:rsidR="00CD0321">
        <w:t>we</w:t>
      </w:r>
      <w:r w:rsidRPr="006E5E90">
        <w:t xml:space="preserve"> exercised </w:t>
      </w:r>
      <w:r w:rsidR="00CD0321">
        <w:t>our</w:t>
      </w:r>
      <w:r w:rsidR="00CD0321" w:rsidRPr="006E5E90">
        <w:t xml:space="preserve"> </w:t>
      </w:r>
      <w:r w:rsidRPr="006E5E90">
        <w:t xml:space="preserve">discretion to investigate </w:t>
      </w:r>
      <w:r>
        <w:t>120</w:t>
      </w:r>
      <w:r w:rsidRPr="006E5E90">
        <w:t xml:space="preserve"> </w:t>
      </w:r>
      <w:r>
        <w:t>matters</w:t>
      </w:r>
      <w:r w:rsidRPr="006E5E90">
        <w:t xml:space="preserve"> and declined to investigate 78 </w:t>
      </w:r>
      <w:r>
        <w:t>matters</w:t>
      </w:r>
      <w:r w:rsidRPr="006E5E90">
        <w:t xml:space="preserve">. </w:t>
      </w:r>
      <w:r>
        <w:t>In 2015–16</w:t>
      </w:r>
      <w:r w:rsidRPr="006E5E90">
        <w:t xml:space="preserve">, </w:t>
      </w:r>
      <w:r w:rsidR="00CD0321">
        <w:t>we</w:t>
      </w:r>
      <w:r w:rsidRPr="006E5E90">
        <w:t xml:space="preserve"> investigate</w:t>
      </w:r>
      <w:r>
        <w:t>d</w:t>
      </w:r>
      <w:r w:rsidRPr="006E5E90">
        <w:t xml:space="preserve"> 149 </w:t>
      </w:r>
      <w:r>
        <w:t>matters</w:t>
      </w:r>
      <w:r w:rsidRPr="006E5E90">
        <w:t xml:space="preserve"> and declined to investigate 65 </w:t>
      </w:r>
      <w:r>
        <w:t>matters</w:t>
      </w:r>
      <w:r w:rsidRPr="006E5E90">
        <w:t>.</w:t>
      </w:r>
    </w:p>
    <w:p w14:paraId="11CF3A60" w14:textId="2C80AD56" w:rsidR="00DA599E" w:rsidRDefault="00DA599E" w:rsidP="002C3AEF">
      <w:pPr>
        <w:spacing w:after="80"/>
      </w:pPr>
      <w:r w:rsidRPr="00845B81">
        <w:t xml:space="preserve">A total of 120 investigations were completed </w:t>
      </w:r>
      <w:r>
        <w:t>in the period</w:t>
      </w:r>
      <w:r w:rsidRPr="00845B81">
        <w:t>, including six investigations withdrawn prior to decision.</w:t>
      </w:r>
      <w:r>
        <w:t xml:space="preserve"> Breaches were found in 64 cases. Given the number of services and amount of annual scheduled programming (over 6.5 million hours), </w:t>
      </w:r>
      <w:r w:rsidR="00CD0321">
        <w:t xml:space="preserve">the </w:t>
      </w:r>
      <w:r>
        <w:t>number of breaches suggests the broadcasting industry is both compliant with and responsive to its r</w:t>
      </w:r>
      <w:r w:rsidR="00437FBD">
        <w:t>egulatory obligations (Table 3.7</w:t>
      </w:r>
      <w:r>
        <w:t>). In 2016–17:</w:t>
      </w:r>
    </w:p>
    <w:p w14:paraId="55FF2534" w14:textId="68329023" w:rsidR="00DA599E" w:rsidRDefault="00DA599E" w:rsidP="00F3697E">
      <w:pPr>
        <w:pStyle w:val="ListBullet"/>
      </w:pPr>
      <w:r>
        <w:t xml:space="preserve">the </w:t>
      </w:r>
      <w:r w:rsidRPr="00DA599E">
        <w:t>average</w:t>
      </w:r>
      <w:r>
        <w:t xml:space="preserve"> time taken to complete investigations was 1.3 months, an improvement on an average of</w:t>
      </w:r>
      <w:r w:rsidR="00ED1F6B">
        <w:t> </w:t>
      </w:r>
      <w:r>
        <w:t>1.6 months in 2015–16 and 2.6 months in 2014–15</w:t>
      </w:r>
    </w:p>
    <w:p w14:paraId="38431BCD" w14:textId="77777777" w:rsidR="00DA599E" w:rsidRPr="00DA599E" w:rsidRDefault="00DA599E" w:rsidP="00DC2B04">
      <w:pPr>
        <w:pStyle w:val="ListBulletLast"/>
      </w:pPr>
      <w:r w:rsidRPr="00DA599E">
        <w:t>100 per cent of broadcasting investigations were completed within six months, an improvement from 97.5 per cent in 2015–16 and 92.5 per cent in 2014–15.</w:t>
      </w:r>
    </w:p>
    <w:p w14:paraId="018E4E22" w14:textId="77777777" w:rsidR="00DA599E" w:rsidRDefault="00DA599E" w:rsidP="00DA599E">
      <w:r>
        <w:t>The improvement in the completion time</w:t>
      </w:r>
      <w:r w:rsidR="00CD0321">
        <w:t xml:space="preserve"> </w:t>
      </w:r>
      <w:r>
        <w:t>frames for broadcasting investigations has been facilitated by broadcaster cooperation and industry willingness to accept a number of continuous improvement and process changes. This also represents a positive outcome for complainants and the broader community.</w:t>
      </w:r>
    </w:p>
    <w:p w14:paraId="4B582CD7" w14:textId="77777777" w:rsidR="00DA599E" w:rsidRDefault="00DA599E" w:rsidP="00DA599E">
      <w:r>
        <w:t xml:space="preserve">Industry participation in training provided by the ACMA has led to an increased understanding of </w:t>
      </w:r>
      <w:r w:rsidR="00CD0321">
        <w:t>several</w:t>
      </w:r>
      <w:r>
        <w:t xml:space="preserve"> compliance issues under the BSA. Throughout </w:t>
      </w:r>
      <w:r w:rsidRPr="002C52DB">
        <w:t>2016</w:t>
      </w:r>
      <w:r>
        <w:t>–</w:t>
      </w:r>
      <w:r w:rsidRPr="002C52DB">
        <w:t>17</w:t>
      </w:r>
      <w:r>
        <w:t xml:space="preserve">, the broadcasting industry engaged directly with the ACMA in an open and positive way in a series of workshops and consultations on the ACMA privacy guidelines and the BSA requirements for broadcasting political matter and election advertisements. This engagement resulted in over 60 industry participants attending </w:t>
      </w:r>
      <w:r w:rsidR="00CD0321">
        <w:t>these</w:t>
      </w:r>
      <w:r>
        <w:t xml:space="preserve"> workshops, and early indications are </w:t>
      </w:r>
      <w:r w:rsidR="00CD0321">
        <w:t xml:space="preserve">of </w:t>
      </w:r>
      <w:r w:rsidRPr="002C52DB">
        <w:t>improve</w:t>
      </w:r>
      <w:r w:rsidR="00CD0321">
        <w:t>d</w:t>
      </w:r>
      <w:r w:rsidRPr="002C52DB">
        <w:t xml:space="preserve"> industry awareness </w:t>
      </w:r>
      <w:r>
        <w:t>of</w:t>
      </w:r>
      <w:r w:rsidR="00CD0321">
        <w:t>,</w:t>
      </w:r>
      <w:r>
        <w:t xml:space="preserve"> </w:t>
      </w:r>
      <w:r w:rsidRPr="002C52DB">
        <w:t xml:space="preserve">and compliance </w:t>
      </w:r>
      <w:r>
        <w:t>with</w:t>
      </w:r>
      <w:r w:rsidR="00CD0321">
        <w:t>,</w:t>
      </w:r>
      <w:r w:rsidRPr="002C52DB">
        <w:t xml:space="preserve"> </w:t>
      </w:r>
      <w:r>
        <w:t>both</w:t>
      </w:r>
      <w:r w:rsidRPr="002C52DB">
        <w:t xml:space="preserve"> area</w:t>
      </w:r>
      <w:r>
        <w:t>s of regulation</w:t>
      </w:r>
      <w:r w:rsidRPr="002C52DB">
        <w:t>.</w:t>
      </w:r>
    </w:p>
    <w:p w14:paraId="10BD20AE" w14:textId="77777777" w:rsidR="00DA599E" w:rsidRDefault="00DA599E" w:rsidP="00DA599E">
      <w:r>
        <w:t xml:space="preserve">In addition to industry consultation and outreach, </w:t>
      </w:r>
      <w:r w:rsidR="00CD0321">
        <w:t xml:space="preserve">our </w:t>
      </w:r>
      <w:r w:rsidRPr="001A3C79">
        <w:rPr>
          <w:i/>
        </w:rPr>
        <w:t xml:space="preserve">Investigations concepts </w:t>
      </w:r>
      <w:r w:rsidRPr="001A3C79">
        <w:t xml:space="preserve">series </w:t>
      </w:r>
      <w:r>
        <w:t xml:space="preserve">was updated in the reporting period. </w:t>
      </w:r>
      <w:r w:rsidR="00CD0321">
        <w:t>Along with</w:t>
      </w:r>
      <w:r>
        <w:t xml:space="preserve"> regular publication of broadcasting investigation reports</w:t>
      </w:r>
      <w:r w:rsidR="00CD0321">
        <w:t>, this series</w:t>
      </w:r>
      <w:r>
        <w:t xml:space="preserve"> supports industry compliance by providing o</w:t>
      </w:r>
      <w:r w:rsidRPr="00B10FFB">
        <w:t>penness and transparency when explaining decisions and approaches</w:t>
      </w:r>
      <w:r>
        <w:t>.</w:t>
      </w:r>
    </w:p>
    <w:p w14:paraId="429B79B8" w14:textId="77777777" w:rsidR="00DA599E" w:rsidRPr="003D72F2" w:rsidRDefault="00DA599E" w:rsidP="00A54C72">
      <w:pPr>
        <w:keepNext/>
        <w:keepLines/>
        <w:spacing w:after="160"/>
        <w:rPr>
          <w:rFonts w:cs="Arial"/>
          <w:b/>
          <w:bCs/>
          <w:color w:val="323232"/>
        </w:rPr>
      </w:pPr>
      <w:r>
        <w:rPr>
          <w:rFonts w:cs="Arial"/>
          <w:b/>
          <w:bCs/>
          <w:color w:val="323232"/>
        </w:rPr>
        <w:t>Table 3.7</w:t>
      </w:r>
      <w:r w:rsidRPr="003D72F2">
        <w:rPr>
          <w:rFonts w:cs="Arial"/>
          <w:b/>
          <w:bCs/>
          <w:color w:val="323232"/>
        </w:rPr>
        <w:tab/>
        <w:t>ACMA broadcasting complaints and investigations, by financial year</w:t>
      </w:r>
    </w:p>
    <w:tbl>
      <w:tblPr>
        <w:tblW w:w="9433" w:type="dxa"/>
        <w:tblInd w:w="-1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3.8  ACMA broadcasting complaints and investigations, by financial year"/>
      </w:tblPr>
      <w:tblGrid>
        <w:gridCol w:w="3313"/>
        <w:gridCol w:w="1020"/>
        <w:gridCol w:w="1020"/>
        <w:gridCol w:w="1020"/>
        <w:gridCol w:w="1020"/>
        <w:gridCol w:w="1020"/>
        <w:gridCol w:w="1020"/>
      </w:tblGrid>
      <w:tr w:rsidR="005B3CBC" w:rsidRPr="003D72F2" w14:paraId="18E34343" w14:textId="77777777" w:rsidTr="00F65D12">
        <w:trPr>
          <w:trHeight w:hRule="exact" w:val="284"/>
        </w:trPr>
        <w:tc>
          <w:tcPr>
            <w:tcW w:w="3313" w:type="dxa"/>
            <w:tcBorders>
              <w:top w:val="nil"/>
              <w:left w:val="nil"/>
            </w:tcBorders>
            <w:shd w:val="clear" w:color="auto" w:fill="FFFFFF" w:themeFill="background1"/>
            <w:vAlign w:val="center"/>
            <w:hideMark/>
          </w:tcPr>
          <w:p w14:paraId="61995EC2" w14:textId="77777777" w:rsidR="005B3CBC" w:rsidRPr="003D72F2" w:rsidRDefault="005B3CBC" w:rsidP="00A54C72">
            <w:pPr>
              <w:keepNext/>
              <w:spacing w:after="0" w:line="240" w:lineRule="auto"/>
              <w:rPr>
                <w:rFonts w:cs="Arial"/>
                <w:color w:val="FFFFFF"/>
                <w:sz w:val="18"/>
                <w:szCs w:val="18"/>
              </w:rPr>
            </w:pPr>
            <w:r w:rsidRPr="003D72F2">
              <w:rPr>
                <w:rFonts w:cs="Arial"/>
                <w:color w:val="FFFFFF"/>
                <w:sz w:val="18"/>
                <w:szCs w:val="18"/>
              </w:rPr>
              <w:t> </w:t>
            </w:r>
          </w:p>
          <w:p w14:paraId="53D52D4A" w14:textId="77777777" w:rsidR="005B3CBC" w:rsidRPr="003D72F2" w:rsidRDefault="005B3CBC" w:rsidP="00A54C72">
            <w:pPr>
              <w:keepNext/>
              <w:spacing w:after="0" w:line="240" w:lineRule="auto"/>
              <w:jc w:val="right"/>
              <w:rPr>
                <w:rFonts w:cs="Arial"/>
                <w:color w:val="FFFFFF"/>
                <w:sz w:val="18"/>
                <w:szCs w:val="18"/>
              </w:rPr>
            </w:pPr>
            <w:r w:rsidRPr="003D72F2">
              <w:rPr>
                <w:rFonts w:cs="Arial"/>
                <w:color w:val="FFFFFF"/>
                <w:sz w:val="18"/>
                <w:szCs w:val="18"/>
              </w:rPr>
              <w:t> </w:t>
            </w:r>
          </w:p>
        </w:tc>
        <w:tc>
          <w:tcPr>
            <w:tcW w:w="1020" w:type="dxa"/>
            <w:shd w:val="clear" w:color="auto" w:fill="37897E"/>
            <w:vAlign w:val="center"/>
            <w:hideMark/>
          </w:tcPr>
          <w:p w14:paraId="3437508B"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2011–12</w:t>
            </w:r>
          </w:p>
        </w:tc>
        <w:tc>
          <w:tcPr>
            <w:tcW w:w="1020" w:type="dxa"/>
            <w:shd w:val="clear" w:color="auto" w:fill="37897E"/>
            <w:vAlign w:val="center"/>
            <w:hideMark/>
          </w:tcPr>
          <w:p w14:paraId="4919A41C"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2012–13</w:t>
            </w:r>
          </w:p>
        </w:tc>
        <w:tc>
          <w:tcPr>
            <w:tcW w:w="1020" w:type="dxa"/>
            <w:shd w:val="clear" w:color="auto" w:fill="37897E"/>
            <w:vAlign w:val="center"/>
            <w:hideMark/>
          </w:tcPr>
          <w:p w14:paraId="77B9A82D"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2013–14</w:t>
            </w:r>
          </w:p>
        </w:tc>
        <w:tc>
          <w:tcPr>
            <w:tcW w:w="1020" w:type="dxa"/>
            <w:shd w:val="clear" w:color="auto" w:fill="37897E"/>
            <w:vAlign w:val="center"/>
            <w:hideMark/>
          </w:tcPr>
          <w:p w14:paraId="2875B6AB"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2014–15</w:t>
            </w:r>
          </w:p>
        </w:tc>
        <w:tc>
          <w:tcPr>
            <w:tcW w:w="1020" w:type="dxa"/>
            <w:shd w:val="clear" w:color="auto" w:fill="37897E"/>
            <w:vAlign w:val="center"/>
            <w:hideMark/>
          </w:tcPr>
          <w:p w14:paraId="46ED7C63"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2015–16</w:t>
            </w:r>
          </w:p>
        </w:tc>
        <w:tc>
          <w:tcPr>
            <w:tcW w:w="1020" w:type="dxa"/>
            <w:shd w:val="clear" w:color="auto" w:fill="37897E"/>
            <w:vAlign w:val="center"/>
            <w:hideMark/>
          </w:tcPr>
          <w:p w14:paraId="1FC9B9A2" w14:textId="77777777" w:rsidR="005B3CBC" w:rsidRPr="003D72F2" w:rsidRDefault="005B3CBC" w:rsidP="00A54C72">
            <w:pPr>
              <w:keepNext/>
              <w:spacing w:after="0" w:line="240" w:lineRule="auto"/>
              <w:jc w:val="right"/>
              <w:rPr>
                <w:rFonts w:cs="Arial"/>
                <w:b/>
                <w:bCs/>
                <w:color w:val="FFFFFF"/>
                <w:sz w:val="18"/>
                <w:szCs w:val="18"/>
              </w:rPr>
            </w:pPr>
            <w:r w:rsidRPr="003D72F2">
              <w:rPr>
                <w:rFonts w:cs="Arial"/>
                <w:b/>
                <w:bCs/>
                <w:color w:val="FFFFFF"/>
                <w:sz w:val="18"/>
                <w:szCs w:val="18"/>
              </w:rPr>
              <w:t>201</w:t>
            </w:r>
            <w:r>
              <w:rPr>
                <w:rFonts w:cs="Arial"/>
                <w:b/>
                <w:bCs/>
                <w:color w:val="FFFFFF"/>
                <w:sz w:val="18"/>
                <w:szCs w:val="18"/>
              </w:rPr>
              <w:t>6–17</w:t>
            </w:r>
          </w:p>
        </w:tc>
      </w:tr>
      <w:tr w:rsidR="005B3CBC" w:rsidRPr="003D72F2" w14:paraId="35980E59" w14:textId="77777777" w:rsidTr="00F65D12">
        <w:trPr>
          <w:trHeight w:val="312"/>
        </w:trPr>
        <w:tc>
          <w:tcPr>
            <w:tcW w:w="3313" w:type="dxa"/>
            <w:shd w:val="clear" w:color="auto" w:fill="auto"/>
            <w:noWrap/>
            <w:vAlign w:val="center"/>
            <w:hideMark/>
          </w:tcPr>
          <w:p w14:paraId="619818C9" w14:textId="77777777" w:rsidR="005B3CBC" w:rsidRPr="002C3AEF" w:rsidRDefault="005B3CBC" w:rsidP="00A54C72">
            <w:pPr>
              <w:keepNext/>
              <w:spacing w:after="0" w:line="240" w:lineRule="auto"/>
              <w:rPr>
                <w:rFonts w:cs="Arial"/>
                <w:sz w:val="18"/>
                <w:szCs w:val="18"/>
              </w:rPr>
            </w:pPr>
            <w:r w:rsidRPr="002C3AEF">
              <w:rPr>
                <w:rFonts w:cs="Arial"/>
                <w:sz w:val="18"/>
                <w:szCs w:val="18"/>
              </w:rPr>
              <w:t>Written complaints and enquiries received</w:t>
            </w:r>
          </w:p>
        </w:tc>
        <w:tc>
          <w:tcPr>
            <w:tcW w:w="1020" w:type="dxa"/>
            <w:shd w:val="clear" w:color="auto" w:fill="auto"/>
            <w:vAlign w:val="center"/>
            <w:hideMark/>
          </w:tcPr>
          <w:p w14:paraId="22FBC0BF"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2,273</w:t>
            </w:r>
          </w:p>
        </w:tc>
        <w:tc>
          <w:tcPr>
            <w:tcW w:w="1020" w:type="dxa"/>
            <w:shd w:val="clear" w:color="auto" w:fill="auto"/>
            <w:vAlign w:val="center"/>
            <w:hideMark/>
          </w:tcPr>
          <w:p w14:paraId="2F1E1E2E"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2,178</w:t>
            </w:r>
            <w:r w:rsidRPr="009A0DB1">
              <w:rPr>
                <w:rFonts w:cs="Arial"/>
                <w:sz w:val="18"/>
                <w:szCs w:val="18"/>
                <w:vertAlign w:val="superscript"/>
              </w:rPr>
              <w:t>†</w:t>
            </w:r>
          </w:p>
        </w:tc>
        <w:tc>
          <w:tcPr>
            <w:tcW w:w="1020" w:type="dxa"/>
            <w:shd w:val="clear" w:color="auto" w:fill="auto"/>
            <w:vAlign w:val="center"/>
            <w:hideMark/>
          </w:tcPr>
          <w:p w14:paraId="3178866E"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1,593</w:t>
            </w:r>
          </w:p>
        </w:tc>
        <w:tc>
          <w:tcPr>
            <w:tcW w:w="1020" w:type="dxa"/>
            <w:shd w:val="clear" w:color="auto" w:fill="auto"/>
            <w:vAlign w:val="center"/>
            <w:hideMark/>
          </w:tcPr>
          <w:p w14:paraId="77C9FAE1"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1,012</w:t>
            </w:r>
          </w:p>
        </w:tc>
        <w:tc>
          <w:tcPr>
            <w:tcW w:w="1020" w:type="dxa"/>
            <w:shd w:val="clear" w:color="auto" w:fill="auto"/>
            <w:vAlign w:val="center"/>
            <w:hideMark/>
          </w:tcPr>
          <w:p w14:paraId="1AAA9089"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1,232</w:t>
            </w:r>
          </w:p>
        </w:tc>
        <w:tc>
          <w:tcPr>
            <w:tcW w:w="1020" w:type="dxa"/>
            <w:shd w:val="clear" w:color="auto" w:fill="auto"/>
            <w:vAlign w:val="center"/>
            <w:hideMark/>
          </w:tcPr>
          <w:p w14:paraId="1C77A8EB"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1,028</w:t>
            </w:r>
          </w:p>
        </w:tc>
      </w:tr>
      <w:tr w:rsidR="005B3CBC" w:rsidRPr="003D72F2" w14:paraId="792006B2" w14:textId="77777777" w:rsidTr="00F65D12">
        <w:trPr>
          <w:trHeight w:val="192"/>
        </w:trPr>
        <w:tc>
          <w:tcPr>
            <w:tcW w:w="3313" w:type="dxa"/>
            <w:shd w:val="clear" w:color="auto" w:fill="auto"/>
            <w:noWrap/>
            <w:vAlign w:val="center"/>
            <w:hideMark/>
          </w:tcPr>
          <w:p w14:paraId="256B310B" w14:textId="77777777" w:rsidR="005B3CBC" w:rsidRPr="002C3AEF" w:rsidRDefault="005B3CBC" w:rsidP="00A54C72">
            <w:pPr>
              <w:keepNext/>
              <w:spacing w:after="0" w:line="240" w:lineRule="auto"/>
              <w:rPr>
                <w:rFonts w:cs="Arial"/>
                <w:sz w:val="18"/>
                <w:szCs w:val="18"/>
              </w:rPr>
            </w:pPr>
            <w:r w:rsidRPr="002C3AEF">
              <w:rPr>
                <w:rFonts w:cs="Arial"/>
                <w:sz w:val="18"/>
                <w:szCs w:val="18"/>
              </w:rPr>
              <w:t>Investigations completed</w:t>
            </w:r>
          </w:p>
        </w:tc>
        <w:tc>
          <w:tcPr>
            <w:tcW w:w="1020" w:type="dxa"/>
            <w:shd w:val="clear" w:color="auto" w:fill="auto"/>
            <w:vAlign w:val="center"/>
            <w:hideMark/>
          </w:tcPr>
          <w:p w14:paraId="1C453C21"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231</w:t>
            </w:r>
          </w:p>
        </w:tc>
        <w:tc>
          <w:tcPr>
            <w:tcW w:w="1020" w:type="dxa"/>
            <w:shd w:val="clear" w:color="auto" w:fill="auto"/>
            <w:vAlign w:val="center"/>
            <w:hideMark/>
          </w:tcPr>
          <w:p w14:paraId="27207C41"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212</w:t>
            </w:r>
          </w:p>
        </w:tc>
        <w:tc>
          <w:tcPr>
            <w:tcW w:w="1020" w:type="dxa"/>
            <w:shd w:val="clear" w:color="auto" w:fill="auto"/>
            <w:vAlign w:val="center"/>
            <w:hideMark/>
          </w:tcPr>
          <w:p w14:paraId="244BA148"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180</w:t>
            </w:r>
          </w:p>
        </w:tc>
        <w:tc>
          <w:tcPr>
            <w:tcW w:w="1020" w:type="dxa"/>
            <w:shd w:val="clear" w:color="auto" w:fill="auto"/>
            <w:vAlign w:val="center"/>
            <w:hideMark/>
          </w:tcPr>
          <w:p w14:paraId="04770E91"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145</w:t>
            </w:r>
          </w:p>
        </w:tc>
        <w:tc>
          <w:tcPr>
            <w:tcW w:w="1020" w:type="dxa"/>
            <w:shd w:val="clear" w:color="auto" w:fill="auto"/>
            <w:vAlign w:val="center"/>
            <w:hideMark/>
          </w:tcPr>
          <w:p w14:paraId="6676881F"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156</w:t>
            </w:r>
            <w:r w:rsidRPr="009A0DB1">
              <w:rPr>
                <w:rFonts w:cs="Arial"/>
                <w:sz w:val="18"/>
                <w:szCs w:val="18"/>
                <w:vertAlign w:val="superscript"/>
              </w:rPr>
              <w:t>†</w:t>
            </w:r>
          </w:p>
        </w:tc>
        <w:tc>
          <w:tcPr>
            <w:tcW w:w="1020" w:type="dxa"/>
            <w:shd w:val="clear" w:color="auto" w:fill="auto"/>
            <w:vAlign w:val="center"/>
            <w:hideMark/>
          </w:tcPr>
          <w:p w14:paraId="6C50F6FC"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120</w:t>
            </w:r>
            <w:r w:rsidRPr="009A0DB1">
              <w:rPr>
                <w:rFonts w:cs="Arial"/>
                <w:sz w:val="18"/>
                <w:szCs w:val="18"/>
                <w:vertAlign w:val="superscript"/>
              </w:rPr>
              <w:t>††</w:t>
            </w:r>
          </w:p>
        </w:tc>
      </w:tr>
      <w:tr w:rsidR="005B3CBC" w:rsidRPr="003D72F2" w14:paraId="69AE0B28" w14:textId="77777777" w:rsidTr="00F65D12">
        <w:trPr>
          <w:trHeight w:val="282"/>
        </w:trPr>
        <w:tc>
          <w:tcPr>
            <w:tcW w:w="3313" w:type="dxa"/>
            <w:shd w:val="clear" w:color="auto" w:fill="auto"/>
            <w:vAlign w:val="center"/>
            <w:hideMark/>
          </w:tcPr>
          <w:p w14:paraId="5CADE342" w14:textId="77777777" w:rsidR="005B3CBC" w:rsidRPr="002C3AEF" w:rsidRDefault="005B3CBC" w:rsidP="00A54C72">
            <w:pPr>
              <w:keepNext/>
              <w:spacing w:after="0" w:line="240" w:lineRule="auto"/>
              <w:rPr>
                <w:rFonts w:cs="Arial"/>
                <w:sz w:val="18"/>
                <w:szCs w:val="18"/>
              </w:rPr>
            </w:pPr>
            <w:r w:rsidRPr="002C3AEF">
              <w:rPr>
                <w:rFonts w:cs="Arial"/>
                <w:sz w:val="18"/>
                <w:szCs w:val="18"/>
              </w:rPr>
              <w:t>Investigations resulting in a breach finding*</w:t>
            </w:r>
          </w:p>
        </w:tc>
        <w:tc>
          <w:tcPr>
            <w:tcW w:w="1020" w:type="dxa"/>
            <w:shd w:val="clear" w:color="auto" w:fill="auto"/>
            <w:vAlign w:val="center"/>
            <w:hideMark/>
          </w:tcPr>
          <w:p w14:paraId="15F439EA"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71</w:t>
            </w:r>
          </w:p>
        </w:tc>
        <w:tc>
          <w:tcPr>
            <w:tcW w:w="1020" w:type="dxa"/>
            <w:shd w:val="clear" w:color="auto" w:fill="auto"/>
            <w:vAlign w:val="center"/>
            <w:hideMark/>
          </w:tcPr>
          <w:p w14:paraId="555E7ECD"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67</w:t>
            </w:r>
          </w:p>
        </w:tc>
        <w:tc>
          <w:tcPr>
            <w:tcW w:w="1020" w:type="dxa"/>
            <w:shd w:val="clear" w:color="auto" w:fill="auto"/>
            <w:vAlign w:val="center"/>
            <w:hideMark/>
          </w:tcPr>
          <w:p w14:paraId="2533728A"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45</w:t>
            </w:r>
          </w:p>
        </w:tc>
        <w:tc>
          <w:tcPr>
            <w:tcW w:w="1020" w:type="dxa"/>
            <w:shd w:val="clear" w:color="auto" w:fill="auto"/>
            <w:vAlign w:val="center"/>
            <w:hideMark/>
          </w:tcPr>
          <w:p w14:paraId="41BDD978"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35</w:t>
            </w:r>
          </w:p>
        </w:tc>
        <w:tc>
          <w:tcPr>
            <w:tcW w:w="1020" w:type="dxa"/>
            <w:shd w:val="clear" w:color="auto" w:fill="auto"/>
            <w:vAlign w:val="center"/>
            <w:hideMark/>
          </w:tcPr>
          <w:p w14:paraId="2B4CB96C"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35</w:t>
            </w:r>
          </w:p>
        </w:tc>
        <w:tc>
          <w:tcPr>
            <w:tcW w:w="1020" w:type="dxa"/>
            <w:shd w:val="clear" w:color="auto" w:fill="auto"/>
            <w:vAlign w:val="center"/>
            <w:hideMark/>
          </w:tcPr>
          <w:p w14:paraId="39721C22"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64</w:t>
            </w:r>
          </w:p>
        </w:tc>
      </w:tr>
      <w:tr w:rsidR="005B3CBC" w:rsidRPr="003D72F2" w14:paraId="1D23C755" w14:textId="77777777" w:rsidTr="00F65D12">
        <w:trPr>
          <w:trHeight w:val="340"/>
        </w:trPr>
        <w:tc>
          <w:tcPr>
            <w:tcW w:w="3313" w:type="dxa"/>
            <w:shd w:val="clear" w:color="auto" w:fill="auto"/>
            <w:noWrap/>
            <w:vAlign w:val="center"/>
            <w:hideMark/>
          </w:tcPr>
          <w:p w14:paraId="54EEF052" w14:textId="77777777" w:rsidR="005B3CBC" w:rsidRPr="002C3AEF" w:rsidRDefault="005B3CBC" w:rsidP="00A54C72">
            <w:pPr>
              <w:keepNext/>
              <w:spacing w:after="0" w:line="240" w:lineRule="auto"/>
              <w:rPr>
                <w:rFonts w:cs="Arial"/>
                <w:sz w:val="18"/>
                <w:szCs w:val="18"/>
              </w:rPr>
            </w:pPr>
            <w:r w:rsidRPr="002C3AEF">
              <w:rPr>
                <w:rFonts w:cs="Arial"/>
                <w:sz w:val="18"/>
                <w:szCs w:val="18"/>
              </w:rPr>
              <w:t>Investigations resulting in a non</w:t>
            </w:r>
            <w:r w:rsidR="00CD0321" w:rsidRPr="002C3AEF">
              <w:rPr>
                <w:rFonts w:cs="Arial"/>
                <w:sz w:val="18"/>
                <w:szCs w:val="18"/>
              </w:rPr>
              <w:noBreakHyphen/>
            </w:r>
            <w:r w:rsidRPr="002C3AEF">
              <w:rPr>
                <w:rFonts w:cs="Arial"/>
                <w:sz w:val="18"/>
                <w:szCs w:val="18"/>
              </w:rPr>
              <w:t>breach finding*</w:t>
            </w:r>
          </w:p>
        </w:tc>
        <w:tc>
          <w:tcPr>
            <w:tcW w:w="1020" w:type="dxa"/>
            <w:shd w:val="clear" w:color="auto" w:fill="auto"/>
            <w:vAlign w:val="center"/>
            <w:hideMark/>
          </w:tcPr>
          <w:p w14:paraId="6D865E1E"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155</w:t>
            </w:r>
          </w:p>
        </w:tc>
        <w:tc>
          <w:tcPr>
            <w:tcW w:w="1020" w:type="dxa"/>
            <w:shd w:val="clear" w:color="auto" w:fill="auto"/>
            <w:vAlign w:val="center"/>
            <w:hideMark/>
          </w:tcPr>
          <w:p w14:paraId="56D5870E"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135</w:t>
            </w:r>
          </w:p>
        </w:tc>
        <w:tc>
          <w:tcPr>
            <w:tcW w:w="1020" w:type="dxa"/>
            <w:shd w:val="clear" w:color="auto" w:fill="auto"/>
            <w:vAlign w:val="center"/>
            <w:hideMark/>
          </w:tcPr>
          <w:p w14:paraId="58AAFC20"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132</w:t>
            </w:r>
          </w:p>
        </w:tc>
        <w:tc>
          <w:tcPr>
            <w:tcW w:w="1020" w:type="dxa"/>
            <w:shd w:val="clear" w:color="auto" w:fill="auto"/>
            <w:vAlign w:val="center"/>
            <w:hideMark/>
          </w:tcPr>
          <w:p w14:paraId="329741E0"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100</w:t>
            </w:r>
          </w:p>
        </w:tc>
        <w:tc>
          <w:tcPr>
            <w:tcW w:w="1020" w:type="dxa"/>
            <w:shd w:val="clear" w:color="auto" w:fill="auto"/>
            <w:vAlign w:val="center"/>
            <w:hideMark/>
          </w:tcPr>
          <w:p w14:paraId="6FC6F794"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109</w:t>
            </w:r>
          </w:p>
        </w:tc>
        <w:tc>
          <w:tcPr>
            <w:tcW w:w="1020" w:type="dxa"/>
            <w:shd w:val="clear" w:color="auto" w:fill="auto"/>
            <w:vAlign w:val="center"/>
            <w:hideMark/>
          </w:tcPr>
          <w:p w14:paraId="3F14D45D" w14:textId="77777777" w:rsidR="005B3CBC" w:rsidRPr="009A0DB1" w:rsidRDefault="005B3CBC" w:rsidP="00A54C72">
            <w:pPr>
              <w:keepNext/>
              <w:spacing w:after="0" w:line="240" w:lineRule="auto"/>
              <w:jc w:val="right"/>
              <w:rPr>
                <w:rFonts w:cs="Arial"/>
                <w:sz w:val="18"/>
                <w:szCs w:val="18"/>
              </w:rPr>
            </w:pPr>
            <w:r w:rsidRPr="009A0DB1">
              <w:rPr>
                <w:rFonts w:cs="Arial"/>
                <w:sz w:val="18"/>
                <w:szCs w:val="18"/>
              </w:rPr>
              <w:t>50</w:t>
            </w:r>
          </w:p>
        </w:tc>
      </w:tr>
    </w:tbl>
    <w:p w14:paraId="00A2CFAA" w14:textId="77777777" w:rsidR="005B3CBC" w:rsidRPr="00D75CEF" w:rsidRDefault="005B3CBC" w:rsidP="007A2A5F">
      <w:pPr>
        <w:pStyle w:val="ACMANotes"/>
        <w:spacing w:before="120"/>
      </w:pPr>
      <w:r w:rsidRPr="00D75CEF">
        <w:t xml:space="preserve">*Investigations against a code of practice, licence condition, standard and/or provision of the </w:t>
      </w:r>
      <w:r w:rsidR="00760BF8">
        <w:t>BSA</w:t>
      </w:r>
      <w:r w:rsidRPr="00D75CEF">
        <w:t>.</w:t>
      </w:r>
    </w:p>
    <w:p w14:paraId="010560B0" w14:textId="77777777" w:rsidR="005B3CBC" w:rsidRPr="00D75CEF" w:rsidRDefault="005B3CBC" w:rsidP="005B3CBC">
      <w:pPr>
        <w:pStyle w:val="ACMANotes"/>
      </w:pPr>
      <w:r w:rsidRPr="002C3AEF">
        <w:rPr>
          <w:vertAlign w:val="superscript"/>
        </w:rPr>
        <w:t>†</w:t>
      </w:r>
      <w:r w:rsidRPr="00D75CEF">
        <w:t>Includes investigations with no finding and investigations that have been concluded (withdrawn prior to decisions).</w:t>
      </w:r>
    </w:p>
    <w:p w14:paraId="465AEEB2" w14:textId="77777777" w:rsidR="005B3CBC" w:rsidRPr="00D75CEF" w:rsidRDefault="005B3CBC" w:rsidP="005B3CBC">
      <w:pPr>
        <w:pStyle w:val="ACMANotes"/>
      </w:pPr>
      <w:r w:rsidRPr="002C3AEF">
        <w:rPr>
          <w:vertAlign w:val="superscript"/>
        </w:rPr>
        <w:t>††</w:t>
      </w:r>
      <w:r w:rsidRPr="00D75CEF">
        <w:t xml:space="preserve">A total of 120 investigations were finalised between 1 July 2016 and 30 June 2017, including six investigations that were concluded. </w:t>
      </w:r>
    </w:p>
    <w:p w14:paraId="2983EED4" w14:textId="77777777" w:rsidR="005B3CBC" w:rsidRPr="00D75CEF" w:rsidRDefault="005B3CBC" w:rsidP="005B3CBC">
      <w:pPr>
        <w:pStyle w:val="ACMANotes"/>
      </w:pPr>
      <w:r w:rsidRPr="00D75CEF">
        <w:t>Note: Sum of categories does not equal total number of investigations completed due to exclusion of completed investigations with no finding; for example, where the complaint is withdrawn.</w:t>
      </w:r>
    </w:p>
    <w:p w14:paraId="456E032C" w14:textId="77777777" w:rsidR="00760BF8" w:rsidRDefault="005B3CBC" w:rsidP="00A54C72">
      <w:pPr>
        <w:pStyle w:val="ACMANotes"/>
        <w:spacing w:after="360"/>
      </w:pPr>
      <w:r w:rsidRPr="00D75CEF">
        <w:t>Source: Broadcasting complaints to the ACMA.</w:t>
      </w:r>
    </w:p>
    <w:p w14:paraId="287C85C1" w14:textId="701FFA55" w:rsidR="005B3CBC" w:rsidRPr="002C43CD" w:rsidRDefault="005B3CBC" w:rsidP="005B3CBC">
      <w:pPr>
        <w:pStyle w:val="Heading2"/>
        <w:numPr>
          <w:ilvl w:val="1"/>
          <w:numId w:val="18"/>
        </w:numPr>
      </w:pPr>
      <w:bookmarkStart w:id="1242" w:name="_Toc500320914"/>
      <w:r w:rsidRPr="002C43CD">
        <w:t>Online content investigations</w:t>
      </w:r>
      <w:r w:rsidR="00A74165">
        <w:t>—interactive gambling</w:t>
      </w:r>
      <w:bookmarkEnd w:id="1242"/>
    </w:p>
    <w:p w14:paraId="1BC5CC07" w14:textId="77777777" w:rsidR="005B3CBC" w:rsidRDefault="005B3CBC" w:rsidP="00E95AE8">
      <w:pPr>
        <w:pStyle w:val="ACMASpaceaftertable"/>
        <w:keepNext/>
        <w:keepLines/>
      </w:pPr>
      <w:r>
        <w:t xml:space="preserve">The </w:t>
      </w:r>
      <w:r w:rsidRPr="002C43CD">
        <w:rPr>
          <w:i/>
        </w:rPr>
        <w:t>Interactive Gambling Act 2001</w:t>
      </w:r>
      <w:r>
        <w:t xml:space="preserve"> (IGA) prohibits certain internet gambling content, as well as the advertising of such content. IGA complaints received and actioned by the ACMA in the reporting period are outlined in Table 3.8. Under the IGA, the ACMA must not investigate Australian-hosted content but must refer complaints to an Australian police force, if it is warranted to do so. </w:t>
      </w:r>
      <w:r w:rsidR="00760BF8">
        <w:t>We</w:t>
      </w:r>
      <w:r>
        <w:t xml:space="preserve"> received a total of 283 complaints and enquiries during 2016–17. </w:t>
      </w:r>
    </w:p>
    <w:p w14:paraId="0E30E769" w14:textId="77777777" w:rsidR="005B3CBC" w:rsidRDefault="005B3CBC" w:rsidP="00A54C72">
      <w:pPr>
        <w:pStyle w:val="ACMASpaceaftertable"/>
        <w:keepNext/>
        <w:spacing w:after="160"/>
        <w:rPr>
          <w:b/>
          <w:noProof/>
        </w:rPr>
      </w:pPr>
      <w:r>
        <w:rPr>
          <w:b/>
          <w:noProof/>
        </w:rPr>
        <w:t>Table 3.8</w:t>
      </w:r>
      <w:r w:rsidRPr="002C43CD">
        <w:rPr>
          <w:b/>
          <w:noProof/>
        </w:rPr>
        <w:t xml:space="preserve"> </w:t>
      </w:r>
      <w:r w:rsidRPr="002C43CD">
        <w:rPr>
          <w:b/>
          <w:noProof/>
        </w:rPr>
        <w:tab/>
        <w:t>Interactive gambling</w:t>
      </w:r>
      <w:r>
        <w:rPr>
          <w:b/>
          <w:noProof/>
        </w:rPr>
        <w:t xml:space="preserve"> complaints and enquiries per financial year</w:t>
      </w:r>
    </w:p>
    <w:tbl>
      <w:tblPr>
        <w:tblW w:w="9352" w:type="dxa"/>
        <w:tblInd w:w="1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3.8  ACMA broadcasting complaints and investigations, by financial year"/>
      </w:tblPr>
      <w:tblGrid>
        <w:gridCol w:w="5505"/>
        <w:gridCol w:w="1282"/>
        <w:gridCol w:w="1282"/>
        <w:gridCol w:w="1283"/>
      </w:tblGrid>
      <w:tr w:rsidR="005E2699" w:rsidRPr="003D72F2" w14:paraId="2F490B6A" w14:textId="77777777" w:rsidTr="00F86DCE">
        <w:trPr>
          <w:trHeight w:val="340"/>
        </w:trPr>
        <w:tc>
          <w:tcPr>
            <w:tcW w:w="5505" w:type="dxa"/>
            <w:tcBorders>
              <w:top w:val="single" w:sz="4" w:space="0" w:color="BFBFBF" w:themeColor="background1" w:themeShade="BF"/>
              <w:left w:val="single" w:sz="4" w:space="0" w:color="BFBFBF" w:themeColor="background1" w:themeShade="BF"/>
            </w:tcBorders>
            <w:shd w:val="clear" w:color="auto" w:fill="37897E"/>
            <w:vAlign w:val="center"/>
            <w:hideMark/>
          </w:tcPr>
          <w:p w14:paraId="052A69D6" w14:textId="77777777" w:rsidR="005E2699" w:rsidRPr="005E2699" w:rsidRDefault="005E2699" w:rsidP="00A54C72">
            <w:pPr>
              <w:keepNext/>
              <w:spacing w:after="0" w:line="240" w:lineRule="auto"/>
              <w:rPr>
                <w:rFonts w:cs="Arial"/>
                <w:b/>
                <w:color w:val="FFFFFF"/>
                <w:sz w:val="18"/>
                <w:szCs w:val="18"/>
              </w:rPr>
            </w:pPr>
            <w:r w:rsidRPr="005E2699">
              <w:rPr>
                <w:rFonts w:cs="Arial"/>
                <w:b/>
                <w:bCs/>
                <w:color w:val="FFFFFF"/>
                <w:sz w:val="18"/>
                <w:szCs w:val="18"/>
              </w:rPr>
              <w:t>Interactive</w:t>
            </w:r>
            <w:r w:rsidRPr="005E2699">
              <w:rPr>
                <w:rFonts w:cs="Arial"/>
                <w:b/>
                <w:color w:val="FFFFFF" w:themeColor="background1"/>
                <w:sz w:val="18"/>
                <w:szCs w:val="18"/>
              </w:rPr>
              <w:t xml:space="preserve"> gambling </w:t>
            </w:r>
          </w:p>
        </w:tc>
        <w:tc>
          <w:tcPr>
            <w:tcW w:w="1282" w:type="dxa"/>
            <w:tcBorders>
              <w:top w:val="single" w:sz="4" w:space="0" w:color="BFBFBF" w:themeColor="background1" w:themeShade="BF"/>
            </w:tcBorders>
            <w:shd w:val="clear" w:color="auto" w:fill="37897E"/>
            <w:vAlign w:val="center"/>
            <w:hideMark/>
          </w:tcPr>
          <w:p w14:paraId="472ADD2E" w14:textId="77777777" w:rsidR="005E2699" w:rsidRPr="003D72F2" w:rsidRDefault="005E2699" w:rsidP="00A54C72">
            <w:pPr>
              <w:keepNext/>
              <w:spacing w:after="0" w:line="240" w:lineRule="auto"/>
              <w:jc w:val="right"/>
              <w:rPr>
                <w:rFonts w:cs="Arial"/>
                <w:b/>
                <w:bCs/>
                <w:color w:val="FFFFFF"/>
                <w:sz w:val="18"/>
                <w:szCs w:val="18"/>
              </w:rPr>
            </w:pPr>
            <w:r w:rsidRPr="003D72F2">
              <w:rPr>
                <w:rFonts w:cs="Arial"/>
                <w:b/>
                <w:bCs/>
                <w:color w:val="FFFFFF"/>
                <w:sz w:val="18"/>
                <w:szCs w:val="18"/>
              </w:rPr>
              <w:t>2014–15</w:t>
            </w:r>
          </w:p>
        </w:tc>
        <w:tc>
          <w:tcPr>
            <w:tcW w:w="1282" w:type="dxa"/>
            <w:tcBorders>
              <w:top w:val="single" w:sz="4" w:space="0" w:color="BFBFBF" w:themeColor="background1" w:themeShade="BF"/>
            </w:tcBorders>
            <w:shd w:val="clear" w:color="auto" w:fill="37897E"/>
            <w:vAlign w:val="center"/>
            <w:hideMark/>
          </w:tcPr>
          <w:p w14:paraId="52740E84" w14:textId="77777777" w:rsidR="005E2699" w:rsidRPr="003D72F2" w:rsidRDefault="005E2699" w:rsidP="00A54C72">
            <w:pPr>
              <w:keepNext/>
              <w:spacing w:after="0" w:line="240" w:lineRule="auto"/>
              <w:jc w:val="right"/>
              <w:rPr>
                <w:rFonts w:cs="Arial"/>
                <w:b/>
                <w:bCs/>
                <w:color w:val="FFFFFF"/>
                <w:sz w:val="18"/>
                <w:szCs w:val="18"/>
              </w:rPr>
            </w:pPr>
            <w:r w:rsidRPr="003D72F2">
              <w:rPr>
                <w:rFonts w:cs="Arial"/>
                <w:b/>
                <w:bCs/>
                <w:color w:val="FFFFFF"/>
                <w:sz w:val="18"/>
                <w:szCs w:val="18"/>
              </w:rPr>
              <w:t>2015–16</w:t>
            </w:r>
          </w:p>
        </w:tc>
        <w:tc>
          <w:tcPr>
            <w:tcW w:w="1283" w:type="dxa"/>
            <w:tcBorders>
              <w:top w:val="single" w:sz="4" w:space="0" w:color="BFBFBF" w:themeColor="background1" w:themeShade="BF"/>
            </w:tcBorders>
            <w:shd w:val="clear" w:color="auto" w:fill="37897E"/>
            <w:vAlign w:val="center"/>
            <w:hideMark/>
          </w:tcPr>
          <w:p w14:paraId="495DD1DE" w14:textId="77777777" w:rsidR="005E2699" w:rsidRPr="003D72F2" w:rsidRDefault="005E2699" w:rsidP="00A54C72">
            <w:pPr>
              <w:keepNext/>
              <w:spacing w:after="0" w:line="240" w:lineRule="auto"/>
              <w:jc w:val="right"/>
              <w:rPr>
                <w:rFonts w:cs="Arial"/>
                <w:b/>
                <w:bCs/>
                <w:color w:val="FFFFFF"/>
                <w:sz w:val="18"/>
                <w:szCs w:val="18"/>
              </w:rPr>
            </w:pPr>
            <w:r w:rsidRPr="003D72F2">
              <w:rPr>
                <w:rFonts w:cs="Arial"/>
                <w:b/>
                <w:bCs/>
                <w:color w:val="FFFFFF"/>
                <w:sz w:val="18"/>
                <w:szCs w:val="18"/>
              </w:rPr>
              <w:t>201</w:t>
            </w:r>
            <w:r>
              <w:rPr>
                <w:rFonts w:cs="Arial"/>
                <w:b/>
                <w:bCs/>
                <w:color w:val="FFFFFF"/>
                <w:sz w:val="18"/>
                <w:szCs w:val="18"/>
              </w:rPr>
              <w:t>6–17</w:t>
            </w:r>
          </w:p>
        </w:tc>
      </w:tr>
      <w:tr w:rsidR="005E2699" w:rsidRPr="00F86DCE" w14:paraId="0BFE00B2" w14:textId="77777777" w:rsidTr="00A74165">
        <w:trPr>
          <w:trHeight w:val="200"/>
        </w:trPr>
        <w:tc>
          <w:tcPr>
            <w:tcW w:w="5505" w:type="dxa"/>
            <w:shd w:val="clear" w:color="auto" w:fill="F2F2F2" w:themeFill="background1" w:themeFillShade="F2"/>
            <w:noWrap/>
            <w:vAlign w:val="center"/>
          </w:tcPr>
          <w:p w14:paraId="2047AC37" w14:textId="77777777" w:rsidR="005E2699" w:rsidRPr="00F86DCE" w:rsidRDefault="00A4730A" w:rsidP="00A54C72">
            <w:pPr>
              <w:keepNext/>
              <w:spacing w:after="0" w:line="240" w:lineRule="auto"/>
              <w:rPr>
                <w:rFonts w:cs="Arial"/>
                <w:b/>
                <w:sz w:val="18"/>
                <w:szCs w:val="18"/>
              </w:rPr>
            </w:pPr>
            <w:r w:rsidRPr="00F86DCE">
              <w:rPr>
                <w:rFonts w:cs="Arial"/>
                <w:b/>
                <w:sz w:val="18"/>
                <w:szCs w:val="18"/>
              </w:rPr>
              <w:t>Complaints and general enquiries</w:t>
            </w:r>
          </w:p>
        </w:tc>
        <w:tc>
          <w:tcPr>
            <w:tcW w:w="1282" w:type="dxa"/>
            <w:shd w:val="clear" w:color="auto" w:fill="F2F2F2" w:themeFill="background1" w:themeFillShade="F2"/>
            <w:vAlign w:val="center"/>
          </w:tcPr>
          <w:p w14:paraId="78A67120" w14:textId="77777777" w:rsidR="005E2699" w:rsidRPr="00F86DCE" w:rsidRDefault="00A4730A" w:rsidP="00A54C72">
            <w:pPr>
              <w:keepNext/>
              <w:spacing w:after="0" w:line="240" w:lineRule="auto"/>
              <w:jc w:val="right"/>
              <w:rPr>
                <w:rFonts w:cs="Arial"/>
                <w:b/>
                <w:sz w:val="18"/>
                <w:szCs w:val="18"/>
              </w:rPr>
            </w:pPr>
            <w:r>
              <w:rPr>
                <w:rFonts w:cs="Arial"/>
                <w:b/>
                <w:sz w:val="18"/>
                <w:szCs w:val="18"/>
              </w:rPr>
              <w:t>178</w:t>
            </w:r>
          </w:p>
        </w:tc>
        <w:tc>
          <w:tcPr>
            <w:tcW w:w="1282" w:type="dxa"/>
            <w:shd w:val="clear" w:color="auto" w:fill="F2F2F2" w:themeFill="background1" w:themeFillShade="F2"/>
            <w:vAlign w:val="center"/>
          </w:tcPr>
          <w:p w14:paraId="244ECCD7" w14:textId="77777777" w:rsidR="005E2699" w:rsidRPr="00F86DCE" w:rsidRDefault="00A4730A" w:rsidP="00A54C72">
            <w:pPr>
              <w:keepNext/>
              <w:spacing w:after="0" w:line="240" w:lineRule="auto"/>
              <w:jc w:val="right"/>
              <w:rPr>
                <w:rFonts w:cs="Arial"/>
                <w:b/>
                <w:sz w:val="18"/>
                <w:szCs w:val="18"/>
              </w:rPr>
            </w:pPr>
            <w:r>
              <w:rPr>
                <w:rFonts w:cs="Arial"/>
                <w:b/>
                <w:sz w:val="18"/>
                <w:szCs w:val="18"/>
              </w:rPr>
              <w:t>198</w:t>
            </w:r>
          </w:p>
        </w:tc>
        <w:tc>
          <w:tcPr>
            <w:tcW w:w="1283" w:type="dxa"/>
            <w:shd w:val="clear" w:color="auto" w:fill="F2F2F2" w:themeFill="background1" w:themeFillShade="F2"/>
            <w:vAlign w:val="center"/>
          </w:tcPr>
          <w:p w14:paraId="7E152373" w14:textId="77777777" w:rsidR="005E2699" w:rsidRPr="00F86DCE" w:rsidRDefault="00A4730A" w:rsidP="00A54C72">
            <w:pPr>
              <w:keepNext/>
              <w:spacing w:after="0" w:line="240" w:lineRule="auto"/>
              <w:jc w:val="right"/>
              <w:rPr>
                <w:rFonts w:cs="Arial"/>
                <w:b/>
                <w:sz w:val="18"/>
                <w:szCs w:val="18"/>
              </w:rPr>
            </w:pPr>
            <w:r>
              <w:rPr>
                <w:rFonts w:cs="Arial"/>
                <w:b/>
                <w:sz w:val="18"/>
                <w:szCs w:val="18"/>
              </w:rPr>
              <w:t>283</w:t>
            </w:r>
          </w:p>
        </w:tc>
      </w:tr>
      <w:tr w:rsidR="005E2699" w:rsidRPr="003D72F2" w14:paraId="25DBBDFF" w14:textId="77777777" w:rsidTr="008A0A80">
        <w:trPr>
          <w:trHeight w:val="162"/>
        </w:trPr>
        <w:tc>
          <w:tcPr>
            <w:tcW w:w="5505" w:type="dxa"/>
            <w:shd w:val="clear" w:color="auto" w:fill="auto"/>
            <w:noWrap/>
            <w:vAlign w:val="center"/>
            <w:hideMark/>
          </w:tcPr>
          <w:p w14:paraId="2A6D6157" w14:textId="77777777" w:rsidR="005E2699" w:rsidRPr="002C3AEF" w:rsidRDefault="00A4730A" w:rsidP="00A54C72">
            <w:pPr>
              <w:keepNext/>
              <w:spacing w:after="0" w:line="240" w:lineRule="auto"/>
              <w:rPr>
                <w:rFonts w:cs="Arial"/>
                <w:sz w:val="18"/>
                <w:szCs w:val="18"/>
              </w:rPr>
            </w:pPr>
            <w:r>
              <w:rPr>
                <w:rFonts w:cs="Arial"/>
                <w:sz w:val="18"/>
                <w:szCs w:val="18"/>
              </w:rPr>
              <w:t>Investigations of overseas-hosted gambling content</w:t>
            </w:r>
          </w:p>
        </w:tc>
        <w:tc>
          <w:tcPr>
            <w:tcW w:w="1282" w:type="dxa"/>
            <w:shd w:val="clear" w:color="auto" w:fill="auto"/>
            <w:vAlign w:val="center"/>
          </w:tcPr>
          <w:p w14:paraId="413C14AE" w14:textId="77777777" w:rsidR="005E2699" w:rsidRPr="009A0DB1" w:rsidRDefault="00A4730A" w:rsidP="00A54C72">
            <w:pPr>
              <w:keepNext/>
              <w:spacing w:after="0" w:line="240" w:lineRule="auto"/>
              <w:jc w:val="right"/>
              <w:rPr>
                <w:rFonts w:cs="Arial"/>
                <w:sz w:val="18"/>
                <w:szCs w:val="18"/>
              </w:rPr>
            </w:pPr>
            <w:r>
              <w:rPr>
                <w:rFonts w:cs="Arial"/>
                <w:sz w:val="18"/>
                <w:szCs w:val="18"/>
              </w:rPr>
              <w:t>12</w:t>
            </w:r>
          </w:p>
        </w:tc>
        <w:tc>
          <w:tcPr>
            <w:tcW w:w="1282" w:type="dxa"/>
            <w:shd w:val="clear" w:color="auto" w:fill="auto"/>
            <w:vAlign w:val="center"/>
          </w:tcPr>
          <w:p w14:paraId="38F23B64" w14:textId="77777777" w:rsidR="005E2699" w:rsidRPr="009A0DB1" w:rsidRDefault="00A4730A" w:rsidP="00A54C72">
            <w:pPr>
              <w:keepNext/>
              <w:spacing w:after="0" w:line="240" w:lineRule="auto"/>
              <w:jc w:val="right"/>
              <w:rPr>
                <w:rFonts w:cs="Arial"/>
                <w:sz w:val="18"/>
                <w:szCs w:val="18"/>
              </w:rPr>
            </w:pPr>
            <w:r>
              <w:rPr>
                <w:rFonts w:cs="Arial"/>
                <w:sz w:val="18"/>
                <w:szCs w:val="18"/>
              </w:rPr>
              <w:t>13</w:t>
            </w:r>
          </w:p>
        </w:tc>
        <w:tc>
          <w:tcPr>
            <w:tcW w:w="1283" w:type="dxa"/>
            <w:shd w:val="clear" w:color="auto" w:fill="auto"/>
            <w:vAlign w:val="center"/>
          </w:tcPr>
          <w:p w14:paraId="3FDD3F8C" w14:textId="77777777" w:rsidR="005E2699" w:rsidRPr="009A0DB1" w:rsidRDefault="00A4730A" w:rsidP="00A54C72">
            <w:pPr>
              <w:keepNext/>
              <w:spacing w:after="0" w:line="240" w:lineRule="auto"/>
              <w:jc w:val="right"/>
              <w:rPr>
                <w:rFonts w:cs="Arial"/>
                <w:sz w:val="18"/>
                <w:szCs w:val="18"/>
              </w:rPr>
            </w:pPr>
            <w:r>
              <w:rPr>
                <w:rFonts w:cs="Arial"/>
                <w:sz w:val="18"/>
                <w:szCs w:val="18"/>
              </w:rPr>
              <w:t>3</w:t>
            </w:r>
          </w:p>
        </w:tc>
      </w:tr>
      <w:tr w:rsidR="005E2699" w:rsidRPr="003D72F2" w14:paraId="432AEEC1" w14:textId="77777777" w:rsidTr="008A0A80">
        <w:trPr>
          <w:trHeight w:val="393"/>
        </w:trPr>
        <w:tc>
          <w:tcPr>
            <w:tcW w:w="5505" w:type="dxa"/>
            <w:shd w:val="clear" w:color="auto" w:fill="auto"/>
            <w:noWrap/>
            <w:vAlign w:val="center"/>
            <w:hideMark/>
          </w:tcPr>
          <w:p w14:paraId="7A1494D5" w14:textId="77777777" w:rsidR="005E2699" w:rsidRPr="002C3AEF" w:rsidRDefault="00A4730A" w:rsidP="00A54C72">
            <w:pPr>
              <w:keepNext/>
              <w:spacing w:after="0" w:line="240" w:lineRule="auto"/>
              <w:rPr>
                <w:rFonts w:cs="Arial"/>
                <w:sz w:val="18"/>
                <w:szCs w:val="18"/>
              </w:rPr>
            </w:pPr>
            <w:r>
              <w:rPr>
                <w:rFonts w:cs="Arial"/>
                <w:sz w:val="18"/>
                <w:szCs w:val="18"/>
              </w:rPr>
              <w:t>Prohibited internet gambling content found to be in breach of the IGA, notified to accredited filter providers and the AFP</w:t>
            </w:r>
          </w:p>
        </w:tc>
        <w:tc>
          <w:tcPr>
            <w:tcW w:w="1282" w:type="dxa"/>
            <w:shd w:val="clear" w:color="auto" w:fill="auto"/>
            <w:vAlign w:val="center"/>
          </w:tcPr>
          <w:p w14:paraId="029EAE3D" w14:textId="77777777" w:rsidR="005E2699" w:rsidRPr="009A0DB1" w:rsidRDefault="00A4730A" w:rsidP="00A54C72">
            <w:pPr>
              <w:keepNext/>
              <w:spacing w:after="0" w:line="240" w:lineRule="auto"/>
              <w:jc w:val="right"/>
              <w:rPr>
                <w:rFonts w:cs="Arial"/>
                <w:sz w:val="18"/>
                <w:szCs w:val="18"/>
              </w:rPr>
            </w:pPr>
            <w:r>
              <w:rPr>
                <w:rFonts w:cs="Arial"/>
                <w:sz w:val="18"/>
                <w:szCs w:val="18"/>
              </w:rPr>
              <w:t>9</w:t>
            </w:r>
          </w:p>
        </w:tc>
        <w:tc>
          <w:tcPr>
            <w:tcW w:w="1282" w:type="dxa"/>
            <w:shd w:val="clear" w:color="auto" w:fill="auto"/>
            <w:vAlign w:val="center"/>
          </w:tcPr>
          <w:p w14:paraId="1C8EFB35" w14:textId="77777777" w:rsidR="005E2699" w:rsidRPr="009A0DB1" w:rsidRDefault="00A4730A" w:rsidP="00A54C72">
            <w:pPr>
              <w:keepNext/>
              <w:spacing w:after="0" w:line="240" w:lineRule="auto"/>
              <w:jc w:val="right"/>
              <w:rPr>
                <w:rFonts w:cs="Arial"/>
                <w:sz w:val="18"/>
                <w:szCs w:val="18"/>
              </w:rPr>
            </w:pPr>
            <w:r>
              <w:rPr>
                <w:rFonts w:cs="Arial"/>
                <w:sz w:val="18"/>
                <w:szCs w:val="18"/>
              </w:rPr>
              <w:t>9</w:t>
            </w:r>
          </w:p>
        </w:tc>
        <w:tc>
          <w:tcPr>
            <w:tcW w:w="1283" w:type="dxa"/>
            <w:shd w:val="clear" w:color="auto" w:fill="auto"/>
            <w:vAlign w:val="center"/>
          </w:tcPr>
          <w:p w14:paraId="3447D7B4" w14:textId="77777777" w:rsidR="005E2699" w:rsidRPr="009A0DB1" w:rsidRDefault="00A4730A" w:rsidP="00A54C72">
            <w:pPr>
              <w:keepNext/>
              <w:spacing w:after="0" w:line="240" w:lineRule="auto"/>
              <w:jc w:val="right"/>
              <w:rPr>
                <w:rFonts w:cs="Arial"/>
                <w:sz w:val="18"/>
                <w:szCs w:val="18"/>
              </w:rPr>
            </w:pPr>
            <w:r>
              <w:rPr>
                <w:rFonts w:cs="Arial"/>
                <w:sz w:val="18"/>
                <w:szCs w:val="18"/>
              </w:rPr>
              <w:t>3</w:t>
            </w:r>
          </w:p>
        </w:tc>
      </w:tr>
      <w:tr w:rsidR="005E2699" w:rsidRPr="003D72F2" w14:paraId="74F3A9F8" w14:textId="77777777" w:rsidTr="008A0A80">
        <w:trPr>
          <w:trHeight w:val="132"/>
        </w:trPr>
        <w:tc>
          <w:tcPr>
            <w:tcW w:w="5505" w:type="dxa"/>
            <w:shd w:val="clear" w:color="auto" w:fill="auto"/>
            <w:vAlign w:val="center"/>
            <w:hideMark/>
          </w:tcPr>
          <w:p w14:paraId="61163E33" w14:textId="77777777" w:rsidR="005E2699" w:rsidRPr="002C3AEF" w:rsidRDefault="00A4730A" w:rsidP="00A54C72">
            <w:pPr>
              <w:keepNext/>
              <w:spacing w:after="0" w:line="240" w:lineRule="auto"/>
              <w:rPr>
                <w:rFonts w:cs="Arial"/>
                <w:sz w:val="18"/>
                <w:szCs w:val="18"/>
              </w:rPr>
            </w:pPr>
            <w:r>
              <w:rPr>
                <w:rFonts w:cs="Arial"/>
                <w:sz w:val="18"/>
                <w:szCs w:val="18"/>
              </w:rPr>
              <w:t>Assessments of Australian-hosted gambling content</w:t>
            </w:r>
          </w:p>
        </w:tc>
        <w:tc>
          <w:tcPr>
            <w:tcW w:w="1282" w:type="dxa"/>
            <w:shd w:val="clear" w:color="auto" w:fill="auto"/>
            <w:vAlign w:val="center"/>
          </w:tcPr>
          <w:p w14:paraId="2D5D0D6F" w14:textId="77777777" w:rsidR="005E2699" w:rsidRPr="009A0DB1" w:rsidRDefault="00A4730A" w:rsidP="00A54C72">
            <w:pPr>
              <w:keepNext/>
              <w:spacing w:after="0" w:line="240" w:lineRule="auto"/>
              <w:jc w:val="right"/>
              <w:rPr>
                <w:rFonts w:cs="Arial"/>
                <w:sz w:val="18"/>
                <w:szCs w:val="18"/>
              </w:rPr>
            </w:pPr>
            <w:r>
              <w:rPr>
                <w:rFonts w:cs="Arial"/>
                <w:sz w:val="18"/>
                <w:szCs w:val="18"/>
              </w:rPr>
              <w:t>14</w:t>
            </w:r>
          </w:p>
        </w:tc>
        <w:tc>
          <w:tcPr>
            <w:tcW w:w="1282" w:type="dxa"/>
            <w:shd w:val="clear" w:color="auto" w:fill="auto"/>
            <w:vAlign w:val="center"/>
          </w:tcPr>
          <w:p w14:paraId="65D92C2B" w14:textId="77777777" w:rsidR="005E2699" w:rsidRPr="009A0DB1" w:rsidRDefault="00A4730A" w:rsidP="00A54C72">
            <w:pPr>
              <w:keepNext/>
              <w:spacing w:after="0" w:line="240" w:lineRule="auto"/>
              <w:jc w:val="right"/>
              <w:rPr>
                <w:rFonts w:cs="Arial"/>
                <w:sz w:val="18"/>
                <w:szCs w:val="18"/>
              </w:rPr>
            </w:pPr>
            <w:r>
              <w:rPr>
                <w:rFonts w:cs="Arial"/>
                <w:sz w:val="18"/>
                <w:szCs w:val="18"/>
              </w:rPr>
              <w:t>15</w:t>
            </w:r>
          </w:p>
        </w:tc>
        <w:tc>
          <w:tcPr>
            <w:tcW w:w="1283" w:type="dxa"/>
            <w:shd w:val="clear" w:color="auto" w:fill="auto"/>
            <w:vAlign w:val="center"/>
          </w:tcPr>
          <w:p w14:paraId="57806D73" w14:textId="77777777" w:rsidR="005E2699" w:rsidRPr="009A0DB1" w:rsidRDefault="00A4730A" w:rsidP="00A54C72">
            <w:pPr>
              <w:keepNext/>
              <w:spacing w:after="0" w:line="240" w:lineRule="auto"/>
              <w:jc w:val="right"/>
              <w:rPr>
                <w:rFonts w:cs="Arial"/>
                <w:sz w:val="18"/>
                <w:szCs w:val="18"/>
              </w:rPr>
            </w:pPr>
            <w:r>
              <w:rPr>
                <w:rFonts w:cs="Arial"/>
                <w:sz w:val="18"/>
                <w:szCs w:val="18"/>
              </w:rPr>
              <w:t>3</w:t>
            </w:r>
          </w:p>
        </w:tc>
      </w:tr>
      <w:tr w:rsidR="005E2699" w:rsidRPr="003D72F2" w14:paraId="5BD07114" w14:textId="77777777" w:rsidTr="008A0A80">
        <w:trPr>
          <w:trHeight w:val="236"/>
        </w:trPr>
        <w:tc>
          <w:tcPr>
            <w:tcW w:w="5505" w:type="dxa"/>
            <w:shd w:val="clear" w:color="auto" w:fill="auto"/>
            <w:noWrap/>
            <w:vAlign w:val="center"/>
            <w:hideMark/>
          </w:tcPr>
          <w:p w14:paraId="42CC7D17" w14:textId="77777777" w:rsidR="005E2699" w:rsidRPr="002C3AEF" w:rsidRDefault="00A4730A" w:rsidP="00A54C72">
            <w:pPr>
              <w:keepNext/>
              <w:spacing w:after="0" w:line="240" w:lineRule="auto"/>
              <w:rPr>
                <w:rFonts w:cs="Arial"/>
                <w:sz w:val="18"/>
                <w:szCs w:val="18"/>
              </w:rPr>
            </w:pPr>
            <w:r>
              <w:rPr>
                <w:rFonts w:cs="Arial"/>
                <w:sz w:val="18"/>
                <w:szCs w:val="18"/>
              </w:rPr>
              <w:t>Potential prohibited content referred to the AFP</w:t>
            </w:r>
          </w:p>
        </w:tc>
        <w:tc>
          <w:tcPr>
            <w:tcW w:w="1282" w:type="dxa"/>
            <w:shd w:val="clear" w:color="auto" w:fill="auto"/>
            <w:vAlign w:val="center"/>
          </w:tcPr>
          <w:p w14:paraId="39E7A7B5" w14:textId="77777777" w:rsidR="005E2699" w:rsidRPr="009A0DB1" w:rsidRDefault="00A4730A" w:rsidP="00A54C72">
            <w:pPr>
              <w:keepNext/>
              <w:spacing w:after="0" w:line="240" w:lineRule="auto"/>
              <w:jc w:val="right"/>
              <w:rPr>
                <w:rFonts w:cs="Arial"/>
                <w:sz w:val="18"/>
                <w:szCs w:val="18"/>
              </w:rPr>
            </w:pPr>
            <w:r>
              <w:rPr>
                <w:rFonts w:cs="Arial"/>
                <w:sz w:val="18"/>
                <w:szCs w:val="18"/>
              </w:rPr>
              <w:t>5</w:t>
            </w:r>
          </w:p>
        </w:tc>
        <w:tc>
          <w:tcPr>
            <w:tcW w:w="1282" w:type="dxa"/>
            <w:shd w:val="clear" w:color="auto" w:fill="auto"/>
            <w:vAlign w:val="center"/>
          </w:tcPr>
          <w:p w14:paraId="0719A81E" w14:textId="77777777" w:rsidR="005E2699" w:rsidRPr="009A0DB1" w:rsidRDefault="00A4730A" w:rsidP="00A54C72">
            <w:pPr>
              <w:keepNext/>
              <w:spacing w:after="0" w:line="240" w:lineRule="auto"/>
              <w:jc w:val="right"/>
              <w:rPr>
                <w:rFonts w:cs="Arial"/>
                <w:sz w:val="18"/>
                <w:szCs w:val="18"/>
              </w:rPr>
            </w:pPr>
            <w:r>
              <w:rPr>
                <w:rFonts w:cs="Arial"/>
                <w:sz w:val="18"/>
                <w:szCs w:val="18"/>
              </w:rPr>
              <w:t>9</w:t>
            </w:r>
          </w:p>
        </w:tc>
        <w:tc>
          <w:tcPr>
            <w:tcW w:w="1283" w:type="dxa"/>
            <w:shd w:val="clear" w:color="auto" w:fill="auto"/>
            <w:vAlign w:val="center"/>
          </w:tcPr>
          <w:p w14:paraId="7E5346CF" w14:textId="77777777" w:rsidR="005E2699" w:rsidRPr="009A0DB1" w:rsidRDefault="00A4730A" w:rsidP="00A54C72">
            <w:pPr>
              <w:keepNext/>
              <w:spacing w:after="0" w:line="240" w:lineRule="auto"/>
              <w:jc w:val="right"/>
              <w:rPr>
                <w:rFonts w:cs="Arial"/>
                <w:sz w:val="18"/>
                <w:szCs w:val="18"/>
              </w:rPr>
            </w:pPr>
            <w:r>
              <w:rPr>
                <w:rFonts w:cs="Arial"/>
                <w:sz w:val="18"/>
                <w:szCs w:val="18"/>
              </w:rPr>
              <w:t>3</w:t>
            </w:r>
          </w:p>
        </w:tc>
      </w:tr>
      <w:tr w:rsidR="00A4730A" w:rsidRPr="003D72F2" w14:paraId="44B65543" w14:textId="77777777" w:rsidTr="008A0A80">
        <w:trPr>
          <w:trHeight w:val="298"/>
        </w:trPr>
        <w:tc>
          <w:tcPr>
            <w:tcW w:w="5505" w:type="dxa"/>
            <w:shd w:val="clear" w:color="auto" w:fill="auto"/>
            <w:noWrap/>
            <w:vAlign w:val="center"/>
          </w:tcPr>
          <w:p w14:paraId="668EEC19" w14:textId="77777777" w:rsidR="00A4730A" w:rsidRDefault="00A4730A" w:rsidP="00A54C72">
            <w:pPr>
              <w:keepNext/>
              <w:spacing w:after="0" w:line="240" w:lineRule="auto"/>
              <w:rPr>
                <w:rFonts w:cs="Arial"/>
                <w:sz w:val="18"/>
                <w:szCs w:val="18"/>
              </w:rPr>
            </w:pPr>
            <w:r>
              <w:rPr>
                <w:rFonts w:cs="Arial"/>
                <w:sz w:val="18"/>
                <w:szCs w:val="18"/>
              </w:rPr>
              <w:t>Investigations into the broadcast of interactive gambling advertisements*</w:t>
            </w:r>
          </w:p>
        </w:tc>
        <w:tc>
          <w:tcPr>
            <w:tcW w:w="1282" w:type="dxa"/>
            <w:shd w:val="clear" w:color="auto" w:fill="auto"/>
            <w:vAlign w:val="center"/>
          </w:tcPr>
          <w:p w14:paraId="14046123" w14:textId="77777777" w:rsidR="00A4730A" w:rsidRPr="009A0DB1" w:rsidRDefault="00A4730A" w:rsidP="00A54C72">
            <w:pPr>
              <w:keepNext/>
              <w:spacing w:after="0" w:line="240" w:lineRule="auto"/>
              <w:jc w:val="right"/>
              <w:rPr>
                <w:rFonts w:cs="Arial"/>
                <w:sz w:val="18"/>
                <w:szCs w:val="18"/>
              </w:rPr>
            </w:pPr>
            <w:r>
              <w:rPr>
                <w:rFonts w:cs="Arial"/>
                <w:sz w:val="18"/>
                <w:szCs w:val="18"/>
              </w:rPr>
              <w:t>0</w:t>
            </w:r>
          </w:p>
        </w:tc>
        <w:tc>
          <w:tcPr>
            <w:tcW w:w="1282" w:type="dxa"/>
            <w:shd w:val="clear" w:color="auto" w:fill="auto"/>
            <w:vAlign w:val="center"/>
          </w:tcPr>
          <w:p w14:paraId="070F3E54" w14:textId="77777777" w:rsidR="00A4730A" w:rsidRPr="009A0DB1" w:rsidRDefault="00A4730A" w:rsidP="00A54C72">
            <w:pPr>
              <w:keepNext/>
              <w:spacing w:after="0" w:line="240" w:lineRule="auto"/>
              <w:jc w:val="right"/>
              <w:rPr>
                <w:rFonts w:cs="Arial"/>
                <w:sz w:val="18"/>
                <w:szCs w:val="18"/>
              </w:rPr>
            </w:pPr>
            <w:r>
              <w:rPr>
                <w:rFonts w:cs="Arial"/>
                <w:sz w:val="18"/>
                <w:szCs w:val="18"/>
              </w:rPr>
              <w:t>0</w:t>
            </w:r>
          </w:p>
        </w:tc>
        <w:tc>
          <w:tcPr>
            <w:tcW w:w="1283" w:type="dxa"/>
            <w:shd w:val="clear" w:color="auto" w:fill="auto"/>
            <w:vAlign w:val="center"/>
          </w:tcPr>
          <w:p w14:paraId="6ED6E259" w14:textId="77777777" w:rsidR="00A4730A" w:rsidRPr="009A0DB1" w:rsidRDefault="00A4730A" w:rsidP="00A54C72">
            <w:pPr>
              <w:keepNext/>
              <w:spacing w:after="0" w:line="240" w:lineRule="auto"/>
              <w:jc w:val="right"/>
              <w:rPr>
                <w:rFonts w:cs="Arial"/>
                <w:sz w:val="18"/>
                <w:szCs w:val="18"/>
              </w:rPr>
            </w:pPr>
            <w:r>
              <w:rPr>
                <w:rFonts w:cs="Arial"/>
                <w:sz w:val="18"/>
                <w:szCs w:val="18"/>
              </w:rPr>
              <w:t>0</w:t>
            </w:r>
          </w:p>
        </w:tc>
      </w:tr>
    </w:tbl>
    <w:p w14:paraId="08E2F76E" w14:textId="77777777" w:rsidR="00017DB8" w:rsidRDefault="005B3CBC" w:rsidP="007A2A5F">
      <w:pPr>
        <w:pStyle w:val="ACMANotes"/>
        <w:spacing w:before="120"/>
      </w:pPr>
      <w:r w:rsidRPr="00EE11DD">
        <w:t>*</w:t>
      </w:r>
      <w:r w:rsidRPr="00D75CEF">
        <w:t xml:space="preserve">Under the IGA, the ACMA only investigates interactive gambling advertisements broadcast on television or radio. </w:t>
      </w:r>
      <w:r w:rsidR="00760BF8">
        <w:t>DoCA</w:t>
      </w:r>
      <w:r w:rsidRPr="00D75CEF">
        <w:t xml:space="preserve"> takes responsibility for all other advertising, such as online or in print</w:t>
      </w:r>
      <w:r>
        <w:t>.</w:t>
      </w:r>
    </w:p>
    <w:p w14:paraId="063AF11C" w14:textId="77777777" w:rsidR="0088397A" w:rsidRDefault="0088397A" w:rsidP="008A0A80">
      <w:pPr>
        <w:pStyle w:val="ACMANotesspaceafter"/>
        <w:spacing w:after="360"/>
      </w:pPr>
      <w:r>
        <w:t xml:space="preserve">Source: </w:t>
      </w:r>
      <w:r w:rsidR="008017F0">
        <w:t>Interactive gambling complaints to the ACMA.</w:t>
      </w:r>
    </w:p>
    <w:p w14:paraId="1E4070DA" w14:textId="77777777" w:rsidR="005B3CBC" w:rsidRPr="005B3CBC" w:rsidRDefault="005B3CBC" w:rsidP="005B3CBC"/>
    <w:p w14:paraId="29361F15" w14:textId="77777777" w:rsidR="00CF02AF" w:rsidRPr="00531CD0" w:rsidRDefault="00CF02AF" w:rsidP="00531CD0">
      <w:pPr>
        <w:pStyle w:val="ACMASpaceaftertable"/>
        <w:rPr>
          <w:i/>
        </w:rPr>
        <w:sectPr w:rsidR="00CF02AF" w:rsidRPr="00531CD0" w:rsidSect="009D17F7">
          <w:endnotePr>
            <w:numFmt w:val="decimal"/>
            <w:numRestart w:val="eachSect"/>
          </w:endnotePr>
          <w:type w:val="continuous"/>
          <w:pgSz w:w="11907" w:h="16839" w:code="9"/>
          <w:pgMar w:top="1945" w:right="1134" w:bottom="1134" w:left="1134" w:header="709" w:footer="119" w:gutter="284"/>
          <w:cols w:space="708"/>
          <w:docGrid w:linePitch="360"/>
        </w:sectPr>
      </w:pPr>
    </w:p>
    <w:p w14:paraId="1C5331D6" w14:textId="77777777" w:rsidR="00D34CFC" w:rsidRPr="00F409C6" w:rsidRDefault="00D34CFC" w:rsidP="00D34CFC">
      <w:pPr>
        <w:pStyle w:val="Heading1"/>
        <w:numPr>
          <w:ilvl w:val="0"/>
          <w:numId w:val="12"/>
        </w:numPr>
        <w:ind w:left="851" w:hanging="851"/>
      </w:pPr>
      <w:bookmarkStart w:id="1243" w:name="_Toc494799453"/>
      <w:bookmarkStart w:id="1244" w:name="_Toc494805756"/>
      <w:bookmarkStart w:id="1245" w:name="_Toc494805989"/>
      <w:bookmarkStart w:id="1246" w:name="_Toc494808219"/>
      <w:bookmarkStart w:id="1247" w:name="_Toc494808873"/>
      <w:bookmarkStart w:id="1248" w:name="_Toc494816058"/>
      <w:bookmarkStart w:id="1249" w:name="_Toc494818887"/>
      <w:bookmarkStart w:id="1250" w:name="_Toc494819150"/>
      <w:bookmarkStart w:id="1251" w:name="_Toc500320915"/>
      <w:bookmarkStart w:id="1252" w:name="_Toc462909469"/>
      <w:bookmarkStart w:id="1253" w:name="_Toc462899655"/>
      <w:bookmarkStart w:id="1254" w:name="_Toc463529150"/>
      <w:r w:rsidRPr="00EE11DD">
        <w:t>National interest issues</w:t>
      </w:r>
      <w:bookmarkEnd w:id="1243"/>
      <w:bookmarkEnd w:id="1244"/>
      <w:bookmarkEnd w:id="1245"/>
      <w:bookmarkEnd w:id="1246"/>
      <w:bookmarkEnd w:id="1247"/>
      <w:bookmarkEnd w:id="1248"/>
      <w:bookmarkEnd w:id="1249"/>
      <w:bookmarkEnd w:id="1250"/>
      <w:bookmarkEnd w:id="1251"/>
    </w:p>
    <w:bookmarkEnd w:id="1252"/>
    <w:p w14:paraId="7C75BAED" w14:textId="7DE1A38A" w:rsidR="004220FB" w:rsidRPr="005A39F1" w:rsidRDefault="004220FB" w:rsidP="004220FB">
      <w:pPr>
        <w:rPr>
          <w:color w:val="37897E"/>
        </w:rPr>
      </w:pPr>
      <w:r w:rsidRPr="005A39F1">
        <w:rPr>
          <w:color w:val="37897E"/>
        </w:rPr>
        <w:t xml:space="preserve">This chapter </w:t>
      </w:r>
      <w:r w:rsidRPr="005A39F1">
        <w:rPr>
          <w:rFonts w:cstheme="minorBidi"/>
          <w:color w:val="37897E"/>
        </w:rPr>
        <w:t>report</w:t>
      </w:r>
      <w:r w:rsidR="00CB4BA6" w:rsidRPr="005A39F1">
        <w:rPr>
          <w:rFonts w:cstheme="minorBidi"/>
          <w:color w:val="37897E"/>
        </w:rPr>
        <w:t>s</w:t>
      </w:r>
      <w:r w:rsidRPr="005A39F1">
        <w:rPr>
          <w:rFonts w:cstheme="minorBidi"/>
          <w:color w:val="37897E"/>
        </w:rPr>
        <w:t xml:space="preserve"> </w:t>
      </w:r>
      <w:r w:rsidRPr="005A39F1">
        <w:rPr>
          <w:color w:val="37897E"/>
        </w:rPr>
        <w:t>on the performance of the emergency call service, national interest issues</w:t>
      </w:r>
      <w:r w:rsidR="005629AB" w:rsidRPr="005A39F1">
        <w:rPr>
          <w:color w:val="37897E"/>
        </w:rPr>
        <w:t xml:space="preserve">, </w:t>
      </w:r>
      <w:r w:rsidRPr="005A39F1">
        <w:rPr>
          <w:color w:val="37897E"/>
        </w:rPr>
        <w:t>cooperation with law enforcement agencies</w:t>
      </w:r>
      <w:r w:rsidR="005629AB" w:rsidRPr="005A39F1">
        <w:rPr>
          <w:color w:val="37897E"/>
        </w:rPr>
        <w:t xml:space="preserve"> and cost of compliance with the requirements of Part 14 of the Telecommunications Act and </w:t>
      </w:r>
      <w:r w:rsidR="005629AB" w:rsidRPr="005A39F1">
        <w:rPr>
          <w:rFonts w:cstheme="minorBidi"/>
          <w:color w:val="37897E"/>
        </w:rPr>
        <w:t xml:space="preserve">Part 5-1A of the </w:t>
      </w:r>
      <w:r w:rsidR="005629AB" w:rsidRPr="005A39F1">
        <w:rPr>
          <w:i/>
          <w:color w:val="37897E"/>
        </w:rPr>
        <w:t>Telecommunications (Interception and Access) Act 1979</w:t>
      </w:r>
      <w:r w:rsidR="005629AB" w:rsidRPr="005A39F1">
        <w:rPr>
          <w:color w:val="37897E"/>
        </w:rPr>
        <w:t xml:space="preserve"> (TIA Act</w:t>
      </w:r>
      <w:r w:rsidR="00E34AB5" w:rsidRPr="005A39F1">
        <w:rPr>
          <w:color w:val="37897E"/>
        </w:rPr>
        <w:t>)</w:t>
      </w:r>
      <w:r w:rsidR="00CB4BA6" w:rsidRPr="005A39F1">
        <w:rPr>
          <w:rFonts w:cstheme="minorBidi"/>
          <w:color w:val="37897E"/>
        </w:rPr>
        <w:t>.</w:t>
      </w:r>
      <w:r w:rsidR="00CB4BA6" w:rsidRPr="005A39F1">
        <w:rPr>
          <w:color w:val="37897E"/>
        </w:rPr>
        <w:t xml:space="preserve"> </w:t>
      </w:r>
      <w:r w:rsidRPr="005A39F1">
        <w:rPr>
          <w:color w:val="37897E"/>
        </w:rPr>
        <w:t>It includes information about the communications industry’s support for law enforcement and national security agencies through the maintenance of communications interception capabilities and the authorised disclosure of information.</w:t>
      </w:r>
      <w:r w:rsidR="005A39F1" w:rsidRPr="005A39F1">
        <w:rPr>
          <w:color w:val="37897E"/>
        </w:rPr>
        <w:t xml:space="preserve"> </w:t>
      </w:r>
      <w:r w:rsidR="00A74165">
        <w:rPr>
          <w:color w:val="37897E"/>
        </w:rPr>
        <w:t>This chapter</w:t>
      </w:r>
      <w:r w:rsidR="00E34AB5" w:rsidRPr="005A39F1">
        <w:rPr>
          <w:color w:val="37897E"/>
        </w:rPr>
        <w:t xml:space="preserve"> addresses </w:t>
      </w:r>
      <w:r w:rsidR="00E34AB5" w:rsidRPr="005A39F1">
        <w:rPr>
          <w:rFonts w:cstheme="minorBidi"/>
          <w:color w:val="37897E"/>
        </w:rPr>
        <w:t>the statutory requirements under paragraph 105(5A) of the Telecommunications Act.</w:t>
      </w:r>
    </w:p>
    <w:p w14:paraId="4B9116C0" w14:textId="77777777" w:rsidR="004220FB" w:rsidRDefault="004220FB" w:rsidP="004220FB">
      <w:pPr>
        <w:pStyle w:val="Heading3"/>
      </w:pPr>
      <w:bookmarkStart w:id="1255" w:name="_Toc433790381"/>
      <w:r>
        <w:t xml:space="preserve">Key points for </w:t>
      </w:r>
      <w:r w:rsidRPr="001A4BCF">
        <w:t>2016–17</w:t>
      </w:r>
    </w:p>
    <w:p w14:paraId="182298F2" w14:textId="77777777" w:rsidR="004220FB" w:rsidRPr="001F3EC2" w:rsidRDefault="004220FB" w:rsidP="0082559D">
      <w:pPr>
        <w:pStyle w:val="ListBullet"/>
      </w:pPr>
      <w:r>
        <w:t xml:space="preserve">The number of </w:t>
      </w:r>
      <w:r w:rsidRPr="001F3EC2">
        <w:t xml:space="preserve">emergency service calls (Triple Zero and 112) increased to just over 8.5 million compared to </w:t>
      </w:r>
      <w:r w:rsidRPr="0082559D">
        <w:t>2015–16.</w:t>
      </w:r>
      <w:r w:rsidRPr="001F3EC2">
        <w:t xml:space="preserve"> Most emergency service calls are made from mobile phones. </w:t>
      </w:r>
    </w:p>
    <w:p w14:paraId="0252438D" w14:textId="77777777" w:rsidR="004220FB" w:rsidRPr="001F3EC2" w:rsidRDefault="004220FB" w:rsidP="0082559D">
      <w:pPr>
        <w:pStyle w:val="ListBullet"/>
      </w:pPr>
      <w:r w:rsidRPr="001F3EC2">
        <w:t xml:space="preserve">Telstra’s performance exceeded the benchmarks for the time taken to answer emergency service calls, although performance times were slightly lower than </w:t>
      </w:r>
      <w:r w:rsidR="00C62652">
        <w:t xml:space="preserve">in </w:t>
      </w:r>
      <w:r w:rsidRPr="001F3EC2">
        <w:t>previous years.</w:t>
      </w:r>
    </w:p>
    <w:p w14:paraId="28F61E37" w14:textId="18CE7AF1" w:rsidR="004220FB" w:rsidRPr="001F3EC2" w:rsidRDefault="004220FB" w:rsidP="0082559D">
      <w:pPr>
        <w:pStyle w:val="ListBullet"/>
      </w:pPr>
      <w:r w:rsidRPr="001F3EC2">
        <w:t>The number of carriage services reported as suspended by CSPs</w:t>
      </w:r>
      <w:r w:rsidRPr="001F3EC2" w:rsidDel="00311544">
        <w:t xml:space="preserve"> </w:t>
      </w:r>
      <w:r w:rsidRPr="001F3EC2">
        <w:t xml:space="preserve">decreased from 28 in </w:t>
      </w:r>
      <w:r w:rsidRPr="0082559D">
        <w:t>201</w:t>
      </w:r>
      <w:r w:rsidR="004A6356">
        <w:t>5</w:t>
      </w:r>
      <w:r w:rsidRPr="0082559D">
        <w:t>–1</w:t>
      </w:r>
      <w:r w:rsidR="004A6356">
        <w:t>6</w:t>
      </w:r>
      <w:r w:rsidRPr="0082559D">
        <w:t xml:space="preserve"> </w:t>
      </w:r>
      <w:r w:rsidRPr="001F3EC2">
        <w:t>to</w:t>
      </w:r>
      <w:r w:rsidR="006A2A67">
        <w:t> </w:t>
      </w:r>
      <w:r w:rsidR="009C6249" w:rsidRPr="001F3EC2">
        <w:t xml:space="preserve">eight </w:t>
      </w:r>
      <w:r w:rsidRPr="001F3EC2">
        <w:t xml:space="preserve">in </w:t>
      </w:r>
      <w:r w:rsidRPr="0082559D">
        <w:t>201</w:t>
      </w:r>
      <w:r w:rsidR="004A6356">
        <w:t>6</w:t>
      </w:r>
      <w:r w:rsidRPr="0082559D">
        <w:t>–1</w:t>
      </w:r>
      <w:r w:rsidR="004A6356">
        <w:t>7</w:t>
      </w:r>
      <w:r w:rsidRPr="0082559D">
        <w:t>.</w:t>
      </w:r>
    </w:p>
    <w:p w14:paraId="04F1DAFC" w14:textId="2C80C3E3" w:rsidR="004220FB" w:rsidRPr="001F3EC2" w:rsidRDefault="004220FB" w:rsidP="0082559D">
      <w:pPr>
        <w:pStyle w:val="ListBullet"/>
      </w:pPr>
      <w:r w:rsidRPr="001F3EC2">
        <w:t xml:space="preserve">The cost to industry of providing interception capabilities decreased from $22.6 million </w:t>
      </w:r>
      <w:r w:rsidR="00C62652">
        <w:t xml:space="preserve">in </w:t>
      </w:r>
      <w:r w:rsidRPr="0082559D">
        <w:t xml:space="preserve">2015–16 </w:t>
      </w:r>
      <w:r w:rsidRPr="001F3EC2">
        <w:t>to</w:t>
      </w:r>
      <w:r w:rsidR="006A2A67">
        <w:t> </w:t>
      </w:r>
      <w:r w:rsidRPr="001F3EC2">
        <w:t>$22 million.</w:t>
      </w:r>
    </w:p>
    <w:p w14:paraId="4D6AA61A" w14:textId="77777777" w:rsidR="004220FB" w:rsidRDefault="004220FB" w:rsidP="0082559D">
      <w:pPr>
        <w:pStyle w:val="ListBullet"/>
      </w:pPr>
      <w:r w:rsidRPr="001F3EC2">
        <w:t>The number of disclosures made by CSPs and carriers reported under section 308 of the Telecommunications Ac</w:t>
      </w:r>
      <w:r w:rsidRPr="00530A2E">
        <w:t xml:space="preserve">t </w:t>
      </w:r>
      <w:r>
        <w:t>was 638,371</w:t>
      </w:r>
      <w:r w:rsidRPr="00F25524">
        <w:rPr>
          <w:rFonts w:cs="Arial"/>
        </w:rPr>
        <w:t>—</w:t>
      </w:r>
      <w:r>
        <w:t xml:space="preserve">a decrease of 4.4 per cent compared to </w:t>
      </w:r>
      <w:r>
        <w:rPr>
          <w:snapToGrid w:val="0"/>
        </w:rPr>
        <w:t>2015</w:t>
      </w:r>
      <w:r w:rsidRPr="00530A2E">
        <w:rPr>
          <w:snapToGrid w:val="0"/>
        </w:rPr>
        <w:t>–1</w:t>
      </w:r>
      <w:r>
        <w:rPr>
          <w:snapToGrid w:val="0"/>
        </w:rPr>
        <w:t>6</w:t>
      </w:r>
      <w:r w:rsidRPr="00530A2E">
        <w:t>.</w:t>
      </w:r>
    </w:p>
    <w:p w14:paraId="0F7301E6" w14:textId="77777777" w:rsidR="004220FB" w:rsidRDefault="004220FB" w:rsidP="0082559D">
      <w:pPr>
        <w:pStyle w:val="ListBulletLast"/>
      </w:pPr>
      <w:r w:rsidRPr="001F60F8">
        <w:t>In April 2017, the ACMA revised the regulatory arrangements for prepaid mobile services to</w:t>
      </w:r>
      <w:r>
        <w:t>,</w:t>
      </w:r>
      <w:r w:rsidRPr="001F60F8">
        <w:t xml:space="preserve"> among other things, make it simpler for mobile providers to supply prepaid mobile services for people in emergency situations where they </w:t>
      </w:r>
      <w:r w:rsidR="00C62652">
        <w:t>are unable to</w:t>
      </w:r>
      <w:r w:rsidR="00C62652" w:rsidRPr="001F60F8">
        <w:t xml:space="preserve"> </w:t>
      </w:r>
      <w:r w:rsidRPr="001F60F8">
        <w:t>return home due to natural disasters, or because of family violence.</w:t>
      </w:r>
    </w:p>
    <w:p w14:paraId="4A1C8ED9" w14:textId="77777777" w:rsidR="004220FB" w:rsidRPr="00F75CF7" w:rsidRDefault="004220FB" w:rsidP="004220FB">
      <w:pPr>
        <w:pStyle w:val="Heading2"/>
        <w:numPr>
          <w:ilvl w:val="1"/>
          <w:numId w:val="19"/>
        </w:numPr>
        <w:ind w:hanging="792"/>
      </w:pPr>
      <w:bookmarkStart w:id="1256" w:name="_Toc494816790"/>
      <w:bookmarkStart w:id="1257" w:name="_Toc494817057"/>
      <w:bookmarkStart w:id="1258" w:name="_Toc494817324"/>
      <w:bookmarkStart w:id="1259" w:name="_Toc494817591"/>
      <w:bookmarkStart w:id="1260" w:name="_Toc494817858"/>
      <w:bookmarkStart w:id="1261" w:name="_Toc494818125"/>
      <w:bookmarkStart w:id="1262" w:name="_Toc494818392"/>
      <w:bookmarkStart w:id="1263" w:name="_Toc494818889"/>
      <w:bookmarkStart w:id="1264" w:name="_Toc494799455"/>
      <w:bookmarkStart w:id="1265" w:name="_Toc494805758"/>
      <w:bookmarkStart w:id="1266" w:name="_Toc494805991"/>
      <w:bookmarkStart w:id="1267" w:name="_Toc494816060"/>
      <w:bookmarkStart w:id="1268" w:name="_Toc494819152"/>
      <w:bookmarkStart w:id="1269" w:name="_Toc494808221"/>
      <w:bookmarkStart w:id="1270" w:name="_Toc494808875"/>
      <w:bookmarkStart w:id="1271" w:name="_Toc494818890"/>
      <w:bookmarkStart w:id="1272" w:name="_Toc500320916"/>
      <w:bookmarkEnd w:id="1255"/>
      <w:bookmarkEnd w:id="1256"/>
      <w:bookmarkEnd w:id="1257"/>
      <w:bookmarkEnd w:id="1258"/>
      <w:bookmarkEnd w:id="1259"/>
      <w:bookmarkEnd w:id="1260"/>
      <w:bookmarkEnd w:id="1261"/>
      <w:bookmarkEnd w:id="1262"/>
      <w:bookmarkEnd w:id="1263"/>
      <w:r w:rsidRPr="00F75CF7">
        <w:t>Emergency call service</w:t>
      </w:r>
      <w:bookmarkEnd w:id="1264"/>
      <w:bookmarkEnd w:id="1265"/>
      <w:bookmarkEnd w:id="1266"/>
      <w:bookmarkEnd w:id="1267"/>
      <w:bookmarkEnd w:id="1268"/>
      <w:bookmarkEnd w:id="1269"/>
      <w:bookmarkEnd w:id="1270"/>
      <w:bookmarkEnd w:id="1271"/>
      <w:bookmarkEnd w:id="1272"/>
      <w:r w:rsidRPr="00F75CF7">
        <w:t xml:space="preserve"> </w:t>
      </w:r>
    </w:p>
    <w:p w14:paraId="44A100CF" w14:textId="77777777" w:rsidR="004220FB" w:rsidRPr="0032755E" w:rsidRDefault="004220FB" w:rsidP="004220FB">
      <w:r w:rsidRPr="0032755E">
        <w:t xml:space="preserve">Under the </w:t>
      </w:r>
      <w:r w:rsidRPr="00CB4BA6">
        <w:t>Telecommunications (Emergency Call Service) Determination 2009</w:t>
      </w:r>
      <w:r w:rsidRPr="0032755E">
        <w:t xml:space="preserve"> (Emergency Call Service Determination), CSPs are required to provide free access to the emergency call service from standard telephone and mobile services. The emergency call service is an operator-assisted service that connects callers to an emergency service organisation (ESO)—police, fire or ambulance—in life-threatening or time-critical situations.</w:t>
      </w:r>
    </w:p>
    <w:p w14:paraId="6FA8E734" w14:textId="77777777" w:rsidR="004220FB" w:rsidRPr="0032755E" w:rsidRDefault="004220FB" w:rsidP="004220FB">
      <w:pPr>
        <w:spacing w:after="80"/>
      </w:pPr>
      <w:r w:rsidRPr="0032755E">
        <w:t>The emergency call service is provided by the emergency call persons (ECPs), who are:</w:t>
      </w:r>
    </w:p>
    <w:p w14:paraId="3DBAA635" w14:textId="77777777" w:rsidR="004220FB" w:rsidRPr="0032755E" w:rsidRDefault="004220FB" w:rsidP="00A00E0D">
      <w:pPr>
        <w:pStyle w:val="ListBullet"/>
      </w:pPr>
      <w:r w:rsidRPr="0032755E">
        <w:t xml:space="preserve">Telstra—for calls made to the primary emergency service number (Triple Zero) and to the international emergency number 112 from </w:t>
      </w:r>
      <w:r w:rsidRPr="00C62652">
        <w:t>mobile</w:t>
      </w:r>
      <w:r w:rsidRPr="0032755E">
        <w:t xml:space="preserve"> phones</w:t>
      </w:r>
    </w:p>
    <w:p w14:paraId="3C8723E2" w14:textId="77777777" w:rsidR="004220FB" w:rsidRPr="0032755E" w:rsidRDefault="004220FB" w:rsidP="00A00E0D">
      <w:pPr>
        <w:pStyle w:val="ListBulletLast"/>
      </w:pPr>
      <w:r w:rsidRPr="0032755E">
        <w:t xml:space="preserve">Australian </w:t>
      </w:r>
      <w:r w:rsidRPr="00C62652">
        <w:t>Communication</w:t>
      </w:r>
      <w:r w:rsidRPr="0032755E">
        <w:t xml:space="preserve"> Exchange (ACE)—for calls made to the 106 text service for people who are </w:t>
      </w:r>
      <w:r>
        <w:t>d</w:t>
      </w:r>
      <w:r w:rsidRPr="0032755E">
        <w:t>eaf or have a hearing or speech impairment.</w:t>
      </w:r>
    </w:p>
    <w:p w14:paraId="27786CC5" w14:textId="77777777" w:rsidR="004220FB" w:rsidRPr="0032755E" w:rsidRDefault="004220FB" w:rsidP="004220FB">
      <w:r w:rsidRPr="0032755E">
        <w:t>This section outlines the volume and type of calls to the emergency call service, along with the performance of the ECPs in answering emergency calls.</w:t>
      </w:r>
    </w:p>
    <w:p w14:paraId="51F188F9" w14:textId="77777777" w:rsidR="004220FB" w:rsidRPr="0032755E" w:rsidRDefault="004220FB" w:rsidP="007A2A5F">
      <w:pPr>
        <w:pStyle w:val="Heading3"/>
        <w:keepLines/>
      </w:pPr>
      <w:bookmarkStart w:id="1273" w:name="_Toc494799456"/>
      <w:bookmarkStart w:id="1274" w:name="_Toc494805759"/>
      <w:bookmarkStart w:id="1275" w:name="_Toc494805992"/>
      <w:bookmarkStart w:id="1276" w:name="_Toc494808222"/>
      <w:bookmarkStart w:id="1277" w:name="_Toc494808876"/>
      <w:bookmarkStart w:id="1278" w:name="_Toc494816061"/>
      <w:bookmarkStart w:id="1279" w:name="_Toc494818891"/>
      <w:bookmarkStart w:id="1280" w:name="_Toc494819153"/>
      <w:r w:rsidRPr="0032755E">
        <w:t xml:space="preserve">Emergency call </w:t>
      </w:r>
      <w:r w:rsidRPr="00D770DE">
        <w:t>service</w:t>
      </w:r>
      <w:r w:rsidRPr="0032755E">
        <w:t>—Triple Zero and 112</w:t>
      </w:r>
      <w:bookmarkEnd w:id="1273"/>
      <w:bookmarkEnd w:id="1274"/>
      <w:bookmarkEnd w:id="1275"/>
      <w:bookmarkEnd w:id="1276"/>
      <w:bookmarkEnd w:id="1277"/>
      <w:bookmarkEnd w:id="1278"/>
      <w:bookmarkEnd w:id="1279"/>
      <w:bookmarkEnd w:id="1280"/>
    </w:p>
    <w:p w14:paraId="3A209645" w14:textId="6BCD5DE8" w:rsidR="004220FB" w:rsidRPr="0032755E" w:rsidRDefault="004220FB" w:rsidP="007A2A5F">
      <w:pPr>
        <w:keepNext/>
        <w:keepLines/>
      </w:pPr>
      <w:r w:rsidRPr="0032755E">
        <w:t xml:space="preserve">When dialling </w:t>
      </w:r>
      <w:r w:rsidRPr="0032755E" w:rsidDel="00805C7A">
        <w:t>Triple Zero</w:t>
      </w:r>
      <w:r w:rsidRPr="0032755E">
        <w:t>,</w:t>
      </w:r>
      <w:r w:rsidRPr="0032755E" w:rsidDel="00805C7A">
        <w:t xml:space="preserve"> a</w:t>
      </w:r>
      <w:r w:rsidRPr="0032755E">
        <w:t xml:space="preserve"> recorded voice announcement (RVA) </w:t>
      </w:r>
      <w:r w:rsidR="00C62652">
        <w:t>gives</w:t>
      </w:r>
      <w:r w:rsidR="00C62652" w:rsidRPr="0032755E" w:rsidDel="00805C7A">
        <w:t xml:space="preserve"> </w:t>
      </w:r>
      <w:r w:rsidRPr="0032755E">
        <w:t xml:space="preserve">callers who have inadvertently dialled Triple Zero the opportunity to hang up before the call is connected to the ECP. </w:t>
      </w:r>
      <w:r w:rsidRPr="0032755E" w:rsidDel="00805C7A">
        <w:t xml:space="preserve">In </w:t>
      </w:r>
      <w:r w:rsidRPr="0032755E">
        <w:t>201</w:t>
      </w:r>
      <w:r>
        <w:t>6–17</w:t>
      </w:r>
      <w:r w:rsidRPr="0032755E" w:rsidDel="00805C7A">
        <w:t xml:space="preserve">, </w:t>
      </w:r>
      <w:r>
        <w:t>3.7</w:t>
      </w:r>
      <w:r w:rsidR="00C62652">
        <w:t> </w:t>
      </w:r>
      <w:r w:rsidRPr="0032755E" w:rsidDel="00805C7A">
        <w:t>per</w:t>
      </w:r>
      <w:r w:rsidR="00C62652">
        <w:t> </w:t>
      </w:r>
      <w:r w:rsidRPr="0032755E" w:rsidDel="00805C7A">
        <w:t xml:space="preserve">cent of calls to Triple Zero were from callers who hung up </w:t>
      </w:r>
      <w:r w:rsidRPr="0032755E">
        <w:t xml:space="preserve">after hearing </w:t>
      </w:r>
      <w:r w:rsidRPr="0032755E" w:rsidDel="00805C7A">
        <w:t>the RVA</w:t>
      </w:r>
      <w:r w:rsidRPr="0032755E">
        <w:t>, leaving</w:t>
      </w:r>
      <w:r w:rsidRPr="0032755E" w:rsidDel="00805C7A">
        <w:t xml:space="preserve"> </w:t>
      </w:r>
      <w:r w:rsidRPr="0032755E">
        <w:t>96.</w:t>
      </w:r>
      <w:r>
        <w:t>3</w:t>
      </w:r>
      <w:r w:rsidRPr="0032755E" w:rsidDel="00805C7A">
        <w:t xml:space="preserve"> per</w:t>
      </w:r>
      <w:r w:rsidR="006A2A67">
        <w:t> </w:t>
      </w:r>
      <w:r w:rsidRPr="0032755E" w:rsidDel="00805C7A">
        <w:t xml:space="preserve">cent of calls </w:t>
      </w:r>
      <w:r w:rsidRPr="0032755E">
        <w:t xml:space="preserve">to be </w:t>
      </w:r>
      <w:r w:rsidRPr="0032755E" w:rsidDel="00805C7A">
        <w:t>connected to the ECP.</w:t>
      </w:r>
    </w:p>
    <w:p w14:paraId="0F31986E" w14:textId="77777777" w:rsidR="004220FB" w:rsidRPr="0032755E" w:rsidRDefault="004220FB" w:rsidP="004220FB">
      <w:r w:rsidRPr="0032755E" w:rsidDel="00805C7A">
        <w:t>ECP data shows the</w:t>
      </w:r>
      <w:r w:rsidRPr="0032755E">
        <w:t xml:space="preserve"> </w:t>
      </w:r>
      <w:r w:rsidRPr="0032755E" w:rsidDel="00805C7A">
        <w:t>number of calls to the Triple Zero and 112 emergency service numbers</w:t>
      </w:r>
      <w:r w:rsidRPr="0032755E">
        <w:t xml:space="preserve"> </w:t>
      </w:r>
      <w:r>
        <w:t>increased</w:t>
      </w:r>
      <w:r w:rsidRPr="0032755E">
        <w:t xml:space="preserve"> by </w:t>
      </w:r>
      <w:r>
        <w:t>229,374</w:t>
      </w:r>
      <w:r w:rsidRPr="0032755E">
        <w:t xml:space="preserve"> (</w:t>
      </w:r>
      <w:r>
        <w:t>2.7</w:t>
      </w:r>
      <w:r w:rsidRPr="0032755E">
        <w:t xml:space="preserve"> per cent) to </w:t>
      </w:r>
      <w:r>
        <w:t>8,580,119</w:t>
      </w:r>
      <w:r w:rsidRPr="0032755E">
        <w:t xml:space="preserve"> calls in 201</w:t>
      </w:r>
      <w:r>
        <w:t>6–17</w:t>
      </w:r>
      <w:r w:rsidRPr="0032755E" w:rsidDel="00805C7A">
        <w:t xml:space="preserve"> (Table </w:t>
      </w:r>
      <w:r w:rsidRPr="0032755E">
        <w:t>4</w:t>
      </w:r>
      <w:r w:rsidRPr="0032755E" w:rsidDel="00805C7A">
        <w:t>.1).</w:t>
      </w:r>
      <w:r w:rsidRPr="0032755E">
        <w:t xml:space="preserve"> </w:t>
      </w:r>
    </w:p>
    <w:p w14:paraId="7CB172BF" w14:textId="77777777" w:rsidR="004220FB" w:rsidRPr="0032755E" w:rsidRDefault="004220FB" w:rsidP="004220FB">
      <w:r w:rsidRPr="0032755E">
        <w:t>In 201</w:t>
      </w:r>
      <w:r>
        <w:t>6–17</w:t>
      </w:r>
      <w:r w:rsidRPr="0032755E">
        <w:t xml:space="preserve">, </w:t>
      </w:r>
      <w:r>
        <w:t>69.7</w:t>
      </w:r>
      <w:r w:rsidRPr="0032755E">
        <w:t xml:space="preserve"> per cent of emergency calls (</w:t>
      </w:r>
      <w:r>
        <w:t>5,977,477</w:t>
      </w:r>
      <w:r w:rsidRPr="0032755E">
        <w:t xml:space="preserve">) were made from mobile phones (Table 4.1). Calls from fixed-line telephones represented </w:t>
      </w:r>
      <w:r>
        <w:t>29.5</w:t>
      </w:r>
      <w:r w:rsidRPr="0032755E">
        <w:t xml:space="preserve"> per cent of emergency calls, while </w:t>
      </w:r>
      <w:r>
        <w:t>2.3</w:t>
      </w:r>
      <w:r w:rsidRPr="0032755E">
        <w:t xml:space="preserve"> per cent were made from public payphones</w:t>
      </w:r>
      <w:r>
        <w:t>.</w:t>
      </w:r>
      <w:r>
        <w:rPr>
          <w:rStyle w:val="EndnoteReference"/>
        </w:rPr>
        <w:endnoteReference w:id="234"/>
      </w:r>
      <w:r w:rsidRPr="0032755E">
        <w:t xml:space="preserve"> </w:t>
      </w:r>
    </w:p>
    <w:p w14:paraId="3E8C11D5" w14:textId="77777777" w:rsidR="004220FB" w:rsidRPr="0032755E" w:rsidRDefault="004220FB" w:rsidP="004220FB">
      <w:pPr>
        <w:pStyle w:val="Heading3"/>
      </w:pPr>
      <w:bookmarkStart w:id="1281" w:name="_Toc494799457"/>
      <w:bookmarkStart w:id="1282" w:name="_Toc494805760"/>
      <w:bookmarkStart w:id="1283" w:name="_Toc494805993"/>
      <w:bookmarkStart w:id="1284" w:name="_Toc494808223"/>
      <w:bookmarkStart w:id="1285" w:name="_Toc494808877"/>
      <w:bookmarkStart w:id="1286" w:name="_Toc494816062"/>
      <w:bookmarkStart w:id="1287" w:name="_Toc494818892"/>
      <w:bookmarkStart w:id="1288" w:name="_Toc494819154"/>
      <w:r w:rsidRPr="0032755E">
        <w:t>Telstra’s performance in answering emergency calls</w:t>
      </w:r>
      <w:bookmarkEnd w:id="1281"/>
      <w:bookmarkEnd w:id="1282"/>
      <w:bookmarkEnd w:id="1283"/>
      <w:bookmarkEnd w:id="1284"/>
      <w:bookmarkEnd w:id="1285"/>
      <w:bookmarkEnd w:id="1286"/>
      <w:bookmarkEnd w:id="1287"/>
      <w:bookmarkEnd w:id="1288"/>
    </w:p>
    <w:p w14:paraId="1E94E961" w14:textId="77777777" w:rsidR="004220FB" w:rsidRPr="0032755E" w:rsidRDefault="004220FB" w:rsidP="004220FB">
      <w:pPr>
        <w:spacing w:after="80"/>
      </w:pPr>
      <w:r w:rsidRPr="0032755E">
        <w:t>Section 32 of the Emergency Call Service Determination sets out performance criteria for the ECPs</w:t>
      </w:r>
      <w:r>
        <w:t>’</w:t>
      </w:r>
      <w:r w:rsidRPr="0032755E">
        <w:t xml:space="preserve"> answering of calls to Triple Zero and 112, as follows:</w:t>
      </w:r>
    </w:p>
    <w:p w14:paraId="51C9EF46" w14:textId="77777777" w:rsidR="004220FB" w:rsidRPr="00656305" w:rsidRDefault="004220FB" w:rsidP="00F3697E">
      <w:pPr>
        <w:pStyle w:val="ListBullet"/>
      </w:pPr>
      <w:r w:rsidRPr="00656305">
        <w:t xml:space="preserve">85 per </w:t>
      </w:r>
      <w:r w:rsidRPr="004220FB">
        <w:t>cent</w:t>
      </w:r>
      <w:r w:rsidRPr="00656305">
        <w:t xml:space="preserve"> of </w:t>
      </w:r>
      <w:r w:rsidRPr="00656305" w:rsidDel="00436294">
        <w:t xml:space="preserve">emergency </w:t>
      </w:r>
      <w:r w:rsidRPr="00656305">
        <w:t>calls answered within five seconds</w:t>
      </w:r>
    </w:p>
    <w:p w14:paraId="4AED43BE" w14:textId="77777777" w:rsidR="004220FB" w:rsidRPr="00656305" w:rsidRDefault="004220FB" w:rsidP="00DC2B04">
      <w:pPr>
        <w:pStyle w:val="ListBulletLast"/>
      </w:pPr>
      <w:r w:rsidRPr="004220FB">
        <w:t>95</w:t>
      </w:r>
      <w:r w:rsidRPr="00656305">
        <w:t xml:space="preserve"> per cent of </w:t>
      </w:r>
      <w:r w:rsidRPr="00656305" w:rsidDel="00436294">
        <w:t xml:space="preserve">emergency </w:t>
      </w:r>
      <w:r w:rsidRPr="00656305">
        <w:t>calls answered within 10 seconds.</w:t>
      </w:r>
    </w:p>
    <w:p w14:paraId="0B4CBEC5" w14:textId="77777777" w:rsidR="004220FB" w:rsidRPr="0032755E" w:rsidRDefault="004220FB" w:rsidP="004220FB">
      <w:r w:rsidRPr="0032755E">
        <w:t>As in previous years, Telstra performed well above the regulatory requirement in the reporting period (Table 4</w:t>
      </w:r>
      <w:r w:rsidRPr="0032755E" w:rsidDel="00890F76">
        <w:t>.1).</w:t>
      </w:r>
    </w:p>
    <w:p w14:paraId="1A3F50E1" w14:textId="77777777" w:rsidR="004220FB" w:rsidRPr="0032755E" w:rsidRDefault="004220FB" w:rsidP="004220FB">
      <w:pPr>
        <w:pStyle w:val="Heading3"/>
      </w:pPr>
      <w:bookmarkStart w:id="1289" w:name="_Toc494799458"/>
      <w:bookmarkStart w:id="1290" w:name="_Toc494805761"/>
      <w:bookmarkStart w:id="1291" w:name="_Toc494805994"/>
      <w:bookmarkStart w:id="1292" w:name="_Toc494808224"/>
      <w:bookmarkStart w:id="1293" w:name="_Toc494808878"/>
      <w:bookmarkStart w:id="1294" w:name="_Toc494816063"/>
      <w:bookmarkStart w:id="1295" w:name="_Toc494818893"/>
      <w:bookmarkStart w:id="1296" w:name="_Toc494819155"/>
      <w:r w:rsidRPr="0032755E">
        <w:t xml:space="preserve">Calls connected to </w:t>
      </w:r>
      <w:bookmarkEnd w:id="1289"/>
      <w:bookmarkEnd w:id="1290"/>
      <w:bookmarkEnd w:id="1291"/>
      <w:bookmarkEnd w:id="1292"/>
      <w:bookmarkEnd w:id="1293"/>
      <w:bookmarkEnd w:id="1294"/>
      <w:bookmarkEnd w:id="1295"/>
      <w:bookmarkEnd w:id="1296"/>
      <w:r w:rsidR="00C62652">
        <w:t>ESOs</w:t>
      </w:r>
    </w:p>
    <w:p w14:paraId="0A0E7BE4" w14:textId="77777777" w:rsidR="004220FB" w:rsidRPr="0032755E" w:rsidRDefault="004220FB" w:rsidP="004220FB">
      <w:r w:rsidRPr="0032755E">
        <w:t xml:space="preserve">The ECP for Triple Zero and 112 transfers emergency calls to the relevant state or territory </w:t>
      </w:r>
      <w:r w:rsidRPr="0032755E" w:rsidDel="00436294">
        <w:t xml:space="preserve">emergency service answering point </w:t>
      </w:r>
      <w:r w:rsidRPr="0032755E">
        <w:t>that is responsible for arranging the dispatch of an emergency response. In 201</w:t>
      </w:r>
      <w:r>
        <w:t>6–17</w:t>
      </w:r>
      <w:r w:rsidRPr="0032755E">
        <w:t xml:space="preserve">, </w:t>
      </w:r>
      <w:r>
        <w:t>6,335,601</w:t>
      </w:r>
      <w:r w:rsidRPr="0032755E">
        <w:t xml:space="preserve"> calls were transferred to an ESO, an increase of </w:t>
      </w:r>
      <w:r>
        <w:t>2.5</w:t>
      </w:r>
      <w:r w:rsidRPr="0032755E">
        <w:t xml:space="preserve"> per cent </w:t>
      </w:r>
      <w:r>
        <w:t xml:space="preserve">from </w:t>
      </w:r>
      <w:r w:rsidRPr="0032755E">
        <w:t>201</w:t>
      </w:r>
      <w:r>
        <w:t>5–16</w:t>
      </w:r>
      <w:r w:rsidRPr="0032755E">
        <w:t xml:space="preserve"> (Table</w:t>
      </w:r>
      <w:r w:rsidR="00C62652">
        <w:t> </w:t>
      </w:r>
      <w:r w:rsidRPr="0032755E">
        <w:t>4.1).</w:t>
      </w:r>
    </w:p>
    <w:p w14:paraId="68B39D7C" w14:textId="77777777" w:rsidR="004220FB" w:rsidRPr="0032755E" w:rsidRDefault="004220FB" w:rsidP="004220FB">
      <w:r w:rsidRPr="0032755E" w:rsidDel="00805C7A">
        <w:t>Calls identified by the ECP as being non-emergency calls are not connected to an ESO. Non-emergency calls include misdials, automatically generated calls from incorrectly programmed fax machines or modems, callers reporting matters that are not emergencies, and hoax and malicious calls.</w:t>
      </w:r>
    </w:p>
    <w:p w14:paraId="4DAD9F13" w14:textId="77777777" w:rsidR="004220FB" w:rsidRPr="00AA0C44" w:rsidRDefault="004220FB" w:rsidP="004220FB">
      <w:r w:rsidRPr="00AA0C44">
        <w:t xml:space="preserve">The proportion of ECP-answered calls transferred to an ESO </w:t>
      </w:r>
      <w:r>
        <w:t xml:space="preserve">was similar in 2016–17 (77.1 per cent) to </w:t>
      </w:r>
      <w:r w:rsidRPr="0032755E">
        <w:t>201</w:t>
      </w:r>
      <w:r>
        <w:t>5–16</w:t>
      </w:r>
      <w:r w:rsidRPr="0032755E">
        <w:t xml:space="preserve"> </w:t>
      </w:r>
      <w:r>
        <w:t>(77.2 per cent)</w:t>
      </w:r>
      <w:r w:rsidRPr="00AA0C44">
        <w:t xml:space="preserve">. </w:t>
      </w:r>
      <w:r>
        <w:t xml:space="preserve">In </w:t>
      </w:r>
      <w:r w:rsidRPr="00AA0C44">
        <w:t>201</w:t>
      </w:r>
      <w:r>
        <w:t>6–17, the proportion of calls requiring transfer to an ESO</w:t>
      </w:r>
      <w:r w:rsidRPr="00AA0C44">
        <w:t xml:space="preserve"> </w:t>
      </w:r>
      <w:r>
        <w:t>increased by</w:t>
      </w:r>
      <w:r w:rsidRPr="00AA0C44">
        <w:t xml:space="preserve"> </w:t>
      </w:r>
      <w:r>
        <w:t>2.5</w:t>
      </w:r>
      <w:r w:rsidR="00C62652">
        <w:t> </w:t>
      </w:r>
      <w:r>
        <w:t>per cent</w:t>
      </w:r>
      <w:r w:rsidRPr="00AA0C44">
        <w:t xml:space="preserve"> </w:t>
      </w:r>
      <w:r>
        <w:t xml:space="preserve">from </w:t>
      </w:r>
      <w:r w:rsidRPr="0032755E">
        <w:t>201</w:t>
      </w:r>
      <w:r>
        <w:t>5–16</w:t>
      </w:r>
      <w:r w:rsidRPr="0032755E">
        <w:t xml:space="preserve"> </w:t>
      </w:r>
      <w:r w:rsidRPr="00AA0C44">
        <w:t xml:space="preserve">(Table 4.1). This </w:t>
      </w:r>
      <w:r>
        <w:t xml:space="preserve">change is a positive one, reflecting </w:t>
      </w:r>
      <w:r w:rsidRPr="00AA0C44">
        <w:t>the efforts of the ECP in managing the number of non-emergency calls made to the Triple Zero service.</w:t>
      </w:r>
    </w:p>
    <w:p w14:paraId="18BC6D81" w14:textId="77777777" w:rsidR="004220FB" w:rsidRPr="0032755E" w:rsidRDefault="004220FB" w:rsidP="004220FB">
      <w:r w:rsidRPr="0032755E" w:rsidDel="00805C7A">
        <w:t xml:space="preserve">The ACMA is continuing to monitor the results of an escalated warning process that was introduced in July 2009, and is managed by Telstra (as the ECP for Triple Zero and 112) and the three mobile network </w:t>
      </w:r>
      <w:r w:rsidRPr="0032755E">
        <w:t>carriers</w:t>
      </w:r>
      <w:r w:rsidRPr="0032755E" w:rsidDel="00805C7A">
        <w:t xml:space="preserve">. </w:t>
      </w:r>
      <w:r w:rsidRPr="0032755E">
        <w:t>This process</w:t>
      </w:r>
      <w:r w:rsidRPr="0032755E" w:rsidDel="00805C7A">
        <w:t xml:space="preserve"> can lead to a mobile handset being blocked from making most calls if it is used to make repeated non-emergency calls to Triple Zero. </w:t>
      </w:r>
      <w:r w:rsidRPr="0032755E">
        <w:t xml:space="preserve">Experience is showing that the risk of account suspension and police referral is acting as a significant deterrent. </w:t>
      </w:r>
      <w:r w:rsidRPr="0032755E" w:rsidDel="00805C7A">
        <w:t xml:space="preserve">On average, </w:t>
      </w:r>
      <w:r w:rsidRPr="0032755E">
        <w:t>99</w:t>
      </w:r>
      <w:r w:rsidRPr="0032755E" w:rsidDel="00805C7A">
        <w:t xml:space="preserve"> per cent of callers making repeated non-emergency calls are deterred from further misuse after receiving a warning from the</w:t>
      </w:r>
      <w:r>
        <w:t> </w:t>
      </w:r>
      <w:r w:rsidRPr="0032755E" w:rsidDel="00805C7A">
        <w:t xml:space="preserve">ECP. </w:t>
      </w:r>
    </w:p>
    <w:p w14:paraId="0FC199ED" w14:textId="77777777" w:rsidR="000A38CC" w:rsidRPr="006E0730" w:rsidRDefault="000A38CC" w:rsidP="005A39F1">
      <w:pPr>
        <w:keepNext/>
        <w:keepLines/>
        <w:spacing w:after="160"/>
        <w:ind w:left="1136" w:hanging="1136"/>
      </w:pPr>
      <w:r w:rsidRPr="006E0730">
        <w:rPr>
          <w:b/>
          <w:bCs/>
          <w:color w:val="323232"/>
          <w:szCs w:val="20"/>
        </w:rPr>
        <w:t>Table 4.</w:t>
      </w:r>
      <w:r w:rsidRPr="009C1BE9">
        <w:rPr>
          <w:b/>
          <w:bCs/>
          <w:color w:val="323232"/>
          <w:szCs w:val="20"/>
        </w:rPr>
        <w:fldChar w:fldCharType="begin"/>
      </w:r>
      <w:r w:rsidRPr="006E0730">
        <w:rPr>
          <w:b/>
          <w:bCs/>
          <w:color w:val="323232"/>
          <w:szCs w:val="20"/>
        </w:rPr>
        <w:instrText xml:space="preserve"> SEQ Table \r 1\* ARABIC </w:instrText>
      </w:r>
      <w:r w:rsidRPr="009C1BE9">
        <w:rPr>
          <w:b/>
          <w:bCs/>
          <w:color w:val="323232"/>
          <w:szCs w:val="20"/>
        </w:rPr>
        <w:fldChar w:fldCharType="separate"/>
      </w:r>
      <w:r w:rsidR="00FA0614">
        <w:rPr>
          <w:b/>
          <w:bCs/>
          <w:noProof/>
          <w:color w:val="323232"/>
          <w:szCs w:val="20"/>
        </w:rPr>
        <w:t>1</w:t>
      </w:r>
      <w:r w:rsidRPr="009C1BE9">
        <w:rPr>
          <w:b/>
          <w:bCs/>
          <w:color w:val="323232"/>
          <w:szCs w:val="20"/>
        </w:rPr>
        <w:fldChar w:fldCharType="end"/>
      </w:r>
      <w:r w:rsidRPr="006E0730">
        <w:rPr>
          <w:b/>
          <w:bCs/>
          <w:color w:val="323232"/>
          <w:szCs w:val="20"/>
        </w:rPr>
        <w:tab/>
        <w:t>Call volumes to emergency service numbers Triple Zero and 112, and call answering times</w:t>
      </w:r>
      <w:r>
        <w:rPr>
          <w:b/>
          <w:bCs/>
          <w:color w:val="323232"/>
          <w:szCs w:val="20"/>
        </w:rPr>
        <w:t xml:space="preserve"> (percentage)</w:t>
      </w:r>
    </w:p>
    <w:tbl>
      <w:tblPr>
        <w:tblStyle w:val="Commsreport2017"/>
        <w:tblW w:w="4997" w:type="pct"/>
        <w:tblInd w:w="5" w:type="dxa"/>
        <w:tblLook w:val="04A0" w:firstRow="1" w:lastRow="0" w:firstColumn="1" w:lastColumn="0" w:noHBand="0" w:noVBand="1"/>
        <w:tblCaption w:val="Table 4.1 Call volumes to emergency service numbers Triple Zero and 112, and call answering times (percentage)"/>
      </w:tblPr>
      <w:tblGrid>
        <w:gridCol w:w="3539"/>
        <w:gridCol w:w="1161"/>
        <w:gridCol w:w="1161"/>
        <w:gridCol w:w="1161"/>
        <w:gridCol w:w="1161"/>
        <w:gridCol w:w="1161"/>
      </w:tblGrid>
      <w:tr w:rsidR="00243409" w:rsidRPr="00603BA9" w14:paraId="790C6327" w14:textId="77777777" w:rsidTr="00015FAC">
        <w:trPr>
          <w:cnfStyle w:val="100000000000" w:firstRow="1" w:lastRow="0" w:firstColumn="0" w:lastColumn="0" w:oddVBand="0" w:evenVBand="0" w:oddHBand="0" w:evenHBand="0" w:firstRowFirstColumn="0" w:firstRowLastColumn="0" w:lastRowFirstColumn="0" w:lastRowLastColumn="0"/>
          <w:trHeight w:val="155"/>
          <w:tblHeader/>
        </w:trPr>
        <w:tc>
          <w:tcPr>
            <w:cnfStyle w:val="001000000000" w:firstRow="0" w:lastRow="0" w:firstColumn="1" w:lastColumn="0" w:oddVBand="0" w:evenVBand="0" w:oddHBand="0" w:evenHBand="0" w:firstRowFirstColumn="0" w:firstRowLastColumn="0" w:lastRowFirstColumn="0" w:lastRowLastColumn="0"/>
            <w:tcW w:w="1894" w:type="pct"/>
            <w:tcBorders>
              <w:top w:val="nil"/>
              <w:left w:val="nil"/>
            </w:tcBorders>
            <w:shd w:val="clear" w:color="auto" w:fill="FFFFFF" w:themeFill="background1"/>
            <w:tcMar>
              <w:top w:w="57" w:type="dxa"/>
              <w:left w:w="57" w:type="dxa"/>
              <w:bottom w:w="57" w:type="dxa"/>
              <w:right w:w="57" w:type="dxa"/>
            </w:tcMar>
            <w:hideMark/>
          </w:tcPr>
          <w:p w14:paraId="113AC515" w14:textId="77777777" w:rsidR="000A38CC" w:rsidRPr="00603BA9" w:rsidRDefault="000A38CC" w:rsidP="005A39F1">
            <w:pPr>
              <w:pStyle w:val="TableHeading"/>
              <w:spacing w:beforeLines="0" w:before="0" w:afterLines="0"/>
              <w:rPr>
                <w:rFonts w:cs="Arial"/>
                <w:color w:val="000000"/>
                <w:szCs w:val="18"/>
              </w:rPr>
            </w:pPr>
            <w:r w:rsidRPr="00603BA9">
              <w:t> </w:t>
            </w:r>
          </w:p>
        </w:tc>
        <w:tc>
          <w:tcPr>
            <w:tcW w:w="621" w:type="pct"/>
            <w:tcMar>
              <w:top w:w="57" w:type="dxa"/>
              <w:left w:w="57" w:type="dxa"/>
              <w:bottom w:w="57" w:type="dxa"/>
              <w:right w:w="57" w:type="dxa"/>
            </w:tcMar>
            <w:hideMark/>
          </w:tcPr>
          <w:p w14:paraId="16A78202" w14:textId="77777777" w:rsidR="000A38CC" w:rsidRPr="00603BA9" w:rsidRDefault="000A38CC" w:rsidP="005A39F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color w:val="FFFFFF"/>
                <w:szCs w:val="18"/>
              </w:rPr>
            </w:pPr>
            <w:r w:rsidRPr="00603BA9">
              <w:rPr>
                <w:bCs/>
                <w:color w:val="FFFFFF"/>
              </w:rPr>
              <w:t>2012–13</w:t>
            </w:r>
          </w:p>
        </w:tc>
        <w:tc>
          <w:tcPr>
            <w:tcW w:w="621" w:type="pct"/>
            <w:tcMar>
              <w:top w:w="57" w:type="dxa"/>
              <w:left w:w="57" w:type="dxa"/>
              <w:bottom w:w="57" w:type="dxa"/>
              <w:right w:w="57" w:type="dxa"/>
            </w:tcMar>
            <w:hideMark/>
          </w:tcPr>
          <w:p w14:paraId="3333563A" w14:textId="77777777" w:rsidR="000A38CC" w:rsidRPr="00603BA9" w:rsidRDefault="000A38CC" w:rsidP="005A39F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color w:val="FFFFFF"/>
                <w:szCs w:val="18"/>
              </w:rPr>
            </w:pPr>
            <w:r w:rsidRPr="00603BA9">
              <w:rPr>
                <w:bCs/>
                <w:color w:val="FFFFFF"/>
              </w:rPr>
              <w:t>2013–14</w:t>
            </w:r>
          </w:p>
        </w:tc>
        <w:tc>
          <w:tcPr>
            <w:tcW w:w="621" w:type="pct"/>
            <w:tcMar>
              <w:top w:w="57" w:type="dxa"/>
              <w:left w:w="57" w:type="dxa"/>
              <w:bottom w:w="57" w:type="dxa"/>
              <w:right w:w="57" w:type="dxa"/>
            </w:tcMar>
            <w:hideMark/>
          </w:tcPr>
          <w:p w14:paraId="537FBE32" w14:textId="77777777" w:rsidR="000A38CC" w:rsidRPr="00603BA9" w:rsidRDefault="000A38CC" w:rsidP="005A39F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color w:val="FFFFFF"/>
                <w:szCs w:val="18"/>
              </w:rPr>
            </w:pPr>
            <w:r w:rsidRPr="00603BA9">
              <w:rPr>
                <w:bCs/>
                <w:color w:val="FFFFFF"/>
              </w:rPr>
              <w:t>2014–15</w:t>
            </w:r>
          </w:p>
        </w:tc>
        <w:tc>
          <w:tcPr>
            <w:tcW w:w="621" w:type="pct"/>
            <w:tcMar>
              <w:top w:w="57" w:type="dxa"/>
              <w:left w:w="57" w:type="dxa"/>
              <w:bottom w:w="57" w:type="dxa"/>
              <w:right w:w="57" w:type="dxa"/>
            </w:tcMar>
            <w:hideMark/>
          </w:tcPr>
          <w:p w14:paraId="66B056CF" w14:textId="77777777" w:rsidR="000A38CC" w:rsidRPr="00603BA9" w:rsidRDefault="000A38CC" w:rsidP="005A39F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color w:val="FFFFFF"/>
                <w:szCs w:val="18"/>
              </w:rPr>
            </w:pPr>
            <w:r w:rsidRPr="00603BA9">
              <w:rPr>
                <w:bCs/>
                <w:color w:val="FFFFFF"/>
              </w:rPr>
              <w:t>2015–16</w:t>
            </w:r>
          </w:p>
        </w:tc>
        <w:tc>
          <w:tcPr>
            <w:tcW w:w="621" w:type="pct"/>
            <w:tcMar>
              <w:top w:w="57" w:type="dxa"/>
              <w:left w:w="57" w:type="dxa"/>
              <w:bottom w:w="57" w:type="dxa"/>
              <w:right w:w="57" w:type="dxa"/>
            </w:tcMar>
            <w:hideMark/>
          </w:tcPr>
          <w:p w14:paraId="15FF2A74" w14:textId="77777777" w:rsidR="000A38CC" w:rsidRPr="00603BA9" w:rsidRDefault="000A38CC" w:rsidP="005A39F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color w:val="FFFFFF"/>
                <w:szCs w:val="18"/>
              </w:rPr>
            </w:pPr>
            <w:r w:rsidRPr="00603BA9">
              <w:rPr>
                <w:bCs/>
                <w:color w:val="FFFFFF"/>
              </w:rPr>
              <w:t>2016</w:t>
            </w:r>
            <w:r w:rsidR="006139A3">
              <w:rPr>
                <w:bCs/>
                <w:color w:val="FFFFFF"/>
              </w:rPr>
              <w:t>–</w:t>
            </w:r>
            <w:r w:rsidRPr="00603BA9">
              <w:rPr>
                <w:bCs/>
                <w:color w:val="FFFFFF"/>
              </w:rPr>
              <w:t>17</w:t>
            </w:r>
          </w:p>
        </w:tc>
      </w:tr>
      <w:tr w:rsidR="000A38CC" w:rsidRPr="00603BA9" w14:paraId="3E9BB08C" w14:textId="77777777" w:rsidTr="00F65D12">
        <w:trPr>
          <w:trHeight w:val="79"/>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6B44C627" w14:textId="77777777" w:rsidR="000A38CC" w:rsidRPr="00D67A14" w:rsidRDefault="000A38CC" w:rsidP="005A39F1">
            <w:pPr>
              <w:spacing w:before="0" w:after="0"/>
              <w:rPr>
                <w:rFonts w:cs="Arial"/>
                <w:szCs w:val="18"/>
              </w:rPr>
            </w:pPr>
            <w:r w:rsidRPr="00D67A14">
              <w:rPr>
                <w:rFonts w:cs="Arial"/>
                <w:szCs w:val="18"/>
              </w:rPr>
              <w:t>Calls offered from mobile phones (%)</w:t>
            </w:r>
          </w:p>
        </w:tc>
        <w:tc>
          <w:tcPr>
            <w:tcW w:w="621" w:type="pct"/>
            <w:tcMar>
              <w:top w:w="57" w:type="dxa"/>
              <w:left w:w="57" w:type="dxa"/>
              <w:bottom w:w="57" w:type="dxa"/>
              <w:right w:w="57" w:type="dxa"/>
            </w:tcMar>
            <w:hideMark/>
          </w:tcPr>
          <w:p w14:paraId="4872B117"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66.9</w:t>
            </w:r>
          </w:p>
        </w:tc>
        <w:tc>
          <w:tcPr>
            <w:tcW w:w="621" w:type="pct"/>
            <w:tcMar>
              <w:top w:w="57" w:type="dxa"/>
              <w:left w:w="57" w:type="dxa"/>
              <w:bottom w:w="57" w:type="dxa"/>
              <w:right w:w="57" w:type="dxa"/>
            </w:tcMar>
            <w:hideMark/>
          </w:tcPr>
          <w:p w14:paraId="7300A0FC"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66.5</w:t>
            </w:r>
          </w:p>
        </w:tc>
        <w:tc>
          <w:tcPr>
            <w:tcW w:w="621" w:type="pct"/>
            <w:tcMar>
              <w:top w:w="57" w:type="dxa"/>
              <w:left w:w="57" w:type="dxa"/>
              <w:bottom w:w="57" w:type="dxa"/>
              <w:right w:w="57" w:type="dxa"/>
            </w:tcMar>
            <w:hideMark/>
          </w:tcPr>
          <w:p w14:paraId="7A2CD762"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66.9</w:t>
            </w:r>
          </w:p>
        </w:tc>
        <w:tc>
          <w:tcPr>
            <w:tcW w:w="621" w:type="pct"/>
            <w:tcMar>
              <w:top w:w="57" w:type="dxa"/>
              <w:left w:w="57" w:type="dxa"/>
              <w:bottom w:w="57" w:type="dxa"/>
              <w:right w:w="57" w:type="dxa"/>
            </w:tcMar>
            <w:hideMark/>
          </w:tcPr>
          <w:p w14:paraId="254FC3EA"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68.7</w:t>
            </w:r>
          </w:p>
        </w:tc>
        <w:tc>
          <w:tcPr>
            <w:tcW w:w="621" w:type="pct"/>
            <w:tcMar>
              <w:top w:w="57" w:type="dxa"/>
              <w:left w:w="57" w:type="dxa"/>
              <w:bottom w:w="57" w:type="dxa"/>
              <w:right w:w="57" w:type="dxa"/>
            </w:tcMar>
            <w:hideMark/>
          </w:tcPr>
          <w:p w14:paraId="001B9E7C"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69.7</w:t>
            </w:r>
          </w:p>
        </w:tc>
      </w:tr>
      <w:tr w:rsidR="000A38CC" w:rsidRPr="00603BA9" w14:paraId="77ED233A" w14:textId="77777777" w:rsidTr="00F65D12">
        <w:trPr>
          <w:trHeight w:val="169"/>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75D0B8DC" w14:textId="77777777" w:rsidR="000A38CC" w:rsidRPr="00D67A14" w:rsidRDefault="000A38CC" w:rsidP="005A39F1">
            <w:pPr>
              <w:spacing w:before="0" w:after="0"/>
              <w:rPr>
                <w:rFonts w:cs="Arial"/>
                <w:szCs w:val="18"/>
              </w:rPr>
            </w:pPr>
            <w:r w:rsidRPr="00D67A14">
              <w:rPr>
                <w:rFonts w:cs="Arial"/>
                <w:szCs w:val="18"/>
              </w:rPr>
              <w:t>Calls offered from public payphones (%)</w:t>
            </w:r>
          </w:p>
        </w:tc>
        <w:tc>
          <w:tcPr>
            <w:tcW w:w="621" w:type="pct"/>
            <w:tcMar>
              <w:top w:w="57" w:type="dxa"/>
              <w:left w:w="57" w:type="dxa"/>
              <w:bottom w:w="57" w:type="dxa"/>
              <w:right w:w="57" w:type="dxa"/>
            </w:tcMar>
            <w:hideMark/>
          </w:tcPr>
          <w:p w14:paraId="6350BB84"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2.5</w:t>
            </w:r>
          </w:p>
        </w:tc>
        <w:tc>
          <w:tcPr>
            <w:tcW w:w="621" w:type="pct"/>
            <w:tcMar>
              <w:top w:w="57" w:type="dxa"/>
              <w:left w:w="57" w:type="dxa"/>
              <w:bottom w:w="57" w:type="dxa"/>
              <w:right w:w="57" w:type="dxa"/>
            </w:tcMar>
            <w:hideMark/>
          </w:tcPr>
          <w:p w14:paraId="2B36B0DD"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2.4</w:t>
            </w:r>
          </w:p>
        </w:tc>
        <w:tc>
          <w:tcPr>
            <w:tcW w:w="621" w:type="pct"/>
            <w:tcMar>
              <w:top w:w="57" w:type="dxa"/>
              <w:left w:w="57" w:type="dxa"/>
              <w:bottom w:w="57" w:type="dxa"/>
              <w:right w:w="57" w:type="dxa"/>
            </w:tcMar>
            <w:hideMark/>
          </w:tcPr>
          <w:p w14:paraId="6C2BD610"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2.4</w:t>
            </w:r>
          </w:p>
        </w:tc>
        <w:tc>
          <w:tcPr>
            <w:tcW w:w="621" w:type="pct"/>
            <w:tcMar>
              <w:top w:w="57" w:type="dxa"/>
              <w:left w:w="57" w:type="dxa"/>
              <w:bottom w:w="57" w:type="dxa"/>
              <w:right w:w="57" w:type="dxa"/>
            </w:tcMar>
            <w:hideMark/>
          </w:tcPr>
          <w:p w14:paraId="68C0247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2.4</w:t>
            </w:r>
          </w:p>
        </w:tc>
        <w:tc>
          <w:tcPr>
            <w:tcW w:w="621" w:type="pct"/>
            <w:tcMar>
              <w:top w:w="57" w:type="dxa"/>
              <w:left w:w="57" w:type="dxa"/>
              <w:bottom w:w="57" w:type="dxa"/>
              <w:right w:w="57" w:type="dxa"/>
            </w:tcMar>
            <w:hideMark/>
          </w:tcPr>
          <w:p w14:paraId="2E43BE6D"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2.3</w:t>
            </w:r>
          </w:p>
        </w:tc>
      </w:tr>
      <w:tr w:rsidR="000A38CC" w:rsidRPr="00603BA9" w14:paraId="33A0D368" w14:textId="77777777" w:rsidTr="00F65D12">
        <w:trPr>
          <w:trHeight w:val="131"/>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5F6D5AC9" w14:textId="77777777" w:rsidR="000A38CC" w:rsidRPr="00D67A14" w:rsidRDefault="000A38CC" w:rsidP="005A39F1">
            <w:pPr>
              <w:spacing w:before="0" w:after="0"/>
              <w:rPr>
                <w:rFonts w:cs="Arial"/>
                <w:szCs w:val="18"/>
              </w:rPr>
            </w:pPr>
            <w:r w:rsidRPr="00D67A14">
              <w:rPr>
                <w:rFonts w:cs="Arial"/>
                <w:szCs w:val="18"/>
              </w:rPr>
              <w:t>Calls answered (%)</w:t>
            </w:r>
          </w:p>
        </w:tc>
        <w:tc>
          <w:tcPr>
            <w:tcW w:w="621" w:type="pct"/>
            <w:tcMar>
              <w:top w:w="57" w:type="dxa"/>
              <w:left w:w="57" w:type="dxa"/>
              <w:bottom w:w="57" w:type="dxa"/>
              <w:right w:w="57" w:type="dxa"/>
            </w:tcMar>
            <w:hideMark/>
          </w:tcPr>
          <w:p w14:paraId="0140AE7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96</w:t>
            </w:r>
            <w:r w:rsidR="00601A61">
              <w:rPr>
                <w:rFonts w:cs="Arial"/>
                <w:color w:val="000000"/>
                <w:szCs w:val="18"/>
              </w:rPr>
              <w:t>.0</w:t>
            </w:r>
          </w:p>
        </w:tc>
        <w:tc>
          <w:tcPr>
            <w:tcW w:w="621" w:type="pct"/>
            <w:tcMar>
              <w:top w:w="57" w:type="dxa"/>
              <w:left w:w="57" w:type="dxa"/>
              <w:bottom w:w="57" w:type="dxa"/>
              <w:right w:w="57" w:type="dxa"/>
            </w:tcMar>
            <w:hideMark/>
          </w:tcPr>
          <w:p w14:paraId="29718563"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96</w:t>
            </w:r>
            <w:r w:rsidR="00601A61">
              <w:rPr>
                <w:rFonts w:cs="Arial"/>
                <w:color w:val="000000"/>
                <w:szCs w:val="18"/>
              </w:rPr>
              <w:t>.0</w:t>
            </w:r>
          </w:p>
        </w:tc>
        <w:tc>
          <w:tcPr>
            <w:tcW w:w="621" w:type="pct"/>
            <w:tcMar>
              <w:top w:w="57" w:type="dxa"/>
              <w:left w:w="57" w:type="dxa"/>
              <w:bottom w:w="57" w:type="dxa"/>
              <w:right w:w="57" w:type="dxa"/>
            </w:tcMar>
            <w:hideMark/>
          </w:tcPr>
          <w:p w14:paraId="0316FA5E"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96</w:t>
            </w:r>
            <w:r w:rsidR="00601A61">
              <w:rPr>
                <w:rFonts w:cs="Arial"/>
                <w:color w:val="000000"/>
                <w:szCs w:val="18"/>
              </w:rPr>
              <w:t>.0</w:t>
            </w:r>
          </w:p>
        </w:tc>
        <w:tc>
          <w:tcPr>
            <w:tcW w:w="621" w:type="pct"/>
            <w:tcMar>
              <w:top w:w="57" w:type="dxa"/>
              <w:left w:w="57" w:type="dxa"/>
              <w:bottom w:w="57" w:type="dxa"/>
              <w:right w:w="57" w:type="dxa"/>
            </w:tcMar>
            <w:hideMark/>
          </w:tcPr>
          <w:p w14:paraId="238F8722"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96</w:t>
            </w:r>
            <w:r w:rsidR="00601A61">
              <w:rPr>
                <w:rFonts w:cs="Arial"/>
                <w:color w:val="000000"/>
                <w:szCs w:val="18"/>
              </w:rPr>
              <w:t>.0</w:t>
            </w:r>
          </w:p>
        </w:tc>
        <w:tc>
          <w:tcPr>
            <w:tcW w:w="621" w:type="pct"/>
            <w:tcMar>
              <w:top w:w="57" w:type="dxa"/>
              <w:left w:w="57" w:type="dxa"/>
              <w:bottom w:w="57" w:type="dxa"/>
              <w:right w:w="57" w:type="dxa"/>
            </w:tcMar>
            <w:hideMark/>
          </w:tcPr>
          <w:p w14:paraId="543FEE2B"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96</w:t>
            </w:r>
            <w:r w:rsidR="00601A61">
              <w:rPr>
                <w:rFonts w:cs="Arial"/>
                <w:color w:val="000000"/>
                <w:szCs w:val="18"/>
              </w:rPr>
              <w:t>.0</w:t>
            </w:r>
          </w:p>
        </w:tc>
      </w:tr>
      <w:tr w:rsidR="000A38CC" w:rsidRPr="00603BA9" w14:paraId="77CE8722" w14:textId="77777777" w:rsidTr="00F65D12">
        <w:trPr>
          <w:trHeight w:val="362"/>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3BDB0E9B" w14:textId="77777777" w:rsidR="000A38CC" w:rsidRPr="00D67A14" w:rsidRDefault="000A38CC" w:rsidP="005A39F1">
            <w:pPr>
              <w:spacing w:before="0" w:after="0"/>
              <w:rPr>
                <w:rFonts w:cs="Arial"/>
                <w:szCs w:val="18"/>
              </w:rPr>
            </w:pPr>
            <w:r w:rsidRPr="00D67A14">
              <w:rPr>
                <w:rFonts w:cs="Arial"/>
                <w:szCs w:val="18"/>
              </w:rPr>
              <w:t>Of calls answered, those that wait five seconds or fewer (%)</w:t>
            </w:r>
          </w:p>
        </w:tc>
        <w:tc>
          <w:tcPr>
            <w:tcW w:w="621" w:type="pct"/>
            <w:tcMar>
              <w:top w:w="57" w:type="dxa"/>
              <w:left w:w="57" w:type="dxa"/>
              <w:bottom w:w="57" w:type="dxa"/>
              <w:right w:w="57" w:type="dxa"/>
            </w:tcMar>
            <w:hideMark/>
          </w:tcPr>
          <w:p w14:paraId="5DCC1145"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95.8</w:t>
            </w:r>
          </w:p>
        </w:tc>
        <w:tc>
          <w:tcPr>
            <w:tcW w:w="621" w:type="pct"/>
            <w:tcMar>
              <w:top w:w="57" w:type="dxa"/>
              <w:left w:w="57" w:type="dxa"/>
              <w:bottom w:w="57" w:type="dxa"/>
              <w:right w:w="57" w:type="dxa"/>
            </w:tcMar>
            <w:hideMark/>
          </w:tcPr>
          <w:p w14:paraId="78BF7069"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95.4</w:t>
            </w:r>
          </w:p>
        </w:tc>
        <w:tc>
          <w:tcPr>
            <w:tcW w:w="621" w:type="pct"/>
            <w:tcMar>
              <w:top w:w="57" w:type="dxa"/>
              <w:left w:w="57" w:type="dxa"/>
              <w:bottom w:w="57" w:type="dxa"/>
              <w:right w:w="57" w:type="dxa"/>
            </w:tcMar>
            <w:hideMark/>
          </w:tcPr>
          <w:p w14:paraId="63485F02"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97.3</w:t>
            </w:r>
          </w:p>
        </w:tc>
        <w:tc>
          <w:tcPr>
            <w:tcW w:w="621" w:type="pct"/>
            <w:tcMar>
              <w:top w:w="57" w:type="dxa"/>
              <w:left w:w="57" w:type="dxa"/>
              <w:bottom w:w="57" w:type="dxa"/>
              <w:right w:w="57" w:type="dxa"/>
            </w:tcMar>
            <w:hideMark/>
          </w:tcPr>
          <w:p w14:paraId="6A71BB19"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94.9</w:t>
            </w:r>
          </w:p>
        </w:tc>
        <w:tc>
          <w:tcPr>
            <w:tcW w:w="621" w:type="pct"/>
            <w:tcMar>
              <w:top w:w="57" w:type="dxa"/>
              <w:left w:w="57" w:type="dxa"/>
              <w:bottom w:w="57" w:type="dxa"/>
              <w:right w:w="57" w:type="dxa"/>
            </w:tcMar>
            <w:hideMark/>
          </w:tcPr>
          <w:p w14:paraId="2823931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93.2</w:t>
            </w:r>
          </w:p>
        </w:tc>
      </w:tr>
      <w:tr w:rsidR="000A38CC" w:rsidRPr="00603BA9" w14:paraId="3AFCA589" w14:textId="77777777" w:rsidTr="00F65D12">
        <w:trPr>
          <w:trHeight w:val="332"/>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492322E1" w14:textId="77777777" w:rsidR="000A38CC" w:rsidRPr="00D67A14" w:rsidRDefault="000A38CC" w:rsidP="005A39F1">
            <w:pPr>
              <w:spacing w:before="0" w:after="0"/>
              <w:rPr>
                <w:rFonts w:cs="Arial"/>
                <w:szCs w:val="18"/>
              </w:rPr>
            </w:pPr>
            <w:r w:rsidRPr="00D67A14">
              <w:rPr>
                <w:rFonts w:cs="Arial"/>
                <w:szCs w:val="18"/>
              </w:rPr>
              <w:t>Of calls answered, those that wait 10 seconds or fewer (%)</w:t>
            </w:r>
          </w:p>
        </w:tc>
        <w:tc>
          <w:tcPr>
            <w:tcW w:w="621" w:type="pct"/>
            <w:tcMar>
              <w:top w:w="57" w:type="dxa"/>
              <w:left w:w="57" w:type="dxa"/>
              <w:bottom w:w="57" w:type="dxa"/>
              <w:right w:w="57" w:type="dxa"/>
            </w:tcMar>
            <w:hideMark/>
          </w:tcPr>
          <w:p w14:paraId="63FDF192"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99.1</w:t>
            </w:r>
          </w:p>
        </w:tc>
        <w:tc>
          <w:tcPr>
            <w:tcW w:w="621" w:type="pct"/>
            <w:tcMar>
              <w:top w:w="57" w:type="dxa"/>
              <w:left w:w="57" w:type="dxa"/>
              <w:bottom w:w="57" w:type="dxa"/>
              <w:right w:w="57" w:type="dxa"/>
            </w:tcMar>
            <w:hideMark/>
          </w:tcPr>
          <w:p w14:paraId="20295418"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99.3</w:t>
            </w:r>
          </w:p>
        </w:tc>
        <w:tc>
          <w:tcPr>
            <w:tcW w:w="621" w:type="pct"/>
            <w:tcMar>
              <w:top w:w="57" w:type="dxa"/>
              <w:left w:w="57" w:type="dxa"/>
              <w:bottom w:w="57" w:type="dxa"/>
              <w:right w:w="57" w:type="dxa"/>
            </w:tcMar>
            <w:hideMark/>
          </w:tcPr>
          <w:p w14:paraId="6C8BDF54"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98.7</w:t>
            </w:r>
          </w:p>
        </w:tc>
        <w:tc>
          <w:tcPr>
            <w:tcW w:w="621" w:type="pct"/>
            <w:tcMar>
              <w:top w:w="57" w:type="dxa"/>
              <w:left w:w="57" w:type="dxa"/>
              <w:bottom w:w="57" w:type="dxa"/>
              <w:right w:w="57" w:type="dxa"/>
            </w:tcMar>
            <w:hideMark/>
          </w:tcPr>
          <w:p w14:paraId="4D0385B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98.4</w:t>
            </w:r>
          </w:p>
        </w:tc>
        <w:tc>
          <w:tcPr>
            <w:tcW w:w="621" w:type="pct"/>
            <w:tcMar>
              <w:top w:w="57" w:type="dxa"/>
              <w:left w:w="57" w:type="dxa"/>
              <w:bottom w:w="57" w:type="dxa"/>
              <w:right w:w="57" w:type="dxa"/>
            </w:tcMar>
            <w:hideMark/>
          </w:tcPr>
          <w:p w14:paraId="1B2D7C0C"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97.9</w:t>
            </w:r>
          </w:p>
        </w:tc>
      </w:tr>
      <w:tr w:rsidR="000A38CC" w:rsidRPr="00603BA9" w14:paraId="3F5C345E" w14:textId="77777777" w:rsidTr="00F65D12">
        <w:trPr>
          <w:trHeight w:val="71"/>
        </w:trPr>
        <w:tc>
          <w:tcPr>
            <w:cnfStyle w:val="001000000000" w:firstRow="0" w:lastRow="0" w:firstColumn="1" w:lastColumn="0" w:oddVBand="0" w:evenVBand="0" w:oddHBand="0" w:evenHBand="0" w:firstRowFirstColumn="0" w:firstRowLastColumn="0" w:lastRowFirstColumn="0" w:lastRowLastColumn="0"/>
            <w:tcW w:w="1894" w:type="pct"/>
            <w:shd w:val="clear" w:color="auto" w:fill="F2F2F2" w:themeFill="background1" w:themeFillShade="F2"/>
            <w:tcMar>
              <w:top w:w="57" w:type="dxa"/>
              <w:left w:w="57" w:type="dxa"/>
              <w:bottom w:w="57" w:type="dxa"/>
              <w:right w:w="57" w:type="dxa"/>
            </w:tcMar>
            <w:hideMark/>
          </w:tcPr>
          <w:p w14:paraId="0967560F" w14:textId="77777777" w:rsidR="000A38CC" w:rsidRPr="00D67A14" w:rsidRDefault="000A38CC" w:rsidP="005A39F1">
            <w:pPr>
              <w:spacing w:before="0" w:after="0"/>
              <w:rPr>
                <w:rFonts w:cs="Arial"/>
                <w:b/>
                <w:bCs/>
                <w:szCs w:val="18"/>
              </w:rPr>
            </w:pPr>
            <w:r w:rsidRPr="00D67A14">
              <w:rPr>
                <w:rFonts w:cs="Arial"/>
                <w:b/>
                <w:bCs/>
                <w:szCs w:val="18"/>
              </w:rPr>
              <w:t>Total number of calls offered</w:t>
            </w:r>
          </w:p>
        </w:tc>
        <w:tc>
          <w:tcPr>
            <w:tcW w:w="621" w:type="pct"/>
            <w:shd w:val="clear" w:color="auto" w:fill="F2F2F2" w:themeFill="background1" w:themeFillShade="F2"/>
            <w:tcMar>
              <w:top w:w="57" w:type="dxa"/>
              <w:left w:w="57" w:type="dxa"/>
              <w:bottom w:w="57" w:type="dxa"/>
              <w:right w:w="57" w:type="dxa"/>
            </w:tcMar>
            <w:hideMark/>
          </w:tcPr>
          <w:p w14:paraId="5C5D3665"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8,854,728</w:t>
            </w:r>
          </w:p>
        </w:tc>
        <w:tc>
          <w:tcPr>
            <w:tcW w:w="621" w:type="pct"/>
            <w:shd w:val="clear" w:color="auto" w:fill="F2F2F2" w:themeFill="background1" w:themeFillShade="F2"/>
            <w:tcMar>
              <w:top w:w="57" w:type="dxa"/>
              <w:left w:w="57" w:type="dxa"/>
              <w:bottom w:w="57" w:type="dxa"/>
              <w:right w:w="57" w:type="dxa"/>
            </w:tcMar>
            <w:hideMark/>
          </w:tcPr>
          <w:p w14:paraId="7EFC9C53"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8,481,470</w:t>
            </w:r>
          </w:p>
        </w:tc>
        <w:tc>
          <w:tcPr>
            <w:tcW w:w="621" w:type="pct"/>
            <w:shd w:val="clear" w:color="auto" w:fill="F2F2F2" w:themeFill="background1" w:themeFillShade="F2"/>
            <w:tcMar>
              <w:top w:w="57" w:type="dxa"/>
              <w:left w:w="57" w:type="dxa"/>
              <w:bottom w:w="57" w:type="dxa"/>
              <w:right w:w="57" w:type="dxa"/>
            </w:tcMar>
            <w:hideMark/>
          </w:tcPr>
          <w:p w14:paraId="3C0621FA"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8,377,394</w:t>
            </w:r>
          </w:p>
        </w:tc>
        <w:tc>
          <w:tcPr>
            <w:tcW w:w="621" w:type="pct"/>
            <w:shd w:val="clear" w:color="auto" w:fill="F2F2F2" w:themeFill="background1" w:themeFillShade="F2"/>
            <w:tcMar>
              <w:top w:w="57" w:type="dxa"/>
              <w:left w:w="57" w:type="dxa"/>
              <w:bottom w:w="57" w:type="dxa"/>
              <w:right w:w="57" w:type="dxa"/>
            </w:tcMar>
            <w:hideMark/>
          </w:tcPr>
          <w:p w14:paraId="5252372E"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8,350,745</w:t>
            </w:r>
          </w:p>
        </w:tc>
        <w:tc>
          <w:tcPr>
            <w:tcW w:w="621" w:type="pct"/>
            <w:shd w:val="clear" w:color="auto" w:fill="F2F2F2" w:themeFill="background1" w:themeFillShade="F2"/>
            <w:tcMar>
              <w:top w:w="57" w:type="dxa"/>
              <w:left w:w="57" w:type="dxa"/>
              <w:bottom w:w="57" w:type="dxa"/>
              <w:right w:w="57" w:type="dxa"/>
            </w:tcMar>
            <w:hideMark/>
          </w:tcPr>
          <w:p w14:paraId="371BC4DD"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8,580,119</w:t>
            </w:r>
          </w:p>
        </w:tc>
      </w:tr>
      <w:tr w:rsidR="000A38CC" w:rsidRPr="00603BA9" w14:paraId="6ED9F9A5" w14:textId="77777777" w:rsidTr="00F65D12">
        <w:trPr>
          <w:trHeight w:val="174"/>
        </w:trPr>
        <w:tc>
          <w:tcPr>
            <w:cnfStyle w:val="001000000000" w:firstRow="0" w:lastRow="0" w:firstColumn="1" w:lastColumn="0" w:oddVBand="0" w:evenVBand="0" w:oddHBand="0" w:evenHBand="0" w:firstRowFirstColumn="0" w:firstRowLastColumn="0" w:lastRowFirstColumn="0" w:lastRowLastColumn="0"/>
            <w:tcW w:w="1894" w:type="pct"/>
            <w:tcMar>
              <w:top w:w="57" w:type="dxa"/>
              <w:left w:w="57" w:type="dxa"/>
              <w:bottom w:w="57" w:type="dxa"/>
              <w:right w:w="57" w:type="dxa"/>
            </w:tcMar>
            <w:hideMark/>
          </w:tcPr>
          <w:p w14:paraId="4F51CB12" w14:textId="77777777" w:rsidR="000A38CC" w:rsidRPr="00D67A14" w:rsidRDefault="000A38CC" w:rsidP="005A39F1">
            <w:pPr>
              <w:spacing w:before="0" w:after="0"/>
              <w:rPr>
                <w:rFonts w:cs="Arial"/>
                <w:bCs/>
                <w:szCs w:val="18"/>
              </w:rPr>
            </w:pPr>
            <w:r w:rsidRPr="00D67A14">
              <w:rPr>
                <w:rFonts w:cs="Arial"/>
                <w:bCs/>
                <w:szCs w:val="18"/>
              </w:rPr>
              <w:t>Answered calls transferred to an ESO (%)</w:t>
            </w:r>
          </w:p>
        </w:tc>
        <w:tc>
          <w:tcPr>
            <w:tcW w:w="621" w:type="pct"/>
            <w:tcMar>
              <w:top w:w="57" w:type="dxa"/>
              <w:left w:w="57" w:type="dxa"/>
              <w:bottom w:w="57" w:type="dxa"/>
              <w:right w:w="57" w:type="dxa"/>
            </w:tcMar>
            <w:hideMark/>
          </w:tcPr>
          <w:p w14:paraId="0FE851FA"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67.5</w:t>
            </w:r>
          </w:p>
        </w:tc>
        <w:tc>
          <w:tcPr>
            <w:tcW w:w="621" w:type="pct"/>
            <w:tcMar>
              <w:top w:w="57" w:type="dxa"/>
              <w:left w:w="57" w:type="dxa"/>
              <w:bottom w:w="57" w:type="dxa"/>
              <w:right w:w="57" w:type="dxa"/>
            </w:tcMar>
            <w:hideMark/>
          </w:tcPr>
          <w:p w14:paraId="5E9D8E87"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70.6</w:t>
            </w:r>
          </w:p>
        </w:tc>
        <w:tc>
          <w:tcPr>
            <w:tcW w:w="621" w:type="pct"/>
            <w:tcMar>
              <w:top w:w="57" w:type="dxa"/>
              <w:left w:w="57" w:type="dxa"/>
              <w:bottom w:w="57" w:type="dxa"/>
              <w:right w:w="57" w:type="dxa"/>
            </w:tcMar>
            <w:hideMark/>
          </w:tcPr>
          <w:p w14:paraId="5D71BF69"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73.2</w:t>
            </w:r>
          </w:p>
        </w:tc>
        <w:tc>
          <w:tcPr>
            <w:tcW w:w="621" w:type="pct"/>
            <w:tcMar>
              <w:top w:w="57" w:type="dxa"/>
              <w:left w:w="57" w:type="dxa"/>
              <w:bottom w:w="57" w:type="dxa"/>
              <w:right w:w="57" w:type="dxa"/>
            </w:tcMar>
            <w:hideMark/>
          </w:tcPr>
          <w:p w14:paraId="6FC90E5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77.2</w:t>
            </w:r>
          </w:p>
        </w:tc>
        <w:tc>
          <w:tcPr>
            <w:tcW w:w="621" w:type="pct"/>
            <w:tcMar>
              <w:top w:w="57" w:type="dxa"/>
              <w:left w:w="57" w:type="dxa"/>
              <w:bottom w:w="57" w:type="dxa"/>
              <w:right w:w="57" w:type="dxa"/>
            </w:tcMar>
            <w:hideMark/>
          </w:tcPr>
          <w:p w14:paraId="0F37E85D"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603BA9">
              <w:rPr>
                <w:rFonts w:cs="Arial"/>
                <w:color w:val="000000"/>
                <w:szCs w:val="18"/>
              </w:rPr>
              <w:t>77.1</w:t>
            </w:r>
          </w:p>
        </w:tc>
      </w:tr>
      <w:tr w:rsidR="000A38CC" w:rsidRPr="00603BA9" w14:paraId="6A785DF3" w14:textId="77777777" w:rsidTr="00F65D12">
        <w:trPr>
          <w:trHeight w:val="196"/>
        </w:trPr>
        <w:tc>
          <w:tcPr>
            <w:cnfStyle w:val="001000000000" w:firstRow="0" w:lastRow="0" w:firstColumn="1" w:lastColumn="0" w:oddVBand="0" w:evenVBand="0" w:oddHBand="0" w:evenHBand="0" w:firstRowFirstColumn="0" w:firstRowLastColumn="0" w:lastRowFirstColumn="0" w:lastRowLastColumn="0"/>
            <w:tcW w:w="1894" w:type="pct"/>
            <w:shd w:val="clear" w:color="auto" w:fill="F2F2F2" w:themeFill="background1" w:themeFillShade="F2"/>
            <w:tcMar>
              <w:top w:w="57" w:type="dxa"/>
              <w:left w:w="57" w:type="dxa"/>
              <w:bottom w:w="57" w:type="dxa"/>
              <w:right w:w="57" w:type="dxa"/>
            </w:tcMar>
            <w:hideMark/>
          </w:tcPr>
          <w:p w14:paraId="3B4B222F" w14:textId="77777777" w:rsidR="000A38CC" w:rsidRPr="00D67A14" w:rsidRDefault="000A38CC" w:rsidP="005A39F1">
            <w:pPr>
              <w:spacing w:before="0" w:after="0"/>
              <w:rPr>
                <w:rFonts w:cs="Arial"/>
                <w:b/>
                <w:bCs/>
                <w:szCs w:val="18"/>
              </w:rPr>
            </w:pPr>
            <w:r w:rsidRPr="00D67A14">
              <w:rPr>
                <w:rFonts w:cs="Arial"/>
                <w:b/>
                <w:bCs/>
                <w:szCs w:val="18"/>
              </w:rPr>
              <w:t>Calls transferred to an ESO</w:t>
            </w:r>
          </w:p>
        </w:tc>
        <w:tc>
          <w:tcPr>
            <w:tcW w:w="621" w:type="pct"/>
            <w:shd w:val="clear" w:color="auto" w:fill="F2F2F2" w:themeFill="background1" w:themeFillShade="F2"/>
            <w:tcMar>
              <w:top w:w="57" w:type="dxa"/>
              <w:left w:w="57" w:type="dxa"/>
              <w:bottom w:w="57" w:type="dxa"/>
              <w:right w:w="57" w:type="dxa"/>
            </w:tcMar>
            <w:hideMark/>
          </w:tcPr>
          <w:p w14:paraId="4C6B26A3"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5,727,411</w:t>
            </w:r>
          </w:p>
        </w:tc>
        <w:tc>
          <w:tcPr>
            <w:tcW w:w="621" w:type="pct"/>
            <w:shd w:val="clear" w:color="auto" w:fill="F2F2F2" w:themeFill="background1" w:themeFillShade="F2"/>
            <w:tcMar>
              <w:top w:w="57" w:type="dxa"/>
              <w:left w:w="57" w:type="dxa"/>
              <w:bottom w:w="57" w:type="dxa"/>
              <w:right w:w="57" w:type="dxa"/>
            </w:tcMar>
            <w:hideMark/>
          </w:tcPr>
          <w:p w14:paraId="45B61295"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5,738,061</w:t>
            </w:r>
          </w:p>
        </w:tc>
        <w:tc>
          <w:tcPr>
            <w:tcW w:w="621" w:type="pct"/>
            <w:shd w:val="clear" w:color="auto" w:fill="F2F2F2" w:themeFill="background1" w:themeFillShade="F2"/>
            <w:tcMar>
              <w:top w:w="57" w:type="dxa"/>
              <w:left w:w="57" w:type="dxa"/>
              <w:bottom w:w="57" w:type="dxa"/>
              <w:right w:w="57" w:type="dxa"/>
            </w:tcMar>
            <w:hideMark/>
          </w:tcPr>
          <w:p w14:paraId="74F3B006"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5,888,050</w:t>
            </w:r>
          </w:p>
        </w:tc>
        <w:tc>
          <w:tcPr>
            <w:tcW w:w="621" w:type="pct"/>
            <w:shd w:val="clear" w:color="auto" w:fill="F2F2F2" w:themeFill="background1" w:themeFillShade="F2"/>
            <w:tcMar>
              <w:top w:w="57" w:type="dxa"/>
              <w:left w:w="57" w:type="dxa"/>
              <w:bottom w:w="57" w:type="dxa"/>
              <w:right w:w="57" w:type="dxa"/>
            </w:tcMar>
            <w:hideMark/>
          </w:tcPr>
          <w:p w14:paraId="43B4C479"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6,178,484</w:t>
            </w:r>
          </w:p>
        </w:tc>
        <w:tc>
          <w:tcPr>
            <w:tcW w:w="621" w:type="pct"/>
            <w:shd w:val="clear" w:color="auto" w:fill="F2F2F2" w:themeFill="background1" w:themeFillShade="F2"/>
            <w:tcMar>
              <w:top w:w="57" w:type="dxa"/>
              <w:left w:w="57" w:type="dxa"/>
              <w:bottom w:w="57" w:type="dxa"/>
              <w:right w:w="57" w:type="dxa"/>
            </w:tcMar>
            <w:hideMark/>
          </w:tcPr>
          <w:p w14:paraId="08E23E30" w14:textId="77777777" w:rsidR="000A38CC" w:rsidRPr="00603BA9" w:rsidRDefault="000A38CC" w:rsidP="005A39F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603BA9">
              <w:rPr>
                <w:rFonts w:cs="Arial"/>
                <w:b/>
                <w:bCs/>
                <w:szCs w:val="18"/>
              </w:rPr>
              <w:t>6,335,601</w:t>
            </w:r>
          </w:p>
        </w:tc>
      </w:tr>
    </w:tbl>
    <w:p w14:paraId="26B91B0E" w14:textId="5640A0EC" w:rsidR="000A38CC" w:rsidRDefault="000A38CC" w:rsidP="005A39F1">
      <w:pPr>
        <w:pStyle w:val="ACMANotes"/>
        <w:keepNext/>
        <w:keepLines/>
        <w:spacing w:before="120"/>
      </w:pPr>
      <w:r>
        <w:t>Note</w:t>
      </w:r>
      <w:r w:rsidR="00734EE2">
        <w:t xml:space="preserve"> 1</w:t>
      </w:r>
      <w:r>
        <w:t>: The term ‘calls offered’ refers to the number of calls received by the ECP after the RVA.</w:t>
      </w:r>
    </w:p>
    <w:p w14:paraId="264FB184" w14:textId="086A5747" w:rsidR="000A38CC" w:rsidRDefault="00734EE2" w:rsidP="005A39F1">
      <w:pPr>
        <w:pStyle w:val="ACMANotes"/>
        <w:keepNext/>
        <w:keepLines/>
      </w:pPr>
      <w:r>
        <w:t xml:space="preserve">Note 2: </w:t>
      </w:r>
      <w:r w:rsidR="000A38CC">
        <w:t>The RVA gives people who have inadvertently or otherwise dialled Triple Zero the opportunity to hang up before being connect</w:t>
      </w:r>
      <w:r w:rsidR="00C62652">
        <w:t>ed</w:t>
      </w:r>
      <w:r w:rsidR="000A38CC">
        <w:t xml:space="preserve"> to the ECP. Calls answered refers to the percentage of these calls that were answered.</w:t>
      </w:r>
    </w:p>
    <w:p w14:paraId="5A59EF17" w14:textId="77777777" w:rsidR="000A38CC" w:rsidRPr="0032755E" w:rsidRDefault="000A38CC" w:rsidP="005A39F1">
      <w:pPr>
        <w:pStyle w:val="ACMANotesspaceafter"/>
        <w:keepNext/>
        <w:keepLines/>
        <w:spacing w:after="360"/>
      </w:pPr>
      <w:r>
        <w:t>Source: ECP (Telstra).</w:t>
      </w:r>
    </w:p>
    <w:p w14:paraId="473632E7" w14:textId="77777777" w:rsidR="00243409" w:rsidRPr="0032755E" w:rsidRDefault="00243409" w:rsidP="00243409">
      <w:pPr>
        <w:pStyle w:val="Heading3"/>
      </w:pPr>
      <w:bookmarkStart w:id="1297" w:name="_Toc494799459"/>
      <w:bookmarkStart w:id="1298" w:name="_Toc494805762"/>
      <w:bookmarkStart w:id="1299" w:name="_Toc494805995"/>
      <w:bookmarkStart w:id="1300" w:name="_Toc494808225"/>
      <w:bookmarkStart w:id="1301" w:name="_Toc494808879"/>
      <w:bookmarkStart w:id="1302" w:name="_Toc494816064"/>
      <w:bookmarkStart w:id="1303" w:name="_Toc494818894"/>
      <w:bookmarkStart w:id="1304" w:name="_Toc494819156"/>
      <w:r w:rsidRPr="0032755E">
        <w:t>Enquiries and complaints about the Triple Zero service</w:t>
      </w:r>
      <w:bookmarkEnd w:id="1297"/>
      <w:bookmarkEnd w:id="1298"/>
      <w:bookmarkEnd w:id="1299"/>
      <w:bookmarkEnd w:id="1300"/>
      <w:bookmarkEnd w:id="1301"/>
      <w:bookmarkEnd w:id="1302"/>
      <w:bookmarkEnd w:id="1303"/>
      <w:bookmarkEnd w:id="1304"/>
    </w:p>
    <w:p w14:paraId="054B90D4" w14:textId="77777777" w:rsidR="00243409" w:rsidRPr="0032755E" w:rsidRDefault="00243409" w:rsidP="00243409">
      <w:r>
        <w:t>T</w:t>
      </w:r>
      <w:r w:rsidRPr="0032755E">
        <w:t>he ACMA received t</w:t>
      </w:r>
      <w:r>
        <w:t>hree</w:t>
      </w:r>
      <w:r w:rsidRPr="0032755E">
        <w:t xml:space="preserve"> complaints and </w:t>
      </w:r>
      <w:r>
        <w:t xml:space="preserve">several </w:t>
      </w:r>
      <w:r w:rsidRPr="0032755E">
        <w:t>enquiries about the Triple Zero service</w:t>
      </w:r>
      <w:r>
        <w:t xml:space="preserve"> in </w:t>
      </w:r>
      <w:r w:rsidRPr="0032755E">
        <w:t>201</w:t>
      </w:r>
      <w:r>
        <w:t>6–17</w:t>
      </w:r>
      <w:r w:rsidRPr="0032755E">
        <w:t xml:space="preserve">. </w:t>
      </w:r>
      <w:r>
        <w:t xml:space="preserve">All the complaints </w:t>
      </w:r>
      <w:r w:rsidRPr="0032755E">
        <w:t xml:space="preserve">related to the handling of calls by the ESOs (and not to Telstra as the ECP for Triple Zero and 112) and were referred to the relevant organisation for a response. </w:t>
      </w:r>
      <w:r w:rsidR="00C62652">
        <w:t xml:space="preserve">The ACMA did not undertake any </w:t>
      </w:r>
      <w:r w:rsidRPr="0032755E">
        <w:t xml:space="preserve">formal investigations. </w:t>
      </w:r>
    </w:p>
    <w:p w14:paraId="3EFFBE60" w14:textId="77777777" w:rsidR="00243409" w:rsidRPr="0032755E" w:rsidRDefault="00243409" w:rsidP="00243409">
      <w:pPr>
        <w:pStyle w:val="Heading3"/>
      </w:pPr>
      <w:bookmarkStart w:id="1305" w:name="_Toc494799460"/>
      <w:bookmarkStart w:id="1306" w:name="_Toc494805763"/>
      <w:bookmarkStart w:id="1307" w:name="_Toc494805996"/>
      <w:bookmarkStart w:id="1308" w:name="_Toc494808226"/>
      <w:bookmarkStart w:id="1309" w:name="_Toc494808880"/>
      <w:bookmarkStart w:id="1310" w:name="_Toc494816065"/>
      <w:bookmarkStart w:id="1311" w:name="_Toc494818895"/>
      <w:bookmarkStart w:id="1312" w:name="_Toc494819157"/>
      <w:r w:rsidRPr="0032755E">
        <w:t>Emergency call service—</w:t>
      </w:r>
      <w:r w:rsidRPr="0032755E" w:rsidDel="00D7079F">
        <w:t>National Relay Service</w:t>
      </w:r>
      <w:bookmarkEnd w:id="1305"/>
      <w:bookmarkEnd w:id="1306"/>
      <w:bookmarkEnd w:id="1307"/>
      <w:bookmarkEnd w:id="1308"/>
      <w:bookmarkEnd w:id="1309"/>
      <w:bookmarkEnd w:id="1310"/>
      <w:bookmarkEnd w:id="1311"/>
      <w:bookmarkEnd w:id="1312"/>
      <w:r w:rsidRPr="0032755E">
        <w:t xml:space="preserve"> </w:t>
      </w:r>
    </w:p>
    <w:p w14:paraId="74374CE7" w14:textId="77777777" w:rsidR="00243409" w:rsidRPr="0032755E" w:rsidRDefault="00243409" w:rsidP="00243409">
      <w:r w:rsidRPr="0032755E" w:rsidDel="00D7079F">
        <w:t xml:space="preserve">The relay service provider for the National Relay Service (NRS) is specified as an ECP in the Emergency Call Persons Determination. </w:t>
      </w:r>
      <w:r w:rsidRPr="0032755E">
        <w:t xml:space="preserve">ACE is currently contracted by the Commonwealth as the NRS </w:t>
      </w:r>
      <w:r w:rsidRPr="0032755E" w:rsidDel="00D7079F">
        <w:t xml:space="preserve">relay service </w:t>
      </w:r>
      <w:r w:rsidRPr="0032755E">
        <w:t xml:space="preserve">provider and operates a text emergency service on the 106 number in this capacity. The 106 text emergency service is available for users with a teletypewriter (TTY). There were </w:t>
      </w:r>
      <w:r>
        <w:t>75</w:t>
      </w:r>
      <w:r w:rsidRPr="0032755E">
        <w:t xml:space="preserve"> genuine calls to ESOs via the 106 text emergency service in 201</w:t>
      </w:r>
      <w:r>
        <w:t>6–17</w:t>
      </w:r>
      <w:r w:rsidRPr="0032755E">
        <w:t xml:space="preserve">, compared to </w:t>
      </w:r>
      <w:r>
        <w:t>100 in 2015–16.</w:t>
      </w:r>
    </w:p>
    <w:p w14:paraId="088E2691" w14:textId="77777777" w:rsidR="00243409" w:rsidRPr="0032755E" w:rsidRDefault="00243409" w:rsidP="00243409">
      <w:r w:rsidRPr="0032755E">
        <w:t xml:space="preserve">As shown in Figure 4.1, a significant number of genuine calls were also relayed by the NRS to ESOs via the Triple Zero emergency services number. In these circumstances, TTY users contacted the NRS via normal access numbers and requested the call be relayed to Triple Zero, rather than dialling the 106 text emergency service number from their TTY. Calls to Triple Zero can also be relayed through the NRS for its internet relay and Speak and Listen (speech-to-speech relay) callers, as these users are unable to access the 106 number through these services. </w:t>
      </w:r>
    </w:p>
    <w:p w14:paraId="506A4AD6" w14:textId="77777777" w:rsidR="00243409" w:rsidRPr="0032755E" w:rsidRDefault="00243409" w:rsidP="00243409">
      <w:r w:rsidRPr="0032755E">
        <w:t xml:space="preserve">A total of </w:t>
      </w:r>
      <w:r>
        <w:t>758</w:t>
      </w:r>
      <w:r w:rsidRPr="0032755E">
        <w:t xml:space="preserve"> calls were made to Triple Zero using SMS relay (web browser), video relay and captioned relay in 201</w:t>
      </w:r>
      <w:r>
        <w:t>6–17</w:t>
      </w:r>
      <w:r w:rsidRPr="0032755E">
        <w:t xml:space="preserve">, compared to </w:t>
      </w:r>
      <w:r>
        <w:t>605</w:t>
      </w:r>
      <w:r w:rsidRPr="0032755E">
        <w:t xml:space="preserve"> calls </w:t>
      </w:r>
      <w:r>
        <w:t>using</w:t>
      </w:r>
      <w:r w:rsidRPr="0032755E">
        <w:t xml:space="preserve"> these three services in 201</w:t>
      </w:r>
      <w:r>
        <w:t>5–16.</w:t>
      </w:r>
      <w:r w:rsidRPr="0032755E">
        <w:t xml:space="preserve"> This represents a </w:t>
      </w:r>
      <w:r>
        <w:t>25</w:t>
      </w:r>
      <w:r w:rsidRPr="0032755E">
        <w:t xml:space="preserve"> per cent increase in the use of this technology, with the use of the captioned relay alone increasing by </w:t>
      </w:r>
      <w:r>
        <w:t xml:space="preserve">67 per cent </w:t>
      </w:r>
      <w:r w:rsidRPr="0032755E">
        <w:t>in the year to June 201</w:t>
      </w:r>
      <w:r>
        <w:t>7</w:t>
      </w:r>
      <w:r w:rsidRPr="0032755E">
        <w:t>.</w:t>
      </w:r>
    </w:p>
    <w:p w14:paraId="18C5DC7F" w14:textId="77777777" w:rsidR="00243409" w:rsidRPr="0032755E" w:rsidRDefault="00243409" w:rsidP="002A3873">
      <w:pPr>
        <w:keepLines/>
      </w:pPr>
      <w:r w:rsidRPr="0032755E">
        <w:t xml:space="preserve">The NRS </w:t>
      </w:r>
      <w:r>
        <w:t xml:space="preserve">mobile </w:t>
      </w:r>
      <w:r w:rsidRPr="0032755E">
        <w:t xml:space="preserve">app </w:t>
      </w:r>
      <w:r w:rsidR="00F56778">
        <w:t>allows</w:t>
      </w:r>
      <w:r w:rsidRPr="0032755E">
        <w:t xml:space="preserve"> </w:t>
      </w:r>
      <w:r>
        <w:t>i</w:t>
      </w:r>
      <w:r w:rsidRPr="0032755E">
        <w:t xml:space="preserve">nternet relay and Speak and Listen users to make calls via the app rather than using an internet browser. The app also allows the caller to insert the location into the call using the GPS function of the device. There were </w:t>
      </w:r>
      <w:r>
        <w:t xml:space="preserve">182 </w:t>
      </w:r>
      <w:r w:rsidRPr="0032755E">
        <w:t>calls made via the app in 201</w:t>
      </w:r>
      <w:r>
        <w:t>6–17</w:t>
      </w:r>
      <w:r w:rsidRPr="0032755E">
        <w:t xml:space="preserve">, </w:t>
      </w:r>
      <w:r>
        <w:t>compared to 145 calls in 2015–16.</w:t>
      </w:r>
    </w:p>
    <w:p w14:paraId="79A8A510" w14:textId="77777777" w:rsidR="00243409" w:rsidRPr="0032755E" w:rsidRDefault="00243409" w:rsidP="00243409">
      <w:r w:rsidRPr="0032755E">
        <w:t xml:space="preserve">A total of </w:t>
      </w:r>
      <w:r>
        <w:t xml:space="preserve">1,302 </w:t>
      </w:r>
      <w:r w:rsidRPr="0032755E">
        <w:t xml:space="preserve">genuine emergency calls were made via the NRS across all modes (SMS relay, </w:t>
      </w:r>
      <w:r>
        <w:t>i</w:t>
      </w:r>
      <w:r w:rsidRPr="0032755E">
        <w:t xml:space="preserve">nternet relay, </w:t>
      </w:r>
      <w:r>
        <w:t>c</w:t>
      </w:r>
      <w:r w:rsidRPr="0032755E">
        <w:t xml:space="preserve">aptioned relay, </w:t>
      </w:r>
      <w:r>
        <w:t>v</w:t>
      </w:r>
      <w:r w:rsidRPr="0032755E">
        <w:t>ideo relay, Speak and Listen</w:t>
      </w:r>
      <w:r>
        <w:t>,</w:t>
      </w:r>
      <w:r w:rsidRPr="0032755E">
        <w:t xml:space="preserve"> and TTY)</w:t>
      </w:r>
      <w:r w:rsidR="008A3475">
        <w:t>,</w:t>
      </w:r>
      <w:r w:rsidRPr="0032755E">
        <w:t xml:space="preserve"> compared with </w:t>
      </w:r>
      <w:r>
        <w:t>1,113</w:t>
      </w:r>
      <w:r w:rsidRPr="0032755E">
        <w:t xml:space="preserve"> calls in 201</w:t>
      </w:r>
      <w:r>
        <w:t>5–16.</w:t>
      </w:r>
      <w:r w:rsidRPr="0032755E">
        <w:t xml:space="preserve"> </w:t>
      </w:r>
    </w:p>
    <w:p w14:paraId="55D1481A" w14:textId="77777777" w:rsidR="00243409" w:rsidRPr="0032755E" w:rsidRDefault="00243409" w:rsidP="003547F7">
      <w:pPr>
        <w:pStyle w:val="ACMAFigureHeader"/>
        <w:keepNext/>
      </w:pPr>
      <w:r w:rsidRPr="0032755E">
        <w:t>Figure 4.</w:t>
      </w:r>
      <w:r w:rsidR="00A03B6A">
        <w:fldChar w:fldCharType="begin"/>
      </w:r>
      <w:r w:rsidR="00A03B6A">
        <w:instrText xml:space="preserve"> SEQ Figure \r 1\* ARABIC </w:instrText>
      </w:r>
      <w:r w:rsidR="00A03B6A">
        <w:fldChar w:fldCharType="separate"/>
      </w:r>
      <w:r w:rsidR="00FA0614">
        <w:rPr>
          <w:noProof/>
        </w:rPr>
        <w:t>1</w:t>
      </w:r>
      <w:r w:rsidR="00A03B6A">
        <w:rPr>
          <w:noProof/>
        </w:rPr>
        <w:fldChar w:fldCharType="end"/>
      </w:r>
      <w:r>
        <w:tab/>
        <w:t>Number of g</w:t>
      </w:r>
      <w:r w:rsidRPr="0032755E">
        <w:t>enuine emergency calls via the NRS</w:t>
      </w:r>
    </w:p>
    <w:p w14:paraId="58C7FFDC" w14:textId="77777777" w:rsidR="000B52D7" w:rsidRPr="0032755E" w:rsidRDefault="00957EBE" w:rsidP="00CB4BA6">
      <w:pPr>
        <w:spacing w:after="0"/>
      </w:pPr>
      <w:r>
        <w:rPr>
          <w:noProof/>
        </w:rPr>
        <w:drawing>
          <wp:inline distT="0" distB="0" distL="0" distR="0" wp14:anchorId="7C53120A" wp14:editId="6C99DBF7">
            <wp:extent cx="5690796" cy="5324087"/>
            <wp:effectExtent l="0" t="0" r="5715" b="0"/>
            <wp:docPr id="69" name="Picture 69" descr="Data for Figure 4.1 is in the .ods file for Chapter 4 on the landing page ‘Communications report 2016-17’, available from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CH4 - charts_Figure 4.1.png"/>
                    <pic:cNvPicPr/>
                  </pic:nvPicPr>
                  <pic:blipFill rotWithShape="1">
                    <a:blip r:embed="rId103">
                      <a:extLst>
                        <a:ext uri="{28A0092B-C50C-407E-A947-70E740481C1C}">
                          <a14:useLocalDpi xmlns:a14="http://schemas.microsoft.com/office/drawing/2010/main" val="0"/>
                        </a:ext>
                      </a:extLst>
                    </a:blip>
                    <a:srcRect t="1371" r="8538" b="829"/>
                    <a:stretch/>
                  </pic:blipFill>
                  <pic:spPr bwMode="auto">
                    <a:xfrm>
                      <a:off x="0" y="0"/>
                      <a:ext cx="5694469" cy="5327524"/>
                    </a:xfrm>
                    <a:prstGeom prst="rect">
                      <a:avLst/>
                    </a:prstGeom>
                    <a:ln>
                      <a:noFill/>
                    </a:ln>
                    <a:extLst>
                      <a:ext uri="{53640926-AAD7-44D8-BBD7-CCE9431645EC}">
                        <a14:shadowObscured xmlns:a14="http://schemas.microsoft.com/office/drawing/2010/main"/>
                      </a:ext>
                    </a:extLst>
                  </pic:spPr>
                </pic:pic>
              </a:graphicData>
            </a:graphic>
          </wp:inline>
        </w:drawing>
      </w:r>
    </w:p>
    <w:p w14:paraId="0BAF82C7" w14:textId="77777777" w:rsidR="00243409" w:rsidRDefault="00243409" w:rsidP="008F3596">
      <w:pPr>
        <w:pStyle w:val="ACMANotes"/>
        <w:spacing w:before="240"/>
      </w:pPr>
      <w:r>
        <w:t>Base: Number of calls</w:t>
      </w:r>
      <w:r w:rsidR="00F30830">
        <w:t>.</w:t>
      </w:r>
    </w:p>
    <w:p w14:paraId="6738B653" w14:textId="77777777" w:rsidR="00243409" w:rsidRPr="0032755E" w:rsidRDefault="00243409" w:rsidP="008F3596">
      <w:pPr>
        <w:pStyle w:val="ACMANotesspaceafter"/>
        <w:spacing w:after="360"/>
      </w:pPr>
      <w:r>
        <w:t>Source: NRS Service provider (ACE)</w:t>
      </w:r>
      <w:r w:rsidR="00F30830">
        <w:t>.</w:t>
      </w:r>
    </w:p>
    <w:p w14:paraId="05B78A8A" w14:textId="77777777" w:rsidR="00243409" w:rsidRPr="0032755E" w:rsidRDefault="00243409" w:rsidP="003D67C0">
      <w:pPr>
        <w:pStyle w:val="Heading2"/>
        <w:numPr>
          <w:ilvl w:val="1"/>
          <w:numId w:val="19"/>
        </w:numPr>
        <w:ind w:hanging="792"/>
      </w:pPr>
      <w:bookmarkStart w:id="1313" w:name="_Toc494799461"/>
      <w:bookmarkStart w:id="1314" w:name="_Toc494805764"/>
      <w:bookmarkStart w:id="1315" w:name="_Toc494805997"/>
      <w:bookmarkStart w:id="1316" w:name="_Toc494816066"/>
      <w:bookmarkStart w:id="1317" w:name="_Toc494819158"/>
      <w:bookmarkStart w:id="1318" w:name="_Toc494808227"/>
      <w:bookmarkStart w:id="1319" w:name="_Toc494808881"/>
      <w:bookmarkStart w:id="1320" w:name="_Toc494818896"/>
      <w:bookmarkStart w:id="1321" w:name="_Toc500320917"/>
      <w:r w:rsidRPr="0032755E">
        <w:t>Supporting law enforcement and national security agencies</w:t>
      </w:r>
      <w:bookmarkEnd w:id="1313"/>
      <w:bookmarkEnd w:id="1314"/>
      <w:bookmarkEnd w:id="1315"/>
      <w:bookmarkEnd w:id="1316"/>
      <w:bookmarkEnd w:id="1317"/>
      <w:bookmarkEnd w:id="1318"/>
      <w:bookmarkEnd w:id="1319"/>
      <w:bookmarkEnd w:id="1320"/>
      <w:bookmarkEnd w:id="1321"/>
    </w:p>
    <w:p w14:paraId="6D4A7153" w14:textId="77777777" w:rsidR="00243409" w:rsidRPr="0032755E" w:rsidRDefault="00D67C3E" w:rsidP="002407F0">
      <w:pPr>
        <w:keepNext/>
        <w:keepLines/>
        <w:spacing w:after="80"/>
      </w:pPr>
      <w:r>
        <w:t xml:space="preserve">Carriers and CSPs, </w:t>
      </w:r>
      <w:r w:rsidR="00243409" w:rsidRPr="0032755E">
        <w:t xml:space="preserve">including </w:t>
      </w:r>
      <w:r w:rsidR="00243409">
        <w:t>ISPs</w:t>
      </w:r>
      <w:r w:rsidR="00243409" w:rsidRPr="0032755E">
        <w:t xml:space="preserve">, </w:t>
      </w:r>
      <w:r>
        <w:t>are</w:t>
      </w:r>
      <w:r w:rsidRPr="0032755E">
        <w:t xml:space="preserve"> </w:t>
      </w:r>
      <w:r w:rsidR="00243409" w:rsidRPr="0032755E">
        <w:t>obliged to provide reasonably necessary assistance to law enforcement and national security agencies under section 313 of the Telecommunications Act</w:t>
      </w:r>
      <w:r w:rsidR="00243409" w:rsidRPr="0032755E">
        <w:rPr>
          <w:i/>
        </w:rPr>
        <w:t>.</w:t>
      </w:r>
      <w:r w:rsidR="00270D21">
        <w:rPr>
          <w:rStyle w:val="EndnoteReference"/>
          <w:i/>
        </w:rPr>
        <w:endnoteReference w:id="235"/>
      </w:r>
      <w:r w:rsidR="00243409" w:rsidRPr="0032755E">
        <w:t xml:space="preserve"> This assistance can take many forms, but most commonly involves providing information </w:t>
      </w:r>
      <w:r w:rsidR="00243409">
        <w:t>about</w:t>
      </w:r>
      <w:r w:rsidR="00243409" w:rsidRPr="0032755E">
        <w:t xml:space="preserve"> consumers of telecommunications services and their communications for the purposes of:</w:t>
      </w:r>
    </w:p>
    <w:p w14:paraId="5BEA68E6" w14:textId="77777777" w:rsidR="00243409" w:rsidRPr="008972C2" w:rsidRDefault="00243409" w:rsidP="002407F0">
      <w:pPr>
        <w:pStyle w:val="ListBullet"/>
        <w:keepNext/>
        <w:keepLines/>
      </w:pPr>
      <w:r w:rsidRPr="008972C2">
        <w:t>enforcing the criminal law</w:t>
      </w:r>
    </w:p>
    <w:p w14:paraId="4AC72130" w14:textId="77777777" w:rsidR="00243409" w:rsidRPr="009817BB" w:rsidRDefault="00243409" w:rsidP="002407F0">
      <w:pPr>
        <w:pStyle w:val="ListBullet"/>
        <w:keepNext/>
        <w:keepLines/>
      </w:pPr>
      <w:r w:rsidRPr="009817BB">
        <w:t>enforcing laws that impose a pecuniary penalty</w:t>
      </w:r>
    </w:p>
    <w:p w14:paraId="5450FBEA" w14:textId="77777777" w:rsidR="00243409" w:rsidRPr="00617959" w:rsidRDefault="00243409" w:rsidP="002407F0">
      <w:pPr>
        <w:pStyle w:val="ListBullet"/>
        <w:keepNext/>
        <w:keepLines/>
      </w:pPr>
      <w:r w:rsidRPr="00617959">
        <w:t>assisting the enforcement of the criminal laws in force in a foreign country</w:t>
      </w:r>
    </w:p>
    <w:p w14:paraId="41DD12CE" w14:textId="77777777" w:rsidR="00243409" w:rsidRPr="00B8425E" w:rsidRDefault="00243409" w:rsidP="002407F0">
      <w:pPr>
        <w:pStyle w:val="ListBullet"/>
        <w:keepNext/>
        <w:keepLines/>
      </w:pPr>
      <w:r w:rsidRPr="00617959">
        <w:t>pr</w:t>
      </w:r>
      <w:r w:rsidRPr="00B8425E">
        <w:t>otecting the public revenue</w:t>
      </w:r>
    </w:p>
    <w:p w14:paraId="592737A9" w14:textId="77777777" w:rsidR="00243409" w:rsidRPr="00B8425E" w:rsidRDefault="00243409" w:rsidP="00F23573">
      <w:pPr>
        <w:pStyle w:val="ListBulletLast"/>
      </w:pPr>
      <w:r w:rsidRPr="00B8425E">
        <w:t>safeguarding national security.</w:t>
      </w:r>
    </w:p>
    <w:p w14:paraId="508F2B88" w14:textId="77777777" w:rsidR="00243409" w:rsidRPr="0032755E" w:rsidRDefault="00243409" w:rsidP="00243409">
      <w:r w:rsidRPr="0032755E">
        <w:t xml:space="preserve">During the reporting period, </w:t>
      </w:r>
      <w:r w:rsidRPr="00212C50">
        <w:t>the Attorney-General’s Department (AGD</w:t>
      </w:r>
      <w:r w:rsidRPr="0032755E">
        <w:t xml:space="preserve">) did not refer any carriers or CSPs to the ACMA for enforcement action for refusing to provide an agency with such assistance. </w:t>
      </w:r>
    </w:p>
    <w:p w14:paraId="1F85D1C8" w14:textId="77777777" w:rsidR="00243409" w:rsidRPr="00797A8A" w:rsidRDefault="00243409" w:rsidP="00243409">
      <w:pPr>
        <w:pStyle w:val="Heading3"/>
      </w:pPr>
      <w:bookmarkStart w:id="1322" w:name="_Toc494799462"/>
      <w:bookmarkStart w:id="1323" w:name="_Toc494805765"/>
      <w:bookmarkStart w:id="1324" w:name="_Toc494805998"/>
      <w:bookmarkStart w:id="1325" w:name="_Toc494808228"/>
      <w:bookmarkStart w:id="1326" w:name="_Toc494808882"/>
      <w:bookmarkStart w:id="1327" w:name="_Toc494816067"/>
      <w:bookmarkStart w:id="1328" w:name="_Toc494818897"/>
      <w:bookmarkStart w:id="1329" w:name="_Toc494819159"/>
      <w:r w:rsidRPr="00797A8A">
        <w:t>Disclosure of customer information</w:t>
      </w:r>
      <w:bookmarkEnd w:id="1322"/>
      <w:bookmarkEnd w:id="1323"/>
      <w:bookmarkEnd w:id="1324"/>
      <w:bookmarkEnd w:id="1325"/>
      <w:bookmarkEnd w:id="1326"/>
      <w:bookmarkEnd w:id="1327"/>
      <w:bookmarkEnd w:id="1328"/>
      <w:bookmarkEnd w:id="1329"/>
    </w:p>
    <w:p w14:paraId="6BCDA32C" w14:textId="77777777" w:rsidR="00243409" w:rsidRPr="0032755E" w:rsidRDefault="00243409" w:rsidP="00243409">
      <w:pPr>
        <w:spacing w:after="80"/>
      </w:pPr>
      <w:r w:rsidRPr="0032755E">
        <w:t>Customer information provided to telecommunications carriers, CSPs and telecommunications contractors is protected under Part 13 of the Telecommunications Act. Carriers, CSPs and telecommunications contractors are prohibited from disclosing information to other parties except in certain limited and restricted circumstances. Those circumstances include</w:t>
      </w:r>
      <w:r w:rsidR="00B9734B">
        <w:t xml:space="preserve"> but are not limited to</w:t>
      </w:r>
      <w:r w:rsidRPr="0032755E">
        <w:t>:</w:t>
      </w:r>
    </w:p>
    <w:p w14:paraId="4AF9ADB2" w14:textId="77777777" w:rsidR="00243409" w:rsidRPr="00212C50" w:rsidRDefault="00243409" w:rsidP="00F23573">
      <w:pPr>
        <w:pStyle w:val="ListBullet"/>
      </w:pPr>
      <w:r w:rsidRPr="00212C50">
        <w:t>where it is required or authorised by a warrant or under law</w:t>
      </w:r>
    </w:p>
    <w:p w14:paraId="67894FEA" w14:textId="62BFFB2A" w:rsidR="00243409" w:rsidRPr="00617959" w:rsidRDefault="00243409" w:rsidP="00F23573">
      <w:pPr>
        <w:pStyle w:val="ListBullet"/>
      </w:pPr>
      <w:r w:rsidRPr="00212C50">
        <w:t>disclosure to the ACMA, Australian Competition and Consumer Commission (ACCC), TIO or the Office of the eSafety Commissioner</w:t>
      </w:r>
      <w:r w:rsidR="00212C50" w:rsidRPr="00212C50">
        <w:t>,</w:t>
      </w:r>
      <w:r w:rsidRPr="00212C50">
        <w:t xml:space="preserve"> where the disclosure may</w:t>
      </w:r>
      <w:r w:rsidRPr="00617959">
        <w:t xml:space="preserve"> assist those agencies to carry out their functions or powers or, in the case of the TIO, assist in the consideration of a complaint</w:t>
      </w:r>
    </w:p>
    <w:p w14:paraId="19CBC470" w14:textId="77777777" w:rsidR="00243409" w:rsidRPr="00797A8A" w:rsidRDefault="00243409" w:rsidP="00F23573">
      <w:pPr>
        <w:pStyle w:val="ListBullet"/>
      </w:pPr>
      <w:r w:rsidRPr="00617959">
        <w:t>an imminent th</w:t>
      </w:r>
      <w:r w:rsidRPr="00797A8A">
        <w:t>reat to a person’s life or health</w:t>
      </w:r>
    </w:p>
    <w:p w14:paraId="393BBCE7" w14:textId="77777777" w:rsidR="00243409" w:rsidRPr="00797A8A" w:rsidRDefault="00243409" w:rsidP="00F23573">
      <w:pPr>
        <w:pStyle w:val="ListBulletLast"/>
      </w:pPr>
      <w:r w:rsidRPr="00797A8A">
        <w:t xml:space="preserve">satisfying the </w:t>
      </w:r>
      <w:r w:rsidRPr="008972C2">
        <w:t>business</w:t>
      </w:r>
      <w:r w:rsidRPr="00797A8A">
        <w:t xml:space="preserve"> needs of other carriers and CSPs, where the customer is or was a customer of a carrier or CSP.</w:t>
      </w:r>
    </w:p>
    <w:p w14:paraId="43CAB6F2" w14:textId="77777777" w:rsidR="00243409" w:rsidRPr="0032755E" w:rsidRDefault="00243409" w:rsidP="00243409">
      <w:r w:rsidRPr="0032755E">
        <w:t>Carriers and CSPs are required to report to the ACMA on any disclosures that are authorised under either Part 13 of the Telecommunications Act or Chapter 4 of the TIA Act.</w:t>
      </w:r>
    </w:p>
    <w:p w14:paraId="52D93143" w14:textId="77777777" w:rsidR="00243409" w:rsidRPr="00FC646D" w:rsidRDefault="00243409" w:rsidP="00243409">
      <w:pPr>
        <w:spacing w:before="160"/>
        <w:rPr>
          <w:highlight w:val="yellow"/>
        </w:rPr>
      </w:pPr>
      <w:r w:rsidRPr="0032755E">
        <w:t>During 201</w:t>
      </w:r>
      <w:r>
        <w:t>6</w:t>
      </w:r>
      <w:r w:rsidRPr="0032755E">
        <w:t>–1</w:t>
      </w:r>
      <w:r>
        <w:t>7</w:t>
      </w:r>
      <w:r w:rsidRPr="0032755E">
        <w:t>, the number of disclosures, as reported to the ACMA under section 308 of the Telecommunications Act</w:t>
      </w:r>
      <w:r w:rsidRPr="00797A8A">
        <w:t>, was 638,371, a decrease of 29,421 (4.4 per cent)</w:t>
      </w:r>
      <w:r w:rsidRPr="0032755E">
        <w:t xml:space="preserve"> from 201</w:t>
      </w:r>
      <w:r>
        <w:t>5</w:t>
      </w:r>
      <w:r w:rsidRPr="0032755E">
        <w:t>–1</w:t>
      </w:r>
      <w:r>
        <w:t>6</w:t>
      </w:r>
      <w:r w:rsidRPr="0032755E">
        <w:t xml:space="preserve">. Of these, </w:t>
      </w:r>
      <w:r>
        <w:t>79</w:t>
      </w:r>
      <w:r w:rsidRPr="0032755E">
        <w:t> per cent were covered by an authorisation in force to access existing information or documents for the enforcement of the criminal law under section 178 of the TIA Act.</w:t>
      </w:r>
    </w:p>
    <w:p w14:paraId="7143BEE3" w14:textId="77777777" w:rsidR="00243409" w:rsidRPr="0032755E" w:rsidRDefault="00243409" w:rsidP="00243409">
      <w:r w:rsidRPr="0032755E">
        <w:t xml:space="preserve">Carrier and CSP data also indicates that approximately </w:t>
      </w:r>
      <w:r>
        <w:t>nine</w:t>
      </w:r>
      <w:r w:rsidRPr="0032755E">
        <w:t xml:space="preserve"> per cent of all disclosures were made with the knowledge or consent of the person concerned under section 289 of the Telecommunications Act. The number and reason for disclosures made during 201</w:t>
      </w:r>
      <w:r>
        <w:t>6</w:t>
      </w:r>
      <w:r w:rsidRPr="0032755E">
        <w:t>–1</w:t>
      </w:r>
      <w:r>
        <w:t>7</w:t>
      </w:r>
      <w:r w:rsidRPr="0032755E">
        <w:t>, as reported to the ACMA under section</w:t>
      </w:r>
      <w:r w:rsidR="00F22489">
        <w:t> </w:t>
      </w:r>
      <w:r w:rsidRPr="0032755E">
        <w:t>308 of the Telecommunications Act, are in Table</w:t>
      </w:r>
      <w:r>
        <w:t> </w:t>
      </w:r>
      <w:r w:rsidRPr="00797A8A">
        <w:t>4.2.</w:t>
      </w:r>
    </w:p>
    <w:p w14:paraId="4EFF0BB7" w14:textId="77777777" w:rsidR="00243409" w:rsidRPr="00797A8A" w:rsidRDefault="00243409" w:rsidP="008F3596">
      <w:pPr>
        <w:keepNext/>
        <w:spacing w:after="160"/>
        <w:ind w:left="1136" w:hanging="1136"/>
      </w:pPr>
      <w:r w:rsidRPr="00797A8A">
        <w:rPr>
          <w:b/>
          <w:bCs/>
          <w:szCs w:val="20"/>
        </w:rPr>
        <w:t>Table 4.</w:t>
      </w:r>
      <w:r w:rsidRPr="00797A8A">
        <w:rPr>
          <w:b/>
          <w:bCs/>
          <w:szCs w:val="20"/>
        </w:rPr>
        <w:fldChar w:fldCharType="begin"/>
      </w:r>
      <w:r w:rsidRPr="00797A8A">
        <w:rPr>
          <w:b/>
          <w:bCs/>
          <w:szCs w:val="20"/>
        </w:rPr>
        <w:instrText xml:space="preserve"> SEQ Table \* ARABIC </w:instrText>
      </w:r>
      <w:r w:rsidRPr="00797A8A">
        <w:rPr>
          <w:b/>
          <w:bCs/>
          <w:szCs w:val="20"/>
        </w:rPr>
        <w:fldChar w:fldCharType="separate"/>
      </w:r>
      <w:r w:rsidR="00FA0614">
        <w:rPr>
          <w:b/>
          <w:bCs/>
          <w:noProof/>
          <w:szCs w:val="20"/>
        </w:rPr>
        <w:t>2</w:t>
      </w:r>
      <w:r w:rsidRPr="00797A8A">
        <w:rPr>
          <w:b/>
          <w:bCs/>
          <w:szCs w:val="20"/>
        </w:rPr>
        <w:fldChar w:fldCharType="end"/>
      </w:r>
      <w:r w:rsidRPr="00797A8A">
        <w:rPr>
          <w:b/>
          <w:bCs/>
          <w:szCs w:val="20"/>
        </w:rPr>
        <w:tab/>
        <w:t xml:space="preserve">Disclosures </w:t>
      </w:r>
      <w:r>
        <w:rPr>
          <w:b/>
          <w:bCs/>
          <w:szCs w:val="20"/>
        </w:rPr>
        <w:t>of customer information by carriers and CSPs (000’s)</w:t>
      </w:r>
    </w:p>
    <w:tbl>
      <w:tblPr>
        <w:tblStyle w:val="Commsreport17"/>
        <w:tblW w:w="9558" w:type="dxa"/>
        <w:tblInd w:w="-12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1E0" w:firstRow="1" w:lastRow="1" w:firstColumn="1" w:lastColumn="1" w:noHBand="0" w:noVBand="0"/>
        <w:tblCaption w:val="Table 3.5 Metropolitan free-to-air commercial network licensee’s compliance with children’s and preschool children’s program quotas (total annual hours), for the 2015 calendar year"/>
      </w:tblPr>
      <w:tblGrid>
        <w:gridCol w:w="2133"/>
        <w:gridCol w:w="3481"/>
        <w:gridCol w:w="1474"/>
        <w:gridCol w:w="1416"/>
        <w:gridCol w:w="1038"/>
        <w:gridCol w:w="16"/>
      </w:tblGrid>
      <w:tr w:rsidR="00243409" w:rsidRPr="008869FD" w14:paraId="4ECEE8BF" w14:textId="77777777" w:rsidTr="00EC183A">
        <w:trPr>
          <w:cnfStyle w:val="100000000000" w:firstRow="1" w:lastRow="0" w:firstColumn="0" w:lastColumn="0" w:oddVBand="0" w:evenVBand="0" w:oddHBand="0" w:evenHBand="0" w:firstRowFirstColumn="0" w:firstRowLastColumn="0" w:lastRowFirstColumn="0" w:lastRowLastColumn="0"/>
          <w:trHeight w:val="87"/>
          <w:tblHeader/>
        </w:trPr>
        <w:tc>
          <w:tcPr>
            <w:cnfStyle w:val="001000000000" w:firstRow="0" w:lastRow="0" w:firstColumn="1" w:lastColumn="0" w:oddVBand="0" w:evenVBand="0" w:oddHBand="0" w:evenHBand="0" w:firstRowFirstColumn="0" w:firstRowLastColumn="0" w:lastRowFirstColumn="0" w:lastRowLastColumn="0"/>
            <w:tcW w:w="5614" w:type="dxa"/>
            <w:gridSpan w:val="2"/>
            <w:vMerge w:val="restart"/>
            <w:shd w:val="clear" w:color="auto" w:fill="37897E"/>
            <w:tcMar>
              <w:top w:w="57" w:type="dxa"/>
              <w:left w:w="57" w:type="dxa"/>
              <w:bottom w:w="57" w:type="dxa"/>
              <w:right w:w="57" w:type="dxa"/>
            </w:tcMar>
          </w:tcPr>
          <w:p w14:paraId="2971520F" w14:textId="77777777" w:rsidR="00243409" w:rsidRDefault="00243409" w:rsidP="00345792">
            <w:pPr>
              <w:spacing w:before="0" w:after="0"/>
              <w:rPr>
                <w:sz w:val="18"/>
                <w:szCs w:val="18"/>
              </w:rPr>
            </w:pPr>
            <w:r w:rsidRPr="008869FD">
              <w:rPr>
                <w:sz w:val="18"/>
                <w:szCs w:val="18"/>
              </w:rPr>
              <w:t>Reason for disclosure</w:t>
            </w:r>
          </w:p>
        </w:tc>
        <w:tc>
          <w:tcPr>
            <w:tcW w:w="1474" w:type="dxa"/>
            <w:vMerge w:val="restart"/>
            <w:shd w:val="clear" w:color="auto" w:fill="37897E"/>
            <w:tcMar>
              <w:top w:w="57" w:type="dxa"/>
              <w:left w:w="57" w:type="dxa"/>
              <w:bottom w:w="57" w:type="dxa"/>
              <w:right w:w="57" w:type="dxa"/>
            </w:tcMar>
          </w:tcPr>
          <w:p w14:paraId="7B65D679" w14:textId="77777777" w:rsidR="00243409" w:rsidRPr="008869FD" w:rsidRDefault="00243409" w:rsidP="00345792">
            <w:pPr>
              <w:spacing w:before="0" w:after="0"/>
              <w:jc w:val="right"/>
              <w:cnfStyle w:val="100000000000" w:firstRow="1" w:lastRow="0" w:firstColumn="0" w:lastColumn="0" w:oddVBand="0" w:evenVBand="0" w:oddHBand="0" w:evenHBand="0" w:firstRowFirstColumn="0" w:firstRowLastColumn="0" w:lastRowFirstColumn="0" w:lastRowLastColumn="0"/>
              <w:rPr>
                <w:sz w:val="18"/>
                <w:szCs w:val="18"/>
              </w:rPr>
            </w:pPr>
            <w:r w:rsidRPr="003D67C0">
              <w:rPr>
                <w:sz w:val="18"/>
                <w:szCs w:val="18"/>
              </w:rPr>
              <w:t>(Sub)</w:t>
            </w:r>
            <w:r w:rsidR="00F22489">
              <w:rPr>
                <w:sz w:val="18"/>
                <w:szCs w:val="18"/>
              </w:rPr>
              <w:t>s</w:t>
            </w:r>
            <w:r w:rsidRPr="003D67C0">
              <w:rPr>
                <w:sz w:val="18"/>
                <w:szCs w:val="18"/>
              </w:rPr>
              <w:t>ection</w:t>
            </w:r>
          </w:p>
        </w:tc>
        <w:tc>
          <w:tcPr>
            <w:tcW w:w="2470" w:type="dxa"/>
            <w:gridSpan w:val="3"/>
            <w:shd w:val="clear" w:color="auto" w:fill="37897E"/>
            <w:tcMar>
              <w:top w:w="57" w:type="dxa"/>
              <w:left w:w="57" w:type="dxa"/>
              <w:bottom w:w="57" w:type="dxa"/>
              <w:right w:w="57" w:type="dxa"/>
            </w:tcMar>
          </w:tcPr>
          <w:p w14:paraId="0CE1D5AC" w14:textId="77777777" w:rsidR="00243409" w:rsidRPr="007E351E" w:rsidRDefault="00243409" w:rsidP="00345792">
            <w:pPr>
              <w:spacing w:before="0" w:after="0"/>
              <w:jc w:val="right"/>
              <w:cnfStyle w:val="100000000000" w:firstRow="1" w:lastRow="0" w:firstColumn="0" w:lastColumn="0" w:oddVBand="0" w:evenVBand="0" w:oddHBand="0" w:evenHBand="0" w:firstRowFirstColumn="0" w:firstRowLastColumn="0" w:lastRowFirstColumn="0" w:lastRowLastColumn="0"/>
              <w:rPr>
                <w:sz w:val="18"/>
                <w:szCs w:val="18"/>
              </w:rPr>
            </w:pPr>
            <w:r>
              <w:rPr>
                <w:sz w:val="18"/>
                <w:szCs w:val="18"/>
              </w:rPr>
              <w:t>Number of disclosures</w:t>
            </w:r>
          </w:p>
        </w:tc>
      </w:tr>
      <w:tr w:rsidR="00243409" w:rsidRPr="008869FD" w14:paraId="7CA3D36B" w14:textId="77777777" w:rsidTr="00F65D12">
        <w:trPr>
          <w:trHeight w:val="87"/>
        </w:trPr>
        <w:tc>
          <w:tcPr>
            <w:cnfStyle w:val="001000000000" w:firstRow="0" w:lastRow="0" w:firstColumn="1" w:lastColumn="0" w:oddVBand="0" w:evenVBand="0" w:oddHBand="0" w:evenHBand="0" w:firstRowFirstColumn="0" w:firstRowLastColumn="0" w:lastRowFirstColumn="0" w:lastRowLastColumn="0"/>
            <w:tcW w:w="5614" w:type="dxa"/>
            <w:gridSpan w:val="2"/>
            <w:vMerge/>
            <w:shd w:val="clear" w:color="auto" w:fill="37897E"/>
            <w:tcMar>
              <w:top w:w="57" w:type="dxa"/>
              <w:left w:w="57" w:type="dxa"/>
              <w:bottom w:w="57" w:type="dxa"/>
              <w:right w:w="57" w:type="dxa"/>
            </w:tcMar>
          </w:tcPr>
          <w:p w14:paraId="72C3C93E" w14:textId="77777777" w:rsidR="00243409" w:rsidRPr="00EE11DD" w:rsidRDefault="00243409" w:rsidP="00345792">
            <w:pPr>
              <w:spacing w:before="0" w:after="0"/>
              <w:rPr>
                <w:sz w:val="18"/>
                <w:szCs w:val="22"/>
              </w:rPr>
            </w:pPr>
          </w:p>
        </w:tc>
        <w:tc>
          <w:tcPr>
            <w:tcW w:w="1474" w:type="dxa"/>
            <w:vMerge/>
            <w:shd w:val="clear" w:color="auto" w:fill="37897E"/>
            <w:tcMar>
              <w:top w:w="57" w:type="dxa"/>
              <w:left w:w="57" w:type="dxa"/>
              <w:bottom w:w="57" w:type="dxa"/>
              <w:right w:w="57" w:type="dxa"/>
            </w:tcMar>
          </w:tcPr>
          <w:p w14:paraId="5C0C31E7" w14:textId="77777777" w:rsidR="00243409" w:rsidRPr="008869FD"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18"/>
              </w:rPr>
            </w:pPr>
          </w:p>
        </w:tc>
        <w:tc>
          <w:tcPr>
            <w:tcW w:w="1416" w:type="dxa"/>
            <w:shd w:val="clear" w:color="auto" w:fill="37897E"/>
            <w:tcMar>
              <w:top w:w="57" w:type="dxa"/>
              <w:left w:w="57" w:type="dxa"/>
              <w:bottom w:w="57" w:type="dxa"/>
              <w:right w:w="57" w:type="dxa"/>
            </w:tcMar>
          </w:tcPr>
          <w:p w14:paraId="5AE357CA" w14:textId="77777777" w:rsidR="00243409" w:rsidRPr="003D67C0"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color w:val="FFFFFF" w:themeColor="background1"/>
                <w:szCs w:val="18"/>
              </w:rPr>
            </w:pPr>
            <w:r w:rsidRPr="003D67C0">
              <w:rPr>
                <w:b/>
                <w:color w:val="FFFFFF" w:themeColor="background1"/>
                <w:szCs w:val="18"/>
              </w:rPr>
              <w:t>2015–16</w:t>
            </w:r>
          </w:p>
        </w:tc>
        <w:tc>
          <w:tcPr>
            <w:tcW w:w="1054" w:type="dxa"/>
            <w:gridSpan w:val="2"/>
            <w:shd w:val="clear" w:color="auto" w:fill="37897E"/>
            <w:tcMar>
              <w:top w:w="57" w:type="dxa"/>
              <w:left w:w="57" w:type="dxa"/>
              <w:bottom w:w="57" w:type="dxa"/>
              <w:right w:w="57" w:type="dxa"/>
            </w:tcMar>
          </w:tcPr>
          <w:p w14:paraId="5EABB74C" w14:textId="77777777" w:rsidR="00243409" w:rsidRPr="003D67C0"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color w:val="FFFFFF" w:themeColor="background1"/>
                <w:szCs w:val="18"/>
              </w:rPr>
            </w:pPr>
            <w:r w:rsidRPr="003D67C0">
              <w:rPr>
                <w:b/>
                <w:color w:val="FFFFFF" w:themeColor="background1"/>
                <w:szCs w:val="18"/>
              </w:rPr>
              <w:t>2016–17</w:t>
            </w:r>
          </w:p>
        </w:tc>
      </w:tr>
      <w:tr w:rsidR="00243409" w:rsidRPr="009D336C" w14:paraId="015F2EF6" w14:textId="77777777" w:rsidTr="00F65D12">
        <w:trPr>
          <w:gridAfter w:val="1"/>
          <w:wAfter w:w="16" w:type="dxa"/>
          <w:trHeight w:val="27"/>
        </w:trPr>
        <w:tc>
          <w:tcPr>
            <w:cnfStyle w:val="001000000000" w:firstRow="0" w:lastRow="0" w:firstColumn="1" w:lastColumn="0" w:oddVBand="0" w:evenVBand="0" w:oddHBand="0" w:evenHBand="0" w:firstRowFirstColumn="0" w:firstRowLastColumn="0" w:lastRowFirstColumn="0" w:lastRowLastColumn="0"/>
            <w:tcW w:w="9542" w:type="dxa"/>
            <w:gridSpan w:val="5"/>
            <w:shd w:val="clear" w:color="auto" w:fill="FFFFFF" w:themeFill="background1"/>
            <w:tcMar>
              <w:top w:w="57" w:type="dxa"/>
              <w:left w:w="57" w:type="dxa"/>
              <w:bottom w:w="57" w:type="dxa"/>
              <w:right w:w="57" w:type="dxa"/>
            </w:tcMar>
          </w:tcPr>
          <w:p w14:paraId="33F2B6E5" w14:textId="77777777" w:rsidR="00243409" w:rsidRPr="00920397" w:rsidRDefault="00243409" w:rsidP="00345792">
            <w:pPr>
              <w:spacing w:before="0" w:after="0"/>
              <w:jc w:val="both"/>
              <w:rPr>
                <w:b/>
                <w:i/>
                <w:color w:val="000000" w:themeColor="text1"/>
                <w:sz w:val="18"/>
                <w:szCs w:val="22"/>
              </w:rPr>
            </w:pPr>
            <w:r w:rsidRPr="003D67C0">
              <w:rPr>
                <w:b/>
                <w:i/>
                <w:color w:val="000000" w:themeColor="text1"/>
                <w:sz w:val="18"/>
                <w:szCs w:val="22"/>
              </w:rPr>
              <w:t xml:space="preserve">Under Part 13 of the </w:t>
            </w:r>
            <w:r w:rsidRPr="003D67C0">
              <w:rPr>
                <w:b/>
                <w:color w:val="000000" w:themeColor="text1"/>
                <w:sz w:val="18"/>
                <w:szCs w:val="22"/>
              </w:rPr>
              <w:t>Telecommunications Act 1997</w:t>
            </w:r>
          </w:p>
        </w:tc>
      </w:tr>
      <w:tr w:rsidR="00243409" w:rsidRPr="009D336C" w14:paraId="44B9A71D" w14:textId="77777777" w:rsidTr="00F65D12">
        <w:trPr>
          <w:trHeight w:val="27"/>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3B993696"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Authorised by or under law</w:t>
            </w:r>
          </w:p>
        </w:tc>
        <w:tc>
          <w:tcPr>
            <w:tcW w:w="1474" w:type="dxa"/>
            <w:shd w:val="clear" w:color="auto" w:fill="auto"/>
            <w:tcMar>
              <w:top w:w="57" w:type="dxa"/>
              <w:left w:w="57" w:type="dxa"/>
              <w:bottom w:w="57" w:type="dxa"/>
              <w:right w:w="57" w:type="dxa"/>
            </w:tcMar>
          </w:tcPr>
          <w:p w14:paraId="7FCFDA34"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280</w:t>
            </w:r>
          </w:p>
        </w:tc>
        <w:tc>
          <w:tcPr>
            <w:tcW w:w="1416" w:type="dxa"/>
            <w:shd w:val="clear" w:color="auto" w:fill="auto"/>
            <w:tcMar>
              <w:top w:w="57" w:type="dxa"/>
              <w:left w:w="57" w:type="dxa"/>
              <w:bottom w:w="57" w:type="dxa"/>
              <w:right w:w="57" w:type="dxa"/>
            </w:tcMar>
          </w:tcPr>
          <w:p w14:paraId="63F2EDA8"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13,334</w:t>
            </w:r>
          </w:p>
        </w:tc>
        <w:tc>
          <w:tcPr>
            <w:tcW w:w="1054" w:type="dxa"/>
            <w:gridSpan w:val="2"/>
            <w:shd w:val="clear" w:color="auto" w:fill="auto"/>
            <w:tcMar>
              <w:top w:w="57" w:type="dxa"/>
              <w:left w:w="57" w:type="dxa"/>
              <w:bottom w:w="57" w:type="dxa"/>
              <w:right w:w="57" w:type="dxa"/>
            </w:tcMar>
          </w:tcPr>
          <w:p w14:paraId="79942E1A"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10,327</w:t>
            </w:r>
          </w:p>
        </w:tc>
      </w:tr>
      <w:tr w:rsidR="00243409" w:rsidRPr="009D336C" w14:paraId="0170F260" w14:textId="77777777" w:rsidTr="00F65D12">
        <w:trPr>
          <w:trHeight w:val="62"/>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214CCD31"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Made as a witness under summons</w:t>
            </w:r>
          </w:p>
        </w:tc>
        <w:tc>
          <w:tcPr>
            <w:tcW w:w="1474" w:type="dxa"/>
            <w:shd w:val="clear" w:color="auto" w:fill="auto"/>
            <w:tcMar>
              <w:top w:w="57" w:type="dxa"/>
              <w:left w:w="57" w:type="dxa"/>
              <w:bottom w:w="57" w:type="dxa"/>
              <w:right w:w="57" w:type="dxa"/>
            </w:tcMar>
          </w:tcPr>
          <w:p w14:paraId="1A68997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281</w:t>
            </w:r>
          </w:p>
        </w:tc>
        <w:tc>
          <w:tcPr>
            <w:tcW w:w="1416" w:type="dxa"/>
            <w:shd w:val="clear" w:color="auto" w:fill="auto"/>
            <w:tcMar>
              <w:top w:w="57" w:type="dxa"/>
              <w:left w:w="57" w:type="dxa"/>
              <w:bottom w:w="57" w:type="dxa"/>
              <w:right w:w="57" w:type="dxa"/>
            </w:tcMar>
          </w:tcPr>
          <w:p w14:paraId="39D4E4DE"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276</w:t>
            </w:r>
          </w:p>
        </w:tc>
        <w:tc>
          <w:tcPr>
            <w:tcW w:w="1054" w:type="dxa"/>
            <w:gridSpan w:val="2"/>
            <w:shd w:val="clear" w:color="auto" w:fill="auto"/>
            <w:tcMar>
              <w:top w:w="57" w:type="dxa"/>
              <w:left w:w="57" w:type="dxa"/>
              <w:bottom w:w="57" w:type="dxa"/>
              <w:right w:w="57" w:type="dxa"/>
            </w:tcMar>
          </w:tcPr>
          <w:p w14:paraId="375CE2AE"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669</w:t>
            </w:r>
          </w:p>
        </w:tc>
      </w:tr>
      <w:tr w:rsidR="00243409" w:rsidRPr="009D336C" w14:paraId="25D82F23"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650EF316"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To assist the ACMA</w:t>
            </w:r>
          </w:p>
        </w:tc>
        <w:tc>
          <w:tcPr>
            <w:tcW w:w="1474" w:type="dxa"/>
            <w:shd w:val="clear" w:color="auto" w:fill="auto"/>
            <w:tcMar>
              <w:top w:w="57" w:type="dxa"/>
              <w:left w:w="57" w:type="dxa"/>
              <w:bottom w:w="57" w:type="dxa"/>
              <w:right w:w="57" w:type="dxa"/>
            </w:tcMar>
          </w:tcPr>
          <w:p w14:paraId="09908543"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284(1)</w:t>
            </w:r>
          </w:p>
        </w:tc>
        <w:tc>
          <w:tcPr>
            <w:tcW w:w="1416" w:type="dxa"/>
            <w:shd w:val="clear" w:color="auto" w:fill="auto"/>
            <w:tcMar>
              <w:top w:w="57" w:type="dxa"/>
              <w:left w:w="57" w:type="dxa"/>
              <w:bottom w:w="57" w:type="dxa"/>
              <w:right w:w="57" w:type="dxa"/>
            </w:tcMar>
          </w:tcPr>
          <w:p w14:paraId="08551A5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366</w:t>
            </w:r>
          </w:p>
        </w:tc>
        <w:tc>
          <w:tcPr>
            <w:tcW w:w="1054" w:type="dxa"/>
            <w:gridSpan w:val="2"/>
            <w:shd w:val="clear" w:color="auto" w:fill="auto"/>
            <w:tcMar>
              <w:top w:w="57" w:type="dxa"/>
              <w:left w:w="57" w:type="dxa"/>
              <w:bottom w:w="57" w:type="dxa"/>
              <w:right w:w="57" w:type="dxa"/>
            </w:tcMar>
          </w:tcPr>
          <w:p w14:paraId="43E0E5AE"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479</w:t>
            </w:r>
          </w:p>
        </w:tc>
      </w:tr>
      <w:tr w:rsidR="00243409" w:rsidRPr="009D336C" w14:paraId="3FB43378"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71950CE8"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 xml:space="preserve">To assist the </w:t>
            </w:r>
            <w:r w:rsidR="00F22489">
              <w:rPr>
                <w:color w:val="000000" w:themeColor="text1"/>
                <w:sz w:val="18"/>
                <w:szCs w:val="22"/>
              </w:rPr>
              <w:t>Office of the</w:t>
            </w:r>
            <w:r w:rsidR="00F22489" w:rsidRPr="00D67A14">
              <w:rPr>
                <w:color w:val="000000" w:themeColor="text1"/>
                <w:sz w:val="18"/>
                <w:szCs w:val="22"/>
              </w:rPr>
              <w:t xml:space="preserve"> </w:t>
            </w:r>
            <w:r w:rsidRPr="00D67A14">
              <w:rPr>
                <w:color w:val="000000" w:themeColor="text1"/>
                <w:sz w:val="18"/>
                <w:szCs w:val="22"/>
              </w:rPr>
              <w:t>eSafety Commissioner</w:t>
            </w:r>
          </w:p>
        </w:tc>
        <w:tc>
          <w:tcPr>
            <w:tcW w:w="1474" w:type="dxa"/>
            <w:shd w:val="clear" w:color="auto" w:fill="auto"/>
            <w:tcMar>
              <w:top w:w="57" w:type="dxa"/>
              <w:left w:w="57" w:type="dxa"/>
              <w:bottom w:w="57" w:type="dxa"/>
              <w:right w:w="57" w:type="dxa"/>
            </w:tcMar>
          </w:tcPr>
          <w:p w14:paraId="7E1D0D26"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284(1A)</w:t>
            </w:r>
          </w:p>
        </w:tc>
        <w:tc>
          <w:tcPr>
            <w:tcW w:w="1416" w:type="dxa"/>
            <w:shd w:val="clear" w:color="auto" w:fill="auto"/>
            <w:tcMar>
              <w:top w:w="57" w:type="dxa"/>
              <w:left w:w="57" w:type="dxa"/>
              <w:bottom w:w="57" w:type="dxa"/>
              <w:right w:w="57" w:type="dxa"/>
            </w:tcMar>
          </w:tcPr>
          <w:p w14:paraId="3B8E6829"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0</w:t>
            </w:r>
          </w:p>
        </w:tc>
        <w:tc>
          <w:tcPr>
            <w:tcW w:w="1054" w:type="dxa"/>
            <w:gridSpan w:val="2"/>
            <w:shd w:val="clear" w:color="auto" w:fill="auto"/>
            <w:tcMar>
              <w:top w:w="57" w:type="dxa"/>
              <w:left w:w="57" w:type="dxa"/>
              <w:bottom w:w="57" w:type="dxa"/>
              <w:right w:w="57" w:type="dxa"/>
            </w:tcMar>
          </w:tcPr>
          <w:p w14:paraId="613EC263"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0</w:t>
            </w:r>
          </w:p>
        </w:tc>
      </w:tr>
      <w:tr w:rsidR="00243409" w:rsidRPr="009D336C" w14:paraId="35F27B6E"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7F2764D2"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To assist the ACCC</w:t>
            </w:r>
          </w:p>
        </w:tc>
        <w:tc>
          <w:tcPr>
            <w:tcW w:w="1474" w:type="dxa"/>
            <w:shd w:val="clear" w:color="auto" w:fill="auto"/>
            <w:tcMar>
              <w:top w:w="57" w:type="dxa"/>
              <w:left w:w="57" w:type="dxa"/>
              <w:bottom w:w="57" w:type="dxa"/>
              <w:right w:w="57" w:type="dxa"/>
            </w:tcMar>
          </w:tcPr>
          <w:p w14:paraId="2553D183"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284(2)</w:t>
            </w:r>
          </w:p>
        </w:tc>
        <w:tc>
          <w:tcPr>
            <w:tcW w:w="1416" w:type="dxa"/>
            <w:shd w:val="clear" w:color="auto" w:fill="auto"/>
            <w:tcMar>
              <w:top w:w="57" w:type="dxa"/>
              <w:left w:w="57" w:type="dxa"/>
              <w:bottom w:w="57" w:type="dxa"/>
              <w:right w:w="57" w:type="dxa"/>
            </w:tcMar>
          </w:tcPr>
          <w:p w14:paraId="1B9966EF"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14</w:t>
            </w:r>
          </w:p>
        </w:tc>
        <w:tc>
          <w:tcPr>
            <w:tcW w:w="1054" w:type="dxa"/>
            <w:gridSpan w:val="2"/>
            <w:shd w:val="clear" w:color="auto" w:fill="auto"/>
            <w:tcMar>
              <w:top w:w="57" w:type="dxa"/>
              <w:left w:w="57" w:type="dxa"/>
              <w:bottom w:w="57" w:type="dxa"/>
              <w:right w:w="57" w:type="dxa"/>
            </w:tcMar>
          </w:tcPr>
          <w:p w14:paraId="670E9838"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2</w:t>
            </w:r>
          </w:p>
        </w:tc>
      </w:tr>
      <w:tr w:rsidR="00243409" w:rsidRPr="009D336C" w14:paraId="6C8BEDB5" w14:textId="77777777" w:rsidTr="00F65D12">
        <w:trPr>
          <w:trHeight w:val="130"/>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3275F1B2"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To assist the TIO</w:t>
            </w:r>
          </w:p>
        </w:tc>
        <w:tc>
          <w:tcPr>
            <w:tcW w:w="1474" w:type="dxa"/>
            <w:shd w:val="clear" w:color="auto" w:fill="auto"/>
            <w:tcMar>
              <w:top w:w="57" w:type="dxa"/>
              <w:left w:w="57" w:type="dxa"/>
              <w:bottom w:w="57" w:type="dxa"/>
              <w:right w:w="57" w:type="dxa"/>
            </w:tcMar>
          </w:tcPr>
          <w:p w14:paraId="71C5FF1F"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284(3)</w:t>
            </w:r>
          </w:p>
        </w:tc>
        <w:tc>
          <w:tcPr>
            <w:tcW w:w="1416" w:type="dxa"/>
            <w:shd w:val="clear" w:color="auto" w:fill="auto"/>
            <w:tcMar>
              <w:top w:w="57" w:type="dxa"/>
              <w:left w:w="57" w:type="dxa"/>
              <w:bottom w:w="57" w:type="dxa"/>
              <w:right w:w="57" w:type="dxa"/>
            </w:tcMar>
          </w:tcPr>
          <w:p w14:paraId="53D930B6"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7,774</w:t>
            </w:r>
          </w:p>
        </w:tc>
        <w:tc>
          <w:tcPr>
            <w:tcW w:w="1054" w:type="dxa"/>
            <w:gridSpan w:val="2"/>
            <w:shd w:val="clear" w:color="auto" w:fill="auto"/>
            <w:tcMar>
              <w:top w:w="57" w:type="dxa"/>
              <w:left w:w="57" w:type="dxa"/>
              <w:bottom w:w="57" w:type="dxa"/>
              <w:right w:w="57" w:type="dxa"/>
            </w:tcMar>
          </w:tcPr>
          <w:p w14:paraId="4E2E980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8,262</w:t>
            </w:r>
          </w:p>
        </w:tc>
      </w:tr>
      <w:tr w:rsidR="00243409" w:rsidRPr="009D336C" w14:paraId="19AC8822"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4F2B216E"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Calls to emergency service number</w:t>
            </w:r>
          </w:p>
        </w:tc>
        <w:tc>
          <w:tcPr>
            <w:tcW w:w="1474" w:type="dxa"/>
            <w:shd w:val="clear" w:color="auto" w:fill="auto"/>
            <w:tcMar>
              <w:top w:w="57" w:type="dxa"/>
              <w:left w:w="57" w:type="dxa"/>
              <w:bottom w:w="57" w:type="dxa"/>
              <w:right w:w="57" w:type="dxa"/>
            </w:tcMar>
          </w:tcPr>
          <w:p w14:paraId="44AE495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286</w:t>
            </w:r>
          </w:p>
        </w:tc>
        <w:tc>
          <w:tcPr>
            <w:tcW w:w="1416" w:type="dxa"/>
            <w:shd w:val="clear" w:color="auto" w:fill="auto"/>
            <w:tcMar>
              <w:top w:w="57" w:type="dxa"/>
              <w:left w:w="57" w:type="dxa"/>
              <w:bottom w:w="57" w:type="dxa"/>
              <w:right w:w="57" w:type="dxa"/>
            </w:tcMar>
          </w:tcPr>
          <w:p w14:paraId="6D412470"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8,062</w:t>
            </w:r>
          </w:p>
        </w:tc>
        <w:tc>
          <w:tcPr>
            <w:tcW w:w="1054" w:type="dxa"/>
            <w:gridSpan w:val="2"/>
            <w:shd w:val="clear" w:color="auto" w:fill="auto"/>
            <w:tcMar>
              <w:top w:w="57" w:type="dxa"/>
              <w:left w:w="57" w:type="dxa"/>
              <w:bottom w:w="57" w:type="dxa"/>
              <w:right w:w="57" w:type="dxa"/>
            </w:tcMar>
          </w:tcPr>
          <w:p w14:paraId="771FCA9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18,540</w:t>
            </w:r>
          </w:p>
        </w:tc>
      </w:tr>
      <w:tr w:rsidR="00243409" w:rsidRPr="009D336C" w14:paraId="231CCF1A"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0AEF4284"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To avert a threat to a person’s life or health</w:t>
            </w:r>
          </w:p>
        </w:tc>
        <w:tc>
          <w:tcPr>
            <w:tcW w:w="1474" w:type="dxa"/>
            <w:shd w:val="clear" w:color="auto" w:fill="auto"/>
            <w:tcMar>
              <w:top w:w="57" w:type="dxa"/>
              <w:left w:w="57" w:type="dxa"/>
              <w:bottom w:w="57" w:type="dxa"/>
              <w:right w:w="57" w:type="dxa"/>
            </w:tcMar>
          </w:tcPr>
          <w:p w14:paraId="17D78458"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287</w:t>
            </w:r>
          </w:p>
        </w:tc>
        <w:tc>
          <w:tcPr>
            <w:tcW w:w="1416" w:type="dxa"/>
            <w:shd w:val="clear" w:color="auto" w:fill="auto"/>
            <w:tcMar>
              <w:top w:w="57" w:type="dxa"/>
              <w:left w:w="57" w:type="dxa"/>
              <w:bottom w:w="57" w:type="dxa"/>
              <w:right w:w="57" w:type="dxa"/>
            </w:tcMar>
          </w:tcPr>
          <w:p w14:paraId="41FCD4E6"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11,381</w:t>
            </w:r>
          </w:p>
        </w:tc>
        <w:tc>
          <w:tcPr>
            <w:tcW w:w="1054" w:type="dxa"/>
            <w:gridSpan w:val="2"/>
            <w:shd w:val="clear" w:color="auto" w:fill="auto"/>
            <w:tcMar>
              <w:top w:w="57" w:type="dxa"/>
              <w:left w:w="57" w:type="dxa"/>
              <w:bottom w:w="57" w:type="dxa"/>
              <w:right w:w="57" w:type="dxa"/>
            </w:tcMar>
          </w:tcPr>
          <w:p w14:paraId="1B80467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13,839</w:t>
            </w:r>
          </w:p>
        </w:tc>
      </w:tr>
      <w:tr w:rsidR="00243409" w:rsidRPr="009D336C" w14:paraId="4D15105F"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2341D9EF"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Communications for maritime purposes</w:t>
            </w:r>
          </w:p>
        </w:tc>
        <w:tc>
          <w:tcPr>
            <w:tcW w:w="1474" w:type="dxa"/>
            <w:shd w:val="clear" w:color="auto" w:fill="auto"/>
            <w:tcMar>
              <w:top w:w="57" w:type="dxa"/>
              <w:left w:w="57" w:type="dxa"/>
              <w:bottom w:w="57" w:type="dxa"/>
              <w:right w:w="57" w:type="dxa"/>
            </w:tcMar>
          </w:tcPr>
          <w:p w14:paraId="30527639"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288</w:t>
            </w:r>
          </w:p>
        </w:tc>
        <w:tc>
          <w:tcPr>
            <w:tcW w:w="1416" w:type="dxa"/>
            <w:shd w:val="clear" w:color="auto" w:fill="auto"/>
            <w:tcMar>
              <w:top w:w="57" w:type="dxa"/>
              <w:left w:w="57" w:type="dxa"/>
              <w:bottom w:w="57" w:type="dxa"/>
              <w:right w:w="57" w:type="dxa"/>
            </w:tcMar>
          </w:tcPr>
          <w:p w14:paraId="668E3EB9"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0</w:t>
            </w:r>
          </w:p>
        </w:tc>
        <w:tc>
          <w:tcPr>
            <w:tcW w:w="1054" w:type="dxa"/>
            <w:gridSpan w:val="2"/>
            <w:shd w:val="clear" w:color="auto" w:fill="auto"/>
            <w:tcMar>
              <w:top w:w="57" w:type="dxa"/>
              <w:left w:w="57" w:type="dxa"/>
              <w:bottom w:w="57" w:type="dxa"/>
              <w:right w:w="57" w:type="dxa"/>
            </w:tcMar>
          </w:tcPr>
          <w:p w14:paraId="7A092D20"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6</w:t>
            </w:r>
          </w:p>
        </w:tc>
      </w:tr>
      <w:tr w:rsidR="00243409" w:rsidRPr="009D336C" w14:paraId="7549F27E"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3C21EE25"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With the knowledge or consent of the person concerned</w:t>
            </w:r>
          </w:p>
        </w:tc>
        <w:tc>
          <w:tcPr>
            <w:tcW w:w="1474" w:type="dxa"/>
            <w:shd w:val="clear" w:color="auto" w:fill="auto"/>
            <w:tcMar>
              <w:top w:w="57" w:type="dxa"/>
              <w:left w:w="57" w:type="dxa"/>
              <w:bottom w:w="57" w:type="dxa"/>
              <w:right w:w="57" w:type="dxa"/>
            </w:tcMar>
          </w:tcPr>
          <w:p w14:paraId="7CB9CEEA"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289</w:t>
            </w:r>
          </w:p>
        </w:tc>
        <w:tc>
          <w:tcPr>
            <w:tcW w:w="1416" w:type="dxa"/>
            <w:shd w:val="clear" w:color="auto" w:fill="auto"/>
            <w:tcMar>
              <w:top w:w="57" w:type="dxa"/>
              <w:left w:w="57" w:type="dxa"/>
              <w:bottom w:w="57" w:type="dxa"/>
              <w:right w:w="57" w:type="dxa"/>
            </w:tcMar>
          </w:tcPr>
          <w:p w14:paraId="7F43E02A"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66,629</w:t>
            </w:r>
          </w:p>
        </w:tc>
        <w:tc>
          <w:tcPr>
            <w:tcW w:w="1054" w:type="dxa"/>
            <w:gridSpan w:val="2"/>
            <w:shd w:val="clear" w:color="auto" w:fill="auto"/>
            <w:tcMar>
              <w:top w:w="57" w:type="dxa"/>
              <w:left w:w="57" w:type="dxa"/>
              <w:bottom w:w="57" w:type="dxa"/>
              <w:right w:w="57" w:type="dxa"/>
            </w:tcMar>
          </w:tcPr>
          <w:p w14:paraId="69FBA085"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58,701</w:t>
            </w:r>
          </w:p>
        </w:tc>
      </w:tr>
      <w:tr w:rsidR="00243409" w:rsidRPr="009D336C" w14:paraId="339B12DE" w14:textId="77777777" w:rsidTr="00F65D12">
        <w:trPr>
          <w:trHeight w:val="58"/>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30E8C65B"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In circumstances prescribed in the Telecommunications Regulations 2001</w:t>
            </w:r>
          </w:p>
        </w:tc>
        <w:tc>
          <w:tcPr>
            <w:tcW w:w="1474" w:type="dxa"/>
            <w:shd w:val="clear" w:color="auto" w:fill="auto"/>
            <w:tcMar>
              <w:top w:w="57" w:type="dxa"/>
              <w:left w:w="57" w:type="dxa"/>
              <w:bottom w:w="57" w:type="dxa"/>
              <w:right w:w="57" w:type="dxa"/>
            </w:tcMar>
          </w:tcPr>
          <w:p w14:paraId="6D0E7130"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292</w:t>
            </w:r>
          </w:p>
        </w:tc>
        <w:tc>
          <w:tcPr>
            <w:tcW w:w="1416" w:type="dxa"/>
            <w:shd w:val="clear" w:color="auto" w:fill="auto"/>
            <w:tcMar>
              <w:top w:w="57" w:type="dxa"/>
              <w:left w:w="57" w:type="dxa"/>
              <w:bottom w:w="57" w:type="dxa"/>
              <w:right w:w="57" w:type="dxa"/>
            </w:tcMar>
          </w:tcPr>
          <w:p w14:paraId="5E19405D"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0</w:t>
            </w:r>
          </w:p>
        </w:tc>
        <w:tc>
          <w:tcPr>
            <w:tcW w:w="1054" w:type="dxa"/>
            <w:gridSpan w:val="2"/>
            <w:shd w:val="clear" w:color="auto" w:fill="auto"/>
            <w:tcMar>
              <w:top w:w="57" w:type="dxa"/>
              <w:left w:w="57" w:type="dxa"/>
              <w:bottom w:w="57" w:type="dxa"/>
              <w:right w:w="57" w:type="dxa"/>
            </w:tcMar>
          </w:tcPr>
          <w:p w14:paraId="09C7086E"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0</w:t>
            </w:r>
          </w:p>
        </w:tc>
      </w:tr>
      <w:tr w:rsidR="00243409" w:rsidRPr="009D336C" w14:paraId="26E8F667" w14:textId="77777777" w:rsidTr="00F65D12">
        <w:trPr>
          <w:trHeight w:val="38"/>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5F2F9D3F" w14:textId="77777777" w:rsidR="00243409" w:rsidRPr="00D67A14" w:rsidRDefault="00243409" w:rsidP="00345792">
            <w:pPr>
              <w:spacing w:before="0" w:after="0"/>
              <w:rPr>
                <w:b/>
                <w:color w:val="000000" w:themeColor="text1"/>
                <w:sz w:val="18"/>
                <w:szCs w:val="22"/>
              </w:rPr>
            </w:pPr>
            <w:r w:rsidRPr="00D67A14">
              <w:rPr>
                <w:color w:val="000000" w:themeColor="text1"/>
                <w:sz w:val="18"/>
                <w:szCs w:val="22"/>
              </w:rPr>
              <w:t xml:space="preserve">Connected with an exempt disclosure </w:t>
            </w:r>
          </w:p>
        </w:tc>
        <w:tc>
          <w:tcPr>
            <w:tcW w:w="1474" w:type="dxa"/>
            <w:shd w:val="clear" w:color="auto" w:fill="auto"/>
            <w:tcMar>
              <w:top w:w="57" w:type="dxa"/>
              <w:left w:w="57" w:type="dxa"/>
              <w:bottom w:w="57" w:type="dxa"/>
              <w:right w:w="57" w:type="dxa"/>
            </w:tcMar>
          </w:tcPr>
          <w:p w14:paraId="40B0687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i/>
                <w:szCs w:val="22"/>
              </w:rPr>
            </w:pPr>
            <w:r w:rsidRPr="0032755E">
              <w:rPr>
                <w:szCs w:val="22"/>
              </w:rPr>
              <w:t>293</w:t>
            </w:r>
          </w:p>
        </w:tc>
        <w:tc>
          <w:tcPr>
            <w:tcW w:w="1416" w:type="dxa"/>
            <w:shd w:val="clear" w:color="auto" w:fill="auto"/>
            <w:tcMar>
              <w:top w:w="57" w:type="dxa"/>
              <w:left w:w="57" w:type="dxa"/>
              <w:bottom w:w="57" w:type="dxa"/>
              <w:right w:w="57" w:type="dxa"/>
            </w:tcMar>
          </w:tcPr>
          <w:p w14:paraId="4AA5146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i/>
                <w:szCs w:val="22"/>
              </w:rPr>
            </w:pPr>
            <w:r w:rsidRPr="0032755E">
              <w:rPr>
                <w:szCs w:val="22"/>
              </w:rPr>
              <w:t>6</w:t>
            </w:r>
          </w:p>
        </w:tc>
        <w:tc>
          <w:tcPr>
            <w:tcW w:w="1054" w:type="dxa"/>
            <w:gridSpan w:val="2"/>
            <w:shd w:val="clear" w:color="auto" w:fill="auto"/>
            <w:tcMar>
              <w:top w:w="57" w:type="dxa"/>
              <w:left w:w="57" w:type="dxa"/>
              <w:bottom w:w="57" w:type="dxa"/>
              <w:right w:w="57" w:type="dxa"/>
            </w:tcMar>
          </w:tcPr>
          <w:p w14:paraId="3A0D2FA1" w14:textId="77777777" w:rsidR="00243409" w:rsidRPr="00EB592B"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i/>
                <w:szCs w:val="22"/>
              </w:rPr>
            </w:pPr>
            <w:r w:rsidRPr="00EB592B">
              <w:rPr>
                <w:i/>
                <w:szCs w:val="22"/>
              </w:rPr>
              <w:t>0</w:t>
            </w:r>
          </w:p>
        </w:tc>
      </w:tr>
      <w:tr w:rsidR="00243409" w:rsidRPr="009D336C" w14:paraId="61C30266" w14:textId="77777777" w:rsidTr="00F65D12">
        <w:trPr>
          <w:trHeight w:val="23"/>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524188C3" w14:textId="77777777" w:rsidR="00243409" w:rsidRPr="00D67A14" w:rsidRDefault="00243409" w:rsidP="00345792">
            <w:pPr>
              <w:spacing w:before="0" w:after="0"/>
              <w:rPr>
                <w:b/>
                <w:i/>
                <w:color w:val="000000" w:themeColor="text1"/>
                <w:sz w:val="18"/>
                <w:szCs w:val="22"/>
              </w:rPr>
            </w:pPr>
            <w:r w:rsidRPr="00D67A14">
              <w:rPr>
                <w:b/>
                <w:i/>
                <w:color w:val="000000" w:themeColor="text1"/>
                <w:sz w:val="18"/>
                <w:szCs w:val="22"/>
              </w:rPr>
              <w:t>Subtotal</w:t>
            </w:r>
          </w:p>
        </w:tc>
        <w:tc>
          <w:tcPr>
            <w:tcW w:w="1474" w:type="dxa"/>
            <w:shd w:val="clear" w:color="auto" w:fill="auto"/>
            <w:tcMar>
              <w:top w:w="57" w:type="dxa"/>
              <w:left w:w="57" w:type="dxa"/>
              <w:bottom w:w="57" w:type="dxa"/>
              <w:right w:w="57" w:type="dxa"/>
            </w:tcMar>
          </w:tcPr>
          <w:p w14:paraId="37287549" w14:textId="77777777" w:rsidR="00243409" w:rsidRPr="0032755E" w:rsidRDefault="00243409" w:rsidP="00345792">
            <w:pPr>
              <w:spacing w:before="0" w:after="0"/>
              <w:cnfStyle w:val="000000000000" w:firstRow="0" w:lastRow="0" w:firstColumn="0" w:lastColumn="0" w:oddVBand="0" w:evenVBand="0" w:oddHBand="0" w:evenHBand="0" w:firstRowFirstColumn="0" w:firstRowLastColumn="0" w:lastRowFirstColumn="0" w:lastRowLastColumn="0"/>
              <w:rPr>
                <w:color w:val="FFFFFF" w:themeColor="background1"/>
                <w:szCs w:val="22"/>
              </w:rPr>
            </w:pPr>
          </w:p>
        </w:tc>
        <w:tc>
          <w:tcPr>
            <w:tcW w:w="1416" w:type="dxa"/>
            <w:shd w:val="clear" w:color="auto" w:fill="auto"/>
            <w:tcMar>
              <w:top w:w="57" w:type="dxa"/>
              <w:left w:w="57" w:type="dxa"/>
              <w:bottom w:w="57" w:type="dxa"/>
              <w:right w:w="57" w:type="dxa"/>
            </w:tcMar>
          </w:tcPr>
          <w:p w14:paraId="26284032"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color w:val="FFFFFF" w:themeColor="background1"/>
                <w:szCs w:val="22"/>
              </w:rPr>
            </w:pPr>
            <w:r>
              <w:rPr>
                <w:b/>
                <w:i/>
                <w:szCs w:val="22"/>
              </w:rPr>
              <w:t>107,842</w:t>
            </w:r>
          </w:p>
        </w:tc>
        <w:tc>
          <w:tcPr>
            <w:tcW w:w="1054" w:type="dxa"/>
            <w:gridSpan w:val="2"/>
            <w:shd w:val="clear" w:color="auto" w:fill="auto"/>
            <w:tcMar>
              <w:top w:w="57" w:type="dxa"/>
              <w:left w:w="57" w:type="dxa"/>
              <w:bottom w:w="57" w:type="dxa"/>
              <w:right w:w="57" w:type="dxa"/>
            </w:tcMar>
          </w:tcPr>
          <w:p w14:paraId="71338D5C" w14:textId="77777777" w:rsidR="00243409" w:rsidRPr="002407F0"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i/>
                <w:color w:val="FFFFFF" w:themeColor="background1"/>
                <w:szCs w:val="22"/>
              </w:rPr>
            </w:pPr>
            <w:r w:rsidRPr="002407F0">
              <w:rPr>
                <w:b/>
                <w:i/>
                <w:szCs w:val="22"/>
              </w:rPr>
              <w:t>110,825</w:t>
            </w:r>
          </w:p>
        </w:tc>
      </w:tr>
      <w:tr w:rsidR="00243409" w:rsidRPr="00DB1AB8" w14:paraId="5B6E7ED3" w14:textId="77777777" w:rsidTr="00F65D12">
        <w:trPr>
          <w:trHeight w:val="130"/>
        </w:trPr>
        <w:tc>
          <w:tcPr>
            <w:cnfStyle w:val="001000000000" w:firstRow="0" w:lastRow="0" w:firstColumn="1" w:lastColumn="0" w:oddVBand="0" w:evenVBand="0" w:oddHBand="0" w:evenHBand="0" w:firstRowFirstColumn="0" w:firstRowLastColumn="0" w:lastRowFirstColumn="0" w:lastRowLastColumn="0"/>
            <w:tcW w:w="9558" w:type="dxa"/>
            <w:gridSpan w:val="6"/>
            <w:shd w:val="clear" w:color="auto" w:fill="FFFFFF" w:themeFill="background1"/>
            <w:tcMar>
              <w:top w:w="57" w:type="dxa"/>
              <w:left w:w="57" w:type="dxa"/>
              <w:bottom w:w="57" w:type="dxa"/>
              <w:right w:w="57" w:type="dxa"/>
            </w:tcMar>
          </w:tcPr>
          <w:p w14:paraId="113FE630" w14:textId="77777777" w:rsidR="00243409" w:rsidRPr="003D67C0" w:rsidRDefault="00243409" w:rsidP="00345792">
            <w:pPr>
              <w:spacing w:before="0" w:after="0"/>
              <w:rPr>
                <w:i/>
                <w:sz w:val="18"/>
                <w:szCs w:val="22"/>
              </w:rPr>
            </w:pPr>
            <w:r w:rsidRPr="003D67C0">
              <w:rPr>
                <w:b/>
                <w:i/>
                <w:color w:val="000000" w:themeColor="text1"/>
                <w:sz w:val="18"/>
                <w:szCs w:val="22"/>
              </w:rPr>
              <w:t xml:space="preserve">Under the </w:t>
            </w:r>
            <w:r w:rsidRPr="003D67C0">
              <w:rPr>
                <w:b/>
                <w:color w:val="000000" w:themeColor="text1"/>
                <w:sz w:val="18"/>
                <w:szCs w:val="22"/>
              </w:rPr>
              <w:t>Telecommunications (Interception and Access) Act 1979</w:t>
            </w:r>
          </w:p>
        </w:tc>
      </w:tr>
      <w:tr w:rsidR="00243409" w:rsidRPr="009D336C" w14:paraId="1B929DA2" w14:textId="77777777" w:rsidTr="00F65D12">
        <w:trPr>
          <w:trHeight w:val="27"/>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3904581E" w14:textId="77777777" w:rsidR="00243409" w:rsidRPr="00D67A14" w:rsidRDefault="00243409" w:rsidP="00345792">
            <w:pPr>
              <w:spacing w:before="0" w:after="0"/>
              <w:rPr>
                <w:b/>
                <w:color w:val="000000" w:themeColor="text1"/>
                <w:sz w:val="18"/>
              </w:rPr>
            </w:pPr>
            <w:r w:rsidRPr="00D67A14">
              <w:rPr>
                <w:color w:val="000000" w:themeColor="text1"/>
                <w:sz w:val="18"/>
                <w:szCs w:val="22"/>
              </w:rPr>
              <w:t>Voluntary disclosures</w:t>
            </w:r>
          </w:p>
        </w:tc>
        <w:tc>
          <w:tcPr>
            <w:tcW w:w="1474" w:type="dxa"/>
            <w:shd w:val="clear" w:color="auto" w:fill="auto"/>
            <w:tcMar>
              <w:top w:w="57" w:type="dxa"/>
              <w:left w:w="57" w:type="dxa"/>
              <w:bottom w:w="57" w:type="dxa"/>
              <w:right w:w="57" w:type="dxa"/>
            </w:tcMar>
          </w:tcPr>
          <w:p w14:paraId="76B54D36"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177</w:t>
            </w:r>
          </w:p>
        </w:tc>
        <w:tc>
          <w:tcPr>
            <w:tcW w:w="1416" w:type="dxa"/>
            <w:shd w:val="clear" w:color="auto" w:fill="auto"/>
            <w:tcMar>
              <w:top w:w="57" w:type="dxa"/>
              <w:left w:w="57" w:type="dxa"/>
              <w:bottom w:w="57" w:type="dxa"/>
              <w:right w:w="57" w:type="dxa"/>
            </w:tcMar>
          </w:tcPr>
          <w:p w14:paraId="24601A6A"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43</w:t>
            </w:r>
          </w:p>
        </w:tc>
        <w:tc>
          <w:tcPr>
            <w:tcW w:w="1054" w:type="dxa"/>
            <w:gridSpan w:val="2"/>
            <w:shd w:val="clear" w:color="auto" w:fill="auto"/>
            <w:tcMar>
              <w:top w:w="57" w:type="dxa"/>
              <w:left w:w="57" w:type="dxa"/>
              <w:bottom w:w="57" w:type="dxa"/>
              <w:right w:w="57" w:type="dxa"/>
            </w:tcMar>
          </w:tcPr>
          <w:p w14:paraId="15E2097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367</w:t>
            </w:r>
          </w:p>
        </w:tc>
      </w:tr>
      <w:tr w:rsidR="00243409" w:rsidRPr="009D336C" w14:paraId="1EE457B1" w14:textId="77777777" w:rsidTr="00F65D12">
        <w:trPr>
          <w:trHeight w:val="182"/>
        </w:trPr>
        <w:tc>
          <w:tcPr>
            <w:cnfStyle w:val="001000000000" w:firstRow="0" w:lastRow="0" w:firstColumn="1" w:lastColumn="0" w:oddVBand="0" w:evenVBand="0" w:oddHBand="0" w:evenHBand="0" w:firstRowFirstColumn="0" w:firstRowLastColumn="0" w:lastRowFirstColumn="0" w:lastRowLastColumn="0"/>
            <w:tcW w:w="2133" w:type="dxa"/>
            <w:vMerge w:val="restart"/>
            <w:shd w:val="clear" w:color="auto" w:fill="auto"/>
            <w:tcMar>
              <w:top w:w="57" w:type="dxa"/>
              <w:left w:w="57" w:type="dxa"/>
              <w:bottom w:w="57" w:type="dxa"/>
              <w:right w:w="57" w:type="dxa"/>
            </w:tcMar>
          </w:tcPr>
          <w:p w14:paraId="62B6238B"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Authorisations for access to existing information or documents</w:t>
            </w:r>
          </w:p>
        </w:tc>
        <w:tc>
          <w:tcPr>
            <w:tcW w:w="3481" w:type="dxa"/>
            <w:shd w:val="clear" w:color="auto" w:fill="auto"/>
            <w:tcMar>
              <w:top w:w="57" w:type="dxa"/>
              <w:left w:w="57" w:type="dxa"/>
              <w:bottom w:w="57" w:type="dxa"/>
              <w:right w:w="57" w:type="dxa"/>
            </w:tcMar>
          </w:tcPr>
          <w:p w14:paraId="007E8795" w14:textId="71EB2F07" w:rsidR="00243409" w:rsidRPr="00D67A14" w:rsidRDefault="00243409" w:rsidP="00345792">
            <w:pPr>
              <w:spacing w:before="0" w:after="0"/>
              <w:jc w:val="left"/>
              <w:cnfStyle w:val="000000000000" w:firstRow="0" w:lastRow="0" w:firstColumn="0" w:lastColumn="0" w:oddVBand="0" w:evenVBand="0" w:oddHBand="0" w:evenHBand="0" w:firstRowFirstColumn="0" w:firstRowLastColumn="0" w:lastRowFirstColumn="0" w:lastRowLastColumn="0"/>
              <w:rPr>
                <w:color w:val="000000" w:themeColor="text1"/>
                <w:szCs w:val="22"/>
              </w:rPr>
            </w:pPr>
            <w:r w:rsidRPr="00D67A14">
              <w:rPr>
                <w:color w:val="000000" w:themeColor="text1"/>
                <w:szCs w:val="22"/>
              </w:rPr>
              <w:t>Enforcement of the criminal law</w:t>
            </w:r>
          </w:p>
        </w:tc>
        <w:tc>
          <w:tcPr>
            <w:tcW w:w="1474" w:type="dxa"/>
            <w:shd w:val="clear" w:color="auto" w:fill="auto"/>
            <w:tcMar>
              <w:top w:w="57" w:type="dxa"/>
              <w:left w:w="57" w:type="dxa"/>
              <w:bottom w:w="57" w:type="dxa"/>
              <w:right w:w="57" w:type="dxa"/>
            </w:tcMar>
          </w:tcPr>
          <w:p w14:paraId="11240AD1"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178</w:t>
            </w:r>
          </w:p>
        </w:tc>
        <w:tc>
          <w:tcPr>
            <w:tcW w:w="1416" w:type="dxa"/>
            <w:shd w:val="clear" w:color="auto" w:fill="auto"/>
            <w:tcMar>
              <w:top w:w="57" w:type="dxa"/>
              <w:left w:w="57" w:type="dxa"/>
              <w:bottom w:w="57" w:type="dxa"/>
              <w:right w:w="57" w:type="dxa"/>
            </w:tcMar>
          </w:tcPr>
          <w:p w14:paraId="2EBFA36F" w14:textId="77777777" w:rsidR="00243409" w:rsidRPr="0032755E" w:rsidRDefault="00243409" w:rsidP="00345792">
            <w:pPr>
              <w:tabs>
                <w:tab w:val="right" w:pos="838"/>
              </w:tabs>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541,318</w:t>
            </w:r>
          </w:p>
        </w:tc>
        <w:tc>
          <w:tcPr>
            <w:tcW w:w="1054" w:type="dxa"/>
            <w:gridSpan w:val="2"/>
            <w:shd w:val="clear" w:color="auto" w:fill="auto"/>
            <w:tcMar>
              <w:top w:w="57" w:type="dxa"/>
              <w:left w:w="57" w:type="dxa"/>
              <w:bottom w:w="57" w:type="dxa"/>
              <w:right w:w="57" w:type="dxa"/>
            </w:tcMar>
          </w:tcPr>
          <w:p w14:paraId="08ED9E73" w14:textId="77777777" w:rsidR="00243409" w:rsidRPr="0032755E" w:rsidRDefault="00243409" w:rsidP="00345792">
            <w:pPr>
              <w:tabs>
                <w:tab w:val="right" w:pos="838"/>
              </w:tabs>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504,944</w:t>
            </w:r>
          </w:p>
        </w:tc>
      </w:tr>
      <w:tr w:rsidR="00243409" w:rsidRPr="009D336C" w14:paraId="2AA56883" w14:textId="77777777" w:rsidTr="00F65D12">
        <w:trPr>
          <w:trHeight w:val="130"/>
        </w:trPr>
        <w:tc>
          <w:tcPr>
            <w:cnfStyle w:val="001000000000" w:firstRow="0" w:lastRow="0" w:firstColumn="1" w:lastColumn="0" w:oddVBand="0" w:evenVBand="0" w:oddHBand="0" w:evenHBand="0" w:firstRowFirstColumn="0" w:firstRowLastColumn="0" w:lastRowFirstColumn="0" w:lastRowLastColumn="0"/>
            <w:tcW w:w="2133" w:type="dxa"/>
            <w:vMerge/>
            <w:shd w:val="clear" w:color="auto" w:fill="auto"/>
            <w:tcMar>
              <w:top w:w="57" w:type="dxa"/>
              <w:left w:w="57" w:type="dxa"/>
              <w:bottom w:w="57" w:type="dxa"/>
              <w:right w:w="57" w:type="dxa"/>
            </w:tcMar>
          </w:tcPr>
          <w:p w14:paraId="3904DC15" w14:textId="77777777" w:rsidR="00243409" w:rsidRPr="00D67A14" w:rsidRDefault="00243409" w:rsidP="00345792">
            <w:pPr>
              <w:spacing w:before="0" w:after="0"/>
              <w:rPr>
                <w:color w:val="000000" w:themeColor="text1"/>
                <w:sz w:val="18"/>
                <w:szCs w:val="22"/>
              </w:rPr>
            </w:pPr>
          </w:p>
        </w:tc>
        <w:tc>
          <w:tcPr>
            <w:tcW w:w="3481" w:type="dxa"/>
            <w:shd w:val="clear" w:color="auto" w:fill="auto"/>
            <w:tcMar>
              <w:top w:w="57" w:type="dxa"/>
              <w:left w:w="57" w:type="dxa"/>
              <w:bottom w:w="57" w:type="dxa"/>
              <w:right w:w="57" w:type="dxa"/>
            </w:tcMar>
          </w:tcPr>
          <w:p w14:paraId="0A7BEB5C" w14:textId="4F82133F" w:rsidR="00243409" w:rsidRPr="00D67A14" w:rsidRDefault="00243409" w:rsidP="00345792">
            <w:pPr>
              <w:spacing w:before="0" w:after="0"/>
              <w:jc w:val="left"/>
              <w:cnfStyle w:val="000000000000" w:firstRow="0" w:lastRow="0" w:firstColumn="0" w:lastColumn="0" w:oddVBand="0" w:evenVBand="0" w:oddHBand="0" w:evenHBand="0" w:firstRowFirstColumn="0" w:firstRowLastColumn="0" w:lastRowFirstColumn="0" w:lastRowLastColumn="0"/>
              <w:rPr>
                <w:color w:val="000000" w:themeColor="text1"/>
                <w:szCs w:val="22"/>
              </w:rPr>
            </w:pPr>
            <w:r w:rsidRPr="00D67A14">
              <w:rPr>
                <w:color w:val="000000" w:themeColor="text1"/>
                <w:szCs w:val="22"/>
              </w:rPr>
              <w:t>Locating missing persons</w:t>
            </w:r>
          </w:p>
        </w:tc>
        <w:tc>
          <w:tcPr>
            <w:tcW w:w="1474" w:type="dxa"/>
            <w:shd w:val="clear" w:color="auto" w:fill="auto"/>
            <w:tcMar>
              <w:top w:w="57" w:type="dxa"/>
              <w:left w:w="57" w:type="dxa"/>
              <w:bottom w:w="57" w:type="dxa"/>
              <w:right w:w="57" w:type="dxa"/>
            </w:tcMar>
          </w:tcPr>
          <w:p w14:paraId="4F00DC6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178A</w:t>
            </w:r>
          </w:p>
        </w:tc>
        <w:tc>
          <w:tcPr>
            <w:tcW w:w="1416" w:type="dxa"/>
            <w:shd w:val="clear" w:color="auto" w:fill="auto"/>
            <w:tcMar>
              <w:top w:w="57" w:type="dxa"/>
              <w:left w:w="57" w:type="dxa"/>
              <w:bottom w:w="57" w:type="dxa"/>
              <w:right w:w="57" w:type="dxa"/>
            </w:tcMar>
          </w:tcPr>
          <w:p w14:paraId="6F14F752"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4,</w:t>
            </w:r>
            <w:r>
              <w:rPr>
                <w:szCs w:val="22"/>
              </w:rPr>
              <w:t>229</w:t>
            </w:r>
          </w:p>
        </w:tc>
        <w:tc>
          <w:tcPr>
            <w:tcW w:w="1054" w:type="dxa"/>
            <w:gridSpan w:val="2"/>
            <w:shd w:val="clear" w:color="auto" w:fill="auto"/>
            <w:tcMar>
              <w:top w:w="57" w:type="dxa"/>
              <w:left w:w="57" w:type="dxa"/>
              <w:bottom w:w="57" w:type="dxa"/>
              <w:right w:w="57" w:type="dxa"/>
            </w:tcMar>
          </w:tcPr>
          <w:p w14:paraId="1260E7B3"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3,073</w:t>
            </w:r>
          </w:p>
        </w:tc>
      </w:tr>
      <w:tr w:rsidR="00243409" w:rsidRPr="009D336C" w14:paraId="5481BB41" w14:textId="77777777" w:rsidTr="00F65D12">
        <w:trPr>
          <w:trHeight w:val="362"/>
        </w:trPr>
        <w:tc>
          <w:tcPr>
            <w:cnfStyle w:val="001000000000" w:firstRow="0" w:lastRow="0" w:firstColumn="1" w:lastColumn="0" w:oddVBand="0" w:evenVBand="0" w:oddHBand="0" w:evenHBand="0" w:firstRowFirstColumn="0" w:firstRowLastColumn="0" w:lastRowFirstColumn="0" w:lastRowLastColumn="0"/>
            <w:tcW w:w="2133" w:type="dxa"/>
            <w:vMerge/>
            <w:shd w:val="clear" w:color="auto" w:fill="auto"/>
            <w:tcMar>
              <w:top w:w="57" w:type="dxa"/>
              <w:left w:w="57" w:type="dxa"/>
              <w:bottom w:w="57" w:type="dxa"/>
              <w:right w:w="57" w:type="dxa"/>
            </w:tcMar>
          </w:tcPr>
          <w:p w14:paraId="26A7430E" w14:textId="77777777" w:rsidR="00243409" w:rsidRPr="00D67A14" w:rsidRDefault="00243409" w:rsidP="00345792">
            <w:pPr>
              <w:spacing w:before="0" w:after="0"/>
              <w:rPr>
                <w:color w:val="000000" w:themeColor="text1"/>
                <w:sz w:val="18"/>
                <w:szCs w:val="22"/>
              </w:rPr>
            </w:pPr>
          </w:p>
        </w:tc>
        <w:tc>
          <w:tcPr>
            <w:tcW w:w="3481" w:type="dxa"/>
            <w:shd w:val="clear" w:color="auto" w:fill="auto"/>
            <w:tcMar>
              <w:top w:w="57" w:type="dxa"/>
              <w:left w:w="57" w:type="dxa"/>
              <w:bottom w:w="57" w:type="dxa"/>
              <w:right w:w="57" w:type="dxa"/>
            </w:tcMar>
          </w:tcPr>
          <w:p w14:paraId="79C44547" w14:textId="4A99D06D" w:rsidR="00243409" w:rsidRPr="00D67A14" w:rsidRDefault="00243409" w:rsidP="00345792">
            <w:pPr>
              <w:spacing w:before="0" w:after="0"/>
              <w:jc w:val="left"/>
              <w:cnfStyle w:val="000000000000" w:firstRow="0" w:lastRow="0" w:firstColumn="0" w:lastColumn="0" w:oddVBand="0" w:evenVBand="0" w:oddHBand="0" w:evenHBand="0" w:firstRowFirstColumn="0" w:firstRowLastColumn="0" w:lastRowFirstColumn="0" w:lastRowLastColumn="0"/>
              <w:rPr>
                <w:color w:val="000000" w:themeColor="text1"/>
                <w:szCs w:val="22"/>
              </w:rPr>
            </w:pPr>
            <w:r w:rsidRPr="00D67A14">
              <w:rPr>
                <w:color w:val="000000" w:themeColor="text1"/>
                <w:szCs w:val="22"/>
              </w:rPr>
              <w:t>Enforcement of a law imposing pecuniary penalty or protection of the public revenue</w:t>
            </w:r>
          </w:p>
        </w:tc>
        <w:tc>
          <w:tcPr>
            <w:tcW w:w="1474" w:type="dxa"/>
            <w:shd w:val="clear" w:color="auto" w:fill="auto"/>
            <w:tcMar>
              <w:top w:w="57" w:type="dxa"/>
              <w:left w:w="57" w:type="dxa"/>
              <w:bottom w:w="57" w:type="dxa"/>
              <w:right w:w="57" w:type="dxa"/>
            </w:tcMar>
          </w:tcPr>
          <w:p w14:paraId="79A2A2C9"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179</w:t>
            </w:r>
          </w:p>
        </w:tc>
        <w:tc>
          <w:tcPr>
            <w:tcW w:w="1416" w:type="dxa"/>
            <w:shd w:val="clear" w:color="auto" w:fill="auto"/>
            <w:tcMar>
              <w:top w:w="57" w:type="dxa"/>
              <w:left w:w="57" w:type="dxa"/>
              <w:bottom w:w="57" w:type="dxa"/>
              <w:right w:w="57" w:type="dxa"/>
            </w:tcMar>
          </w:tcPr>
          <w:p w14:paraId="6F4BEBB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2,929</w:t>
            </w:r>
          </w:p>
        </w:tc>
        <w:tc>
          <w:tcPr>
            <w:tcW w:w="1054" w:type="dxa"/>
            <w:gridSpan w:val="2"/>
            <w:shd w:val="clear" w:color="auto" w:fill="auto"/>
            <w:tcMar>
              <w:top w:w="57" w:type="dxa"/>
              <w:left w:w="57" w:type="dxa"/>
              <w:bottom w:w="57" w:type="dxa"/>
              <w:right w:w="57" w:type="dxa"/>
            </w:tcMar>
          </w:tcPr>
          <w:p w14:paraId="4E9F68B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3,191</w:t>
            </w:r>
          </w:p>
        </w:tc>
      </w:tr>
      <w:tr w:rsidR="00243409" w:rsidRPr="009D336C" w14:paraId="2709A2FC" w14:textId="77777777" w:rsidTr="00F65D12">
        <w:trPr>
          <w:trHeight w:val="242"/>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0FF986FB"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 xml:space="preserve">Authorisations for access to prospective information or documents </w:t>
            </w:r>
          </w:p>
        </w:tc>
        <w:tc>
          <w:tcPr>
            <w:tcW w:w="1474" w:type="dxa"/>
            <w:shd w:val="clear" w:color="auto" w:fill="auto"/>
            <w:tcMar>
              <w:top w:w="57" w:type="dxa"/>
              <w:left w:w="57" w:type="dxa"/>
              <w:bottom w:w="57" w:type="dxa"/>
              <w:right w:w="57" w:type="dxa"/>
            </w:tcMar>
          </w:tcPr>
          <w:p w14:paraId="72BC00E8"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180</w:t>
            </w:r>
          </w:p>
        </w:tc>
        <w:tc>
          <w:tcPr>
            <w:tcW w:w="1416" w:type="dxa"/>
            <w:shd w:val="clear" w:color="auto" w:fill="auto"/>
            <w:tcMar>
              <w:top w:w="57" w:type="dxa"/>
              <w:left w:w="57" w:type="dxa"/>
              <w:bottom w:w="57" w:type="dxa"/>
              <w:right w:w="57" w:type="dxa"/>
            </w:tcMar>
          </w:tcPr>
          <w:p w14:paraId="317BA730"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11,427</w:t>
            </w:r>
          </w:p>
        </w:tc>
        <w:tc>
          <w:tcPr>
            <w:tcW w:w="1054" w:type="dxa"/>
            <w:gridSpan w:val="2"/>
            <w:shd w:val="clear" w:color="auto" w:fill="auto"/>
            <w:tcMar>
              <w:top w:w="57" w:type="dxa"/>
              <w:left w:w="57" w:type="dxa"/>
              <w:bottom w:w="57" w:type="dxa"/>
              <w:right w:w="57" w:type="dxa"/>
            </w:tcMar>
          </w:tcPr>
          <w:p w14:paraId="6FC9AD48"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15,950</w:t>
            </w:r>
          </w:p>
        </w:tc>
      </w:tr>
      <w:tr w:rsidR="00243409" w:rsidRPr="009D336C" w14:paraId="28AF8159" w14:textId="77777777" w:rsidTr="00F65D12">
        <w:trPr>
          <w:trHeight w:val="162"/>
        </w:trPr>
        <w:tc>
          <w:tcPr>
            <w:cnfStyle w:val="001000000000" w:firstRow="0" w:lastRow="0" w:firstColumn="1" w:lastColumn="0" w:oddVBand="0" w:evenVBand="0" w:oddHBand="0" w:evenHBand="0" w:firstRowFirstColumn="0" w:firstRowLastColumn="0" w:lastRowFirstColumn="0" w:lastRowLastColumn="0"/>
            <w:tcW w:w="2133" w:type="dxa"/>
            <w:vMerge w:val="restart"/>
            <w:shd w:val="clear" w:color="auto" w:fill="auto"/>
            <w:tcMar>
              <w:top w:w="57" w:type="dxa"/>
              <w:left w:w="57" w:type="dxa"/>
              <w:bottom w:w="57" w:type="dxa"/>
              <w:right w:w="57" w:type="dxa"/>
            </w:tcMar>
          </w:tcPr>
          <w:p w14:paraId="37BE72E4" w14:textId="77777777" w:rsidR="00243409" w:rsidRPr="00D67A14" w:rsidRDefault="00243409" w:rsidP="00345792">
            <w:pPr>
              <w:spacing w:before="0" w:after="0"/>
              <w:rPr>
                <w:color w:val="000000" w:themeColor="text1"/>
                <w:sz w:val="18"/>
                <w:szCs w:val="22"/>
              </w:rPr>
            </w:pPr>
            <w:r w:rsidRPr="00D67A14">
              <w:rPr>
                <w:color w:val="000000" w:themeColor="text1"/>
                <w:sz w:val="18"/>
                <w:szCs w:val="22"/>
              </w:rPr>
              <w:t>Enforcement of the criminal law of a foreign country</w:t>
            </w:r>
          </w:p>
        </w:tc>
        <w:tc>
          <w:tcPr>
            <w:tcW w:w="3481" w:type="dxa"/>
            <w:shd w:val="clear" w:color="auto" w:fill="auto"/>
            <w:tcMar>
              <w:top w:w="57" w:type="dxa"/>
              <w:left w:w="57" w:type="dxa"/>
              <w:bottom w:w="57" w:type="dxa"/>
              <w:right w:w="57" w:type="dxa"/>
            </w:tcMar>
          </w:tcPr>
          <w:p w14:paraId="204A6A66" w14:textId="5C38475B" w:rsidR="00243409" w:rsidRPr="00D67A14" w:rsidRDefault="00243409" w:rsidP="00345792">
            <w:pPr>
              <w:spacing w:before="0" w:after="0"/>
              <w:jc w:val="left"/>
              <w:cnfStyle w:val="000000000000" w:firstRow="0" w:lastRow="0" w:firstColumn="0" w:lastColumn="0" w:oddVBand="0" w:evenVBand="0" w:oddHBand="0" w:evenHBand="0" w:firstRowFirstColumn="0" w:firstRowLastColumn="0" w:lastRowFirstColumn="0" w:lastRowLastColumn="0"/>
              <w:rPr>
                <w:color w:val="000000" w:themeColor="text1"/>
                <w:szCs w:val="22"/>
              </w:rPr>
            </w:pPr>
            <w:r w:rsidRPr="00D67A14">
              <w:rPr>
                <w:color w:val="000000" w:themeColor="text1"/>
                <w:szCs w:val="22"/>
              </w:rPr>
              <w:t>Existing information</w:t>
            </w:r>
          </w:p>
        </w:tc>
        <w:tc>
          <w:tcPr>
            <w:tcW w:w="1474" w:type="dxa"/>
            <w:shd w:val="clear" w:color="auto" w:fill="auto"/>
            <w:tcMar>
              <w:top w:w="57" w:type="dxa"/>
              <w:left w:w="57" w:type="dxa"/>
              <w:bottom w:w="57" w:type="dxa"/>
              <w:right w:w="57" w:type="dxa"/>
            </w:tcMar>
          </w:tcPr>
          <w:p w14:paraId="61E08F2A"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180A</w:t>
            </w:r>
          </w:p>
        </w:tc>
        <w:tc>
          <w:tcPr>
            <w:tcW w:w="1416" w:type="dxa"/>
            <w:shd w:val="clear" w:color="auto" w:fill="auto"/>
            <w:tcMar>
              <w:top w:w="57" w:type="dxa"/>
              <w:left w:w="57" w:type="dxa"/>
              <w:bottom w:w="57" w:type="dxa"/>
              <w:right w:w="57" w:type="dxa"/>
            </w:tcMar>
          </w:tcPr>
          <w:p w14:paraId="7EE11C5D"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4</w:t>
            </w:r>
          </w:p>
        </w:tc>
        <w:tc>
          <w:tcPr>
            <w:tcW w:w="1054" w:type="dxa"/>
            <w:gridSpan w:val="2"/>
            <w:shd w:val="clear" w:color="auto" w:fill="auto"/>
            <w:tcMar>
              <w:top w:w="57" w:type="dxa"/>
              <w:left w:w="57" w:type="dxa"/>
              <w:bottom w:w="57" w:type="dxa"/>
              <w:right w:w="57" w:type="dxa"/>
            </w:tcMar>
          </w:tcPr>
          <w:p w14:paraId="1D0A2162"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16</w:t>
            </w:r>
          </w:p>
        </w:tc>
      </w:tr>
      <w:tr w:rsidR="00243409" w:rsidRPr="009D336C" w14:paraId="78B13EFA" w14:textId="77777777" w:rsidTr="00F65D12">
        <w:trPr>
          <w:trHeight w:val="266"/>
        </w:trPr>
        <w:tc>
          <w:tcPr>
            <w:cnfStyle w:val="001000000000" w:firstRow="0" w:lastRow="0" w:firstColumn="1" w:lastColumn="0" w:oddVBand="0" w:evenVBand="0" w:oddHBand="0" w:evenHBand="0" w:firstRowFirstColumn="0" w:firstRowLastColumn="0" w:lastRowFirstColumn="0" w:lastRowLastColumn="0"/>
            <w:tcW w:w="2133" w:type="dxa"/>
            <w:vMerge/>
            <w:shd w:val="clear" w:color="auto" w:fill="auto"/>
            <w:tcMar>
              <w:top w:w="57" w:type="dxa"/>
              <w:left w:w="57" w:type="dxa"/>
              <w:bottom w:w="57" w:type="dxa"/>
              <w:right w:w="57" w:type="dxa"/>
            </w:tcMar>
          </w:tcPr>
          <w:p w14:paraId="7001F784" w14:textId="77777777" w:rsidR="00243409" w:rsidRPr="00D67A14" w:rsidRDefault="00243409" w:rsidP="00345792">
            <w:pPr>
              <w:spacing w:before="0" w:after="0"/>
              <w:rPr>
                <w:color w:val="000000" w:themeColor="text1"/>
                <w:sz w:val="18"/>
                <w:szCs w:val="22"/>
              </w:rPr>
            </w:pPr>
          </w:p>
        </w:tc>
        <w:tc>
          <w:tcPr>
            <w:tcW w:w="3481" w:type="dxa"/>
            <w:shd w:val="clear" w:color="auto" w:fill="auto"/>
            <w:tcMar>
              <w:top w:w="57" w:type="dxa"/>
              <w:left w:w="57" w:type="dxa"/>
              <w:bottom w:w="57" w:type="dxa"/>
              <w:right w:w="57" w:type="dxa"/>
            </w:tcMar>
          </w:tcPr>
          <w:p w14:paraId="16816809" w14:textId="1A5BB6E7" w:rsidR="00243409" w:rsidRPr="00D67A14" w:rsidRDefault="00243409" w:rsidP="00345792">
            <w:pPr>
              <w:spacing w:before="0" w:after="0"/>
              <w:jc w:val="left"/>
              <w:cnfStyle w:val="000000000000" w:firstRow="0" w:lastRow="0" w:firstColumn="0" w:lastColumn="0" w:oddVBand="0" w:evenVBand="0" w:oddHBand="0" w:evenHBand="0" w:firstRowFirstColumn="0" w:firstRowLastColumn="0" w:lastRowFirstColumn="0" w:lastRowLastColumn="0"/>
              <w:rPr>
                <w:color w:val="000000" w:themeColor="text1"/>
                <w:szCs w:val="22"/>
              </w:rPr>
            </w:pPr>
            <w:r w:rsidRPr="00D67A14">
              <w:rPr>
                <w:color w:val="000000" w:themeColor="text1"/>
                <w:szCs w:val="22"/>
              </w:rPr>
              <w:t>Prospective information</w:t>
            </w:r>
          </w:p>
        </w:tc>
        <w:tc>
          <w:tcPr>
            <w:tcW w:w="1474" w:type="dxa"/>
            <w:shd w:val="clear" w:color="auto" w:fill="auto"/>
            <w:tcMar>
              <w:top w:w="57" w:type="dxa"/>
              <w:left w:w="57" w:type="dxa"/>
              <w:bottom w:w="57" w:type="dxa"/>
              <w:right w:w="57" w:type="dxa"/>
            </w:tcMar>
          </w:tcPr>
          <w:p w14:paraId="7D80D617"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sidRPr="0032755E">
              <w:rPr>
                <w:szCs w:val="22"/>
              </w:rPr>
              <w:t>180B</w:t>
            </w:r>
          </w:p>
        </w:tc>
        <w:tc>
          <w:tcPr>
            <w:tcW w:w="1416" w:type="dxa"/>
            <w:shd w:val="clear" w:color="auto" w:fill="auto"/>
            <w:tcMar>
              <w:top w:w="57" w:type="dxa"/>
              <w:left w:w="57" w:type="dxa"/>
              <w:bottom w:w="57" w:type="dxa"/>
              <w:right w:w="57" w:type="dxa"/>
            </w:tcMar>
          </w:tcPr>
          <w:p w14:paraId="52A232BB"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0</w:t>
            </w:r>
          </w:p>
        </w:tc>
        <w:tc>
          <w:tcPr>
            <w:tcW w:w="1054" w:type="dxa"/>
            <w:gridSpan w:val="2"/>
            <w:shd w:val="clear" w:color="auto" w:fill="auto"/>
            <w:tcMar>
              <w:top w:w="57" w:type="dxa"/>
              <w:left w:w="57" w:type="dxa"/>
              <w:bottom w:w="57" w:type="dxa"/>
              <w:right w:w="57" w:type="dxa"/>
            </w:tcMar>
          </w:tcPr>
          <w:p w14:paraId="33810BDF"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szCs w:val="22"/>
              </w:rPr>
            </w:pPr>
            <w:r>
              <w:rPr>
                <w:szCs w:val="22"/>
              </w:rPr>
              <w:t>5</w:t>
            </w:r>
          </w:p>
        </w:tc>
      </w:tr>
      <w:tr w:rsidR="00243409" w:rsidRPr="009D336C" w14:paraId="60CD312F" w14:textId="77777777" w:rsidTr="00F65D12">
        <w:trPr>
          <w:trHeight w:val="228"/>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auto"/>
            <w:tcMar>
              <w:top w:w="57" w:type="dxa"/>
              <w:left w:w="57" w:type="dxa"/>
              <w:bottom w:w="57" w:type="dxa"/>
              <w:right w:w="57" w:type="dxa"/>
            </w:tcMar>
          </w:tcPr>
          <w:p w14:paraId="42C9FC46" w14:textId="77777777" w:rsidR="00243409" w:rsidRPr="00D67A14" w:rsidRDefault="00243409" w:rsidP="00345792">
            <w:pPr>
              <w:spacing w:before="0" w:after="0"/>
              <w:rPr>
                <w:b/>
                <w:i/>
                <w:color w:val="000000" w:themeColor="text1"/>
                <w:sz w:val="18"/>
                <w:szCs w:val="22"/>
              </w:rPr>
            </w:pPr>
            <w:r w:rsidRPr="00D67A14">
              <w:rPr>
                <w:b/>
                <w:i/>
                <w:color w:val="000000" w:themeColor="text1"/>
                <w:sz w:val="18"/>
                <w:szCs w:val="22"/>
              </w:rPr>
              <w:t>Subtotal</w:t>
            </w:r>
          </w:p>
        </w:tc>
        <w:tc>
          <w:tcPr>
            <w:tcW w:w="1474" w:type="dxa"/>
            <w:shd w:val="clear" w:color="auto" w:fill="auto"/>
            <w:tcMar>
              <w:top w:w="57" w:type="dxa"/>
              <w:left w:w="57" w:type="dxa"/>
              <w:bottom w:w="57" w:type="dxa"/>
              <w:right w:w="57" w:type="dxa"/>
            </w:tcMar>
          </w:tcPr>
          <w:p w14:paraId="59DFE238" w14:textId="77777777" w:rsidR="00243409" w:rsidRPr="0032755E" w:rsidRDefault="00243409" w:rsidP="00345792">
            <w:pPr>
              <w:spacing w:before="0" w:after="0"/>
              <w:cnfStyle w:val="000000000000" w:firstRow="0" w:lastRow="0" w:firstColumn="0" w:lastColumn="0" w:oddVBand="0" w:evenVBand="0" w:oddHBand="0" w:evenHBand="0" w:firstRowFirstColumn="0" w:firstRowLastColumn="0" w:lastRowFirstColumn="0" w:lastRowLastColumn="0"/>
              <w:rPr>
                <w:color w:val="FFFFFF" w:themeColor="background1"/>
                <w:szCs w:val="22"/>
              </w:rPr>
            </w:pPr>
          </w:p>
        </w:tc>
        <w:tc>
          <w:tcPr>
            <w:tcW w:w="1416" w:type="dxa"/>
            <w:shd w:val="clear" w:color="auto" w:fill="auto"/>
            <w:tcMar>
              <w:top w:w="57" w:type="dxa"/>
              <w:left w:w="57" w:type="dxa"/>
              <w:bottom w:w="57" w:type="dxa"/>
              <w:right w:w="57" w:type="dxa"/>
            </w:tcMar>
          </w:tcPr>
          <w:p w14:paraId="7CF6618C" w14:textId="77777777" w:rsidR="00243409" w:rsidRPr="0032755E"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szCs w:val="22"/>
              </w:rPr>
            </w:pPr>
            <w:r w:rsidRPr="0032755E">
              <w:rPr>
                <w:b/>
                <w:i/>
                <w:szCs w:val="22"/>
              </w:rPr>
              <w:t>559,950</w:t>
            </w:r>
          </w:p>
        </w:tc>
        <w:tc>
          <w:tcPr>
            <w:tcW w:w="1054" w:type="dxa"/>
            <w:gridSpan w:val="2"/>
            <w:shd w:val="clear" w:color="auto" w:fill="auto"/>
            <w:tcMar>
              <w:top w:w="57" w:type="dxa"/>
              <w:left w:w="57" w:type="dxa"/>
              <w:bottom w:w="57" w:type="dxa"/>
              <w:right w:w="57" w:type="dxa"/>
            </w:tcMar>
          </w:tcPr>
          <w:p w14:paraId="13092495" w14:textId="77777777" w:rsidR="00243409" w:rsidRPr="002407F0"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i/>
                <w:szCs w:val="22"/>
              </w:rPr>
            </w:pPr>
            <w:r w:rsidRPr="002407F0">
              <w:rPr>
                <w:b/>
                <w:i/>
                <w:szCs w:val="22"/>
              </w:rPr>
              <w:t>527,546</w:t>
            </w:r>
          </w:p>
        </w:tc>
      </w:tr>
      <w:tr w:rsidR="00243409" w:rsidRPr="009D336C" w14:paraId="2CE99C8F" w14:textId="77777777" w:rsidTr="004C7C5B">
        <w:trPr>
          <w:trHeight w:val="120"/>
        </w:trPr>
        <w:tc>
          <w:tcPr>
            <w:cnfStyle w:val="001000000000" w:firstRow="0" w:lastRow="0" w:firstColumn="1" w:lastColumn="0" w:oddVBand="0" w:evenVBand="0" w:oddHBand="0" w:evenHBand="0" w:firstRowFirstColumn="0" w:firstRowLastColumn="0" w:lastRowFirstColumn="0" w:lastRowLastColumn="0"/>
            <w:tcW w:w="5614" w:type="dxa"/>
            <w:gridSpan w:val="2"/>
            <w:shd w:val="clear" w:color="auto" w:fill="F2F2F2" w:themeFill="background1" w:themeFillShade="F2"/>
            <w:tcMar>
              <w:top w:w="57" w:type="dxa"/>
              <w:left w:w="57" w:type="dxa"/>
              <w:bottom w:w="57" w:type="dxa"/>
              <w:right w:w="57" w:type="dxa"/>
            </w:tcMar>
          </w:tcPr>
          <w:p w14:paraId="3AE4B5BC" w14:textId="77777777" w:rsidR="00243409" w:rsidRPr="00D67A14" w:rsidRDefault="00243409" w:rsidP="00345792">
            <w:pPr>
              <w:spacing w:before="0" w:after="0"/>
              <w:rPr>
                <w:b/>
                <w:color w:val="000000" w:themeColor="text1"/>
                <w:sz w:val="18"/>
                <w:szCs w:val="22"/>
              </w:rPr>
            </w:pPr>
            <w:r w:rsidRPr="00D67A14">
              <w:rPr>
                <w:b/>
                <w:color w:val="000000" w:themeColor="text1"/>
                <w:sz w:val="18"/>
                <w:szCs w:val="22"/>
              </w:rPr>
              <w:t>Total</w:t>
            </w:r>
          </w:p>
        </w:tc>
        <w:tc>
          <w:tcPr>
            <w:tcW w:w="1474" w:type="dxa"/>
            <w:shd w:val="clear" w:color="auto" w:fill="F2F2F2" w:themeFill="background1" w:themeFillShade="F2"/>
            <w:tcMar>
              <w:top w:w="57" w:type="dxa"/>
              <w:left w:w="57" w:type="dxa"/>
              <w:bottom w:w="57" w:type="dxa"/>
              <w:right w:w="57" w:type="dxa"/>
            </w:tcMar>
          </w:tcPr>
          <w:p w14:paraId="731CC915" w14:textId="77777777" w:rsidR="00243409" w:rsidRPr="0032755E" w:rsidRDefault="00243409" w:rsidP="00345792">
            <w:pPr>
              <w:spacing w:before="0" w:after="0"/>
              <w:cnfStyle w:val="000000000000" w:firstRow="0" w:lastRow="0" w:firstColumn="0" w:lastColumn="0" w:oddVBand="0" w:evenVBand="0" w:oddHBand="0" w:evenHBand="0" w:firstRowFirstColumn="0" w:firstRowLastColumn="0" w:lastRowFirstColumn="0" w:lastRowLastColumn="0"/>
              <w:rPr>
                <w:color w:val="FFFFFF" w:themeColor="background1"/>
                <w:szCs w:val="22"/>
              </w:rPr>
            </w:pPr>
          </w:p>
        </w:tc>
        <w:tc>
          <w:tcPr>
            <w:tcW w:w="1416" w:type="dxa"/>
            <w:shd w:val="clear" w:color="auto" w:fill="F2F2F2" w:themeFill="background1" w:themeFillShade="F2"/>
            <w:tcMar>
              <w:top w:w="57" w:type="dxa"/>
              <w:left w:w="57" w:type="dxa"/>
              <w:bottom w:w="57" w:type="dxa"/>
              <w:right w:w="57" w:type="dxa"/>
            </w:tcMar>
          </w:tcPr>
          <w:p w14:paraId="325B1806" w14:textId="77777777" w:rsidR="00243409" w:rsidRPr="00D67A14"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i/>
                <w:color w:val="000000" w:themeColor="text1"/>
                <w:szCs w:val="22"/>
              </w:rPr>
            </w:pPr>
            <w:r w:rsidRPr="00D67A14">
              <w:rPr>
                <w:b/>
                <w:color w:val="000000" w:themeColor="text1"/>
                <w:szCs w:val="22"/>
              </w:rPr>
              <w:t>667,792</w:t>
            </w:r>
          </w:p>
        </w:tc>
        <w:tc>
          <w:tcPr>
            <w:tcW w:w="1054" w:type="dxa"/>
            <w:gridSpan w:val="2"/>
            <w:shd w:val="clear" w:color="auto" w:fill="F2F2F2" w:themeFill="background1" w:themeFillShade="F2"/>
            <w:tcMar>
              <w:top w:w="57" w:type="dxa"/>
              <w:left w:w="57" w:type="dxa"/>
              <w:bottom w:w="57" w:type="dxa"/>
              <w:right w:w="57" w:type="dxa"/>
            </w:tcMar>
          </w:tcPr>
          <w:p w14:paraId="6BB57F82" w14:textId="77777777" w:rsidR="00243409" w:rsidRPr="002407F0" w:rsidRDefault="00243409" w:rsidP="00345792">
            <w:pPr>
              <w:spacing w:before="0" w:after="0"/>
              <w:jc w:val="right"/>
              <w:cnfStyle w:val="000000000000" w:firstRow="0" w:lastRow="0" w:firstColumn="0" w:lastColumn="0" w:oddVBand="0" w:evenVBand="0" w:oddHBand="0" w:evenHBand="0" w:firstRowFirstColumn="0" w:firstRowLastColumn="0" w:lastRowFirstColumn="0" w:lastRowLastColumn="0"/>
              <w:rPr>
                <w:b/>
                <w:color w:val="000000" w:themeColor="text1"/>
                <w:szCs w:val="22"/>
              </w:rPr>
            </w:pPr>
            <w:r w:rsidRPr="002407F0">
              <w:rPr>
                <w:b/>
                <w:color w:val="000000" w:themeColor="text1"/>
                <w:szCs w:val="22"/>
              </w:rPr>
              <w:t>638,371</w:t>
            </w:r>
          </w:p>
        </w:tc>
      </w:tr>
    </w:tbl>
    <w:p w14:paraId="1927D705" w14:textId="77777777" w:rsidR="00243409" w:rsidRPr="00FB6FC9" w:rsidRDefault="00243409" w:rsidP="00345792">
      <w:pPr>
        <w:pStyle w:val="ACMANotesspaceafter"/>
        <w:spacing w:before="120" w:after="360"/>
      </w:pPr>
      <w:r w:rsidRPr="00FB6FC9">
        <w:t>Source: Carriers.</w:t>
      </w:r>
    </w:p>
    <w:p w14:paraId="28708FB8" w14:textId="77777777" w:rsidR="00243409" w:rsidRPr="00F625C3" w:rsidRDefault="00243409" w:rsidP="00243409">
      <w:pPr>
        <w:spacing w:before="120"/>
      </w:pPr>
      <w:r w:rsidRPr="00F625C3">
        <w:t xml:space="preserve">Information about enforcement agency use of powers under the TIA Act to obtain information from carriers and CSPs is contained in annual reports prepared by the </w:t>
      </w:r>
      <w:r w:rsidR="00F22489">
        <w:t>AGD</w:t>
      </w:r>
      <w:r w:rsidRPr="00F625C3">
        <w:t xml:space="preserve"> under subsection 186(2) of the TIA Act.</w:t>
      </w:r>
    </w:p>
    <w:p w14:paraId="01464277" w14:textId="77777777" w:rsidR="00243409" w:rsidRPr="00B8425E" w:rsidRDefault="00243409" w:rsidP="00243409">
      <w:pPr>
        <w:rPr>
          <w:highlight w:val="yellow"/>
        </w:rPr>
      </w:pPr>
      <w:r w:rsidRPr="00F625C3">
        <w:t xml:space="preserve">For disclosures made under sections 177, 178, 178A, 179, 180, 180A and 180B of the TIA Act, law enforcement agencies (civil and criminal) must be satisfied that the information they request is reasonably necessary to perform their law enforcement functions. An authorised officer must also consider whether any interference with the privacy of any person or persons that may result from the disclosure is justifiable, having regard to the likely relevance and usefulness of the information or documents, and the reason why the disclosure </w:t>
      </w:r>
      <w:r w:rsidRPr="00797A8A">
        <w:t xml:space="preserve">concerned was authorised. </w:t>
      </w:r>
    </w:p>
    <w:p w14:paraId="7F7080AE" w14:textId="77777777" w:rsidR="00243409" w:rsidRPr="00797A8A" w:rsidRDefault="00243409" w:rsidP="00243409">
      <w:pPr>
        <w:pStyle w:val="Heading3"/>
      </w:pPr>
      <w:bookmarkStart w:id="1330" w:name="_Toc494799463"/>
      <w:bookmarkStart w:id="1331" w:name="_Toc494805766"/>
      <w:bookmarkStart w:id="1332" w:name="_Toc494805999"/>
      <w:bookmarkStart w:id="1333" w:name="_Toc494808229"/>
      <w:bookmarkStart w:id="1334" w:name="_Toc494808883"/>
      <w:bookmarkStart w:id="1335" w:name="_Toc494816068"/>
      <w:bookmarkStart w:id="1336" w:name="_Toc494818898"/>
      <w:bookmarkStart w:id="1337" w:name="_Toc494819160"/>
      <w:r w:rsidRPr="00797A8A">
        <w:t>Emergency suspension of carriage services</w:t>
      </w:r>
      <w:bookmarkEnd w:id="1330"/>
      <w:bookmarkEnd w:id="1331"/>
      <w:bookmarkEnd w:id="1332"/>
      <w:bookmarkEnd w:id="1333"/>
      <w:bookmarkEnd w:id="1334"/>
      <w:bookmarkEnd w:id="1335"/>
      <w:bookmarkEnd w:id="1336"/>
      <w:bookmarkEnd w:id="1337"/>
    </w:p>
    <w:p w14:paraId="1A058EEC" w14:textId="77777777" w:rsidR="00243409" w:rsidRPr="0032755E" w:rsidRDefault="00243409" w:rsidP="002407F0">
      <w:pPr>
        <w:keepNext/>
        <w:keepLines/>
      </w:pPr>
      <w:r w:rsidRPr="00797A8A">
        <w:t xml:space="preserve">Under section 315 of the Telecommunications Act, a senior police officer of a police force or service who holds a rank not lower than Assistant Commissioner can request the suspension of a carriage service, if </w:t>
      </w:r>
      <w:r w:rsidR="00D92C3A">
        <w:t xml:space="preserve">he or she has reasonable grounds to believe </w:t>
      </w:r>
      <w:r w:rsidRPr="00797A8A">
        <w:t>there is an imminent threat to someone’s life or health</w:t>
      </w:r>
      <w:r w:rsidR="00D92C3A">
        <w:t xml:space="preserve"> or to cause serious damage to property, and the suspension of the carriage service is reasonably necessary to prevent or reduce the likelihood of that outcome</w:t>
      </w:r>
      <w:r w:rsidRPr="00797A8A">
        <w:t xml:space="preserve">. CSPs reported the suspension of </w:t>
      </w:r>
      <w:r w:rsidR="00F22489">
        <w:t>eight</w:t>
      </w:r>
      <w:r w:rsidRPr="00797A8A">
        <w:t xml:space="preserve"> carriage services in 2016–17, down from 28 carriage services in 2015–16.</w:t>
      </w:r>
    </w:p>
    <w:p w14:paraId="6248AE8D" w14:textId="77777777" w:rsidR="00243409" w:rsidRPr="00797A8A" w:rsidRDefault="00243409" w:rsidP="003D67C0">
      <w:pPr>
        <w:pStyle w:val="Heading2"/>
        <w:numPr>
          <w:ilvl w:val="1"/>
          <w:numId w:val="19"/>
        </w:numPr>
        <w:ind w:hanging="792"/>
      </w:pPr>
      <w:bookmarkStart w:id="1338" w:name="_Toc494799464"/>
      <w:bookmarkStart w:id="1339" w:name="_Toc494805767"/>
      <w:bookmarkStart w:id="1340" w:name="_Toc494806000"/>
      <w:bookmarkStart w:id="1341" w:name="_Toc494816069"/>
      <w:bookmarkStart w:id="1342" w:name="_Toc494819161"/>
      <w:bookmarkStart w:id="1343" w:name="_Toc494808230"/>
      <w:bookmarkStart w:id="1344" w:name="_Toc494808884"/>
      <w:bookmarkStart w:id="1345" w:name="_Toc494818899"/>
      <w:bookmarkStart w:id="1346" w:name="_Toc500320918"/>
      <w:r w:rsidRPr="00797A8A">
        <w:t>Interception</w:t>
      </w:r>
      <w:bookmarkEnd w:id="1338"/>
      <w:bookmarkEnd w:id="1339"/>
      <w:bookmarkEnd w:id="1340"/>
      <w:bookmarkEnd w:id="1341"/>
      <w:bookmarkEnd w:id="1342"/>
      <w:bookmarkEnd w:id="1343"/>
      <w:bookmarkEnd w:id="1344"/>
      <w:bookmarkEnd w:id="1345"/>
      <w:bookmarkEnd w:id="1346"/>
    </w:p>
    <w:p w14:paraId="195D479E" w14:textId="77777777" w:rsidR="00243409" w:rsidRPr="00797A8A" w:rsidRDefault="00243409" w:rsidP="00243409">
      <w:r w:rsidRPr="00797A8A">
        <w:t>The content of communications between users of telecommunications services is protected in Australia as a crucial area of telecommunications privacy protection. Interception may only be authorised by law enforcement and national security agencies in accordance with a warrant under the TIA Act. Interception for other purposes is prohibited, with criminal penalties applicable for breaches of the TIA Act.</w:t>
      </w:r>
    </w:p>
    <w:p w14:paraId="2A913D8F" w14:textId="77777777" w:rsidR="00243409" w:rsidRPr="00797A8A" w:rsidRDefault="00243409" w:rsidP="00243409">
      <w:pPr>
        <w:pStyle w:val="Heading3"/>
      </w:pPr>
      <w:bookmarkStart w:id="1347" w:name="_Toc494799465"/>
      <w:bookmarkStart w:id="1348" w:name="_Toc494805768"/>
      <w:bookmarkStart w:id="1349" w:name="_Toc494806001"/>
      <w:bookmarkStart w:id="1350" w:name="_Toc494808231"/>
      <w:bookmarkStart w:id="1351" w:name="_Toc494808885"/>
      <w:bookmarkStart w:id="1352" w:name="_Toc494816070"/>
      <w:bookmarkStart w:id="1353" w:name="_Toc494818900"/>
      <w:bookmarkStart w:id="1354" w:name="_Toc494819162"/>
      <w:r w:rsidRPr="00797A8A">
        <w:t>Providing assistance</w:t>
      </w:r>
      <w:bookmarkEnd w:id="1347"/>
      <w:bookmarkEnd w:id="1348"/>
      <w:bookmarkEnd w:id="1349"/>
      <w:bookmarkEnd w:id="1350"/>
      <w:bookmarkEnd w:id="1351"/>
      <w:bookmarkEnd w:id="1352"/>
      <w:bookmarkEnd w:id="1353"/>
      <w:bookmarkEnd w:id="1354"/>
      <w:r w:rsidRPr="00797A8A">
        <w:t xml:space="preserve"> </w:t>
      </w:r>
    </w:p>
    <w:p w14:paraId="20F36387" w14:textId="77777777" w:rsidR="00243409" w:rsidRPr="00797A8A" w:rsidRDefault="00243409" w:rsidP="00243409">
      <w:r w:rsidRPr="00797A8A">
        <w:t>Section 314 of the Telecommunications Act applies if a carrier or CSP is required to provide help to an officer or authority of the Commonwealth, a state or a territory</w:t>
      </w:r>
      <w:r w:rsidR="002407F0">
        <w:t>,</w:t>
      </w:r>
      <w:r w:rsidR="00A4427E">
        <w:t xml:space="preserve"> and sets out the terms and conditions </w:t>
      </w:r>
      <w:r w:rsidR="002407F0">
        <w:t xml:space="preserve">under </w:t>
      </w:r>
      <w:r w:rsidR="00A4427E">
        <w:t>which help is to be given</w:t>
      </w:r>
      <w:r w:rsidRPr="00797A8A">
        <w:t>. Such persons must comply with a requirement on the basis that the person neither profits from, nor bears the costs of, giving that help.</w:t>
      </w:r>
    </w:p>
    <w:p w14:paraId="343DFDF2" w14:textId="77777777" w:rsidR="00243409" w:rsidRPr="00797A8A" w:rsidRDefault="00243409" w:rsidP="00243409">
      <w:pPr>
        <w:pStyle w:val="Heading3"/>
      </w:pPr>
      <w:bookmarkStart w:id="1355" w:name="_Toc494799466"/>
      <w:bookmarkStart w:id="1356" w:name="_Toc494805769"/>
      <w:bookmarkStart w:id="1357" w:name="_Toc494806002"/>
      <w:bookmarkStart w:id="1358" w:name="_Toc494808232"/>
      <w:bookmarkStart w:id="1359" w:name="_Toc494808886"/>
      <w:bookmarkStart w:id="1360" w:name="_Toc494816071"/>
      <w:bookmarkStart w:id="1361" w:name="_Toc494818901"/>
      <w:bookmarkStart w:id="1362" w:name="_Toc494819163"/>
      <w:r w:rsidRPr="00797A8A">
        <w:t>Interception capability</w:t>
      </w:r>
      <w:bookmarkEnd w:id="1355"/>
      <w:bookmarkEnd w:id="1356"/>
      <w:bookmarkEnd w:id="1357"/>
      <w:bookmarkEnd w:id="1358"/>
      <w:bookmarkEnd w:id="1359"/>
      <w:bookmarkEnd w:id="1360"/>
      <w:bookmarkEnd w:id="1361"/>
      <w:bookmarkEnd w:id="1362"/>
    </w:p>
    <w:p w14:paraId="494406D4" w14:textId="77777777" w:rsidR="00243409" w:rsidRPr="00797A8A" w:rsidRDefault="00243409" w:rsidP="00243409">
      <w:r w:rsidRPr="00797A8A">
        <w:t xml:space="preserve">Chapter 5 of the TIA Act obliges carriers and CSPs to ensure their networks, facilities and carriage services </w:t>
      </w:r>
      <w:r w:rsidR="00A4640F" w:rsidRPr="00797A8A">
        <w:t>can enable</w:t>
      </w:r>
      <w:r w:rsidRPr="00797A8A">
        <w:t xml:space="preserve"> communications to be intercepted on presentation of an interception warrant.</w:t>
      </w:r>
      <w:r w:rsidRPr="00797A8A">
        <w:rPr>
          <w:vertAlign w:val="superscript"/>
        </w:rPr>
        <w:endnoteReference w:id="236"/>
      </w:r>
      <w:r w:rsidRPr="00797A8A">
        <w:t xml:space="preserve"> This obligation includes a requirement to develop, install and maintain an interception capability. Under section</w:t>
      </w:r>
      <w:r w:rsidR="00A4640F">
        <w:t> </w:t>
      </w:r>
      <w:r w:rsidRPr="00797A8A">
        <w:t xml:space="preserve">207 of the TIA Act, carriers and CSPs are responsible for the costs associated with providing interception capability in their networks. </w:t>
      </w:r>
    </w:p>
    <w:p w14:paraId="51C6CBA8" w14:textId="77777777" w:rsidR="000B52D7" w:rsidRDefault="00243409" w:rsidP="00243409">
      <w:r w:rsidRPr="00797A8A">
        <w:t>In 2016–17, the cost to industry of providing interception capability was reported to the ACMA as $22 million (Figure 4.2), a reduction of 2.7 per cent from 2015–16.</w:t>
      </w:r>
    </w:p>
    <w:p w14:paraId="527FC14D" w14:textId="544BEBDA" w:rsidR="00243409" w:rsidRPr="00F625C3" w:rsidRDefault="00243409" w:rsidP="00345792">
      <w:pPr>
        <w:pStyle w:val="ACMAFigureHeader"/>
        <w:rPr>
          <w:color w:val="auto"/>
        </w:rPr>
      </w:pPr>
      <w:r w:rsidRPr="00F625C3">
        <w:rPr>
          <w:color w:val="auto"/>
        </w:rPr>
        <w:t>Figure 4.</w:t>
      </w:r>
      <w:r w:rsidRPr="00F625C3">
        <w:rPr>
          <w:color w:val="auto"/>
        </w:rPr>
        <w:fldChar w:fldCharType="begin"/>
      </w:r>
      <w:r w:rsidRPr="00F625C3">
        <w:rPr>
          <w:color w:val="auto"/>
        </w:rPr>
        <w:instrText xml:space="preserve"> SEQ Figure \* ARABIC </w:instrText>
      </w:r>
      <w:r w:rsidRPr="00F625C3">
        <w:rPr>
          <w:color w:val="auto"/>
        </w:rPr>
        <w:fldChar w:fldCharType="separate"/>
      </w:r>
      <w:r w:rsidR="00FA0614">
        <w:rPr>
          <w:noProof/>
          <w:color w:val="auto"/>
        </w:rPr>
        <w:t>2</w:t>
      </w:r>
      <w:r w:rsidRPr="00F625C3">
        <w:rPr>
          <w:noProof/>
          <w:color w:val="auto"/>
        </w:rPr>
        <w:fldChar w:fldCharType="end"/>
      </w:r>
      <w:r w:rsidRPr="00F625C3">
        <w:rPr>
          <w:color w:val="auto"/>
        </w:rPr>
        <w:tab/>
        <w:t>Cost of providing interception capabilities ($ million)</w:t>
      </w:r>
    </w:p>
    <w:p w14:paraId="0A277593" w14:textId="77777777" w:rsidR="00243409" w:rsidRDefault="00243409" w:rsidP="007A2A5F">
      <w:pPr>
        <w:spacing w:after="120"/>
      </w:pPr>
      <w:r>
        <w:rPr>
          <w:noProof/>
        </w:rPr>
        <w:drawing>
          <wp:inline distT="0" distB="0" distL="0" distR="0" wp14:anchorId="75CE287C" wp14:editId="25C1F810">
            <wp:extent cx="5086830" cy="1469629"/>
            <wp:effectExtent l="0" t="0" r="0" b="0"/>
            <wp:docPr id="14" name="Picture 14" descr="Data for Figure 4.2 is in the .ods file for Chapter 4 on the landing page ‘Communications report 2016-17’, available from the ACMA website." title="Figure 4.2  Cost of providing interception capabilities ($ mi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H4 - charts_Figure 4.2.png"/>
                    <pic:cNvPicPr/>
                  </pic:nvPicPr>
                  <pic:blipFill rotWithShape="1">
                    <a:blip r:embed="rId104">
                      <a:extLst>
                        <a:ext uri="{28A0092B-C50C-407E-A947-70E740481C1C}">
                          <a14:useLocalDpi xmlns:a14="http://schemas.microsoft.com/office/drawing/2010/main" val="0"/>
                        </a:ext>
                      </a:extLst>
                    </a:blip>
                    <a:srcRect t="3529" r="18321" b="3911"/>
                    <a:stretch/>
                  </pic:blipFill>
                  <pic:spPr bwMode="auto">
                    <a:xfrm>
                      <a:off x="0" y="0"/>
                      <a:ext cx="5118582" cy="1478802"/>
                    </a:xfrm>
                    <a:prstGeom prst="rect">
                      <a:avLst/>
                    </a:prstGeom>
                    <a:ln>
                      <a:noFill/>
                    </a:ln>
                    <a:extLst>
                      <a:ext uri="{53640926-AAD7-44D8-BBD7-CCE9431645EC}">
                        <a14:shadowObscured xmlns:a14="http://schemas.microsoft.com/office/drawing/2010/main"/>
                      </a:ext>
                    </a:extLst>
                  </pic:spPr>
                </pic:pic>
              </a:graphicData>
            </a:graphic>
          </wp:inline>
        </w:drawing>
      </w:r>
    </w:p>
    <w:p w14:paraId="26D650A3" w14:textId="77777777" w:rsidR="00A4640F" w:rsidRDefault="00243409" w:rsidP="00345792">
      <w:pPr>
        <w:pStyle w:val="ACMANotesspaceafter"/>
        <w:spacing w:before="240" w:after="360"/>
      </w:pPr>
      <w:r w:rsidRPr="005F08AF">
        <w:t>Source: ACMA annual industry data request</w:t>
      </w:r>
      <w:r w:rsidR="00A4640F">
        <w:t>.</w:t>
      </w:r>
    </w:p>
    <w:p w14:paraId="06E03497" w14:textId="77777777" w:rsidR="00243409" w:rsidRPr="00F625C3" w:rsidRDefault="00243409" w:rsidP="00243409">
      <w:pPr>
        <w:pStyle w:val="Heading3"/>
      </w:pPr>
      <w:r w:rsidRPr="00F625C3">
        <w:t>Interception capability plan compliance</w:t>
      </w:r>
    </w:p>
    <w:p w14:paraId="624E413F" w14:textId="77777777" w:rsidR="00243409" w:rsidRPr="00F625C3" w:rsidRDefault="00243409" w:rsidP="00243409">
      <w:r w:rsidRPr="00F625C3">
        <w:t>Under sections 196 and 197 of the TIA Act, carriers and nominated CSPs must lodge an interception capability plan by 1 July each year with the Communications Access Co-ordinator (CAC) in the AGD.</w:t>
      </w:r>
      <w:r w:rsidRPr="00F625C3">
        <w:rPr>
          <w:vertAlign w:val="superscript"/>
        </w:rPr>
        <w:endnoteReference w:id="237"/>
      </w:r>
      <w:r w:rsidRPr="00F625C3">
        <w:t xml:space="preserve"> The ACMA’s role is to enforce this obligation. </w:t>
      </w:r>
    </w:p>
    <w:p w14:paraId="6F29F729" w14:textId="77777777" w:rsidR="00243409" w:rsidRPr="00F625C3" w:rsidRDefault="00243409" w:rsidP="00243409">
      <w:pPr>
        <w:spacing w:after="80"/>
      </w:pPr>
      <w:r w:rsidRPr="00F625C3">
        <w:t xml:space="preserve">During the reporting period, the AGD referred </w:t>
      </w:r>
      <w:r w:rsidR="00A4640F">
        <w:t>10</w:t>
      </w:r>
      <w:r w:rsidR="00A4640F" w:rsidRPr="00F625C3">
        <w:t xml:space="preserve"> </w:t>
      </w:r>
      <w:r w:rsidRPr="00F625C3">
        <w:t>carriers to the ACMA for non-compliance with these provisions. Of these referrals:</w:t>
      </w:r>
    </w:p>
    <w:p w14:paraId="37FBC19A" w14:textId="77777777" w:rsidR="00243409" w:rsidRPr="00F625C3" w:rsidRDefault="00243409" w:rsidP="00F3697E">
      <w:pPr>
        <w:pStyle w:val="ListBullet"/>
      </w:pPr>
      <w:r w:rsidRPr="00F625C3">
        <w:t xml:space="preserve">nine </w:t>
      </w:r>
      <w:r w:rsidRPr="00243409">
        <w:t>carriers</w:t>
      </w:r>
      <w:r w:rsidRPr="00F625C3">
        <w:t xml:space="preserve"> submitted interception capability plans to the CAC following the ACMA’s request that they comply with their legislative obligations</w:t>
      </w:r>
    </w:p>
    <w:p w14:paraId="503F0564" w14:textId="77777777" w:rsidR="00243409" w:rsidRPr="00F625C3" w:rsidRDefault="00243409" w:rsidP="00DC2B04">
      <w:pPr>
        <w:pStyle w:val="ListBulletLast"/>
      </w:pPr>
      <w:r w:rsidRPr="00F625C3">
        <w:t xml:space="preserve">one carrier surrendered its carrier licence. </w:t>
      </w:r>
    </w:p>
    <w:p w14:paraId="1CBE9C01" w14:textId="77777777" w:rsidR="004E4BC8" w:rsidRPr="00EE11DD" w:rsidRDefault="004E4BC8" w:rsidP="004E4BC8">
      <w:pPr>
        <w:pStyle w:val="Heading2"/>
        <w:numPr>
          <w:ilvl w:val="1"/>
          <w:numId w:val="19"/>
        </w:numPr>
        <w:ind w:hanging="792"/>
      </w:pPr>
      <w:bookmarkStart w:id="1363" w:name="_Toc494799468"/>
      <w:bookmarkStart w:id="1364" w:name="_Toc494805771"/>
      <w:bookmarkStart w:id="1365" w:name="_Toc494806004"/>
      <w:bookmarkStart w:id="1366" w:name="_Toc494816073"/>
      <w:bookmarkStart w:id="1367" w:name="_Toc494819165"/>
      <w:bookmarkStart w:id="1368" w:name="_Toc494808234"/>
      <w:bookmarkStart w:id="1369" w:name="_Toc494808888"/>
      <w:bookmarkStart w:id="1370" w:name="_Toc494818903"/>
      <w:bookmarkStart w:id="1371" w:name="_Toc500320919"/>
      <w:r w:rsidRPr="00EE11DD">
        <w:t>Data retention</w:t>
      </w:r>
      <w:bookmarkEnd w:id="1363"/>
      <w:bookmarkEnd w:id="1364"/>
      <w:bookmarkEnd w:id="1365"/>
      <w:bookmarkEnd w:id="1366"/>
      <w:bookmarkEnd w:id="1367"/>
      <w:bookmarkEnd w:id="1368"/>
      <w:bookmarkEnd w:id="1369"/>
      <w:bookmarkEnd w:id="1370"/>
      <w:bookmarkEnd w:id="1371"/>
      <w:r w:rsidRPr="00EE11DD">
        <w:t xml:space="preserve"> </w:t>
      </w:r>
    </w:p>
    <w:p w14:paraId="5773A190" w14:textId="77777777" w:rsidR="004E4BC8" w:rsidRPr="00666715" w:rsidRDefault="004E4BC8" w:rsidP="00FB1FCD">
      <w:pPr>
        <w:keepNext/>
        <w:keepLines/>
        <w:rPr>
          <w:rFonts w:cs="Arial"/>
        </w:rPr>
      </w:pPr>
      <w:r w:rsidRPr="008432FB">
        <w:rPr>
          <w:rFonts w:cs="Arial"/>
        </w:rPr>
        <w:t>Since 13 October 2015, carriers and service providers</w:t>
      </w:r>
      <w:r>
        <w:rPr>
          <w:rFonts w:cs="Arial"/>
        </w:rPr>
        <w:t xml:space="preserve"> (including </w:t>
      </w:r>
      <w:r w:rsidR="00A4640F">
        <w:rPr>
          <w:rFonts w:cs="Arial"/>
        </w:rPr>
        <w:t>ISPS</w:t>
      </w:r>
      <w:r>
        <w:rPr>
          <w:rFonts w:cs="Arial"/>
        </w:rPr>
        <w:t>)</w:t>
      </w:r>
      <w:r w:rsidRPr="008432FB">
        <w:rPr>
          <w:rFonts w:cs="Arial"/>
        </w:rPr>
        <w:t xml:space="preserve"> have been subject to data retention obligations under Part 5-1A of the TIA Act. The data retention obligations are enforced by the ACMA under the applicable enforcement mechanisms set out in the Tele</w:t>
      </w:r>
      <w:r w:rsidRPr="00666715">
        <w:rPr>
          <w:rFonts w:cs="Arial"/>
        </w:rPr>
        <w:t xml:space="preserve">communications Act. </w:t>
      </w:r>
    </w:p>
    <w:p w14:paraId="0A09EAEE" w14:textId="77777777" w:rsidR="004E4BC8" w:rsidRPr="00700340" w:rsidRDefault="004E4BC8" w:rsidP="004E4BC8">
      <w:pPr>
        <w:rPr>
          <w:rFonts w:cs="Arial"/>
        </w:rPr>
      </w:pPr>
      <w:r w:rsidRPr="00666715">
        <w:rPr>
          <w:rFonts w:cs="Arial"/>
        </w:rPr>
        <w:t xml:space="preserve">Paragraph 105(5A)(b) of the Telecommunications Act requires the ACMA to report to the </w:t>
      </w:r>
      <w:r w:rsidR="00A4640F">
        <w:rPr>
          <w:rFonts w:cs="Arial"/>
        </w:rPr>
        <w:t>m</w:t>
      </w:r>
      <w:r w:rsidRPr="00666715">
        <w:rPr>
          <w:rFonts w:cs="Arial"/>
        </w:rPr>
        <w:t>inister on the cost of compliance with the requirements of Part 5-1A of the TIA Act (</w:t>
      </w:r>
      <w:r>
        <w:rPr>
          <w:rFonts w:cs="Arial"/>
        </w:rPr>
        <w:t xml:space="preserve">about </w:t>
      </w:r>
      <w:r w:rsidRPr="00666715">
        <w:rPr>
          <w:rFonts w:cs="Arial"/>
        </w:rPr>
        <w:t>data retention).</w:t>
      </w:r>
    </w:p>
    <w:p w14:paraId="3986693A" w14:textId="43FFC5AF" w:rsidR="004E4BC8" w:rsidRDefault="004E4BC8" w:rsidP="004E4BC8">
      <w:pPr>
        <w:rPr>
          <w:rFonts w:cs="Arial"/>
        </w:rPr>
      </w:pPr>
      <w:r w:rsidRPr="008432FB">
        <w:rPr>
          <w:rFonts w:cs="Arial"/>
        </w:rPr>
        <w:t xml:space="preserve">In the </w:t>
      </w:r>
      <w:r w:rsidRPr="007345CC">
        <w:rPr>
          <w:rFonts w:cs="Arial"/>
          <w:i/>
        </w:rPr>
        <w:t xml:space="preserve">Communications </w:t>
      </w:r>
      <w:r w:rsidR="00A4640F" w:rsidRPr="007345CC">
        <w:rPr>
          <w:rFonts w:cs="Arial"/>
          <w:i/>
        </w:rPr>
        <w:t>r</w:t>
      </w:r>
      <w:r w:rsidRPr="007345CC">
        <w:rPr>
          <w:rFonts w:cs="Arial"/>
          <w:i/>
        </w:rPr>
        <w:t>eport</w:t>
      </w:r>
      <w:r w:rsidR="00A4640F" w:rsidRPr="007345CC">
        <w:rPr>
          <w:rFonts w:cs="Arial"/>
          <w:i/>
        </w:rPr>
        <w:t xml:space="preserve"> 2015–16</w:t>
      </w:r>
      <w:r w:rsidRPr="008432FB">
        <w:rPr>
          <w:rFonts w:cs="Arial"/>
        </w:rPr>
        <w:t xml:space="preserve">, the ACMA published the anticipated </w:t>
      </w:r>
      <w:r>
        <w:rPr>
          <w:rFonts w:cs="Arial"/>
        </w:rPr>
        <w:t>capital costs</w:t>
      </w:r>
      <w:r w:rsidRPr="008432FB">
        <w:rPr>
          <w:rFonts w:cs="Arial"/>
        </w:rPr>
        <w:t xml:space="preserve"> of complying with the data retention obligations</w:t>
      </w:r>
      <w:r>
        <w:rPr>
          <w:rFonts w:cs="Arial"/>
        </w:rPr>
        <w:t>, as advised by AGD</w:t>
      </w:r>
      <w:r w:rsidRPr="008432FB">
        <w:rPr>
          <w:rFonts w:cs="Arial"/>
        </w:rPr>
        <w:t xml:space="preserve">. These costs </w:t>
      </w:r>
      <w:r>
        <w:rPr>
          <w:rFonts w:cs="Arial"/>
        </w:rPr>
        <w:t xml:space="preserve">corresponded to </w:t>
      </w:r>
      <w:r w:rsidRPr="008432FB">
        <w:rPr>
          <w:rFonts w:cs="Arial"/>
        </w:rPr>
        <w:t xml:space="preserve">information </w:t>
      </w:r>
      <w:r>
        <w:rPr>
          <w:rFonts w:cs="Arial"/>
        </w:rPr>
        <w:t>submitt</w:t>
      </w:r>
      <w:r w:rsidRPr="008432FB">
        <w:rPr>
          <w:rFonts w:cs="Arial"/>
        </w:rPr>
        <w:t xml:space="preserve">ed </w:t>
      </w:r>
      <w:r>
        <w:rPr>
          <w:rFonts w:cs="Arial"/>
        </w:rPr>
        <w:t>by</w:t>
      </w:r>
      <w:r w:rsidRPr="008432FB">
        <w:rPr>
          <w:rFonts w:cs="Arial"/>
        </w:rPr>
        <w:t xml:space="preserve"> carriers and service providers </w:t>
      </w:r>
      <w:r>
        <w:rPr>
          <w:rFonts w:cs="Arial"/>
        </w:rPr>
        <w:t xml:space="preserve">to AGD </w:t>
      </w:r>
      <w:r w:rsidRPr="008432FB">
        <w:rPr>
          <w:rFonts w:cs="Arial"/>
        </w:rPr>
        <w:t>as part of their data retention industry grant applications</w:t>
      </w:r>
      <w:r>
        <w:rPr>
          <w:rFonts w:cs="Arial"/>
        </w:rPr>
        <w:t xml:space="preserve"> as part of the </w:t>
      </w:r>
      <w:r w:rsidRPr="00700340">
        <w:rPr>
          <w:rFonts w:cs="Arial"/>
        </w:rPr>
        <w:t xml:space="preserve">Data Retention Industry Grants </w:t>
      </w:r>
      <w:r>
        <w:rPr>
          <w:rFonts w:cs="Arial"/>
        </w:rPr>
        <w:t>P</w:t>
      </w:r>
      <w:r w:rsidRPr="00700340">
        <w:rPr>
          <w:rFonts w:cs="Arial"/>
        </w:rPr>
        <w:t>rogram</w:t>
      </w:r>
      <w:r>
        <w:rPr>
          <w:rFonts w:cs="Arial"/>
        </w:rPr>
        <w:t>me</w:t>
      </w:r>
      <w:r w:rsidRPr="008432FB">
        <w:rPr>
          <w:rFonts w:cs="Arial"/>
        </w:rPr>
        <w:t>.</w:t>
      </w:r>
      <w:r>
        <w:rPr>
          <w:rStyle w:val="EndnoteReference"/>
          <w:rFonts w:cs="Arial"/>
        </w:rPr>
        <w:endnoteReference w:id="238"/>
      </w:r>
      <w:r>
        <w:rPr>
          <w:rFonts w:cs="Arial"/>
        </w:rPr>
        <w:t xml:space="preserve"> </w:t>
      </w:r>
    </w:p>
    <w:p w14:paraId="747FBBD2" w14:textId="77777777" w:rsidR="004E4BC8" w:rsidRDefault="004E4BC8" w:rsidP="004E4BC8">
      <w:pPr>
        <w:rPr>
          <w:rFonts w:cs="Arial"/>
        </w:rPr>
      </w:pPr>
      <w:r>
        <w:rPr>
          <w:rFonts w:cs="Arial"/>
        </w:rPr>
        <w:t xml:space="preserve">The </w:t>
      </w:r>
      <w:r w:rsidRPr="00AE2841">
        <w:rPr>
          <w:rFonts w:cs="Arial"/>
        </w:rPr>
        <w:t>actual</w:t>
      </w:r>
      <w:r>
        <w:rPr>
          <w:rFonts w:cs="Arial"/>
        </w:rPr>
        <w:t xml:space="preserve"> cost of complying with the data retention obligations </w:t>
      </w:r>
      <w:r w:rsidRPr="008432FB">
        <w:rPr>
          <w:rFonts w:cs="Arial"/>
        </w:rPr>
        <w:t>for the three financial years commencing July 2014 and ending June 2017</w:t>
      </w:r>
      <w:r>
        <w:rPr>
          <w:rFonts w:cs="Arial"/>
        </w:rPr>
        <w:t xml:space="preserve"> is set out in </w:t>
      </w:r>
      <w:r w:rsidRPr="00FB6FC9">
        <w:rPr>
          <w:rFonts w:cs="Arial"/>
        </w:rPr>
        <w:t>Table 4.3</w:t>
      </w:r>
      <w:r>
        <w:rPr>
          <w:rFonts w:cs="Arial"/>
        </w:rPr>
        <w:t xml:space="preserve">. This cost information corresponds to data obtained in 2017 by the ACMA from approximately 400 </w:t>
      </w:r>
      <w:r w:rsidRPr="008432FB">
        <w:rPr>
          <w:rFonts w:cs="Arial"/>
        </w:rPr>
        <w:t>carriers and service providers</w:t>
      </w:r>
      <w:r>
        <w:rPr>
          <w:rFonts w:cs="Arial"/>
        </w:rPr>
        <w:t xml:space="preserve">. </w:t>
      </w:r>
    </w:p>
    <w:p w14:paraId="63555AC0" w14:textId="77777777" w:rsidR="004E4BC8" w:rsidRPr="008432FB" w:rsidRDefault="004E4BC8" w:rsidP="004E4BC8">
      <w:pPr>
        <w:rPr>
          <w:rFonts w:cs="Arial"/>
        </w:rPr>
      </w:pPr>
      <w:r>
        <w:rPr>
          <w:rFonts w:cs="Arial"/>
        </w:rPr>
        <w:t>In July 2017, the ACMA requested information from industry participants on their administrative</w:t>
      </w:r>
      <w:r>
        <w:rPr>
          <w:rStyle w:val="EndnoteReference"/>
          <w:rFonts w:cs="Arial"/>
        </w:rPr>
        <w:endnoteReference w:id="239"/>
      </w:r>
      <w:r>
        <w:rPr>
          <w:rFonts w:cs="Arial"/>
        </w:rPr>
        <w:t xml:space="preserve"> and substantive</w:t>
      </w:r>
      <w:r>
        <w:rPr>
          <w:rStyle w:val="EndnoteReference"/>
          <w:rFonts w:cs="Arial"/>
        </w:rPr>
        <w:endnoteReference w:id="240"/>
      </w:r>
      <w:r>
        <w:rPr>
          <w:rFonts w:cs="Arial"/>
        </w:rPr>
        <w:t xml:space="preserve"> compliance costs.</w:t>
      </w:r>
    </w:p>
    <w:p w14:paraId="5C877481" w14:textId="77777777" w:rsidR="004E4BC8" w:rsidRDefault="004E4BC8" w:rsidP="004E4BC8">
      <w:pPr>
        <w:rPr>
          <w:rFonts w:cs="Arial"/>
        </w:rPr>
      </w:pPr>
      <w:r w:rsidRPr="002F5635">
        <w:rPr>
          <w:rFonts w:cs="Arial"/>
        </w:rPr>
        <w:t>The ACMA also sought information regarding any costs recovered</w:t>
      </w:r>
      <w:r>
        <w:rPr>
          <w:rFonts w:cs="Arial"/>
        </w:rPr>
        <w:t xml:space="preserve"> from</w:t>
      </w:r>
      <w:r>
        <w:rPr>
          <w:rFonts w:cs="Arial"/>
          <w:b/>
          <w:i/>
        </w:rPr>
        <w:t xml:space="preserve"> </w:t>
      </w:r>
      <w:r w:rsidRPr="00700340">
        <w:rPr>
          <w:rFonts w:cs="Arial"/>
        </w:rPr>
        <w:t>criminal law enforcement agencies</w:t>
      </w:r>
      <w:r>
        <w:rPr>
          <w:rFonts w:cs="Arial"/>
        </w:rPr>
        <w:t xml:space="preserve"> (</w:t>
      </w:r>
      <w:r w:rsidRPr="00FB6FC9">
        <w:rPr>
          <w:rFonts w:cs="Arial"/>
        </w:rPr>
        <w:t>CLEAs</w:t>
      </w:r>
      <w:r>
        <w:rPr>
          <w:rFonts w:cs="Arial"/>
        </w:rPr>
        <w:t xml:space="preserve">) </w:t>
      </w:r>
      <w:r w:rsidR="008972C2">
        <w:rPr>
          <w:rFonts w:cs="Arial"/>
        </w:rPr>
        <w:t>for</w:t>
      </w:r>
      <w:r>
        <w:rPr>
          <w:rFonts w:cs="Arial"/>
        </w:rPr>
        <w:t xml:space="preserve"> responding to requests for data.</w:t>
      </w:r>
      <w:r w:rsidR="00541984">
        <w:rPr>
          <w:rStyle w:val="EndnoteReference"/>
          <w:rFonts w:cs="Arial"/>
        </w:rPr>
        <w:endnoteReference w:id="241"/>
      </w:r>
      <w:r w:rsidR="008972C2">
        <w:rPr>
          <w:rFonts w:cs="Arial"/>
        </w:rPr>
        <w:t xml:space="preserve"> </w:t>
      </w:r>
      <w:r>
        <w:rPr>
          <w:rFonts w:cs="Arial"/>
        </w:rPr>
        <w:t xml:space="preserve">These recovered costs </w:t>
      </w:r>
      <w:r w:rsidRPr="00AC2FB0">
        <w:rPr>
          <w:rFonts w:cs="Arial"/>
        </w:rPr>
        <w:t>partially offset the administrative costs reported</w:t>
      </w:r>
      <w:r>
        <w:rPr>
          <w:rFonts w:cs="Arial"/>
        </w:rPr>
        <w:t>.</w:t>
      </w:r>
    </w:p>
    <w:p w14:paraId="538D6343" w14:textId="6DFAE5D2" w:rsidR="004E4BC8" w:rsidRDefault="004E4BC8" w:rsidP="004E4BC8">
      <w:pPr>
        <w:rPr>
          <w:rFonts w:cs="Arial"/>
        </w:rPr>
      </w:pPr>
      <w:r w:rsidRPr="00AC2FB0">
        <w:rPr>
          <w:rFonts w:cs="Arial"/>
        </w:rPr>
        <w:t>Total data retention compliance costs are further offset by funding via grants that was provided during 2016</w:t>
      </w:r>
      <w:r>
        <w:rPr>
          <w:rFonts w:cs="Arial"/>
        </w:rPr>
        <w:t>–</w:t>
      </w:r>
      <w:r w:rsidRPr="00AC2FB0">
        <w:rPr>
          <w:rFonts w:cs="Arial"/>
        </w:rPr>
        <w:t>17</w:t>
      </w:r>
      <w:r w:rsidRPr="008432FB">
        <w:rPr>
          <w:rFonts w:cs="Arial"/>
        </w:rPr>
        <w:t xml:space="preserve">. </w:t>
      </w:r>
      <w:r w:rsidRPr="00700340">
        <w:rPr>
          <w:rFonts w:cs="Arial"/>
        </w:rPr>
        <w:t xml:space="preserve">The Data Retention Industry Grants </w:t>
      </w:r>
      <w:r>
        <w:rPr>
          <w:rFonts w:cs="Arial"/>
        </w:rPr>
        <w:t>P</w:t>
      </w:r>
      <w:r w:rsidRPr="00700340">
        <w:rPr>
          <w:rFonts w:cs="Arial"/>
        </w:rPr>
        <w:t>rogram</w:t>
      </w:r>
      <w:r>
        <w:rPr>
          <w:rFonts w:cs="Arial"/>
        </w:rPr>
        <w:t>me</w:t>
      </w:r>
      <w:r w:rsidRPr="00700340">
        <w:rPr>
          <w:rFonts w:cs="Arial"/>
        </w:rPr>
        <w:t xml:space="preserve"> was administered by </w:t>
      </w:r>
      <w:r>
        <w:rPr>
          <w:rFonts w:cs="Arial"/>
        </w:rPr>
        <w:t>AusIndustry (a division of the Department of Industry, Innovation and Science) on behalf of the</w:t>
      </w:r>
      <w:r w:rsidRPr="00700340">
        <w:rPr>
          <w:rFonts w:cs="Arial"/>
        </w:rPr>
        <w:t xml:space="preserve"> AGD and </w:t>
      </w:r>
      <w:r>
        <w:rPr>
          <w:rFonts w:cs="Arial"/>
        </w:rPr>
        <w:t>delivers on</w:t>
      </w:r>
      <w:r w:rsidRPr="00700340">
        <w:rPr>
          <w:rFonts w:cs="Arial"/>
        </w:rPr>
        <w:t xml:space="preserve"> the </w:t>
      </w:r>
      <w:r>
        <w:rPr>
          <w:rFonts w:cs="Arial"/>
        </w:rPr>
        <w:t>government</w:t>
      </w:r>
      <w:r w:rsidR="008972C2">
        <w:rPr>
          <w:rFonts w:cs="Arial"/>
        </w:rPr>
        <w:t>’</w:t>
      </w:r>
      <w:r w:rsidRPr="00700340">
        <w:rPr>
          <w:rFonts w:cs="Arial"/>
        </w:rPr>
        <w:t>s commitment to assist industry with the upfront costs of implementing the mandatory data retention regime</w:t>
      </w:r>
      <w:r>
        <w:rPr>
          <w:rFonts w:cs="Arial"/>
        </w:rPr>
        <w:t>.</w:t>
      </w:r>
      <w:r w:rsidRPr="00700340">
        <w:rPr>
          <w:rFonts w:cs="Arial"/>
        </w:rPr>
        <w:t xml:space="preserve"> The programme consist</w:t>
      </w:r>
      <w:r>
        <w:rPr>
          <w:rFonts w:cs="Arial"/>
        </w:rPr>
        <w:t>ed</w:t>
      </w:r>
      <w:r w:rsidRPr="00700340">
        <w:rPr>
          <w:rFonts w:cs="Arial"/>
        </w:rPr>
        <w:t xml:space="preserve"> of a single funding round </w:t>
      </w:r>
      <w:r w:rsidR="0087141E">
        <w:rPr>
          <w:rFonts w:cs="Arial"/>
        </w:rPr>
        <w:t>of</w:t>
      </w:r>
      <w:r w:rsidRPr="00700340">
        <w:rPr>
          <w:rFonts w:cs="Arial"/>
        </w:rPr>
        <w:t xml:space="preserve"> grants to carriers</w:t>
      </w:r>
      <w:r>
        <w:rPr>
          <w:rFonts w:cs="Arial"/>
        </w:rPr>
        <w:t xml:space="preserve"> and</w:t>
      </w:r>
      <w:r w:rsidRPr="00700340">
        <w:rPr>
          <w:rFonts w:cs="Arial"/>
        </w:rPr>
        <w:t xml:space="preserve"> service providers. </w:t>
      </w:r>
      <w:r w:rsidR="00CD3322" w:rsidRPr="00CD3445">
        <w:rPr>
          <w:rFonts w:cs="Arial"/>
        </w:rPr>
        <w:t xml:space="preserve">Most </w:t>
      </w:r>
      <w:r w:rsidR="00CD3322">
        <w:rPr>
          <w:rFonts w:cs="Arial"/>
        </w:rPr>
        <w:t xml:space="preserve">carriers and service </w:t>
      </w:r>
      <w:r w:rsidR="00CD3322" w:rsidRPr="00CD3445">
        <w:rPr>
          <w:rFonts w:cs="Arial"/>
        </w:rPr>
        <w:t>providers receive</w:t>
      </w:r>
      <w:r w:rsidR="00CD3322">
        <w:rPr>
          <w:rFonts w:cs="Arial"/>
        </w:rPr>
        <w:t>d</w:t>
      </w:r>
      <w:r w:rsidR="00CD3322" w:rsidRPr="00CD3445">
        <w:rPr>
          <w:rFonts w:cs="Arial"/>
        </w:rPr>
        <w:t xml:space="preserve"> a grant of </w:t>
      </w:r>
      <w:r w:rsidR="00CD3322">
        <w:rPr>
          <w:rFonts w:cs="Arial"/>
        </w:rPr>
        <w:t xml:space="preserve">up to </w:t>
      </w:r>
      <w:r w:rsidR="00CD3322" w:rsidRPr="00CD3445">
        <w:rPr>
          <w:rFonts w:cs="Arial"/>
        </w:rPr>
        <w:t>80</w:t>
      </w:r>
      <w:r w:rsidR="00CD3322">
        <w:rPr>
          <w:rFonts w:cs="Arial"/>
        </w:rPr>
        <w:t xml:space="preserve"> per cent </w:t>
      </w:r>
      <w:r w:rsidR="00CD3322" w:rsidRPr="00CD3445">
        <w:rPr>
          <w:rFonts w:cs="Arial"/>
        </w:rPr>
        <w:t>of their implementation costs.</w:t>
      </w:r>
      <w:r w:rsidR="00165DB5">
        <w:rPr>
          <w:rFonts w:cs="Arial"/>
        </w:rPr>
        <w:t xml:space="preserve"> </w:t>
      </w:r>
      <w:r>
        <w:rPr>
          <w:rFonts w:cs="Arial"/>
        </w:rPr>
        <w:t xml:space="preserve">Table 4.4 shows </w:t>
      </w:r>
      <w:r w:rsidR="005A39F1">
        <w:rPr>
          <w:rFonts w:cs="Arial"/>
        </w:rPr>
        <w:t xml:space="preserve">the </w:t>
      </w:r>
      <w:r>
        <w:rPr>
          <w:rFonts w:cs="Arial"/>
        </w:rPr>
        <w:t xml:space="preserve">funding </w:t>
      </w:r>
      <w:r w:rsidR="005A39F1">
        <w:rPr>
          <w:rFonts w:cs="Arial"/>
        </w:rPr>
        <w:t>(GST-inclusive) provided to carriers and service providers during 2016–17</w:t>
      </w:r>
      <w:r>
        <w:rPr>
          <w:rFonts w:cs="Arial"/>
        </w:rPr>
        <w:t xml:space="preserve">. </w:t>
      </w:r>
      <w:r w:rsidR="00165DB5" w:rsidRPr="003F646E">
        <w:rPr>
          <w:iCs/>
        </w:rPr>
        <w:t>The effectiveness of the data retention obligations will be considered by a Parliamentary Joint Committee on Intelligence and Security in 2019.</w:t>
      </w:r>
    </w:p>
    <w:p w14:paraId="7225D87B" w14:textId="77777777" w:rsidR="00D112FD" w:rsidRPr="00EA149D" w:rsidRDefault="00D112FD" w:rsidP="00574669">
      <w:pPr>
        <w:pStyle w:val="ACMAFigureHeader"/>
        <w:ind w:left="1136" w:hanging="1136"/>
      </w:pPr>
      <w:r w:rsidRPr="00EA149D">
        <w:t xml:space="preserve">Table 4.3 </w:t>
      </w:r>
      <w:r>
        <w:tab/>
        <w:t>Reported c</w:t>
      </w:r>
      <w:r w:rsidRPr="00EA149D">
        <w:t xml:space="preserve">ost of complying with the data retention obligations </w:t>
      </w:r>
      <w:r>
        <w:t>and costs recovered from CLEAs</w:t>
      </w:r>
    </w:p>
    <w:tbl>
      <w:tblPr>
        <w:tblStyle w:val="TableGrid"/>
        <w:tblW w:w="8364"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4.3  Anticipated capital costs of complying with the data retention obligations"/>
      </w:tblPr>
      <w:tblGrid>
        <w:gridCol w:w="1442"/>
        <w:gridCol w:w="3821"/>
        <w:gridCol w:w="3101"/>
      </w:tblGrid>
      <w:tr w:rsidR="00D112FD" w:rsidRPr="009573A6" w14:paraId="56D8DE70" w14:textId="77777777" w:rsidTr="00F65D12">
        <w:trPr>
          <w:trHeight w:val="281"/>
          <w:tblHeader/>
        </w:trPr>
        <w:tc>
          <w:tcPr>
            <w:tcW w:w="1442" w:type="dxa"/>
            <w:shd w:val="clear" w:color="auto" w:fill="37897E"/>
            <w:vAlign w:val="center"/>
          </w:tcPr>
          <w:p w14:paraId="30EECA0A" w14:textId="77777777" w:rsidR="00D112FD" w:rsidRPr="004B2379" w:rsidRDefault="00D112FD" w:rsidP="0042565F">
            <w:pPr>
              <w:pStyle w:val="TableBody"/>
              <w:keepNext/>
              <w:keepLines/>
              <w:rPr>
                <w:b/>
                <w:color w:val="FFFFFF" w:themeColor="background1"/>
                <w:sz w:val="18"/>
                <w:szCs w:val="18"/>
              </w:rPr>
            </w:pPr>
            <w:r w:rsidRPr="004B2379">
              <w:rPr>
                <w:b/>
                <w:color w:val="FFFFFF" w:themeColor="background1"/>
                <w:sz w:val="18"/>
                <w:szCs w:val="18"/>
              </w:rPr>
              <w:t xml:space="preserve">Financial year </w:t>
            </w:r>
          </w:p>
        </w:tc>
        <w:tc>
          <w:tcPr>
            <w:tcW w:w="3821" w:type="dxa"/>
            <w:shd w:val="clear" w:color="auto" w:fill="37897E"/>
            <w:vAlign w:val="center"/>
          </w:tcPr>
          <w:p w14:paraId="7C5AEBF0" w14:textId="7BCD0ECA" w:rsidR="00D112FD" w:rsidRPr="00345792" w:rsidRDefault="00345792" w:rsidP="00345792">
            <w:pPr>
              <w:pStyle w:val="TableBody"/>
              <w:keepNext/>
              <w:keepLines/>
              <w:jc w:val="right"/>
              <w:rPr>
                <w:b/>
                <w:color w:val="FFFFFF" w:themeColor="background1"/>
                <w:sz w:val="18"/>
                <w:szCs w:val="20"/>
              </w:rPr>
            </w:pPr>
            <w:r>
              <w:rPr>
                <w:b/>
                <w:color w:val="FFFFFF" w:themeColor="background1"/>
                <w:sz w:val="18"/>
                <w:szCs w:val="20"/>
              </w:rPr>
              <w:t xml:space="preserve">Data retention compliance cost </w:t>
            </w:r>
            <w:r w:rsidR="00D112FD" w:rsidRPr="003E4B58">
              <w:rPr>
                <w:b/>
                <w:color w:val="FFFFFF" w:themeColor="background1"/>
                <w:sz w:val="18"/>
                <w:szCs w:val="20"/>
              </w:rPr>
              <w:t>(exclu</w:t>
            </w:r>
            <w:r>
              <w:rPr>
                <w:b/>
                <w:color w:val="FFFFFF" w:themeColor="background1"/>
                <w:sz w:val="18"/>
                <w:szCs w:val="20"/>
              </w:rPr>
              <w:t xml:space="preserve">sive of data retention industry </w:t>
            </w:r>
            <w:r w:rsidR="00D112FD" w:rsidRPr="003E4B58">
              <w:rPr>
                <w:b/>
                <w:color w:val="FFFFFF" w:themeColor="background1"/>
                <w:sz w:val="18"/>
                <w:szCs w:val="20"/>
              </w:rPr>
              <w:t>grants)</w:t>
            </w:r>
          </w:p>
        </w:tc>
        <w:tc>
          <w:tcPr>
            <w:tcW w:w="3101" w:type="dxa"/>
            <w:shd w:val="clear" w:color="auto" w:fill="37897E"/>
            <w:vAlign w:val="center"/>
          </w:tcPr>
          <w:p w14:paraId="471A4BC0" w14:textId="77777777" w:rsidR="00D112FD" w:rsidRPr="00204F94" w:rsidRDefault="00D112FD" w:rsidP="0042565F">
            <w:pPr>
              <w:pStyle w:val="TableBody"/>
              <w:keepNext/>
              <w:keepLines/>
              <w:jc w:val="right"/>
              <w:rPr>
                <w:b/>
                <w:color w:val="FFFFFF" w:themeColor="background1"/>
                <w:sz w:val="18"/>
                <w:szCs w:val="18"/>
              </w:rPr>
            </w:pPr>
            <w:r w:rsidRPr="00204F94">
              <w:rPr>
                <w:b/>
                <w:color w:val="FFFFFF" w:themeColor="background1"/>
                <w:sz w:val="18"/>
                <w:szCs w:val="18"/>
              </w:rPr>
              <w:t xml:space="preserve">Costs recovered from CLEAs </w:t>
            </w:r>
          </w:p>
        </w:tc>
      </w:tr>
      <w:tr w:rsidR="00D112FD" w:rsidRPr="00DC07BC" w14:paraId="020F1A3E" w14:textId="77777777" w:rsidTr="00F65D12">
        <w:trPr>
          <w:trHeight w:val="23"/>
        </w:trPr>
        <w:tc>
          <w:tcPr>
            <w:tcW w:w="1442" w:type="dxa"/>
            <w:shd w:val="clear" w:color="auto" w:fill="FFFFFF" w:themeFill="background1"/>
            <w:vAlign w:val="center"/>
          </w:tcPr>
          <w:p w14:paraId="58DA58C9" w14:textId="77777777" w:rsidR="00D112FD" w:rsidRPr="003E4B58" w:rsidRDefault="00D112FD" w:rsidP="0042565F">
            <w:pPr>
              <w:pStyle w:val="ACMATableText"/>
              <w:keepNext/>
              <w:keepLines/>
              <w:spacing w:before="0" w:after="0"/>
              <w:rPr>
                <w:sz w:val="18"/>
                <w:szCs w:val="18"/>
              </w:rPr>
            </w:pPr>
            <w:r w:rsidRPr="004B2379">
              <w:rPr>
                <w:sz w:val="18"/>
                <w:szCs w:val="18"/>
              </w:rPr>
              <w:t>2014</w:t>
            </w:r>
            <w:r w:rsidRPr="004B2379">
              <w:rPr>
                <w:rFonts w:cs="Arial"/>
                <w:sz w:val="18"/>
                <w:szCs w:val="18"/>
              </w:rPr>
              <w:t>–</w:t>
            </w:r>
            <w:r w:rsidRPr="003E4B58">
              <w:rPr>
                <w:sz w:val="18"/>
                <w:szCs w:val="18"/>
              </w:rPr>
              <w:t>15</w:t>
            </w:r>
          </w:p>
        </w:tc>
        <w:tc>
          <w:tcPr>
            <w:tcW w:w="3821" w:type="dxa"/>
            <w:shd w:val="clear" w:color="auto" w:fill="FFFFFF" w:themeFill="background1"/>
            <w:vAlign w:val="center"/>
          </w:tcPr>
          <w:p w14:paraId="4B8CF8A7" w14:textId="77777777" w:rsidR="00D112FD" w:rsidRPr="00F10D39" w:rsidRDefault="00D112FD" w:rsidP="0042565F">
            <w:pPr>
              <w:pStyle w:val="ACMATableText"/>
              <w:keepNext/>
              <w:keepLines/>
              <w:spacing w:before="0" w:after="0"/>
              <w:jc w:val="right"/>
              <w:rPr>
                <w:sz w:val="18"/>
                <w:szCs w:val="18"/>
              </w:rPr>
            </w:pPr>
            <w:r w:rsidRPr="00F10D39">
              <w:rPr>
                <w:sz w:val="18"/>
                <w:szCs w:val="18"/>
              </w:rPr>
              <w:t>$11,972,288.15</w:t>
            </w:r>
          </w:p>
        </w:tc>
        <w:tc>
          <w:tcPr>
            <w:tcW w:w="3101" w:type="dxa"/>
            <w:shd w:val="clear" w:color="auto" w:fill="FFFFFF" w:themeFill="background1"/>
            <w:vAlign w:val="center"/>
          </w:tcPr>
          <w:p w14:paraId="7A2BEC24" w14:textId="77777777" w:rsidR="00D112FD" w:rsidRPr="00204F94" w:rsidRDefault="00D112FD" w:rsidP="0042565F">
            <w:pPr>
              <w:pStyle w:val="ACMATableText"/>
              <w:keepNext/>
              <w:keepLines/>
              <w:spacing w:before="0" w:after="0"/>
              <w:jc w:val="right"/>
              <w:rPr>
                <w:sz w:val="18"/>
                <w:szCs w:val="18"/>
              </w:rPr>
            </w:pPr>
            <w:r w:rsidRPr="00204F94">
              <w:rPr>
                <w:sz w:val="18"/>
                <w:szCs w:val="18"/>
              </w:rPr>
              <w:t>$7,316,341.41</w:t>
            </w:r>
          </w:p>
        </w:tc>
      </w:tr>
      <w:tr w:rsidR="00D112FD" w:rsidRPr="00D770DE" w14:paraId="09C2264C" w14:textId="77777777" w:rsidTr="00F65D12">
        <w:trPr>
          <w:trHeight w:val="23"/>
        </w:trPr>
        <w:tc>
          <w:tcPr>
            <w:tcW w:w="1442" w:type="dxa"/>
            <w:shd w:val="clear" w:color="auto" w:fill="FFFFFF" w:themeFill="background1"/>
            <w:vAlign w:val="center"/>
          </w:tcPr>
          <w:p w14:paraId="186E6510" w14:textId="77777777" w:rsidR="00D112FD" w:rsidRPr="003E4B58" w:rsidRDefault="00D112FD" w:rsidP="0042565F">
            <w:pPr>
              <w:pStyle w:val="ACMATableText"/>
              <w:keepNext/>
              <w:keepLines/>
              <w:spacing w:before="0" w:after="0"/>
              <w:rPr>
                <w:sz w:val="18"/>
                <w:szCs w:val="18"/>
              </w:rPr>
            </w:pPr>
            <w:r w:rsidRPr="004B2379">
              <w:rPr>
                <w:sz w:val="18"/>
                <w:szCs w:val="18"/>
              </w:rPr>
              <w:t>2015</w:t>
            </w:r>
            <w:r w:rsidRPr="004B2379">
              <w:rPr>
                <w:rFonts w:cs="Arial"/>
                <w:sz w:val="18"/>
                <w:szCs w:val="18"/>
              </w:rPr>
              <w:t>–</w:t>
            </w:r>
            <w:r w:rsidRPr="003E4B58">
              <w:rPr>
                <w:sz w:val="18"/>
                <w:szCs w:val="18"/>
              </w:rPr>
              <w:t>16</w:t>
            </w:r>
          </w:p>
        </w:tc>
        <w:tc>
          <w:tcPr>
            <w:tcW w:w="3821" w:type="dxa"/>
            <w:shd w:val="clear" w:color="auto" w:fill="FFFFFF" w:themeFill="background1"/>
            <w:vAlign w:val="center"/>
          </w:tcPr>
          <w:p w14:paraId="5E27D48E" w14:textId="77777777" w:rsidR="00D112FD" w:rsidRPr="00F10D39" w:rsidRDefault="00D112FD" w:rsidP="0042565F">
            <w:pPr>
              <w:pStyle w:val="ACMATableText"/>
              <w:keepNext/>
              <w:keepLines/>
              <w:spacing w:before="0" w:after="0"/>
              <w:jc w:val="right"/>
              <w:rPr>
                <w:sz w:val="18"/>
                <w:szCs w:val="18"/>
              </w:rPr>
            </w:pPr>
            <w:r w:rsidRPr="00F10D39">
              <w:rPr>
                <w:sz w:val="18"/>
                <w:szCs w:val="18"/>
              </w:rPr>
              <w:t>$44,426,132.06</w:t>
            </w:r>
          </w:p>
        </w:tc>
        <w:tc>
          <w:tcPr>
            <w:tcW w:w="3101" w:type="dxa"/>
            <w:shd w:val="clear" w:color="auto" w:fill="FFFFFF" w:themeFill="background1"/>
            <w:vAlign w:val="center"/>
          </w:tcPr>
          <w:p w14:paraId="39122FD7" w14:textId="77777777" w:rsidR="00D112FD" w:rsidRPr="00204F94" w:rsidRDefault="00D112FD" w:rsidP="0042565F">
            <w:pPr>
              <w:pStyle w:val="ACMATableText"/>
              <w:keepNext/>
              <w:keepLines/>
              <w:spacing w:before="0" w:after="0"/>
              <w:jc w:val="right"/>
              <w:rPr>
                <w:sz w:val="18"/>
                <w:szCs w:val="18"/>
              </w:rPr>
            </w:pPr>
            <w:r w:rsidRPr="00204F94">
              <w:rPr>
                <w:sz w:val="18"/>
                <w:szCs w:val="18"/>
              </w:rPr>
              <w:t>$9,412,132.06</w:t>
            </w:r>
          </w:p>
        </w:tc>
      </w:tr>
      <w:tr w:rsidR="00D112FD" w:rsidRPr="00D770DE" w14:paraId="7343DAC7" w14:textId="77777777" w:rsidTr="00F65D12">
        <w:trPr>
          <w:trHeight w:val="66"/>
        </w:trPr>
        <w:tc>
          <w:tcPr>
            <w:tcW w:w="1442" w:type="dxa"/>
            <w:shd w:val="clear" w:color="auto" w:fill="FFFFFF" w:themeFill="background1"/>
            <w:vAlign w:val="center"/>
          </w:tcPr>
          <w:p w14:paraId="7843E741" w14:textId="77777777" w:rsidR="00D112FD" w:rsidRPr="003E4B58" w:rsidRDefault="00D112FD" w:rsidP="0042565F">
            <w:pPr>
              <w:pStyle w:val="ACMATableText"/>
              <w:keepNext/>
              <w:keepLines/>
              <w:spacing w:before="0" w:after="0"/>
              <w:rPr>
                <w:sz w:val="18"/>
                <w:szCs w:val="18"/>
              </w:rPr>
            </w:pPr>
            <w:r w:rsidRPr="004B2379">
              <w:rPr>
                <w:sz w:val="18"/>
                <w:szCs w:val="18"/>
              </w:rPr>
              <w:t>2016</w:t>
            </w:r>
            <w:r w:rsidRPr="004B2379">
              <w:rPr>
                <w:rFonts w:cs="Arial"/>
                <w:sz w:val="18"/>
                <w:szCs w:val="18"/>
              </w:rPr>
              <w:t>–</w:t>
            </w:r>
            <w:r w:rsidRPr="003E4B58">
              <w:rPr>
                <w:sz w:val="18"/>
                <w:szCs w:val="18"/>
              </w:rPr>
              <w:t>17</w:t>
            </w:r>
          </w:p>
        </w:tc>
        <w:tc>
          <w:tcPr>
            <w:tcW w:w="3821" w:type="dxa"/>
            <w:shd w:val="clear" w:color="auto" w:fill="FFFFFF" w:themeFill="background1"/>
            <w:vAlign w:val="center"/>
          </w:tcPr>
          <w:p w14:paraId="600BAAE9" w14:textId="77777777" w:rsidR="00D112FD" w:rsidRPr="00F10D39" w:rsidRDefault="00D112FD" w:rsidP="0042565F">
            <w:pPr>
              <w:pStyle w:val="ACMATableText"/>
              <w:keepNext/>
              <w:keepLines/>
              <w:spacing w:before="0" w:after="0"/>
              <w:jc w:val="right"/>
              <w:rPr>
                <w:sz w:val="18"/>
                <w:szCs w:val="18"/>
              </w:rPr>
            </w:pPr>
            <w:r w:rsidRPr="00F10D39">
              <w:rPr>
                <w:sz w:val="18"/>
                <w:szCs w:val="18"/>
              </w:rPr>
              <w:t>$119,793,739.83</w:t>
            </w:r>
          </w:p>
        </w:tc>
        <w:tc>
          <w:tcPr>
            <w:tcW w:w="3101" w:type="dxa"/>
            <w:shd w:val="clear" w:color="auto" w:fill="FFFFFF" w:themeFill="background1"/>
            <w:vAlign w:val="center"/>
          </w:tcPr>
          <w:p w14:paraId="3AA8A80D" w14:textId="77777777" w:rsidR="00D112FD" w:rsidRPr="00204F94" w:rsidRDefault="00D112FD" w:rsidP="0042565F">
            <w:pPr>
              <w:pStyle w:val="ACMATableText"/>
              <w:keepNext/>
              <w:keepLines/>
              <w:spacing w:before="0" w:after="0"/>
              <w:jc w:val="right"/>
              <w:rPr>
                <w:sz w:val="18"/>
                <w:szCs w:val="18"/>
              </w:rPr>
            </w:pPr>
            <w:r w:rsidRPr="00204F94">
              <w:rPr>
                <w:sz w:val="18"/>
                <w:szCs w:val="18"/>
              </w:rPr>
              <w:t>$9,829,783.17</w:t>
            </w:r>
          </w:p>
        </w:tc>
      </w:tr>
      <w:tr w:rsidR="00D112FD" w:rsidRPr="00D770DE" w14:paraId="73A705C6" w14:textId="77777777" w:rsidTr="00F65D12">
        <w:trPr>
          <w:trHeight w:val="114"/>
        </w:trPr>
        <w:tc>
          <w:tcPr>
            <w:tcW w:w="1442" w:type="dxa"/>
            <w:shd w:val="clear" w:color="auto" w:fill="F2F2F2" w:themeFill="background1" w:themeFillShade="F2"/>
            <w:vAlign w:val="center"/>
          </w:tcPr>
          <w:p w14:paraId="0D2CFF41" w14:textId="77777777" w:rsidR="00D112FD" w:rsidRPr="004B2379" w:rsidRDefault="00D112FD" w:rsidP="0042565F">
            <w:pPr>
              <w:pStyle w:val="ACMATableText"/>
              <w:keepNext/>
              <w:keepLines/>
              <w:spacing w:before="0" w:after="0"/>
              <w:rPr>
                <w:b/>
                <w:sz w:val="18"/>
                <w:szCs w:val="18"/>
              </w:rPr>
            </w:pPr>
            <w:r w:rsidRPr="004B2379">
              <w:rPr>
                <w:b/>
                <w:sz w:val="18"/>
                <w:szCs w:val="18"/>
              </w:rPr>
              <w:t>Total</w:t>
            </w:r>
          </w:p>
        </w:tc>
        <w:tc>
          <w:tcPr>
            <w:tcW w:w="3821" w:type="dxa"/>
            <w:shd w:val="clear" w:color="auto" w:fill="F2F2F2" w:themeFill="background1" w:themeFillShade="F2"/>
            <w:vAlign w:val="center"/>
          </w:tcPr>
          <w:p w14:paraId="124916F0" w14:textId="77777777" w:rsidR="00D112FD" w:rsidRPr="003E4B58" w:rsidRDefault="00D112FD" w:rsidP="0042565F">
            <w:pPr>
              <w:pStyle w:val="ACMATableText"/>
              <w:keepNext/>
              <w:keepLines/>
              <w:spacing w:before="0" w:after="0"/>
              <w:jc w:val="right"/>
              <w:rPr>
                <w:b/>
                <w:sz w:val="18"/>
                <w:szCs w:val="18"/>
              </w:rPr>
            </w:pPr>
            <w:r w:rsidRPr="004B2379">
              <w:rPr>
                <w:b/>
                <w:sz w:val="18"/>
                <w:szCs w:val="18"/>
              </w:rPr>
              <w:t>$176,192,834.</w:t>
            </w:r>
            <w:r w:rsidRPr="003E4B58">
              <w:rPr>
                <w:b/>
                <w:sz w:val="18"/>
                <w:szCs w:val="18"/>
              </w:rPr>
              <w:t>17</w:t>
            </w:r>
          </w:p>
        </w:tc>
        <w:tc>
          <w:tcPr>
            <w:tcW w:w="3101" w:type="dxa"/>
            <w:shd w:val="clear" w:color="auto" w:fill="F2F2F2" w:themeFill="background1" w:themeFillShade="F2"/>
            <w:vAlign w:val="center"/>
          </w:tcPr>
          <w:p w14:paraId="1901C31E" w14:textId="77777777" w:rsidR="00D112FD" w:rsidRPr="00F10D39" w:rsidRDefault="00D112FD" w:rsidP="0042565F">
            <w:pPr>
              <w:pStyle w:val="ACMATableText"/>
              <w:keepNext/>
              <w:keepLines/>
              <w:spacing w:before="0" w:after="0"/>
              <w:jc w:val="right"/>
              <w:rPr>
                <w:b/>
                <w:sz w:val="18"/>
                <w:szCs w:val="18"/>
              </w:rPr>
            </w:pPr>
            <w:r w:rsidRPr="00F10D39">
              <w:rPr>
                <w:b/>
                <w:sz w:val="18"/>
                <w:szCs w:val="18"/>
              </w:rPr>
              <w:t>$26,558,256.64</w:t>
            </w:r>
          </w:p>
        </w:tc>
      </w:tr>
    </w:tbl>
    <w:p w14:paraId="69957FC1" w14:textId="4CFA6858" w:rsidR="00D112FD" w:rsidRPr="00FB6FC9" w:rsidRDefault="00D112FD" w:rsidP="007A2A5F">
      <w:pPr>
        <w:pStyle w:val="ACMANotes"/>
        <w:keepNext/>
        <w:keepLines/>
        <w:spacing w:before="120"/>
        <w:rPr>
          <w:i w:val="0"/>
        </w:rPr>
      </w:pPr>
      <w:r w:rsidRPr="008803DB">
        <w:t>Note</w:t>
      </w:r>
      <w:r w:rsidR="007D0C9E">
        <w:t xml:space="preserve"> 1</w:t>
      </w:r>
      <w:r w:rsidRPr="008803DB">
        <w:t>:</w:t>
      </w:r>
      <w:r w:rsidRPr="00EA149D">
        <w:t xml:space="preserve"> The data represents the </w:t>
      </w:r>
      <w:r>
        <w:t>administrative and substantive compliance costs reported to the ACMA by approximately 400</w:t>
      </w:r>
      <w:r w:rsidR="008972C2">
        <w:t> </w:t>
      </w:r>
      <w:r>
        <w:t xml:space="preserve">carriers and service providers. </w:t>
      </w:r>
    </w:p>
    <w:p w14:paraId="2752EEA6" w14:textId="4964E8A4" w:rsidR="00D112FD" w:rsidRPr="00FB6FC9" w:rsidRDefault="007D0C9E" w:rsidP="00D112FD">
      <w:pPr>
        <w:pStyle w:val="ACMANotes"/>
        <w:keepNext/>
        <w:keepLines/>
      </w:pPr>
      <w:r>
        <w:t xml:space="preserve">Note 2: </w:t>
      </w:r>
      <w:r w:rsidR="00D112FD" w:rsidRPr="00FB6FC9">
        <w:t xml:space="preserve">The data retention obligations came into effect in October 2015. However, the </w:t>
      </w:r>
      <w:r w:rsidR="00D112FD">
        <w:t>ACMA is reporting from October 2014 to June</w:t>
      </w:r>
      <w:r w:rsidR="00A74165">
        <w:t> </w:t>
      </w:r>
      <w:r w:rsidR="00D112FD">
        <w:t xml:space="preserve">2017 as the </w:t>
      </w:r>
      <w:r w:rsidR="00D112FD" w:rsidRPr="00FB6FC9">
        <w:t>Data Retention Industry Grants Programme Guidelines allowed carriers and service providers to submit direct (establishment) costs associated with meeting their obligations</w:t>
      </w:r>
      <w:r w:rsidR="008972C2">
        <w:t xml:space="preserve"> that</w:t>
      </w:r>
      <w:r w:rsidR="00D112FD" w:rsidRPr="00FB6FC9">
        <w:t xml:space="preserve"> they had incurred (or would incur) from 30 October 2014 onwards.</w:t>
      </w:r>
      <w:r w:rsidR="00D112FD">
        <w:t xml:space="preserve"> </w:t>
      </w:r>
    </w:p>
    <w:p w14:paraId="339A207C" w14:textId="77777777" w:rsidR="00D112FD" w:rsidRPr="001614D9" w:rsidRDefault="00D112FD" w:rsidP="00345792">
      <w:pPr>
        <w:pStyle w:val="ACMANotesspaceafter"/>
        <w:spacing w:after="360"/>
      </w:pPr>
      <w:r w:rsidRPr="00EA149D">
        <w:t xml:space="preserve">Source: </w:t>
      </w:r>
      <w:r>
        <w:t xml:space="preserve">Carriers and service providers. </w:t>
      </w:r>
    </w:p>
    <w:p w14:paraId="3ADD0825" w14:textId="77777777" w:rsidR="00D112FD" w:rsidRPr="00E615BD" w:rsidRDefault="00D112FD" w:rsidP="00574669">
      <w:pPr>
        <w:pStyle w:val="ACMAFigureHeader"/>
        <w:keepNext/>
        <w:keepLines/>
        <w:rPr>
          <w:i/>
        </w:rPr>
      </w:pPr>
      <w:r w:rsidRPr="00E615BD">
        <w:t>Table 4.</w:t>
      </w:r>
      <w:r>
        <w:t>4</w:t>
      </w:r>
      <w:r w:rsidRPr="00E615BD">
        <w:t xml:space="preserve"> </w:t>
      </w:r>
      <w:r>
        <w:tab/>
      </w:r>
      <w:r w:rsidRPr="00E615BD">
        <w:t>Funding provided under the Data Retention Industry Grants Programme</w:t>
      </w:r>
    </w:p>
    <w:tbl>
      <w:tblPr>
        <w:tblStyle w:val="TableGrid"/>
        <w:tblW w:w="835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4.4  Funding provided under the Data Retention Industry Grants Programme"/>
      </w:tblPr>
      <w:tblGrid>
        <w:gridCol w:w="2122"/>
        <w:gridCol w:w="2976"/>
        <w:gridCol w:w="3261"/>
      </w:tblGrid>
      <w:tr w:rsidR="00D112FD" w:rsidRPr="0004648F" w14:paraId="611F13D0" w14:textId="77777777" w:rsidTr="00015FAC">
        <w:trPr>
          <w:tblHeader/>
        </w:trPr>
        <w:tc>
          <w:tcPr>
            <w:tcW w:w="2122" w:type="dxa"/>
            <w:shd w:val="clear" w:color="auto" w:fill="37897E"/>
            <w:vAlign w:val="center"/>
          </w:tcPr>
          <w:p w14:paraId="4C8E37C7" w14:textId="77777777" w:rsidR="00D112FD" w:rsidRPr="00BB14FC" w:rsidRDefault="00D112FD" w:rsidP="00345792">
            <w:pPr>
              <w:pStyle w:val="TableBody"/>
              <w:keepNext/>
              <w:keepLines/>
              <w:rPr>
                <w:b/>
                <w:i/>
                <w:color w:val="FFFFFF" w:themeColor="background1"/>
                <w:sz w:val="18"/>
                <w:szCs w:val="20"/>
              </w:rPr>
            </w:pPr>
            <w:r w:rsidRPr="00BB14FC">
              <w:rPr>
                <w:b/>
                <w:color w:val="FFFFFF" w:themeColor="background1"/>
                <w:sz w:val="18"/>
                <w:szCs w:val="20"/>
              </w:rPr>
              <w:t>Funding round</w:t>
            </w:r>
          </w:p>
        </w:tc>
        <w:tc>
          <w:tcPr>
            <w:tcW w:w="2976" w:type="dxa"/>
            <w:shd w:val="clear" w:color="auto" w:fill="37897E"/>
            <w:vAlign w:val="center"/>
          </w:tcPr>
          <w:p w14:paraId="06FE99F3" w14:textId="77777777" w:rsidR="00D112FD" w:rsidRPr="00BB14FC" w:rsidRDefault="00D112FD" w:rsidP="00345792">
            <w:pPr>
              <w:pStyle w:val="TableBody"/>
              <w:keepNext/>
              <w:keepLines/>
              <w:jc w:val="right"/>
              <w:rPr>
                <w:b/>
                <w:i/>
                <w:color w:val="FFFFFF" w:themeColor="background1"/>
                <w:sz w:val="18"/>
                <w:szCs w:val="20"/>
              </w:rPr>
            </w:pPr>
            <w:r w:rsidRPr="00BB14FC">
              <w:rPr>
                <w:b/>
                <w:color w:val="FFFFFF" w:themeColor="background1"/>
                <w:sz w:val="18"/>
                <w:szCs w:val="20"/>
              </w:rPr>
              <w:t>Number of recipients</w:t>
            </w:r>
          </w:p>
        </w:tc>
        <w:tc>
          <w:tcPr>
            <w:tcW w:w="3261" w:type="dxa"/>
            <w:shd w:val="clear" w:color="auto" w:fill="37897E"/>
            <w:vAlign w:val="center"/>
          </w:tcPr>
          <w:p w14:paraId="7064ABC8" w14:textId="77777777" w:rsidR="00D112FD" w:rsidRPr="00BB14FC" w:rsidRDefault="00D112FD" w:rsidP="00345792">
            <w:pPr>
              <w:pStyle w:val="TableBody"/>
              <w:keepNext/>
              <w:keepLines/>
              <w:jc w:val="right"/>
              <w:rPr>
                <w:b/>
                <w:i/>
                <w:color w:val="FFFFFF" w:themeColor="background1"/>
                <w:sz w:val="18"/>
                <w:szCs w:val="20"/>
              </w:rPr>
            </w:pPr>
            <w:r w:rsidRPr="00BB14FC">
              <w:rPr>
                <w:b/>
                <w:color w:val="FFFFFF" w:themeColor="background1"/>
                <w:sz w:val="18"/>
                <w:szCs w:val="20"/>
              </w:rPr>
              <w:t>Total grants fund</w:t>
            </w:r>
            <w:r w:rsidRPr="00BB14FC">
              <w:rPr>
                <w:b/>
                <w:color w:val="FFFFFF" w:themeColor="background1"/>
                <w:sz w:val="18"/>
                <w:szCs w:val="20"/>
                <w:lang w:eastAsia="en-US"/>
              </w:rPr>
              <w:t>ed</w:t>
            </w:r>
          </w:p>
        </w:tc>
      </w:tr>
      <w:tr w:rsidR="00D112FD" w:rsidRPr="0004648F" w14:paraId="142F3DF9" w14:textId="77777777" w:rsidTr="00F65D12">
        <w:tc>
          <w:tcPr>
            <w:tcW w:w="2122" w:type="dxa"/>
            <w:vAlign w:val="center"/>
          </w:tcPr>
          <w:p w14:paraId="0047EBA8" w14:textId="77777777" w:rsidR="00D112FD" w:rsidRPr="009972F2" w:rsidRDefault="00D112FD" w:rsidP="00345792">
            <w:pPr>
              <w:pStyle w:val="ACMANotesspaceafter"/>
              <w:keepNext/>
              <w:keepLines/>
              <w:spacing w:before="0" w:after="0"/>
              <w:rPr>
                <w:rFonts w:cs="Times New Roman"/>
                <w:i w:val="0"/>
                <w:sz w:val="18"/>
                <w:szCs w:val="20"/>
                <w:lang w:eastAsia="en-US"/>
              </w:rPr>
            </w:pPr>
            <w:r w:rsidRPr="001D0E67">
              <w:rPr>
                <w:rFonts w:cs="Times New Roman"/>
                <w:i w:val="0"/>
                <w:sz w:val="18"/>
                <w:szCs w:val="20"/>
                <w:lang w:eastAsia="en-US"/>
              </w:rPr>
              <w:t>2016</w:t>
            </w:r>
            <w:r w:rsidR="008972C2" w:rsidRPr="001D0E67">
              <w:rPr>
                <w:rFonts w:cs="Times New Roman"/>
                <w:i w:val="0"/>
                <w:sz w:val="18"/>
                <w:szCs w:val="20"/>
                <w:lang w:eastAsia="en-US"/>
              </w:rPr>
              <w:t>–</w:t>
            </w:r>
            <w:r w:rsidRPr="009972F2">
              <w:rPr>
                <w:rFonts w:cs="Times New Roman"/>
                <w:i w:val="0"/>
                <w:sz w:val="18"/>
                <w:szCs w:val="20"/>
                <w:lang w:eastAsia="en-US"/>
              </w:rPr>
              <w:t>17</w:t>
            </w:r>
          </w:p>
        </w:tc>
        <w:tc>
          <w:tcPr>
            <w:tcW w:w="2976" w:type="dxa"/>
            <w:vAlign w:val="center"/>
          </w:tcPr>
          <w:p w14:paraId="62283E62" w14:textId="77777777" w:rsidR="00D112FD" w:rsidRPr="00620259" w:rsidRDefault="00D112FD" w:rsidP="00345792">
            <w:pPr>
              <w:pStyle w:val="ACMANotesspaceafter"/>
              <w:keepNext/>
              <w:keepLines/>
              <w:spacing w:before="0" w:after="0"/>
              <w:jc w:val="right"/>
              <w:rPr>
                <w:rFonts w:cs="Times New Roman"/>
                <w:i w:val="0"/>
                <w:sz w:val="18"/>
                <w:szCs w:val="20"/>
                <w:lang w:eastAsia="en-US"/>
              </w:rPr>
            </w:pPr>
            <w:r w:rsidRPr="00620259">
              <w:rPr>
                <w:rFonts w:cs="Times New Roman"/>
                <w:i w:val="0"/>
                <w:sz w:val="18"/>
                <w:szCs w:val="20"/>
                <w:lang w:eastAsia="en-US"/>
              </w:rPr>
              <w:t>174</w:t>
            </w:r>
          </w:p>
        </w:tc>
        <w:tc>
          <w:tcPr>
            <w:tcW w:w="3261" w:type="dxa"/>
            <w:vAlign w:val="center"/>
          </w:tcPr>
          <w:p w14:paraId="3CEE11D7" w14:textId="77777777" w:rsidR="00D112FD" w:rsidRPr="00620259" w:rsidRDefault="00D112FD" w:rsidP="00345792">
            <w:pPr>
              <w:pStyle w:val="ACMANotesspaceafter"/>
              <w:keepNext/>
              <w:keepLines/>
              <w:spacing w:before="0" w:after="0"/>
              <w:jc w:val="right"/>
              <w:rPr>
                <w:rFonts w:cs="Times New Roman"/>
                <w:i w:val="0"/>
                <w:sz w:val="18"/>
                <w:szCs w:val="20"/>
                <w:lang w:eastAsia="en-US"/>
              </w:rPr>
            </w:pPr>
            <w:r w:rsidRPr="00620259">
              <w:rPr>
                <w:rFonts w:cs="Times New Roman"/>
                <w:i w:val="0"/>
                <w:sz w:val="18"/>
                <w:szCs w:val="20"/>
                <w:lang w:eastAsia="en-US"/>
              </w:rPr>
              <w:t>$131,593,265,57</w:t>
            </w:r>
          </w:p>
        </w:tc>
      </w:tr>
    </w:tbl>
    <w:p w14:paraId="73693D44" w14:textId="77777777" w:rsidR="00CD3322" w:rsidRDefault="00CD3322" w:rsidP="00345792">
      <w:pPr>
        <w:pStyle w:val="ACMANotes"/>
        <w:keepNext/>
        <w:keepLines/>
        <w:spacing w:before="120"/>
      </w:pPr>
      <w:r>
        <w:t xml:space="preserve">Note: </w:t>
      </w:r>
      <w:r w:rsidRPr="00CD3445">
        <w:t xml:space="preserve">Most </w:t>
      </w:r>
      <w:r>
        <w:t xml:space="preserve">carriers/service </w:t>
      </w:r>
      <w:r w:rsidRPr="00CD3445">
        <w:t>providers receive</w:t>
      </w:r>
      <w:r>
        <w:t>d</w:t>
      </w:r>
      <w:r w:rsidRPr="00CD3445">
        <w:t xml:space="preserve"> a grant of </w:t>
      </w:r>
      <w:r>
        <w:t xml:space="preserve">up to </w:t>
      </w:r>
      <w:r w:rsidRPr="00CD3445">
        <w:t>80</w:t>
      </w:r>
      <w:r>
        <w:t xml:space="preserve"> per cent </w:t>
      </w:r>
      <w:r w:rsidRPr="00CD3445">
        <w:t>of their implementation costs.</w:t>
      </w:r>
    </w:p>
    <w:p w14:paraId="2760424E" w14:textId="77777777" w:rsidR="003843A9" w:rsidRDefault="003843A9" w:rsidP="00345792">
      <w:pPr>
        <w:pStyle w:val="ACMANotesspaceafter"/>
        <w:keepNext/>
        <w:keepLines/>
        <w:spacing w:after="360"/>
      </w:pPr>
      <w:r w:rsidRPr="00EA149D">
        <w:t xml:space="preserve">Source: </w:t>
      </w:r>
      <w:r>
        <w:t xml:space="preserve">AGD provided reports from AusIndustry </w:t>
      </w:r>
      <w:r w:rsidR="008972C2">
        <w:t>on</w:t>
      </w:r>
      <w:r>
        <w:t xml:space="preserve"> the funding of grants.</w:t>
      </w:r>
    </w:p>
    <w:p w14:paraId="32DC73B1" w14:textId="77777777" w:rsidR="003843A9" w:rsidRPr="00700340" w:rsidRDefault="003843A9" w:rsidP="00BB14FC">
      <w:pPr>
        <w:pStyle w:val="Heading3"/>
      </w:pPr>
      <w:r w:rsidRPr="00700340">
        <w:t>Compliance and enforcement</w:t>
      </w:r>
    </w:p>
    <w:p w14:paraId="4E4F2078" w14:textId="77777777" w:rsidR="001C3441" w:rsidRPr="009817BB" w:rsidRDefault="003843A9" w:rsidP="00BB14FC">
      <w:pPr>
        <w:rPr>
          <w:rFonts w:cs="Arial"/>
        </w:rPr>
      </w:pPr>
      <w:r w:rsidRPr="00797A8A">
        <w:t>In 2016–17</w:t>
      </w:r>
      <w:r w:rsidRPr="008432FB">
        <w:rPr>
          <w:rFonts w:cs="Arial"/>
        </w:rPr>
        <w:t>, the AGD referred three</w:t>
      </w:r>
      <w:r w:rsidRPr="00666715">
        <w:rPr>
          <w:rFonts w:cs="Arial"/>
        </w:rPr>
        <w:t xml:space="preserve"> </w:t>
      </w:r>
      <w:r>
        <w:rPr>
          <w:rFonts w:cs="Arial"/>
        </w:rPr>
        <w:t>service providers</w:t>
      </w:r>
      <w:r w:rsidRPr="00666715">
        <w:rPr>
          <w:rFonts w:cs="Arial"/>
        </w:rPr>
        <w:t xml:space="preserve"> to the ACMA for </w:t>
      </w:r>
      <w:r w:rsidRPr="00700340">
        <w:rPr>
          <w:rFonts w:cs="Arial"/>
        </w:rPr>
        <w:t xml:space="preserve">failing to submit an amended data retention implementation plan to the AGD. Following contact from the ACMA, the three </w:t>
      </w:r>
      <w:r>
        <w:rPr>
          <w:rFonts w:cs="Arial"/>
        </w:rPr>
        <w:t>service providers</w:t>
      </w:r>
      <w:r w:rsidRPr="00700340">
        <w:rPr>
          <w:rFonts w:cs="Arial"/>
        </w:rPr>
        <w:t xml:space="preserve"> provided the amended plans as required</w:t>
      </w:r>
      <w:r w:rsidRPr="008432FB">
        <w:rPr>
          <w:rFonts w:cs="Arial"/>
        </w:rPr>
        <w:t>.</w:t>
      </w:r>
    </w:p>
    <w:p w14:paraId="4C9D8D42" w14:textId="77777777" w:rsidR="003843A9" w:rsidRPr="00DC35BE" w:rsidRDefault="003843A9" w:rsidP="003843A9">
      <w:pPr>
        <w:pStyle w:val="Heading2"/>
        <w:numPr>
          <w:ilvl w:val="1"/>
          <w:numId w:val="19"/>
        </w:numPr>
        <w:ind w:hanging="792"/>
      </w:pPr>
      <w:bookmarkStart w:id="1372" w:name="_Toc494799469"/>
      <w:bookmarkStart w:id="1373" w:name="_Toc494805772"/>
      <w:bookmarkStart w:id="1374" w:name="_Toc494806033"/>
      <w:bookmarkStart w:id="1375" w:name="_Toc494816074"/>
      <w:bookmarkStart w:id="1376" w:name="_Toc494819166"/>
      <w:bookmarkStart w:id="1377" w:name="_Toc494808263"/>
      <w:bookmarkStart w:id="1378" w:name="_Toc494808917"/>
      <w:bookmarkStart w:id="1379" w:name="_Toc494818932"/>
      <w:bookmarkStart w:id="1380" w:name="_Toc500320920"/>
      <w:r w:rsidRPr="00DC35BE">
        <w:t>Identity-checking requirements for prepaid mobile carriage services</w:t>
      </w:r>
      <w:bookmarkEnd w:id="1372"/>
      <w:bookmarkEnd w:id="1373"/>
      <w:bookmarkEnd w:id="1374"/>
      <w:bookmarkEnd w:id="1375"/>
      <w:bookmarkEnd w:id="1376"/>
      <w:bookmarkEnd w:id="1377"/>
      <w:bookmarkEnd w:id="1378"/>
      <w:bookmarkEnd w:id="1379"/>
      <w:bookmarkEnd w:id="1380"/>
    </w:p>
    <w:p w14:paraId="53410BDF" w14:textId="77777777" w:rsidR="003843A9" w:rsidRPr="00212C50" w:rsidRDefault="003843A9" w:rsidP="007345CC">
      <w:pPr>
        <w:spacing w:before="160" w:after="80"/>
        <w:rPr>
          <w:rFonts w:eastAsiaTheme="minorHAnsi" w:cs="Arial"/>
          <w:szCs w:val="20"/>
          <w:lang w:eastAsia="en-US"/>
        </w:rPr>
      </w:pPr>
      <w:r w:rsidRPr="00603BA9">
        <w:rPr>
          <w:rFonts w:cs="Arial"/>
          <w:szCs w:val="20"/>
        </w:rPr>
        <w:t xml:space="preserve">In April 2017, the ACMA </w:t>
      </w:r>
      <w:r w:rsidR="00740B1F">
        <w:rPr>
          <w:rFonts w:cs="Arial"/>
          <w:szCs w:val="20"/>
        </w:rPr>
        <w:t xml:space="preserve">made </w:t>
      </w:r>
      <w:r w:rsidRPr="00603BA9">
        <w:rPr>
          <w:rFonts w:cs="Arial"/>
          <w:szCs w:val="20"/>
        </w:rPr>
        <w:t xml:space="preserve">the </w:t>
      </w:r>
      <w:r w:rsidRPr="007345CC">
        <w:rPr>
          <w:rFonts w:cs="Arial"/>
          <w:szCs w:val="20"/>
        </w:rPr>
        <w:t>Telecommunications (Service Provider – Identity Checks for Prepaid Mobile Carriage Services</w:t>
      </w:r>
      <w:r w:rsidR="00740B1F">
        <w:rPr>
          <w:rFonts w:cs="Arial"/>
          <w:szCs w:val="20"/>
        </w:rPr>
        <w:t>)</w:t>
      </w:r>
      <w:r w:rsidRPr="007345CC">
        <w:rPr>
          <w:rFonts w:cs="Arial"/>
          <w:szCs w:val="20"/>
        </w:rPr>
        <w:t xml:space="preserve"> Determination </w:t>
      </w:r>
      <w:r w:rsidRPr="00212C50">
        <w:rPr>
          <w:rFonts w:cs="Arial"/>
          <w:szCs w:val="20"/>
        </w:rPr>
        <w:t xml:space="preserve">2017 </w:t>
      </w:r>
      <w:r w:rsidR="004408DF" w:rsidRPr="00212C50">
        <w:rPr>
          <w:rFonts w:cs="Arial"/>
          <w:szCs w:val="20"/>
        </w:rPr>
        <w:t>(ID c</w:t>
      </w:r>
      <w:r w:rsidR="00740B1F" w:rsidRPr="00212C50">
        <w:rPr>
          <w:rFonts w:cs="Arial"/>
          <w:szCs w:val="20"/>
        </w:rPr>
        <w:t>heck Determination)</w:t>
      </w:r>
      <w:r w:rsidRPr="00212C50">
        <w:rPr>
          <w:rFonts w:cs="Arial"/>
          <w:szCs w:val="20"/>
        </w:rPr>
        <w:t xml:space="preserve"> to enable mobile providers to more efficiently meet the identity-checking requirements for prepaid mobile services. </w:t>
      </w:r>
      <w:r w:rsidRPr="00212C50">
        <w:rPr>
          <w:rFonts w:eastAsiaTheme="minorHAnsi" w:cs="Arial"/>
          <w:szCs w:val="20"/>
          <w:lang w:eastAsia="en-US"/>
        </w:rPr>
        <w:t xml:space="preserve">The </w:t>
      </w:r>
      <w:r w:rsidR="000B07CD" w:rsidRPr="00212C50">
        <w:rPr>
          <w:rFonts w:eastAsiaTheme="minorHAnsi" w:cs="Arial"/>
          <w:szCs w:val="20"/>
          <w:lang w:eastAsia="en-US"/>
        </w:rPr>
        <w:t>d</w:t>
      </w:r>
      <w:r w:rsidRPr="00212C50">
        <w:rPr>
          <w:rFonts w:eastAsiaTheme="minorHAnsi" w:cs="Arial"/>
          <w:szCs w:val="20"/>
          <w:lang w:eastAsia="en-US"/>
        </w:rPr>
        <w:t>etermination includes new rules that:</w:t>
      </w:r>
    </w:p>
    <w:p w14:paraId="01713D43" w14:textId="77777777" w:rsidR="003843A9" w:rsidRPr="00212C50" w:rsidRDefault="003843A9" w:rsidP="007345CC">
      <w:pPr>
        <w:pStyle w:val="ListBullet"/>
      </w:pPr>
      <w:r w:rsidRPr="00212C50">
        <w:t xml:space="preserve">make it simpler for mobile providers to supply prepaid mobile services for people in emergency situations where they </w:t>
      </w:r>
      <w:r w:rsidR="000B07CD" w:rsidRPr="00212C50">
        <w:t xml:space="preserve">are unable to </w:t>
      </w:r>
      <w:r w:rsidRPr="00212C50">
        <w:t xml:space="preserve">return home due to natural disasters or family violence </w:t>
      </w:r>
    </w:p>
    <w:p w14:paraId="7047DF3F" w14:textId="77777777" w:rsidR="003843A9" w:rsidRPr="00212C50" w:rsidRDefault="003843A9" w:rsidP="007345CC">
      <w:pPr>
        <w:pStyle w:val="ListBullet"/>
      </w:pPr>
      <w:r w:rsidRPr="00212C50">
        <w:t>increase the range of credit cards that can be used for identity verification.</w:t>
      </w:r>
    </w:p>
    <w:p w14:paraId="104C5EAA" w14:textId="77777777" w:rsidR="003843A9" w:rsidRPr="00212C50" w:rsidRDefault="003843A9" w:rsidP="007345CC">
      <w:pPr>
        <w:pStyle w:val="ListBulletLast"/>
      </w:pPr>
      <w:r w:rsidRPr="00212C50">
        <w:t xml:space="preserve">protect the privacy of individuals by requiring that mobile providers only obtain the minimum amount of information reasonably necessary to verify identity. </w:t>
      </w:r>
    </w:p>
    <w:p w14:paraId="5CD858A1" w14:textId="5415032A" w:rsidR="003843A9" w:rsidRPr="00603BA9" w:rsidRDefault="003843A9" w:rsidP="003843A9">
      <w:pPr>
        <w:rPr>
          <w:rFonts w:cs="Arial"/>
          <w:szCs w:val="20"/>
        </w:rPr>
      </w:pPr>
      <w:r w:rsidRPr="00212C50">
        <w:rPr>
          <w:rFonts w:cs="Arial"/>
          <w:szCs w:val="20"/>
        </w:rPr>
        <w:t xml:space="preserve">The new </w:t>
      </w:r>
      <w:r w:rsidR="004408DF" w:rsidRPr="00212C50">
        <w:rPr>
          <w:rFonts w:cs="Arial"/>
          <w:szCs w:val="20"/>
        </w:rPr>
        <w:t>ID check</w:t>
      </w:r>
      <w:r w:rsidRPr="00212C50">
        <w:rPr>
          <w:rFonts w:cs="Arial"/>
          <w:szCs w:val="20"/>
        </w:rPr>
        <w:t xml:space="preserve"> </w:t>
      </w:r>
      <w:r w:rsidR="00212C50" w:rsidRPr="00212C50">
        <w:rPr>
          <w:rFonts w:cs="Arial"/>
          <w:szCs w:val="20"/>
        </w:rPr>
        <w:t>D</w:t>
      </w:r>
      <w:r w:rsidRPr="00212C50">
        <w:rPr>
          <w:rFonts w:cs="Arial"/>
          <w:szCs w:val="20"/>
        </w:rPr>
        <w:t>etermination follows an ACMA</w:t>
      </w:r>
      <w:r w:rsidRPr="00603BA9">
        <w:rPr>
          <w:rFonts w:cs="Arial"/>
          <w:szCs w:val="20"/>
        </w:rPr>
        <w:t xml:space="preserve"> review of the regulatory arrangements and implements recommendations of the working group </w:t>
      </w:r>
      <w:r w:rsidR="003B429C">
        <w:rPr>
          <w:rFonts w:cs="Arial"/>
          <w:szCs w:val="20"/>
        </w:rPr>
        <w:t>we</w:t>
      </w:r>
      <w:r w:rsidRPr="00603BA9">
        <w:rPr>
          <w:rFonts w:cs="Arial"/>
          <w:szCs w:val="20"/>
        </w:rPr>
        <w:t xml:space="preserve"> established to assist with its review, which included government and industry representatives.</w:t>
      </w:r>
    </w:p>
    <w:p w14:paraId="72CCED28" w14:textId="77777777" w:rsidR="003843A9" w:rsidRPr="00603BA9" w:rsidRDefault="003843A9" w:rsidP="003843A9">
      <w:pPr>
        <w:rPr>
          <w:rFonts w:eastAsiaTheme="minorHAnsi"/>
          <w:b/>
          <w:bCs/>
          <w:iCs/>
          <w:lang w:eastAsia="en-US"/>
        </w:rPr>
      </w:pPr>
      <w:r w:rsidRPr="00603BA9">
        <w:rPr>
          <w:rFonts w:eastAsiaTheme="minorHAnsi"/>
          <w:lang w:eastAsia="en-US"/>
        </w:rPr>
        <w:t>In 201</w:t>
      </w:r>
      <w:r w:rsidR="003A0BB0">
        <w:rPr>
          <w:rFonts w:eastAsiaTheme="minorHAnsi"/>
          <w:lang w:eastAsia="en-US"/>
        </w:rPr>
        <w:t>6</w:t>
      </w:r>
      <w:r>
        <w:rPr>
          <w:rFonts w:eastAsiaTheme="minorHAnsi"/>
          <w:lang w:eastAsia="en-US"/>
        </w:rPr>
        <w:t>–</w:t>
      </w:r>
      <w:r w:rsidRPr="00603BA9">
        <w:rPr>
          <w:rFonts w:eastAsiaTheme="minorHAnsi"/>
          <w:lang w:eastAsia="en-US"/>
        </w:rPr>
        <w:t>1</w:t>
      </w:r>
      <w:r w:rsidR="003A0BB0">
        <w:rPr>
          <w:rFonts w:eastAsiaTheme="minorHAnsi"/>
          <w:lang w:eastAsia="en-US"/>
        </w:rPr>
        <w:t>7</w:t>
      </w:r>
      <w:r>
        <w:rPr>
          <w:rFonts w:eastAsiaTheme="minorHAnsi"/>
          <w:lang w:eastAsia="en-US"/>
        </w:rPr>
        <w:t>,</w:t>
      </w:r>
      <w:r w:rsidRPr="00603BA9">
        <w:rPr>
          <w:rFonts w:eastAsiaTheme="minorHAnsi"/>
          <w:lang w:eastAsia="en-US"/>
        </w:rPr>
        <w:t xml:space="preserve"> the ACMA raised compliance issues with four CSPs. This included requesting information on the systems and processes they have in place for checking identity at the time of sale. All four CSPs have implemented or are implementing some modifications to their processes following contact by the ACMA. One investigation under Part 26 of the Act will continue in 2017</w:t>
      </w:r>
      <w:r>
        <w:rPr>
          <w:rFonts w:eastAsiaTheme="minorHAnsi"/>
          <w:lang w:eastAsia="en-US"/>
        </w:rPr>
        <w:t>–</w:t>
      </w:r>
      <w:r w:rsidRPr="00603BA9">
        <w:rPr>
          <w:rFonts w:eastAsiaTheme="minorHAnsi"/>
          <w:lang w:eastAsia="en-US"/>
        </w:rPr>
        <w:t>18.</w:t>
      </w:r>
    </w:p>
    <w:p w14:paraId="3AB2FB1D" w14:textId="77777777" w:rsidR="003843A9" w:rsidRPr="0032755E" w:rsidRDefault="003843A9" w:rsidP="003D67C0">
      <w:pPr>
        <w:pStyle w:val="Heading2"/>
        <w:numPr>
          <w:ilvl w:val="1"/>
          <w:numId w:val="19"/>
        </w:numPr>
        <w:ind w:hanging="792"/>
        <w:rPr>
          <w:rFonts w:eastAsiaTheme="minorHAnsi"/>
        </w:rPr>
      </w:pPr>
      <w:bookmarkStart w:id="1381" w:name="_Toc494799470"/>
      <w:bookmarkStart w:id="1382" w:name="_Toc494805773"/>
      <w:bookmarkStart w:id="1383" w:name="_Toc494806034"/>
      <w:bookmarkStart w:id="1384" w:name="_Toc494816075"/>
      <w:bookmarkStart w:id="1385" w:name="_Toc494819167"/>
      <w:bookmarkStart w:id="1386" w:name="_Toc494808264"/>
      <w:bookmarkStart w:id="1387" w:name="_Toc494808918"/>
      <w:bookmarkStart w:id="1388" w:name="_Toc494818933"/>
      <w:bookmarkStart w:id="1389" w:name="_Toc500320921"/>
      <w:r w:rsidRPr="00DC35BE">
        <w:t>Ro</w:t>
      </w:r>
      <w:r w:rsidRPr="00190B12">
        <w:t>le</w:t>
      </w:r>
      <w:r w:rsidRPr="0032755E">
        <w:rPr>
          <w:rFonts w:eastAsiaTheme="minorHAnsi"/>
        </w:rPr>
        <w:t xml:space="preserve"> of the Integrated Public Number Database</w:t>
      </w:r>
      <w:bookmarkEnd w:id="1381"/>
      <w:bookmarkEnd w:id="1382"/>
      <w:bookmarkEnd w:id="1383"/>
      <w:bookmarkEnd w:id="1384"/>
      <w:bookmarkEnd w:id="1385"/>
      <w:bookmarkEnd w:id="1386"/>
      <w:bookmarkEnd w:id="1387"/>
      <w:bookmarkEnd w:id="1388"/>
      <w:bookmarkEnd w:id="1389"/>
    </w:p>
    <w:p w14:paraId="7F584A71" w14:textId="77777777" w:rsidR="003843A9" w:rsidRPr="0032755E" w:rsidRDefault="003843A9" w:rsidP="003843A9">
      <w:r w:rsidRPr="0032755E">
        <w:t xml:space="preserve">The </w:t>
      </w:r>
      <w:r w:rsidR="003B429C">
        <w:t>Integrated Public Number Database (</w:t>
      </w:r>
      <w:r w:rsidRPr="0032755E">
        <w:t>IPND</w:t>
      </w:r>
      <w:r w:rsidR="003B429C">
        <w:t>)</w:t>
      </w:r>
      <w:r w:rsidRPr="0032755E">
        <w:t xml:space="preserve"> is a telecommunications industry-wide database of all listed and unlisted public numbers and their associated customer data. Law enforcement agencies and emergency services regularly access customer data from the IPND and it is critical that the data is accurate for these purposes. The IPND is managed by Telstra.</w:t>
      </w:r>
    </w:p>
    <w:p w14:paraId="792CD91E" w14:textId="77777777" w:rsidR="003843A9" w:rsidRPr="0032755E" w:rsidRDefault="003843A9" w:rsidP="003843A9">
      <w:r w:rsidRPr="00364DF6">
        <w:t xml:space="preserve">Telstra reported that the IPND contained 69.9 million connected services at 30 June 2017, an increase of just over three per cent on the 67.7 million records held </w:t>
      </w:r>
      <w:r>
        <w:t>i</w:t>
      </w:r>
      <w:r w:rsidRPr="00797A8A">
        <w:t>n 201</w:t>
      </w:r>
      <w:r>
        <w:t>5</w:t>
      </w:r>
      <w:r w:rsidRPr="00797A8A">
        <w:t>–1</w:t>
      </w:r>
      <w:r>
        <w:t>6</w:t>
      </w:r>
      <w:r w:rsidRPr="00364DF6">
        <w:t xml:space="preserve">. </w:t>
      </w:r>
    </w:p>
    <w:p w14:paraId="48924EB5" w14:textId="77777777" w:rsidR="003843A9" w:rsidRPr="0032755E" w:rsidRDefault="003843A9" w:rsidP="003843A9">
      <w:pPr>
        <w:pStyle w:val="Heading3"/>
      </w:pPr>
      <w:bookmarkStart w:id="1390" w:name="_Toc494799471"/>
      <w:bookmarkStart w:id="1391" w:name="_Toc494805774"/>
      <w:bookmarkStart w:id="1392" w:name="_Toc494806035"/>
      <w:bookmarkStart w:id="1393" w:name="_Toc494808265"/>
      <w:bookmarkStart w:id="1394" w:name="_Toc494808919"/>
      <w:bookmarkStart w:id="1395" w:name="_Toc494816076"/>
      <w:bookmarkStart w:id="1396" w:name="_Toc494818934"/>
      <w:bookmarkStart w:id="1397" w:name="_Toc494819168"/>
      <w:r w:rsidRPr="0032755E">
        <w:t>CSP compliance with IPND requirements</w:t>
      </w:r>
      <w:bookmarkEnd w:id="1390"/>
      <w:bookmarkEnd w:id="1391"/>
      <w:bookmarkEnd w:id="1392"/>
      <w:bookmarkEnd w:id="1393"/>
      <w:bookmarkEnd w:id="1394"/>
      <w:bookmarkEnd w:id="1395"/>
      <w:bookmarkEnd w:id="1396"/>
      <w:bookmarkEnd w:id="1397"/>
    </w:p>
    <w:p w14:paraId="2FE24481" w14:textId="77777777" w:rsidR="003843A9" w:rsidRPr="0032755E" w:rsidRDefault="003843A9" w:rsidP="003843A9">
      <w:r w:rsidRPr="0032755E">
        <w:t xml:space="preserve">The ACMA’s compliance program </w:t>
      </w:r>
      <w:r>
        <w:t>seeks</w:t>
      </w:r>
      <w:r w:rsidRPr="0032755E">
        <w:t xml:space="preserve"> to improve</w:t>
      </w:r>
      <w:r>
        <w:t xml:space="preserve"> </w:t>
      </w:r>
      <w:r w:rsidR="003B429C">
        <w:t xml:space="preserve">CSP </w:t>
      </w:r>
      <w:r>
        <w:t xml:space="preserve">compliance </w:t>
      </w:r>
      <w:r w:rsidRPr="0032755E">
        <w:t xml:space="preserve">with their IPND-related regulatory obligations </w:t>
      </w:r>
      <w:r>
        <w:t>to</w:t>
      </w:r>
      <w:r w:rsidRPr="0032755E">
        <w:t xml:space="preserve"> improve the quality</w:t>
      </w:r>
      <w:r>
        <w:t>, accuracy</w:t>
      </w:r>
      <w:r w:rsidRPr="0032755E">
        <w:t xml:space="preserve"> and completeness of data contained in the IPND.</w:t>
      </w:r>
    </w:p>
    <w:p w14:paraId="166ADF09" w14:textId="77777777" w:rsidR="003843A9" w:rsidRPr="0032755E" w:rsidRDefault="003843A9" w:rsidP="003843A9">
      <w:r w:rsidRPr="0032755E">
        <w:t>In 201</w:t>
      </w:r>
      <w:r>
        <w:t>6</w:t>
      </w:r>
      <w:r w:rsidRPr="0032755E">
        <w:t>–1</w:t>
      </w:r>
      <w:r>
        <w:t>7</w:t>
      </w:r>
      <w:r w:rsidRPr="0032755E">
        <w:t xml:space="preserve">, the ACMA </w:t>
      </w:r>
      <w:r>
        <w:t>pursued potential</w:t>
      </w:r>
      <w:r w:rsidRPr="0032755E">
        <w:t xml:space="preserve"> compliance issues with </w:t>
      </w:r>
      <w:r>
        <w:t>20</w:t>
      </w:r>
      <w:r w:rsidRPr="0032755E">
        <w:t xml:space="preserve"> CSPs. </w:t>
      </w:r>
      <w:r>
        <w:t xml:space="preserve">Of these, 16 subsequently </w:t>
      </w:r>
      <w:r w:rsidRPr="0032755E">
        <w:t xml:space="preserve">took steps to improve the quality of the customer data they provide to the IPND Manager. </w:t>
      </w:r>
      <w:r>
        <w:t xml:space="preserve">At the end of the reporting period, </w:t>
      </w:r>
      <w:r w:rsidR="003B429C">
        <w:t xml:space="preserve">we were </w:t>
      </w:r>
      <w:r>
        <w:t xml:space="preserve">seeking further information from the remaining four CSPs. </w:t>
      </w:r>
      <w:r w:rsidR="003B429C">
        <w:t>We</w:t>
      </w:r>
      <w:r>
        <w:t xml:space="preserve"> also monitored the enforceable undertakings in place with three CSPs to address non-compliance with IPND obligations under the Telecommunications Act. One of the enforceable undertakings ended in May 2017, with all undertakings acquitted by the CSP.</w:t>
      </w:r>
    </w:p>
    <w:p w14:paraId="1CFB0B67" w14:textId="77777777" w:rsidR="003843A9" w:rsidRPr="0032755E" w:rsidRDefault="003843A9" w:rsidP="003843A9">
      <w:pPr>
        <w:pStyle w:val="Heading3"/>
      </w:pPr>
      <w:bookmarkStart w:id="1398" w:name="_Toc494799472"/>
      <w:bookmarkStart w:id="1399" w:name="_Toc494805775"/>
      <w:bookmarkStart w:id="1400" w:name="_Toc494806036"/>
      <w:bookmarkStart w:id="1401" w:name="_Toc494808266"/>
      <w:bookmarkStart w:id="1402" w:name="_Toc494808920"/>
      <w:bookmarkStart w:id="1403" w:name="_Toc494816077"/>
      <w:bookmarkStart w:id="1404" w:name="_Toc494818935"/>
      <w:bookmarkStart w:id="1405" w:name="_Toc494819169"/>
      <w:r w:rsidRPr="0032755E">
        <w:t>IPND Scheme</w:t>
      </w:r>
      <w:bookmarkEnd w:id="1398"/>
      <w:bookmarkEnd w:id="1399"/>
      <w:bookmarkEnd w:id="1400"/>
      <w:bookmarkEnd w:id="1401"/>
      <w:bookmarkEnd w:id="1402"/>
      <w:bookmarkEnd w:id="1403"/>
      <w:bookmarkEnd w:id="1404"/>
      <w:bookmarkEnd w:id="1405"/>
      <w:r w:rsidRPr="0032755E">
        <w:t xml:space="preserve"> </w:t>
      </w:r>
    </w:p>
    <w:p w14:paraId="65F12B8F" w14:textId="77777777" w:rsidR="003843A9" w:rsidRPr="0032755E" w:rsidRDefault="003843A9" w:rsidP="003843A9">
      <w:r w:rsidRPr="0032755E">
        <w:t xml:space="preserve">The </w:t>
      </w:r>
      <w:r w:rsidRPr="00BB14FC">
        <w:t xml:space="preserve">Telecommunications Integrated Public Number Database Scheme 2017 </w:t>
      </w:r>
      <w:r>
        <w:t xml:space="preserve">(IPND Scheme) allows </w:t>
      </w:r>
      <w:r w:rsidRPr="0032755E">
        <w:t xml:space="preserve">the ACMA to </w:t>
      </w:r>
      <w:r>
        <w:t>authorise access</w:t>
      </w:r>
      <w:r w:rsidRPr="0032755E">
        <w:t xml:space="preserve"> </w:t>
      </w:r>
      <w:r>
        <w:t xml:space="preserve">to strictly limited </w:t>
      </w:r>
      <w:r w:rsidRPr="0032755E">
        <w:t xml:space="preserve">IPND data for the </w:t>
      </w:r>
      <w:r>
        <w:t xml:space="preserve">purposes of conducting permitted research and publishing </w:t>
      </w:r>
      <w:r w:rsidRPr="0032755E">
        <w:t>public number director</w:t>
      </w:r>
      <w:r>
        <w:t>ies.</w:t>
      </w:r>
    </w:p>
    <w:p w14:paraId="7020EF2D" w14:textId="77777777" w:rsidR="003843A9" w:rsidRPr="0032755E" w:rsidRDefault="003843A9" w:rsidP="003843A9">
      <w:r w:rsidRPr="0032755E">
        <w:t xml:space="preserve">During the reporting period, </w:t>
      </w:r>
      <w:r w:rsidR="003B429C">
        <w:t>we</w:t>
      </w:r>
      <w:r w:rsidRPr="0032755E">
        <w:t xml:space="preserve"> </w:t>
      </w:r>
      <w:r>
        <w:t>granted an</w:t>
      </w:r>
      <w:r w:rsidRPr="0032755E">
        <w:t xml:space="preserve"> authorisation to </w:t>
      </w:r>
      <w:r>
        <w:t>Notable Imprint</w:t>
      </w:r>
      <w:r w:rsidRPr="0032755E">
        <w:t xml:space="preserve"> </w:t>
      </w:r>
      <w:r>
        <w:t xml:space="preserve">Pty Ltd </w:t>
      </w:r>
      <w:r w:rsidRPr="0032755E">
        <w:t>to publish and maintain public number directories.</w:t>
      </w:r>
      <w:r>
        <w:t xml:space="preserve"> </w:t>
      </w:r>
      <w:r w:rsidRPr="0032755E">
        <w:t>No authorisations to access IPND data for conducting research were granted during the reporting period.</w:t>
      </w:r>
    </w:p>
    <w:p w14:paraId="3A849692" w14:textId="5785987F" w:rsidR="003843A9" w:rsidRPr="00AB025C" w:rsidRDefault="003843A9" w:rsidP="003843A9">
      <w:r w:rsidRPr="0032755E">
        <w:t>At 30 June 201</w:t>
      </w:r>
      <w:r>
        <w:t>7</w:t>
      </w:r>
      <w:r w:rsidRPr="0032755E">
        <w:t xml:space="preserve">, </w:t>
      </w:r>
      <w:r>
        <w:t>seven</w:t>
      </w:r>
      <w:r w:rsidRPr="0032755E">
        <w:t xml:space="preserve"> authorisations under the IPND Scheme were in operation. </w:t>
      </w:r>
      <w:r w:rsidR="003B429C">
        <w:t>We</w:t>
      </w:r>
      <w:r w:rsidRPr="0032755E">
        <w:t xml:space="preserve"> granted the authorisations for the purpose of publishing and maintaining public number directories (Table 4.</w:t>
      </w:r>
      <w:r>
        <w:t>4</w:t>
      </w:r>
      <w:r w:rsidRPr="0032755E">
        <w:t>)</w:t>
      </w:r>
      <w:r w:rsidR="003B429C">
        <w:t>.</w:t>
      </w:r>
    </w:p>
    <w:p w14:paraId="0B913762" w14:textId="73B94CF0" w:rsidR="003843A9" w:rsidRPr="00603BA9" w:rsidRDefault="003843A9" w:rsidP="00346819">
      <w:pPr>
        <w:pStyle w:val="NormalWeb"/>
        <w:rPr>
          <w:rFonts w:ascii="Arial" w:eastAsiaTheme="minorHAnsi" w:hAnsi="Arial" w:cs="Arial"/>
          <w:sz w:val="20"/>
          <w:szCs w:val="20"/>
          <w:lang w:eastAsia="en-US"/>
        </w:rPr>
      </w:pPr>
      <w:r w:rsidRPr="00603BA9">
        <w:rPr>
          <w:rFonts w:ascii="Arial" w:eastAsiaTheme="minorHAnsi" w:hAnsi="Arial" w:cs="Arial"/>
          <w:sz w:val="20"/>
          <w:szCs w:val="20"/>
          <w:lang w:eastAsia="en-US"/>
        </w:rPr>
        <w:t xml:space="preserve">In March 2017, </w:t>
      </w:r>
      <w:r w:rsidR="003B429C">
        <w:rPr>
          <w:rFonts w:ascii="Arial" w:eastAsiaTheme="minorHAnsi" w:hAnsi="Arial" w:cs="Arial"/>
          <w:sz w:val="20"/>
          <w:szCs w:val="20"/>
          <w:lang w:eastAsia="en-US"/>
        </w:rPr>
        <w:t>we</w:t>
      </w:r>
      <w:r w:rsidRPr="00603BA9">
        <w:rPr>
          <w:rFonts w:ascii="Arial" w:eastAsiaTheme="minorHAnsi" w:hAnsi="Arial" w:cs="Arial"/>
          <w:sz w:val="20"/>
          <w:szCs w:val="20"/>
          <w:lang w:eastAsia="en-US"/>
        </w:rPr>
        <w:t xml:space="preserve"> remade the IPND Scheme and introduced new rules to allow </w:t>
      </w:r>
      <w:r w:rsidR="003B429C">
        <w:rPr>
          <w:rFonts w:ascii="Arial" w:eastAsiaTheme="minorHAnsi" w:hAnsi="Arial" w:cs="Arial"/>
          <w:sz w:val="20"/>
          <w:szCs w:val="20"/>
          <w:lang w:eastAsia="en-US"/>
        </w:rPr>
        <w:t xml:space="preserve">researchers </w:t>
      </w:r>
      <w:r w:rsidRPr="00603BA9">
        <w:rPr>
          <w:rFonts w:ascii="Arial" w:eastAsiaTheme="minorHAnsi" w:hAnsi="Arial" w:cs="Arial"/>
          <w:sz w:val="20"/>
          <w:szCs w:val="20"/>
          <w:lang w:eastAsia="en-US"/>
        </w:rPr>
        <w:t xml:space="preserve">more efficient access to limited IPND information. Under the new rules, </w:t>
      </w:r>
      <w:r w:rsidR="003B429C">
        <w:rPr>
          <w:rFonts w:ascii="Arial" w:eastAsiaTheme="minorHAnsi" w:hAnsi="Arial" w:cs="Arial"/>
          <w:sz w:val="20"/>
          <w:szCs w:val="20"/>
          <w:lang w:eastAsia="en-US"/>
        </w:rPr>
        <w:t>we</w:t>
      </w:r>
      <w:r w:rsidRPr="00603BA9">
        <w:rPr>
          <w:rFonts w:ascii="Arial" w:eastAsiaTheme="minorHAnsi" w:hAnsi="Arial" w:cs="Arial"/>
          <w:sz w:val="20"/>
          <w:szCs w:val="20"/>
          <w:lang w:eastAsia="en-US"/>
        </w:rPr>
        <w:t xml:space="preserve"> can now also authorise a recognised research industry body to manage access to limited IPND information on behalf of its members, in controlled circumstances. Access to limited IPND information is only permissible for research on </w:t>
      </w:r>
      <w:r w:rsidR="00694601">
        <w:rPr>
          <w:rFonts w:ascii="Arial" w:eastAsiaTheme="minorHAnsi" w:hAnsi="Arial" w:cs="Arial"/>
          <w:sz w:val="20"/>
          <w:szCs w:val="20"/>
          <w:lang w:eastAsia="en-US"/>
        </w:rPr>
        <w:t xml:space="preserve">public </w:t>
      </w:r>
      <w:r w:rsidRPr="00603BA9">
        <w:rPr>
          <w:rFonts w:ascii="Arial" w:eastAsiaTheme="minorHAnsi" w:hAnsi="Arial" w:cs="Arial"/>
          <w:sz w:val="20"/>
          <w:szCs w:val="20"/>
          <w:lang w:eastAsia="en-US"/>
        </w:rPr>
        <w:t xml:space="preserve">health, electoral </w:t>
      </w:r>
      <w:r w:rsidR="00694601">
        <w:rPr>
          <w:rFonts w:ascii="Arial" w:eastAsiaTheme="minorHAnsi" w:hAnsi="Arial" w:cs="Arial"/>
          <w:sz w:val="20"/>
          <w:szCs w:val="20"/>
          <w:lang w:eastAsia="en-US"/>
        </w:rPr>
        <w:t xml:space="preserve">matters </w:t>
      </w:r>
      <w:r w:rsidRPr="00603BA9">
        <w:rPr>
          <w:rFonts w:ascii="Arial" w:eastAsiaTheme="minorHAnsi" w:hAnsi="Arial" w:cs="Arial"/>
          <w:sz w:val="20"/>
          <w:szCs w:val="20"/>
          <w:lang w:eastAsia="en-US"/>
        </w:rPr>
        <w:t xml:space="preserve">or </w:t>
      </w:r>
      <w:r w:rsidR="00694601">
        <w:rPr>
          <w:rFonts w:ascii="Arial" w:eastAsiaTheme="minorHAnsi" w:hAnsi="Arial" w:cs="Arial"/>
          <w:sz w:val="20"/>
          <w:szCs w:val="20"/>
          <w:lang w:eastAsia="en-US"/>
        </w:rPr>
        <w:t>public</w:t>
      </w:r>
      <w:r w:rsidR="00694601" w:rsidRPr="00603BA9">
        <w:rPr>
          <w:rFonts w:ascii="Arial" w:eastAsiaTheme="minorHAnsi" w:hAnsi="Arial" w:cs="Arial"/>
          <w:sz w:val="20"/>
          <w:szCs w:val="20"/>
          <w:lang w:eastAsia="en-US"/>
        </w:rPr>
        <w:t xml:space="preserve"> </w:t>
      </w:r>
      <w:r w:rsidRPr="00603BA9">
        <w:rPr>
          <w:rFonts w:ascii="Arial" w:eastAsiaTheme="minorHAnsi" w:hAnsi="Arial" w:cs="Arial"/>
          <w:sz w:val="20"/>
          <w:szCs w:val="20"/>
          <w:lang w:eastAsia="en-US"/>
        </w:rPr>
        <w:t>policy topics. No access is allowed for research with</w:t>
      </w:r>
      <w:r w:rsidR="006A2A67">
        <w:rPr>
          <w:rFonts w:ascii="Arial" w:eastAsiaTheme="minorHAnsi" w:hAnsi="Arial" w:cs="Arial"/>
          <w:sz w:val="20"/>
          <w:szCs w:val="20"/>
          <w:lang w:eastAsia="en-US"/>
        </w:rPr>
        <w:t> </w:t>
      </w:r>
      <w:r w:rsidRPr="00603BA9">
        <w:rPr>
          <w:rFonts w:ascii="Arial" w:eastAsiaTheme="minorHAnsi" w:hAnsi="Arial" w:cs="Arial"/>
          <w:sz w:val="20"/>
          <w:szCs w:val="20"/>
          <w:lang w:eastAsia="en-US"/>
        </w:rPr>
        <w:t>a primarily commercial purpose.</w:t>
      </w:r>
    </w:p>
    <w:p w14:paraId="5D0663FF" w14:textId="77777777" w:rsidR="003843A9" w:rsidRPr="00A9558B" w:rsidRDefault="003843A9" w:rsidP="003843A9">
      <w:pPr>
        <w:pStyle w:val="NormalWeb"/>
        <w:rPr>
          <w:rFonts w:ascii="Arial" w:hAnsi="Arial" w:cs="Arial"/>
          <w:sz w:val="20"/>
          <w:szCs w:val="20"/>
          <w:lang w:val="en"/>
        </w:rPr>
      </w:pPr>
      <w:r w:rsidRPr="00D22898">
        <w:rPr>
          <w:rFonts w:ascii="Arial" w:hAnsi="Arial" w:cs="Arial"/>
          <w:sz w:val="20"/>
          <w:szCs w:val="20"/>
        </w:rPr>
        <w:t>These initiatives were implemented following consultation with</w:t>
      </w:r>
      <w:r>
        <w:rPr>
          <w:rFonts w:ascii="Arial" w:hAnsi="Arial" w:cs="Arial"/>
          <w:sz w:val="20"/>
          <w:szCs w:val="20"/>
        </w:rPr>
        <w:t xml:space="preserve"> relevant sectors that use the IPND Scheme</w:t>
      </w:r>
      <w:r w:rsidRPr="00D22898">
        <w:rPr>
          <w:rFonts w:ascii="Arial" w:hAnsi="Arial" w:cs="Arial"/>
          <w:sz w:val="20"/>
          <w:szCs w:val="20"/>
        </w:rPr>
        <w:t>.</w:t>
      </w:r>
    </w:p>
    <w:p w14:paraId="59370CB8" w14:textId="77777777" w:rsidR="003843A9" w:rsidRPr="0032755E" w:rsidRDefault="003843A9" w:rsidP="00C43CBA">
      <w:pPr>
        <w:pStyle w:val="ACMAFigureHeader"/>
      </w:pPr>
      <w:r w:rsidRPr="0032755E">
        <w:t>Table 4.</w:t>
      </w:r>
      <w:r>
        <w:t>4</w:t>
      </w:r>
      <w:r w:rsidRPr="0032755E">
        <w:t xml:space="preserve"> </w:t>
      </w:r>
      <w:r>
        <w:tab/>
      </w:r>
      <w:r w:rsidRPr="0032755E">
        <w:t xml:space="preserve">Authorisations under </w:t>
      </w:r>
      <w:r>
        <w:t xml:space="preserve">the </w:t>
      </w:r>
      <w:r w:rsidRPr="0032755E">
        <w:t>IPND Scheme</w:t>
      </w:r>
    </w:p>
    <w:tbl>
      <w:tblPr>
        <w:tblStyle w:val="Commsreport2017"/>
        <w:tblW w:w="9441" w:type="dxa"/>
        <w:tblCellMar>
          <w:top w:w="57" w:type="dxa"/>
          <w:left w:w="57" w:type="dxa"/>
          <w:bottom w:w="57" w:type="dxa"/>
          <w:right w:w="57" w:type="dxa"/>
        </w:tblCellMar>
        <w:tblLook w:val="04A0" w:firstRow="1" w:lastRow="0" w:firstColumn="1" w:lastColumn="0" w:noHBand="0" w:noVBand="1"/>
        <w:tblCaption w:val="Table 4.4  Authorisations under the IPND Scheme"/>
      </w:tblPr>
      <w:tblGrid>
        <w:gridCol w:w="4720"/>
        <w:gridCol w:w="4721"/>
      </w:tblGrid>
      <w:tr w:rsidR="003843A9" w:rsidRPr="00E211E1" w14:paraId="5A839F2D" w14:textId="77777777" w:rsidTr="00EC183A">
        <w:trPr>
          <w:cnfStyle w:val="100000000000" w:firstRow="1" w:lastRow="0" w:firstColumn="0" w:lastColumn="0" w:oddVBand="0" w:evenVBand="0" w:oddHBand="0" w:evenHBand="0" w:firstRowFirstColumn="0" w:firstRowLastColumn="0" w:lastRowFirstColumn="0" w:lastRowLastColumn="0"/>
          <w:trHeight w:val="242"/>
          <w:tblHeader/>
        </w:trPr>
        <w:tc>
          <w:tcPr>
            <w:cnfStyle w:val="001000000000" w:firstRow="0" w:lastRow="0" w:firstColumn="1" w:lastColumn="0" w:oddVBand="0" w:evenVBand="0" w:oddHBand="0" w:evenHBand="0" w:firstRowFirstColumn="0" w:firstRowLastColumn="0" w:lastRowFirstColumn="0" w:lastRowLastColumn="0"/>
            <w:tcW w:w="4720" w:type="dxa"/>
          </w:tcPr>
          <w:p w14:paraId="2FEFDBF1" w14:textId="77777777" w:rsidR="003843A9" w:rsidRPr="003D67C0" w:rsidRDefault="003843A9" w:rsidP="00C43CBA">
            <w:pPr>
              <w:pStyle w:val="TableHeading"/>
              <w:spacing w:beforeLines="0" w:before="0" w:afterLines="0"/>
            </w:pPr>
            <w:r w:rsidRPr="00076823">
              <w:t>Person/entity</w:t>
            </w:r>
          </w:p>
        </w:tc>
        <w:tc>
          <w:tcPr>
            <w:tcW w:w="4721" w:type="dxa"/>
          </w:tcPr>
          <w:p w14:paraId="1FD57203" w14:textId="77777777" w:rsidR="003843A9" w:rsidRPr="003D67C0" w:rsidRDefault="003843A9" w:rsidP="00C43CBA">
            <w:pPr>
              <w:pStyle w:val="TableHeading"/>
              <w:spacing w:beforeLines="0" w:before="0" w:afterLines="0"/>
              <w:jc w:val="left"/>
              <w:cnfStyle w:val="100000000000" w:firstRow="1" w:lastRow="0" w:firstColumn="0" w:lastColumn="0" w:oddVBand="0" w:evenVBand="0" w:oddHBand="0" w:evenHBand="0" w:firstRowFirstColumn="0" w:firstRowLastColumn="0" w:lastRowFirstColumn="0" w:lastRowLastColumn="0"/>
            </w:pPr>
            <w:r w:rsidRPr="00076823">
              <w:t>Authorisation granted</w:t>
            </w:r>
          </w:p>
        </w:tc>
      </w:tr>
      <w:tr w:rsidR="003843A9" w:rsidRPr="00DE14A3" w14:paraId="5A546DF8" w14:textId="77777777" w:rsidTr="00C43CBA">
        <w:trPr>
          <w:trHeight w:val="26"/>
        </w:trPr>
        <w:tc>
          <w:tcPr>
            <w:cnfStyle w:val="001000000000" w:firstRow="0" w:lastRow="0" w:firstColumn="1" w:lastColumn="0" w:oddVBand="0" w:evenVBand="0" w:oddHBand="0" w:evenHBand="0" w:firstRowFirstColumn="0" w:firstRowLastColumn="0" w:lastRowFirstColumn="0" w:lastRowLastColumn="0"/>
            <w:tcW w:w="4720" w:type="dxa"/>
          </w:tcPr>
          <w:p w14:paraId="067E6322" w14:textId="77777777" w:rsidR="003843A9" w:rsidRPr="00E211E1" w:rsidRDefault="003843A9" w:rsidP="00C43CBA">
            <w:pPr>
              <w:pStyle w:val="ACMATableText"/>
              <w:spacing w:before="0" w:after="0"/>
              <w:rPr>
                <w:szCs w:val="18"/>
              </w:rPr>
            </w:pPr>
            <w:r w:rsidRPr="00E211E1">
              <w:rPr>
                <w:szCs w:val="18"/>
              </w:rPr>
              <w:t>The Local Phone Book Company Pty Ltd</w:t>
            </w:r>
          </w:p>
        </w:tc>
        <w:tc>
          <w:tcPr>
            <w:tcW w:w="4721" w:type="dxa"/>
          </w:tcPr>
          <w:p w14:paraId="39ADC467"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November 2008</w:t>
            </w:r>
          </w:p>
        </w:tc>
      </w:tr>
      <w:tr w:rsidR="003843A9" w:rsidRPr="00DE14A3" w14:paraId="50455499" w14:textId="77777777" w:rsidTr="00C43CBA">
        <w:trPr>
          <w:trHeight w:val="110"/>
        </w:trPr>
        <w:tc>
          <w:tcPr>
            <w:cnfStyle w:val="001000000000" w:firstRow="0" w:lastRow="0" w:firstColumn="1" w:lastColumn="0" w:oddVBand="0" w:evenVBand="0" w:oddHBand="0" w:evenHBand="0" w:firstRowFirstColumn="0" w:firstRowLastColumn="0" w:lastRowFirstColumn="0" w:lastRowLastColumn="0"/>
            <w:tcW w:w="4720" w:type="dxa"/>
          </w:tcPr>
          <w:p w14:paraId="740BB907" w14:textId="77777777" w:rsidR="003843A9" w:rsidRPr="00E211E1" w:rsidRDefault="003843A9" w:rsidP="00C43CBA">
            <w:pPr>
              <w:pStyle w:val="ACMATableText"/>
              <w:spacing w:before="0" w:after="0"/>
              <w:rPr>
                <w:szCs w:val="18"/>
              </w:rPr>
            </w:pPr>
            <w:r w:rsidRPr="00E211E1">
              <w:rPr>
                <w:szCs w:val="18"/>
              </w:rPr>
              <w:t>Local Directories Pty Ltd</w:t>
            </w:r>
          </w:p>
        </w:tc>
        <w:tc>
          <w:tcPr>
            <w:tcW w:w="4721" w:type="dxa"/>
          </w:tcPr>
          <w:p w14:paraId="00C63E01"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August 2009</w:t>
            </w:r>
          </w:p>
        </w:tc>
      </w:tr>
      <w:tr w:rsidR="003843A9" w:rsidRPr="00DE14A3" w14:paraId="3F9DE099" w14:textId="77777777" w:rsidTr="00C43CBA">
        <w:trPr>
          <w:trHeight w:val="72"/>
        </w:trPr>
        <w:tc>
          <w:tcPr>
            <w:cnfStyle w:val="001000000000" w:firstRow="0" w:lastRow="0" w:firstColumn="1" w:lastColumn="0" w:oddVBand="0" w:evenVBand="0" w:oddHBand="0" w:evenHBand="0" w:firstRowFirstColumn="0" w:firstRowLastColumn="0" w:lastRowFirstColumn="0" w:lastRowLastColumn="0"/>
            <w:tcW w:w="4720" w:type="dxa"/>
          </w:tcPr>
          <w:p w14:paraId="0ECB602E" w14:textId="77777777" w:rsidR="003843A9" w:rsidRPr="00E211E1" w:rsidRDefault="003843A9" w:rsidP="00C43CBA">
            <w:pPr>
              <w:pStyle w:val="ACMATableText"/>
              <w:spacing w:before="0" w:after="0"/>
              <w:rPr>
                <w:szCs w:val="18"/>
              </w:rPr>
            </w:pPr>
            <w:r w:rsidRPr="00E211E1">
              <w:rPr>
                <w:szCs w:val="18"/>
              </w:rPr>
              <w:t>Geoffrey Mark Harris</w:t>
            </w:r>
          </w:p>
        </w:tc>
        <w:tc>
          <w:tcPr>
            <w:tcW w:w="4721" w:type="dxa"/>
          </w:tcPr>
          <w:p w14:paraId="2B35878C"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September 2009</w:t>
            </w:r>
          </w:p>
        </w:tc>
      </w:tr>
      <w:tr w:rsidR="003843A9" w:rsidRPr="00DE14A3" w14:paraId="57233487" w14:textId="77777777" w:rsidTr="00C43CBA">
        <w:trPr>
          <w:trHeight w:val="26"/>
        </w:trPr>
        <w:tc>
          <w:tcPr>
            <w:cnfStyle w:val="001000000000" w:firstRow="0" w:lastRow="0" w:firstColumn="1" w:lastColumn="0" w:oddVBand="0" w:evenVBand="0" w:oddHBand="0" w:evenHBand="0" w:firstRowFirstColumn="0" w:firstRowLastColumn="0" w:lastRowFirstColumn="0" w:lastRowLastColumn="0"/>
            <w:tcW w:w="4720" w:type="dxa"/>
          </w:tcPr>
          <w:p w14:paraId="26BE2626" w14:textId="77777777" w:rsidR="003843A9" w:rsidRPr="00E211E1" w:rsidRDefault="003843A9" w:rsidP="00C43CBA">
            <w:pPr>
              <w:pStyle w:val="ACMATableText"/>
              <w:spacing w:before="0" w:after="0"/>
              <w:rPr>
                <w:szCs w:val="18"/>
              </w:rPr>
            </w:pPr>
            <w:r w:rsidRPr="00E211E1">
              <w:rPr>
                <w:szCs w:val="18"/>
              </w:rPr>
              <w:t>Veda Advantage Limited</w:t>
            </w:r>
            <w:r w:rsidR="00206E49">
              <w:rPr>
                <w:szCs w:val="18"/>
              </w:rPr>
              <w:t>*</w:t>
            </w:r>
          </w:p>
        </w:tc>
        <w:tc>
          <w:tcPr>
            <w:tcW w:w="4721" w:type="dxa"/>
          </w:tcPr>
          <w:p w14:paraId="67CA4E1A"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February 2010</w:t>
            </w:r>
          </w:p>
        </w:tc>
      </w:tr>
      <w:tr w:rsidR="003843A9" w:rsidRPr="00DE14A3" w14:paraId="48F752BB" w14:textId="77777777" w:rsidTr="00C43CBA">
        <w:trPr>
          <w:trHeight w:val="110"/>
        </w:trPr>
        <w:tc>
          <w:tcPr>
            <w:cnfStyle w:val="001000000000" w:firstRow="0" w:lastRow="0" w:firstColumn="1" w:lastColumn="0" w:oddVBand="0" w:evenVBand="0" w:oddHBand="0" w:evenHBand="0" w:firstRowFirstColumn="0" w:firstRowLastColumn="0" w:lastRowFirstColumn="0" w:lastRowLastColumn="0"/>
            <w:tcW w:w="4720" w:type="dxa"/>
          </w:tcPr>
          <w:p w14:paraId="7CA30D42" w14:textId="77777777" w:rsidR="003843A9" w:rsidRPr="00E211E1" w:rsidRDefault="003843A9" w:rsidP="00C43CBA">
            <w:pPr>
              <w:pStyle w:val="ACMATableText"/>
              <w:spacing w:before="0" w:after="0"/>
              <w:rPr>
                <w:szCs w:val="18"/>
              </w:rPr>
            </w:pPr>
            <w:r w:rsidRPr="00E211E1">
              <w:rPr>
                <w:szCs w:val="18"/>
              </w:rPr>
              <w:t>Perceptive Communications Pty Ltd</w:t>
            </w:r>
          </w:p>
        </w:tc>
        <w:tc>
          <w:tcPr>
            <w:tcW w:w="4721" w:type="dxa"/>
          </w:tcPr>
          <w:p w14:paraId="1640A49A"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August 2010</w:t>
            </w:r>
          </w:p>
        </w:tc>
      </w:tr>
      <w:tr w:rsidR="003843A9" w:rsidRPr="00DE14A3" w14:paraId="6DDE0D30" w14:textId="77777777" w:rsidTr="00C43CBA">
        <w:trPr>
          <w:trHeight w:val="72"/>
        </w:trPr>
        <w:tc>
          <w:tcPr>
            <w:cnfStyle w:val="001000000000" w:firstRow="0" w:lastRow="0" w:firstColumn="1" w:lastColumn="0" w:oddVBand="0" w:evenVBand="0" w:oddHBand="0" w:evenHBand="0" w:firstRowFirstColumn="0" w:firstRowLastColumn="0" w:lastRowFirstColumn="0" w:lastRowLastColumn="0"/>
            <w:tcW w:w="4720" w:type="dxa"/>
          </w:tcPr>
          <w:p w14:paraId="532D9EE8" w14:textId="77777777" w:rsidR="003843A9" w:rsidRPr="00E211E1" w:rsidRDefault="003843A9" w:rsidP="00C43CBA">
            <w:pPr>
              <w:pStyle w:val="ACMATableText"/>
              <w:spacing w:before="0" w:after="0"/>
              <w:rPr>
                <w:szCs w:val="18"/>
              </w:rPr>
            </w:pPr>
            <w:r w:rsidRPr="00E211E1">
              <w:rPr>
                <w:szCs w:val="18"/>
              </w:rPr>
              <w:t>Acceleon Pty Ltd</w:t>
            </w:r>
          </w:p>
        </w:tc>
        <w:tc>
          <w:tcPr>
            <w:tcW w:w="4721" w:type="dxa"/>
          </w:tcPr>
          <w:p w14:paraId="1836155B"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April 2011</w:t>
            </w:r>
          </w:p>
        </w:tc>
      </w:tr>
      <w:tr w:rsidR="003843A9" w:rsidRPr="00DE14A3" w14:paraId="0FFA83D3" w14:textId="77777777" w:rsidTr="00C43CBA">
        <w:trPr>
          <w:trHeight w:val="26"/>
        </w:trPr>
        <w:tc>
          <w:tcPr>
            <w:cnfStyle w:val="001000000000" w:firstRow="0" w:lastRow="0" w:firstColumn="1" w:lastColumn="0" w:oddVBand="0" w:evenVBand="0" w:oddHBand="0" w:evenHBand="0" w:firstRowFirstColumn="0" w:firstRowLastColumn="0" w:lastRowFirstColumn="0" w:lastRowLastColumn="0"/>
            <w:tcW w:w="4720" w:type="dxa"/>
          </w:tcPr>
          <w:p w14:paraId="7AACCF10" w14:textId="77777777" w:rsidR="003843A9" w:rsidRPr="00E211E1" w:rsidRDefault="003843A9" w:rsidP="00C43CBA">
            <w:pPr>
              <w:pStyle w:val="ACMATableText"/>
              <w:spacing w:before="0" w:after="0"/>
              <w:rPr>
                <w:szCs w:val="18"/>
              </w:rPr>
            </w:pPr>
            <w:r w:rsidRPr="00E211E1">
              <w:rPr>
                <w:szCs w:val="18"/>
              </w:rPr>
              <w:t>Notable Imprint Pty Ltd</w:t>
            </w:r>
          </w:p>
        </w:tc>
        <w:tc>
          <w:tcPr>
            <w:tcW w:w="4721" w:type="dxa"/>
          </w:tcPr>
          <w:p w14:paraId="529096EA" w14:textId="77777777" w:rsidR="003843A9" w:rsidRPr="004A0773" w:rsidRDefault="003843A9" w:rsidP="00C43CBA">
            <w:pPr>
              <w:pStyle w:val="ACMATableText"/>
              <w:spacing w:before="0" w:after="0"/>
              <w:jc w:val="left"/>
              <w:cnfStyle w:val="000000000000" w:firstRow="0" w:lastRow="0" w:firstColumn="0" w:lastColumn="0" w:oddVBand="0" w:evenVBand="0" w:oddHBand="0" w:evenHBand="0" w:firstRowFirstColumn="0" w:firstRowLastColumn="0" w:lastRowFirstColumn="0" w:lastRowLastColumn="0"/>
              <w:rPr>
                <w:szCs w:val="18"/>
              </w:rPr>
            </w:pPr>
            <w:r w:rsidRPr="004A0773">
              <w:rPr>
                <w:szCs w:val="18"/>
              </w:rPr>
              <w:t>October 2016</w:t>
            </w:r>
          </w:p>
        </w:tc>
      </w:tr>
    </w:tbl>
    <w:p w14:paraId="189FEFF3" w14:textId="77777777" w:rsidR="00206E49" w:rsidRDefault="00206E49" w:rsidP="005E2699">
      <w:pPr>
        <w:pStyle w:val="ACMANotes"/>
        <w:spacing w:before="120"/>
      </w:pPr>
      <w:r>
        <w:t>*Veda Advantage was purchased by Equifax Pty Ltd</w:t>
      </w:r>
      <w:r w:rsidR="00D95621">
        <w:t xml:space="preserve"> in 2016.</w:t>
      </w:r>
    </w:p>
    <w:p w14:paraId="4AC4FCE4" w14:textId="77777777" w:rsidR="003843A9" w:rsidRPr="0032755E" w:rsidRDefault="003843A9" w:rsidP="00C43CBA">
      <w:pPr>
        <w:pStyle w:val="ACMANotesspaceafter"/>
        <w:spacing w:after="360"/>
      </w:pPr>
      <w:r>
        <w:t>Source: IPND Manager.</w:t>
      </w:r>
      <w:r w:rsidR="00206E49" w:rsidRPr="00206E49">
        <w:rPr>
          <w:rFonts w:ascii="HelveticaNeueW01-45Ligh" w:hAnsi="HelveticaNeueW01-45Ligh"/>
          <w:color w:val="4D4D4F"/>
        </w:rPr>
        <w:t xml:space="preserve"> </w:t>
      </w:r>
    </w:p>
    <w:p w14:paraId="022698D7" w14:textId="77777777" w:rsidR="003843A9" w:rsidRPr="00F34A9C" w:rsidRDefault="003843A9" w:rsidP="003843A9">
      <w:pPr>
        <w:pStyle w:val="Heading2"/>
        <w:numPr>
          <w:ilvl w:val="1"/>
          <w:numId w:val="19"/>
        </w:numPr>
        <w:ind w:hanging="792"/>
      </w:pPr>
      <w:bookmarkStart w:id="1406" w:name="_Toc494799473"/>
      <w:bookmarkStart w:id="1407" w:name="_Toc494805776"/>
      <w:bookmarkStart w:id="1408" w:name="_Toc494806037"/>
      <w:bookmarkStart w:id="1409" w:name="_Toc494816078"/>
      <w:bookmarkStart w:id="1410" w:name="_Toc494819170"/>
      <w:bookmarkStart w:id="1411" w:name="_Toc494808267"/>
      <w:bookmarkStart w:id="1412" w:name="_Toc494808921"/>
      <w:bookmarkStart w:id="1413" w:name="_Toc494818936"/>
      <w:bookmarkStart w:id="1414" w:name="_Toc500320922"/>
      <w:r w:rsidRPr="00F34A9C">
        <w:t>Handling of life-threatening and unwelcome communications</w:t>
      </w:r>
      <w:bookmarkEnd w:id="1406"/>
      <w:bookmarkEnd w:id="1407"/>
      <w:bookmarkEnd w:id="1408"/>
      <w:bookmarkEnd w:id="1409"/>
      <w:bookmarkEnd w:id="1410"/>
      <w:bookmarkEnd w:id="1411"/>
      <w:bookmarkEnd w:id="1412"/>
      <w:bookmarkEnd w:id="1413"/>
      <w:bookmarkEnd w:id="1414"/>
      <w:r w:rsidRPr="00F34A9C">
        <w:t xml:space="preserve"> </w:t>
      </w:r>
    </w:p>
    <w:p w14:paraId="1DC213B3" w14:textId="77777777" w:rsidR="003843A9" w:rsidRPr="00603BA9" w:rsidRDefault="003843A9" w:rsidP="003843A9">
      <w:pPr>
        <w:rPr>
          <w:highlight w:val="yellow"/>
        </w:rPr>
      </w:pPr>
      <w:r w:rsidRPr="00603BA9">
        <w:t>On 23 February</w:t>
      </w:r>
      <w:r>
        <w:t xml:space="preserve"> 2017</w:t>
      </w:r>
      <w:r w:rsidRPr="00603BA9">
        <w:t xml:space="preserve">, the ACMA registered a new C525: 2017 </w:t>
      </w:r>
      <w:r w:rsidRPr="00603BA9">
        <w:rPr>
          <w:i/>
        </w:rPr>
        <w:t xml:space="preserve">Handling of Life Threatening and Unwelcome Communications Code. </w:t>
      </w:r>
      <w:r w:rsidRPr="00603BA9">
        <w:t xml:space="preserve">The code sets out obligations on carriers, CSPs and the NRS provider in responding to requests from customers and police to resolve life-threatening situations and unwelcome communications. The new code identified a need for specific rules for phone companies to follow when dealing with unwelcome calls made to helplines. Under new rules, CSPs will be able to suspend services </w:t>
      </w:r>
      <w:r w:rsidR="002466EC">
        <w:t xml:space="preserve">supplied </w:t>
      </w:r>
      <w:r w:rsidRPr="00603BA9">
        <w:t>to people who repeatedly make unwelcome calls</w:t>
      </w:r>
      <w:r>
        <w:t>—</w:t>
      </w:r>
      <w:r w:rsidRPr="00603BA9">
        <w:t>whether offensive, harassing or simply a nuisance</w:t>
      </w:r>
      <w:r>
        <w:t>—</w:t>
      </w:r>
      <w:r w:rsidRPr="00603BA9">
        <w:t>to helplines such as Lifeline.</w:t>
      </w:r>
    </w:p>
    <w:p w14:paraId="397A7839" w14:textId="77777777" w:rsidR="00D112FD" w:rsidRPr="00FD7E86" w:rsidRDefault="003843A9" w:rsidP="00D112FD">
      <w:pPr>
        <w:tabs>
          <w:tab w:val="left" w:pos="949"/>
        </w:tabs>
      </w:pPr>
      <w:r>
        <w:t>T</w:t>
      </w:r>
      <w:r w:rsidRPr="00603BA9">
        <w:t>he TIO confirmed it had found no breaches under this code</w:t>
      </w:r>
      <w:r w:rsidR="003B429C">
        <w:t>. N</w:t>
      </w:r>
      <w:r w:rsidRPr="00603BA9">
        <w:t xml:space="preserve">ew complaint issues increased </w:t>
      </w:r>
      <w:r>
        <w:t xml:space="preserve">by </w:t>
      </w:r>
      <w:r w:rsidRPr="00603BA9">
        <w:t xml:space="preserve">2.2 per cent from 413 </w:t>
      </w:r>
      <w:r>
        <w:t>in 2015</w:t>
      </w:r>
      <w:r w:rsidRPr="00797A8A">
        <w:t>–1</w:t>
      </w:r>
      <w:r>
        <w:t xml:space="preserve">6 </w:t>
      </w:r>
      <w:r w:rsidRPr="00603BA9">
        <w:t>to 422</w:t>
      </w:r>
      <w:r>
        <w:t xml:space="preserve"> i</w:t>
      </w:r>
      <w:r w:rsidRPr="00797A8A">
        <w:t>n 2016–17</w:t>
      </w:r>
      <w:r>
        <w:t>.</w:t>
      </w:r>
    </w:p>
    <w:p w14:paraId="2A62E40C" w14:textId="77777777" w:rsidR="00CF02AF" w:rsidRPr="00531CD0" w:rsidRDefault="00CF02AF" w:rsidP="00531CD0">
      <w:pPr>
        <w:pStyle w:val="ACMANotes"/>
      </w:pPr>
      <w:bookmarkStart w:id="1415" w:name="_Toc433790431"/>
      <w:bookmarkEnd w:id="1253"/>
      <w:bookmarkEnd w:id="1254"/>
      <w:bookmarkEnd w:id="1415"/>
    </w:p>
    <w:p w14:paraId="2ED362D2" w14:textId="77777777" w:rsidR="00763375" w:rsidRPr="00FD7E86" w:rsidRDefault="00763375" w:rsidP="00531CD0">
      <w:pPr>
        <w:pStyle w:val="ACMANotes"/>
        <w:sectPr w:rsidR="00763375" w:rsidRPr="00FD7E86" w:rsidSect="00604073">
          <w:headerReference w:type="even" r:id="rId105"/>
          <w:headerReference w:type="default" r:id="rId106"/>
          <w:endnotePr>
            <w:numFmt w:val="decimal"/>
            <w:numRestart w:val="eachSect"/>
          </w:endnotePr>
          <w:pgSz w:w="11907" w:h="16839" w:code="9"/>
          <w:pgMar w:top="1985" w:right="1134" w:bottom="1134" w:left="1134" w:header="709" w:footer="119" w:gutter="284"/>
          <w:cols w:space="708"/>
          <w:docGrid w:linePitch="360"/>
        </w:sectPr>
      </w:pPr>
    </w:p>
    <w:p w14:paraId="7E82F08C" w14:textId="77777777" w:rsidR="00CA19A4" w:rsidRPr="00EE11DD" w:rsidRDefault="00CA19A4" w:rsidP="00CA19A4">
      <w:pPr>
        <w:pStyle w:val="Heading1"/>
        <w:numPr>
          <w:ilvl w:val="0"/>
          <w:numId w:val="12"/>
        </w:numPr>
        <w:ind w:left="851" w:hanging="851"/>
      </w:pPr>
      <w:bookmarkStart w:id="1416" w:name="_Toc494799474"/>
      <w:bookmarkStart w:id="1417" w:name="_Toc494805777"/>
      <w:bookmarkStart w:id="1418" w:name="_Toc494806039"/>
      <w:bookmarkStart w:id="1419" w:name="_Toc494808269"/>
      <w:bookmarkStart w:id="1420" w:name="_Toc494808924"/>
      <w:bookmarkStart w:id="1421" w:name="_Toc494816079"/>
      <w:bookmarkStart w:id="1422" w:name="_Toc494818938"/>
      <w:bookmarkStart w:id="1423" w:name="_Toc494819171"/>
      <w:bookmarkStart w:id="1424" w:name="_Toc500320923"/>
      <w:bookmarkStart w:id="1425" w:name="_Toc462909493"/>
      <w:bookmarkStart w:id="1426" w:name="_Toc462899692"/>
      <w:bookmarkStart w:id="1427" w:name="_Toc433790441"/>
      <w:bookmarkStart w:id="1428" w:name="_Toc463529187"/>
      <w:r w:rsidRPr="00EE11DD">
        <w:t>Telecommunications consumer safeguards and quality of service</w:t>
      </w:r>
      <w:bookmarkEnd w:id="1416"/>
      <w:bookmarkEnd w:id="1417"/>
      <w:bookmarkEnd w:id="1418"/>
      <w:bookmarkEnd w:id="1419"/>
      <w:bookmarkEnd w:id="1420"/>
      <w:bookmarkEnd w:id="1421"/>
      <w:bookmarkEnd w:id="1422"/>
      <w:bookmarkEnd w:id="1423"/>
      <w:bookmarkEnd w:id="1424"/>
    </w:p>
    <w:bookmarkEnd w:id="1425"/>
    <w:p w14:paraId="0501FC15" w14:textId="436455FE" w:rsidR="008D713D" w:rsidRPr="005A39F1" w:rsidRDefault="009100F4" w:rsidP="008D713D">
      <w:pPr>
        <w:rPr>
          <w:rFonts w:cs="Arial"/>
          <w:color w:val="37897E"/>
        </w:rPr>
      </w:pPr>
      <w:r w:rsidRPr="005A39F1">
        <w:rPr>
          <w:rFonts w:cs="Arial"/>
          <w:color w:val="37897E"/>
        </w:rPr>
        <w:t>This chapter</w:t>
      </w:r>
      <w:r w:rsidR="007F72BA" w:rsidRPr="005A39F1">
        <w:rPr>
          <w:color w:val="37897E"/>
        </w:rPr>
        <w:t xml:space="preserve"> </w:t>
      </w:r>
      <w:r w:rsidR="007F72BA" w:rsidRPr="005A39F1">
        <w:rPr>
          <w:rFonts w:cs="Arial"/>
          <w:color w:val="37897E"/>
        </w:rPr>
        <w:t xml:space="preserve">reports on </w:t>
      </w:r>
      <w:r w:rsidR="007F72BA" w:rsidRPr="005A39F1">
        <w:rPr>
          <w:color w:val="37897E"/>
        </w:rPr>
        <w:t xml:space="preserve">the </w:t>
      </w:r>
      <w:r w:rsidR="008D713D" w:rsidRPr="005A39F1">
        <w:rPr>
          <w:color w:val="37897E"/>
        </w:rPr>
        <w:t xml:space="preserve">efficiency of the supply of telecommunications services, the adequacy and quality of these services, and carrier and CSP obligations </w:t>
      </w:r>
      <w:r w:rsidRPr="005A39F1">
        <w:rPr>
          <w:color w:val="37897E"/>
        </w:rPr>
        <w:t>for</w:t>
      </w:r>
      <w:r w:rsidR="008D713D" w:rsidRPr="005A39F1">
        <w:rPr>
          <w:color w:val="37897E"/>
        </w:rPr>
        <w:t xml:space="preserve"> codes and standards. It </w:t>
      </w:r>
      <w:r w:rsidR="007F72BA" w:rsidRPr="005A39F1">
        <w:rPr>
          <w:color w:val="37897E"/>
        </w:rPr>
        <w:t>also</w:t>
      </w:r>
      <w:r w:rsidR="008D713D" w:rsidRPr="005A39F1">
        <w:rPr>
          <w:color w:val="37897E"/>
        </w:rPr>
        <w:t xml:space="preserve"> presents analysis and information about the telecommunications industry’s performance in meeting key regulatory obligations, including the Customer Service Guarantee Standard (CSG Standard), the Network Reliability Framework (NRF), provision of priority assistance to customers, number portability, telemarketing and spam investigations, industry compliance with telecommunications codes and trends in TIO complaints.</w:t>
      </w:r>
      <w:r w:rsidRPr="005A39F1">
        <w:rPr>
          <w:rFonts w:cs="Arial"/>
          <w:color w:val="37897E"/>
        </w:rPr>
        <w:t xml:space="preserve"> </w:t>
      </w:r>
      <w:r w:rsidR="00A74165">
        <w:rPr>
          <w:rFonts w:cs="Arial"/>
          <w:color w:val="37897E"/>
        </w:rPr>
        <w:t>This chapter</w:t>
      </w:r>
      <w:r w:rsidR="005A39F1" w:rsidRPr="005A39F1">
        <w:rPr>
          <w:rFonts w:cs="Arial"/>
          <w:color w:val="37897E"/>
        </w:rPr>
        <w:t> </w:t>
      </w:r>
      <w:r w:rsidR="005D0EC0" w:rsidRPr="005A39F1">
        <w:rPr>
          <w:rFonts w:cs="Arial"/>
          <w:color w:val="37897E"/>
        </w:rPr>
        <w:t>addresses</w:t>
      </w:r>
      <w:r w:rsidRPr="005A39F1">
        <w:rPr>
          <w:rFonts w:cs="Arial"/>
          <w:color w:val="37897E"/>
        </w:rPr>
        <w:t xml:space="preserve"> the statutory requirements under </w:t>
      </w:r>
      <w:r w:rsidRPr="005A39F1">
        <w:rPr>
          <w:color w:val="37897E"/>
        </w:rPr>
        <w:t>paragraphs 105(3)(a),</w:t>
      </w:r>
      <w:r w:rsidR="003767C3">
        <w:rPr>
          <w:color w:val="37897E"/>
        </w:rPr>
        <w:t xml:space="preserve"> </w:t>
      </w:r>
      <w:r w:rsidRPr="005A39F1">
        <w:rPr>
          <w:color w:val="37897E"/>
        </w:rPr>
        <w:t>(b), (c), (d), (e) and (ea)</w:t>
      </w:r>
      <w:r w:rsidR="005D0EC0" w:rsidRPr="005A39F1">
        <w:rPr>
          <w:color w:val="37897E"/>
        </w:rPr>
        <w:t>,</w:t>
      </w:r>
      <w:r w:rsidRPr="005A39F1">
        <w:rPr>
          <w:color w:val="37897E"/>
        </w:rPr>
        <w:t xml:space="preserve"> and subsection 105(4) of the Telecommunications Act.</w:t>
      </w:r>
    </w:p>
    <w:p w14:paraId="383077AB" w14:textId="77777777" w:rsidR="008D713D" w:rsidRDefault="008D713D" w:rsidP="008D713D">
      <w:pPr>
        <w:pStyle w:val="Heading3"/>
      </w:pPr>
      <w:r>
        <w:t xml:space="preserve">Key points for </w:t>
      </w:r>
      <w:r w:rsidRPr="001A4BCF">
        <w:t>2016–17</w:t>
      </w:r>
    </w:p>
    <w:p w14:paraId="366BB671" w14:textId="77777777" w:rsidR="008D713D" w:rsidRPr="008C549B" w:rsidRDefault="008D713D" w:rsidP="00F3697E">
      <w:pPr>
        <w:pStyle w:val="ListBullet"/>
      </w:pPr>
      <w:r w:rsidRPr="008C549B">
        <w:t>The CSG Standard covered 6.22 million services and all qualifying CSPs met the CSG performance benchmarks</w:t>
      </w:r>
      <w:r w:rsidR="008C549B" w:rsidRPr="008C549B">
        <w:t xml:space="preserve"> based on the reporting provided</w:t>
      </w:r>
      <w:r w:rsidRPr="008C549B">
        <w:t>.</w:t>
      </w:r>
    </w:p>
    <w:p w14:paraId="5D42D881" w14:textId="35133214" w:rsidR="008D713D" w:rsidRPr="008C549B" w:rsidRDefault="008D713D" w:rsidP="00964E5F">
      <w:pPr>
        <w:pStyle w:val="ListBullet"/>
      </w:pPr>
      <w:r w:rsidRPr="002217B5">
        <w:t>There was a</w:t>
      </w:r>
      <w:r w:rsidR="0027356A" w:rsidRPr="00344D90">
        <w:t>n</w:t>
      </w:r>
      <w:r w:rsidRPr="00300809">
        <w:t xml:space="preserve"> increase in the amount of compensation paid to customers as a result of </w:t>
      </w:r>
      <w:r w:rsidR="00EA303F" w:rsidRPr="00300809">
        <w:t>C</w:t>
      </w:r>
      <w:r w:rsidR="00593915" w:rsidRPr="00300809">
        <w:t>SP</w:t>
      </w:r>
      <w:r w:rsidR="00EA303F" w:rsidRPr="00300809">
        <w:t xml:space="preserve">s </w:t>
      </w:r>
      <w:r w:rsidRPr="00300809">
        <w:t>failing to meet CSG Standard time frames—up 29 per cent to $20.82 m</w:t>
      </w:r>
      <w:r w:rsidRPr="006D736B">
        <w:t xml:space="preserve">illion. </w:t>
      </w:r>
      <w:r w:rsidR="0027356A" w:rsidRPr="001630DE">
        <w:t>This increase is</w:t>
      </w:r>
      <w:r w:rsidR="00471AE8">
        <w:t>,</w:t>
      </w:r>
      <w:r w:rsidR="0027356A" w:rsidRPr="001630DE">
        <w:t xml:space="preserve"> in part</w:t>
      </w:r>
      <w:r w:rsidR="00471AE8">
        <w:t>,</w:t>
      </w:r>
      <w:r w:rsidR="0027356A" w:rsidRPr="001630DE">
        <w:t xml:space="preserve"> a reflection of retailers of </w:t>
      </w:r>
      <w:r w:rsidR="006C5175" w:rsidRPr="008C549B">
        <w:t>NBN</w:t>
      </w:r>
      <w:r w:rsidR="0027356A" w:rsidRPr="008C549B">
        <w:t xml:space="preserve"> services claiming fewer exemptions from the CSG service standards. </w:t>
      </w:r>
    </w:p>
    <w:p w14:paraId="6878A354" w14:textId="77777777" w:rsidR="008D713D" w:rsidRPr="008D713D" w:rsidRDefault="008D713D" w:rsidP="00DC2B04">
      <w:pPr>
        <w:pStyle w:val="ListBullet"/>
      </w:pPr>
      <w:r w:rsidRPr="008D713D">
        <w:t xml:space="preserve">The total number of payphones decreased by 5.5 per cent to 23,226. </w:t>
      </w:r>
    </w:p>
    <w:p w14:paraId="771EBEE1" w14:textId="77777777" w:rsidR="008D713D" w:rsidRPr="008D713D" w:rsidRDefault="008D713D" w:rsidP="00DC2B04">
      <w:pPr>
        <w:pStyle w:val="ListBullet"/>
      </w:pPr>
      <w:r w:rsidRPr="008D713D">
        <w:t xml:space="preserve">There was an increase in the amount of </w:t>
      </w:r>
      <w:r w:rsidR="009372C1" w:rsidRPr="008D713D">
        <w:t>numbers ported</w:t>
      </w:r>
      <w:r w:rsidR="009372C1">
        <w:t xml:space="preserve">—to </w:t>
      </w:r>
      <w:r w:rsidR="009372C1" w:rsidRPr="008D713D">
        <w:t xml:space="preserve">1.3 million </w:t>
      </w:r>
      <w:r w:rsidRPr="008D713D">
        <w:t xml:space="preserve">local </w:t>
      </w:r>
      <w:r w:rsidR="009372C1">
        <w:t>numbers</w:t>
      </w:r>
      <w:r w:rsidRPr="008D713D">
        <w:t xml:space="preserve"> and </w:t>
      </w:r>
      <w:r w:rsidR="009372C1">
        <w:t>1.87 </w:t>
      </w:r>
      <w:r w:rsidR="009372C1" w:rsidRPr="008D713D">
        <w:t xml:space="preserve">million </w:t>
      </w:r>
      <w:r w:rsidRPr="008D713D">
        <w:t>mobile phone</w:t>
      </w:r>
      <w:r w:rsidR="009372C1">
        <w:t xml:space="preserve"> numbers</w:t>
      </w:r>
      <w:r w:rsidRPr="008D713D">
        <w:t xml:space="preserve">. </w:t>
      </w:r>
    </w:p>
    <w:p w14:paraId="718DB71F" w14:textId="77777777" w:rsidR="008D713D" w:rsidRPr="008D713D" w:rsidRDefault="008D713D" w:rsidP="00E36CF4">
      <w:pPr>
        <w:pStyle w:val="ListBullet"/>
      </w:pPr>
      <w:r w:rsidRPr="008D713D">
        <w:t xml:space="preserve">There were 146 partners in the Australian Internet Security Initiative (AISI), with these partners estimated to cover more than 95 per cent of allocated Australian IP address ranges. </w:t>
      </w:r>
    </w:p>
    <w:p w14:paraId="64B703FD" w14:textId="77777777" w:rsidR="008D713D" w:rsidRPr="008D713D" w:rsidRDefault="008D713D" w:rsidP="00476770">
      <w:pPr>
        <w:pStyle w:val="ListBullet"/>
      </w:pPr>
      <w:r w:rsidRPr="008D713D">
        <w:t>The average number of AISI malware reports per day increased significantly in December 2016 to 41,281, up from an average 8,557 in 2015</w:t>
      </w:r>
      <w:r w:rsidR="009372C1">
        <w:t>–</w:t>
      </w:r>
      <w:r w:rsidRPr="008D713D">
        <w:t>16. A total of 38.5 million daily observations of malware infections were reported to AISI partners in 2016–17, averaging 3.2 million infections per month.</w:t>
      </w:r>
    </w:p>
    <w:p w14:paraId="5C20F81F" w14:textId="77777777" w:rsidR="008D713D" w:rsidRPr="008D713D" w:rsidRDefault="008D713D" w:rsidP="00476770">
      <w:pPr>
        <w:pStyle w:val="ListBullet"/>
      </w:pPr>
      <w:r w:rsidRPr="008D713D">
        <w:t>The total numbers registered on the Do Not Call Register (DNCR) reached 11.02 million.</w:t>
      </w:r>
    </w:p>
    <w:p w14:paraId="77DB96B9" w14:textId="77777777" w:rsidR="008D713D" w:rsidRPr="008D713D" w:rsidRDefault="008D713D">
      <w:pPr>
        <w:pStyle w:val="ListBullet"/>
      </w:pPr>
      <w:r w:rsidRPr="008D713D">
        <w:t>The number of complaints the ACMA received about telemarketing increased by 22.5 per cent from 23,014 to 28,197.</w:t>
      </w:r>
    </w:p>
    <w:p w14:paraId="3E3232C4" w14:textId="0D92D11F" w:rsidR="008D713D" w:rsidRDefault="008D713D" w:rsidP="005D0EC0">
      <w:pPr>
        <w:pStyle w:val="ListBullet"/>
      </w:pPr>
      <w:r w:rsidRPr="00DD4CB8">
        <w:t xml:space="preserve">The number of complaints to the TIO increased, with 158,016 new complaints (up by </w:t>
      </w:r>
      <w:r w:rsidR="00A654C2">
        <w:t>41.</w:t>
      </w:r>
      <w:r w:rsidR="005A39F1">
        <w:t>1</w:t>
      </w:r>
      <w:r w:rsidR="00A654C2" w:rsidRPr="00DD4CB8">
        <w:t xml:space="preserve"> </w:t>
      </w:r>
      <w:r w:rsidRPr="00DD4CB8">
        <w:t xml:space="preserve">per cent compared to 2015–16). </w:t>
      </w:r>
    </w:p>
    <w:p w14:paraId="26D250E9" w14:textId="77777777" w:rsidR="006D7C19" w:rsidRDefault="006D7C19">
      <w:pPr>
        <w:pStyle w:val="ListBulletLast"/>
      </w:pPr>
      <w:bookmarkStart w:id="1429" w:name="_Toc462909494"/>
      <w:bookmarkStart w:id="1430" w:name="_Toc494799476"/>
      <w:bookmarkStart w:id="1431" w:name="_Toc494805779"/>
      <w:bookmarkStart w:id="1432" w:name="_Toc494806043"/>
      <w:bookmarkStart w:id="1433" w:name="_Toc494808273"/>
      <w:bookmarkStart w:id="1434" w:name="_Toc494808928"/>
      <w:bookmarkStart w:id="1435" w:name="_Toc494816081"/>
      <w:bookmarkStart w:id="1436" w:name="_Toc494818942"/>
      <w:bookmarkStart w:id="1437" w:name="_Toc494819173"/>
      <w:bookmarkStart w:id="1438" w:name="_Toc287540178"/>
      <w:bookmarkStart w:id="1439" w:name="_Toc308517202"/>
      <w:bookmarkStart w:id="1440" w:name="_Toc308523642"/>
      <w:bookmarkStart w:id="1441" w:name="_Toc312157157"/>
      <w:bookmarkStart w:id="1442" w:name="_Toc371589037"/>
      <w:bookmarkStart w:id="1443" w:name="_Toc373149099"/>
      <w:r>
        <w:t xml:space="preserve">NBN-specific complaints to the TIO rose by 159 per cent in the year to 2016–17, </w:t>
      </w:r>
      <w:r w:rsidR="005D0EC0">
        <w:t xml:space="preserve">with </w:t>
      </w:r>
      <w:r>
        <w:t xml:space="preserve">the majority about </w:t>
      </w:r>
      <w:r w:rsidR="00F604C2">
        <w:t xml:space="preserve">service faults. </w:t>
      </w:r>
    </w:p>
    <w:p w14:paraId="6D76CDF6" w14:textId="77777777" w:rsidR="008D713D" w:rsidRPr="002B6EFC" w:rsidRDefault="008D713D" w:rsidP="008D713D">
      <w:pPr>
        <w:pStyle w:val="Heading2"/>
        <w:numPr>
          <w:ilvl w:val="1"/>
          <w:numId w:val="20"/>
        </w:numPr>
        <w:ind w:hanging="792"/>
      </w:pPr>
      <w:bookmarkStart w:id="1444" w:name="_Toc500320924"/>
      <w:r w:rsidRPr="002B6EFC">
        <w:t>Telecommunications Industry Levy and public policy outcomes</w:t>
      </w:r>
      <w:bookmarkEnd w:id="1429"/>
      <w:bookmarkEnd w:id="1430"/>
      <w:bookmarkEnd w:id="1431"/>
      <w:bookmarkEnd w:id="1432"/>
      <w:bookmarkEnd w:id="1433"/>
      <w:bookmarkEnd w:id="1434"/>
      <w:bookmarkEnd w:id="1435"/>
      <w:bookmarkEnd w:id="1436"/>
      <w:bookmarkEnd w:id="1437"/>
      <w:bookmarkEnd w:id="1444"/>
      <w:r w:rsidRPr="002B6EFC">
        <w:t xml:space="preserve"> </w:t>
      </w:r>
    </w:p>
    <w:p w14:paraId="01C855F9" w14:textId="77777777" w:rsidR="008D713D" w:rsidRPr="00744754" w:rsidRDefault="008D713D" w:rsidP="005D0EC0">
      <w:pPr>
        <w:keepNext/>
        <w:keepLines/>
        <w:spacing w:after="80"/>
      </w:pPr>
      <w:r w:rsidRPr="00744754">
        <w:t xml:space="preserve">The </w:t>
      </w:r>
      <w:r w:rsidR="009817BB" w:rsidRPr="009817BB">
        <w:t xml:space="preserve">Telecommunications Industry Levy </w:t>
      </w:r>
      <w:r w:rsidR="009817BB">
        <w:t>(</w:t>
      </w:r>
      <w:r w:rsidRPr="00744754">
        <w:t>TIL</w:t>
      </w:r>
      <w:r w:rsidR="009817BB">
        <w:t>)</w:t>
      </w:r>
      <w:r w:rsidRPr="00744754">
        <w:t xml:space="preserve"> funds the residual costs (after government funding) of pay</w:t>
      </w:r>
      <w:r w:rsidR="009817BB">
        <w:t>ing</w:t>
      </w:r>
      <w:r w:rsidRPr="00744754">
        <w:t xml:space="preserve"> contractors and grant recipients, and eligible administrative costs, to ensure continuity of key telecommunications safeguards</w:t>
      </w:r>
      <w:r w:rsidR="005D0EC0">
        <w:t>.</w:t>
      </w:r>
      <w:r w:rsidR="007F72BA">
        <w:rPr>
          <w:rStyle w:val="EndnoteReference"/>
        </w:rPr>
        <w:endnoteReference w:id="242"/>
      </w:r>
      <w:r w:rsidRPr="00744754">
        <w:t xml:space="preserve"> </w:t>
      </w:r>
      <w:r w:rsidR="009817BB" w:rsidRPr="00744754">
        <w:t>This</w:t>
      </w:r>
      <w:r w:rsidRPr="00744754">
        <w:t xml:space="preserve"> levy provides funding for:</w:t>
      </w:r>
    </w:p>
    <w:p w14:paraId="7D96F1D1" w14:textId="77777777" w:rsidR="008D713D" w:rsidRPr="009817BB" w:rsidRDefault="008D713D" w:rsidP="005D0EC0">
      <w:pPr>
        <w:pStyle w:val="ListBullet"/>
        <w:keepNext/>
        <w:keepLines/>
      </w:pPr>
      <w:r w:rsidRPr="009817BB">
        <w:t>reasonably accessible standard telephone services and payphone services to all Australians on an equitable basis, wherever they reside or carry on business</w:t>
      </w:r>
      <w:r w:rsidR="009817BB">
        <w:t>—</w:t>
      </w:r>
      <w:r w:rsidRPr="009817BB">
        <w:t>the</w:t>
      </w:r>
      <w:r w:rsidR="009817BB">
        <w:t xml:space="preserve"> </w:t>
      </w:r>
      <w:r w:rsidRPr="009817BB">
        <w:t>universal service obligation (USO)</w:t>
      </w:r>
    </w:p>
    <w:p w14:paraId="22C7E042" w14:textId="77777777" w:rsidR="008D713D" w:rsidRPr="009817BB" w:rsidRDefault="008D713D" w:rsidP="005D0EC0">
      <w:pPr>
        <w:pStyle w:val="ListBullet"/>
        <w:keepNext/>
        <w:keepLines/>
      </w:pPr>
      <w:r w:rsidRPr="009817BB">
        <w:t>a national telephone service to enable people who are deaf or have a hearing and/or speech impairment to make and receive telephone calls</w:t>
      </w:r>
      <w:r w:rsidR="009817BB">
        <w:t xml:space="preserve"> </w:t>
      </w:r>
      <w:r w:rsidRPr="009817BB">
        <w:t>wherever they reside or carry on business</w:t>
      </w:r>
      <w:r w:rsidR="009817BB">
        <w:t xml:space="preserve">—the </w:t>
      </w:r>
      <w:r w:rsidR="009817BB" w:rsidRPr="009817BB">
        <w:t>NRS</w:t>
      </w:r>
    </w:p>
    <w:p w14:paraId="68F2FBCC" w14:textId="77777777" w:rsidR="008D713D" w:rsidRPr="00744754" w:rsidRDefault="008D713D" w:rsidP="005D0EC0">
      <w:pPr>
        <w:pStyle w:val="ListBullet"/>
        <w:keepNext/>
        <w:keepLines/>
      </w:pPr>
      <w:r w:rsidRPr="009817BB">
        <w:t>end users</w:t>
      </w:r>
      <w:r w:rsidRPr="00744754">
        <w:t xml:space="preserve"> of standard telephone services in Australia to have access, free of charge, to an emergency call service </w:t>
      </w:r>
    </w:p>
    <w:p w14:paraId="4CB2A750" w14:textId="77777777" w:rsidR="008D713D" w:rsidRPr="00744754" w:rsidRDefault="008D713D" w:rsidP="00964E5F">
      <w:pPr>
        <w:pStyle w:val="ListBulletLast"/>
      </w:pPr>
      <w:r w:rsidRPr="009817BB">
        <w:t>delivery</w:t>
      </w:r>
      <w:r w:rsidRPr="00744754">
        <w:t xml:space="preserve"> of other public policy telecommunications outcomes</w:t>
      </w:r>
      <w:r w:rsidR="009817BB">
        <w:t>;</w:t>
      </w:r>
      <w:r w:rsidRPr="00744754">
        <w:t xml:space="preserve"> for example, untimed local calls.</w:t>
      </w:r>
    </w:p>
    <w:p w14:paraId="7CC9789B" w14:textId="77777777" w:rsidR="008D713D" w:rsidRPr="00744754" w:rsidRDefault="008D713D" w:rsidP="000A743E">
      <w:pPr>
        <w:keepNext/>
        <w:rPr>
          <w:rFonts w:cs="Arial"/>
        </w:rPr>
      </w:pPr>
      <w:r w:rsidRPr="00744754">
        <w:rPr>
          <w:rFonts w:cs="Arial"/>
        </w:rPr>
        <w:t xml:space="preserve">The ACMA is </w:t>
      </w:r>
      <w:r w:rsidRPr="00744754">
        <w:t xml:space="preserve">responsible for the billing and collection of the </w:t>
      </w:r>
      <w:r w:rsidRPr="00CB5BBF">
        <w:rPr>
          <w:rFonts w:cs="Arial"/>
        </w:rPr>
        <w:t>TIL</w:t>
      </w:r>
      <w:r w:rsidR="009817BB">
        <w:rPr>
          <w:rFonts w:cs="Arial"/>
        </w:rPr>
        <w:t>,</w:t>
      </w:r>
      <w:r w:rsidRPr="00CB5BBF">
        <w:rPr>
          <w:rFonts w:cs="Arial"/>
        </w:rPr>
        <w:t xml:space="preserve"> </w:t>
      </w:r>
      <w:r>
        <w:rPr>
          <w:rFonts w:cs="Arial"/>
        </w:rPr>
        <w:t xml:space="preserve">and </w:t>
      </w:r>
      <w:r w:rsidR="009817BB">
        <w:rPr>
          <w:rFonts w:cs="Arial"/>
        </w:rPr>
        <w:t>DoCA</w:t>
      </w:r>
      <w:r w:rsidRPr="00744754">
        <w:rPr>
          <w:rFonts w:cs="Arial"/>
        </w:rPr>
        <w:t xml:space="preserve"> manage</w:t>
      </w:r>
      <w:r>
        <w:rPr>
          <w:rFonts w:cs="Arial"/>
        </w:rPr>
        <w:t>s</w:t>
      </w:r>
      <w:r w:rsidRPr="00744754">
        <w:rPr>
          <w:rFonts w:cs="Arial"/>
        </w:rPr>
        <w:t xml:space="preserve"> contractual arrangements and service provider payments. </w:t>
      </w:r>
    </w:p>
    <w:p w14:paraId="5824DCA0" w14:textId="77777777" w:rsidR="008D713D" w:rsidRPr="00744754" w:rsidRDefault="008D713D" w:rsidP="000A743E">
      <w:pPr>
        <w:pStyle w:val="Heading3"/>
      </w:pPr>
      <w:bookmarkStart w:id="1445" w:name="_Toc399331779"/>
      <w:bookmarkStart w:id="1446" w:name="_Toc399336960"/>
      <w:bookmarkStart w:id="1447" w:name="_Toc402337561"/>
      <w:bookmarkStart w:id="1448" w:name="_Toc433790406"/>
      <w:bookmarkStart w:id="1449" w:name="_Toc494799477"/>
      <w:bookmarkStart w:id="1450" w:name="_Toc494805780"/>
      <w:bookmarkStart w:id="1451" w:name="_Toc494806044"/>
      <w:bookmarkStart w:id="1452" w:name="_Toc494808274"/>
      <w:bookmarkStart w:id="1453" w:name="_Toc494808929"/>
      <w:bookmarkStart w:id="1454" w:name="_Toc494816348"/>
      <w:bookmarkStart w:id="1455" w:name="_Toc494818943"/>
      <w:bookmarkStart w:id="1456" w:name="_Toc494819174"/>
      <w:r w:rsidRPr="00744754">
        <w:t>Industry levies and payments</w:t>
      </w:r>
      <w:bookmarkEnd w:id="1438"/>
      <w:bookmarkEnd w:id="1439"/>
      <w:bookmarkEnd w:id="1440"/>
      <w:bookmarkEnd w:id="1441"/>
      <w:bookmarkEnd w:id="1442"/>
      <w:bookmarkEnd w:id="1443"/>
      <w:bookmarkEnd w:id="1445"/>
      <w:bookmarkEnd w:id="1446"/>
      <w:bookmarkEnd w:id="1447"/>
      <w:bookmarkEnd w:id="1448"/>
      <w:bookmarkEnd w:id="1449"/>
      <w:bookmarkEnd w:id="1450"/>
      <w:bookmarkEnd w:id="1451"/>
      <w:bookmarkEnd w:id="1452"/>
      <w:bookmarkEnd w:id="1453"/>
      <w:bookmarkEnd w:id="1454"/>
      <w:bookmarkEnd w:id="1455"/>
      <w:bookmarkEnd w:id="1456"/>
    </w:p>
    <w:p w14:paraId="1930CBF5" w14:textId="77777777" w:rsidR="008D713D" w:rsidRDefault="008D713D" w:rsidP="000A743E">
      <w:pPr>
        <w:keepNext/>
      </w:pPr>
      <w:r w:rsidRPr="00744754">
        <w:t xml:space="preserve">The TIL amount </w:t>
      </w:r>
      <w:r>
        <w:t>for a</w:t>
      </w:r>
      <w:r w:rsidRPr="00744754">
        <w:t xml:space="preserve"> licensed telecommunications carrier</w:t>
      </w:r>
      <w:r w:rsidRPr="00744754" w:rsidDel="007761F9">
        <w:t xml:space="preserve"> </w:t>
      </w:r>
      <w:r w:rsidRPr="00744754">
        <w:t xml:space="preserve">is the amount that carrier must contribute to the cost of funding the activities </w:t>
      </w:r>
      <w:r>
        <w:t>described above</w:t>
      </w:r>
      <w:r w:rsidRPr="00744754">
        <w:t xml:space="preserve">. </w:t>
      </w:r>
      <w:r w:rsidRPr="00744754">
        <w:rPr>
          <w:lang w:val="en"/>
        </w:rPr>
        <w:t>Carriers with eligible r</w:t>
      </w:r>
      <w:r>
        <w:rPr>
          <w:lang w:val="en"/>
        </w:rPr>
        <w:t>evenue of $25 million (‘</w:t>
      </w:r>
      <w:r w:rsidRPr="00744754">
        <w:t>participating persons</w:t>
      </w:r>
      <w:r>
        <w:t>’)</w:t>
      </w:r>
      <w:r w:rsidRPr="00744754">
        <w:t xml:space="preserve"> </w:t>
      </w:r>
      <w:r>
        <w:rPr>
          <w:lang w:val="en"/>
        </w:rPr>
        <w:t xml:space="preserve">or more are required to pay the TIL. </w:t>
      </w:r>
      <w:r w:rsidRPr="00744754">
        <w:t>Contributions are, in general, proportionate to th</w:t>
      </w:r>
      <w:r>
        <w:t>e</w:t>
      </w:r>
      <w:r w:rsidRPr="00744754">
        <w:t xml:space="preserve"> participating person’s share of the industry’s total eligible revenue for the relevant period. </w:t>
      </w:r>
      <w:bookmarkStart w:id="1457" w:name="_Toc371589038"/>
      <w:bookmarkStart w:id="1458" w:name="_Toc373149100"/>
      <w:bookmarkStart w:id="1459" w:name="_Toc399331780"/>
      <w:bookmarkStart w:id="1460" w:name="_Toc399336961"/>
      <w:bookmarkStart w:id="1461" w:name="_Toc402337562"/>
      <w:bookmarkStart w:id="1462" w:name="_Toc433790407"/>
    </w:p>
    <w:p w14:paraId="000D23B7" w14:textId="77777777" w:rsidR="008D713D" w:rsidRPr="00744754" w:rsidRDefault="008D713D" w:rsidP="003D67C0">
      <w:pPr>
        <w:pStyle w:val="Heading3"/>
      </w:pPr>
      <w:bookmarkStart w:id="1463" w:name="_Toc494799478"/>
      <w:bookmarkStart w:id="1464" w:name="_Toc494805781"/>
      <w:bookmarkStart w:id="1465" w:name="_Toc494806045"/>
      <w:bookmarkStart w:id="1466" w:name="_Toc494808275"/>
      <w:bookmarkStart w:id="1467" w:name="_Toc494808930"/>
      <w:bookmarkStart w:id="1468" w:name="_Toc494816349"/>
      <w:bookmarkStart w:id="1469" w:name="_Toc494818944"/>
      <w:bookmarkStart w:id="1470" w:name="_Toc494819175"/>
      <w:r w:rsidRPr="00744754">
        <w:t>Final TIL assessment</w:t>
      </w:r>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p>
    <w:p w14:paraId="131FCF51" w14:textId="1B8D42B4" w:rsidR="008D713D" w:rsidRDefault="008D713D" w:rsidP="00964E5F">
      <w:r>
        <w:t xml:space="preserve">Following advice from </w:t>
      </w:r>
      <w:r w:rsidR="009817BB">
        <w:t>DOCA</w:t>
      </w:r>
      <w:r w:rsidRPr="00744754">
        <w:t xml:space="preserve">, the </w:t>
      </w:r>
      <w:r w:rsidRPr="0096534A">
        <w:t>Acting Secretary</w:t>
      </w:r>
      <w:r>
        <w:t xml:space="preserve"> of the </w:t>
      </w:r>
      <w:r w:rsidR="009817BB">
        <w:t>d</w:t>
      </w:r>
      <w:r>
        <w:t>epartment</w:t>
      </w:r>
      <w:r w:rsidRPr="00744754">
        <w:t xml:space="preserve"> </w:t>
      </w:r>
      <w:r w:rsidRPr="008807D5">
        <w:t>determined on 13 October 2016 that</w:t>
      </w:r>
      <w:r w:rsidRPr="00744754">
        <w:t xml:space="preserve"> the amount of TI</w:t>
      </w:r>
      <w:r>
        <w:t xml:space="preserve">L to be collected for </w:t>
      </w:r>
      <w:r w:rsidRPr="008807D5">
        <w:t>the 2015</w:t>
      </w:r>
      <w:r>
        <w:t>–</w:t>
      </w:r>
      <w:r w:rsidRPr="008807D5">
        <w:t>16</w:t>
      </w:r>
      <w:r w:rsidRPr="00744754">
        <w:t xml:space="preserve"> </w:t>
      </w:r>
      <w:r>
        <w:t>Eligible Levy Period (</w:t>
      </w:r>
      <w:r w:rsidRPr="00744754">
        <w:t>ELP</w:t>
      </w:r>
      <w:r>
        <w:t>)</w:t>
      </w:r>
      <w:r w:rsidRPr="00744754">
        <w:t xml:space="preserve"> </w:t>
      </w:r>
      <w:r w:rsidRPr="008807D5">
        <w:t>was $217,744,000</w:t>
      </w:r>
      <w:r w:rsidR="00A74165">
        <w:t xml:space="preserve"> (Table 5.1)</w:t>
      </w:r>
      <w:r w:rsidRPr="008807D5">
        <w:t>. There</w:t>
      </w:r>
      <w:r w:rsidRPr="00744754">
        <w:t xml:space="preserve"> </w:t>
      </w:r>
      <w:r w:rsidRPr="00BB4C87">
        <w:t xml:space="preserve">were </w:t>
      </w:r>
      <w:r>
        <w:t>235</w:t>
      </w:r>
      <w:r w:rsidRPr="00BB4C87">
        <w:t xml:space="preserve"> licensed</w:t>
      </w:r>
      <w:r w:rsidRPr="00744754">
        <w:t xml:space="preserve"> telecommunications carriers in </w:t>
      </w:r>
      <w:r w:rsidRPr="00BB4C87">
        <w:t xml:space="preserve">the </w:t>
      </w:r>
      <w:r>
        <w:t>2014–15</w:t>
      </w:r>
      <w:r w:rsidRPr="00744754">
        <w:t xml:space="preserve"> E</w:t>
      </w:r>
      <w:r>
        <w:t xml:space="preserve">ligible Revenue Period (ERP), </w:t>
      </w:r>
      <w:r w:rsidRPr="00BB4C87">
        <w:t xml:space="preserve">with </w:t>
      </w:r>
      <w:r>
        <w:t>44</w:t>
      </w:r>
      <w:r w:rsidRPr="00BB4C87">
        <w:t xml:space="preserve"> determined</w:t>
      </w:r>
      <w:r>
        <w:t xml:space="preserve"> as participating persons for the 2015–16</w:t>
      </w:r>
      <w:r w:rsidRPr="00BB4C87">
        <w:t xml:space="preserve"> ELP.</w:t>
      </w:r>
      <w:r>
        <w:t xml:space="preserve"> </w:t>
      </w:r>
      <w:r w:rsidRPr="00403959">
        <w:t>The ACMA subsequently issued invoices and the full amount was collected during 2016</w:t>
      </w:r>
      <w:r>
        <w:t>–</w:t>
      </w:r>
      <w:r w:rsidRPr="00403959">
        <w:t>17.</w:t>
      </w:r>
    </w:p>
    <w:p w14:paraId="466113DE" w14:textId="77777777" w:rsidR="0077185B" w:rsidRPr="00744827" w:rsidRDefault="0077185B" w:rsidP="00C43CBA">
      <w:pPr>
        <w:pStyle w:val="ACMAFigureHeader"/>
        <w:ind w:left="1136" w:hanging="1136"/>
      </w:pPr>
      <w:r w:rsidRPr="00744827">
        <w:t>Table 5.1</w:t>
      </w:r>
      <w:r w:rsidRPr="00744827">
        <w:tab/>
        <w:t>Compliance statistics</w:t>
      </w:r>
      <w:r>
        <w:t xml:space="preserve"> for industry levies and payments</w:t>
      </w:r>
      <w:r w:rsidRPr="00744827">
        <w:t xml:space="preserve">—eligible revenue submissions </w:t>
      </w:r>
    </w:p>
    <w:tbl>
      <w:tblPr>
        <w:tblStyle w:val="Commsreport2017"/>
        <w:tblW w:w="8966" w:type="dxa"/>
        <w:shd w:val="clear" w:color="auto" w:fill="FFFFFF" w:themeFill="background1"/>
        <w:tblLayout w:type="fixed"/>
        <w:tblCellMar>
          <w:top w:w="57" w:type="dxa"/>
          <w:left w:w="57" w:type="dxa"/>
          <w:bottom w:w="57" w:type="dxa"/>
          <w:right w:w="57" w:type="dxa"/>
        </w:tblCellMar>
        <w:tblLook w:val="04A0" w:firstRow="1" w:lastRow="0" w:firstColumn="1" w:lastColumn="0" w:noHBand="0" w:noVBand="1"/>
        <w:tblCaption w:val="Table 5.1 Compliance statistics for industry levies and payments—eligible revenue submissions "/>
      </w:tblPr>
      <w:tblGrid>
        <w:gridCol w:w="1209"/>
        <w:gridCol w:w="1210"/>
        <w:gridCol w:w="1210"/>
        <w:gridCol w:w="1210"/>
        <w:gridCol w:w="2127"/>
        <w:gridCol w:w="2000"/>
      </w:tblGrid>
      <w:tr w:rsidR="0077185B" w:rsidRPr="00A939AF" w14:paraId="579DF8F5" w14:textId="77777777" w:rsidTr="00015FAC">
        <w:trPr>
          <w:cnfStyle w:val="100000000000" w:firstRow="1" w:lastRow="0" w:firstColumn="0" w:lastColumn="0" w:oddVBand="0" w:evenVBand="0" w:oddHBand="0" w:evenHBand="0" w:firstRowFirstColumn="0" w:firstRowLastColumn="0" w:lastRowFirstColumn="0" w:lastRowLastColumn="0"/>
          <w:trHeight w:val="499"/>
          <w:tblHeader/>
        </w:trPr>
        <w:tc>
          <w:tcPr>
            <w:cnfStyle w:val="001000000000" w:firstRow="0" w:lastRow="0" w:firstColumn="1" w:lastColumn="0" w:oddVBand="0" w:evenVBand="0" w:oddHBand="0" w:evenHBand="0" w:firstRowFirstColumn="0" w:firstRowLastColumn="0" w:lastRowFirstColumn="0" w:lastRowLastColumn="0"/>
            <w:tcW w:w="1209" w:type="dxa"/>
            <w:hideMark/>
          </w:tcPr>
          <w:p w14:paraId="1544110C" w14:textId="77777777" w:rsidR="0077185B" w:rsidRPr="003D67C0" w:rsidRDefault="0077185B" w:rsidP="00C43CBA">
            <w:pPr>
              <w:spacing w:beforeLines="0" w:before="0" w:afterLines="0" w:after="0"/>
              <w:rPr>
                <w:rFonts w:cs="Arial"/>
                <w:b/>
                <w:szCs w:val="18"/>
              </w:rPr>
            </w:pPr>
            <w:r w:rsidRPr="003D67C0">
              <w:rPr>
                <w:b/>
              </w:rPr>
              <w:t xml:space="preserve">Eligible Revenue Period </w:t>
            </w:r>
          </w:p>
        </w:tc>
        <w:tc>
          <w:tcPr>
            <w:tcW w:w="1210" w:type="dxa"/>
            <w:hideMark/>
          </w:tcPr>
          <w:p w14:paraId="6F4EC21D" w14:textId="04BEAEB1"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D67C0">
              <w:rPr>
                <w:b/>
              </w:rPr>
              <w:t xml:space="preserve">Eligible Levy </w:t>
            </w:r>
            <w:r w:rsidR="0085755F">
              <w:rPr>
                <w:b/>
              </w:rPr>
              <w:br/>
            </w:r>
            <w:r w:rsidRPr="003D67C0">
              <w:rPr>
                <w:b/>
              </w:rPr>
              <w:t>Period</w:t>
            </w:r>
          </w:p>
        </w:tc>
        <w:tc>
          <w:tcPr>
            <w:tcW w:w="1210" w:type="dxa"/>
            <w:hideMark/>
          </w:tcPr>
          <w:p w14:paraId="3B79BAB0"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D67C0">
              <w:rPr>
                <w:rFonts w:cs="Arial"/>
                <w:b/>
                <w:szCs w:val="18"/>
              </w:rPr>
              <w:t>Levy payment period</w:t>
            </w:r>
          </w:p>
        </w:tc>
        <w:tc>
          <w:tcPr>
            <w:tcW w:w="1210" w:type="dxa"/>
            <w:hideMark/>
          </w:tcPr>
          <w:p w14:paraId="47FBB7FF"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D67C0">
              <w:rPr>
                <w:rFonts w:cs="Arial"/>
                <w:b/>
                <w:szCs w:val="18"/>
              </w:rPr>
              <w:t>Number of carriers</w:t>
            </w:r>
          </w:p>
        </w:tc>
        <w:tc>
          <w:tcPr>
            <w:tcW w:w="2127" w:type="dxa"/>
            <w:hideMark/>
          </w:tcPr>
          <w:p w14:paraId="1ECE851C"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D67C0">
              <w:rPr>
                <w:rFonts w:cs="Arial"/>
                <w:b/>
                <w:szCs w:val="18"/>
              </w:rPr>
              <w:t>Eligible revenue submissions received late (after 31 October)</w:t>
            </w:r>
          </w:p>
        </w:tc>
        <w:tc>
          <w:tcPr>
            <w:tcW w:w="2000" w:type="dxa"/>
            <w:hideMark/>
          </w:tcPr>
          <w:p w14:paraId="73D543FB" w14:textId="2240637E" w:rsidR="0077185B" w:rsidRPr="003D67C0" w:rsidRDefault="009817B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Pr>
                <w:rFonts w:cs="Arial"/>
                <w:b/>
                <w:szCs w:val="18"/>
              </w:rPr>
              <w:t>TIL</w:t>
            </w:r>
            <w:r w:rsidR="0077185B" w:rsidRPr="003D67C0">
              <w:rPr>
                <w:rFonts w:cs="Arial"/>
                <w:b/>
                <w:szCs w:val="18"/>
              </w:rPr>
              <w:t xml:space="preserve"> payment </w:t>
            </w:r>
            <w:r w:rsidR="0085755F">
              <w:rPr>
                <w:rFonts w:cs="Arial"/>
                <w:b/>
                <w:szCs w:val="18"/>
              </w:rPr>
              <w:br/>
            </w:r>
            <w:r w:rsidR="0077185B" w:rsidRPr="003D67C0">
              <w:rPr>
                <w:rFonts w:cs="Arial"/>
                <w:b/>
                <w:szCs w:val="18"/>
              </w:rPr>
              <w:t>amount</w:t>
            </w:r>
          </w:p>
        </w:tc>
      </w:tr>
      <w:tr w:rsidR="0077185B" w:rsidRPr="00A939AF" w14:paraId="378BFAFD" w14:textId="77777777" w:rsidTr="00F65D12">
        <w:trPr>
          <w:trHeight w:val="170"/>
        </w:trPr>
        <w:tc>
          <w:tcPr>
            <w:cnfStyle w:val="001000000000" w:firstRow="0" w:lastRow="0" w:firstColumn="1" w:lastColumn="0" w:oddVBand="0" w:evenVBand="0" w:oddHBand="0" w:evenHBand="0" w:firstRowFirstColumn="0" w:firstRowLastColumn="0" w:lastRowFirstColumn="0" w:lastRowLastColumn="0"/>
            <w:tcW w:w="1209" w:type="dxa"/>
            <w:shd w:val="clear" w:color="auto" w:fill="FFFFFF" w:themeFill="background1"/>
            <w:noWrap/>
            <w:hideMark/>
          </w:tcPr>
          <w:p w14:paraId="6264A3BF" w14:textId="77777777" w:rsidR="0077185B" w:rsidRPr="00A939AF" w:rsidRDefault="0077185B" w:rsidP="00C43CBA">
            <w:pPr>
              <w:spacing w:before="0" w:after="0"/>
              <w:rPr>
                <w:rFonts w:cs="Arial"/>
                <w:szCs w:val="18"/>
              </w:rPr>
            </w:pPr>
            <w:r w:rsidRPr="00A939AF">
              <w:rPr>
                <w:rFonts w:cs="Arial"/>
                <w:szCs w:val="18"/>
              </w:rPr>
              <w:t>2012–13</w:t>
            </w:r>
          </w:p>
        </w:tc>
        <w:tc>
          <w:tcPr>
            <w:tcW w:w="1210" w:type="dxa"/>
            <w:shd w:val="clear" w:color="auto" w:fill="FFFFFF" w:themeFill="background1"/>
            <w:noWrap/>
            <w:hideMark/>
          </w:tcPr>
          <w:p w14:paraId="49EAC0EF" w14:textId="77777777" w:rsidR="0077185B" w:rsidRPr="00EE11DD"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2013–14</w:t>
            </w:r>
          </w:p>
        </w:tc>
        <w:tc>
          <w:tcPr>
            <w:tcW w:w="1210" w:type="dxa"/>
            <w:shd w:val="clear" w:color="auto" w:fill="FFFFFF" w:themeFill="background1"/>
            <w:noWrap/>
            <w:hideMark/>
          </w:tcPr>
          <w:p w14:paraId="4DF875E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2014–15</w:t>
            </w:r>
          </w:p>
        </w:tc>
        <w:tc>
          <w:tcPr>
            <w:tcW w:w="1210" w:type="dxa"/>
            <w:shd w:val="clear" w:color="auto" w:fill="FFFFFF" w:themeFill="background1"/>
            <w:noWrap/>
            <w:hideMark/>
          </w:tcPr>
          <w:p w14:paraId="4FCFFA0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208</w:t>
            </w:r>
          </w:p>
        </w:tc>
        <w:tc>
          <w:tcPr>
            <w:tcW w:w="2127" w:type="dxa"/>
            <w:shd w:val="clear" w:color="auto" w:fill="FFFFFF" w:themeFill="background1"/>
            <w:noWrap/>
            <w:hideMark/>
          </w:tcPr>
          <w:p w14:paraId="78B7D9F2"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11</w:t>
            </w:r>
          </w:p>
        </w:tc>
        <w:tc>
          <w:tcPr>
            <w:tcW w:w="2000" w:type="dxa"/>
            <w:shd w:val="clear" w:color="auto" w:fill="FFFFFF" w:themeFill="background1"/>
            <w:noWrap/>
            <w:hideMark/>
          </w:tcPr>
          <w:p w14:paraId="40311F56"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$221,000,000</w:t>
            </w:r>
          </w:p>
        </w:tc>
      </w:tr>
      <w:tr w:rsidR="0077185B" w:rsidRPr="00A939AF" w14:paraId="020F2541" w14:textId="77777777" w:rsidTr="00F65D12">
        <w:trPr>
          <w:trHeight w:val="132"/>
        </w:trPr>
        <w:tc>
          <w:tcPr>
            <w:cnfStyle w:val="001000000000" w:firstRow="0" w:lastRow="0" w:firstColumn="1" w:lastColumn="0" w:oddVBand="0" w:evenVBand="0" w:oddHBand="0" w:evenHBand="0" w:firstRowFirstColumn="0" w:firstRowLastColumn="0" w:lastRowFirstColumn="0" w:lastRowLastColumn="0"/>
            <w:tcW w:w="1209" w:type="dxa"/>
            <w:shd w:val="clear" w:color="auto" w:fill="FFFFFF" w:themeFill="background1"/>
            <w:noWrap/>
            <w:hideMark/>
          </w:tcPr>
          <w:p w14:paraId="10288019" w14:textId="77777777" w:rsidR="0077185B" w:rsidRPr="00A939AF" w:rsidRDefault="0077185B" w:rsidP="00C43CBA">
            <w:pPr>
              <w:spacing w:before="0" w:after="0"/>
              <w:rPr>
                <w:rFonts w:cs="Arial"/>
                <w:szCs w:val="18"/>
              </w:rPr>
            </w:pPr>
            <w:r w:rsidRPr="00A939AF">
              <w:rPr>
                <w:rFonts w:cs="Arial"/>
                <w:szCs w:val="18"/>
              </w:rPr>
              <w:t>2013–14</w:t>
            </w:r>
          </w:p>
        </w:tc>
        <w:tc>
          <w:tcPr>
            <w:tcW w:w="1210" w:type="dxa"/>
            <w:shd w:val="clear" w:color="auto" w:fill="FFFFFF" w:themeFill="background1"/>
            <w:noWrap/>
            <w:hideMark/>
          </w:tcPr>
          <w:p w14:paraId="7CC6FDCB" w14:textId="77777777" w:rsidR="0077185B" w:rsidRPr="00EE11DD"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2014–15</w:t>
            </w:r>
          </w:p>
        </w:tc>
        <w:tc>
          <w:tcPr>
            <w:tcW w:w="1210" w:type="dxa"/>
            <w:shd w:val="clear" w:color="auto" w:fill="FFFFFF" w:themeFill="background1"/>
            <w:noWrap/>
            <w:hideMark/>
          </w:tcPr>
          <w:p w14:paraId="7903563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2015–16</w:t>
            </w:r>
          </w:p>
        </w:tc>
        <w:tc>
          <w:tcPr>
            <w:tcW w:w="1210" w:type="dxa"/>
            <w:shd w:val="clear" w:color="auto" w:fill="FFFFFF" w:themeFill="background1"/>
            <w:noWrap/>
            <w:hideMark/>
          </w:tcPr>
          <w:p w14:paraId="100F9DC1"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223</w:t>
            </w:r>
          </w:p>
        </w:tc>
        <w:tc>
          <w:tcPr>
            <w:tcW w:w="2127" w:type="dxa"/>
            <w:shd w:val="clear" w:color="auto" w:fill="FFFFFF" w:themeFill="background1"/>
            <w:noWrap/>
            <w:hideMark/>
          </w:tcPr>
          <w:p w14:paraId="4223AEE2"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13</w:t>
            </w:r>
          </w:p>
        </w:tc>
        <w:tc>
          <w:tcPr>
            <w:tcW w:w="2000" w:type="dxa"/>
            <w:shd w:val="clear" w:color="auto" w:fill="FFFFFF" w:themeFill="background1"/>
            <w:noWrap/>
            <w:hideMark/>
          </w:tcPr>
          <w:p w14:paraId="6DF8EFA9"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$215,488,000</w:t>
            </w:r>
          </w:p>
        </w:tc>
      </w:tr>
      <w:tr w:rsidR="0077185B" w:rsidRPr="00A939AF" w14:paraId="26746CC7" w14:textId="77777777" w:rsidTr="00F65D12">
        <w:trPr>
          <w:trHeight w:val="19"/>
        </w:trPr>
        <w:tc>
          <w:tcPr>
            <w:cnfStyle w:val="001000000000" w:firstRow="0" w:lastRow="0" w:firstColumn="1" w:lastColumn="0" w:oddVBand="0" w:evenVBand="0" w:oddHBand="0" w:evenHBand="0" w:firstRowFirstColumn="0" w:firstRowLastColumn="0" w:lastRowFirstColumn="0" w:lastRowLastColumn="0"/>
            <w:tcW w:w="1209" w:type="dxa"/>
            <w:shd w:val="clear" w:color="auto" w:fill="FFFFFF" w:themeFill="background1"/>
            <w:noWrap/>
            <w:hideMark/>
          </w:tcPr>
          <w:p w14:paraId="1A14CFA9" w14:textId="77777777" w:rsidR="0077185B" w:rsidRPr="00A939AF" w:rsidRDefault="0077185B" w:rsidP="00C43CBA">
            <w:pPr>
              <w:spacing w:before="0" w:after="0"/>
              <w:rPr>
                <w:rFonts w:cs="Arial"/>
                <w:szCs w:val="18"/>
              </w:rPr>
            </w:pPr>
            <w:r w:rsidRPr="00A939AF">
              <w:rPr>
                <w:rFonts w:cs="Arial"/>
                <w:szCs w:val="18"/>
              </w:rPr>
              <w:t>2014–15</w:t>
            </w:r>
          </w:p>
        </w:tc>
        <w:tc>
          <w:tcPr>
            <w:tcW w:w="1210" w:type="dxa"/>
            <w:shd w:val="clear" w:color="auto" w:fill="FFFFFF" w:themeFill="background1"/>
            <w:noWrap/>
            <w:hideMark/>
          </w:tcPr>
          <w:p w14:paraId="2B6F3DD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2</w:t>
            </w:r>
            <w:r w:rsidRPr="00A939AF">
              <w:rPr>
                <w:rFonts w:cs="Arial"/>
                <w:szCs w:val="18"/>
              </w:rPr>
              <w:t>015–16</w:t>
            </w:r>
          </w:p>
        </w:tc>
        <w:tc>
          <w:tcPr>
            <w:tcW w:w="1210" w:type="dxa"/>
            <w:shd w:val="clear" w:color="auto" w:fill="FFFFFF" w:themeFill="background1"/>
            <w:noWrap/>
            <w:hideMark/>
          </w:tcPr>
          <w:p w14:paraId="65A461D5"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2016–17</w:t>
            </w:r>
          </w:p>
        </w:tc>
        <w:tc>
          <w:tcPr>
            <w:tcW w:w="1210" w:type="dxa"/>
            <w:shd w:val="clear" w:color="auto" w:fill="FFFFFF" w:themeFill="background1"/>
            <w:noWrap/>
            <w:hideMark/>
          </w:tcPr>
          <w:p w14:paraId="6E4A047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235</w:t>
            </w:r>
          </w:p>
        </w:tc>
        <w:tc>
          <w:tcPr>
            <w:tcW w:w="2127" w:type="dxa"/>
            <w:shd w:val="clear" w:color="auto" w:fill="FFFFFF" w:themeFill="background1"/>
            <w:noWrap/>
            <w:hideMark/>
          </w:tcPr>
          <w:p w14:paraId="289A2C23"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39</w:t>
            </w:r>
          </w:p>
        </w:tc>
        <w:tc>
          <w:tcPr>
            <w:tcW w:w="2000" w:type="dxa"/>
            <w:shd w:val="clear" w:color="auto" w:fill="FFFFFF" w:themeFill="background1"/>
            <w:noWrap/>
            <w:hideMark/>
          </w:tcPr>
          <w:p w14:paraId="3D9C0B90"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$217,744,000</w:t>
            </w:r>
          </w:p>
        </w:tc>
      </w:tr>
      <w:tr w:rsidR="0077185B" w:rsidRPr="00A939AF" w14:paraId="4A5DC9FD" w14:textId="77777777" w:rsidTr="00F65D12">
        <w:trPr>
          <w:trHeight w:val="250"/>
        </w:trPr>
        <w:tc>
          <w:tcPr>
            <w:cnfStyle w:val="001000000000" w:firstRow="0" w:lastRow="0" w:firstColumn="1" w:lastColumn="0" w:oddVBand="0" w:evenVBand="0" w:oddHBand="0" w:evenHBand="0" w:firstRowFirstColumn="0" w:firstRowLastColumn="0" w:lastRowFirstColumn="0" w:lastRowLastColumn="0"/>
            <w:tcW w:w="1209" w:type="dxa"/>
            <w:shd w:val="clear" w:color="auto" w:fill="FFFFFF" w:themeFill="background1"/>
            <w:noWrap/>
            <w:hideMark/>
          </w:tcPr>
          <w:p w14:paraId="5B7DE37C" w14:textId="77777777" w:rsidR="0077185B" w:rsidRPr="00A939AF" w:rsidRDefault="0077185B" w:rsidP="00C43CBA">
            <w:pPr>
              <w:spacing w:before="0" w:after="0"/>
              <w:rPr>
                <w:rFonts w:cs="Arial"/>
                <w:szCs w:val="18"/>
              </w:rPr>
            </w:pPr>
            <w:r w:rsidRPr="00A939AF">
              <w:rPr>
                <w:rFonts w:cs="Arial"/>
                <w:szCs w:val="18"/>
              </w:rPr>
              <w:t>2015</w:t>
            </w:r>
            <w:r w:rsidR="009817BB">
              <w:rPr>
                <w:rFonts w:cs="Arial"/>
                <w:szCs w:val="18"/>
              </w:rPr>
              <w:t>–</w:t>
            </w:r>
            <w:r w:rsidRPr="00A939AF">
              <w:rPr>
                <w:rFonts w:cs="Arial"/>
                <w:szCs w:val="18"/>
              </w:rPr>
              <w:t>16</w:t>
            </w:r>
          </w:p>
        </w:tc>
        <w:tc>
          <w:tcPr>
            <w:tcW w:w="1210" w:type="dxa"/>
            <w:shd w:val="clear" w:color="auto" w:fill="FFFFFF" w:themeFill="background1"/>
            <w:noWrap/>
            <w:hideMark/>
          </w:tcPr>
          <w:p w14:paraId="078CFA0C" w14:textId="77777777" w:rsidR="0077185B" w:rsidRPr="00EE11DD"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2016</w:t>
            </w:r>
            <w:r w:rsidR="009817BB">
              <w:rPr>
                <w:rFonts w:cs="Arial"/>
                <w:szCs w:val="18"/>
              </w:rPr>
              <w:t>–</w:t>
            </w:r>
            <w:r w:rsidRPr="00EE11DD">
              <w:rPr>
                <w:rFonts w:cs="Arial"/>
                <w:szCs w:val="18"/>
              </w:rPr>
              <w:t>17*</w:t>
            </w:r>
          </w:p>
        </w:tc>
        <w:tc>
          <w:tcPr>
            <w:tcW w:w="1210" w:type="dxa"/>
            <w:shd w:val="clear" w:color="auto" w:fill="FFFFFF" w:themeFill="background1"/>
            <w:noWrap/>
            <w:hideMark/>
          </w:tcPr>
          <w:p w14:paraId="46614459"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2017</w:t>
            </w:r>
            <w:r w:rsidR="009817BB">
              <w:rPr>
                <w:rFonts w:cs="Arial"/>
                <w:szCs w:val="18"/>
              </w:rPr>
              <w:t>–</w:t>
            </w:r>
            <w:r w:rsidRPr="00A939AF">
              <w:rPr>
                <w:rFonts w:cs="Arial"/>
                <w:szCs w:val="18"/>
              </w:rPr>
              <w:t>18</w:t>
            </w:r>
          </w:p>
        </w:tc>
        <w:tc>
          <w:tcPr>
            <w:tcW w:w="1210" w:type="dxa"/>
            <w:shd w:val="clear" w:color="auto" w:fill="FFFFFF" w:themeFill="background1"/>
            <w:noWrap/>
            <w:hideMark/>
          </w:tcPr>
          <w:p w14:paraId="1C87E7B2"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256</w:t>
            </w:r>
          </w:p>
        </w:tc>
        <w:tc>
          <w:tcPr>
            <w:tcW w:w="2127" w:type="dxa"/>
            <w:shd w:val="clear" w:color="auto" w:fill="FFFFFF" w:themeFill="background1"/>
            <w:noWrap/>
            <w:hideMark/>
          </w:tcPr>
          <w:p w14:paraId="24D05794"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43</w:t>
            </w:r>
          </w:p>
        </w:tc>
        <w:tc>
          <w:tcPr>
            <w:tcW w:w="2000" w:type="dxa"/>
            <w:shd w:val="clear" w:color="auto" w:fill="FFFFFF" w:themeFill="background1"/>
            <w:noWrap/>
            <w:hideMark/>
          </w:tcPr>
          <w:p w14:paraId="67BCA04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To be invoiced Nov</w:t>
            </w:r>
            <w:r w:rsidR="009817BB">
              <w:rPr>
                <w:rFonts w:cs="Arial"/>
                <w:szCs w:val="18"/>
              </w:rPr>
              <w:t>ember </w:t>
            </w:r>
            <w:r w:rsidRPr="00A939AF">
              <w:rPr>
                <w:rFonts w:cs="Arial"/>
                <w:szCs w:val="18"/>
              </w:rPr>
              <w:t>2017</w:t>
            </w:r>
          </w:p>
        </w:tc>
      </w:tr>
    </w:tbl>
    <w:p w14:paraId="0B1AD4F7" w14:textId="77777777" w:rsidR="0077185B" w:rsidRPr="00744827" w:rsidRDefault="0077185B" w:rsidP="00A50E34">
      <w:pPr>
        <w:pStyle w:val="ACMANotes"/>
        <w:spacing w:before="120"/>
      </w:pPr>
      <w:r w:rsidRPr="00744827">
        <w:t>*</w:t>
      </w:r>
      <w:r w:rsidRPr="00FB6FC9">
        <w:t>2016</w:t>
      </w:r>
      <w:r>
        <w:t>–</w:t>
      </w:r>
      <w:r w:rsidRPr="00FB6FC9">
        <w:t xml:space="preserve">17 </w:t>
      </w:r>
      <w:r w:rsidR="009817BB">
        <w:t>ELP</w:t>
      </w:r>
      <w:r w:rsidRPr="00FB6FC9">
        <w:t xml:space="preserve"> assessments have been made. However, carriers have not yet been invoiced for the 2016</w:t>
      </w:r>
      <w:r w:rsidR="009817BB">
        <w:t>–</w:t>
      </w:r>
      <w:r w:rsidRPr="00FB6FC9">
        <w:t>17 TIL</w:t>
      </w:r>
      <w:r w:rsidR="009817BB">
        <w:t>,</w:t>
      </w:r>
      <w:r w:rsidRPr="00FB6FC9">
        <w:t xml:space="preserve"> which is due to occur in November 2017</w:t>
      </w:r>
      <w:r w:rsidR="009817BB">
        <w:t>. P</w:t>
      </w:r>
      <w:r w:rsidRPr="00FB6FC9">
        <w:t>ayments will be due in December 2017.</w:t>
      </w:r>
    </w:p>
    <w:p w14:paraId="1F68CA58" w14:textId="77777777" w:rsidR="0077185B" w:rsidRPr="00744827" w:rsidRDefault="0077185B" w:rsidP="00C43CBA">
      <w:pPr>
        <w:pStyle w:val="ACMANotesspaceafter"/>
        <w:spacing w:after="360"/>
      </w:pPr>
      <w:r w:rsidRPr="00744827">
        <w:t>Source: ACMA.</w:t>
      </w:r>
    </w:p>
    <w:p w14:paraId="122757CE" w14:textId="77777777" w:rsidR="0077185B" w:rsidRPr="00386596" w:rsidRDefault="0077185B" w:rsidP="0077185B">
      <w:pPr>
        <w:pStyle w:val="Heading2"/>
        <w:numPr>
          <w:ilvl w:val="1"/>
          <w:numId w:val="20"/>
        </w:numPr>
        <w:ind w:hanging="792"/>
      </w:pPr>
      <w:bookmarkStart w:id="1471" w:name="_Toc494799479"/>
      <w:bookmarkStart w:id="1472" w:name="_Toc494805782"/>
      <w:bookmarkStart w:id="1473" w:name="_Toc494806046"/>
      <w:bookmarkStart w:id="1474" w:name="_Toc494808276"/>
      <w:bookmarkStart w:id="1475" w:name="_Toc494808931"/>
      <w:bookmarkStart w:id="1476" w:name="_Toc494816350"/>
      <w:bookmarkStart w:id="1477" w:name="_Toc494818945"/>
      <w:bookmarkStart w:id="1478" w:name="_Toc494819176"/>
      <w:bookmarkStart w:id="1479" w:name="_Toc500320925"/>
      <w:r w:rsidRPr="00386596">
        <w:t>Public payphones</w:t>
      </w:r>
      <w:bookmarkEnd w:id="1471"/>
      <w:bookmarkEnd w:id="1472"/>
      <w:bookmarkEnd w:id="1473"/>
      <w:bookmarkEnd w:id="1474"/>
      <w:bookmarkEnd w:id="1475"/>
      <w:bookmarkEnd w:id="1476"/>
      <w:bookmarkEnd w:id="1477"/>
      <w:bookmarkEnd w:id="1478"/>
      <w:bookmarkEnd w:id="1479"/>
    </w:p>
    <w:p w14:paraId="0A603868" w14:textId="77777777" w:rsidR="0077185B" w:rsidRPr="006134FA" w:rsidRDefault="0077185B" w:rsidP="002A158C">
      <w:pPr>
        <w:keepNext/>
        <w:keepLines/>
      </w:pPr>
      <w:r w:rsidRPr="006134FA">
        <w:t>Payphone services in Australia are provided on either a commercial basis or as part of the</w:t>
      </w:r>
      <w:r w:rsidRPr="006134FA" w:rsidDel="007761F9">
        <w:t xml:space="preserve"> </w:t>
      </w:r>
      <w:r w:rsidRPr="006134FA">
        <w:t>USO. Telstra</w:t>
      </w:r>
      <w:r>
        <w:t>, as</w:t>
      </w:r>
      <w:r w:rsidRPr="006134FA">
        <w:t xml:space="preserve"> the current primary universal service provider (PUSP) for payphones</w:t>
      </w:r>
      <w:r>
        <w:t>,</w:t>
      </w:r>
      <w:r w:rsidRPr="006134FA">
        <w:t xml:space="preserve"> must comply with payphone performance standards and benchmarks made by the minister under the </w:t>
      </w:r>
      <w:r w:rsidRPr="006134FA">
        <w:rPr>
          <w:i/>
        </w:rPr>
        <w:t xml:space="preserve">Telecommunications (Consumer Protection and Service Standards) Act 1999 </w:t>
      </w:r>
      <w:r w:rsidRPr="006134FA">
        <w:t xml:space="preserve">(TCPSS Act). </w:t>
      </w:r>
    </w:p>
    <w:p w14:paraId="28609499" w14:textId="77777777" w:rsidR="0077185B" w:rsidRPr="006134FA" w:rsidRDefault="0077185B" w:rsidP="002A158C">
      <w:pPr>
        <w:keepNext/>
        <w:keepLines/>
      </w:pPr>
      <w:r w:rsidRPr="006134FA">
        <w:t xml:space="preserve">The ACMA monitors Telstra’s payphone performance and receives information </w:t>
      </w:r>
      <w:r w:rsidR="00964E5F">
        <w:t xml:space="preserve">annually </w:t>
      </w:r>
      <w:r w:rsidRPr="006134FA">
        <w:t>about the number of payphones supplied or operated on a commercial basis by other providers.</w:t>
      </w:r>
    </w:p>
    <w:p w14:paraId="1C316882" w14:textId="77777777" w:rsidR="0077185B" w:rsidRPr="008C62C1" w:rsidRDefault="0077185B" w:rsidP="0077185B">
      <w:pPr>
        <w:pStyle w:val="Heading3"/>
        <w:rPr>
          <w:b w:val="0"/>
          <w:bCs w:val="0"/>
        </w:rPr>
      </w:pPr>
      <w:bookmarkStart w:id="1480" w:name="_Toc494799480"/>
      <w:bookmarkStart w:id="1481" w:name="_Toc494805783"/>
      <w:bookmarkStart w:id="1482" w:name="_Toc494806047"/>
      <w:bookmarkStart w:id="1483" w:name="_Toc494808277"/>
      <w:bookmarkStart w:id="1484" w:name="_Toc494808932"/>
      <w:bookmarkStart w:id="1485" w:name="_Toc494816351"/>
      <w:bookmarkStart w:id="1486" w:name="_Toc494818946"/>
      <w:bookmarkStart w:id="1487" w:name="_Toc494819177"/>
      <w:r w:rsidRPr="008C62C1">
        <w:t>Number of payphones and payphone sites</w:t>
      </w:r>
      <w:bookmarkEnd w:id="1480"/>
      <w:bookmarkEnd w:id="1481"/>
      <w:bookmarkEnd w:id="1482"/>
      <w:bookmarkEnd w:id="1483"/>
      <w:bookmarkEnd w:id="1484"/>
      <w:bookmarkEnd w:id="1485"/>
      <w:bookmarkEnd w:id="1486"/>
      <w:bookmarkEnd w:id="1487"/>
    </w:p>
    <w:p w14:paraId="2E82FC2C" w14:textId="77777777" w:rsidR="0077185B" w:rsidRPr="006134FA" w:rsidRDefault="0077185B" w:rsidP="0077185B">
      <w:pPr>
        <w:spacing w:after="80"/>
        <w:rPr>
          <w:rFonts w:cs="Arial"/>
        </w:rPr>
      </w:pPr>
      <w:r>
        <w:rPr>
          <w:rFonts w:cs="Arial"/>
        </w:rPr>
        <w:t>In</w:t>
      </w:r>
      <w:r w:rsidRPr="006134FA">
        <w:rPr>
          <w:rFonts w:cs="Arial"/>
        </w:rPr>
        <w:t xml:space="preserve"> 201</w:t>
      </w:r>
      <w:r>
        <w:rPr>
          <w:rFonts w:cs="Arial"/>
        </w:rPr>
        <w:t>6</w:t>
      </w:r>
      <w:r w:rsidRPr="006134FA">
        <w:rPr>
          <w:rFonts w:cs="Arial"/>
        </w:rPr>
        <w:t>–1</w:t>
      </w:r>
      <w:r>
        <w:rPr>
          <w:rFonts w:cs="Arial"/>
        </w:rPr>
        <w:t>7</w:t>
      </w:r>
      <w:r w:rsidRPr="006134FA">
        <w:rPr>
          <w:rFonts w:cs="Arial"/>
        </w:rPr>
        <w:t xml:space="preserve">, the total number of payphones (both Telstra-operated and privately operated) in Australia fell by </w:t>
      </w:r>
      <w:r>
        <w:rPr>
          <w:rFonts w:cs="Arial"/>
        </w:rPr>
        <w:t>5.5</w:t>
      </w:r>
      <w:r w:rsidRPr="006134FA">
        <w:rPr>
          <w:rFonts w:cs="Arial"/>
        </w:rPr>
        <w:t xml:space="preserve"> per cent from 24,573 </w:t>
      </w:r>
      <w:r>
        <w:rPr>
          <w:rFonts w:cs="Arial"/>
        </w:rPr>
        <w:t>(</w:t>
      </w:r>
      <w:r w:rsidRPr="006134FA">
        <w:t>201</w:t>
      </w:r>
      <w:r>
        <w:t>5</w:t>
      </w:r>
      <w:r w:rsidRPr="006134FA">
        <w:t>–1</w:t>
      </w:r>
      <w:r>
        <w:t xml:space="preserve">6) </w:t>
      </w:r>
      <w:r w:rsidRPr="006134FA">
        <w:rPr>
          <w:rFonts w:cs="Arial"/>
        </w:rPr>
        <w:t xml:space="preserve">to </w:t>
      </w:r>
      <w:r w:rsidRPr="000A27E2">
        <w:rPr>
          <w:rFonts w:cs="Arial"/>
        </w:rPr>
        <w:t>23,226</w:t>
      </w:r>
      <w:r w:rsidRPr="006134FA">
        <w:rPr>
          <w:rFonts w:cs="Arial"/>
        </w:rPr>
        <w:t>. This comprised a</w:t>
      </w:r>
      <w:r w:rsidR="009817BB">
        <w:rPr>
          <w:rFonts w:cs="Arial"/>
        </w:rPr>
        <w:t xml:space="preserve"> net decrease of</w:t>
      </w:r>
      <w:r w:rsidRPr="006134FA">
        <w:rPr>
          <w:rFonts w:cs="Arial"/>
        </w:rPr>
        <w:t>:</w:t>
      </w:r>
    </w:p>
    <w:p w14:paraId="7210FF9E" w14:textId="77777777" w:rsidR="0077185B" w:rsidRPr="006134FA" w:rsidRDefault="009817BB" w:rsidP="00964E5F">
      <w:pPr>
        <w:pStyle w:val="ListBullet"/>
      </w:pPr>
      <w:r>
        <w:t>three</w:t>
      </w:r>
      <w:r w:rsidR="0077185B" w:rsidRPr="006134FA">
        <w:t xml:space="preserve"> per cent in the number of Telstra-operated payphones, from </w:t>
      </w:r>
      <w:r w:rsidR="0077185B" w:rsidRPr="003577F8">
        <w:t xml:space="preserve">17,093 </w:t>
      </w:r>
      <w:r w:rsidR="0077185B">
        <w:rPr>
          <w:rFonts w:cs="Arial"/>
        </w:rPr>
        <w:t>(</w:t>
      </w:r>
      <w:r w:rsidR="0077185B" w:rsidRPr="006134FA">
        <w:t>201</w:t>
      </w:r>
      <w:r w:rsidR="0077185B">
        <w:t>5</w:t>
      </w:r>
      <w:r w:rsidR="0077185B" w:rsidRPr="006134FA">
        <w:t>–1</w:t>
      </w:r>
      <w:r w:rsidR="0077185B">
        <w:t xml:space="preserve">6) </w:t>
      </w:r>
      <w:r w:rsidR="0077185B" w:rsidRPr="006134FA">
        <w:t xml:space="preserve">to </w:t>
      </w:r>
      <w:r w:rsidR="0077185B" w:rsidRPr="00CE2B2C">
        <w:t>16,593</w:t>
      </w:r>
      <w:r w:rsidR="0077185B">
        <w:t xml:space="preserve"> </w:t>
      </w:r>
      <w:r w:rsidR="0077185B">
        <w:rPr>
          <w:rFonts w:cs="Arial"/>
        </w:rPr>
        <w:t>(</w:t>
      </w:r>
      <w:r w:rsidR="0077185B" w:rsidRPr="006134FA">
        <w:t>201</w:t>
      </w:r>
      <w:r w:rsidR="0077185B">
        <w:t>6</w:t>
      </w:r>
      <w:r w:rsidR="0077185B" w:rsidRPr="006134FA">
        <w:t>–1</w:t>
      </w:r>
      <w:r w:rsidR="0077185B">
        <w:t>7)</w:t>
      </w:r>
    </w:p>
    <w:p w14:paraId="112B5639" w14:textId="77777777" w:rsidR="0077185B" w:rsidRPr="00940AB7" w:rsidRDefault="0077185B" w:rsidP="00964E5F">
      <w:pPr>
        <w:pStyle w:val="ListBulletLast"/>
      </w:pPr>
      <w:r>
        <w:t>11.3</w:t>
      </w:r>
      <w:r w:rsidRPr="003577F8">
        <w:t xml:space="preserve"> per cent in the number of privately operated payphones, from 7,480</w:t>
      </w:r>
      <w:r>
        <w:t xml:space="preserve"> (</w:t>
      </w:r>
      <w:r w:rsidRPr="006134FA">
        <w:t>201</w:t>
      </w:r>
      <w:r>
        <w:t>5</w:t>
      </w:r>
      <w:r w:rsidRPr="006134FA">
        <w:t>–1</w:t>
      </w:r>
      <w:r>
        <w:t xml:space="preserve">6) </w:t>
      </w:r>
      <w:r w:rsidRPr="003577F8">
        <w:t xml:space="preserve">to </w:t>
      </w:r>
      <w:r w:rsidRPr="001A4B81">
        <w:t>6,633</w:t>
      </w:r>
      <w:r>
        <w:t xml:space="preserve"> </w:t>
      </w:r>
      <w:r w:rsidR="009817BB">
        <w:br/>
      </w:r>
      <w:r>
        <w:t>(</w:t>
      </w:r>
      <w:r w:rsidRPr="006134FA">
        <w:t>201</w:t>
      </w:r>
      <w:r>
        <w:t>6</w:t>
      </w:r>
      <w:r w:rsidRPr="006134FA">
        <w:t>–1</w:t>
      </w:r>
      <w:r>
        <w:t>7)</w:t>
      </w:r>
      <w:r w:rsidRPr="003577F8">
        <w:t>.</w:t>
      </w:r>
    </w:p>
    <w:p w14:paraId="46978C11" w14:textId="77777777" w:rsidR="0077185B" w:rsidRPr="006134FA" w:rsidRDefault="0077185B" w:rsidP="0077185B">
      <w:r>
        <w:rPr>
          <w:rFonts w:cs="Arial"/>
        </w:rPr>
        <w:t>In</w:t>
      </w:r>
      <w:r w:rsidRPr="006134FA">
        <w:rPr>
          <w:rFonts w:cs="Arial"/>
        </w:rPr>
        <w:t xml:space="preserve"> 201</w:t>
      </w:r>
      <w:r>
        <w:rPr>
          <w:rFonts w:cs="Arial"/>
        </w:rPr>
        <w:t>6</w:t>
      </w:r>
      <w:r w:rsidRPr="006134FA">
        <w:rPr>
          <w:rFonts w:cs="Arial"/>
        </w:rPr>
        <w:t>–1</w:t>
      </w:r>
      <w:r>
        <w:rPr>
          <w:rFonts w:cs="Arial"/>
        </w:rPr>
        <w:t>7</w:t>
      </w:r>
      <w:r w:rsidRPr="006134FA">
        <w:t xml:space="preserve">, there was </w:t>
      </w:r>
      <w:r>
        <w:t>also a</w:t>
      </w:r>
      <w:r w:rsidRPr="006134FA">
        <w:t xml:space="preserve"> </w:t>
      </w:r>
      <w:r>
        <w:t>decrease</w:t>
      </w:r>
      <w:r w:rsidRPr="006134FA">
        <w:t xml:space="preserve"> of </w:t>
      </w:r>
      <w:r>
        <w:t>2.5</w:t>
      </w:r>
      <w:r w:rsidRPr="006134FA">
        <w:t xml:space="preserve"> per cent in the number of Telstra-operated payphone sites, from 15,568 </w:t>
      </w:r>
      <w:r>
        <w:rPr>
          <w:rFonts w:cs="Arial"/>
        </w:rPr>
        <w:t>(</w:t>
      </w:r>
      <w:r w:rsidRPr="006134FA">
        <w:t>201</w:t>
      </w:r>
      <w:r>
        <w:t>5</w:t>
      </w:r>
      <w:r w:rsidRPr="006134FA">
        <w:t>–1</w:t>
      </w:r>
      <w:r>
        <w:t xml:space="preserve">6) </w:t>
      </w:r>
      <w:r w:rsidRPr="006134FA">
        <w:t xml:space="preserve">to </w:t>
      </w:r>
      <w:r w:rsidRPr="00A51FF8">
        <w:t>15,176</w:t>
      </w:r>
      <w:r>
        <w:t xml:space="preserve"> </w:t>
      </w:r>
      <w:r w:rsidRPr="006134FA">
        <w:t>(noting some sites have more than one payphone). At 30 June 201</w:t>
      </w:r>
      <w:r>
        <w:t>7</w:t>
      </w:r>
      <w:r w:rsidRPr="006134FA">
        <w:t xml:space="preserve">, </w:t>
      </w:r>
      <w:r>
        <w:t>71.4</w:t>
      </w:r>
      <w:r w:rsidRPr="006134FA">
        <w:t xml:space="preserve"> per cent of payphones were operated by Telstra. The remaining payphones were provided by other companies, such as hotels, clubs and convenience stores. </w:t>
      </w:r>
    </w:p>
    <w:p w14:paraId="3EE54D54" w14:textId="77777777" w:rsidR="0077185B" w:rsidRPr="006134FA" w:rsidRDefault="0077185B" w:rsidP="0077185B">
      <w:r w:rsidRPr="006134FA">
        <w:t xml:space="preserve">Figure 5.1 shows the total number of Telstra-operated and non-Telstra-operated payphones has decreased over the past five reporting periods. The net annual reduction in Telstra-operated payphones was </w:t>
      </w:r>
      <w:r>
        <w:t>500</w:t>
      </w:r>
      <w:r w:rsidRPr="006134FA">
        <w:t xml:space="preserve"> in 201</w:t>
      </w:r>
      <w:r>
        <w:t>6</w:t>
      </w:r>
      <w:r w:rsidRPr="006134FA">
        <w:t>–1</w:t>
      </w:r>
      <w:r>
        <w:t>7</w:t>
      </w:r>
      <w:r w:rsidRPr="006134FA">
        <w:t xml:space="preserve">, compared to </w:t>
      </w:r>
      <w:r w:rsidRPr="00F1000C">
        <w:t>418</w:t>
      </w:r>
      <w:r w:rsidRPr="006134FA">
        <w:t xml:space="preserve"> in 201</w:t>
      </w:r>
      <w:r>
        <w:t>5</w:t>
      </w:r>
      <w:r w:rsidRPr="006134FA">
        <w:t>–1</w:t>
      </w:r>
      <w:r>
        <w:t>6</w:t>
      </w:r>
      <w:r w:rsidRPr="006134FA">
        <w:t>.</w:t>
      </w:r>
    </w:p>
    <w:p w14:paraId="7DD47198" w14:textId="77777777" w:rsidR="0077185B" w:rsidRPr="00A85CB5" w:rsidRDefault="0077185B" w:rsidP="00C43CBA">
      <w:pPr>
        <w:pStyle w:val="ACMAFigureHeader"/>
      </w:pPr>
      <w:r w:rsidRPr="00A85CB5">
        <w:t>Figure 5.</w:t>
      </w:r>
      <w:r>
        <w:t>1</w:t>
      </w:r>
      <w:r w:rsidRPr="00A85CB5">
        <w:tab/>
        <w:t>Number of payphones in operation at 30 June 201</w:t>
      </w:r>
      <w:r>
        <w:t>7</w:t>
      </w:r>
    </w:p>
    <w:p w14:paraId="5A16CB81" w14:textId="77777777" w:rsidR="008D713D" w:rsidRDefault="00515DE2" w:rsidP="002A158C">
      <w:pPr>
        <w:spacing w:after="120"/>
      </w:pPr>
      <w:r>
        <w:rPr>
          <w:noProof/>
        </w:rPr>
        <w:drawing>
          <wp:inline distT="0" distB="0" distL="0" distR="0" wp14:anchorId="310D06D2" wp14:editId="70AFF0FB">
            <wp:extent cx="6181027" cy="3058245"/>
            <wp:effectExtent l="0" t="0" r="0" b="8890"/>
            <wp:docPr id="72" name="Picture 72" descr="Data for Figure 5.1 is in the .ods file for Chapter 5 on the landing page ‘Communications report 2016-17’, available from the ACMA website." title="Figure 5.1  Number of payphones in operation at 30 Jun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Chapter 5_Figure 5.1.png"/>
                    <pic:cNvPicPr/>
                  </pic:nvPicPr>
                  <pic:blipFill rotWithShape="1">
                    <a:blip r:embed="rId107">
                      <a:extLst>
                        <a:ext uri="{28A0092B-C50C-407E-A947-70E740481C1C}">
                          <a14:useLocalDpi xmlns:a14="http://schemas.microsoft.com/office/drawing/2010/main" val="0"/>
                        </a:ext>
                      </a:extLst>
                    </a:blip>
                    <a:srcRect t="2695" b="2047"/>
                    <a:stretch/>
                  </pic:blipFill>
                  <pic:spPr bwMode="auto">
                    <a:xfrm>
                      <a:off x="0" y="0"/>
                      <a:ext cx="6186863" cy="3061132"/>
                    </a:xfrm>
                    <a:prstGeom prst="rect">
                      <a:avLst/>
                    </a:prstGeom>
                    <a:ln>
                      <a:noFill/>
                    </a:ln>
                    <a:extLst>
                      <a:ext uri="{53640926-AAD7-44D8-BBD7-CCE9431645EC}">
                        <a14:shadowObscured xmlns:a14="http://schemas.microsoft.com/office/drawing/2010/main"/>
                      </a:ext>
                    </a:extLst>
                  </pic:spPr>
                </pic:pic>
              </a:graphicData>
            </a:graphic>
          </wp:inline>
        </w:drawing>
      </w:r>
    </w:p>
    <w:p w14:paraId="3789F44C" w14:textId="77777777" w:rsidR="0077185B" w:rsidRPr="00744827" w:rsidRDefault="0077185B" w:rsidP="00C43CBA">
      <w:pPr>
        <w:pStyle w:val="ACMANotes"/>
        <w:spacing w:before="240"/>
      </w:pPr>
      <w:r w:rsidRPr="00744827">
        <w:t>*</w:t>
      </w:r>
      <w:r w:rsidR="009817BB">
        <w:t>I</w:t>
      </w:r>
      <w:r w:rsidRPr="00744827">
        <w:t>ncludes TriTel payphones until June 2014 and payphones provided via Telstra access lin</w:t>
      </w:r>
      <w:r w:rsidRPr="003E1548">
        <w:t>es.</w:t>
      </w:r>
      <w:r w:rsidRPr="00744827">
        <w:t xml:space="preserve"> June 2015</w:t>
      </w:r>
      <w:r w:rsidRPr="003E1548">
        <w:t>–</w:t>
      </w:r>
      <w:r w:rsidRPr="00744827">
        <w:t xml:space="preserve">17 data includes Telstra access lines only as the number of TriTel payphones was not available. </w:t>
      </w:r>
    </w:p>
    <w:p w14:paraId="426DD8AF" w14:textId="77777777" w:rsidR="0077185B" w:rsidRDefault="0077185B" w:rsidP="00C43CBA">
      <w:pPr>
        <w:pStyle w:val="ACMANotesspaceafter"/>
        <w:spacing w:after="360"/>
      </w:pPr>
      <w:r w:rsidRPr="00744827">
        <w:t>Source: Telstra and TriTel</w:t>
      </w:r>
      <w:r>
        <w:t>.</w:t>
      </w:r>
    </w:p>
    <w:p w14:paraId="0B1E7995" w14:textId="77777777" w:rsidR="0077185B" w:rsidRPr="006134FA" w:rsidRDefault="0077185B" w:rsidP="002A158C">
      <w:pPr>
        <w:pStyle w:val="ACMASpaceaftertable"/>
        <w:keepNext/>
      </w:pPr>
      <w:r w:rsidRPr="006134FA">
        <w:t>Table 5.2 provides the geographic distribution of Telstra payphones and payphones provided via Telstra access lines as at 30 June 201</w:t>
      </w:r>
      <w:r>
        <w:t>7</w:t>
      </w:r>
      <w:r w:rsidRPr="006134FA">
        <w:t>.</w:t>
      </w:r>
    </w:p>
    <w:p w14:paraId="2B2B11F6" w14:textId="77777777" w:rsidR="0077185B" w:rsidRPr="006134FA" w:rsidRDefault="0077185B" w:rsidP="00C43CBA">
      <w:pPr>
        <w:pStyle w:val="ACMAFigureHeader"/>
        <w:keepNext/>
      </w:pPr>
      <w:r w:rsidRPr="006134FA">
        <w:t>Table 5.2</w:t>
      </w:r>
      <w:r>
        <w:tab/>
      </w:r>
      <w:r w:rsidRPr="006134FA">
        <w:t>Distribution of Telstra payphones by geographical category</w:t>
      </w:r>
      <w:r>
        <w:t xml:space="preserve"> at</w:t>
      </w:r>
      <w:r w:rsidRPr="006134FA">
        <w:t xml:space="preserve"> 30 June 201</w:t>
      </w:r>
      <w:r>
        <w:t>7</w:t>
      </w:r>
    </w:p>
    <w:tbl>
      <w:tblPr>
        <w:tblStyle w:val="Commsreport2017"/>
        <w:tblW w:w="9189" w:type="dxa"/>
        <w:tblLayout w:type="fixed"/>
        <w:tblLook w:val="04A0" w:firstRow="1" w:lastRow="0" w:firstColumn="1" w:lastColumn="0" w:noHBand="0" w:noVBand="1"/>
        <w:tblCaption w:val="Table 5.2 Distribution of Telstra payphones by geographical category, 30 June 2016"/>
      </w:tblPr>
      <w:tblGrid>
        <w:gridCol w:w="3395"/>
        <w:gridCol w:w="1683"/>
        <w:gridCol w:w="1418"/>
        <w:gridCol w:w="1276"/>
        <w:gridCol w:w="1417"/>
      </w:tblGrid>
      <w:tr w:rsidR="0077185B" w:rsidRPr="00E211E1" w14:paraId="16E48F7B" w14:textId="77777777" w:rsidTr="00EC183A">
        <w:trPr>
          <w:cnfStyle w:val="100000000000" w:firstRow="1" w:lastRow="0" w:firstColumn="0" w:lastColumn="0" w:oddVBand="0" w:evenVBand="0" w:oddHBand="0" w:evenHBand="0" w:firstRowFirstColumn="0" w:firstRowLastColumn="0" w:lastRowFirstColumn="0" w:lastRowLastColumn="0"/>
          <w:trHeight w:val="222"/>
          <w:tblHeader/>
        </w:trPr>
        <w:tc>
          <w:tcPr>
            <w:cnfStyle w:val="001000000000" w:firstRow="0" w:lastRow="0" w:firstColumn="1" w:lastColumn="0" w:oddVBand="0" w:evenVBand="0" w:oddHBand="0" w:evenHBand="0" w:firstRowFirstColumn="0" w:firstRowLastColumn="0" w:lastRowFirstColumn="0" w:lastRowLastColumn="0"/>
            <w:tcW w:w="3395" w:type="dxa"/>
            <w:tcBorders>
              <w:top w:val="nil"/>
              <w:left w:val="nil"/>
            </w:tcBorders>
            <w:tcMar>
              <w:top w:w="57" w:type="dxa"/>
              <w:left w:w="57" w:type="dxa"/>
              <w:bottom w:w="57" w:type="dxa"/>
              <w:right w:w="57" w:type="dxa"/>
            </w:tcMar>
          </w:tcPr>
          <w:p w14:paraId="2E5CD320" w14:textId="77777777" w:rsidR="0077185B" w:rsidRPr="00EE11DD" w:rsidRDefault="0077185B" w:rsidP="00C43CBA">
            <w:pPr>
              <w:pStyle w:val="TableHeading"/>
              <w:spacing w:beforeLines="0" w:before="0" w:afterLines="0"/>
              <w:rPr>
                <w:color w:val="auto"/>
              </w:rPr>
            </w:pPr>
          </w:p>
        </w:tc>
        <w:tc>
          <w:tcPr>
            <w:tcW w:w="1683" w:type="dxa"/>
            <w:tcMar>
              <w:top w:w="57" w:type="dxa"/>
              <w:left w:w="57" w:type="dxa"/>
              <w:bottom w:w="57" w:type="dxa"/>
              <w:right w:w="57" w:type="dxa"/>
            </w:tcMar>
          </w:tcPr>
          <w:p w14:paraId="3A1C346A" w14:textId="77777777" w:rsidR="0077185B" w:rsidRPr="00EE11DD" w:rsidRDefault="0077185B" w:rsidP="00C43CBA">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color w:val="auto"/>
              </w:rPr>
            </w:pPr>
            <w:r w:rsidRPr="00E211E1">
              <w:t>Urban</w:t>
            </w:r>
          </w:p>
        </w:tc>
        <w:tc>
          <w:tcPr>
            <w:tcW w:w="1418" w:type="dxa"/>
            <w:tcMar>
              <w:top w:w="57" w:type="dxa"/>
              <w:left w:w="57" w:type="dxa"/>
              <w:bottom w:w="57" w:type="dxa"/>
              <w:right w:w="57" w:type="dxa"/>
            </w:tcMar>
          </w:tcPr>
          <w:p w14:paraId="67138C6A" w14:textId="77777777" w:rsidR="0077185B" w:rsidRPr="00EE11DD" w:rsidRDefault="0077185B" w:rsidP="00C43CBA">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color w:val="auto"/>
              </w:rPr>
            </w:pPr>
            <w:r w:rsidRPr="00E211E1">
              <w:t>Rural</w:t>
            </w:r>
          </w:p>
        </w:tc>
        <w:tc>
          <w:tcPr>
            <w:tcW w:w="1276" w:type="dxa"/>
            <w:tcMar>
              <w:top w:w="57" w:type="dxa"/>
              <w:left w:w="57" w:type="dxa"/>
              <w:bottom w:w="57" w:type="dxa"/>
              <w:right w:w="57" w:type="dxa"/>
            </w:tcMar>
          </w:tcPr>
          <w:p w14:paraId="73FEAA67" w14:textId="77777777" w:rsidR="0077185B" w:rsidRPr="00EE11DD" w:rsidRDefault="0077185B" w:rsidP="00C43CBA">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color w:val="auto"/>
              </w:rPr>
            </w:pPr>
            <w:r w:rsidRPr="00E211E1">
              <w:t>Remote*</w:t>
            </w:r>
          </w:p>
        </w:tc>
        <w:tc>
          <w:tcPr>
            <w:tcW w:w="1417" w:type="dxa"/>
            <w:tcMar>
              <w:top w:w="57" w:type="dxa"/>
              <w:left w:w="57" w:type="dxa"/>
              <w:bottom w:w="57" w:type="dxa"/>
              <w:right w:w="57" w:type="dxa"/>
            </w:tcMar>
          </w:tcPr>
          <w:p w14:paraId="0BDC20D7" w14:textId="77777777" w:rsidR="0077185B" w:rsidRPr="00EE11DD" w:rsidRDefault="0077185B" w:rsidP="00C43CBA">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color w:val="auto"/>
              </w:rPr>
            </w:pPr>
            <w:r w:rsidRPr="00E211E1">
              <w:t>RIC</w:t>
            </w:r>
          </w:p>
        </w:tc>
      </w:tr>
      <w:tr w:rsidR="0077185B" w:rsidRPr="00E211E1" w14:paraId="44C14362" w14:textId="77777777" w:rsidTr="0085755F">
        <w:trPr>
          <w:trHeight w:val="437"/>
        </w:trPr>
        <w:tc>
          <w:tcPr>
            <w:cnfStyle w:val="001000000000" w:firstRow="0" w:lastRow="0" w:firstColumn="1" w:lastColumn="0" w:oddVBand="0" w:evenVBand="0" w:oddHBand="0" w:evenHBand="0" w:firstRowFirstColumn="0" w:firstRowLastColumn="0" w:lastRowFirstColumn="0" w:lastRowLastColumn="0"/>
            <w:tcW w:w="3395" w:type="dxa"/>
            <w:tcMar>
              <w:top w:w="57" w:type="dxa"/>
              <w:left w:w="57" w:type="dxa"/>
              <w:bottom w:w="57" w:type="dxa"/>
              <w:right w:w="57" w:type="dxa"/>
            </w:tcMar>
          </w:tcPr>
          <w:p w14:paraId="59611E13" w14:textId="77777777" w:rsidR="0077185B" w:rsidRPr="00E211E1" w:rsidRDefault="0077185B" w:rsidP="00C43CBA">
            <w:pPr>
              <w:spacing w:before="0" w:after="80"/>
              <w:rPr>
                <w:rFonts w:cs="Arial"/>
                <w:szCs w:val="18"/>
              </w:rPr>
            </w:pPr>
            <w:r w:rsidRPr="00E211E1">
              <w:rPr>
                <w:rFonts w:cs="Arial"/>
                <w:szCs w:val="18"/>
              </w:rPr>
              <w:t>Telstra-operated payphones</w:t>
            </w:r>
          </w:p>
          <w:p w14:paraId="7DCBA82C" w14:textId="77777777" w:rsidR="0077185B" w:rsidRPr="00E211E1" w:rsidRDefault="0077185B" w:rsidP="00C43CBA">
            <w:pPr>
              <w:spacing w:before="0" w:after="0"/>
              <w:rPr>
                <w:rFonts w:cs="Arial"/>
                <w:szCs w:val="18"/>
              </w:rPr>
            </w:pPr>
            <w:r w:rsidRPr="00E211E1">
              <w:rPr>
                <w:rFonts w:cs="Arial"/>
                <w:szCs w:val="18"/>
              </w:rPr>
              <w:t>% of total</w:t>
            </w:r>
          </w:p>
        </w:tc>
        <w:tc>
          <w:tcPr>
            <w:tcW w:w="1683" w:type="dxa"/>
            <w:tcMar>
              <w:top w:w="57" w:type="dxa"/>
              <w:left w:w="57" w:type="dxa"/>
              <w:bottom w:w="57" w:type="dxa"/>
              <w:right w:w="57" w:type="dxa"/>
            </w:tcMar>
          </w:tcPr>
          <w:p w14:paraId="08FFA80F" w14:textId="77777777" w:rsidR="0077185B" w:rsidRPr="00E211E1" w:rsidRDefault="0077185B" w:rsidP="00C43CBA">
            <w:pPr>
              <w:spacing w:before="0" w:after="8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11,710</w:t>
            </w:r>
          </w:p>
          <w:p w14:paraId="52DEF588"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70.6</w:t>
            </w:r>
          </w:p>
        </w:tc>
        <w:tc>
          <w:tcPr>
            <w:tcW w:w="1418" w:type="dxa"/>
            <w:tcMar>
              <w:top w:w="57" w:type="dxa"/>
              <w:left w:w="57" w:type="dxa"/>
              <w:bottom w:w="57" w:type="dxa"/>
              <w:right w:w="57" w:type="dxa"/>
            </w:tcMar>
          </w:tcPr>
          <w:p w14:paraId="4E7E3115" w14:textId="77777777" w:rsidR="0077185B" w:rsidRPr="00E211E1" w:rsidRDefault="0077185B" w:rsidP="00C43CBA">
            <w:pPr>
              <w:spacing w:before="0" w:after="8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4,032</w:t>
            </w:r>
          </w:p>
          <w:p w14:paraId="5A2DC1D4"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24.3</w:t>
            </w:r>
          </w:p>
        </w:tc>
        <w:tc>
          <w:tcPr>
            <w:tcW w:w="1276" w:type="dxa"/>
            <w:tcMar>
              <w:top w:w="57" w:type="dxa"/>
              <w:left w:w="57" w:type="dxa"/>
              <w:bottom w:w="57" w:type="dxa"/>
              <w:right w:w="57" w:type="dxa"/>
            </w:tcMar>
          </w:tcPr>
          <w:p w14:paraId="2871BBA2" w14:textId="77777777" w:rsidR="0077185B" w:rsidRPr="00E211E1" w:rsidRDefault="0077185B" w:rsidP="00C43CBA">
            <w:pPr>
              <w:spacing w:before="0" w:after="8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851</w:t>
            </w:r>
          </w:p>
          <w:p w14:paraId="2E37F29F"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5.1</w:t>
            </w:r>
          </w:p>
        </w:tc>
        <w:tc>
          <w:tcPr>
            <w:tcW w:w="1417" w:type="dxa"/>
            <w:tcMar>
              <w:top w:w="57" w:type="dxa"/>
              <w:left w:w="57" w:type="dxa"/>
              <w:bottom w:w="57" w:type="dxa"/>
              <w:right w:w="57" w:type="dxa"/>
            </w:tcMar>
          </w:tcPr>
          <w:p w14:paraId="33637D27" w14:textId="77777777" w:rsidR="0077185B" w:rsidRPr="00E211E1" w:rsidRDefault="0077185B" w:rsidP="00C43CBA">
            <w:pPr>
              <w:spacing w:before="0" w:after="8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581</w:t>
            </w:r>
          </w:p>
          <w:p w14:paraId="0AC50E46"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3.5</w:t>
            </w:r>
          </w:p>
        </w:tc>
      </w:tr>
      <w:tr w:rsidR="0077185B" w:rsidRPr="00E211E1" w14:paraId="0A082DA5" w14:textId="77777777" w:rsidTr="0085755F">
        <w:trPr>
          <w:trHeight w:val="82"/>
        </w:trPr>
        <w:tc>
          <w:tcPr>
            <w:cnfStyle w:val="001000000000" w:firstRow="0" w:lastRow="0" w:firstColumn="1" w:lastColumn="0" w:oddVBand="0" w:evenVBand="0" w:oddHBand="0" w:evenHBand="0" w:firstRowFirstColumn="0" w:firstRowLastColumn="0" w:lastRowFirstColumn="0" w:lastRowLastColumn="0"/>
            <w:tcW w:w="3395" w:type="dxa"/>
            <w:tcMar>
              <w:top w:w="57" w:type="dxa"/>
              <w:left w:w="57" w:type="dxa"/>
              <w:bottom w:w="57" w:type="dxa"/>
              <w:right w:w="57" w:type="dxa"/>
            </w:tcMar>
          </w:tcPr>
          <w:p w14:paraId="4542EA08" w14:textId="77777777" w:rsidR="0077185B" w:rsidRPr="00E211E1" w:rsidRDefault="0077185B" w:rsidP="00C43CBA">
            <w:pPr>
              <w:spacing w:before="0" w:after="0"/>
              <w:rPr>
                <w:rFonts w:cs="Arial"/>
                <w:szCs w:val="18"/>
              </w:rPr>
            </w:pPr>
            <w:r w:rsidRPr="00E211E1">
              <w:rPr>
                <w:rFonts w:cs="Arial"/>
                <w:szCs w:val="18"/>
              </w:rPr>
              <w:t>Other payphones (provided via Telstra access lines)</w:t>
            </w:r>
          </w:p>
        </w:tc>
        <w:tc>
          <w:tcPr>
            <w:tcW w:w="1683" w:type="dxa"/>
            <w:tcMar>
              <w:top w:w="57" w:type="dxa"/>
              <w:left w:w="57" w:type="dxa"/>
              <w:bottom w:w="57" w:type="dxa"/>
              <w:right w:w="57" w:type="dxa"/>
            </w:tcMar>
          </w:tcPr>
          <w:p w14:paraId="3319102C"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5,225</w:t>
            </w:r>
          </w:p>
        </w:tc>
        <w:tc>
          <w:tcPr>
            <w:tcW w:w="1418" w:type="dxa"/>
            <w:tcMar>
              <w:top w:w="57" w:type="dxa"/>
              <w:left w:w="57" w:type="dxa"/>
              <w:bottom w:w="57" w:type="dxa"/>
              <w:right w:w="57" w:type="dxa"/>
            </w:tcMar>
          </w:tcPr>
          <w:p w14:paraId="638E2499"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1,077</w:t>
            </w:r>
          </w:p>
        </w:tc>
        <w:tc>
          <w:tcPr>
            <w:tcW w:w="1276" w:type="dxa"/>
            <w:tcMar>
              <w:top w:w="57" w:type="dxa"/>
              <w:left w:w="57" w:type="dxa"/>
              <w:bottom w:w="57" w:type="dxa"/>
              <w:right w:w="57" w:type="dxa"/>
            </w:tcMar>
          </w:tcPr>
          <w:p w14:paraId="5F1EFFC2"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331</w:t>
            </w:r>
          </w:p>
        </w:tc>
        <w:tc>
          <w:tcPr>
            <w:tcW w:w="1417" w:type="dxa"/>
            <w:tcMar>
              <w:top w:w="57" w:type="dxa"/>
              <w:left w:w="57" w:type="dxa"/>
              <w:bottom w:w="57" w:type="dxa"/>
              <w:right w:w="57" w:type="dxa"/>
            </w:tcMar>
          </w:tcPr>
          <w:p w14:paraId="4346B12F"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286</w:t>
            </w:r>
          </w:p>
        </w:tc>
      </w:tr>
    </w:tbl>
    <w:p w14:paraId="76CBD70C" w14:textId="77777777" w:rsidR="0077185B" w:rsidRPr="00744827" w:rsidRDefault="0077185B" w:rsidP="00C43CBA">
      <w:pPr>
        <w:pStyle w:val="ACMANotes"/>
        <w:spacing w:before="120" w:after="80"/>
      </w:pPr>
      <w:r w:rsidRPr="00744827">
        <w:t>*Including remote Indigenous communities (RIC).</w:t>
      </w:r>
    </w:p>
    <w:p w14:paraId="0505EBD6" w14:textId="77777777" w:rsidR="0008354E" w:rsidRDefault="0077185B" w:rsidP="00C43CBA">
      <w:pPr>
        <w:pStyle w:val="ACMANotesspaceafter"/>
        <w:spacing w:after="360"/>
        <w:rPr>
          <w:i w:val="0"/>
          <w:iCs/>
          <w:color w:val="000000"/>
          <w:szCs w:val="16"/>
        </w:rPr>
      </w:pPr>
      <w:r w:rsidRPr="00F05F35">
        <w:rPr>
          <w:iCs/>
          <w:color w:val="000000"/>
          <w:szCs w:val="16"/>
        </w:rPr>
        <w:t>Source:</w:t>
      </w:r>
      <w:r w:rsidRPr="003D67C0">
        <w:rPr>
          <w:i w:val="0"/>
          <w:iCs/>
          <w:color w:val="000000"/>
          <w:szCs w:val="16"/>
        </w:rPr>
        <w:t xml:space="preserve"> </w:t>
      </w:r>
      <w:r w:rsidRPr="00C43CBA">
        <w:t>Telstra</w:t>
      </w:r>
      <w:r w:rsidR="0008354E">
        <w:rPr>
          <w:i w:val="0"/>
          <w:iCs/>
          <w:color w:val="000000"/>
          <w:szCs w:val="16"/>
        </w:rPr>
        <w:t xml:space="preserve">. </w:t>
      </w:r>
    </w:p>
    <w:p w14:paraId="4F35299D" w14:textId="77777777" w:rsidR="0077185B" w:rsidRPr="003D67C0" w:rsidRDefault="0077185B" w:rsidP="0077185B">
      <w:pPr>
        <w:pStyle w:val="Heading3"/>
      </w:pPr>
      <w:r w:rsidRPr="008C62C1">
        <w:t>Payphone fault repair performance</w:t>
      </w:r>
    </w:p>
    <w:p w14:paraId="458A40B4" w14:textId="77777777" w:rsidR="0077185B" w:rsidRPr="006134FA" w:rsidRDefault="0077185B" w:rsidP="0077185B">
      <w:r w:rsidRPr="006134FA">
        <w:t xml:space="preserve">Timely repair of payphone faults is an important component of the equitable provision of payphone services under the USO. </w:t>
      </w:r>
    </w:p>
    <w:p w14:paraId="63E11CF8" w14:textId="77777777" w:rsidR="0077185B" w:rsidRPr="006134FA" w:rsidRDefault="0077185B" w:rsidP="0077185B">
      <w:r w:rsidRPr="006134FA">
        <w:t xml:space="preserve">Regulatory benchmarks are in place to measure Telstra’s performance in remediating faults under the </w:t>
      </w:r>
      <w:r w:rsidRPr="002A158C">
        <w:t>Telecommunications Universal Service Obligation (Payphone Performance Benchmarks) Instrument (No. 1) 2011</w:t>
      </w:r>
      <w:r w:rsidRPr="006134FA">
        <w:t xml:space="preserve"> (Payphone Performance Benchmarks). The time frames vary according to the location of the service—one working day for urban locations, two for rural and three for remote locations (including remote Indigenous communities). Failure to meet a benchmark may result in the ACMA taking compliance action.</w:t>
      </w:r>
    </w:p>
    <w:p w14:paraId="4E213F4B" w14:textId="77777777" w:rsidR="0077185B" w:rsidRPr="006134FA" w:rsidRDefault="0077185B" w:rsidP="00015FAC">
      <w:pPr>
        <w:keepNext/>
        <w:keepLines/>
      </w:pPr>
      <w:r w:rsidRPr="006134FA">
        <w:t xml:space="preserve">Table 5.3 shows Telstra met the national </w:t>
      </w:r>
      <w:r>
        <w:t>P</w:t>
      </w:r>
      <w:r w:rsidRPr="006134FA">
        <w:t xml:space="preserve">ayphone </w:t>
      </w:r>
      <w:r>
        <w:t>P</w:t>
      </w:r>
      <w:r w:rsidRPr="006134FA">
        <w:t xml:space="preserve">erformance </w:t>
      </w:r>
      <w:r>
        <w:t>B</w:t>
      </w:r>
      <w:r w:rsidRPr="006134FA">
        <w:t>enchmarks in urban, rural and remote areas in 201</w:t>
      </w:r>
      <w:r>
        <w:t>6</w:t>
      </w:r>
      <w:r w:rsidRPr="006134FA">
        <w:t>–1</w:t>
      </w:r>
      <w:r>
        <w:t>7</w:t>
      </w:r>
      <w:r w:rsidRPr="006134FA">
        <w:t xml:space="preserve">. </w:t>
      </w:r>
    </w:p>
    <w:p w14:paraId="6C85FAFB" w14:textId="77777777" w:rsidR="0077185B" w:rsidRPr="006134FA" w:rsidRDefault="0077185B" w:rsidP="00015FAC">
      <w:pPr>
        <w:pStyle w:val="ACMAFigureHeader"/>
        <w:keepNext/>
        <w:keepLines/>
      </w:pPr>
      <w:r w:rsidRPr="006134FA">
        <w:t>Table 5.3</w:t>
      </w:r>
      <w:r>
        <w:tab/>
      </w:r>
      <w:r w:rsidRPr="006134FA">
        <w:t>Telstra payphone fault repair performance, 201</w:t>
      </w:r>
      <w:r>
        <w:t>6</w:t>
      </w:r>
      <w:r w:rsidRPr="006134FA">
        <w:t>–1</w:t>
      </w:r>
      <w:r>
        <w:t>7</w:t>
      </w:r>
    </w:p>
    <w:tbl>
      <w:tblPr>
        <w:tblStyle w:val="Commsreport2017"/>
        <w:tblW w:w="9066" w:type="dxa"/>
        <w:tblInd w:w="5" w:type="dxa"/>
        <w:tblLook w:val="04A0" w:firstRow="1" w:lastRow="0" w:firstColumn="1" w:lastColumn="0" w:noHBand="0" w:noVBand="1"/>
        <w:tblDescription w:val="Table 5.3 Telstra payphone fault repair performance, 2016–17"/>
      </w:tblPr>
      <w:tblGrid>
        <w:gridCol w:w="3776"/>
        <w:gridCol w:w="1246"/>
        <w:gridCol w:w="2216"/>
        <w:gridCol w:w="1828"/>
      </w:tblGrid>
      <w:tr w:rsidR="0077185B" w:rsidRPr="00E211E1" w14:paraId="23AAD0B2" w14:textId="77777777" w:rsidTr="00015FAC">
        <w:trPr>
          <w:cnfStyle w:val="100000000000" w:firstRow="1" w:lastRow="0" w:firstColumn="0" w:lastColumn="0" w:oddVBand="0" w:evenVBand="0" w:oddHBand="0" w:evenHBand="0" w:firstRowFirstColumn="0" w:firstRowLastColumn="0" w:lastRowFirstColumn="0" w:lastRowLastColumn="0"/>
          <w:trHeight w:val="236"/>
          <w:tblHeader/>
        </w:trPr>
        <w:tc>
          <w:tcPr>
            <w:cnfStyle w:val="001000000000" w:firstRow="0" w:lastRow="0" w:firstColumn="1" w:lastColumn="0" w:oddVBand="0" w:evenVBand="0" w:oddHBand="0" w:evenHBand="0" w:firstRowFirstColumn="0" w:firstRowLastColumn="0" w:lastRowFirstColumn="0" w:lastRowLastColumn="0"/>
            <w:tcW w:w="3776" w:type="dxa"/>
            <w:tcBorders>
              <w:top w:val="nil"/>
              <w:left w:val="nil"/>
            </w:tcBorders>
            <w:tcMar>
              <w:top w:w="57" w:type="dxa"/>
              <w:left w:w="57" w:type="dxa"/>
              <w:bottom w:w="57" w:type="dxa"/>
              <w:right w:w="57" w:type="dxa"/>
            </w:tcMar>
            <w:hideMark/>
          </w:tcPr>
          <w:p w14:paraId="6AFA6E1C" w14:textId="77777777" w:rsidR="0077185B" w:rsidRPr="0014362B" w:rsidRDefault="0077185B" w:rsidP="00C43CBA">
            <w:pPr>
              <w:spacing w:beforeLines="0" w:before="0" w:afterLines="0" w:after="0"/>
              <w:rPr>
                <w:rFonts w:cs="Arial"/>
                <w:b/>
                <w:szCs w:val="20"/>
              </w:rPr>
            </w:pPr>
            <w:r w:rsidRPr="00EE11DD">
              <w:rPr>
                <w:rFonts w:cs="Arial"/>
                <w:szCs w:val="20"/>
              </w:rPr>
              <w:t> </w:t>
            </w:r>
          </w:p>
        </w:tc>
        <w:tc>
          <w:tcPr>
            <w:tcW w:w="1246" w:type="dxa"/>
            <w:tcMar>
              <w:top w:w="57" w:type="dxa"/>
              <w:left w:w="57" w:type="dxa"/>
              <w:bottom w:w="57" w:type="dxa"/>
              <w:right w:w="57" w:type="dxa"/>
            </w:tcMar>
            <w:hideMark/>
          </w:tcPr>
          <w:p w14:paraId="245F1CFD"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3D67C0">
              <w:rPr>
                <w:rFonts w:cs="Arial"/>
                <w:b/>
                <w:szCs w:val="20"/>
              </w:rPr>
              <w:t xml:space="preserve">Urban </w:t>
            </w:r>
            <w:r w:rsidRPr="003D67C0">
              <w:rPr>
                <w:rFonts w:cs="Arial"/>
                <w:b/>
                <w:bCs/>
                <w:szCs w:val="20"/>
              </w:rPr>
              <w:t>(%)</w:t>
            </w:r>
          </w:p>
        </w:tc>
        <w:tc>
          <w:tcPr>
            <w:tcW w:w="2216" w:type="dxa"/>
            <w:tcMar>
              <w:top w:w="57" w:type="dxa"/>
              <w:left w:w="57" w:type="dxa"/>
              <w:bottom w:w="57" w:type="dxa"/>
              <w:right w:w="57" w:type="dxa"/>
            </w:tcMar>
            <w:hideMark/>
          </w:tcPr>
          <w:p w14:paraId="6FE7D047"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3D67C0">
              <w:rPr>
                <w:rFonts w:cs="Arial"/>
                <w:b/>
                <w:szCs w:val="20"/>
              </w:rPr>
              <w:t xml:space="preserve">Rural </w:t>
            </w:r>
            <w:r w:rsidRPr="003D67C0">
              <w:rPr>
                <w:rFonts w:cs="Arial"/>
                <w:b/>
                <w:bCs/>
                <w:szCs w:val="20"/>
              </w:rPr>
              <w:t>(%)</w:t>
            </w:r>
          </w:p>
        </w:tc>
        <w:tc>
          <w:tcPr>
            <w:tcW w:w="1828" w:type="dxa"/>
            <w:tcMar>
              <w:top w:w="57" w:type="dxa"/>
              <w:left w:w="57" w:type="dxa"/>
              <w:bottom w:w="57" w:type="dxa"/>
              <w:right w:w="57" w:type="dxa"/>
            </w:tcMar>
            <w:hideMark/>
          </w:tcPr>
          <w:p w14:paraId="2B2E20BE" w14:textId="77777777" w:rsidR="0077185B" w:rsidRPr="003D67C0"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3D67C0">
              <w:rPr>
                <w:rFonts w:cs="Arial"/>
                <w:b/>
                <w:szCs w:val="20"/>
              </w:rPr>
              <w:t>Remote</w:t>
            </w:r>
            <w:r w:rsidRPr="003D67C0">
              <w:rPr>
                <w:rFonts w:cs="Arial"/>
                <w:b/>
                <w:bCs/>
                <w:szCs w:val="20"/>
              </w:rPr>
              <w:t xml:space="preserve"> (%)*</w:t>
            </w:r>
            <w:r w:rsidRPr="003D67C0">
              <w:rPr>
                <w:rFonts w:cs="Arial"/>
                <w:b/>
                <w:szCs w:val="20"/>
              </w:rPr>
              <w:t xml:space="preserve"> </w:t>
            </w:r>
          </w:p>
        </w:tc>
      </w:tr>
      <w:tr w:rsidR="0077185B" w:rsidRPr="00E211E1" w14:paraId="144E5429" w14:textId="77777777" w:rsidTr="00F65D12">
        <w:trPr>
          <w:trHeight w:val="156"/>
        </w:trPr>
        <w:tc>
          <w:tcPr>
            <w:cnfStyle w:val="001000000000" w:firstRow="0" w:lastRow="0" w:firstColumn="1" w:lastColumn="0" w:oddVBand="0" w:evenVBand="0" w:oddHBand="0" w:evenHBand="0" w:firstRowFirstColumn="0" w:firstRowLastColumn="0" w:lastRowFirstColumn="0" w:lastRowLastColumn="0"/>
            <w:tcW w:w="3776" w:type="dxa"/>
            <w:tcMar>
              <w:top w:w="57" w:type="dxa"/>
              <w:left w:w="57" w:type="dxa"/>
              <w:bottom w:w="57" w:type="dxa"/>
              <w:right w:w="57" w:type="dxa"/>
            </w:tcMar>
            <w:hideMark/>
          </w:tcPr>
          <w:p w14:paraId="6B1514ED" w14:textId="77777777" w:rsidR="0077185B" w:rsidRPr="00E211E1" w:rsidRDefault="0077185B" w:rsidP="00C43CBA">
            <w:pPr>
              <w:spacing w:before="0" w:after="0"/>
              <w:rPr>
                <w:rFonts w:cs="Arial"/>
                <w:szCs w:val="18"/>
              </w:rPr>
            </w:pPr>
            <w:r w:rsidRPr="00E211E1">
              <w:rPr>
                <w:rFonts w:cs="Arial"/>
                <w:szCs w:val="18"/>
              </w:rPr>
              <w:t>Payphone fault repair benchmark</w:t>
            </w:r>
          </w:p>
        </w:tc>
        <w:tc>
          <w:tcPr>
            <w:tcW w:w="1246" w:type="dxa"/>
            <w:tcMar>
              <w:top w:w="57" w:type="dxa"/>
              <w:left w:w="57" w:type="dxa"/>
              <w:bottom w:w="57" w:type="dxa"/>
              <w:right w:w="57" w:type="dxa"/>
            </w:tcMar>
            <w:hideMark/>
          </w:tcPr>
          <w:p w14:paraId="22D0C741"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90</w:t>
            </w:r>
          </w:p>
        </w:tc>
        <w:tc>
          <w:tcPr>
            <w:tcW w:w="2216" w:type="dxa"/>
            <w:tcMar>
              <w:top w:w="57" w:type="dxa"/>
              <w:left w:w="57" w:type="dxa"/>
              <w:bottom w:w="57" w:type="dxa"/>
              <w:right w:w="57" w:type="dxa"/>
            </w:tcMar>
            <w:hideMark/>
          </w:tcPr>
          <w:p w14:paraId="3E78C588"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90</w:t>
            </w:r>
          </w:p>
        </w:tc>
        <w:tc>
          <w:tcPr>
            <w:tcW w:w="1828" w:type="dxa"/>
            <w:tcMar>
              <w:top w:w="57" w:type="dxa"/>
              <w:left w:w="57" w:type="dxa"/>
              <w:bottom w:w="57" w:type="dxa"/>
              <w:right w:w="57" w:type="dxa"/>
            </w:tcMar>
            <w:hideMark/>
          </w:tcPr>
          <w:p w14:paraId="3A3EBFBC"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80</w:t>
            </w:r>
          </w:p>
        </w:tc>
      </w:tr>
      <w:tr w:rsidR="0077185B" w:rsidRPr="00E211E1" w14:paraId="6819D09A" w14:textId="77777777" w:rsidTr="00F65D12">
        <w:trPr>
          <w:trHeight w:val="104"/>
        </w:trPr>
        <w:tc>
          <w:tcPr>
            <w:cnfStyle w:val="001000000000" w:firstRow="0" w:lastRow="0" w:firstColumn="1" w:lastColumn="0" w:oddVBand="0" w:evenVBand="0" w:oddHBand="0" w:evenHBand="0" w:firstRowFirstColumn="0" w:firstRowLastColumn="0" w:lastRowFirstColumn="0" w:lastRowLastColumn="0"/>
            <w:tcW w:w="3776" w:type="dxa"/>
            <w:tcMar>
              <w:top w:w="57" w:type="dxa"/>
              <w:left w:w="57" w:type="dxa"/>
              <w:bottom w:w="57" w:type="dxa"/>
              <w:right w:w="57" w:type="dxa"/>
            </w:tcMar>
            <w:hideMark/>
          </w:tcPr>
          <w:p w14:paraId="1BFF599A" w14:textId="77777777" w:rsidR="0077185B" w:rsidRPr="00E211E1" w:rsidRDefault="0077185B" w:rsidP="00C43CBA">
            <w:pPr>
              <w:spacing w:before="0" w:after="0"/>
              <w:rPr>
                <w:rFonts w:cs="Arial"/>
                <w:szCs w:val="18"/>
              </w:rPr>
            </w:pPr>
            <w:r w:rsidRPr="00E211E1">
              <w:rPr>
                <w:rFonts w:cs="Arial"/>
                <w:szCs w:val="18"/>
              </w:rPr>
              <w:t>Fault repair performance</w:t>
            </w:r>
          </w:p>
        </w:tc>
        <w:tc>
          <w:tcPr>
            <w:tcW w:w="1246" w:type="dxa"/>
            <w:tcMar>
              <w:top w:w="57" w:type="dxa"/>
              <w:left w:w="57" w:type="dxa"/>
              <w:bottom w:w="57" w:type="dxa"/>
              <w:right w:w="57" w:type="dxa"/>
            </w:tcMar>
            <w:hideMark/>
          </w:tcPr>
          <w:p w14:paraId="2E1D1EF8" w14:textId="77777777" w:rsidR="0077185B" w:rsidRPr="00EE11DD"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E11DD">
              <w:rPr>
                <w:rFonts w:cs="Arial"/>
                <w:szCs w:val="18"/>
              </w:rPr>
              <w:t>94.2</w:t>
            </w:r>
          </w:p>
        </w:tc>
        <w:tc>
          <w:tcPr>
            <w:tcW w:w="2216" w:type="dxa"/>
            <w:tcMar>
              <w:top w:w="57" w:type="dxa"/>
              <w:left w:w="57" w:type="dxa"/>
              <w:bottom w:w="57" w:type="dxa"/>
              <w:right w:w="57" w:type="dxa"/>
            </w:tcMar>
            <w:hideMark/>
          </w:tcPr>
          <w:p w14:paraId="2E39E883"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91.6</w:t>
            </w:r>
          </w:p>
        </w:tc>
        <w:tc>
          <w:tcPr>
            <w:tcW w:w="1828" w:type="dxa"/>
            <w:tcMar>
              <w:top w:w="57" w:type="dxa"/>
              <w:left w:w="57" w:type="dxa"/>
              <w:bottom w:w="57" w:type="dxa"/>
              <w:right w:w="57" w:type="dxa"/>
            </w:tcMar>
            <w:hideMark/>
          </w:tcPr>
          <w:p w14:paraId="7E99A9F3" w14:textId="77777777" w:rsidR="0077185B" w:rsidRPr="00E211E1"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E211E1">
              <w:rPr>
                <w:rFonts w:cs="Arial"/>
                <w:szCs w:val="18"/>
              </w:rPr>
              <w:t>89.0</w:t>
            </w:r>
          </w:p>
        </w:tc>
      </w:tr>
    </w:tbl>
    <w:p w14:paraId="41649191" w14:textId="77777777" w:rsidR="0077185B" w:rsidRDefault="0077185B" w:rsidP="00A50E34">
      <w:pPr>
        <w:pStyle w:val="ACMASpaceaftertable"/>
        <w:spacing w:before="120" w:after="0"/>
        <w:rPr>
          <w:i/>
          <w:iCs/>
          <w:color w:val="000000"/>
          <w:sz w:val="16"/>
          <w:szCs w:val="16"/>
        </w:rPr>
      </w:pPr>
      <w:r w:rsidRPr="00133DC5">
        <w:rPr>
          <w:i/>
          <w:iCs/>
          <w:color w:val="000000"/>
          <w:sz w:val="16"/>
          <w:szCs w:val="16"/>
        </w:rPr>
        <w:t>*Including remote Indigenous communities.</w:t>
      </w:r>
    </w:p>
    <w:p w14:paraId="4A31378D" w14:textId="77777777" w:rsidR="0077185B" w:rsidRPr="006134FA" w:rsidRDefault="0077185B" w:rsidP="00C43CBA">
      <w:pPr>
        <w:pStyle w:val="ACMANotesspaceafter"/>
        <w:spacing w:after="360"/>
      </w:pPr>
      <w:r w:rsidRPr="00F05F35">
        <w:rPr>
          <w:iCs/>
          <w:color w:val="000000"/>
          <w:szCs w:val="16"/>
        </w:rPr>
        <w:t>Source:</w:t>
      </w:r>
      <w:r w:rsidRPr="00133DC5">
        <w:rPr>
          <w:i w:val="0"/>
          <w:iCs/>
          <w:color w:val="000000"/>
          <w:szCs w:val="16"/>
        </w:rPr>
        <w:t xml:space="preserve"> </w:t>
      </w:r>
      <w:r w:rsidRPr="00C43CBA">
        <w:t>Telstra</w:t>
      </w:r>
      <w:r w:rsidR="009972F2">
        <w:rPr>
          <w:i w:val="0"/>
          <w:iCs/>
          <w:color w:val="000000"/>
          <w:szCs w:val="16"/>
        </w:rPr>
        <w:t>.</w:t>
      </w:r>
    </w:p>
    <w:p w14:paraId="5D2CE7D3" w14:textId="77777777" w:rsidR="0077185B" w:rsidRPr="008C62C1" w:rsidRDefault="0077185B" w:rsidP="0077185B">
      <w:pPr>
        <w:pStyle w:val="Heading3"/>
        <w:rPr>
          <w:b w:val="0"/>
          <w:bCs w:val="0"/>
        </w:rPr>
      </w:pPr>
      <w:bookmarkStart w:id="1488" w:name="_Toc494799482"/>
      <w:bookmarkStart w:id="1489" w:name="_Toc494805785"/>
      <w:bookmarkStart w:id="1490" w:name="_Toc494806049"/>
      <w:bookmarkStart w:id="1491" w:name="_Toc494808279"/>
      <w:bookmarkStart w:id="1492" w:name="_Toc494808934"/>
      <w:bookmarkStart w:id="1493" w:name="_Toc494816353"/>
      <w:bookmarkStart w:id="1494" w:name="_Toc494818948"/>
      <w:bookmarkStart w:id="1495" w:name="_Toc494819179"/>
      <w:r w:rsidRPr="008C62C1">
        <w:t>Payphones for people with disabilities</w:t>
      </w:r>
      <w:bookmarkEnd w:id="1488"/>
      <w:bookmarkEnd w:id="1489"/>
      <w:bookmarkEnd w:id="1490"/>
      <w:bookmarkEnd w:id="1491"/>
      <w:bookmarkEnd w:id="1492"/>
      <w:bookmarkEnd w:id="1493"/>
      <w:bookmarkEnd w:id="1494"/>
      <w:bookmarkEnd w:id="1495"/>
    </w:p>
    <w:p w14:paraId="1EC66E0F" w14:textId="77777777" w:rsidR="0077185B" w:rsidRDefault="0077185B" w:rsidP="0077185B">
      <w:pPr>
        <w:rPr>
          <w:highlight w:val="yellow"/>
        </w:rPr>
      </w:pPr>
      <w:r w:rsidRPr="0027779D">
        <w:t>At 30 June 201</w:t>
      </w:r>
      <w:r w:rsidRPr="00A92ED0">
        <w:t>7, Telstra had 151 teletypewriter payphones in operation in metropolitan and regional areas, compared with 154 at 30 June 2016.</w:t>
      </w:r>
    </w:p>
    <w:p w14:paraId="3D78F836" w14:textId="77777777" w:rsidR="0077185B" w:rsidRPr="00744827" w:rsidRDefault="0077185B" w:rsidP="0077185B">
      <w:pPr>
        <w:pStyle w:val="Heading2"/>
        <w:numPr>
          <w:ilvl w:val="1"/>
          <w:numId w:val="20"/>
        </w:numPr>
        <w:ind w:hanging="792"/>
      </w:pPr>
      <w:bookmarkStart w:id="1496" w:name="_Toc462909501"/>
      <w:bookmarkStart w:id="1497" w:name="_Toc494799483"/>
      <w:bookmarkStart w:id="1498" w:name="_Toc494805786"/>
      <w:bookmarkStart w:id="1499" w:name="_Toc494806050"/>
      <w:bookmarkStart w:id="1500" w:name="_Toc494808280"/>
      <w:bookmarkStart w:id="1501" w:name="_Toc494808935"/>
      <w:bookmarkStart w:id="1502" w:name="_Toc494816354"/>
      <w:bookmarkStart w:id="1503" w:name="_Toc494818949"/>
      <w:bookmarkStart w:id="1504" w:name="_Toc494819180"/>
      <w:bookmarkStart w:id="1505" w:name="_Toc500320926"/>
      <w:r w:rsidRPr="00744827">
        <w:t>CSG Standard</w:t>
      </w:r>
      <w:bookmarkEnd w:id="1496"/>
      <w:bookmarkEnd w:id="1497"/>
      <w:bookmarkEnd w:id="1498"/>
      <w:bookmarkEnd w:id="1499"/>
      <w:bookmarkEnd w:id="1500"/>
      <w:bookmarkEnd w:id="1501"/>
      <w:bookmarkEnd w:id="1502"/>
      <w:bookmarkEnd w:id="1503"/>
      <w:bookmarkEnd w:id="1504"/>
      <w:bookmarkEnd w:id="1505"/>
    </w:p>
    <w:p w14:paraId="64D70363" w14:textId="77777777" w:rsidR="0077185B" w:rsidRPr="006134FA" w:rsidRDefault="0077185B" w:rsidP="004544DB">
      <w:pPr>
        <w:keepNext/>
        <w:keepLines/>
        <w:rPr>
          <w:rFonts w:cs="Arial"/>
        </w:rPr>
      </w:pPr>
      <w:r w:rsidRPr="006134FA">
        <w:rPr>
          <w:rFonts w:cs="Arial"/>
        </w:rPr>
        <w:t xml:space="preserve">The </w:t>
      </w:r>
      <w:r w:rsidRPr="004544DB">
        <w:rPr>
          <w:rFonts w:cs="Arial"/>
        </w:rPr>
        <w:t>Telecommunications (Customer Service Guarantee) Standard 2011</w:t>
      </w:r>
      <w:r w:rsidRPr="006134FA">
        <w:rPr>
          <w:rFonts w:cs="Arial"/>
        </w:rPr>
        <w:t xml:space="preserve"> (CSG Standard) sets minimum service standards for CSPs </w:t>
      </w:r>
      <w:r>
        <w:rPr>
          <w:rFonts w:cs="Arial"/>
        </w:rPr>
        <w:t>to</w:t>
      </w:r>
      <w:r w:rsidRPr="006134FA">
        <w:rPr>
          <w:rFonts w:cs="Arial"/>
        </w:rPr>
        <w:t xml:space="preserve"> install, repair and </w:t>
      </w:r>
      <w:r>
        <w:rPr>
          <w:rFonts w:cs="Arial"/>
        </w:rPr>
        <w:t>attend</w:t>
      </w:r>
      <w:r w:rsidRPr="006134FA">
        <w:rPr>
          <w:rFonts w:cs="Arial"/>
        </w:rPr>
        <w:t xml:space="preserve"> appointments for standard telephone services for residential and small</w:t>
      </w:r>
      <w:r>
        <w:rPr>
          <w:rFonts w:cs="Arial"/>
        </w:rPr>
        <w:t>-</w:t>
      </w:r>
      <w:r w:rsidRPr="006134FA">
        <w:rPr>
          <w:rFonts w:cs="Arial"/>
        </w:rPr>
        <w:t>business customers. The CSG Standard allows for exemptions from meeting s</w:t>
      </w:r>
      <w:r w:rsidRPr="006134FA">
        <w:t>e</w:t>
      </w:r>
      <w:r w:rsidRPr="006134FA">
        <w:rPr>
          <w:rFonts w:cs="Arial"/>
        </w:rPr>
        <w:t>rvice standards under certain circumstances. If a CSP fails to meet the minimum performance standards, compensation may be payable to the customer.</w:t>
      </w:r>
    </w:p>
    <w:p w14:paraId="27A9C9A7" w14:textId="77777777" w:rsidR="0077185B" w:rsidRPr="006134FA" w:rsidRDefault="0077185B" w:rsidP="004544DB">
      <w:pPr>
        <w:keepNext/>
      </w:pPr>
      <w:r w:rsidRPr="006134FA">
        <w:t>At 30 June 201</w:t>
      </w:r>
      <w:r>
        <w:t>7</w:t>
      </w:r>
      <w:r w:rsidRPr="006134FA">
        <w:t xml:space="preserve">, there were </w:t>
      </w:r>
      <w:r>
        <w:t>6.22</w:t>
      </w:r>
      <w:r w:rsidRPr="006134FA">
        <w:t xml:space="preserve"> million services subject to the CSG Standard, compared to 6.11 million at 30 June 201</w:t>
      </w:r>
      <w:r>
        <w:t>6</w:t>
      </w:r>
      <w:r w:rsidRPr="006134FA">
        <w:t>—a</w:t>
      </w:r>
      <w:r>
        <w:t>n</w:t>
      </w:r>
      <w:r w:rsidRPr="006134FA">
        <w:t xml:space="preserve"> </w:t>
      </w:r>
      <w:r>
        <w:t>increase</w:t>
      </w:r>
      <w:r w:rsidRPr="006134FA">
        <w:t xml:space="preserve"> of </w:t>
      </w:r>
      <w:r w:rsidR="00EF3706">
        <w:t>1.8</w:t>
      </w:r>
      <w:r w:rsidR="00EF3706" w:rsidRPr="006134FA">
        <w:t xml:space="preserve"> </w:t>
      </w:r>
      <w:r w:rsidRPr="006134FA">
        <w:t>per cent (Table 5.4).</w:t>
      </w:r>
    </w:p>
    <w:p w14:paraId="37A9D998" w14:textId="77777777" w:rsidR="0077185B" w:rsidRPr="006134FA" w:rsidRDefault="0077185B" w:rsidP="00C43CBA">
      <w:pPr>
        <w:pStyle w:val="ACMAFigureHeader"/>
        <w:keepNext/>
      </w:pPr>
      <w:r w:rsidRPr="006134FA">
        <w:t>Table 5.4</w:t>
      </w:r>
      <w:r>
        <w:tab/>
      </w:r>
      <w:r w:rsidRPr="006134FA">
        <w:t xml:space="preserve">Services subject to the </w:t>
      </w:r>
      <w:r w:rsidRPr="008A4D94">
        <w:rPr>
          <w:rFonts w:cs="Arial"/>
        </w:rPr>
        <w:t>CSG</w:t>
      </w:r>
      <w:r w:rsidRPr="006134FA">
        <w:t xml:space="preserve"> Standard</w:t>
      </w:r>
      <w:r>
        <w:t>,</w:t>
      </w:r>
      <w:r w:rsidRPr="006134FA">
        <w:t xml:space="preserve"> by provider</w:t>
      </w:r>
      <w:r>
        <w:t>,</w:t>
      </w:r>
      <w:r w:rsidRPr="006134FA">
        <w:t xml:space="preserve"> at 30 June</w:t>
      </w:r>
      <w:r>
        <w:t xml:space="preserve"> </w:t>
      </w:r>
      <w:r w:rsidR="0008354E">
        <w:t>(thousands)</w:t>
      </w:r>
    </w:p>
    <w:tbl>
      <w:tblPr>
        <w:tblStyle w:val="Commsreport2017"/>
        <w:tblW w:w="8901" w:type="dxa"/>
        <w:tblInd w:w="5" w:type="dxa"/>
        <w:shd w:val="clear" w:color="auto" w:fill="FFFFFF" w:themeFill="background1"/>
        <w:tblLook w:val="04A0" w:firstRow="1" w:lastRow="0" w:firstColumn="1" w:lastColumn="0" w:noHBand="0" w:noVBand="1"/>
        <w:tblCaption w:val="Table 5.4 Services subject to the CSG Standard, by provider, at 30 June (thousands)"/>
      </w:tblPr>
      <w:tblGrid>
        <w:gridCol w:w="2256"/>
        <w:gridCol w:w="1105"/>
        <w:gridCol w:w="1105"/>
        <w:gridCol w:w="1105"/>
        <w:gridCol w:w="1105"/>
        <w:gridCol w:w="1105"/>
        <w:gridCol w:w="1120"/>
      </w:tblGrid>
      <w:tr w:rsidR="0077185B" w:rsidRPr="00A939AF" w14:paraId="1E4F7B38" w14:textId="77777777" w:rsidTr="00EC183A">
        <w:trPr>
          <w:cnfStyle w:val="100000000000" w:firstRow="1" w:lastRow="0" w:firstColumn="0" w:lastColumn="0" w:oddVBand="0" w:evenVBand="0" w:oddHBand="0" w:evenHBand="0" w:firstRowFirstColumn="0" w:firstRowLastColumn="0" w:lastRowFirstColumn="0" w:lastRowLastColumn="0"/>
          <w:trHeight w:val="116"/>
          <w:tblHeader/>
        </w:trPr>
        <w:tc>
          <w:tcPr>
            <w:cnfStyle w:val="001000000000" w:firstRow="0" w:lastRow="0" w:firstColumn="1" w:lastColumn="0" w:oddVBand="0" w:evenVBand="0" w:oddHBand="0" w:evenHBand="0" w:firstRowFirstColumn="0" w:firstRowLastColumn="0" w:lastRowFirstColumn="0" w:lastRowLastColumn="0"/>
            <w:tcW w:w="2256" w:type="dxa"/>
            <w:tcBorders>
              <w:top w:val="nil"/>
              <w:left w:val="nil"/>
            </w:tcBorders>
            <w:tcMar>
              <w:top w:w="57" w:type="dxa"/>
              <w:left w:w="57" w:type="dxa"/>
              <w:bottom w:w="57" w:type="dxa"/>
              <w:right w:w="57" w:type="dxa"/>
            </w:tcMar>
          </w:tcPr>
          <w:p w14:paraId="0A0D7277" w14:textId="77777777" w:rsidR="0077185B" w:rsidRDefault="0077185B" w:rsidP="00C43CBA">
            <w:pPr>
              <w:spacing w:beforeLines="0" w:before="0" w:afterLines="0" w:after="0"/>
              <w:rPr>
                <w:rFonts w:cs="Arial"/>
                <w:szCs w:val="18"/>
              </w:rPr>
            </w:pPr>
          </w:p>
        </w:tc>
        <w:tc>
          <w:tcPr>
            <w:tcW w:w="1105" w:type="dxa"/>
            <w:tcMar>
              <w:top w:w="57" w:type="dxa"/>
              <w:left w:w="57" w:type="dxa"/>
              <w:bottom w:w="57" w:type="dxa"/>
              <w:right w:w="57" w:type="dxa"/>
            </w:tcMar>
          </w:tcPr>
          <w:p w14:paraId="40ECF554"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2012</w:t>
            </w:r>
          </w:p>
        </w:tc>
        <w:tc>
          <w:tcPr>
            <w:tcW w:w="1105" w:type="dxa"/>
            <w:tcMar>
              <w:top w:w="57" w:type="dxa"/>
              <w:left w:w="57" w:type="dxa"/>
              <w:bottom w:w="57" w:type="dxa"/>
              <w:right w:w="57" w:type="dxa"/>
            </w:tcMar>
          </w:tcPr>
          <w:p w14:paraId="5D8C76E6"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2013</w:t>
            </w:r>
          </w:p>
        </w:tc>
        <w:tc>
          <w:tcPr>
            <w:tcW w:w="1105" w:type="dxa"/>
            <w:tcMar>
              <w:top w:w="57" w:type="dxa"/>
              <w:left w:w="57" w:type="dxa"/>
              <w:bottom w:w="57" w:type="dxa"/>
              <w:right w:w="57" w:type="dxa"/>
            </w:tcMar>
          </w:tcPr>
          <w:p w14:paraId="70BA3828"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2014</w:t>
            </w:r>
          </w:p>
        </w:tc>
        <w:tc>
          <w:tcPr>
            <w:tcW w:w="1105" w:type="dxa"/>
            <w:tcMar>
              <w:top w:w="57" w:type="dxa"/>
              <w:left w:w="57" w:type="dxa"/>
              <w:bottom w:w="57" w:type="dxa"/>
              <w:right w:w="57" w:type="dxa"/>
            </w:tcMar>
          </w:tcPr>
          <w:p w14:paraId="3309583C"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2015</w:t>
            </w:r>
          </w:p>
        </w:tc>
        <w:tc>
          <w:tcPr>
            <w:tcW w:w="1105" w:type="dxa"/>
            <w:tcMar>
              <w:top w:w="57" w:type="dxa"/>
              <w:left w:w="57" w:type="dxa"/>
              <w:bottom w:w="57" w:type="dxa"/>
              <w:right w:w="57" w:type="dxa"/>
            </w:tcMar>
          </w:tcPr>
          <w:p w14:paraId="088AB976"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2016</w:t>
            </w:r>
          </w:p>
        </w:tc>
        <w:tc>
          <w:tcPr>
            <w:tcW w:w="1120" w:type="dxa"/>
            <w:tcMar>
              <w:top w:w="57" w:type="dxa"/>
              <w:left w:w="57" w:type="dxa"/>
              <w:bottom w:w="57" w:type="dxa"/>
              <w:right w:w="57" w:type="dxa"/>
            </w:tcMar>
          </w:tcPr>
          <w:p w14:paraId="4CF9982B" w14:textId="77777777" w:rsidR="0077185B" w:rsidRPr="005875FD" w:rsidRDefault="0077185B"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20"/>
              </w:rPr>
            </w:pPr>
            <w:r w:rsidRPr="005875FD">
              <w:rPr>
                <w:rFonts w:cs="Arial"/>
                <w:b/>
                <w:szCs w:val="20"/>
              </w:rPr>
              <w:t>2017</w:t>
            </w:r>
          </w:p>
        </w:tc>
      </w:tr>
      <w:tr w:rsidR="0077185B" w:rsidRPr="00A939AF" w14:paraId="1B1343E0" w14:textId="77777777" w:rsidTr="00C43CBA">
        <w:trPr>
          <w:trHeight w:val="206"/>
        </w:trPr>
        <w:tc>
          <w:tcPr>
            <w:cnfStyle w:val="001000000000" w:firstRow="0" w:lastRow="0" w:firstColumn="1" w:lastColumn="0" w:oddVBand="0" w:evenVBand="0" w:oddHBand="0" w:evenHBand="0" w:firstRowFirstColumn="0" w:firstRowLastColumn="0" w:lastRowFirstColumn="0" w:lastRowLastColumn="0"/>
            <w:tcW w:w="2256" w:type="dxa"/>
            <w:tcMar>
              <w:top w:w="57" w:type="dxa"/>
              <w:left w:w="57" w:type="dxa"/>
              <w:bottom w:w="57" w:type="dxa"/>
              <w:right w:w="57" w:type="dxa"/>
            </w:tcMar>
            <w:hideMark/>
          </w:tcPr>
          <w:p w14:paraId="6A36E5C3" w14:textId="77777777" w:rsidR="0077185B" w:rsidRPr="00EE11DD" w:rsidRDefault="0077185B" w:rsidP="00C43CBA">
            <w:pPr>
              <w:spacing w:before="0" w:after="0"/>
              <w:rPr>
                <w:rFonts w:cs="Arial"/>
                <w:szCs w:val="18"/>
              </w:rPr>
            </w:pPr>
            <w:r w:rsidRPr="00A939AF">
              <w:rPr>
                <w:rFonts w:cs="Arial"/>
                <w:szCs w:val="18"/>
              </w:rPr>
              <w:t>iiNet</w:t>
            </w:r>
          </w:p>
        </w:tc>
        <w:tc>
          <w:tcPr>
            <w:tcW w:w="1105" w:type="dxa"/>
            <w:shd w:val="clear" w:color="auto" w:fill="FFFFFF" w:themeFill="background1"/>
            <w:tcMar>
              <w:top w:w="57" w:type="dxa"/>
              <w:left w:w="57" w:type="dxa"/>
              <w:bottom w:w="57" w:type="dxa"/>
              <w:right w:w="57" w:type="dxa"/>
            </w:tcMar>
            <w:hideMark/>
          </w:tcPr>
          <w:p w14:paraId="5719628C"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493</w:t>
            </w:r>
          </w:p>
        </w:tc>
        <w:tc>
          <w:tcPr>
            <w:tcW w:w="1105" w:type="dxa"/>
            <w:shd w:val="clear" w:color="auto" w:fill="FFFFFF" w:themeFill="background1"/>
            <w:tcMar>
              <w:top w:w="57" w:type="dxa"/>
              <w:left w:w="57" w:type="dxa"/>
              <w:bottom w:w="57" w:type="dxa"/>
              <w:right w:w="57" w:type="dxa"/>
            </w:tcMar>
            <w:hideMark/>
          </w:tcPr>
          <w:p w14:paraId="03E6869B"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418</w:t>
            </w:r>
          </w:p>
        </w:tc>
        <w:tc>
          <w:tcPr>
            <w:tcW w:w="1105" w:type="dxa"/>
            <w:shd w:val="clear" w:color="auto" w:fill="FFFFFF" w:themeFill="background1"/>
            <w:tcMar>
              <w:top w:w="57" w:type="dxa"/>
              <w:left w:w="57" w:type="dxa"/>
              <w:bottom w:w="57" w:type="dxa"/>
              <w:right w:w="57" w:type="dxa"/>
            </w:tcMar>
            <w:hideMark/>
          </w:tcPr>
          <w:p w14:paraId="3DC69172"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443</w:t>
            </w:r>
          </w:p>
        </w:tc>
        <w:tc>
          <w:tcPr>
            <w:tcW w:w="1105" w:type="dxa"/>
            <w:shd w:val="clear" w:color="auto" w:fill="FFFFFF" w:themeFill="background1"/>
            <w:tcMar>
              <w:top w:w="57" w:type="dxa"/>
              <w:left w:w="57" w:type="dxa"/>
              <w:bottom w:w="57" w:type="dxa"/>
              <w:right w:w="57" w:type="dxa"/>
            </w:tcMar>
            <w:hideMark/>
          </w:tcPr>
          <w:p w14:paraId="05C6918B"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473</w:t>
            </w:r>
          </w:p>
        </w:tc>
        <w:tc>
          <w:tcPr>
            <w:tcW w:w="1105" w:type="dxa"/>
            <w:shd w:val="clear" w:color="auto" w:fill="FFFFFF" w:themeFill="background1"/>
            <w:tcMar>
              <w:top w:w="57" w:type="dxa"/>
              <w:left w:w="57" w:type="dxa"/>
              <w:bottom w:w="57" w:type="dxa"/>
              <w:right w:w="57" w:type="dxa"/>
            </w:tcMar>
            <w:hideMark/>
          </w:tcPr>
          <w:p w14:paraId="2DCA2DC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427*</w:t>
            </w:r>
          </w:p>
        </w:tc>
        <w:tc>
          <w:tcPr>
            <w:tcW w:w="1120" w:type="dxa"/>
            <w:shd w:val="clear" w:color="auto" w:fill="FFFFFF" w:themeFill="background1"/>
            <w:tcMar>
              <w:top w:w="57" w:type="dxa"/>
              <w:left w:w="57" w:type="dxa"/>
              <w:bottom w:w="57" w:type="dxa"/>
              <w:right w:w="57" w:type="dxa"/>
            </w:tcMar>
          </w:tcPr>
          <w:p w14:paraId="404B128B"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391</w:t>
            </w:r>
          </w:p>
        </w:tc>
      </w:tr>
      <w:tr w:rsidR="0077185B" w:rsidRPr="00A939AF" w14:paraId="5471FF60" w14:textId="77777777" w:rsidTr="00C43CBA">
        <w:trPr>
          <w:trHeight w:val="26"/>
        </w:trPr>
        <w:tc>
          <w:tcPr>
            <w:cnfStyle w:val="001000000000" w:firstRow="0" w:lastRow="0" w:firstColumn="1" w:lastColumn="0" w:oddVBand="0" w:evenVBand="0" w:oddHBand="0" w:evenHBand="0" w:firstRowFirstColumn="0" w:firstRowLastColumn="0" w:lastRowFirstColumn="0" w:lastRowLastColumn="0"/>
            <w:tcW w:w="2256" w:type="dxa"/>
            <w:tcMar>
              <w:top w:w="57" w:type="dxa"/>
              <w:left w:w="57" w:type="dxa"/>
              <w:bottom w:w="57" w:type="dxa"/>
              <w:right w:w="57" w:type="dxa"/>
            </w:tcMar>
            <w:hideMark/>
          </w:tcPr>
          <w:p w14:paraId="4D1FB8FF" w14:textId="77777777" w:rsidR="0077185B" w:rsidRPr="00EE11DD" w:rsidRDefault="0077185B" w:rsidP="00C43CBA">
            <w:pPr>
              <w:spacing w:before="0" w:after="0"/>
              <w:rPr>
                <w:rFonts w:cs="Arial"/>
                <w:szCs w:val="18"/>
              </w:rPr>
            </w:pPr>
            <w:r w:rsidRPr="00A939AF">
              <w:rPr>
                <w:rFonts w:cs="Arial"/>
                <w:szCs w:val="18"/>
              </w:rPr>
              <w:t>Optus</w:t>
            </w:r>
          </w:p>
        </w:tc>
        <w:tc>
          <w:tcPr>
            <w:tcW w:w="1105" w:type="dxa"/>
            <w:shd w:val="clear" w:color="auto" w:fill="FFFFFF" w:themeFill="background1"/>
            <w:tcMar>
              <w:top w:w="57" w:type="dxa"/>
              <w:left w:w="57" w:type="dxa"/>
              <w:bottom w:w="57" w:type="dxa"/>
              <w:right w:w="57" w:type="dxa"/>
            </w:tcMar>
            <w:hideMark/>
          </w:tcPr>
          <w:p w14:paraId="5508F98F"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913</w:t>
            </w:r>
          </w:p>
        </w:tc>
        <w:tc>
          <w:tcPr>
            <w:tcW w:w="1105" w:type="dxa"/>
            <w:shd w:val="clear" w:color="auto" w:fill="FFFFFF" w:themeFill="background1"/>
            <w:tcMar>
              <w:top w:w="57" w:type="dxa"/>
              <w:left w:w="57" w:type="dxa"/>
              <w:bottom w:w="57" w:type="dxa"/>
              <w:right w:w="57" w:type="dxa"/>
            </w:tcMar>
            <w:hideMark/>
          </w:tcPr>
          <w:p w14:paraId="545AC481"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850</w:t>
            </w:r>
          </w:p>
        </w:tc>
        <w:tc>
          <w:tcPr>
            <w:tcW w:w="1105" w:type="dxa"/>
            <w:shd w:val="clear" w:color="auto" w:fill="FFFFFF" w:themeFill="background1"/>
            <w:tcMar>
              <w:top w:w="57" w:type="dxa"/>
              <w:left w:w="57" w:type="dxa"/>
              <w:bottom w:w="57" w:type="dxa"/>
              <w:right w:w="57" w:type="dxa"/>
            </w:tcMar>
            <w:hideMark/>
          </w:tcPr>
          <w:p w14:paraId="393175BC"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799</w:t>
            </w:r>
          </w:p>
        </w:tc>
        <w:tc>
          <w:tcPr>
            <w:tcW w:w="1105" w:type="dxa"/>
            <w:shd w:val="clear" w:color="auto" w:fill="FFFFFF" w:themeFill="background1"/>
            <w:tcMar>
              <w:top w:w="57" w:type="dxa"/>
              <w:left w:w="57" w:type="dxa"/>
              <w:bottom w:w="57" w:type="dxa"/>
              <w:right w:w="57" w:type="dxa"/>
            </w:tcMar>
            <w:hideMark/>
          </w:tcPr>
          <w:p w14:paraId="397E843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808</w:t>
            </w:r>
          </w:p>
        </w:tc>
        <w:tc>
          <w:tcPr>
            <w:tcW w:w="1105" w:type="dxa"/>
            <w:shd w:val="clear" w:color="auto" w:fill="FFFFFF" w:themeFill="background1"/>
            <w:tcMar>
              <w:top w:w="57" w:type="dxa"/>
              <w:left w:w="57" w:type="dxa"/>
              <w:bottom w:w="57" w:type="dxa"/>
              <w:right w:w="57" w:type="dxa"/>
            </w:tcMar>
            <w:hideMark/>
          </w:tcPr>
          <w:p w14:paraId="45A3006E"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977</w:t>
            </w:r>
          </w:p>
        </w:tc>
        <w:tc>
          <w:tcPr>
            <w:tcW w:w="1120" w:type="dxa"/>
            <w:shd w:val="clear" w:color="auto" w:fill="FFFFFF" w:themeFill="background1"/>
            <w:tcMar>
              <w:top w:w="57" w:type="dxa"/>
              <w:left w:w="57" w:type="dxa"/>
              <w:bottom w:w="57" w:type="dxa"/>
              <w:right w:w="57" w:type="dxa"/>
            </w:tcMar>
          </w:tcPr>
          <w:p w14:paraId="19545C9F"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1,079</w:t>
            </w:r>
          </w:p>
        </w:tc>
      </w:tr>
      <w:tr w:rsidR="0077185B" w:rsidRPr="00A939AF" w14:paraId="103AF13E" w14:textId="77777777" w:rsidTr="00C43CBA">
        <w:trPr>
          <w:trHeight w:val="116"/>
        </w:trPr>
        <w:tc>
          <w:tcPr>
            <w:cnfStyle w:val="001000000000" w:firstRow="0" w:lastRow="0" w:firstColumn="1" w:lastColumn="0" w:oddVBand="0" w:evenVBand="0" w:oddHBand="0" w:evenHBand="0" w:firstRowFirstColumn="0" w:firstRowLastColumn="0" w:lastRowFirstColumn="0" w:lastRowLastColumn="0"/>
            <w:tcW w:w="2256" w:type="dxa"/>
            <w:tcMar>
              <w:top w:w="57" w:type="dxa"/>
              <w:left w:w="57" w:type="dxa"/>
              <w:bottom w:w="57" w:type="dxa"/>
              <w:right w:w="57" w:type="dxa"/>
            </w:tcMar>
            <w:hideMark/>
          </w:tcPr>
          <w:p w14:paraId="345EE7E2" w14:textId="77777777" w:rsidR="0077185B" w:rsidRPr="00EE11DD" w:rsidRDefault="0077185B" w:rsidP="00C43CBA">
            <w:pPr>
              <w:spacing w:before="0" w:after="0"/>
              <w:rPr>
                <w:rFonts w:cs="Arial"/>
                <w:szCs w:val="18"/>
              </w:rPr>
            </w:pPr>
            <w:r w:rsidRPr="00A939AF">
              <w:rPr>
                <w:rFonts w:cs="Arial"/>
                <w:szCs w:val="18"/>
              </w:rPr>
              <w:t>iPrimus</w:t>
            </w:r>
          </w:p>
        </w:tc>
        <w:tc>
          <w:tcPr>
            <w:tcW w:w="1105" w:type="dxa"/>
            <w:shd w:val="clear" w:color="auto" w:fill="FFFFFF" w:themeFill="background1"/>
            <w:tcMar>
              <w:top w:w="57" w:type="dxa"/>
              <w:left w:w="57" w:type="dxa"/>
              <w:bottom w:w="57" w:type="dxa"/>
              <w:right w:w="57" w:type="dxa"/>
            </w:tcMar>
            <w:hideMark/>
          </w:tcPr>
          <w:p w14:paraId="37F2930E"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103</w:t>
            </w:r>
          </w:p>
        </w:tc>
        <w:tc>
          <w:tcPr>
            <w:tcW w:w="1105" w:type="dxa"/>
            <w:shd w:val="clear" w:color="auto" w:fill="FFFFFF" w:themeFill="background1"/>
            <w:tcMar>
              <w:top w:w="57" w:type="dxa"/>
              <w:left w:w="57" w:type="dxa"/>
              <w:bottom w:w="57" w:type="dxa"/>
              <w:right w:w="57" w:type="dxa"/>
            </w:tcMar>
            <w:hideMark/>
          </w:tcPr>
          <w:p w14:paraId="700064A3"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101</w:t>
            </w:r>
          </w:p>
        </w:tc>
        <w:tc>
          <w:tcPr>
            <w:tcW w:w="1105" w:type="dxa"/>
            <w:shd w:val="clear" w:color="auto" w:fill="FFFFFF" w:themeFill="background1"/>
            <w:tcMar>
              <w:top w:w="57" w:type="dxa"/>
              <w:left w:w="57" w:type="dxa"/>
              <w:bottom w:w="57" w:type="dxa"/>
              <w:right w:w="57" w:type="dxa"/>
            </w:tcMar>
            <w:hideMark/>
          </w:tcPr>
          <w:p w14:paraId="5A21B846"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95</w:t>
            </w:r>
          </w:p>
        </w:tc>
        <w:tc>
          <w:tcPr>
            <w:tcW w:w="1105" w:type="dxa"/>
            <w:shd w:val="clear" w:color="auto" w:fill="FFFFFF" w:themeFill="background1"/>
            <w:tcMar>
              <w:top w:w="57" w:type="dxa"/>
              <w:left w:w="57" w:type="dxa"/>
              <w:bottom w:w="57" w:type="dxa"/>
              <w:right w:w="57" w:type="dxa"/>
            </w:tcMar>
            <w:hideMark/>
          </w:tcPr>
          <w:p w14:paraId="5AA74765"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49</w:t>
            </w:r>
          </w:p>
        </w:tc>
        <w:tc>
          <w:tcPr>
            <w:tcW w:w="1105" w:type="dxa"/>
            <w:shd w:val="clear" w:color="auto" w:fill="FFFFFF" w:themeFill="background1"/>
            <w:tcMar>
              <w:top w:w="57" w:type="dxa"/>
              <w:left w:w="57" w:type="dxa"/>
              <w:bottom w:w="57" w:type="dxa"/>
              <w:right w:w="57" w:type="dxa"/>
            </w:tcMar>
            <w:hideMark/>
          </w:tcPr>
          <w:p w14:paraId="5E6AD21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57</w:t>
            </w:r>
          </w:p>
        </w:tc>
        <w:tc>
          <w:tcPr>
            <w:tcW w:w="1120" w:type="dxa"/>
            <w:shd w:val="clear" w:color="auto" w:fill="FFFFFF" w:themeFill="background1"/>
            <w:tcMar>
              <w:top w:w="57" w:type="dxa"/>
              <w:left w:w="57" w:type="dxa"/>
              <w:bottom w:w="57" w:type="dxa"/>
              <w:right w:w="57" w:type="dxa"/>
            </w:tcMar>
          </w:tcPr>
          <w:p w14:paraId="430ACBD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42</w:t>
            </w:r>
          </w:p>
        </w:tc>
      </w:tr>
      <w:tr w:rsidR="0077185B" w:rsidRPr="00A939AF" w14:paraId="2826893F" w14:textId="77777777" w:rsidTr="00C43CBA">
        <w:trPr>
          <w:trHeight w:val="65"/>
        </w:trPr>
        <w:tc>
          <w:tcPr>
            <w:cnfStyle w:val="001000000000" w:firstRow="0" w:lastRow="0" w:firstColumn="1" w:lastColumn="0" w:oddVBand="0" w:evenVBand="0" w:oddHBand="0" w:evenHBand="0" w:firstRowFirstColumn="0" w:firstRowLastColumn="0" w:lastRowFirstColumn="0" w:lastRowLastColumn="0"/>
            <w:tcW w:w="2256" w:type="dxa"/>
            <w:tcMar>
              <w:top w:w="57" w:type="dxa"/>
              <w:left w:w="57" w:type="dxa"/>
              <w:bottom w:w="57" w:type="dxa"/>
              <w:right w:w="57" w:type="dxa"/>
            </w:tcMar>
            <w:hideMark/>
          </w:tcPr>
          <w:p w14:paraId="40458DD9" w14:textId="77777777" w:rsidR="0077185B" w:rsidRPr="00EE11DD" w:rsidRDefault="0077185B" w:rsidP="00C43CBA">
            <w:pPr>
              <w:spacing w:before="0" w:after="0"/>
              <w:rPr>
                <w:rFonts w:cs="Arial"/>
                <w:szCs w:val="18"/>
              </w:rPr>
            </w:pPr>
            <w:r w:rsidRPr="00A939AF">
              <w:rPr>
                <w:rFonts w:cs="Arial"/>
                <w:szCs w:val="18"/>
              </w:rPr>
              <w:t>Telstra</w:t>
            </w:r>
          </w:p>
        </w:tc>
        <w:tc>
          <w:tcPr>
            <w:tcW w:w="1105" w:type="dxa"/>
            <w:shd w:val="clear" w:color="auto" w:fill="FFFFFF" w:themeFill="background1"/>
            <w:tcMar>
              <w:top w:w="57" w:type="dxa"/>
              <w:left w:w="57" w:type="dxa"/>
              <w:bottom w:w="57" w:type="dxa"/>
              <w:right w:w="57" w:type="dxa"/>
            </w:tcMar>
            <w:hideMark/>
          </w:tcPr>
          <w:p w14:paraId="475F8BC2"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5,608</w:t>
            </w:r>
          </w:p>
        </w:tc>
        <w:tc>
          <w:tcPr>
            <w:tcW w:w="1105" w:type="dxa"/>
            <w:shd w:val="clear" w:color="auto" w:fill="FFFFFF" w:themeFill="background1"/>
            <w:tcMar>
              <w:top w:w="57" w:type="dxa"/>
              <w:left w:w="57" w:type="dxa"/>
              <w:bottom w:w="57" w:type="dxa"/>
              <w:right w:w="57" w:type="dxa"/>
            </w:tcMar>
            <w:hideMark/>
          </w:tcPr>
          <w:p w14:paraId="378167B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5,314</w:t>
            </w:r>
          </w:p>
        </w:tc>
        <w:tc>
          <w:tcPr>
            <w:tcW w:w="1105" w:type="dxa"/>
            <w:shd w:val="clear" w:color="auto" w:fill="FFFFFF" w:themeFill="background1"/>
            <w:tcMar>
              <w:top w:w="57" w:type="dxa"/>
              <w:left w:w="57" w:type="dxa"/>
              <w:bottom w:w="57" w:type="dxa"/>
              <w:right w:w="57" w:type="dxa"/>
            </w:tcMar>
            <w:hideMark/>
          </w:tcPr>
          <w:p w14:paraId="7A74DA4D"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5,038</w:t>
            </w:r>
          </w:p>
        </w:tc>
        <w:tc>
          <w:tcPr>
            <w:tcW w:w="1105" w:type="dxa"/>
            <w:shd w:val="clear" w:color="auto" w:fill="FFFFFF" w:themeFill="background1"/>
            <w:tcMar>
              <w:top w:w="57" w:type="dxa"/>
              <w:left w:w="57" w:type="dxa"/>
              <w:bottom w:w="57" w:type="dxa"/>
              <w:right w:w="57" w:type="dxa"/>
            </w:tcMar>
            <w:hideMark/>
          </w:tcPr>
          <w:p w14:paraId="6FE7C1B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4,757</w:t>
            </w:r>
          </w:p>
        </w:tc>
        <w:tc>
          <w:tcPr>
            <w:tcW w:w="1105" w:type="dxa"/>
            <w:shd w:val="clear" w:color="auto" w:fill="FFFFFF" w:themeFill="background1"/>
            <w:tcMar>
              <w:top w:w="57" w:type="dxa"/>
              <w:left w:w="57" w:type="dxa"/>
              <w:bottom w:w="57" w:type="dxa"/>
              <w:right w:w="57" w:type="dxa"/>
            </w:tcMar>
            <w:hideMark/>
          </w:tcPr>
          <w:p w14:paraId="28FF928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4,361</w:t>
            </w:r>
          </w:p>
        </w:tc>
        <w:tc>
          <w:tcPr>
            <w:tcW w:w="1120" w:type="dxa"/>
            <w:shd w:val="clear" w:color="auto" w:fill="FFFFFF" w:themeFill="background1"/>
            <w:tcMar>
              <w:top w:w="57" w:type="dxa"/>
              <w:left w:w="57" w:type="dxa"/>
              <w:bottom w:w="57" w:type="dxa"/>
              <w:right w:w="57" w:type="dxa"/>
            </w:tcMar>
          </w:tcPr>
          <w:p w14:paraId="6FA5010F"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4,489</w:t>
            </w:r>
          </w:p>
        </w:tc>
      </w:tr>
      <w:tr w:rsidR="0077185B" w:rsidRPr="00A939AF" w14:paraId="52338B2F" w14:textId="77777777" w:rsidTr="00C43CBA">
        <w:trPr>
          <w:trHeight w:val="154"/>
        </w:trPr>
        <w:tc>
          <w:tcPr>
            <w:cnfStyle w:val="001000000000" w:firstRow="0" w:lastRow="0" w:firstColumn="1" w:lastColumn="0" w:oddVBand="0" w:evenVBand="0" w:oddHBand="0" w:evenHBand="0" w:firstRowFirstColumn="0" w:firstRowLastColumn="0" w:lastRowFirstColumn="0" w:lastRowLastColumn="0"/>
            <w:tcW w:w="2256" w:type="dxa"/>
            <w:tcMar>
              <w:top w:w="57" w:type="dxa"/>
              <w:left w:w="57" w:type="dxa"/>
              <w:bottom w:w="57" w:type="dxa"/>
              <w:right w:w="57" w:type="dxa"/>
            </w:tcMar>
            <w:hideMark/>
          </w:tcPr>
          <w:p w14:paraId="696C05D5" w14:textId="77777777" w:rsidR="0077185B" w:rsidRPr="00EE11DD" w:rsidRDefault="0077185B" w:rsidP="00C43CBA">
            <w:pPr>
              <w:spacing w:before="0" w:after="0"/>
              <w:rPr>
                <w:rFonts w:cs="Arial"/>
                <w:szCs w:val="18"/>
              </w:rPr>
            </w:pPr>
            <w:r w:rsidRPr="00A939AF">
              <w:rPr>
                <w:rFonts w:cs="Arial"/>
                <w:szCs w:val="18"/>
              </w:rPr>
              <w:t>Dodo</w:t>
            </w:r>
          </w:p>
        </w:tc>
        <w:tc>
          <w:tcPr>
            <w:tcW w:w="1105" w:type="dxa"/>
            <w:shd w:val="clear" w:color="auto" w:fill="FFFFFF" w:themeFill="background1"/>
            <w:tcMar>
              <w:top w:w="57" w:type="dxa"/>
              <w:left w:w="57" w:type="dxa"/>
              <w:bottom w:w="57" w:type="dxa"/>
              <w:right w:w="57" w:type="dxa"/>
            </w:tcMar>
            <w:hideMark/>
          </w:tcPr>
          <w:p w14:paraId="7028B550"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n/a</w:t>
            </w:r>
          </w:p>
        </w:tc>
        <w:tc>
          <w:tcPr>
            <w:tcW w:w="1105" w:type="dxa"/>
            <w:shd w:val="clear" w:color="auto" w:fill="FFFFFF" w:themeFill="background1"/>
            <w:tcMar>
              <w:top w:w="57" w:type="dxa"/>
              <w:left w:w="57" w:type="dxa"/>
              <w:bottom w:w="57" w:type="dxa"/>
              <w:right w:w="57" w:type="dxa"/>
            </w:tcMar>
            <w:hideMark/>
          </w:tcPr>
          <w:p w14:paraId="64C09E58"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n/a</w:t>
            </w:r>
          </w:p>
        </w:tc>
        <w:tc>
          <w:tcPr>
            <w:tcW w:w="1105" w:type="dxa"/>
            <w:shd w:val="clear" w:color="auto" w:fill="FFFFFF" w:themeFill="background1"/>
            <w:tcMar>
              <w:top w:w="57" w:type="dxa"/>
              <w:left w:w="57" w:type="dxa"/>
              <w:bottom w:w="57" w:type="dxa"/>
              <w:right w:w="57" w:type="dxa"/>
            </w:tcMar>
            <w:hideMark/>
          </w:tcPr>
          <w:p w14:paraId="4C877F8B"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159</w:t>
            </w:r>
          </w:p>
        </w:tc>
        <w:tc>
          <w:tcPr>
            <w:tcW w:w="1105" w:type="dxa"/>
            <w:shd w:val="clear" w:color="auto" w:fill="FFFFFF" w:themeFill="background1"/>
            <w:tcMar>
              <w:top w:w="57" w:type="dxa"/>
              <w:left w:w="57" w:type="dxa"/>
              <w:bottom w:w="57" w:type="dxa"/>
              <w:right w:w="57" w:type="dxa"/>
            </w:tcMar>
            <w:hideMark/>
          </w:tcPr>
          <w:p w14:paraId="0534CEB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249</w:t>
            </w:r>
          </w:p>
        </w:tc>
        <w:tc>
          <w:tcPr>
            <w:tcW w:w="1105" w:type="dxa"/>
            <w:shd w:val="clear" w:color="auto" w:fill="FFFFFF" w:themeFill="background1"/>
            <w:tcMar>
              <w:top w:w="57" w:type="dxa"/>
              <w:left w:w="57" w:type="dxa"/>
              <w:bottom w:w="57" w:type="dxa"/>
              <w:right w:w="57" w:type="dxa"/>
            </w:tcMar>
            <w:hideMark/>
          </w:tcPr>
          <w:p w14:paraId="55EB0670"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283</w:t>
            </w:r>
          </w:p>
        </w:tc>
        <w:tc>
          <w:tcPr>
            <w:tcW w:w="1120" w:type="dxa"/>
            <w:shd w:val="clear" w:color="auto" w:fill="FFFFFF" w:themeFill="background1"/>
            <w:tcMar>
              <w:top w:w="57" w:type="dxa"/>
              <w:left w:w="57" w:type="dxa"/>
              <w:bottom w:w="57" w:type="dxa"/>
              <w:right w:w="57" w:type="dxa"/>
            </w:tcMar>
          </w:tcPr>
          <w:p w14:paraId="3462ED3A"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A939AF">
              <w:rPr>
                <w:rFonts w:cs="Arial"/>
                <w:szCs w:val="18"/>
              </w:rPr>
              <w:t>223</w:t>
            </w:r>
          </w:p>
        </w:tc>
      </w:tr>
      <w:tr w:rsidR="0077185B" w:rsidRPr="00A939AF" w14:paraId="7E1238AC" w14:textId="77777777" w:rsidTr="0085755F">
        <w:trPr>
          <w:trHeight w:val="116"/>
        </w:trPr>
        <w:tc>
          <w:tcPr>
            <w:cnfStyle w:val="001000000000" w:firstRow="0" w:lastRow="0" w:firstColumn="1" w:lastColumn="0" w:oddVBand="0" w:evenVBand="0" w:oddHBand="0" w:evenHBand="0" w:firstRowFirstColumn="0" w:firstRowLastColumn="0" w:lastRowFirstColumn="0" w:lastRowLastColumn="0"/>
            <w:tcW w:w="2256" w:type="dxa"/>
            <w:shd w:val="clear" w:color="auto" w:fill="F2F2F2" w:themeFill="background1" w:themeFillShade="F2"/>
            <w:tcMar>
              <w:top w:w="57" w:type="dxa"/>
              <w:left w:w="57" w:type="dxa"/>
              <w:bottom w:w="57" w:type="dxa"/>
              <w:right w:w="57" w:type="dxa"/>
            </w:tcMar>
            <w:hideMark/>
          </w:tcPr>
          <w:p w14:paraId="1E6F5DFF" w14:textId="77777777" w:rsidR="0077185B" w:rsidRPr="00A939AF" w:rsidRDefault="0077185B" w:rsidP="00C43CBA">
            <w:pPr>
              <w:spacing w:before="0" w:after="0"/>
              <w:rPr>
                <w:rFonts w:cs="Arial"/>
                <w:b/>
                <w:szCs w:val="18"/>
              </w:rPr>
            </w:pPr>
            <w:r w:rsidRPr="00A939AF">
              <w:rPr>
                <w:rFonts w:cs="Arial"/>
                <w:b/>
                <w:bCs/>
                <w:szCs w:val="18"/>
              </w:rPr>
              <w:t>Total</w:t>
            </w:r>
          </w:p>
        </w:tc>
        <w:tc>
          <w:tcPr>
            <w:tcW w:w="1105" w:type="dxa"/>
            <w:shd w:val="clear" w:color="auto" w:fill="F2F2F2" w:themeFill="background1" w:themeFillShade="F2"/>
            <w:tcMar>
              <w:top w:w="57" w:type="dxa"/>
              <w:left w:w="57" w:type="dxa"/>
              <w:bottom w:w="57" w:type="dxa"/>
              <w:right w:w="57" w:type="dxa"/>
            </w:tcMar>
            <w:hideMark/>
          </w:tcPr>
          <w:p w14:paraId="3175C3E6"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7,117</w:t>
            </w:r>
          </w:p>
        </w:tc>
        <w:tc>
          <w:tcPr>
            <w:tcW w:w="1105" w:type="dxa"/>
            <w:shd w:val="clear" w:color="auto" w:fill="F2F2F2" w:themeFill="background1" w:themeFillShade="F2"/>
            <w:tcMar>
              <w:top w:w="57" w:type="dxa"/>
              <w:left w:w="57" w:type="dxa"/>
              <w:bottom w:w="57" w:type="dxa"/>
              <w:right w:w="57" w:type="dxa"/>
            </w:tcMar>
            <w:hideMark/>
          </w:tcPr>
          <w:p w14:paraId="0DE9143E"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6,683</w:t>
            </w:r>
          </w:p>
        </w:tc>
        <w:tc>
          <w:tcPr>
            <w:tcW w:w="1105" w:type="dxa"/>
            <w:shd w:val="clear" w:color="auto" w:fill="F2F2F2" w:themeFill="background1" w:themeFillShade="F2"/>
            <w:tcMar>
              <w:top w:w="57" w:type="dxa"/>
              <w:left w:w="57" w:type="dxa"/>
              <w:bottom w:w="57" w:type="dxa"/>
              <w:right w:w="57" w:type="dxa"/>
            </w:tcMar>
            <w:hideMark/>
          </w:tcPr>
          <w:p w14:paraId="41BA3F2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6,534</w:t>
            </w:r>
          </w:p>
        </w:tc>
        <w:tc>
          <w:tcPr>
            <w:tcW w:w="1105" w:type="dxa"/>
            <w:shd w:val="clear" w:color="auto" w:fill="F2F2F2" w:themeFill="background1" w:themeFillShade="F2"/>
            <w:tcMar>
              <w:top w:w="57" w:type="dxa"/>
              <w:left w:w="57" w:type="dxa"/>
              <w:bottom w:w="57" w:type="dxa"/>
              <w:right w:w="57" w:type="dxa"/>
            </w:tcMar>
            <w:hideMark/>
          </w:tcPr>
          <w:p w14:paraId="2115909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6,336</w:t>
            </w:r>
          </w:p>
        </w:tc>
        <w:tc>
          <w:tcPr>
            <w:tcW w:w="1105" w:type="dxa"/>
            <w:shd w:val="clear" w:color="auto" w:fill="F2F2F2" w:themeFill="background1" w:themeFillShade="F2"/>
            <w:tcMar>
              <w:top w:w="57" w:type="dxa"/>
              <w:left w:w="57" w:type="dxa"/>
              <w:bottom w:w="57" w:type="dxa"/>
              <w:right w:w="57" w:type="dxa"/>
            </w:tcMar>
            <w:hideMark/>
          </w:tcPr>
          <w:p w14:paraId="5358A707"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6,105</w:t>
            </w:r>
          </w:p>
        </w:tc>
        <w:tc>
          <w:tcPr>
            <w:tcW w:w="1120" w:type="dxa"/>
            <w:shd w:val="clear" w:color="auto" w:fill="F2F2F2" w:themeFill="background1" w:themeFillShade="F2"/>
            <w:tcMar>
              <w:top w:w="57" w:type="dxa"/>
              <w:left w:w="57" w:type="dxa"/>
              <w:bottom w:w="57" w:type="dxa"/>
              <w:right w:w="57" w:type="dxa"/>
            </w:tcMar>
            <w:hideMark/>
          </w:tcPr>
          <w:p w14:paraId="0B0C9DE6" w14:textId="77777777" w:rsidR="0077185B" w:rsidRPr="00A939AF" w:rsidRDefault="0077185B"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A939AF">
              <w:rPr>
                <w:rFonts w:cs="Arial"/>
                <w:b/>
                <w:bCs/>
                <w:szCs w:val="18"/>
              </w:rPr>
              <w:t>6,224</w:t>
            </w:r>
          </w:p>
        </w:tc>
      </w:tr>
    </w:tbl>
    <w:p w14:paraId="1C152090" w14:textId="77777777" w:rsidR="0077185B" w:rsidRPr="00744827" w:rsidRDefault="0077185B" w:rsidP="00A50E34">
      <w:pPr>
        <w:pStyle w:val="ACMANotes"/>
        <w:spacing w:before="120"/>
        <w:rPr>
          <w:iCs/>
          <w:color w:val="000000"/>
          <w:szCs w:val="16"/>
        </w:rPr>
      </w:pPr>
      <w:r w:rsidRPr="00744827">
        <w:rPr>
          <w:iCs/>
          <w:color w:val="000000"/>
          <w:szCs w:val="16"/>
        </w:rPr>
        <w:t>n/a=not applicable.</w:t>
      </w:r>
    </w:p>
    <w:p w14:paraId="718EF460" w14:textId="77777777" w:rsidR="0077185B" w:rsidRPr="00744827" w:rsidRDefault="0077185B" w:rsidP="0077185B">
      <w:pPr>
        <w:pStyle w:val="ACMANotes"/>
        <w:rPr>
          <w:iCs/>
          <w:color w:val="000000"/>
          <w:szCs w:val="16"/>
        </w:rPr>
      </w:pPr>
      <w:r w:rsidRPr="00744827">
        <w:rPr>
          <w:iCs/>
          <w:color w:val="000000"/>
          <w:szCs w:val="16"/>
        </w:rPr>
        <w:t>*TPG acquired iiNet in September 2015.</w:t>
      </w:r>
    </w:p>
    <w:p w14:paraId="1441EC55" w14:textId="77777777" w:rsidR="0077185B" w:rsidRDefault="0077185B" w:rsidP="00495EB0">
      <w:pPr>
        <w:pStyle w:val="ACMANotesspaceafter"/>
        <w:spacing w:after="0"/>
      </w:pPr>
      <w:r w:rsidRPr="00744827">
        <w:t>Note: Numbers may not add up due to rounding.</w:t>
      </w:r>
    </w:p>
    <w:p w14:paraId="40142A42" w14:textId="251B43ED" w:rsidR="00495EB0" w:rsidRPr="00344D90" w:rsidRDefault="00495EB0" w:rsidP="00C43CBA">
      <w:pPr>
        <w:pStyle w:val="ACMANotesspaceafter"/>
        <w:spacing w:after="360"/>
      </w:pPr>
      <w:r w:rsidRPr="00344D90">
        <w:t>Source</w:t>
      </w:r>
      <w:r w:rsidR="00F05F35">
        <w:t>:</w:t>
      </w:r>
      <w:r w:rsidRPr="00344D90">
        <w:t xml:space="preserve"> CSP data.</w:t>
      </w:r>
    </w:p>
    <w:p w14:paraId="60A5F45A" w14:textId="77777777" w:rsidR="0077185B" w:rsidRPr="006134FA" w:rsidRDefault="0077185B" w:rsidP="0077185B">
      <w:pPr>
        <w:keepLines/>
        <w:spacing w:before="240"/>
      </w:pPr>
      <w:r w:rsidRPr="00344D90">
        <w:t>CSG performance benchmarks are established by the Telecommunications (Customer Service Guarantee</w:t>
      </w:r>
      <w:r w:rsidRPr="00344D90">
        <w:rPr>
          <w:rFonts w:cs="Arial"/>
        </w:rPr>
        <w:t>—</w:t>
      </w:r>
      <w:r w:rsidRPr="00344D90">
        <w:t>Retail Performance Benchmarks) Instrument (No. 1) 2011 and apply to ‘qualifying carriage service providers’ (QCSPs). QCSPs are those that have 100,000 CSG services or more, as at the last day of the preceding financial year. For 2016–17, the QCSPs were Telstra, Optus, iiNet and Dodo.</w:t>
      </w:r>
    </w:p>
    <w:p w14:paraId="599BFA62" w14:textId="77777777" w:rsidR="0077185B" w:rsidRPr="006134FA" w:rsidRDefault="0077185B" w:rsidP="005A39F1">
      <w:pPr>
        <w:keepNext/>
        <w:keepLines/>
        <w:spacing w:after="80"/>
        <w:rPr>
          <w:rFonts w:cs="Arial"/>
        </w:rPr>
      </w:pPr>
      <w:r w:rsidRPr="006134FA">
        <w:rPr>
          <w:rFonts w:cs="Arial"/>
        </w:rPr>
        <w:t>The national CSG performance benchmarks set minimum compliance levels with the CSG Standard time frames, which are set out in Table 5.5 and relate to the following activities:</w:t>
      </w:r>
    </w:p>
    <w:p w14:paraId="4FE16BB3" w14:textId="77777777" w:rsidR="0077185B" w:rsidRPr="00765233" w:rsidRDefault="0077185B" w:rsidP="005A39F1">
      <w:pPr>
        <w:pStyle w:val="ListBullet"/>
        <w:keepNext/>
        <w:keepLines/>
      </w:pPr>
      <w:r w:rsidRPr="0077185B">
        <w:t xml:space="preserve">installing </w:t>
      </w:r>
      <w:r w:rsidRPr="00765233">
        <w:t xml:space="preserve">new connections in urban, major rural, minor rural and remote areas </w:t>
      </w:r>
    </w:p>
    <w:p w14:paraId="15ED93A9" w14:textId="77777777" w:rsidR="0077185B" w:rsidRPr="00765233" w:rsidRDefault="0077185B" w:rsidP="005A39F1">
      <w:pPr>
        <w:pStyle w:val="ListBullet"/>
        <w:keepNext/>
        <w:keepLines/>
      </w:pPr>
      <w:r w:rsidRPr="00765233">
        <w:t xml:space="preserve">installing in-place connections in all areas </w:t>
      </w:r>
    </w:p>
    <w:p w14:paraId="564687DF" w14:textId="77777777" w:rsidR="0077185B" w:rsidRPr="0077185B" w:rsidRDefault="0077185B" w:rsidP="005A39F1">
      <w:pPr>
        <w:pStyle w:val="ListBullet"/>
        <w:keepNext/>
        <w:keepLines/>
      </w:pPr>
      <w:r w:rsidRPr="00765233">
        <w:t>fault rectifications</w:t>
      </w:r>
      <w:r w:rsidRPr="0077185B">
        <w:t xml:space="preserve"> in urban, rural and remote areas </w:t>
      </w:r>
    </w:p>
    <w:p w14:paraId="6AD748CE" w14:textId="77777777" w:rsidR="0077185B" w:rsidRPr="006134FA" w:rsidDel="005B07D8" w:rsidRDefault="0077185B" w:rsidP="005A39F1">
      <w:pPr>
        <w:pStyle w:val="ListBulletLast"/>
        <w:keepNext/>
        <w:keepLines/>
      </w:pPr>
      <w:r w:rsidRPr="00765233">
        <w:t>appointment</w:t>
      </w:r>
      <w:r w:rsidRPr="006134FA">
        <w:t xml:space="preserve">-keeping in all areas. </w:t>
      </w:r>
    </w:p>
    <w:p w14:paraId="6010FC06" w14:textId="77777777" w:rsidR="0077185B" w:rsidRPr="00A87A38" w:rsidRDefault="0077185B" w:rsidP="005A39F1">
      <w:pPr>
        <w:keepNext/>
        <w:keepLines/>
      </w:pPr>
      <w:r w:rsidRPr="005C0A9D">
        <w:t>The CSG Standard time frames vary according to the location of the customer and, in the case of connections, whether infrastructure is re</w:t>
      </w:r>
      <w:r w:rsidRPr="00A87A38">
        <w:t>adily available and whether there is an existing in-place connection. There are nine annual benchmarks in total for connections, fault repair and appointment-keeping where QCSPs must meet a minimum 90 per cent benchmark.</w:t>
      </w:r>
    </w:p>
    <w:p w14:paraId="06A14F52" w14:textId="332C153C" w:rsidR="0077185B" w:rsidRPr="006134FA" w:rsidRDefault="0077185B" w:rsidP="0077185B">
      <w:r w:rsidRPr="00A87A38">
        <w:t>If a QCSP fails to meet any of the annual CSG performance benchmarks, the ACMA may take compliance action, which includes the option to issue the QCSP with an infringement notice.</w:t>
      </w:r>
      <w:r w:rsidRPr="006134FA">
        <w:t xml:space="preserve"> </w:t>
      </w:r>
      <w:r w:rsidR="00300809">
        <w:t xml:space="preserve">For </w:t>
      </w:r>
      <w:r w:rsidR="00D438DB">
        <w:br/>
      </w:r>
      <w:r w:rsidR="00300809">
        <w:t>2016</w:t>
      </w:r>
      <w:r w:rsidR="00D438DB">
        <w:t>–</w:t>
      </w:r>
      <w:r w:rsidR="00300809">
        <w:t>17, all QCSPs reported that they met the CSG performance benchmarks.</w:t>
      </w:r>
    </w:p>
    <w:p w14:paraId="756CA7CC" w14:textId="77777777" w:rsidR="0077185B" w:rsidRDefault="0077185B" w:rsidP="0077185B">
      <w:r w:rsidRPr="00344D90">
        <w:t>At 30 June 2017, there were 1,445,945 occasions nationally where customers of the major CSPs waived their rights under the CSG Standard</w:t>
      </w:r>
      <w:r w:rsidR="00765233" w:rsidRPr="00344D90">
        <w:t>,</w:t>
      </w:r>
      <w:r w:rsidRPr="00344D90">
        <w:t xml:space="preserve"> compared to 1,023,599 at 30 June 2016—an increase of 41.3 per cent. TPG accounted for 56 per cent of waivers and iiNet for 30 per cent.</w:t>
      </w:r>
    </w:p>
    <w:p w14:paraId="646E20FD" w14:textId="77777777" w:rsidR="0077185B" w:rsidRDefault="0077185B" w:rsidP="00C43CBA">
      <w:pPr>
        <w:pStyle w:val="ACMAFigureHeader"/>
        <w:keepNext/>
        <w:ind w:left="1134" w:hanging="1134"/>
      </w:pPr>
      <w:r w:rsidRPr="006134FA">
        <w:t>Table 5.5</w:t>
      </w:r>
      <w:r>
        <w:tab/>
      </w:r>
      <w:r w:rsidRPr="006134FA">
        <w:t xml:space="preserve">CSG Standard time frames </w:t>
      </w:r>
      <w:r>
        <w:t xml:space="preserve">for in-place and new service connections and fault repairs </w:t>
      </w:r>
      <w:r w:rsidRPr="006134FA">
        <w:t>(working days)</w:t>
      </w:r>
    </w:p>
    <w:tbl>
      <w:tblPr>
        <w:tblStyle w:val="TableGrid2"/>
        <w:tblW w:w="8600"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Description w:val="Table 5.5 CSG Standard time frames for in-place and new service connections and fault repairs (working days)"/>
      </w:tblPr>
      <w:tblGrid>
        <w:gridCol w:w="1671"/>
        <w:gridCol w:w="1585"/>
        <w:gridCol w:w="1842"/>
        <w:gridCol w:w="1985"/>
        <w:gridCol w:w="1517"/>
      </w:tblGrid>
      <w:tr w:rsidR="0077185B" w:rsidRPr="00E739FC" w14:paraId="687384CD" w14:textId="77777777" w:rsidTr="00EC183A">
        <w:trPr>
          <w:trHeight w:val="141"/>
          <w:tblHeader/>
        </w:trPr>
        <w:tc>
          <w:tcPr>
            <w:tcW w:w="1671" w:type="dxa"/>
            <w:vMerge w:val="restart"/>
            <w:tcBorders>
              <w:top w:val="nil"/>
              <w:left w:val="nil"/>
            </w:tcBorders>
            <w:shd w:val="clear" w:color="auto" w:fill="FFFFFF" w:themeFill="background1"/>
            <w:tcMar>
              <w:top w:w="57" w:type="dxa"/>
              <w:left w:w="57" w:type="dxa"/>
              <w:bottom w:w="57" w:type="dxa"/>
              <w:right w:w="57" w:type="dxa"/>
            </w:tcMar>
            <w:vAlign w:val="center"/>
            <w:hideMark/>
          </w:tcPr>
          <w:p w14:paraId="6FF468B1" w14:textId="77777777" w:rsidR="0077185B" w:rsidRPr="00E739FC" w:rsidRDefault="0077185B" w:rsidP="00C43CBA">
            <w:pPr>
              <w:keepNext/>
              <w:keepLines/>
              <w:spacing w:after="0" w:line="240" w:lineRule="auto"/>
              <w:rPr>
                <w:rFonts w:cs="Arial"/>
                <w:sz w:val="18"/>
                <w:szCs w:val="18"/>
              </w:rPr>
            </w:pPr>
            <w:r w:rsidRPr="00E739FC">
              <w:rPr>
                <w:rFonts w:cs="Arial"/>
                <w:sz w:val="18"/>
                <w:szCs w:val="18"/>
              </w:rPr>
              <w:t> </w:t>
            </w:r>
          </w:p>
        </w:tc>
        <w:tc>
          <w:tcPr>
            <w:tcW w:w="1585" w:type="dxa"/>
            <w:vMerge w:val="restart"/>
            <w:shd w:val="clear" w:color="auto" w:fill="37897E"/>
            <w:tcMar>
              <w:top w:w="57" w:type="dxa"/>
              <w:left w:w="57" w:type="dxa"/>
              <w:bottom w:w="57" w:type="dxa"/>
              <w:right w:w="57" w:type="dxa"/>
            </w:tcMar>
            <w:vAlign w:val="center"/>
            <w:hideMark/>
          </w:tcPr>
          <w:p w14:paraId="0E6145E4" w14:textId="77777777" w:rsidR="0077185B" w:rsidRPr="00AF7315" w:rsidRDefault="0077185B" w:rsidP="00C43CBA">
            <w:pPr>
              <w:keepNext/>
              <w:keepLines/>
              <w:spacing w:after="0" w:line="240" w:lineRule="auto"/>
              <w:jc w:val="right"/>
              <w:rPr>
                <w:rFonts w:cs="Arial"/>
                <w:b/>
                <w:color w:val="FFFFFF" w:themeColor="background1"/>
                <w:sz w:val="18"/>
                <w:szCs w:val="20"/>
              </w:rPr>
            </w:pPr>
            <w:r w:rsidRPr="00AF7315">
              <w:rPr>
                <w:rFonts w:cs="Arial"/>
                <w:b/>
                <w:color w:val="FFFFFF" w:themeColor="background1"/>
                <w:sz w:val="18"/>
                <w:szCs w:val="20"/>
              </w:rPr>
              <w:t>In-place connection</w:t>
            </w:r>
          </w:p>
        </w:tc>
        <w:tc>
          <w:tcPr>
            <w:tcW w:w="3827" w:type="dxa"/>
            <w:gridSpan w:val="2"/>
            <w:shd w:val="clear" w:color="auto" w:fill="37897E"/>
            <w:tcMar>
              <w:top w:w="57" w:type="dxa"/>
              <w:left w:w="57" w:type="dxa"/>
              <w:bottom w:w="57" w:type="dxa"/>
              <w:right w:w="57" w:type="dxa"/>
            </w:tcMar>
            <w:vAlign w:val="center"/>
            <w:hideMark/>
          </w:tcPr>
          <w:p w14:paraId="44C2EB68" w14:textId="77777777" w:rsidR="0077185B" w:rsidRPr="00AF7315" w:rsidRDefault="0077185B" w:rsidP="00C43CBA">
            <w:pPr>
              <w:keepNext/>
              <w:keepLines/>
              <w:spacing w:after="0" w:line="240" w:lineRule="auto"/>
              <w:jc w:val="center"/>
              <w:rPr>
                <w:rFonts w:cs="Arial"/>
                <w:b/>
                <w:color w:val="FFFFFF" w:themeColor="background1"/>
                <w:sz w:val="18"/>
                <w:szCs w:val="20"/>
              </w:rPr>
            </w:pPr>
            <w:r w:rsidRPr="00AF7315">
              <w:rPr>
                <w:rFonts w:cs="Arial"/>
                <w:b/>
                <w:color w:val="FFFFFF" w:themeColor="background1"/>
                <w:sz w:val="18"/>
                <w:szCs w:val="20"/>
              </w:rPr>
              <w:t>New service connection</w:t>
            </w:r>
          </w:p>
        </w:tc>
        <w:tc>
          <w:tcPr>
            <w:tcW w:w="1517" w:type="dxa"/>
            <w:vMerge w:val="restart"/>
            <w:shd w:val="clear" w:color="auto" w:fill="37897E"/>
            <w:tcMar>
              <w:top w:w="57" w:type="dxa"/>
              <w:left w:w="57" w:type="dxa"/>
              <w:bottom w:w="57" w:type="dxa"/>
              <w:right w:w="57" w:type="dxa"/>
            </w:tcMar>
            <w:vAlign w:val="center"/>
            <w:hideMark/>
          </w:tcPr>
          <w:p w14:paraId="04CDDBBD" w14:textId="77777777" w:rsidR="0077185B" w:rsidRPr="00AF7315" w:rsidRDefault="0077185B" w:rsidP="00C43CBA">
            <w:pPr>
              <w:keepNext/>
              <w:keepLines/>
              <w:spacing w:after="0" w:line="240" w:lineRule="auto"/>
              <w:jc w:val="right"/>
              <w:rPr>
                <w:rFonts w:cs="Arial"/>
                <w:b/>
                <w:color w:val="FFFFFF" w:themeColor="background1"/>
                <w:sz w:val="18"/>
                <w:szCs w:val="20"/>
              </w:rPr>
            </w:pPr>
            <w:r w:rsidRPr="00AF7315">
              <w:rPr>
                <w:rFonts w:cs="Arial"/>
                <w:b/>
                <w:color w:val="FFFFFF" w:themeColor="background1"/>
                <w:sz w:val="18"/>
                <w:szCs w:val="20"/>
              </w:rPr>
              <w:t>Fault repair</w:t>
            </w:r>
          </w:p>
        </w:tc>
      </w:tr>
      <w:tr w:rsidR="0077185B" w:rsidRPr="00E739FC" w14:paraId="57CF46DD" w14:textId="77777777" w:rsidTr="00F65D12">
        <w:trPr>
          <w:trHeight w:val="387"/>
        </w:trPr>
        <w:tc>
          <w:tcPr>
            <w:tcW w:w="1671" w:type="dxa"/>
            <w:vMerge/>
            <w:tcBorders>
              <w:left w:val="nil"/>
              <w:bottom w:val="single" w:sz="4" w:space="0" w:color="BFBFBF" w:themeColor="background1" w:themeShade="BF"/>
            </w:tcBorders>
            <w:shd w:val="clear" w:color="auto" w:fill="FFFFFF" w:themeFill="background1"/>
            <w:tcMar>
              <w:top w:w="57" w:type="dxa"/>
              <w:left w:w="57" w:type="dxa"/>
              <w:bottom w:w="57" w:type="dxa"/>
              <w:right w:w="57" w:type="dxa"/>
            </w:tcMar>
            <w:vAlign w:val="center"/>
            <w:hideMark/>
          </w:tcPr>
          <w:p w14:paraId="32BA8D95" w14:textId="77777777" w:rsidR="0077185B" w:rsidRPr="00E739FC" w:rsidRDefault="0077185B" w:rsidP="00C43CBA">
            <w:pPr>
              <w:keepNext/>
              <w:keepLines/>
              <w:spacing w:after="0" w:line="240" w:lineRule="auto"/>
              <w:rPr>
                <w:rFonts w:cs="Arial"/>
                <w:sz w:val="18"/>
                <w:szCs w:val="18"/>
              </w:rPr>
            </w:pPr>
          </w:p>
        </w:tc>
        <w:tc>
          <w:tcPr>
            <w:tcW w:w="1585" w:type="dxa"/>
            <w:vMerge/>
            <w:tcBorders>
              <w:bottom w:val="single" w:sz="4" w:space="0" w:color="BFBFBF" w:themeColor="background1" w:themeShade="BF"/>
            </w:tcBorders>
            <w:shd w:val="clear" w:color="auto" w:fill="37897E"/>
            <w:tcMar>
              <w:top w:w="57" w:type="dxa"/>
              <w:left w:w="57" w:type="dxa"/>
              <w:bottom w:w="57" w:type="dxa"/>
              <w:right w:w="57" w:type="dxa"/>
            </w:tcMar>
            <w:vAlign w:val="center"/>
            <w:hideMark/>
          </w:tcPr>
          <w:p w14:paraId="39D65031" w14:textId="77777777" w:rsidR="0077185B" w:rsidRPr="00AF7315" w:rsidRDefault="0077185B" w:rsidP="00C43CBA">
            <w:pPr>
              <w:keepNext/>
              <w:keepLines/>
              <w:spacing w:after="0" w:line="240" w:lineRule="auto"/>
              <w:jc w:val="right"/>
              <w:rPr>
                <w:rFonts w:cs="Arial"/>
                <w:b/>
                <w:color w:val="FFFFFF" w:themeColor="background1"/>
                <w:sz w:val="18"/>
                <w:szCs w:val="20"/>
              </w:rPr>
            </w:pPr>
          </w:p>
        </w:tc>
        <w:tc>
          <w:tcPr>
            <w:tcW w:w="1842" w:type="dxa"/>
            <w:tcBorders>
              <w:bottom w:val="single" w:sz="4" w:space="0" w:color="BFBFBF" w:themeColor="background1" w:themeShade="BF"/>
            </w:tcBorders>
            <w:shd w:val="clear" w:color="auto" w:fill="37897E"/>
            <w:tcMar>
              <w:top w:w="57" w:type="dxa"/>
              <w:left w:w="57" w:type="dxa"/>
              <w:bottom w:w="57" w:type="dxa"/>
              <w:right w:w="57" w:type="dxa"/>
            </w:tcMar>
            <w:vAlign w:val="center"/>
            <w:hideMark/>
          </w:tcPr>
          <w:p w14:paraId="6DCF3114" w14:textId="77777777" w:rsidR="0077185B" w:rsidRPr="00AF7315" w:rsidRDefault="0077185B" w:rsidP="00C43CBA">
            <w:pPr>
              <w:keepNext/>
              <w:keepLines/>
              <w:spacing w:after="0" w:line="240" w:lineRule="auto"/>
              <w:jc w:val="right"/>
              <w:rPr>
                <w:rFonts w:cs="Arial"/>
                <w:b/>
                <w:color w:val="FFFFFF" w:themeColor="background1"/>
                <w:sz w:val="18"/>
                <w:szCs w:val="20"/>
              </w:rPr>
            </w:pPr>
            <w:r w:rsidRPr="00AF7315">
              <w:rPr>
                <w:rFonts w:cs="Arial"/>
                <w:b/>
                <w:color w:val="FFFFFF" w:themeColor="background1"/>
                <w:sz w:val="18"/>
                <w:szCs w:val="20"/>
              </w:rPr>
              <w:t>Close to infrastructure</w:t>
            </w:r>
          </w:p>
        </w:tc>
        <w:tc>
          <w:tcPr>
            <w:tcW w:w="1985" w:type="dxa"/>
            <w:tcBorders>
              <w:bottom w:val="single" w:sz="4" w:space="0" w:color="BFBFBF" w:themeColor="background1" w:themeShade="BF"/>
            </w:tcBorders>
            <w:shd w:val="clear" w:color="auto" w:fill="37897E"/>
            <w:tcMar>
              <w:top w:w="57" w:type="dxa"/>
              <w:left w:w="57" w:type="dxa"/>
              <w:bottom w:w="57" w:type="dxa"/>
              <w:right w:w="57" w:type="dxa"/>
            </w:tcMar>
            <w:vAlign w:val="center"/>
            <w:hideMark/>
          </w:tcPr>
          <w:p w14:paraId="409ABED5" w14:textId="77777777" w:rsidR="0077185B" w:rsidRPr="00AF7315" w:rsidRDefault="0077185B" w:rsidP="00C43CBA">
            <w:pPr>
              <w:keepNext/>
              <w:keepLines/>
              <w:spacing w:after="0" w:line="240" w:lineRule="auto"/>
              <w:jc w:val="right"/>
              <w:rPr>
                <w:rFonts w:cs="Arial"/>
                <w:b/>
                <w:color w:val="FFFFFF" w:themeColor="background1"/>
                <w:sz w:val="18"/>
                <w:szCs w:val="20"/>
              </w:rPr>
            </w:pPr>
            <w:r w:rsidRPr="00AF7315">
              <w:rPr>
                <w:rFonts w:cs="Arial"/>
                <w:b/>
                <w:color w:val="FFFFFF" w:themeColor="background1"/>
                <w:sz w:val="18"/>
                <w:szCs w:val="20"/>
              </w:rPr>
              <w:t>Not close to infrastructure</w:t>
            </w:r>
          </w:p>
        </w:tc>
        <w:tc>
          <w:tcPr>
            <w:tcW w:w="1517" w:type="dxa"/>
            <w:vMerge/>
            <w:tcBorders>
              <w:bottom w:val="single" w:sz="4" w:space="0" w:color="BFBFBF" w:themeColor="background1" w:themeShade="BF"/>
            </w:tcBorders>
            <w:tcMar>
              <w:top w:w="57" w:type="dxa"/>
              <w:left w:w="57" w:type="dxa"/>
              <w:bottom w:w="57" w:type="dxa"/>
              <w:right w:w="57" w:type="dxa"/>
            </w:tcMar>
            <w:vAlign w:val="center"/>
            <w:hideMark/>
          </w:tcPr>
          <w:p w14:paraId="0B97C0E2" w14:textId="77777777" w:rsidR="0077185B" w:rsidRPr="00E739FC" w:rsidRDefault="0077185B" w:rsidP="00C43CBA">
            <w:pPr>
              <w:keepNext/>
              <w:keepLines/>
              <w:spacing w:after="0" w:line="240" w:lineRule="auto"/>
              <w:jc w:val="right"/>
              <w:rPr>
                <w:rFonts w:cs="Arial"/>
                <w:sz w:val="18"/>
                <w:szCs w:val="18"/>
              </w:rPr>
            </w:pPr>
          </w:p>
        </w:tc>
      </w:tr>
      <w:tr w:rsidR="0077185B" w:rsidRPr="00E739FC" w14:paraId="30ED5381" w14:textId="77777777" w:rsidTr="00F65D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5"/>
        </w:trPr>
        <w:tc>
          <w:tcPr>
            <w:tcW w:w="167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45DE5EEE" w14:textId="77777777" w:rsidR="0077185B" w:rsidRPr="00E739FC" w:rsidRDefault="0077185B" w:rsidP="00C43CBA">
            <w:pPr>
              <w:keepNext/>
              <w:keepLines/>
              <w:spacing w:after="0" w:line="240" w:lineRule="auto"/>
              <w:rPr>
                <w:rFonts w:cs="Arial"/>
                <w:sz w:val="18"/>
                <w:szCs w:val="18"/>
              </w:rPr>
            </w:pPr>
            <w:r w:rsidRPr="00E739FC">
              <w:rPr>
                <w:rFonts w:cs="Arial"/>
                <w:sz w:val="18"/>
                <w:szCs w:val="18"/>
              </w:rPr>
              <w:t>Urban</w:t>
            </w:r>
          </w:p>
        </w:tc>
        <w:tc>
          <w:tcPr>
            <w:tcW w:w="15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EECB7B5"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c>
          <w:tcPr>
            <w:tcW w:w="18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5A50A67E"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5</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631026D5"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20</w:t>
            </w:r>
          </w:p>
        </w:tc>
        <w:tc>
          <w:tcPr>
            <w:tcW w:w="15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DAEAB44"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1</w:t>
            </w:r>
          </w:p>
        </w:tc>
      </w:tr>
      <w:tr w:rsidR="0077185B" w:rsidRPr="00E739FC" w14:paraId="03BEA04D" w14:textId="77777777" w:rsidTr="00F65D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3"/>
        </w:trPr>
        <w:tc>
          <w:tcPr>
            <w:tcW w:w="167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1BA942D3" w14:textId="77777777" w:rsidR="0077185B" w:rsidRPr="00E739FC" w:rsidRDefault="0077185B" w:rsidP="00C43CBA">
            <w:pPr>
              <w:keepNext/>
              <w:keepLines/>
              <w:spacing w:after="0" w:line="240" w:lineRule="auto"/>
              <w:rPr>
                <w:rFonts w:cs="Arial"/>
                <w:sz w:val="18"/>
                <w:szCs w:val="18"/>
              </w:rPr>
            </w:pPr>
            <w:r w:rsidRPr="00E739FC">
              <w:rPr>
                <w:rFonts w:cs="Arial"/>
                <w:sz w:val="18"/>
                <w:szCs w:val="18"/>
              </w:rPr>
              <w:t>Major rural</w:t>
            </w:r>
          </w:p>
        </w:tc>
        <w:tc>
          <w:tcPr>
            <w:tcW w:w="15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47754CA7"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c>
          <w:tcPr>
            <w:tcW w:w="18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A0A7EC0"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10</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FAD9504"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20</w:t>
            </w:r>
          </w:p>
        </w:tc>
        <w:tc>
          <w:tcPr>
            <w:tcW w:w="15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413AB1AA"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r>
      <w:tr w:rsidR="0077185B" w:rsidRPr="00E739FC" w14:paraId="5B1706B8" w14:textId="77777777" w:rsidTr="00F65D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2"/>
        </w:trPr>
        <w:tc>
          <w:tcPr>
            <w:tcW w:w="167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43185FC5" w14:textId="77777777" w:rsidR="0077185B" w:rsidRPr="00E739FC" w:rsidRDefault="0077185B" w:rsidP="00C43CBA">
            <w:pPr>
              <w:keepNext/>
              <w:keepLines/>
              <w:spacing w:after="0" w:line="240" w:lineRule="auto"/>
              <w:rPr>
                <w:rFonts w:cs="Arial"/>
                <w:sz w:val="18"/>
                <w:szCs w:val="18"/>
              </w:rPr>
            </w:pPr>
            <w:r w:rsidRPr="00E739FC">
              <w:rPr>
                <w:rFonts w:cs="Arial"/>
                <w:sz w:val="18"/>
                <w:szCs w:val="18"/>
              </w:rPr>
              <w:t>Minor rural</w:t>
            </w:r>
          </w:p>
        </w:tc>
        <w:tc>
          <w:tcPr>
            <w:tcW w:w="15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191EF271"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c>
          <w:tcPr>
            <w:tcW w:w="18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5347A5C7"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15</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EAF9D21"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20</w:t>
            </w:r>
          </w:p>
        </w:tc>
        <w:tc>
          <w:tcPr>
            <w:tcW w:w="15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322BF306"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r>
      <w:tr w:rsidR="0077185B" w:rsidRPr="00E739FC" w14:paraId="7C0CC71D" w14:textId="77777777" w:rsidTr="00F65D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4"/>
        </w:trPr>
        <w:tc>
          <w:tcPr>
            <w:tcW w:w="167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1D699D02" w14:textId="77777777" w:rsidR="0077185B" w:rsidRPr="00E739FC" w:rsidRDefault="0077185B" w:rsidP="00C43CBA">
            <w:pPr>
              <w:keepNext/>
              <w:keepLines/>
              <w:spacing w:after="0" w:line="240" w:lineRule="auto"/>
              <w:rPr>
                <w:rFonts w:cs="Arial"/>
                <w:sz w:val="18"/>
                <w:szCs w:val="18"/>
              </w:rPr>
            </w:pPr>
            <w:r w:rsidRPr="00E739FC">
              <w:rPr>
                <w:rFonts w:cs="Arial"/>
                <w:sz w:val="18"/>
                <w:szCs w:val="18"/>
              </w:rPr>
              <w:t>Remote</w:t>
            </w:r>
          </w:p>
        </w:tc>
        <w:tc>
          <w:tcPr>
            <w:tcW w:w="15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77B9193C"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w:t>
            </w:r>
          </w:p>
        </w:tc>
        <w:tc>
          <w:tcPr>
            <w:tcW w:w="18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130A05E4"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15</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0290AF4F"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20</w:t>
            </w:r>
          </w:p>
        </w:tc>
        <w:tc>
          <w:tcPr>
            <w:tcW w:w="151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Mar>
              <w:top w:w="57" w:type="dxa"/>
              <w:left w:w="57" w:type="dxa"/>
              <w:bottom w:w="57" w:type="dxa"/>
              <w:right w:w="57" w:type="dxa"/>
            </w:tcMar>
            <w:vAlign w:val="center"/>
            <w:hideMark/>
          </w:tcPr>
          <w:p w14:paraId="03A21503" w14:textId="77777777" w:rsidR="0077185B" w:rsidRPr="00E739FC" w:rsidRDefault="0077185B" w:rsidP="00C43CBA">
            <w:pPr>
              <w:keepNext/>
              <w:keepLines/>
              <w:spacing w:after="0" w:line="240" w:lineRule="auto"/>
              <w:jc w:val="right"/>
              <w:rPr>
                <w:rFonts w:cs="Arial"/>
                <w:sz w:val="18"/>
                <w:szCs w:val="18"/>
              </w:rPr>
            </w:pPr>
            <w:r w:rsidRPr="00E739FC">
              <w:rPr>
                <w:rFonts w:cs="Arial"/>
                <w:sz w:val="18"/>
                <w:szCs w:val="18"/>
              </w:rPr>
              <w:t>3</w:t>
            </w:r>
          </w:p>
        </w:tc>
      </w:tr>
    </w:tbl>
    <w:p w14:paraId="113FAF1F" w14:textId="1F7E62F6" w:rsidR="00E739FC" w:rsidRPr="00744827" w:rsidRDefault="00E739FC" w:rsidP="00A50E34">
      <w:pPr>
        <w:pStyle w:val="ACMANotes"/>
        <w:keepNext/>
        <w:keepLines/>
        <w:spacing w:before="120"/>
        <w:rPr>
          <w:i w:val="0"/>
        </w:rPr>
      </w:pPr>
      <w:r w:rsidRPr="00744827">
        <w:t>Note: ‘Urban’ is defined as communities with 10,000 or more people, ‘major rural’ is defined as communities with between 2,500</w:t>
      </w:r>
      <w:r w:rsidR="00734EE2">
        <w:t> </w:t>
      </w:r>
      <w:r w:rsidRPr="00744827">
        <w:t>and</w:t>
      </w:r>
      <w:r w:rsidR="00734EE2">
        <w:t> </w:t>
      </w:r>
      <w:r w:rsidRPr="00744827">
        <w:t xml:space="preserve">10,000 people, ‘minor rural’ is defined as communities with </w:t>
      </w:r>
      <w:r w:rsidR="009E0487">
        <w:t xml:space="preserve">a population greater than </w:t>
      </w:r>
      <w:r w:rsidR="009E0487" w:rsidRPr="00744827">
        <w:t xml:space="preserve">2,500 </w:t>
      </w:r>
      <w:r w:rsidR="009E0487">
        <w:t>but less than</w:t>
      </w:r>
      <w:r w:rsidR="009E0487" w:rsidRPr="00744827">
        <w:t xml:space="preserve"> 10,000 people, ‘minor</w:t>
      </w:r>
      <w:r w:rsidR="00734EE2">
        <w:t> </w:t>
      </w:r>
      <w:r w:rsidR="009E0487" w:rsidRPr="00744827">
        <w:t xml:space="preserve">rural’ is defined as communities with </w:t>
      </w:r>
      <w:r w:rsidR="009E0487">
        <w:t xml:space="preserve">a population greater than </w:t>
      </w:r>
      <w:r w:rsidR="009E0487" w:rsidRPr="00744827">
        <w:t xml:space="preserve">200 </w:t>
      </w:r>
      <w:r w:rsidR="009E0487">
        <w:t>but not more than</w:t>
      </w:r>
      <w:r w:rsidRPr="00744827">
        <w:t xml:space="preserve"> 2,500 people, ‘remote’ is defined as</w:t>
      </w:r>
      <w:r w:rsidR="00734EE2">
        <w:t> </w:t>
      </w:r>
      <w:r w:rsidRPr="00744827">
        <w:t>communities with up to 200 people.</w:t>
      </w:r>
      <w:r w:rsidR="005761E6">
        <w:t xml:space="preserve"> These are defined in the Telecommunications (Customer Service Guarantee – retail Performance Benchmarks) Instrument (No. 1) 2011.</w:t>
      </w:r>
    </w:p>
    <w:p w14:paraId="532DEBBD" w14:textId="77777777" w:rsidR="00E739FC" w:rsidRDefault="00E739FC" w:rsidP="00C43CBA">
      <w:pPr>
        <w:pStyle w:val="ACMANotesspaceafter"/>
        <w:spacing w:after="360"/>
      </w:pPr>
      <w:r w:rsidRPr="00133DC5">
        <w:t>Source: CSG Standard.</w:t>
      </w:r>
    </w:p>
    <w:p w14:paraId="23B98356" w14:textId="77777777" w:rsidR="001C5CCD" w:rsidRPr="00344D90" w:rsidRDefault="001C5CCD" w:rsidP="001C5CCD">
      <w:pPr>
        <w:pStyle w:val="Heading3"/>
        <w:rPr>
          <w:b w:val="0"/>
          <w:bCs w:val="0"/>
        </w:rPr>
      </w:pPr>
      <w:bookmarkStart w:id="1506" w:name="_Toc494799484"/>
      <w:bookmarkStart w:id="1507" w:name="_Toc494805787"/>
      <w:bookmarkStart w:id="1508" w:name="_Toc494806051"/>
      <w:bookmarkStart w:id="1509" w:name="_Toc494808281"/>
      <w:bookmarkStart w:id="1510" w:name="_Toc494808936"/>
      <w:bookmarkStart w:id="1511" w:name="_Toc494816355"/>
      <w:bookmarkStart w:id="1512" w:name="_Toc494818950"/>
      <w:bookmarkStart w:id="1513" w:name="_Toc494819181"/>
      <w:r w:rsidRPr="00344D90">
        <w:t>New service and in-place connections</w:t>
      </w:r>
      <w:bookmarkEnd w:id="1506"/>
      <w:bookmarkEnd w:id="1507"/>
      <w:bookmarkEnd w:id="1508"/>
      <w:bookmarkEnd w:id="1509"/>
      <w:bookmarkEnd w:id="1510"/>
      <w:bookmarkEnd w:id="1511"/>
      <w:bookmarkEnd w:id="1512"/>
      <w:bookmarkEnd w:id="1513"/>
    </w:p>
    <w:p w14:paraId="1EF02D45" w14:textId="77777777" w:rsidR="001C5CCD" w:rsidRPr="00344D90" w:rsidRDefault="001C5CCD" w:rsidP="001C5CCD">
      <w:r w:rsidRPr="00344D90">
        <w:t xml:space="preserve">Table 5.6 shows CSP performance in 2016–17 in meeting CSG Standard time frames for new service connections and in-place service connections. </w:t>
      </w:r>
    </w:p>
    <w:p w14:paraId="7F057E4A" w14:textId="77777777" w:rsidR="001C5CCD" w:rsidRPr="00344D90" w:rsidRDefault="001C5CCD" w:rsidP="001C5CCD">
      <w:r w:rsidRPr="00344D90">
        <w:t xml:space="preserve">A ‘new service connection’ is the connection of a standard telephone service to premises where there is the need for additional work to be completed (for example, cabling) before a service can be connected. This excludes in-place service connections where there has been a previous working CSG service that is available for reconnection or reactivation by the CSP. </w:t>
      </w:r>
    </w:p>
    <w:p w14:paraId="10CACF00" w14:textId="77777777" w:rsidR="001C5CCD" w:rsidRPr="00344D90" w:rsidRDefault="001C5CCD" w:rsidP="00C43CBA">
      <w:pPr>
        <w:pStyle w:val="ACMAFigureHeader"/>
        <w:keepNext/>
        <w:ind w:left="1136" w:hanging="1136"/>
      </w:pPr>
      <w:r w:rsidRPr="00344D90">
        <w:t>Table 5.6</w:t>
      </w:r>
      <w:r w:rsidRPr="00344D90">
        <w:tab/>
        <w:t>Percentage and number of new service and in-place connections provided within CSG Standard time frames, 2016–17</w:t>
      </w:r>
    </w:p>
    <w:tbl>
      <w:tblPr>
        <w:tblStyle w:val="Commsreport2017"/>
        <w:tblW w:w="9209" w:type="dxa"/>
        <w:tblInd w:w="5" w:type="dxa"/>
        <w:shd w:val="clear" w:color="auto" w:fill="FFFFFF" w:themeFill="background1"/>
        <w:tblLook w:val="04A0" w:firstRow="1" w:lastRow="0" w:firstColumn="1" w:lastColumn="0" w:noHBand="0" w:noVBand="1"/>
        <w:tblCaption w:val="Table 5.6 Percentage and number of new service and in-place connections provided within CSG Standard time frames, 2016–17"/>
      </w:tblPr>
      <w:tblGrid>
        <w:gridCol w:w="1338"/>
        <w:gridCol w:w="1337"/>
        <w:gridCol w:w="1306"/>
        <w:gridCol w:w="1307"/>
        <w:gridCol w:w="1307"/>
        <w:gridCol w:w="1307"/>
        <w:gridCol w:w="1307"/>
      </w:tblGrid>
      <w:tr w:rsidR="001C5CCD" w:rsidRPr="00344D90" w14:paraId="1A027F55" w14:textId="77777777" w:rsidTr="00EC183A">
        <w:trPr>
          <w:cnfStyle w:val="100000000000" w:firstRow="1" w:lastRow="0" w:firstColumn="0" w:lastColumn="0" w:oddVBand="0" w:evenVBand="0" w:oddHBand="0" w:evenHBand="0" w:firstRowFirstColumn="0" w:firstRowLastColumn="0" w:lastRowFirstColumn="0" w:lastRowLastColumn="0"/>
          <w:trHeight w:val="222"/>
          <w:tblHeader/>
        </w:trPr>
        <w:tc>
          <w:tcPr>
            <w:cnfStyle w:val="001000000000" w:firstRow="0" w:lastRow="0" w:firstColumn="1" w:lastColumn="0" w:oddVBand="0" w:evenVBand="0" w:oddHBand="0" w:evenHBand="0" w:firstRowFirstColumn="0" w:firstRowLastColumn="0" w:lastRowFirstColumn="0" w:lastRowLastColumn="0"/>
            <w:tcW w:w="1338" w:type="dxa"/>
            <w:tcBorders>
              <w:top w:val="nil"/>
              <w:left w:val="nil"/>
              <w:bottom w:val="nil"/>
              <w:right w:val="nil"/>
            </w:tcBorders>
            <w:shd w:val="clear" w:color="auto" w:fill="FFFFFF" w:themeFill="background1"/>
            <w:tcMar>
              <w:top w:w="57" w:type="dxa"/>
              <w:left w:w="57" w:type="dxa"/>
              <w:bottom w:w="57" w:type="dxa"/>
              <w:right w:w="57" w:type="dxa"/>
            </w:tcMar>
            <w:hideMark/>
          </w:tcPr>
          <w:p w14:paraId="4F73FF0D" w14:textId="77777777" w:rsidR="001C5CCD" w:rsidRPr="00344D90" w:rsidRDefault="001C5CCD" w:rsidP="00C43CBA">
            <w:pPr>
              <w:spacing w:beforeLines="0" w:before="0" w:afterLines="0" w:after="0"/>
              <w:rPr>
                <w:rFonts w:cs="Arial"/>
                <w:b/>
                <w:szCs w:val="18"/>
              </w:rPr>
            </w:pPr>
            <w:r w:rsidRPr="00344D90">
              <w:rPr>
                <w:rFonts w:cs="Arial"/>
                <w:szCs w:val="18"/>
              </w:rPr>
              <w:t> </w:t>
            </w:r>
          </w:p>
        </w:tc>
        <w:tc>
          <w:tcPr>
            <w:tcW w:w="1337" w:type="dxa"/>
            <w:tcBorders>
              <w:top w:val="nil"/>
              <w:left w:val="nil"/>
              <w:bottom w:val="nil"/>
            </w:tcBorders>
            <w:shd w:val="clear" w:color="auto" w:fill="FFFFFF" w:themeFill="background1"/>
            <w:tcMar>
              <w:top w:w="57" w:type="dxa"/>
              <w:left w:w="57" w:type="dxa"/>
              <w:bottom w:w="57" w:type="dxa"/>
              <w:right w:w="57" w:type="dxa"/>
            </w:tcMar>
            <w:hideMark/>
          </w:tcPr>
          <w:p w14:paraId="300C7D93" w14:textId="77777777" w:rsidR="001C5CCD" w:rsidRPr="00344D90" w:rsidRDefault="001C5CCD"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44D90">
              <w:rPr>
                <w:rFonts w:cs="Arial"/>
                <w:szCs w:val="18"/>
              </w:rPr>
              <w:t> </w:t>
            </w:r>
          </w:p>
        </w:tc>
        <w:tc>
          <w:tcPr>
            <w:tcW w:w="5227" w:type="dxa"/>
            <w:gridSpan w:val="4"/>
            <w:tcMar>
              <w:top w:w="57" w:type="dxa"/>
              <w:left w:w="57" w:type="dxa"/>
              <w:bottom w:w="57" w:type="dxa"/>
              <w:right w:w="57" w:type="dxa"/>
            </w:tcMar>
            <w:hideMark/>
          </w:tcPr>
          <w:p w14:paraId="6A3A40CC" w14:textId="77777777" w:rsidR="001C5CCD" w:rsidRPr="00344D90" w:rsidRDefault="001C5CCD" w:rsidP="00C43CBA">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szCs w:val="18"/>
              </w:rPr>
            </w:pPr>
            <w:r w:rsidRPr="00344D90">
              <w:rPr>
                <w:rFonts w:cs="Arial"/>
                <w:b/>
                <w:szCs w:val="18"/>
              </w:rPr>
              <w:t>New service*</w:t>
            </w:r>
          </w:p>
        </w:tc>
        <w:tc>
          <w:tcPr>
            <w:tcW w:w="1307" w:type="dxa"/>
            <w:tcMar>
              <w:top w:w="57" w:type="dxa"/>
              <w:left w:w="57" w:type="dxa"/>
              <w:bottom w:w="57" w:type="dxa"/>
              <w:right w:w="57" w:type="dxa"/>
            </w:tcMar>
            <w:hideMark/>
          </w:tcPr>
          <w:p w14:paraId="57D4CE7D" w14:textId="77777777" w:rsidR="001C5CCD" w:rsidRPr="00300809" w:rsidRDefault="001C5CCD"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szCs w:val="18"/>
              </w:rPr>
            </w:pPr>
            <w:r w:rsidRPr="00300809">
              <w:rPr>
                <w:rFonts w:cs="Arial"/>
                <w:b/>
                <w:szCs w:val="18"/>
              </w:rPr>
              <w:t>In-place service*</w:t>
            </w:r>
          </w:p>
        </w:tc>
      </w:tr>
      <w:tr w:rsidR="001C5CCD" w:rsidRPr="00344D90" w14:paraId="26F50C67" w14:textId="77777777" w:rsidTr="00F65D12">
        <w:trPr>
          <w:trHeight w:val="400"/>
        </w:trPr>
        <w:tc>
          <w:tcPr>
            <w:cnfStyle w:val="001000000000" w:firstRow="0" w:lastRow="0" w:firstColumn="1" w:lastColumn="0" w:oddVBand="0" w:evenVBand="0" w:oddHBand="0" w:evenHBand="0" w:firstRowFirstColumn="0" w:firstRowLastColumn="0" w:lastRowFirstColumn="0" w:lastRowLastColumn="0"/>
            <w:tcW w:w="1338" w:type="dxa"/>
            <w:tcBorders>
              <w:top w:val="nil"/>
              <w:left w:val="nil"/>
              <w:right w:val="nil"/>
            </w:tcBorders>
            <w:shd w:val="clear" w:color="auto" w:fill="FFFFFF" w:themeFill="background1"/>
            <w:tcMar>
              <w:top w:w="57" w:type="dxa"/>
              <w:left w:w="57" w:type="dxa"/>
              <w:bottom w:w="57" w:type="dxa"/>
              <w:right w:w="57" w:type="dxa"/>
            </w:tcMar>
            <w:hideMark/>
          </w:tcPr>
          <w:p w14:paraId="6CDBA543" w14:textId="77777777" w:rsidR="001C5CCD" w:rsidRPr="00344D90" w:rsidRDefault="001C5CCD" w:rsidP="00C43CBA">
            <w:pPr>
              <w:spacing w:before="0" w:after="0"/>
              <w:jc w:val="right"/>
              <w:rPr>
                <w:rFonts w:cs="Arial"/>
                <w:b/>
                <w:szCs w:val="18"/>
              </w:rPr>
            </w:pPr>
            <w:r w:rsidRPr="00344D90">
              <w:rPr>
                <w:rFonts w:cs="Arial"/>
                <w:b/>
                <w:szCs w:val="18"/>
              </w:rPr>
              <w:t> </w:t>
            </w:r>
          </w:p>
        </w:tc>
        <w:tc>
          <w:tcPr>
            <w:tcW w:w="1337" w:type="dxa"/>
            <w:tcBorders>
              <w:top w:val="nil"/>
              <w:left w:val="nil"/>
            </w:tcBorders>
            <w:shd w:val="clear" w:color="auto" w:fill="FFFFFF" w:themeFill="background1"/>
            <w:tcMar>
              <w:top w:w="57" w:type="dxa"/>
              <w:left w:w="57" w:type="dxa"/>
              <w:bottom w:w="57" w:type="dxa"/>
              <w:right w:w="57" w:type="dxa"/>
            </w:tcMar>
            <w:hideMark/>
          </w:tcPr>
          <w:p w14:paraId="415FDCD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344D90">
              <w:rPr>
                <w:rFonts w:cs="Arial"/>
                <w:b/>
                <w:szCs w:val="18"/>
              </w:rPr>
              <w:t> </w:t>
            </w:r>
          </w:p>
        </w:tc>
        <w:tc>
          <w:tcPr>
            <w:tcW w:w="1306" w:type="dxa"/>
            <w:shd w:val="clear" w:color="auto" w:fill="37897E"/>
            <w:tcMar>
              <w:top w:w="57" w:type="dxa"/>
              <w:left w:w="57" w:type="dxa"/>
              <w:bottom w:w="57" w:type="dxa"/>
              <w:right w:w="57" w:type="dxa"/>
            </w:tcMar>
            <w:hideMark/>
          </w:tcPr>
          <w:p w14:paraId="15A74A4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344D90">
              <w:rPr>
                <w:rFonts w:cs="Arial"/>
                <w:b/>
                <w:color w:val="FFFFFF" w:themeColor="background1"/>
                <w:szCs w:val="18"/>
              </w:rPr>
              <w:t>Urban</w:t>
            </w:r>
            <w:r w:rsidR="006212A7" w:rsidRPr="00344D90">
              <w:rPr>
                <w:rFonts w:cs="Arial"/>
                <w:b/>
                <w:color w:val="FFFFFF" w:themeColor="background1"/>
                <w:szCs w:val="18"/>
              </w:rPr>
              <w:t xml:space="preserve"> </w:t>
            </w:r>
            <w:r w:rsidRPr="00344D90">
              <w:rPr>
                <w:rFonts w:cs="Arial"/>
                <w:b/>
                <w:color w:val="FFFFFF" w:themeColor="background1"/>
                <w:szCs w:val="18"/>
              </w:rPr>
              <w:t>areas</w:t>
            </w:r>
          </w:p>
        </w:tc>
        <w:tc>
          <w:tcPr>
            <w:tcW w:w="1307" w:type="dxa"/>
            <w:shd w:val="clear" w:color="auto" w:fill="37897E"/>
            <w:tcMar>
              <w:top w:w="57" w:type="dxa"/>
              <w:left w:w="57" w:type="dxa"/>
              <w:bottom w:w="57" w:type="dxa"/>
              <w:right w:w="57" w:type="dxa"/>
            </w:tcMar>
            <w:hideMark/>
          </w:tcPr>
          <w:p w14:paraId="4DD8F4B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344D90">
              <w:rPr>
                <w:rFonts w:cs="Arial"/>
                <w:b/>
                <w:color w:val="FFFFFF" w:themeColor="background1"/>
                <w:szCs w:val="18"/>
              </w:rPr>
              <w:t>Major rural areas</w:t>
            </w:r>
          </w:p>
        </w:tc>
        <w:tc>
          <w:tcPr>
            <w:tcW w:w="1307" w:type="dxa"/>
            <w:shd w:val="clear" w:color="auto" w:fill="37897E"/>
            <w:tcMar>
              <w:top w:w="57" w:type="dxa"/>
              <w:left w:w="57" w:type="dxa"/>
              <w:bottom w:w="57" w:type="dxa"/>
              <w:right w:w="57" w:type="dxa"/>
            </w:tcMar>
            <w:hideMark/>
          </w:tcPr>
          <w:p w14:paraId="1730B41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344D90">
              <w:rPr>
                <w:rFonts w:cs="Arial"/>
                <w:b/>
                <w:color w:val="FFFFFF" w:themeColor="background1"/>
                <w:szCs w:val="18"/>
              </w:rPr>
              <w:t>Minor rural areas</w:t>
            </w:r>
          </w:p>
        </w:tc>
        <w:tc>
          <w:tcPr>
            <w:tcW w:w="1307" w:type="dxa"/>
            <w:shd w:val="clear" w:color="auto" w:fill="37897E"/>
            <w:tcMar>
              <w:top w:w="57" w:type="dxa"/>
              <w:left w:w="57" w:type="dxa"/>
              <w:bottom w:w="57" w:type="dxa"/>
              <w:right w:w="57" w:type="dxa"/>
            </w:tcMar>
            <w:hideMark/>
          </w:tcPr>
          <w:p w14:paraId="4278FB1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344D90">
              <w:rPr>
                <w:rFonts w:cs="Arial"/>
                <w:b/>
                <w:color w:val="FFFFFF" w:themeColor="background1"/>
                <w:szCs w:val="18"/>
              </w:rPr>
              <w:t>Remote</w:t>
            </w:r>
            <w:r w:rsidR="006212A7" w:rsidRPr="00344D90">
              <w:rPr>
                <w:rFonts w:cs="Arial"/>
                <w:b/>
                <w:color w:val="FFFFFF" w:themeColor="background1"/>
                <w:szCs w:val="18"/>
              </w:rPr>
              <w:t xml:space="preserve"> </w:t>
            </w:r>
            <w:r w:rsidRPr="00344D90">
              <w:rPr>
                <w:rFonts w:cs="Arial"/>
                <w:b/>
                <w:color w:val="FFFFFF" w:themeColor="background1"/>
                <w:szCs w:val="18"/>
              </w:rPr>
              <w:t>areas</w:t>
            </w:r>
          </w:p>
        </w:tc>
        <w:tc>
          <w:tcPr>
            <w:tcW w:w="1307" w:type="dxa"/>
            <w:shd w:val="clear" w:color="auto" w:fill="37897E"/>
            <w:tcMar>
              <w:top w:w="57" w:type="dxa"/>
              <w:left w:w="57" w:type="dxa"/>
              <w:bottom w:w="57" w:type="dxa"/>
              <w:right w:w="57" w:type="dxa"/>
            </w:tcMar>
            <w:hideMark/>
          </w:tcPr>
          <w:p w14:paraId="3645986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344D90">
              <w:rPr>
                <w:rFonts w:cs="Arial"/>
                <w:b/>
                <w:color w:val="FFFFFF" w:themeColor="background1"/>
                <w:szCs w:val="18"/>
              </w:rPr>
              <w:t>All areas</w:t>
            </w:r>
          </w:p>
        </w:tc>
      </w:tr>
      <w:tr w:rsidR="001C5CCD" w:rsidRPr="00344D90" w14:paraId="62B0AD80" w14:textId="77777777" w:rsidTr="00F65D12">
        <w:trPr>
          <w:trHeight w:val="112"/>
        </w:trPr>
        <w:tc>
          <w:tcPr>
            <w:cnfStyle w:val="001000000000" w:firstRow="0" w:lastRow="0" w:firstColumn="1" w:lastColumn="0" w:oddVBand="0" w:evenVBand="0" w:oddHBand="0" w:evenHBand="0" w:firstRowFirstColumn="0" w:firstRowLastColumn="0" w:lastRowFirstColumn="0" w:lastRowLastColumn="0"/>
            <w:tcW w:w="1338" w:type="dxa"/>
            <w:vMerge w:val="restart"/>
            <w:tcMar>
              <w:top w:w="57" w:type="dxa"/>
              <w:left w:w="57" w:type="dxa"/>
              <w:bottom w:w="57" w:type="dxa"/>
              <w:right w:w="57" w:type="dxa"/>
            </w:tcMar>
            <w:hideMark/>
          </w:tcPr>
          <w:p w14:paraId="21E9827E" w14:textId="77777777" w:rsidR="001C5CCD" w:rsidRPr="007D01D0" w:rsidRDefault="001C5CCD" w:rsidP="00C43CBA">
            <w:pPr>
              <w:spacing w:before="0" w:after="0"/>
              <w:rPr>
                <w:rFonts w:cs="Arial"/>
                <w:szCs w:val="18"/>
              </w:rPr>
            </w:pPr>
            <w:r w:rsidRPr="007D01D0">
              <w:rPr>
                <w:rFonts w:cs="Arial"/>
                <w:bCs/>
                <w:szCs w:val="18"/>
              </w:rPr>
              <w:t>iiNet</w:t>
            </w:r>
          </w:p>
        </w:tc>
        <w:tc>
          <w:tcPr>
            <w:tcW w:w="1337" w:type="dxa"/>
            <w:tcMar>
              <w:top w:w="57" w:type="dxa"/>
              <w:left w:w="57" w:type="dxa"/>
              <w:bottom w:w="57" w:type="dxa"/>
              <w:right w:w="57" w:type="dxa"/>
            </w:tcMar>
            <w:hideMark/>
          </w:tcPr>
          <w:p w14:paraId="163FE2A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w:t>
            </w:r>
          </w:p>
        </w:tc>
        <w:tc>
          <w:tcPr>
            <w:tcW w:w="1306" w:type="dxa"/>
            <w:shd w:val="clear" w:color="auto" w:fill="FFFFFF" w:themeFill="background1"/>
            <w:tcMar>
              <w:top w:w="57" w:type="dxa"/>
              <w:left w:w="57" w:type="dxa"/>
              <w:bottom w:w="57" w:type="dxa"/>
              <w:right w:w="57" w:type="dxa"/>
            </w:tcMar>
            <w:hideMark/>
          </w:tcPr>
          <w:p w14:paraId="2BE71A6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95.6</w:t>
            </w:r>
          </w:p>
        </w:tc>
        <w:tc>
          <w:tcPr>
            <w:tcW w:w="1307" w:type="dxa"/>
            <w:shd w:val="clear" w:color="auto" w:fill="FFFFFF" w:themeFill="background1"/>
            <w:tcMar>
              <w:top w:w="57" w:type="dxa"/>
              <w:left w:w="57" w:type="dxa"/>
              <w:bottom w:w="57" w:type="dxa"/>
              <w:right w:w="57" w:type="dxa"/>
            </w:tcMar>
            <w:hideMark/>
          </w:tcPr>
          <w:p w14:paraId="5BEDA7C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98.7</w:t>
            </w:r>
          </w:p>
        </w:tc>
        <w:tc>
          <w:tcPr>
            <w:tcW w:w="1307" w:type="dxa"/>
            <w:shd w:val="clear" w:color="auto" w:fill="FFFFFF" w:themeFill="background1"/>
            <w:tcMar>
              <w:top w:w="57" w:type="dxa"/>
              <w:left w:w="57" w:type="dxa"/>
              <w:bottom w:w="57" w:type="dxa"/>
              <w:right w:w="57" w:type="dxa"/>
            </w:tcMar>
            <w:hideMark/>
          </w:tcPr>
          <w:p w14:paraId="474B6C5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98.5</w:t>
            </w:r>
          </w:p>
        </w:tc>
        <w:tc>
          <w:tcPr>
            <w:tcW w:w="1307" w:type="dxa"/>
            <w:shd w:val="clear" w:color="auto" w:fill="FFFFFF" w:themeFill="background1"/>
            <w:tcMar>
              <w:top w:w="57" w:type="dxa"/>
              <w:left w:w="57" w:type="dxa"/>
              <w:bottom w:w="57" w:type="dxa"/>
              <w:right w:w="57" w:type="dxa"/>
            </w:tcMar>
            <w:hideMark/>
          </w:tcPr>
          <w:p w14:paraId="3389268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100</w:t>
            </w:r>
            <w:r w:rsidR="00AF7315" w:rsidRPr="00344D90">
              <w:rPr>
                <w:rFonts w:cs="Arial"/>
                <w:szCs w:val="18"/>
              </w:rPr>
              <w:t>.0</w:t>
            </w:r>
          </w:p>
        </w:tc>
        <w:tc>
          <w:tcPr>
            <w:tcW w:w="1307" w:type="dxa"/>
            <w:shd w:val="clear" w:color="auto" w:fill="FFFFFF" w:themeFill="background1"/>
            <w:tcMar>
              <w:top w:w="57" w:type="dxa"/>
              <w:left w:w="57" w:type="dxa"/>
              <w:bottom w:w="57" w:type="dxa"/>
              <w:right w:w="57" w:type="dxa"/>
            </w:tcMar>
            <w:hideMark/>
          </w:tcPr>
          <w:p w14:paraId="2F97840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94.8</w:t>
            </w:r>
          </w:p>
        </w:tc>
      </w:tr>
      <w:tr w:rsidR="001C5CCD" w:rsidRPr="00344D90" w14:paraId="003B1B29" w14:textId="77777777" w:rsidTr="00F65D12">
        <w:trPr>
          <w:trHeight w:val="74"/>
        </w:trPr>
        <w:tc>
          <w:tcPr>
            <w:cnfStyle w:val="001000000000" w:firstRow="0" w:lastRow="0" w:firstColumn="1" w:lastColumn="0" w:oddVBand="0" w:evenVBand="0" w:oddHBand="0" w:evenHBand="0" w:firstRowFirstColumn="0" w:firstRowLastColumn="0" w:lastRowFirstColumn="0" w:lastRowLastColumn="0"/>
            <w:tcW w:w="1338" w:type="dxa"/>
            <w:vMerge/>
            <w:tcMar>
              <w:top w:w="57" w:type="dxa"/>
              <w:left w:w="57" w:type="dxa"/>
              <w:bottom w:w="57" w:type="dxa"/>
              <w:right w:w="57" w:type="dxa"/>
            </w:tcMar>
            <w:hideMark/>
          </w:tcPr>
          <w:p w14:paraId="2EFCE0BE" w14:textId="77777777" w:rsidR="001C5CCD" w:rsidRPr="007D01D0" w:rsidRDefault="001C5CCD" w:rsidP="00C43CBA">
            <w:pPr>
              <w:spacing w:before="0" w:after="0"/>
              <w:rPr>
                <w:rFonts w:cs="Arial"/>
                <w:szCs w:val="18"/>
              </w:rPr>
            </w:pPr>
          </w:p>
        </w:tc>
        <w:tc>
          <w:tcPr>
            <w:tcW w:w="1337" w:type="dxa"/>
            <w:tcMar>
              <w:top w:w="57" w:type="dxa"/>
              <w:left w:w="57" w:type="dxa"/>
              <w:bottom w:w="57" w:type="dxa"/>
              <w:right w:w="57" w:type="dxa"/>
            </w:tcMar>
            <w:hideMark/>
          </w:tcPr>
          <w:p w14:paraId="3646995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No.</w:t>
            </w:r>
          </w:p>
        </w:tc>
        <w:tc>
          <w:tcPr>
            <w:tcW w:w="1306" w:type="dxa"/>
            <w:shd w:val="clear" w:color="auto" w:fill="FFFFFF" w:themeFill="background1"/>
            <w:tcMar>
              <w:top w:w="57" w:type="dxa"/>
              <w:left w:w="57" w:type="dxa"/>
              <w:bottom w:w="57" w:type="dxa"/>
              <w:right w:w="57" w:type="dxa"/>
            </w:tcMar>
            <w:hideMark/>
          </w:tcPr>
          <w:p w14:paraId="4D74660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37,109</w:t>
            </w:r>
          </w:p>
        </w:tc>
        <w:tc>
          <w:tcPr>
            <w:tcW w:w="1307" w:type="dxa"/>
            <w:shd w:val="clear" w:color="auto" w:fill="FFFFFF" w:themeFill="background1"/>
            <w:tcMar>
              <w:top w:w="57" w:type="dxa"/>
              <w:left w:w="57" w:type="dxa"/>
              <w:bottom w:w="57" w:type="dxa"/>
              <w:right w:w="57" w:type="dxa"/>
            </w:tcMar>
            <w:hideMark/>
          </w:tcPr>
          <w:p w14:paraId="057C18A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3,517</w:t>
            </w:r>
          </w:p>
        </w:tc>
        <w:tc>
          <w:tcPr>
            <w:tcW w:w="1307" w:type="dxa"/>
            <w:shd w:val="clear" w:color="auto" w:fill="FFFFFF" w:themeFill="background1"/>
            <w:tcMar>
              <w:top w:w="57" w:type="dxa"/>
              <w:left w:w="57" w:type="dxa"/>
              <w:bottom w:w="57" w:type="dxa"/>
              <w:right w:w="57" w:type="dxa"/>
            </w:tcMar>
            <w:hideMark/>
          </w:tcPr>
          <w:p w14:paraId="04CB8CC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1,659</w:t>
            </w:r>
          </w:p>
        </w:tc>
        <w:tc>
          <w:tcPr>
            <w:tcW w:w="1307" w:type="dxa"/>
            <w:shd w:val="clear" w:color="auto" w:fill="FFFFFF" w:themeFill="background1"/>
            <w:tcMar>
              <w:top w:w="57" w:type="dxa"/>
              <w:left w:w="57" w:type="dxa"/>
              <w:bottom w:w="57" w:type="dxa"/>
              <w:right w:w="57" w:type="dxa"/>
            </w:tcMar>
            <w:hideMark/>
          </w:tcPr>
          <w:p w14:paraId="0FE45F4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46</w:t>
            </w:r>
          </w:p>
        </w:tc>
        <w:tc>
          <w:tcPr>
            <w:tcW w:w="1307" w:type="dxa"/>
            <w:shd w:val="clear" w:color="auto" w:fill="FFFFFF" w:themeFill="background1"/>
            <w:tcMar>
              <w:top w:w="57" w:type="dxa"/>
              <w:left w:w="57" w:type="dxa"/>
              <w:bottom w:w="57" w:type="dxa"/>
              <w:right w:w="57" w:type="dxa"/>
            </w:tcMar>
            <w:hideMark/>
          </w:tcPr>
          <w:p w14:paraId="4728B88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16,553</w:t>
            </w:r>
          </w:p>
        </w:tc>
      </w:tr>
      <w:tr w:rsidR="001C5CCD" w:rsidRPr="00344D90" w14:paraId="49291879" w14:textId="77777777" w:rsidTr="00F65D12">
        <w:trPr>
          <w:trHeight w:val="178"/>
        </w:trPr>
        <w:tc>
          <w:tcPr>
            <w:cnfStyle w:val="001000000000" w:firstRow="0" w:lastRow="0" w:firstColumn="1" w:lastColumn="0" w:oddVBand="0" w:evenVBand="0" w:oddHBand="0" w:evenHBand="0" w:firstRowFirstColumn="0" w:firstRowLastColumn="0" w:lastRowFirstColumn="0" w:lastRowLastColumn="0"/>
            <w:tcW w:w="1338" w:type="dxa"/>
            <w:vMerge w:val="restart"/>
            <w:tcMar>
              <w:top w:w="57" w:type="dxa"/>
              <w:left w:w="57" w:type="dxa"/>
              <w:bottom w:w="57" w:type="dxa"/>
              <w:right w:w="57" w:type="dxa"/>
            </w:tcMar>
            <w:hideMark/>
          </w:tcPr>
          <w:p w14:paraId="768DB5C1" w14:textId="77777777" w:rsidR="001C5CCD" w:rsidRPr="007D01D0" w:rsidRDefault="001C5CCD" w:rsidP="00C43CBA">
            <w:pPr>
              <w:spacing w:before="0" w:after="0"/>
              <w:rPr>
                <w:rFonts w:cs="Arial"/>
                <w:szCs w:val="18"/>
              </w:rPr>
            </w:pPr>
            <w:r w:rsidRPr="007D01D0">
              <w:rPr>
                <w:rFonts w:cs="Arial"/>
                <w:bCs/>
                <w:szCs w:val="18"/>
              </w:rPr>
              <w:t>Optus</w:t>
            </w:r>
          </w:p>
        </w:tc>
        <w:tc>
          <w:tcPr>
            <w:tcW w:w="1337" w:type="dxa"/>
            <w:tcMar>
              <w:top w:w="57" w:type="dxa"/>
              <w:left w:w="57" w:type="dxa"/>
              <w:bottom w:w="57" w:type="dxa"/>
              <w:right w:w="57" w:type="dxa"/>
            </w:tcMar>
            <w:hideMark/>
          </w:tcPr>
          <w:p w14:paraId="3582A05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w:t>
            </w:r>
          </w:p>
        </w:tc>
        <w:tc>
          <w:tcPr>
            <w:tcW w:w="1306" w:type="dxa"/>
            <w:shd w:val="clear" w:color="auto" w:fill="FFFFFF" w:themeFill="background1"/>
            <w:tcMar>
              <w:top w:w="57" w:type="dxa"/>
              <w:left w:w="57" w:type="dxa"/>
              <w:bottom w:w="57" w:type="dxa"/>
              <w:right w:w="57" w:type="dxa"/>
            </w:tcMar>
            <w:hideMark/>
          </w:tcPr>
          <w:p w14:paraId="6F4E92D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98.0</w:t>
            </w:r>
          </w:p>
        </w:tc>
        <w:tc>
          <w:tcPr>
            <w:tcW w:w="1307" w:type="dxa"/>
            <w:shd w:val="clear" w:color="auto" w:fill="FFFFFF" w:themeFill="background1"/>
            <w:tcMar>
              <w:top w:w="57" w:type="dxa"/>
              <w:left w:w="57" w:type="dxa"/>
              <w:bottom w:w="57" w:type="dxa"/>
              <w:right w:w="57" w:type="dxa"/>
            </w:tcMar>
            <w:hideMark/>
          </w:tcPr>
          <w:p w14:paraId="3464C68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99.4</w:t>
            </w:r>
          </w:p>
        </w:tc>
        <w:tc>
          <w:tcPr>
            <w:tcW w:w="1307" w:type="dxa"/>
            <w:shd w:val="clear" w:color="auto" w:fill="FFFFFF" w:themeFill="background1"/>
            <w:tcMar>
              <w:top w:w="57" w:type="dxa"/>
              <w:left w:w="57" w:type="dxa"/>
              <w:bottom w:w="57" w:type="dxa"/>
              <w:right w:w="57" w:type="dxa"/>
            </w:tcMar>
            <w:hideMark/>
          </w:tcPr>
          <w:p w14:paraId="19221E1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99.4</w:t>
            </w:r>
          </w:p>
        </w:tc>
        <w:tc>
          <w:tcPr>
            <w:tcW w:w="1307" w:type="dxa"/>
            <w:shd w:val="clear" w:color="auto" w:fill="FFFFFF" w:themeFill="background1"/>
            <w:tcMar>
              <w:top w:w="57" w:type="dxa"/>
              <w:left w:w="57" w:type="dxa"/>
              <w:bottom w:w="57" w:type="dxa"/>
              <w:right w:w="57" w:type="dxa"/>
            </w:tcMar>
            <w:hideMark/>
          </w:tcPr>
          <w:p w14:paraId="4CEA00E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NQCSP</w:t>
            </w:r>
          </w:p>
        </w:tc>
        <w:tc>
          <w:tcPr>
            <w:tcW w:w="1307" w:type="dxa"/>
            <w:shd w:val="clear" w:color="auto" w:fill="FFFFFF" w:themeFill="background1"/>
            <w:tcMar>
              <w:top w:w="57" w:type="dxa"/>
              <w:left w:w="57" w:type="dxa"/>
              <w:bottom w:w="57" w:type="dxa"/>
              <w:right w:w="57" w:type="dxa"/>
            </w:tcMar>
            <w:hideMark/>
          </w:tcPr>
          <w:p w14:paraId="4832350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n/a</w:t>
            </w:r>
          </w:p>
        </w:tc>
      </w:tr>
      <w:tr w:rsidR="001C5CCD" w:rsidRPr="00344D90" w14:paraId="4902974A" w14:textId="77777777" w:rsidTr="00F65D12">
        <w:trPr>
          <w:trHeight w:val="112"/>
        </w:trPr>
        <w:tc>
          <w:tcPr>
            <w:cnfStyle w:val="001000000000" w:firstRow="0" w:lastRow="0" w:firstColumn="1" w:lastColumn="0" w:oddVBand="0" w:evenVBand="0" w:oddHBand="0" w:evenHBand="0" w:firstRowFirstColumn="0" w:firstRowLastColumn="0" w:lastRowFirstColumn="0" w:lastRowLastColumn="0"/>
            <w:tcW w:w="1338" w:type="dxa"/>
            <w:vMerge/>
            <w:tcMar>
              <w:top w:w="57" w:type="dxa"/>
              <w:left w:w="57" w:type="dxa"/>
              <w:bottom w:w="57" w:type="dxa"/>
              <w:right w:w="57" w:type="dxa"/>
            </w:tcMar>
            <w:hideMark/>
          </w:tcPr>
          <w:p w14:paraId="489CA602" w14:textId="77777777" w:rsidR="001C5CCD" w:rsidRPr="007D01D0" w:rsidRDefault="001C5CCD" w:rsidP="00C43CBA">
            <w:pPr>
              <w:spacing w:before="0" w:after="0"/>
              <w:rPr>
                <w:rFonts w:cs="Arial"/>
                <w:szCs w:val="18"/>
              </w:rPr>
            </w:pPr>
          </w:p>
        </w:tc>
        <w:tc>
          <w:tcPr>
            <w:tcW w:w="1337" w:type="dxa"/>
            <w:tcMar>
              <w:top w:w="57" w:type="dxa"/>
              <w:left w:w="57" w:type="dxa"/>
              <w:bottom w:w="57" w:type="dxa"/>
              <w:right w:w="57" w:type="dxa"/>
            </w:tcMar>
            <w:hideMark/>
          </w:tcPr>
          <w:p w14:paraId="3C99829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No.</w:t>
            </w:r>
          </w:p>
        </w:tc>
        <w:tc>
          <w:tcPr>
            <w:tcW w:w="1306" w:type="dxa"/>
            <w:shd w:val="clear" w:color="auto" w:fill="FFFFFF" w:themeFill="background1"/>
            <w:tcMar>
              <w:top w:w="57" w:type="dxa"/>
              <w:left w:w="57" w:type="dxa"/>
              <w:bottom w:w="57" w:type="dxa"/>
              <w:right w:w="57" w:type="dxa"/>
            </w:tcMar>
            <w:hideMark/>
          </w:tcPr>
          <w:p w14:paraId="6833382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304,374</w:t>
            </w:r>
          </w:p>
        </w:tc>
        <w:tc>
          <w:tcPr>
            <w:tcW w:w="1307" w:type="dxa"/>
            <w:shd w:val="clear" w:color="auto" w:fill="FFFFFF" w:themeFill="background1"/>
            <w:tcMar>
              <w:top w:w="57" w:type="dxa"/>
              <w:left w:w="57" w:type="dxa"/>
              <w:bottom w:w="57" w:type="dxa"/>
              <w:right w:w="57" w:type="dxa"/>
            </w:tcMar>
            <w:hideMark/>
          </w:tcPr>
          <w:p w14:paraId="0FFE794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3,160</w:t>
            </w:r>
          </w:p>
        </w:tc>
        <w:tc>
          <w:tcPr>
            <w:tcW w:w="1307" w:type="dxa"/>
            <w:shd w:val="clear" w:color="auto" w:fill="FFFFFF" w:themeFill="background1"/>
            <w:tcMar>
              <w:top w:w="57" w:type="dxa"/>
              <w:left w:w="57" w:type="dxa"/>
              <w:bottom w:w="57" w:type="dxa"/>
              <w:right w:w="57" w:type="dxa"/>
            </w:tcMar>
            <w:hideMark/>
          </w:tcPr>
          <w:p w14:paraId="307F605A"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1,246</w:t>
            </w:r>
          </w:p>
        </w:tc>
        <w:tc>
          <w:tcPr>
            <w:tcW w:w="1307" w:type="dxa"/>
            <w:shd w:val="clear" w:color="auto" w:fill="FFFFFF" w:themeFill="background1"/>
            <w:tcMar>
              <w:top w:w="57" w:type="dxa"/>
              <w:left w:w="57" w:type="dxa"/>
              <w:bottom w:w="57" w:type="dxa"/>
              <w:right w:w="57" w:type="dxa"/>
            </w:tcMar>
            <w:hideMark/>
          </w:tcPr>
          <w:p w14:paraId="21A0221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NQCSP</w:t>
            </w:r>
          </w:p>
        </w:tc>
        <w:tc>
          <w:tcPr>
            <w:tcW w:w="1307" w:type="dxa"/>
            <w:shd w:val="clear" w:color="auto" w:fill="FFFFFF" w:themeFill="background1"/>
            <w:tcMar>
              <w:top w:w="57" w:type="dxa"/>
              <w:left w:w="57" w:type="dxa"/>
              <w:bottom w:w="57" w:type="dxa"/>
              <w:right w:w="57" w:type="dxa"/>
            </w:tcMar>
            <w:hideMark/>
          </w:tcPr>
          <w:p w14:paraId="17483AC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n/a</w:t>
            </w:r>
          </w:p>
        </w:tc>
      </w:tr>
      <w:tr w:rsidR="001C5CCD" w:rsidRPr="00344D90" w14:paraId="3DB3C95A" w14:textId="77777777" w:rsidTr="00F65D12">
        <w:trPr>
          <w:trHeight w:val="74"/>
        </w:trPr>
        <w:tc>
          <w:tcPr>
            <w:cnfStyle w:val="001000000000" w:firstRow="0" w:lastRow="0" w:firstColumn="1" w:lastColumn="0" w:oddVBand="0" w:evenVBand="0" w:oddHBand="0" w:evenHBand="0" w:firstRowFirstColumn="0" w:firstRowLastColumn="0" w:lastRowFirstColumn="0" w:lastRowLastColumn="0"/>
            <w:tcW w:w="1338" w:type="dxa"/>
            <w:vMerge w:val="restart"/>
            <w:tcMar>
              <w:top w:w="57" w:type="dxa"/>
              <w:left w:w="57" w:type="dxa"/>
              <w:bottom w:w="57" w:type="dxa"/>
              <w:right w:w="57" w:type="dxa"/>
            </w:tcMar>
            <w:hideMark/>
          </w:tcPr>
          <w:p w14:paraId="0372CCED" w14:textId="77777777" w:rsidR="001C5CCD" w:rsidRPr="007D01D0" w:rsidRDefault="001C5CCD" w:rsidP="00C43CBA">
            <w:pPr>
              <w:spacing w:before="0" w:after="0"/>
              <w:rPr>
                <w:rFonts w:cs="Arial"/>
                <w:szCs w:val="18"/>
              </w:rPr>
            </w:pPr>
            <w:r w:rsidRPr="007D01D0">
              <w:rPr>
                <w:rFonts w:cs="Arial"/>
                <w:bCs/>
                <w:szCs w:val="18"/>
              </w:rPr>
              <w:t>Dodo</w:t>
            </w:r>
          </w:p>
        </w:tc>
        <w:tc>
          <w:tcPr>
            <w:tcW w:w="1337" w:type="dxa"/>
            <w:tcMar>
              <w:top w:w="57" w:type="dxa"/>
              <w:left w:w="57" w:type="dxa"/>
              <w:bottom w:w="57" w:type="dxa"/>
              <w:right w:w="57" w:type="dxa"/>
            </w:tcMar>
            <w:hideMark/>
          </w:tcPr>
          <w:p w14:paraId="662C47C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w:t>
            </w:r>
          </w:p>
        </w:tc>
        <w:tc>
          <w:tcPr>
            <w:tcW w:w="1306" w:type="dxa"/>
            <w:shd w:val="clear" w:color="auto" w:fill="FFFFFF" w:themeFill="background1"/>
            <w:tcMar>
              <w:top w:w="57" w:type="dxa"/>
              <w:left w:w="57" w:type="dxa"/>
              <w:bottom w:w="57" w:type="dxa"/>
              <w:right w:w="57" w:type="dxa"/>
            </w:tcMar>
            <w:hideMark/>
          </w:tcPr>
          <w:p w14:paraId="4BCBB46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100</w:t>
            </w:r>
            <w:r w:rsidR="00AF7315" w:rsidRPr="00344D90">
              <w:rPr>
                <w:rFonts w:cs="Arial"/>
                <w:szCs w:val="18"/>
              </w:rPr>
              <w:t>.0</w:t>
            </w:r>
          </w:p>
        </w:tc>
        <w:tc>
          <w:tcPr>
            <w:tcW w:w="1307" w:type="dxa"/>
            <w:shd w:val="clear" w:color="auto" w:fill="FFFFFF" w:themeFill="background1"/>
            <w:tcMar>
              <w:top w:w="57" w:type="dxa"/>
              <w:left w:w="57" w:type="dxa"/>
              <w:bottom w:w="57" w:type="dxa"/>
              <w:right w:w="57" w:type="dxa"/>
            </w:tcMar>
            <w:hideMark/>
          </w:tcPr>
          <w:p w14:paraId="60D3C17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100</w:t>
            </w:r>
            <w:r w:rsidR="00AF7315" w:rsidRPr="00344D90">
              <w:rPr>
                <w:rFonts w:cs="Arial"/>
                <w:szCs w:val="18"/>
              </w:rPr>
              <w:t>.0</w:t>
            </w:r>
          </w:p>
        </w:tc>
        <w:tc>
          <w:tcPr>
            <w:tcW w:w="1307" w:type="dxa"/>
            <w:shd w:val="clear" w:color="auto" w:fill="FFFFFF" w:themeFill="background1"/>
            <w:tcMar>
              <w:top w:w="57" w:type="dxa"/>
              <w:left w:w="57" w:type="dxa"/>
              <w:bottom w:w="57" w:type="dxa"/>
              <w:right w:w="57" w:type="dxa"/>
            </w:tcMar>
            <w:hideMark/>
          </w:tcPr>
          <w:p w14:paraId="36B185A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100</w:t>
            </w:r>
            <w:r w:rsidR="00AF7315" w:rsidRPr="00344D90">
              <w:rPr>
                <w:rFonts w:cs="Arial"/>
                <w:szCs w:val="18"/>
              </w:rPr>
              <w:t>.0</w:t>
            </w:r>
          </w:p>
        </w:tc>
        <w:tc>
          <w:tcPr>
            <w:tcW w:w="1307" w:type="dxa"/>
            <w:shd w:val="clear" w:color="auto" w:fill="FFFFFF" w:themeFill="background1"/>
            <w:tcMar>
              <w:top w:w="57" w:type="dxa"/>
              <w:left w:w="57" w:type="dxa"/>
              <w:bottom w:w="57" w:type="dxa"/>
              <w:right w:w="57" w:type="dxa"/>
            </w:tcMar>
            <w:hideMark/>
          </w:tcPr>
          <w:p w14:paraId="536099C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NQCSP</w:t>
            </w:r>
          </w:p>
        </w:tc>
        <w:tc>
          <w:tcPr>
            <w:tcW w:w="1307" w:type="dxa"/>
            <w:shd w:val="clear" w:color="auto" w:fill="FFFFFF" w:themeFill="background1"/>
            <w:tcMar>
              <w:top w:w="57" w:type="dxa"/>
              <w:left w:w="57" w:type="dxa"/>
              <w:bottom w:w="57" w:type="dxa"/>
              <w:right w:w="57" w:type="dxa"/>
            </w:tcMar>
            <w:hideMark/>
          </w:tcPr>
          <w:p w14:paraId="3BF83FC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100</w:t>
            </w:r>
            <w:r w:rsidR="00AF7315" w:rsidRPr="00344D90">
              <w:rPr>
                <w:rFonts w:cs="Arial"/>
                <w:szCs w:val="18"/>
              </w:rPr>
              <w:t>.0</w:t>
            </w:r>
          </w:p>
        </w:tc>
      </w:tr>
      <w:tr w:rsidR="001C5CCD" w:rsidRPr="00344D90" w14:paraId="0B922B0A" w14:textId="77777777" w:rsidTr="00F65D12">
        <w:trPr>
          <w:trHeight w:val="178"/>
        </w:trPr>
        <w:tc>
          <w:tcPr>
            <w:cnfStyle w:val="001000000000" w:firstRow="0" w:lastRow="0" w:firstColumn="1" w:lastColumn="0" w:oddVBand="0" w:evenVBand="0" w:oddHBand="0" w:evenHBand="0" w:firstRowFirstColumn="0" w:firstRowLastColumn="0" w:lastRowFirstColumn="0" w:lastRowLastColumn="0"/>
            <w:tcW w:w="1338" w:type="dxa"/>
            <w:vMerge/>
            <w:tcMar>
              <w:top w:w="57" w:type="dxa"/>
              <w:left w:w="57" w:type="dxa"/>
              <w:bottom w:w="57" w:type="dxa"/>
              <w:right w:w="57" w:type="dxa"/>
            </w:tcMar>
            <w:hideMark/>
          </w:tcPr>
          <w:p w14:paraId="3540588A" w14:textId="77777777" w:rsidR="001C5CCD" w:rsidRPr="007D01D0" w:rsidRDefault="001C5CCD" w:rsidP="00C43CBA">
            <w:pPr>
              <w:spacing w:before="0" w:after="0"/>
              <w:rPr>
                <w:rFonts w:cs="Arial"/>
                <w:szCs w:val="18"/>
              </w:rPr>
            </w:pPr>
          </w:p>
        </w:tc>
        <w:tc>
          <w:tcPr>
            <w:tcW w:w="1337" w:type="dxa"/>
            <w:tcMar>
              <w:top w:w="57" w:type="dxa"/>
              <w:left w:w="57" w:type="dxa"/>
              <w:bottom w:w="57" w:type="dxa"/>
              <w:right w:w="57" w:type="dxa"/>
            </w:tcMar>
            <w:hideMark/>
          </w:tcPr>
          <w:p w14:paraId="00916D9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No.</w:t>
            </w:r>
          </w:p>
        </w:tc>
        <w:tc>
          <w:tcPr>
            <w:tcW w:w="1306" w:type="dxa"/>
            <w:shd w:val="clear" w:color="auto" w:fill="FFFFFF" w:themeFill="background1"/>
            <w:tcMar>
              <w:top w:w="57" w:type="dxa"/>
              <w:left w:w="57" w:type="dxa"/>
              <w:bottom w:w="57" w:type="dxa"/>
              <w:right w:w="57" w:type="dxa"/>
            </w:tcMar>
            <w:hideMark/>
          </w:tcPr>
          <w:p w14:paraId="662704D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18,090</w:t>
            </w:r>
          </w:p>
        </w:tc>
        <w:tc>
          <w:tcPr>
            <w:tcW w:w="1307" w:type="dxa"/>
            <w:shd w:val="clear" w:color="auto" w:fill="FFFFFF" w:themeFill="background1"/>
            <w:tcMar>
              <w:top w:w="57" w:type="dxa"/>
              <w:left w:w="57" w:type="dxa"/>
              <w:bottom w:w="57" w:type="dxa"/>
              <w:right w:w="57" w:type="dxa"/>
            </w:tcMar>
            <w:hideMark/>
          </w:tcPr>
          <w:p w14:paraId="01F0852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1,359</w:t>
            </w:r>
          </w:p>
        </w:tc>
        <w:tc>
          <w:tcPr>
            <w:tcW w:w="1307" w:type="dxa"/>
            <w:shd w:val="clear" w:color="auto" w:fill="FFFFFF" w:themeFill="background1"/>
            <w:tcMar>
              <w:top w:w="57" w:type="dxa"/>
              <w:left w:w="57" w:type="dxa"/>
              <w:bottom w:w="57" w:type="dxa"/>
              <w:right w:w="57" w:type="dxa"/>
            </w:tcMar>
            <w:hideMark/>
          </w:tcPr>
          <w:p w14:paraId="03318D4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985</w:t>
            </w:r>
          </w:p>
        </w:tc>
        <w:tc>
          <w:tcPr>
            <w:tcW w:w="1307" w:type="dxa"/>
            <w:shd w:val="clear" w:color="auto" w:fill="FFFFFF" w:themeFill="background1"/>
            <w:tcMar>
              <w:top w:w="57" w:type="dxa"/>
              <w:left w:w="57" w:type="dxa"/>
              <w:bottom w:w="57" w:type="dxa"/>
              <w:right w:w="57" w:type="dxa"/>
            </w:tcMar>
            <w:hideMark/>
          </w:tcPr>
          <w:p w14:paraId="1F04A6C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NQCSP</w:t>
            </w:r>
          </w:p>
        </w:tc>
        <w:tc>
          <w:tcPr>
            <w:tcW w:w="1307" w:type="dxa"/>
            <w:shd w:val="clear" w:color="auto" w:fill="FFFFFF" w:themeFill="background1"/>
            <w:tcMar>
              <w:top w:w="57" w:type="dxa"/>
              <w:left w:w="57" w:type="dxa"/>
              <w:bottom w:w="57" w:type="dxa"/>
              <w:right w:w="57" w:type="dxa"/>
            </w:tcMar>
            <w:hideMark/>
          </w:tcPr>
          <w:p w14:paraId="107FA2B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58,309</w:t>
            </w:r>
          </w:p>
        </w:tc>
      </w:tr>
      <w:tr w:rsidR="001C5CCD" w:rsidRPr="00344D90" w14:paraId="6577670F" w14:textId="77777777" w:rsidTr="00F65D12">
        <w:trPr>
          <w:trHeight w:val="112"/>
        </w:trPr>
        <w:tc>
          <w:tcPr>
            <w:cnfStyle w:val="001000000000" w:firstRow="0" w:lastRow="0" w:firstColumn="1" w:lastColumn="0" w:oddVBand="0" w:evenVBand="0" w:oddHBand="0" w:evenHBand="0" w:firstRowFirstColumn="0" w:firstRowLastColumn="0" w:lastRowFirstColumn="0" w:lastRowLastColumn="0"/>
            <w:tcW w:w="1338" w:type="dxa"/>
            <w:vMerge w:val="restart"/>
            <w:tcMar>
              <w:top w:w="57" w:type="dxa"/>
              <w:left w:w="57" w:type="dxa"/>
              <w:bottom w:w="57" w:type="dxa"/>
              <w:right w:w="57" w:type="dxa"/>
            </w:tcMar>
            <w:hideMark/>
          </w:tcPr>
          <w:p w14:paraId="0189C8F9" w14:textId="77777777" w:rsidR="001C5CCD" w:rsidRPr="007D01D0" w:rsidRDefault="001C5CCD" w:rsidP="00C43CBA">
            <w:pPr>
              <w:spacing w:before="0" w:after="0"/>
              <w:rPr>
                <w:rFonts w:cs="Arial"/>
                <w:szCs w:val="18"/>
              </w:rPr>
            </w:pPr>
            <w:r w:rsidRPr="007D01D0">
              <w:rPr>
                <w:rFonts w:cs="Arial"/>
                <w:bCs/>
                <w:szCs w:val="18"/>
              </w:rPr>
              <w:t>Telstra</w:t>
            </w:r>
          </w:p>
        </w:tc>
        <w:tc>
          <w:tcPr>
            <w:tcW w:w="1337" w:type="dxa"/>
            <w:tcMar>
              <w:top w:w="57" w:type="dxa"/>
              <w:left w:w="57" w:type="dxa"/>
              <w:bottom w:w="57" w:type="dxa"/>
              <w:right w:w="57" w:type="dxa"/>
            </w:tcMar>
            <w:hideMark/>
          </w:tcPr>
          <w:p w14:paraId="1DEF9DA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w:t>
            </w:r>
          </w:p>
        </w:tc>
        <w:tc>
          <w:tcPr>
            <w:tcW w:w="1306" w:type="dxa"/>
            <w:shd w:val="clear" w:color="auto" w:fill="FFFFFF" w:themeFill="background1"/>
            <w:tcMar>
              <w:top w:w="57" w:type="dxa"/>
              <w:left w:w="57" w:type="dxa"/>
              <w:bottom w:w="57" w:type="dxa"/>
              <w:right w:w="57" w:type="dxa"/>
            </w:tcMar>
            <w:hideMark/>
          </w:tcPr>
          <w:p w14:paraId="0C7EBA3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94.4</w:t>
            </w:r>
          </w:p>
        </w:tc>
        <w:tc>
          <w:tcPr>
            <w:tcW w:w="1307" w:type="dxa"/>
            <w:shd w:val="clear" w:color="auto" w:fill="FFFFFF" w:themeFill="background1"/>
            <w:tcMar>
              <w:top w:w="57" w:type="dxa"/>
              <w:left w:w="57" w:type="dxa"/>
              <w:bottom w:w="57" w:type="dxa"/>
              <w:right w:w="57" w:type="dxa"/>
            </w:tcMar>
            <w:hideMark/>
          </w:tcPr>
          <w:p w14:paraId="74BA08E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95</w:t>
            </w:r>
            <w:r w:rsidR="00AF7315" w:rsidRPr="00344D90">
              <w:rPr>
                <w:rFonts w:cs="Arial"/>
                <w:szCs w:val="18"/>
              </w:rPr>
              <w:t>.0</w:t>
            </w:r>
          </w:p>
        </w:tc>
        <w:tc>
          <w:tcPr>
            <w:tcW w:w="1307" w:type="dxa"/>
            <w:shd w:val="clear" w:color="auto" w:fill="FFFFFF" w:themeFill="background1"/>
            <w:tcMar>
              <w:top w:w="57" w:type="dxa"/>
              <w:left w:w="57" w:type="dxa"/>
              <w:bottom w:w="57" w:type="dxa"/>
              <w:right w:w="57" w:type="dxa"/>
            </w:tcMar>
            <w:hideMark/>
          </w:tcPr>
          <w:p w14:paraId="1FF4B4B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94.1</w:t>
            </w:r>
          </w:p>
        </w:tc>
        <w:tc>
          <w:tcPr>
            <w:tcW w:w="1307" w:type="dxa"/>
            <w:shd w:val="clear" w:color="auto" w:fill="FFFFFF" w:themeFill="background1"/>
            <w:tcMar>
              <w:top w:w="57" w:type="dxa"/>
              <w:left w:w="57" w:type="dxa"/>
              <w:bottom w:w="57" w:type="dxa"/>
              <w:right w:w="57" w:type="dxa"/>
            </w:tcMar>
            <w:hideMark/>
          </w:tcPr>
          <w:p w14:paraId="09C4A4A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92.6</w:t>
            </w:r>
          </w:p>
        </w:tc>
        <w:tc>
          <w:tcPr>
            <w:tcW w:w="1307" w:type="dxa"/>
            <w:shd w:val="clear" w:color="auto" w:fill="FFFFFF" w:themeFill="background1"/>
            <w:tcMar>
              <w:top w:w="57" w:type="dxa"/>
              <w:left w:w="57" w:type="dxa"/>
              <w:bottom w:w="57" w:type="dxa"/>
              <w:right w:w="57" w:type="dxa"/>
            </w:tcMar>
            <w:hideMark/>
          </w:tcPr>
          <w:p w14:paraId="57EE211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96.6</w:t>
            </w:r>
          </w:p>
        </w:tc>
      </w:tr>
      <w:tr w:rsidR="001C5CCD" w:rsidRPr="00DC2C37" w14:paraId="05A7E307" w14:textId="77777777" w:rsidTr="00F65D12">
        <w:trPr>
          <w:trHeight w:val="74"/>
        </w:trPr>
        <w:tc>
          <w:tcPr>
            <w:cnfStyle w:val="001000000000" w:firstRow="0" w:lastRow="0" w:firstColumn="1" w:lastColumn="0" w:oddVBand="0" w:evenVBand="0" w:oddHBand="0" w:evenHBand="0" w:firstRowFirstColumn="0" w:firstRowLastColumn="0" w:lastRowFirstColumn="0" w:lastRowLastColumn="0"/>
            <w:tcW w:w="1338" w:type="dxa"/>
            <w:vMerge/>
            <w:tcMar>
              <w:top w:w="57" w:type="dxa"/>
              <w:left w:w="57" w:type="dxa"/>
              <w:bottom w:w="57" w:type="dxa"/>
              <w:right w:w="57" w:type="dxa"/>
            </w:tcMar>
            <w:hideMark/>
          </w:tcPr>
          <w:p w14:paraId="30B99B25" w14:textId="77777777" w:rsidR="001C5CCD" w:rsidRPr="00344D90" w:rsidRDefault="001C5CCD" w:rsidP="00C43CBA">
            <w:pPr>
              <w:spacing w:before="0" w:after="0"/>
              <w:rPr>
                <w:rFonts w:cs="Arial"/>
                <w:b/>
                <w:szCs w:val="18"/>
              </w:rPr>
            </w:pPr>
          </w:p>
        </w:tc>
        <w:tc>
          <w:tcPr>
            <w:tcW w:w="1337" w:type="dxa"/>
            <w:tcMar>
              <w:top w:w="57" w:type="dxa"/>
              <w:left w:w="57" w:type="dxa"/>
              <w:bottom w:w="57" w:type="dxa"/>
              <w:right w:w="57" w:type="dxa"/>
            </w:tcMar>
            <w:hideMark/>
          </w:tcPr>
          <w:p w14:paraId="5B81951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No.</w:t>
            </w:r>
          </w:p>
        </w:tc>
        <w:tc>
          <w:tcPr>
            <w:tcW w:w="1306" w:type="dxa"/>
            <w:shd w:val="clear" w:color="auto" w:fill="FFFFFF" w:themeFill="background1"/>
            <w:tcMar>
              <w:top w:w="57" w:type="dxa"/>
              <w:left w:w="57" w:type="dxa"/>
              <w:bottom w:w="57" w:type="dxa"/>
              <w:right w:w="57" w:type="dxa"/>
            </w:tcMar>
            <w:hideMark/>
          </w:tcPr>
          <w:p w14:paraId="154235A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223,538</w:t>
            </w:r>
          </w:p>
        </w:tc>
        <w:tc>
          <w:tcPr>
            <w:tcW w:w="1307" w:type="dxa"/>
            <w:shd w:val="clear" w:color="auto" w:fill="FFFFFF" w:themeFill="background1"/>
            <w:tcMar>
              <w:top w:w="57" w:type="dxa"/>
              <w:left w:w="57" w:type="dxa"/>
              <w:bottom w:w="57" w:type="dxa"/>
              <w:right w:w="57" w:type="dxa"/>
            </w:tcMar>
            <w:hideMark/>
          </w:tcPr>
          <w:p w14:paraId="28102EE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23,062</w:t>
            </w:r>
          </w:p>
        </w:tc>
        <w:tc>
          <w:tcPr>
            <w:tcW w:w="1307" w:type="dxa"/>
            <w:shd w:val="clear" w:color="auto" w:fill="FFFFFF" w:themeFill="background1"/>
            <w:tcMar>
              <w:top w:w="57" w:type="dxa"/>
              <w:left w:w="57" w:type="dxa"/>
              <w:bottom w:w="57" w:type="dxa"/>
              <w:right w:w="57" w:type="dxa"/>
            </w:tcMar>
            <w:hideMark/>
          </w:tcPr>
          <w:p w14:paraId="0FE3ACA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11,517</w:t>
            </w:r>
          </w:p>
        </w:tc>
        <w:tc>
          <w:tcPr>
            <w:tcW w:w="1307" w:type="dxa"/>
            <w:shd w:val="clear" w:color="auto" w:fill="FFFFFF" w:themeFill="background1"/>
            <w:tcMar>
              <w:top w:w="57" w:type="dxa"/>
              <w:left w:w="57" w:type="dxa"/>
              <w:bottom w:w="57" w:type="dxa"/>
              <w:right w:w="57" w:type="dxa"/>
            </w:tcMar>
            <w:hideMark/>
          </w:tcPr>
          <w:p w14:paraId="2C637BFA"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622</w:t>
            </w:r>
          </w:p>
        </w:tc>
        <w:tc>
          <w:tcPr>
            <w:tcW w:w="1307" w:type="dxa"/>
            <w:shd w:val="clear" w:color="auto" w:fill="FFFFFF" w:themeFill="background1"/>
            <w:tcMar>
              <w:top w:w="57" w:type="dxa"/>
              <w:left w:w="57" w:type="dxa"/>
              <w:bottom w:w="57" w:type="dxa"/>
              <w:right w:w="57" w:type="dxa"/>
            </w:tcMar>
            <w:hideMark/>
          </w:tcPr>
          <w:p w14:paraId="7F98029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344D90">
              <w:rPr>
                <w:rFonts w:cs="Arial"/>
                <w:szCs w:val="18"/>
              </w:rPr>
              <w:t>199,817</w:t>
            </w:r>
          </w:p>
        </w:tc>
      </w:tr>
    </w:tbl>
    <w:p w14:paraId="14BD2F61" w14:textId="77777777" w:rsidR="001C5CCD" w:rsidRPr="00300809" w:rsidRDefault="001C5CCD" w:rsidP="00A50E34">
      <w:pPr>
        <w:pStyle w:val="ACMANotes"/>
        <w:spacing w:before="120"/>
      </w:pPr>
      <w:r w:rsidRPr="00344D90">
        <w:t>NQCSP=Not a qualifying CSP (QCSP)</w:t>
      </w:r>
      <w:r w:rsidR="008921E3" w:rsidRPr="00344D90">
        <w:t xml:space="preserve">; </w:t>
      </w:r>
      <w:r w:rsidRPr="00344D90">
        <w:t>n/a=not applicable</w:t>
      </w:r>
      <w:r w:rsidR="008921E3" w:rsidRPr="00300809">
        <w:t xml:space="preserve">; </w:t>
      </w:r>
      <w:r w:rsidRPr="00300809">
        <w:t>*Service connections.</w:t>
      </w:r>
    </w:p>
    <w:p w14:paraId="38CF59AE" w14:textId="77777777" w:rsidR="001C5CCD" w:rsidRPr="001630DE" w:rsidRDefault="001C5CCD" w:rsidP="001C5CCD">
      <w:pPr>
        <w:pStyle w:val="ACMANotes"/>
      </w:pPr>
      <w:r w:rsidRPr="006D736B">
        <w:t>Note 1: Commencing in 2012–13, QCSPs we</w:t>
      </w:r>
      <w:r w:rsidRPr="001630DE">
        <w:t>re required to record the number of requests that were not complied with within the applicable performance time frames and to identify if the CSP’s failure to do so was wholly or partly attributable to one or more acts or omissions by another CSP.</w:t>
      </w:r>
    </w:p>
    <w:p w14:paraId="05B03FF5" w14:textId="77777777" w:rsidR="001C5CCD" w:rsidRPr="001630DE" w:rsidRDefault="001C5CCD" w:rsidP="001C5CCD">
      <w:pPr>
        <w:pStyle w:val="ACMANotes"/>
      </w:pPr>
      <w:r w:rsidRPr="001630DE">
        <w:t>Note 2: Location-specific thresholds are met if a QCSP supplied 10,000 or more CSG services in urban areas, 1,000 or more CSG services in major rural areas, 1,000 or more CSG services in minor rural areas, 500 or more CSG services in remote areas.</w:t>
      </w:r>
    </w:p>
    <w:p w14:paraId="55924204" w14:textId="77777777" w:rsidR="001C5CCD" w:rsidRPr="00344D90" w:rsidRDefault="001C5CCD" w:rsidP="00C43CBA">
      <w:pPr>
        <w:pStyle w:val="ACMANotesspaceafter"/>
        <w:spacing w:after="360"/>
      </w:pPr>
      <w:r w:rsidRPr="00344D90">
        <w:t>Source: CSP data.</w:t>
      </w:r>
    </w:p>
    <w:p w14:paraId="66FB6D24" w14:textId="77777777" w:rsidR="001C5CCD" w:rsidRPr="00344D90" w:rsidRDefault="001C5CCD" w:rsidP="001C5CCD">
      <w:pPr>
        <w:pStyle w:val="Heading3"/>
        <w:rPr>
          <w:b w:val="0"/>
          <w:bCs w:val="0"/>
        </w:rPr>
      </w:pPr>
      <w:bookmarkStart w:id="1514" w:name="_Toc494799485"/>
      <w:bookmarkStart w:id="1515" w:name="_Toc494805788"/>
      <w:bookmarkStart w:id="1516" w:name="_Toc494806052"/>
      <w:bookmarkStart w:id="1517" w:name="_Toc494808282"/>
      <w:bookmarkStart w:id="1518" w:name="_Toc494808938"/>
      <w:bookmarkStart w:id="1519" w:name="_Toc494816356"/>
      <w:bookmarkStart w:id="1520" w:name="_Toc494818951"/>
      <w:bookmarkStart w:id="1521" w:name="_Toc494819182"/>
      <w:r w:rsidRPr="00344D90">
        <w:t>Appointments and fault repairs</w:t>
      </w:r>
      <w:bookmarkEnd w:id="1514"/>
      <w:bookmarkEnd w:id="1515"/>
      <w:bookmarkEnd w:id="1516"/>
      <w:bookmarkEnd w:id="1517"/>
      <w:bookmarkEnd w:id="1518"/>
      <w:bookmarkEnd w:id="1519"/>
      <w:bookmarkEnd w:id="1520"/>
      <w:bookmarkEnd w:id="1521"/>
    </w:p>
    <w:p w14:paraId="5696E82D" w14:textId="77777777" w:rsidR="001C5CCD" w:rsidRPr="00344D90" w:rsidRDefault="001C5CCD" w:rsidP="00525CA5">
      <w:pPr>
        <w:spacing w:after="220"/>
      </w:pPr>
      <w:r w:rsidRPr="00344D90">
        <w:t>Table 5.7 shows CSP performance in 2016–17 in meeting the CSG Standard for fault repair time frames and appointment-keeping.</w:t>
      </w:r>
    </w:p>
    <w:p w14:paraId="7655E7FA" w14:textId="77777777" w:rsidR="001C5CCD" w:rsidRPr="00344D90" w:rsidRDefault="001C5CCD" w:rsidP="00C43CBA">
      <w:pPr>
        <w:pStyle w:val="ACMAFigureHeader"/>
        <w:ind w:left="1136" w:hanging="1136"/>
      </w:pPr>
      <w:r w:rsidRPr="00344D90">
        <w:t>Table 5.7</w:t>
      </w:r>
      <w:r w:rsidRPr="00344D90">
        <w:tab/>
        <w:t>Percentage and number of faults repaired within CSG Standard time frames and appointment-keeping performance, 2016–17</w:t>
      </w:r>
    </w:p>
    <w:tbl>
      <w:tblPr>
        <w:tblStyle w:val="Commsreport2017"/>
        <w:tblW w:w="9184" w:type="dxa"/>
        <w:tblInd w:w="5" w:type="dxa"/>
        <w:tblLook w:val="04A0" w:firstRow="1" w:lastRow="0" w:firstColumn="1" w:lastColumn="0" w:noHBand="0" w:noVBand="1"/>
        <w:tblCaption w:val="Table 5.7 Percentage and number of faults repaired within CSG Standard time frames and appointment-keeping performance, 2016–17"/>
      </w:tblPr>
      <w:tblGrid>
        <w:gridCol w:w="1271"/>
        <w:gridCol w:w="1418"/>
        <w:gridCol w:w="1805"/>
        <w:gridCol w:w="1449"/>
        <w:gridCol w:w="1590"/>
        <w:gridCol w:w="1651"/>
      </w:tblGrid>
      <w:tr w:rsidR="001C5CCD" w:rsidRPr="00344D90" w14:paraId="7C43901D" w14:textId="77777777" w:rsidTr="00EC183A">
        <w:trPr>
          <w:cnfStyle w:val="100000000000" w:firstRow="1" w:lastRow="0" w:firstColumn="0" w:lastColumn="0" w:oddVBand="0" w:evenVBand="0" w:oddHBand="0" w:evenHBand="0" w:firstRowFirstColumn="0" w:firstRowLastColumn="0" w:lastRowFirstColumn="0" w:lastRowLastColumn="0"/>
          <w:trHeight w:val="231"/>
          <w:tblHeader/>
        </w:trPr>
        <w:tc>
          <w:tcPr>
            <w:cnfStyle w:val="001000000000" w:firstRow="0" w:lastRow="0" w:firstColumn="1" w:lastColumn="0" w:oddVBand="0" w:evenVBand="0" w:oddHBand="0" w:evenHBand="0" w:firstRowFirstColumn="0" w:firstRowLastColumn="0" w:lastRowFirstColumn="0" w:lastRowLastColumn="0"/>
            <w:tcW w:w="1271" w:type="dxa"/>
            <w:tcBorders>
              <w:top w:val="nil"/>
              <w:left w:val="nil"/>
              <w:bottom w:val="nil"/>
              <w:right w:val="nil"/>
            </w:tcBorders>
            <w:shd w:val="clear" w:color="auto" w:fill="FFFFFF" w:themeFill="background1"/>
            <w:tcMar>
              <w:top w:w="57" w:type="dxa"/>
              <w:left w:w="57" w:type="dxa"/>
              <w:bottom w:w="57" w:type="dxa"/>
              <w:right w:w="57" w:type="dxa"/>
            </w:tcMar>
            <w:hideMark/>
          </w:tcPr>
          <w:p w14:paraId="58B155A9" w14:textId="77777777" w:rsidR="001C5CCD" w:rsidRPr="00344D90" w:rsidRDefault="001C5CCD" w:rsidP="00C43CBA">
            <w:pPr>
              <w:spacing w:beforeLines="0" w:before="0" w:afterLines="0" w:after="0"/>
              <w:rPr>
                <w:rFonts w:cs="Arial"/>
                <w:b/>
                <w:color w:val="FFFFFF"/>
                <w:szCs w:val="18"/>
              </w:rPr>
            </w:pPr>
            <w:r w:rsidRPr="00344D90">
              <w:rPr>
                <w:rFonts w:cs="Arial"/>
                <w:bCs/>
                <w:color w:val="FFFFFF"/>
                <w:szCs w:val="18"/>
              </w:rPr>
              <w:t> </w:t>
            </w:r>
          </w:p>
        </w:tc>
        <w:tc>
          <w:tcPr>
            <w:tcW w:w="1418" w:type="dxa"/>
            <w:tcBorders>
              <w:top w:val="nil"/>
              <w:left w:val="nil"/>
              <w:bottom w:val="nil"/>
              <w:right w:val="nil"/>
            </w:tcBorders>
            <w:shd w:val="clear" w:color="auto" w:fill="FFFFFF" w:themeFill="background1"/>
            <w:tcMar>
              <w:top w:w="57" w:type="dxa"/>
              <w:left w:w="57" w:type="dxa"/>
              <w:bottom w:w="57" w:type="dxa"/>
              <w:right w:w="57" w:type="dxa"/>
            </w:tcMar>
            <w:hideMark/>
          </w:tcPr>
          <w:p w14:paraId="26300758" w14:textId="77777777" w:rsidR="001C5CCD" w:rsidRPr="00344D90" w:rsidRDefault="001C5CCD"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color w:val="FFFFFF"/>
                <w:szCs w:val="18"/>
              </w:rPr>
            </w:pPr>
            <w:r w:rsidRPr="00344D90">
              <w:rPr>
                <w:rFonts w:cs="Arial"/>
                <w:bCs/>
                <w:color w:val="FFFFFF"/>
                <w:szCs w:val="18"/>
              </w:rPr>
              <w:t> </w:t>
            </w:r>
          </w:p>
        </w:tc>
        <w:tc>
          <w:tcPr>
            <w:tcW w:w="4844" w:type="dxa"/>
            <w:gridSpan w:val="3"/>
            <w:tcBorders>
              <w:left w:val="nil"/>
            </w:tcBorders>
            <w:tcMar>
              <w:top w:w="57" w:type="dxa"/>
              <w:left w:w="57" w:type="dxa"/>
              <w:bottom w:w="57" w:type="dxa"/>
              <w:right w:w="57" w:type="dxa"/>
            </w:tcMar>
            <w:hideMark/>
          </w:tcPr>
          <w:p w14:paraId="1B96715F" w14:textId="77777777" w:rsidR="001C5CCD" w:rsidRPr="00344D90" w:rsidRDefault="001C5CCD" w:rsidP="00C43CBA">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Fault repairs</w:t>
            </w:r>
          </w:p>
        </w:tc>
        <w:tc>
          <w:tcPr>
            <w:tcW w:w="1651" w:type="dxa"/>
            <w:tcMar>
              <w:top w:w="57" w:type="dxa"/>
              <w:left w:w="57" w:type="dxa"/>
              <w:bottom w:w="57" w:type="dxa"/>
              <w:right w:w="57" w:type="dxa"/>
            </w:tcMar>
            <w:hideMark/>
          </w:tcPr>
          <w:p w14:paraId="7587F80A" w14:textId="77777777" w:rsidR="001C5CCD" w:rsidRPr="00344D90" w:rsidRDefault="001C5CCD" w:rsidP="00C43CBA">
            <w:pPr>
              <w:spacing w:beforeLines="0" w:before="0" w:afterLines="0" w:after="0"/>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Appointments*</w:t>
            </w:r>
          </w:p>
        </w:tc>
      </w:tr>
      <w:tr w:rsidR="001C5CCD" w:rsidRPr="00344D90" w14:paraId="1BB7A5A0" w14:textId="77777777" w:rsidTr="00A74165">
        <w:trPr>
          <w:trHeight w:val="202"/>
        </w:trPr>
        <w:tc>
          <w:tcPr>
            <w:cnfStyle w:val="001000000000" w:firstRow="0" w:lastRow="0" w:firstColumn="1" w:lastColumn="0" w:oddVBand="0" w:evenVBand="0" w:oddHBand="0" w:evenHBand="0" w:firstRowFirstColumn="0" w:firstRowLastColumn="0" w:lastRowFirstColumn="0" w:lastRowLastColumn="0"/>
            <w:tcW w:w="1271" w:type="dxa"/>
            <w:tcBorders>
              <w:top w:val="nil"/>
              <w:left w:val="nil"/>
              <w:bottom w:val="single" w:sz="4" w:space="0" w:color="BFBFBF" w:themeColor="background1" w:themeShade="BF"/>
              <w:right w:val="nil"/>
            </w:tcBorders>
            <w:shd w:val="clear" w:color="auto" w:fill="FFFFFF" w:themeFill="background1"/>
            <w:tcMar>
              <w:top w:w="57" w:type="dxa"/>
              <w:left w:w="57" w:type="dxa"/>
              <w:bottom w:w="57" w:type="dxa"/>
              <w:right w:w="57" w:type="dxa"/>
            </w:tcMar>
            <w:hideMark/>
          </w:tcPr>
          <w:p w14:paraId="46FCABBC" w14:textId="77777777" w:rsidR="001C5CCD" w:rsidRPr="00344D90" w:rsidRDefault="001C5CCD" w:rsidP="00C43CBA">
            <w:pPr>
              <w:spacing w:before="0" w:after="0"/>
              <w:rPr>
                <w:rFonts w:cs="Arial"/>
                <w:b/>
                <w:bCs/>
                <w:color w:val="000000"/>
                <w:szCs w:val="18"/>
              </w:rPr>
            </w:pPr>
            <w:r w:rsidRPr="00344D90">
              <w:rPr>
                <w:rFonts w:cs="Arial"/>
                <w:b/>
                <w:bCs/>
                <w:color w:val="000000"/>
                <w:szCs w:val="18"/>
              </w:rPr>
              <w:t> </w:t>
            </w:r>
          </w:p>
        </w:tc>
        <w:tc>
          <w:tcPr>
            <w:tcW w:w="1418" w:type="dxa"/>
            <w:tcBorders>
              <w:top w:val="nil"/>
              <w:left w:val="nil"/>
              <w:bottom w:val="single" w:sz="4" w:space="0" w:color="BFBFBF" w:themeColor="background1" w:themeShade="BF"/>
              <w:right w:val="nil"/>
            </w:tcBorders>
            <w:shd w:val="clear" w:color="auto" w:fill="FFFFFF" w:themeFill="background1"/>
            <w:tcMar>
              <w:top w:w="57" w:type="dxa"/>
              <w:left w:w="57" w:type="dxa"/>
              <w:bottom w:w="57" w:type="dxa"/>
              <w:right w:w="57" w:type="dxa"/>
            </w:tcMar>
            <w:hideMark/>
          </w:tcPr>
          <w:p w14:paraId="6655273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 </w:t>
            </w:r>
          </w:p>
        </w:tc>
        <w:tc>
          <w:tcPr>
            <w:tcW w:w="1805" w:type="dxa"/>
            <w:tcBorders>
              <w:left w:val="nil"/>
            </w:tcBorders>
            <w:shd w:val="clear" w:color="auto" w:fill="37897E"/>
            <w:tcMar>
              <w:top w:w="57" w:type="dxa"/>
              <w:left w:w="57" w:type="dxa"/>
              <w:bottom w:w="57" w:type="dxa"/>
              <w:right w:w="57" w:type="dxa"/>
            </w:tcMar>
            <w:hideMark/>
          </w:tcPr>
          <w:p w14:paraId="6BCEFDC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Urban areas</w:t>
            </w:r>
          </w:p>
        </w:tc>
        <w:tc>
          <w:tcPr>
            <w:tcW w:w="1449" w:type="dxa"/>
            <w:shd w:val="clear" w:color="auto" w:fill="37897E"/>
            <w:tcMar>
              <w:top w:w="57" w:type="dxa"/>
              <w:left w:w="57" w:type="dxa"/>
              <w:bottom w:w="57" w:type="dxa"/>
              <w:right w:w="57" w:type="dxa"/>
            </w:tcMar>
            <w:hideMark/>
          </w:tcPr>
          <w:p w14:paraId="7EEA214A"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Rural areas</w:t>
            </w:r>
          </w:p>
        </w:tc>
        <w:tc>
          <w:tcPr>
            <w:tcW w:w="1590" w:type="dxa"/>
            <w:shd w:val="clear" w:color="auto" w:fill="37897E"/>
            <w:tcMar>
              <w:top w:w="57" w:type="dxa"/>
              <w:left w:w="57" w:type="dxa"/>
              <w:bottom w:w="57" w:type="dxa"/>
              <w:right w:w="57" w:type="dxa"/>
            </w:tcMar>
            <w:hideMark/>
          </w:tcPr>
          <w:p w14:paraId="770C130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Remote areas</w:t>
            </w:r>
          </w:p>
        </w:tc>
        <w:tc>
          <w:tcPr>
            <w:tcW w:w="1651" w:type="dxa"/>
            <w:shd w:val="clear" w:color="auto" w:fill="37897E"/>
            <w:tcMar>
              <w:top w:w="57" w:type="dxa"/>
              <w:left w:w="57" w:type="dxa"/>
              <w:bottom w:w="57" w:type="dxa"/>
              <w:right w:w="57" w:type="dxa"/>
            </w:tcMar>
            <w:hideMark/>
          </w:tcPr>
          <w:p w14:paraId="2543238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 xml:space="preserve">All areas </w:t>
            </w:r>
          </w:p>
        </w:tc>
      </w:tr>
      <w:tr w:rsidR="001C5CCD" w:rsidRPr="00344D90" w14:paraId="426B6EDB" w14:textId="77777777" w:rsidTr="00A74165">
        <w:trPr>
          <w:trHeight w:val="150"/>
        </w:trPr>
        <w:tc>
          <w:tcPr>
            <w:cnfStyle w:val="001000000000" w:firstRow="0" w:lastRow="0" w:firstColumn="1" w:lastColumn="0" w:oddVBand="0" w:evenVBand="0" w:oddHBand="0" w:evenHBand="0" w:firstRowFirstColumn="0" w:firstRowLastColumn="0" w:lastRowFirstColumn="0" w:lastRowLastColumn="0"/>
            <w:tcW w:w="1271" w:type="dxa"/>
            <w:vMerge w:val="restart"/>
            <w:tcBorders>
              <w:top w:val="single" w:sz="4" w:space="0" w:color="BFBFBF" w:themeColor="background1" w:themeShade="BF"/>
            </w:tcBorders>
            <w:tcMar>
              <w:top w:w="57" w:type="dxa"/>
              <w:left w:w="57" w:type="dxa"/>
              <w:bottom w:w="57" w:type="dxa"/>
              <w:right w:w="57" w:type="dxa"/>
            </w:tcMar>
            <w:hideMark/>
          </w:tcPr>
          <w:p w14:paraId="6F59B6F3" w14:textId="77777777" w:rsidR="001C5CCD" w:rsidRPr="007D01D0" w:rsidRDefault="001C5CCD" w:rsidP="00C43CBA">
            <w:pPr>
              <w:spacing w:before="0" w:after="0"/>
              <w:rPr>
                <w:rFonts w:cs="Arial"/>
                <w:bCs/>
                <w:szCs w:val="18"/>
              </w:rPr>
            </w:pPr>
            <w:r w:rsidRPr="007D01D0">
              <w:rPr>
                <w:rFonts w:cs="Arial"/>
                <w:bCs/>
                <w:szCs w:val="18"/>
              </w:rPr>
              <w:t>iiNet</w:t>
            </w:r>
          </w:p>
        </w:tc>
        <w:tc>
          <w:tcPr>
            <w:tcW w:w="1418" w:type="dxa"/>
            <w:tcBorders>
              <w:top w:val="single" w:sz="4" w:space="0" w:color="BFBFBF" w:themeColor="background1" w:themeShade="BF"/>
            </w:tcBorders>
            <w:tcMar>
              <w:top w:w="57" w:type="dxa"/>
              <w:left w:w="57" w:type="dxa"/>
              <w:bottom w:w="57" w:type="dxa"/>
              <w:right w:w="57" w:type="dxa"/>
            </w:tcMar>
            <w:hideMark/>
          </w:tcPr>
          <w:p w14:paraId="5FCC819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w:t>
            </w:r>
          </w:p>
        </w:tc>
        <w:tc>
          <w:tcPr>
            <w:tcW w:w="1805" w:type="dxa"/>
            <w:tcMar>
              <w:top w:w="57" w:type="dxa"/>
              <w:left w:w="57" w:type="dxa"/>
              <w:bottom w:w="57" w:type="dxa"/>
              <w:right w:w="57" w:type="dxa"/>
            </w:tcMar>
            <w:hideMark/>
          </w:tcPr>
          <w:p w14:paraId="4394345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98.3</w:t>
            </w:r>
          </w:p>
        </w:tc>
        <w:tc>
          <w:tcPr>
            <w:tcW w:w="1449" w:type="dxa"/>
            <w:tcMar>
              <w:top w:w="57" w:type="dxa"/>
              <w:left w:w="57" w:type="dxa"/>
              <w:bottom w:w="57" w:type="dxa"/>
              <w:right w:w="57" w:type="dxa"/>
            </w:tcMar>
            <w:hideMark/>
          </w:tcPr>
          <w:p w14:paraId="27A8566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97.8</w:t>
            </w:r>
          </w:p>
        </w:tc>
        <w:tc>
          <w:tcPr>
            <w:tcW w:w="1590" w:type="dxa"/>
            <w:tcMar>
              <w:top w:w="57" w:type="dxa"/>
              <w:left w:w="57" w:type="dxa"/>
              <w:bottom w:w="57" w:type="dxa"/>
              <w:right w:w="57" w:type="dxa"/>
            </w:tcMar>
            <w:hideMark/>
          </w:tcPr>
          <w:p w14:paraId="0006953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100</w:t>
            </w:r>
            <w:r w:rsidR="00C37E38" w:rsidRPr="00344D90">
              <w:rPr>
                <w:rFonts w:cs="Arial"/>
                <w:color w:val="000000"/>
                <w:szCs w:val="18"/>
              </w:rPr>
              <w:t>.0</w:t>
            </w:r>
          </w:p>
        </w:tc>
        <w:tc>
          <w:tcPr>
            <w:tcW w:w="1651" w:type="dxa"/>
            <w:tcMar>
              <w:top w:w="57" w:type="dxa"/>
              <w:left w:w="57" w:type="dxa"/>
              <w:bottom w:w="57" w:type="dxa"/>
              <w:right w:w="57" w:type="dxa"/>
            </w:tcMar>
            <w:hideMark/>
          </w:tcPr>
          <w:p w14:paraId="1798226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100</w:t>
            </w:r>
            <w:r w:rsidR="00C37E38" w:rsidRPr="00344D90">
              <w:rPr>
                <w:rFonts w:cs="Arial"/>
                <w:color w:val="000000"/>
                <w:szCs w:val="18"/>
              </w:rPr>
              <w:t>.0</w:t>
            </w:r>
          </w:p>
        </w:tc>
      </w:tr>
      <w:tr w:rsidR="001C5CCD" w:rsidRPr="00344D90" w14:paraId="7B9EE3BF" w14:textId="77777777" w:rsidTr="00A74165">
        <w:trPr>
          <w:trHeight w:val="113"/>
        </w:trPr>
        <w:tc>
          <w:tcPr>
            <w:cnfStyle w:val="001000000000" w:firstRow="0" w:lastRow="0" w:firstColumn="1" w:lastColumn="0" w:oddVBand="0" w:evenVBand="0" w:oddHBand="0" w:evenHBand="0" w:firstRowFirstColumn="0" w:firstRowLastColumn="0" w:lastRowFirstColumn="0" w:lastRowLastColumn="0"/>
            <w:tcW w:w="1271" w:type="dxa"/>
            <w:vMerge/>
            <w:tcMar>
              <w:top w:w="57" w:type="dxa"/>
              <w:left w:w="57" w:type="dxa"/>
              <w:bottom w:w="57" w:type="dxa"/>
              <w:right w:w="57" w:type="dxa"/>
            </w:tcMar>
            <w:hideMark/>
          </w:tcPr>
          <w:p w14:paraId="2E888E9C" w14:textId="77777777" w:rsidR="001C5CCD" w:rsidRPr="007D01D0" w:rsidRDefault="001C5CCD" w:rsidP="00C43CBA">
            <w:pPr>
              <w:spacing w:before="0" w:after="0"/>
              <w:rPr>
                <w:rFonts w:cs="Arial"/>
                <w:bCs/>
                <w:szCs w:val="18"/>
              </w:rPr>
            </w:pPr>
          </w:p>
        </w:tc>
        <w:tc>
          <w:tcPr>
            <w:tcW w:w="1418" w:type="dxa"/>
            <w:tcMar>
              <w:top w:w="57" w:type="dxa"/>
              <w:left w:w="57" w:type="dxa"/>
              <w:bottom w:w="57" w:type="dxa"/>
              <w:right w:w="57" w:type="dxa"/>
            </w:tcMar>
            <w:hideMark/>
          </w:tcPr>
          <w:p w14:paraId="47D3D02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No.</w:t>
            </w:r>
          </w:p>
        </w:tc>
        <w:tc>
          <w:tcPr>
            <w:tcW w:w="1805" w:type="dxa"/>
            <w:tcMar>
              <w:top w:w="57" w:type="dxa"/>
              <w:left w:w="57" w:type="dxa"/>
              <w:bottom w:w="57" w:type="dxa"/>
              <w:right w:w="57" w:type="dxa"/>
            </w:tcMar>
            <w:hideMark/>
          </w:tcPr>
          <w:p w14:paraId="23E4A3E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48,953</w:t>
            </w:r>
          </w:p>
        </w:tc>
        <w:tc>
          <w:tcPr>
            <w:tcW w:w="1449" w:type="dxa"/>
            <w:tcMar>
              <w:top w:w="57" w:type="dxa"/>
              <w:left w:w="57" w:type="dxa"/>
              <w:bottom w:w="57" w:type="dxa"/>
              <w:right w:w="57" w:type="dxa"/>
            </w:tcMar>
            <w:hideMark/>
          </w:tcPr>
          <w:p w14:paraId="1570E94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8,918</w:t>
            </w:r>
          </w:p>
        </w:tc>
        <w:tc>
          <w:tcPr>
            <w:tcW w:w="1590" w:type="dxa"/>
            <w:tcMar>
              <w:top w:w="57" w:type="dxa"/>
              <w:left w:w="57" w:type="dxa"/>
              <w:bottom w:w="57" w:type="dxa"/>
              <w:right w:w="57" w:type="dxa"/>
            </w:tcMar>
            <w:hideMark/>
          </w:tcPr>
          <w:p w14:paraId="27B2152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43</w:t>
            </w:r>
          </w:p>
        </w:tc>
        <w:tc>
          <w:tcPr>
            <w:tcW w:w="1651" w:type="dxa"/>
            <w:tcMar>
              <w:top w:w="57" w:type="dxa"/>
              <w:left w:w="57" w:type="dxa"/>
              <w:bottom w:w="57" w:type="dxa"/>
              <w:right w:w="57" w:type="dxa"/>
            </w:tcMar>
            <w:hideMark/>
          </w:tcPr>
          <w:p w14:paraId="75E209C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36,545</w:t>
            </w:r>
          </w:p>
        </w:tc>
      </w:tr>
      <w:tr w:rsidR="001C5CCD" w:rsidRPr="00344D90" w14:paraId="6A0EAB43" w14:textId="77777777" w:rsidTr="00A74165">
        <w:trPr>
          <w:trHeight w:val="202"/>
        </w:trPr>
        <w:tc>
          <w:tcPr>
            <w:cnfStyle w:val="001000000000" w:firstRow="0" w:lastRow="0" w:firstColumn="1" w:lastColumn="0" w:oddVBand="0" w:evenVBand="0" w:oddHBand="0" w:evenHBand="0" w:firstRowFirstColumn="0" w:firstRowLastColumn="0" w:lastRowFirstColumn="0" w:lastRowLastColumn="0"/>
            <w:tcW w:w="1271" w:type="dxa"/>
            <w:vMerge w:val="restart"/>
            <w:tcMar>
              <w:top w:w="57" w:type="dxa"/>
              <w:left w:w="57" w:type="dxa"/>
              <w:bottom w:w="57" w:type="dxa"/>
              <w:right w:w="57" w:type="dxa"/>
            </w:tcMar>
            <w:hideMark/>
          </w:tcPr>
          <w:p w14:paraId="19941458" w14:textId="77777777" w:rsidR="001C5CCD" w:rsidRPr="007D01D0" w:rsidRDefault="001C5CCD" w:rsidP="00C43CBA">
            <w:pPr>
              <w:spacing w:before="0" w:after="0"/>
              <w:rPr>
                <w:rFonts w:cs="Arial"/>
                <w:bCs/>
                <w:szCs w:val="18"/>
              </w:rPr>
            </w:pPr>
            <w:r w:rsidRPr="007D01D0">
              <w:rPr>
                <w:rFonts w:cs="Arial"/>
                <w:bCs/>
                <w:szCs w:val="18"/>
              </w:rPr>
              <w:t>Optus</w:t>
            </w:r>
          </w:p>
        </w:tc>
        <w:tc>
          <w:tcPr>
            <w:tcW w:w="1418" w:type="dxa"/>
            <w:tcMar>
              <w:top w:w="57" w:type="dxa"/>
              <w:left w:w="57" w:type="dxa"/>
              <w:bottom w:w="57" w:type="dxa"/>
              <w:right w:w="57" w:type="dxa"/>
            </w:tcMar>
            <w:hideMark/>
          </w:tcPr>
          <w:p w14:paraId="60DD347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w:t>
            </w:r>
          </w:p>
        </w:tc>
        <w:tc>
          <w:tcPr>
            <w:tcW w:w="1805" w:type="dxa"/>
            <w:tcMar>
              <w:top w:w="57" w:type="dxa"/>
              <w:left w:w="57" w:type="dxa"/>
              <w:bottom w:w="57" w:type="dxa"/>
              <w:right w:w="57" w:type="dxa"/>
            </w:tcMar>
            <w:hideMark/>
          </w:tcPr>
          <w:p w14:paraId="21333B9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96.2</w:t>
            </w:r>
          </w:p>
        </w:tc>
        <w:tc>
          <w:tcPr>
            <w:tcW w:w="1449" w:type="dxa"/>
            <w:tcMar>
              <w:top w:w="57" w:type="dxa"/>
              <w:left w:w="57" w:type="dxa"/>
              <w:bottom w:w="57" w:type="dxa"/>
              <w:right w:w="57" w:type="dxa"/>
            </w:tcMar>
            <w:hideMark/>
          </w:tcPr>
          <w:p w14:paraId="4581A85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95.8</w:t>
            </w:r>
          </w:p>
        </w:tc>
        <w:tc>
          <w:tcPr>
            <w:tcW w:w="1590" w:type="dxa"/>
            <w:tcMar>
              <w:top w:w="57" w:type="dxa"/>
              <w:left w:w="57" w:type="dxa"/>
              <w:bottom w:w="57" w:type="dxa"/>
              <w:right w:w="57" w:type="dxa"/>
            </w:tcMar>
            <w:hideMark/>
          </w:tcPr>
          <w:p w14:paraId="1A24941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NQCSP</w:t>
            </w:r>
          </w:p>
        </w:tc>
        <w:tc>
          <w:tcPr>
            <w:tcW w:w="1651" w:type="dxa"/>
            <w:tcMar>
              <w:top w:w="57" w:type="dxa"/>
              <w:left w:w="57" w:type="dxa"/>
              <w:bottom w:w="57" w:type="dxa"/>
              <w:right w:w="57" w:type="dxa"/>
            </w:tcMar>
            <w:hideMark/>
          </w:tcPr>
          <w:p w14:paraId="0852C2FA"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99.2</w:t>
            </w:r>
          </w:p>
        </w:tc>
      </w:tr>
      <w:tr w:rsidR="001C5CCD" w:rsidRPr="00344D90" w14:paraId="2888ED7E" w14:textId="77777777" w:rsidTr="00A74165">
        <w:trPr>
          <w:trHeight w:val="150"/>
        </w:trPr>
        <w:tc>
          <w:tcPr>
            <w:cnfStyle w:val="001000000000" w:firstRow="0" w:lastRow="0" w:firstColumn="1" w:lastColumn="0" w:oddVBand="0" w:evenVBand="0" w:oddHBand="0" w:evenHBand="0" w:firstRowFirstColumn="0" w:firstRowLastColumn="0" w:lastRowFirstColumn="0" w:lastRowLastColumn="0"/>
            <w:tcW w:w="1271" w:type="dxa"/>
            <w:vMerge/>
            <w:tcMar>
              <w:top w:w="57" w:type="dxa"/>
              <w:left w:w="57" w:type="dxa"/>
              <w:bottom w:w="57" w:type="dxa"/>
              <w:right w:w="57" w:type="dxa"/>
            </w:tcMar>
            <w:hideMark/>
          </w:tcPr>
          <w:p w14:paraId="4FCD1D41" w14:textId="77777777" w:rsidR="001C5CCD" w:rsidRPr="007D01D0" w:rsidRDefault="001C5CCD" w:rsidP="00C43CBA">
            <w:pPr>
              <w:spacing w:before="0" w:after="0"/>
              <w:rPr>
                <w:rFonts w:cs="Arial"/>
                <w:bCs/>
                <w:szCs w:val="18"/>
              </w:rPr>
            </w:pPr>
          </w:p>
        </w:tc>
        <w:tc>
          <w:tcPr>
            <w:tcW w:w="1418" w:type="dxa"/>
            <w:tcMar>
              <w:top w:w="57" w:type="dxa"/>
              <w:left w:w="57" w:type="dxa"/>
              <w:bottom w:w="57" w:type="dxa"/>
              <w:right w:w="57" w:type="dxa"/>
            </w:tcMar>
            <w:hideMark/>
          </w:tcPr>
          <w:p w14:paraId="0AE8206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No.</w:t>
            </w:r>
          </w:p>
        </w:tc>
        <w:tc>
          <w:tcPr>
            <w:tcW w:w="1805" w:type="dxa"/>
            <w:tcMar>
              <w:top w:w="57" w:type="dxa"/>
              <w:left w:w="57" w:type="dxa"/>
              <w:bottom w:w="57" w:type="dxa"/>
              <w:right w:w="57" w:type="dxa"/>
            </w:tcMar>
            <w:hideMark/>
          </w:tcPr>
          <w:p w14:paraId="062EF3F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151,391</w:t>
            </w:r>
          </w:p>
        </w:tc>
        <w:tc>
          <w:tcPr>
            <w:tcW w:w="1449" w:type="dxa"/>
            <w:tcMar>
              <w:top w:w="57" w:type="dxa"/>
              <w:left w:w="57" w:type="dxa"/>
              <w:bottom w:w="57" w:type="dxa"/>
              <w:right w:w="57" w:type="dxa"/>
            </w:tcMar>
            <w:hideMark/>
          </w:tcPr>
          <w:p w14:paraId="5251420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1,169</w:t>
            </w:r>
          </w:p>
        </w:tc>
        <w:tc>
          <w:tcPr>
            <w:tcW w:w="1590" w:type="dxa"/>
            <w:tcMar>
              <w:top w:w="57" w:type="dxa"/>
              <w:left w:w="57" w:type="dxa"/>
              <w:bottom w:w="57" w:type="dxa"/>
              <w:right w:w="57" w:type="dxa"/>
            </w:tcMar>
            <w:hideMark/>
          </w:tcPr>
          <w:p w14:paraId="12602DA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NQCSP</w:t>
            </w:r>
          </w:p>
        </w:tc>
        <w:tc>
          <w:tcPr>
            <w:tcW w:w="1651" w:type="dxa"/>
            <w:tcMar>
              <w:top w:w="57" w:type="dxa"/>
              <w:left w:w="57" w:type="dxa"/>
              <w:bottom w:w="57" w:type="dxa"/>
              <w:right w:w="57" w:type="dxa"/>
            </w:tcMar>
            <w:hideMark/>
          </w:tcPr>
          <w:p w14:paraId="0EC4A20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202,050</w:t>
            </w:r>
          </w:p>
        </w:tc>
      </w:tr>
      <w:tr w:rsidR="001C5CCD" w:rsidRPr="00344D90" w14:paraId="4662D727" w14:textId="77777777" w:rsidTr="00A74165">
        <w:trPr>
          <w:trHeight w:val="112"/>
        </w:trPr>
        <w:tc>
          <w:tcPr>
            <w:cnfStyle w:val="001000000000" w:firstRow="0" w:lastRow="0" w:firstColumn="1" w:lastColumn="0" w:oddVBand="0" w:evenVBand="0" w:oddHBand="0" w:evenHBand="0" w:firstRowFirstColumn="0" w:firstRowLastColumn="0" w:lastRowFirstColumn="0" w:lastRowLastColumn="0"/>
            <w:tcW w:w="1271" w:type="dxa"/>
            <w:vMerge w:val="restart"/>
            <w:tcMar>
              <w:top w:w="57" w:type="dxa"/>
              <w:left w:w="57" w:type="dxa"/>
              <w:bottom w:w="57" w:type="dxa"/>
              <w:right w:w="57" w:type="dxa"/>
            </w:tcMar>
            <w:hideMark/>
          </w:tcPr>
          <w:p w14:paraId="280BB36C" w14:textId="77777777" w:rsidR="001C5CCD" w:rsidRPr="007D01D0" w:rsidRDefault="001C5CCD" w:rsidP="00C43CBA">
            <w:pPr>
              <w:spacing w:before="0" w:after="0"/>
              <w:rPr>
                <w:rFonts w:cs="Arial"/>
                <w:bCs/>
                <w:szCs w:val="18"/>
              </w:rPr>
            </w:pPr>
            <w:r w:rsidRPr="007D01D0">
              <w:rPr>
                <w:rFonts w:cs="Arial"/>
                <w:bCs/>
                <w:szCs w:val="18"/>
              </w:rPr>
              <w:t>Dodo</w:t>
            </w:r>
          </w:p>
        </w:tc>
        <w:tc>
          <w:tcPr>
            <w:tcW w:w="1418" w:type="dxa"/>
            <w:tcMar>
              <w:top w:w="57" w:type="dxa"/>
              <w:left w:w="57" w:type="dxa"/>
              <w:bottom w:w="57" w:type="dxa"/>
              <w:right w:w="57" w:type="dxa"/>
            </w:tcMar>
            <w:hideMark/>
          </w:tcPr>
          <w:p w14:paraId="63EEF5F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w:t>
            </w:r>
          </w:p>
        </w:tc>
        <w:tc>
          <w:tcPr>
            <w:tcW w:w="1805" w:type="dxa"/>
            <w:tcMar>
              <w:top w:w="57" w:type="dxa"/>
              <w:left w:w="57" w:type="dxa"/>
              <w:bottom w:w="57" w:type="dxa"/>
              <w:right w:w="57" w:type="dxa"/>
            </w:tcMar>
            <w:hideMark/>
          </w:tcPr>
          <w:p w14:paraId="6160279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100</w:t>
            </w:r>
            <w:r w:rsidR="00C37E38" w:rsidRPr="00344D90">
              <w:rPr>
                <w:rFonts w:cs="Arial"/>
                <w:color w:val="000000"/>
                <w:szCs w:val="18"/>
              </w:rPr>
              <w:t>.0</w:t>
            </w:r>
          </w:p>
        </w:tc>
        <w:tc>
          <w:tcPr>
            <w:tcW w:w="1449" w:type="dxa"/>
            <w:tcMar>
              <w:top w:w="57" w:type="dxa"/>
              <w:left w:w="57" w:type="dxa"/>
              <w:bottom w:w="57" w:type="dxa"/>
              <w:right w:w="57" w:type="dxa"/>
            </w:tcMar>
            <w:hideMark/>
          </w:tcPr>
          <w:p w14:paraId="40DB40D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100</w:t>
            </w:r>
            <w:r w:rsidR="00C37E38" w:rsidRPr="00344D90">
              <w:rPr>
                <w:rFonts w:cs="Arial"/>
                <w:color w:val="000000"/>
                <w:szCs w:val="18"/>
              </w:rPr>
              <w:t>.0</w:t>
            </w:r>
          </w:p>
        </w:tc>
        <w:tc>
          <w:tcPr>
            <w:tcW w:w="1590" w:type="dxa"/>
            <w:tcMar>
              <w:top w:w="57" w:type="dxa"/>
              <w:left w:w="57" w:type="dxa"/>
              <w:bottom w:w="57" w:type="dxa"/>
              <w:right w:w="57" w:type="dxa"/>
            </w:tcMar>
            <w:hideMark/>
          </w:tcPr>
          <w:p w14:paraId="36535D6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NQCSP</w:t>
            </w:r>
          </w:p>
        </w:tc>
        <w:tc>
          <w:tcPr>
            <w:tcW w:w="1651" w:type="dxa"/>
            <w:tcMar>
              <w:top w:w="57" w:type="dxa"/>
              <w:left w:w="57" w:type="dxa"/>
              <w:bottom w:w="57" w:type="dxa"/>
              <w:right w:w="57" w:type="dxa"/>
            </w:tcMar>
            <w:hideMark/>
          </w:tcPr>
          <w:p w14:paraId="37334EC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100</w:t>
            </w:r>
            <w:r w:rsidR="00C37E38" w:rsidRPr="00344D90">
              <w:rPr>
                <w:rFonts w:cs="Arial"/>
                <w:color w:val="000000"/>
                <w:szCs w:val="18"/>
              </w:rPr>
              <w:t>.0</w:t>
            </w:r>
          </w:p>
        </w:tc>
      </w:tr>
      <w:tr w:rsidR="001C5CCD" w:rsidRPr="00344D90" w14:paraId="78B83C93" w14:textId="77777777" w:rsidTr="00A74165">
        <w:trPr>
          <w:trHeight w:val="60"/>
        </w:trPr>
        <w:tc>
          <w:tcPr>
            <w:cnfStyle w:val="001000000000" w:firstRow="0" w:lastRow="0" w:firstColumn="1" w:lastColumn="0" w:oddVBand="0" w:evenVBand="0" w:oddHBand="0" w:evenHBand="0" w:firstRowFirstColumn="0" w:firstRowLastColumn="0" w:lastRowFirstColumn="0" w:lastRowLastColumn="0"/>
            <w:tcW w:w="1271" w:type="dxa"/>
            <w:vMerge/>
            <w:tcMar>
              <w:top w:w="57" w:type="dxa"/>
              <w:left w:w="57" w:type="dxa"/>
              <w:bottom w:w="57" w:type="dxa"/>
              <w:right w:w="57" w:type="dxa"/>
            </w:tcMar>
            <w:hideMark/>
          </w:tcPr>
          <w:p w14:paraId="58E4D459" w14:textId="77777777" w:rsidR="001C5CCD" w:rsidRPr="007D01D0" w:rsidRDefault="001C5CCD" w:rsidP="00C43CBA">
            <w:pPr>
              <w:spacing w:before="0" w:after="0"/>
              <w:rPr>
                <w:rFonts w:cs="Arial"/>
                <w:bCs/>
                <w:szCs w:val="18"/>
              </w:rPr>
            </w:pPr>
          </w:p>
        </w:tc>
        <w:tc>
          <w:tcPr>
            <w:tcW w:w="1418" w:type="dxa"/>
            <w:tcMar>
              <w:top w:w="57" w:type="dxa"/>
              <w:left w:w="57" w:type="dxa"/>
              <w:bottom w:w="57" w:type="dxa"/>
              <w:right w:w="57" w:type="dxa"/>
            </w:tcMar>
            <w:hideMark/>
          </w:tcPr>
          <w:p w14:paraId="5DB34AB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No.</w:t>
            </w:r>
          </w:p>
        </w:tc>
        <w:tc>
          <w:tcPr>
            <w:tcW w:w="1805" w:type="dxa"/>
            <w:tcMar>
              <w:top w:w="57" w:type="dxa"/>
              <w:left w:w="57" w:type="dxa"/>
              <w:bottom w:w="57" w:type="dxa"/>
              <w:right w:w="57" w:type="dxa"/>
            </w:tcMar>
            <w:hideMark/>
          </w:tcPr>
          <w:p w14:paraId="424686B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46,986</w:t>
            </w:r>
          </w:p>
        </w:tc>
        <w:tc>
          <w:tcPr>
            <w:tcW w:w="1449" w:type="dxa"/>
            <w:tcMar>
              <w:top w:w="57" w:type="dxa"/>
              <w:left w:w="57" w:type="dxa"/>
              <w:bottom w:w="57" w:type="dxa"/>
              <w:right w:w="57" w:type="dxa"/>
            </w:tcMar>
            <w:hideMark/>
          </w:tcPr>
          <w:p w14:paraId="26AB808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11,667</w:t>
            </w:r>
          </w:p>
        </w:tc>
        <w:tc>
          <w:tcPr>
            <w:tcW w:w="1590" w:type="dxa"/>
            <w:tcMar>
              <w:top w:w="57" w:type="dxa"/>
              <w:left w:w="57" w:type="dxa"/>
              <w:bottom w:w="57" w:type="dxa"/>
              <w:right w:w="57" w:type="dxa"/>
            </w:tcMar>
            <w:hideMark/>
          </w:tcPr>
          <w:p w14:paraId="1C6DED7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NQCSP</w:t>
            </w:r>
          </w:p>
        </w:tc>
        <w:tc>
          <w:tcPr>
            <w:tcW w:w="1651" w:type="dxa"/>
            <w:tcMar>
              <w:top w:w="57" w:type="dxa"/>
              <w:left w:w="57" w:type="dxa"/>
              <w:bottom w:w="57" w:type="dxa"/>
              <w:right w:w="57" w:type="dxa"/>
            </w:tcMar>
            <w:hideMark/>
          </w:tcPr>
          <w:p w14:paraId="403CD4B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137,461</w:t>
            </w:r>
          </w:p>
        </w:tc>
      </w:tr>
      <w:tr w:rsidR="001C5CCD" w:rsidRPr="00344D90" w14:paraId="3E6F5ED9" w14:textId="77777777" w:rsidTr="00A74165">
        <w:trPr>
          <w:trHeight w:val="20"/>
        </w:trPr>
        <w:tc>
          <w:tcPr>
            <w:cnfStyle w:val="001000000000" w:firstRow="0" w:lastRow="0" w:firstColumn="1" w:lastColumn="0" w:oddVBand="0" w:evenVBand="0" w:oddHBand="0" w:evenHBand="0" w:firstRowFirstColumn="0" w:firstRowLastColumn="0" w:lastRowFirstColumn="0" w:lastRowLastColumn="0"/>
            <w:tcW w:w="1271" w:type="dxa"/>
            <w:vMerge w:val="restart"/>
            <w:tcMar>
              <w:top w:w="57" w:type="dxa"/>
              <w:left w:w="57" w:type="dxa"/>
              <w:bottom w:w="57" w:type="dxa"/>
              <w:right w:w="57" w:type="dxa"/>
            </w:tcMar>
            <w:hideMark/>
          </w:tcPr>
          <w:p w14:paraId="4EF8CF09" w14:textId="77777777" w:rsidR="001C5CCD" w:rsidRPr="007D01D0" w:rsidRDefault="001C5CCD" w:rsidP="00C43CBA">
            <w:pPr>
              <w:spacing w:before="0" w:after="0"/>
              <w:rPr>
                <w:rFonts w:cs="Arial"/>
                <w:bCs/>
                <w:szCs w:val="18"/>
              </w:rPr>
            </w:pPr>
            <w:r w:rsidRPr="007D01D0">
              <w:rPr>
                <w:rFonts w:cs="Arial"/>
                <w:bCs/>
                <w:szCs w:val="18"/>
              </w:rPr>
              <w:t>Telstra</w:t>
            </w:r>
          </w:p>
        </w:tc>
        <w:tc>
          <w:tcPr>
            <w:tcW w:w="1418" w:type="dxa"/>
            <w:tcMar>
              <w:top w:w="57" w:type="dxa"/>
              <w:left w:w="57" w:type="dxa"/>
              <w:bottom w:w="57" w:type="dxa"/>
              <w:right w:w="57" w:type="dxa"/>
            </w:tcMar>
            <w:hideMark/>
          </w:tcPr>
          <w:p w14:paraId="3A2B5B0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w:t>
            </w:r>
          </w:p>
        </w:tc>
        <w:tc>
          <w:tcPr>
            <w:tcW w:w="1805" w:type="dxa"/>
            <w:tcMar>
              <w:top w:w="57" w:type="dxa"/>
              <w:left w:w="57" w:type="dxa"/>
              <w:bottom w:w="57" w:type="dxa"/>
              <w:right w:w="57" w:type="dxa"/>
            </w:tcMar>
            <w:hideMark/>
          </w:tcPr>
          <w:p w14:paraId="2C4FA4F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93.3</w:t>
            </w:r>
          </w:p>
        </w:tc>
        <w:tc>
          <w:tcPr>
            <w:tcW w:w="1449" w:type="dxa"/>
            <w:tcMar>
              <w:top w:w="57" w:type="dxa"/>
              <w:left w:w="57" w:type="dxa"/>
              <w:bottom w:w="57" w:type="dxa"/>
              <w:right w:w="57" w:type="dxa"/>
            </w:tcMar>
            <w:hideMark/>
          </w:tcPr>
          <w:p w14:paraId="06792D0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92.1</w:t>
            </w:r>
          </w:p>
        </w:tc>
        <w:tc>
          <w:tcPr>
            <w:tcW w:w="1590" w:type="dxa"/>
            <w:tcMar>
              <w:top w:w="57" w:type="dxa"/>
              <w:left w:w="57" w:type="dxa"/>
              <w:bottom w:w="57" w:type="dxa"/>
              <w:right w:w="57" w:type="dxa"/>
            </w:tcMar>
            <w:hideMark/>
          </w:tcPr>
          <w:p w14:paraId="71C1BC2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92.5</w:t>
            </w:r>
          </w:p>
        </w:tc>
        <w:tc>
          <w:tcPr>
            <w:tcW w:w="1651" w:type="dxa"/>
            <w:tcMar>
              <w:top w:w="57" w:type="dxa"/>
              <w:left w:w="57" w:type="dxa"/>
              <w:bottom w:w="57" w:type="dxa"/>
              <w:right w:w="57" w:type="dxa"/>
            </w:tcMar>
            <w:hideMark/>
          </w:tcPr>
          <w:p w14:paraId="305B6CF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96.2</w:t>
            </w:r>
          </w:p>
        </w:tc>
      </w:tr>
      <w:tr w:rsidR="001C5CCD" w:rsidRPr="00344D90" w14:paraId="7DB571E5" w14:textId="77777777" w:rsidTr="00A74165">
        <w:trPr>
          <w:trHeight w:val="112"/>
        </w:trPr>
        <w:tc>
          <w:tcPr>
            <w:cnfStyle w:val="001000000000" w:firstRow="0" w:lastRow="0" w:firstColumn="1" w:lastColumn="0" w:oddVBand="0" w:evenVBand="0" w:oddHBand="0" w:evenHBand="0" w:firstRowFirstColumn="0" w:firstRowLastColumn="0" w:lastRowFirstColumn="0" w:lastRowLastColumn="0"/>
            <w:tcW w:w="1271" w:type="dxa"/>
            <w:vMerge/>
            <w:tcMar>
              <w:top w:w="57" w:type="dxa"/>
              <w:left w:w="57" w:type="dxa"/>
              <w:bottom w:w="57" w:type="dxa"/>
              <w:right w:w="57" w:type="dxa"/>
            </w:tcMar>
            <w:hideMark/>
          </w:tcPr>
          <w:p w14:paraId="519689FD" w14:textId="77777777" w:rsidR="001C5CCD" w:rsidRPr="00344D90" w:rsidRDefault="001C5CCD" w:rsidP="00C43CBA">
            <w:pPr>
              <w:spacing w:before="0" w:after="0"/>
              <w:rPr>
                <w:rFonts w:cs="Arial"/>
                <w:b/>
                <w:bCs/>
                <w:szCs w:val="18"/>
              </w:rPr>
            </w:pPr>
          </w:p>
        </w:tc>
        <w:tc>
          <w:tcPr>
            <w:tcW w:w="1418" w:type="dxa"/>
            <w:tcMar>
              <w:top w:w="57" w:type="dxa"/>
              <w:left w:w="57" w:type="dxa"/>
              <w:bottom w:w="57" w:type="dxa"/>
              <w:right w:w="57" w:type="dxa"/>
            </w:tcMar>
            <w:hideMark/>
          </w:tcPr>
          <w:p w14:paraId="1738A2FA"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themeColor="text1"/>
                <w:szCs w:val="18"/>
              </w:rPr>
            </w:pPr>
            <w:r w:rsidRPr="00344D90">
              <w:rPr>
                <w:rFonts w:cs="Arial"/>
                <w:color w:val="000000" w:themeColor="text1"/>
                <w:szCs w:val="18"/>
              </w:rPr>
              <w:t>No.</w:t>
            </w:r>
          </w:p>
        </w:tc>
        <w:tc>
          <w:tcPr>
            <w:tcW w:w="1805" w:type="dxa"/>
            <w:tcMar>
              <w:top w:w="57" w:type="dxa"/>
              <w:left w:w="57" w:type="dxa"/>
              <w:bottom w:w="57" w:type="dxa"/>
              <w:right w:w="57" w:type="dxa"/>
            </w:tcMar>
            <w:hideMark/>
          </w:tcPr>
          <w:p w14:paraId="72D1122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385,547</w:t>
            </w:r>
          </w:p>
        </w:tc>
        <w:tc>
          <w:tcPr>
            <w:tcW w:w="1449" w:type="dxa"/>
            <w:tcMar>
              <w:top w:w="57" w:type="dxa"/>
              <w:left w:w="57" w:type="dxa"/>
              <w:bottom w:w="57" w:type="dxa"/>
              <w:right w:w="57" w:type="dxa"/>
            </w:tcMar>
            <w:hideMark/>
          </w:tcPr>
          <w:p w14:paraId="59B2715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128,627</w:t>
            </w:r>
          </w:p>
        </w:tc>
        <w:tc>
          <w:tcPr>
            <w:tcW w:w="1590" w:type="dxa"/>
            <w:tcMar>
              <w:top w:w="57" w:type="dxa"/>
              <w:left w:w="57" w:type="dxa"/>
              <w:bottom w:w="57" w:type="dxa"/>
              <w:right w:w="57" w:type="dxa"/>
            </w:tcMar>
            <w:hideMark/>
          </w:tcPr>
          <w:p w14:paraId="2DB38E6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2,229</w:t>
            </w:r>
          </w:p>
        </w:tc>
        <w:tc>
          <w:tcPr>
            <w:tcW w:w="1651" w:type="dxa"/>
            <w:tcMar>
              <w:top w:w="57" w:type="dxa"/>
              <w:left w:w="57" w:type="dxa"/>
              <w:bottom w:w="57" w:type="dxa"/>
              <w:right w:w="57" w:type="dxa"/>
            </w:tcMar>
            <w:hideMark/>
          </w:tcPr>
          <w:p w14:paraId="5C6A867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488,122</w:t>
            </w:r>
          </w:p>
        </w:tc>
      </w:tr>
    </w:tbl>
    <w:p w14:paraId="34DF6942" w14:textId="77777777" w:rsidR="001C5CCD" w:rsidRPr="00344D90" w:rsidRDefault="001C5CCD" w:rsidP="00A50E34">
      <w:pPr>
        <w:pStyle w:val="ACMANotes"/>
        <w:spacing w:before="120"/>
      </w:pPr>
      <w:r w:rsidRPr="00344D90">
        <w:t>NQCSP=Not a qualifying CSP (QCSP)</w:t>
      </w:r>
      <w:r w:rsidR="008921E3" w:rsidRPr="00344D90">
        <w:t xml:space="preserve">; </w:t>
      </w:r>
      <w:r w:rsidRPr="00344D90">
        <w:t>*New service connections and fault repairs.</w:t>
      </w:r>
    </w:p>
    <w:p w14:paraId="79D5E79C" w14:textId="77777777" w:rsidR="001C5CCD" w:rsidRPr="00344D90" w:rsidRDefault="001C5CCD" w:rsidP="001C5CCD">
      <w:pPr>
        <w:pStyle w:val="ACMANotes"/>
      </w:pPr>
      <w:r w:rsidRPr="00344D90">
        <w:t>Note 1: Commencing in 2012–13, QCSPs were required to record the number of requests that were not complied with within the applicable performance time frames and to identify if the CSP’s failure to do so was wholly or partly attributable to one or more acts or omissions by another CSP.</w:t>
      </w:r>
    </w:p>
    <w:p w14:paraId="1E233553" w14:textId="77777777" w:rsidR="001C5CCD" w:rsidRPr="00344D90" w:rsidRDefault="001C5CCD" w:rsidP="001C5CCD">
      <w:pPr>
        <w:pStyle w:val="ACMANotes"/>
      </w:pPr>
      <w:r w:rsidRPr="00344D90">
        <w:t>Note 2: Location-specific thresholds are met if a QCSP supplied 10,000 or more CSG services in urban areas, 1,000 or more CSG services in rural areas, 500 or more CSG services in remote areas.</w:t>
      </w:r>
    </w:p>
    <w:p w14:paraId="47C16920" w14:textId="77777777" w:rsidR="001C5CCD" w:rsidRPr="00344D90" w:rsidRDefault="001C5CCD" w:rsidP="00C43CBA">
      <w:pPr>
        <w:pStyle w:val="ACMANotesspaceafter"/>
        <w:spacing w:after="360"/>
      </w:pPr>
      <w:r w:rsidRPr="00344D90">
        <w:t>Source: CSP data.</w:t>
      </w:r>
    </w:p>
    <w:p w14:paraId="61EABE66" w14:textId="77777777" w:rsidR="00A53190" w:rsidRPr="00B23C52" w:rsidRDefault="001C5CCD" w:rsidP="00525CA5">
      <w:pPr>
        <w:spacing w:after="220"/>
      </w:pPr>
      <w:r w:rsidRPr="00344D90">
        <w:rPr>
          <w:rFonts w:cs="Arial"/>
        </w:rPr>
        <w:t xml:space="preserve">Table 5.8 shows the number of new service and in-place connections, fault repairs and appointments for iiNet, Optus, iPrimus, Telstra and Dodo over the previous two financial years </w:t>
      </w:r>
      <w:r w:rsidRPr="00B23C52">
        <w:rPr>
          <w:rFonts w:cs="Arial"/>
        </w:rPr>
        <w:t xml:space="preserve">(2015–16 and 2016–17). </w:t>
      </w:r>
      <w:r w:rsidRPr="00B23C52">
        <w:t xml:space="preserve">Most notably, the number of in-place connections by iiNet more than halved (57 per cent) in the year to June 2017. iiNet advised this decline reflects a technology shift away from in-place connections to full utilisation of Enhanced Vacant Unbundled Local Loop (eVULL). </w:t>
      </w:r>
    </w:p>
    <w:p w14:paraId="05973DBA" w14:textId="06AA3EB8" w:rsidR="001C5CCD" w:rsidRPr="0043118F" w:rsidRDefault="001C5CCD" w:rsidP="00525CA5">
      <w:pPr>
        <w:spacing w:after="220"/>
      </w:pPr>
      <w:r w:rsidRPr="00B23C52">
        <w:rPr>
          <w:iCs/>
        </w:rPr>
        <w:t>Prior to November 2015, iiNet was not fully utilising the eVULL process and</w:t>
      </w:r>
      <w:r w:rsidR="008921E3" w:rsidRPr="00B23C52">
        <w:rPr>
          <w:iCs/>
        </w:rPr>
        <w:t>,</w:t>
      </w:r>
      <w:r w:rsidRPr="00B23C52">
        <w:rPr>
          <w:iCs/>
        </w:rPr>
        <w:t xml:space="preserve"> as such</w:t>
      </w:r>
      <w:r w:rsidR="008921E3" w:rsidRPr="00B23C52">
        <w:rPr>
          <w:iCs/>
        </w:rPr>
        <w:t>,</w:t>
      </w:r>
      <w:r w:rsidRPr="00B23C52">
        <w:rPr>
          <w:iCs/>
        </w:rPr>
        <w:t xml:space="preserve"> all </w:t>
      </w:r>
      <w:r w:rsidR="00B23C52" w:rsidRPr="00B23C52">
        <w:rPr>
          <w:iCs/>
        </w:rPr>
        <w:t>n</w:t>
      </w:r>
      <w:r w:rsidRPr="00B23C52">
        <w:rPr>
          <w:iCs/>
        </w:rPr>
        <w:t>aked connections before the said date were connected as in-place connections and then tran</w:t>
      </w:r>
      <w:r w:rsidR="00B23C52" w:rsidRPr="00B23C52">
        <w:rPr>
          <w:iCs/>
        </w:rPr>
        <w:t>sferred to ULL. Currently, all n</w:t>
      </w:r>
      <w:r w:rsidRPr="00B23C52">
        <w:rPr>
          <w:iCs/>
        </w:rPr>
        <w:t>aked connections are being connected directly via the eVULL process. This shift has</w:t>
      </w:r>
      <w:r w:rsidRPr="00344D90">
        <w:rPr>
          <w:iCs/>
        </w:rPr>
        <w:t xml:space="preserve"> driven the declining trend of in-place connection requests evident in the data.</w:t>
      </w:r>
    </w:p>
    <w:p w14:paraId="1627C6EA" w14:textId="77777777" w:rsidR="001C5CCD" w:rsidRPr="00300809" w:rsidRDefault="001C5CCD" w:rsidP="00C43CBA">
      <w:pPr>
        <w:pStyle w:val="ACMATableHeader"/>
        <w:keepNext/>
        <w:numPr>
          <w:ilvl w:val="0"/>
          <w:numId w:val="0"/>
        </w:numPr>
        <w:ind w:left="1136" w:hanging="1136"/>
      </w:pPr>
      <w:r w:rsidRPr="00344D90">
        <w:t>Table 5.8</w:t>
      </w:r>
      <w:r w:rsidRPr="00344D90">
        <w:tab/>
        <w:t>New service connections, in-place connections and fault repairs requested</w:t>
      </w:r>
      <w:r w:rsidR="00525CA5" w:rsidRPr="00300809">
        <w:t>,</w:t>
      </w:r>
      <w:r w:rsidRPr="00300809">
        <w:t xml:space="preserve"> and appointments made at the national level</w:t>
      </w:r>
    </w:p>
    <w:tbl>
      <w:tblPr>
        <w:tblStyle w:val="Commsreport2017"/>
        <w:tblW w:w="5180" w:type="pct"/>
        <w:tblInd w:w="95" w:type="dxa"/>
        <w:tblLayout w:type="fixed"/>
        <w:tblLook w:val="04A0" w:firstRow="1" w:lastRow="0" w:firstColumn="1" w:lastColumn="0" w:noHBand="0" w:noVBand="1"/>
        <w:tblCaption w:val="Table 5.8 New service connections, in-place connections and fault repairs requested, and appointments made at the national level"/>
      </w:tblPr>
      <w:tblGrid>
        <w:gridCol w:w="1911"/>
        <w:gridCol w:w="971"/>
        <w:gridCol w:w="973"/>
        <w:gridCol w:w="971"/>
        <w:gridCol w:w="973"/>
        <w:gridCol w:w="971"/>
        <w:gridCol w:w="973"/>
        <w:gridCol w:w="971"/>
        <w:gridCol w:w="973"/>
      </w:tblGrid>
      <w:tr w:rsidR="00F65D12" w:rsidRPr="00344D90" w14:paraId="3DE30B1B" w14:textId="77777777" w:rsidTr="00EC183A">
        <w:trPr>
          <w:cnfStyle w:val="100000000000" w:firstRow="1" w:lastRow="0" w:firstColumn="0" w:lastColumn="0" w:oddVBand="0" w:evenVBand="0" w:oddHBand="0" w:evenHBand="0" w:firstRowFirstColumn="0" w:firstRowLastColumn="0" w:lastRowFirstColumn="0" w:lastRowLastColumn="0"/>
          <w:trHeight w:val="234"/>
          <w:tblHeader/>
        </w:trPr>
        <w:tc>
          <w:tcPr>
            <w:cnfStyle w:val="001000000000" w:firstRow="0" w:lastRow="0" w:firstColumn="1" w:lastColumn="0" w:oddVBand="0" w:evenVBand="0" w:oddHBand="0" w:evenHBand="0" w:firstRowFirstColumn="0" w:firstRowLastColumn="0" w:lastRowFirstColumn="0" w:lastRowLastColumn="0"/>
            <w:tcW w:w="987" w:type="pct"/>
            <w:tcBorders>
              <w:top w:val="nil"/>
              <w:left w:val="nil"/>
              <w:bottom w:val="nil"/>
              <w:right w:val="nil"/>
            </w:tcBorders>
            <w:shd w:val="clear" w:color="auto" w:fill="FFFFFF" w:themeFill="background1"/>
            <w:tcMar>
              <w:top w:w="57" w:type="dxa"/>
              <w:left w:w="57" w:type="dxa"/>
              <w:bottom w:w="57" w:type="dxa"/>
              <w:right w:w="57" w:type="dxa"/>
            </w:tcMar>
          </w:tcPr>
          <w:p w14:paraId="686E2168" w14:textId="77777777" w:rsidR="00F65D12" w:rsidRPr="00344D90" w:rsidRDefault="00F65D12" w:rsidP="004D50F8">
            <w:pPr>
              <w:spacing w:beforeLines="0" w:before="0" w:afterLines="0" w:after="0"/>
              <w:rPr>
                <w:rFonts w:cs="Arial"/>
                <w:color w:val="000000"/>
                <w:szCs w:val="18"/>
              </w:rPr>
            </w:pPr>
          </w:p>
        </w:tc>
        <w:tc>
          <w:tcPr>
            <w:tcW w:w="1003" w:type="pct"/>
            <w:gridSpan w:val="2"/>
            <w:tcBorders>
              <w:left w:val="nil"/>
            </w:tcBorders>
            <w:tcMar>
              <w:top w:w="57" w:type="dxa"/>
              <w:left w:w="57" w:type="dxa"/>
              <w:bottom w:w="57" w:type="dxa"/>
              <w:right w:w="57" w:type="dxa"/>
            </w:tcMar>
          </w:tcPr>
          <w:p w14:paraId="1D84EADC" w14:textId="26179762" w:rsidR="00F65D12" w:rsidRPr="00344D90" w:rsidRDefault="00F65D12" w:rsidP="004D50F8">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4D50F8">
              <w:rPr>
                <w:rFonts w:cs="Arial"/>
                <w:b/>
                <w:bCs/>
                <w:color w:val="FFFFFF"/>
                <w:szCs w:val="18"/>
              </w:rPr>
              <w:t>iiNet</w:t>
            </w:r>
          </w:p>
        </w:tc>
        <w:tc>
          <w:tcPr>
            <w:tcW w:w="1003" w:type="pct"/>
            <w:gridSpan w:val="2"/>
            <w:tcMar>
              <w:top w:w="57" w:type="dxa"/>
              <w:left w:w="57" w:type="dxa"/>
              <w:bottom w:w="57" w:type="dxa"/>
              <w:right w:w="57" w:type="dxa"/>
            </w:tcMar>
          </w:tcPr>
          <w:p w14:paraId="29F8C846" w14:textId="721759DF" w:rsidR="00F65D12" w:rsidRPr="00344D90" w:rsidRDefault="00F65D12" w:rsidP="004D50F8">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4D50F8">
              <w:rPr>
                <w:rFonts w:cs="Arial"/>
                <w:b/>
                <w:bCs/>
                <w:color w:val="FFFFFF"/>
                <w:szCs w:val="18"/>
              </w:rPr>
              <w:t>Optus</w:t>
            </w:r>
          </w:p>
        </w:tc>
        <w:tc>
          <w:tcPr>
            <w:tcW w:w="1003" w:type="pct"/>
            <w:gridSpan w:val="2"/>
            <w:tcMar>
              <w:top w:w="57" w:type="dxa"/>
              <w:left w:w="57" w:type="dxa"/>
              <w:bottom w:w="57" w:type="dxa"/>
              <w:right w:w="57" w:type="dxa"/>
            </w:tcMar>
          </w:tcPr>
          <w:p w14:paraId="40DD92B9" w14:textId="04DFC6F6" w:rsidR="00F65D12" w:rsidRPr="00344D90" w:rsidRDefault="00F65D12" w:rsidP="004D50F8">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4D50F8">
              <w:rPr>
                <w:rFonts w:cs="Arial"/>
                <w:b/>
                <w:bCs/>
                <w:color w:val="FFFFFF"/>
                <w:szCs w:val="18"/>
              </w:rPr>
              <w:t>Dodo</w:t>
            </w:r>
          </w:p>
        </w:tc>
        <w:tc>
          <w:tcPr>
            <w:tcW w:w="1003" w:type="pct"/>
            <w:gridSpan w:val="2"/>
            <w:tcMar>
              <w:top w:w="57" w:type="dxa"/>
              <w:left w:w="57" w:type="dxa"/>
              <w:bottom w:w="57" w:type="dxa"/>
              <w:right w:w="57" w:type="dxa"/>
            </w:tcMar>
          </w:tcPr>
          <w:p w14:paraId="6E2934FF" w14:textId="17E08417" w:rsidR="00F65D12" w:rsidRPr="00344D90" w:rsidRDefault="00F65D12" w:rsidP="004D50F8">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4D50F8">
              <w:rPr>
                <w:rFonts w:cs="Arial"/>
                <w:b/>
                <w:bCs/>
                <w:color w:val="FFFFFF"/>
                <w:szCs w:val="18"/>
              </w:rPr>
              <w:t>Telstra</w:t>
            </w:r>
          </w:p>
        </w:tc>
      </w:tr>
      <w:tr w:rsidR="00C6256D" w:rsidRPr="00344D90" w14:paraId="1C90DF09" w14:textId="77777777" w:rsidTr="00BE6FCF">
        <w:trPr>
          <w:trHeight w:val="140"/>
        </w:trPr>
        <w:tc>
          <w:tcPr>
            <w:cnfStyle w:val="001000000000" w:firstRow="0" w:lastRow="0" w:firstColumn="1" w:lastColumn="0" w:oddVBand="0" w:evenVBand="0" w:oddHBand="0" w:evenHBand="0" w:firstRowFirstColumn="0" w:firstRowLastColumn="0" w:lastRowFirstColumn="0" w:lastRowLastColumn="0"/>
            <w:tcW w:w="987" w:type="pct"/>
            <w:tcBorders>
              <w:top w:val="nil"/>
              <w:left w:val="nil"/>
              <w:bottom w:val="single" w:sz="4" w:space="0" w:color="BFBFBF" w:themeColor="background1" w:themeShade="BF"/>
              <w:right w:val="nil"/>
            </w:tcBorders>
            <w:shd w:val="clear" w:color="auto" w:fill="FFFFFF" w:themeFill="background1"/>
            <w:tcMar>
              <w:top w:w="57" w:type="dxa"/>
              <w:left w:w="57" w:type="dxa"/>
              <w:bottom w:w="57" w:type="dxa"/>
              <w:right w:w="57" w:type="dxa"/>
            </w:tcMar>
            <w:hideMark/>
          </w:tcPr>
          <w:p w14:paraId="641B4063" w14:textId="77777777" w:rsidR="001C5CCD" w:rsidRPr="00344D90" w:rsidRDefault="001C5CCD" w:rsidP="004D50F8">
            <w:pPr>
              <w:spacing w:before="0" w:after="0"/>
              <w:rPr>
                <w:rFonts w:cs="Arial"/>
                <w:color w:val="000000"/>
                <w:szCs w:val="18"/>
              </w:rPr>
            </w:pPr>
          </w:p>
        </w:tc>
        <w:tc>
          <w:tcPr>
            <w:tcW w:w="501" w:type="pct"/>
            <w:tcBorders>
              <w:left w:val="nil"/>
              <w:bottom w:val="single" w:sz="4" w:space="0" w:color="BFBFBF" w:themeColor="background1" w:themeShade="BF"/>
            </w:tcBorders>
            <w:shd w:val="clear" w:color="auto" w:fill="37897E"/>
            <w:tcMar>
              <w:top w:w="57" w:type="dxa"/>
              <w:left w:w="57" w:type="dxa"/>
              <w:bottom w:w="57" w:type="dxa"/>
              <w:right w:w="57" w:type="dxa"/>
            </w:tcMar>
            <w:hideMark/>
          </w:tcPr>
          <w:p w14:paraId="0482106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2015–16</w:t>
            </w:r>
          </w:p>
        </w:tc>
        <w:tc>
          <w:tcPr>
            <w:tcW w:w="502" w:type="pct"/>
            <w:shd w:val="clear" w:color="auto" w:fill="37897E"/>
            <w:tcMar>
              <w:top w:w="57" w:type="dxa"/>
              <w:left w:w="57" w:type="dxa"/>
              <w:bottom w:w="57" w:type="dxa"/>
              <w:right w:w="57" w:type="dxa"/>
            </w:tcMar>
            <w:hideMark/>
          </w:tcPr>
          <w:p w14:paraId="0CBBEB41"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2016–17</w:t>
            </w:r>
          </w:p>
        </w:tc>
        <w:tc>
          <w:tcPr>
            <w:tcW w:w="501" w:type="pct"/>
            <w:shd w:val="clear" w:color="auto" w:fill="37897E"/>
            <w:tcMar>
              <w:top w:w="57" w:type="dxa"/>
              <w:left w:w="57" w:type="dxa"/>
              <w:bottom w:w="57" w:type="dxa"/>
              <w:right w:w="57" w:type="dxa"/>
            </w:tcMar>
            <w:hideMark/>
          </w:tcPr>
          <w:p w14:paraId="203CDA0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2015–16</w:t>
            </w:r>
          </w:p>
        </w:tc>
        <w:tc>
          <w:tcPr>
            <w:tcW w:w="502" w:type="pct"/>
            <w:shd w:val="clear" w:color="auto" w:fill="37897E"/>
            <w:tcMar>
              <w:top w:w="57" w:type="dxa"/>
              <w:left w:w="57" w:type="dxa"/>
              <w:bottom w:w="57" w:type="dxa"/>
              <w:right w:w="57" w:type="dxa"/>
            </w:tcMar>
            <w:hideMark/>
          </w:tcPr>
          <w:p w14:paraId="598622D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2016–17</w:t>
            </w:r>
          </w:p>
        </w:tc>
        <w:tc>
          <w:tcPr>
            <w:tcW w:w="501" w:type="pct"/>
            <w:shd w:val="clear" w:color="auto" w:fill="37897E"/>
            <w:tcMar>
              <w:top w:w="57" w:type="dxa"/>
              <w:left w:w="57" w:type="dxa"/>
              <w:bottom w:w="57" w:type="dxa"/>
              <w:right w:w="57" w:type="dxa"/>
            </w:tcMar>
            <w:hideMark/>
          </w:tcPr>
          <w:p w14:paraId="09F2ED6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2015–16</w:t>
            </w:r>
          </w:p>
        </w:tc>
        <w:tc>
          <w:tcPr>
            <w:tcW w:w="502" w:type="pct"/>
            <w:shd w:val="clear" w:color="auto" w:fill="37897E"/>
            <w:tcMar>
              <w:top w:w="57" w:type="dxa"/>
              <w:left w:w="57" w:type="dxa"/>
              <w:bottom w:w="57" w:type="dxa"/>
              <w:right w:w="57" w:type="dxa"/>
            </w:tcMar>
            <w:hideMark/>
          </w:tcPr>
          <w:p w14:paraId="4789EF0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2016–17</w:t>
            </w:r>
          </w:p>
        </w:tc>
        <w:tc>
          <w:tcPr>
            <w:tcW w:w="501" w:type="pct"/>
            <w:shd w:val="clear" w:color="auto" w:fill="37897E"/>
            <w:tcMar>
              <w:top w:w="57" w:type="dxa"/>
              <w:left w:w="57" w:type="dxa"/>
              <w:bottom w:w="57" w:type="dxa"/>
              <w:right w:w="57" w:type="dxa"/>
            </w:tcMar>
            <w:hideMark/>
          </w:tcPr>
          <w:p w14:paraId="11A3568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2015–16</w:t>
            </w:r>
          </w:p>
        </w:tc>
        <w:tc>
          <w:tcPr>
            <w:tcW w:w="502" w:type="pct"/>
            <w:shd w:val="clear" w:color="auto" w:fill="37897E"/>
            <w:tcMar>
              <w:top w:w="57" w:type="dxa"/>
              <w:left w:w="57" w:type="dxa"/>
              <w:bottom w:w="57" w:type="dxa"/>
              <w:right w:w="57" w:type="dxa"/>
            </w:tcMar>
            <w:hideMark/>
          </w:tcPr>
          <w:p w14:paraId="423C40DB"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2016–17</w:t>
            </w:r>
          </w:p>
        </w:tc>
      </w:tr>
      <w:tr w:rsidR="001C5CCD" w:rsidRPr="00344D90" w14:paraId="7C43B58C" w14:textId="77777777" w:rsidTr="00BE6FCF">
        <w:trPr>
          <w:trHeight w:val="230"/>
        </w:trPr>
        <w:tc>
          <w:tcPr>
            <w:cnfStyle w:val="001000000000" w:firstRow="0" w:lastRow="0" w:firstColumn="1" w:lastColumn="0" w:oddVBand="0" w:evenVBand="0" w:oddHBand="0" w:evenHBand="0" w:firstRowFirstColumn="0" w:firstRowLastColumn="0" w:lastRowFirstColumn="0" w:lastRowLastColumn="0"/>
            <w:tcW w:w="987" w:type="pct"/>
            <w:tcBorders>
              <w:top w:val="single" w:sz="4" w:space="0" w:color="BFBFBF" w:themeColor="background1" w:themeShade="BF"/>
            </w:tcBorders>
            <w:tcMar>
              <w:top w:w="57" w:type="dxa"/>
              <w:left w:w="57" w:type="dxa"/>
              <w:bottom w:w="57" w:type="dxa"/>
              <w:right w:w="57" w:type="dxa"/>
            </w:tcMar>
            <w:hideMark/>
          </w:tcPr>
          <w:p w14:paraId="7CC92F10" w14:textId="77777777" w:rsidR="001C5CCD" w:rsidRPr="007D01D0" w:rsidRDefault="001C5CCD" w:rsidP="00C43CBA">
            <w:pPr>
              <w:spacing w:before="0" w:after="0"/>
              <w:rPr>
                <w:rFonts w:cs="Arial"/>
                <w:szCs w:val="18"/>
              </w:rPr>
            </w:pPr>
            <w:r w:rsidRPr="007D01D0">
              <w:rPr>
                <w:rFonts w:cs="Arial"/>
                <w:szCs w:val="18"/>
              </w:rPr>
              <w:t>New service connections</w:t>
            </w:r>
          </w:p>
        </w:tc>
        <w:tc>
          <w:tcPr>
            <w:tcW w:w="501" w:type="pct"/>
            <w:tcBorders>
              <w:top w:val="single" w:sz="4" w:space="0" w:color="BFBFBF" w:themeColor="background1" w:themeShade="BF"/>
            </w:tcBorders>
            <w:tcMar>
              <w:top w:w="57" w:type="dxa"/>
              <w:left w:w="57" w:type="dxa"/>
              <w:bottom w:w="57" w:type="dxa"/>
              <w:right w:w="57" w:type="dxa"/>
            </w:tcMar>
            <w:hideMark/>
          </w:tcPr>
          <w:p w14:paraId="4D1F6E0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66,181</w:t>
            </w:r>
          </w:p>
        </w:tc>
        <w:tc>
          <w:tcPr>
            <w:tcW w:w="502" w:type="pct"/>
            <w:tcMar>
              <w:top w:w="57" w:type="dxa"/>
              <w:left w:w="57" w:type="dxa"/>
              <w:bottom w:w="57" w:type="dxa"/>
              <w:right w:w="57" w:type="dxa"/>
            </w:tcMar>
            <w:hideMark/>
          </w:tcPr>
          <w:p w14:paraId="49CBD32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44,119</w:t>
            </w:r>
          </w:p>
        </w:tc>
        <w:tc>
          <w:tcPr>
            <w:tcW w:w="501" w:type="pct"/>
            <w:tcMar>
              <w:top w:w="57" w:type="dxa"/>
              <w:left w:w="57" w:type="dxa"/>
              <w:bottom w:w="57" w:type="dxa"/>
              <w:right w:w="57" w:type="dxa"/>
            </w:tcMar>
            <w:hideMark/>
          </w:tcPr>
          <w:p w14:paraId="2B6FB71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271,436</w:t>
            </w:r>
          </w:p>
        </w:tc>
        <w:tc>
          <w:tcPr>
            <w:tcW w:w="502" w:type="pct"/>
            <w:tcMar>
              <w:top w:w="57" w:type="dxa"/>
              <w:left w:w="57" w:type="dxa"/>
              <w:bottom w:w="57" w:type="dxa"/>
              <w:right w:w="57" w:type="dxa"/>
            </w:tcMar>
            <w:hideMark/>
          </w:tcPr>
          <w:p w14:paraId="77CFAAD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315,318</w:t>
            </w:r>
          </w:p>
        </w:tc>
        <w:tc>
          <w:tcPr>
            <w:tcW w:w="501" w:type="pct"/>
            <w:tcMar>
              <w:top w:w="57" w:type="dxa"/>
              <w:left w:w="57" w:type="dxa"/>
              <w:bottom w:w="57" w:type="dxa"/>
              <w:right w:w="57" w:type="dxa"/>
            </w:tcMar>
            <w:hideMark/>
          </w:tcPr>
          <w:p w14:paraId="74DB0BB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27,444</w:t>
            </w:r>
          </w:p>
        </w:tc>
        <w:tc>
          <w:tcPr>
            <w:tcW w:w="502" w:type="pct"/>
            <w:tcMar>
              <w:top w:w="57" w:type="dxa"/>
              <w:left w:w="57" w:type="dxa"/>
              <w:bottom w:w="57" w:type="dxa"/>
              <w:right w:w="57" w:type="dxa"/>
            </w:tcMar>
            <w:hideMark/>
          </w:tcPr>
          <w:p w14:paraId="125D8277"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20,460</w:t>
            </w:r>
          </w:p>
        </w:tc>
        <w:tc>
          <w:tcPr>
            <w:tcW w:w="501" w:type="pct"/>
            <w:tcMar>
              <w:top w:w="57" w:type="dxa"/>
              <w:left w:w="57" w:type="dxa"/>
              <w:bottom w:w="57" w:type="dxa"/>
              <w:right w:w="57" w:type="dxa"/>
            </w:tcMar>
            <w:hideMark/>
          </w:tcPr>
          <w:p w14:paraId="2862C30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347,657</w:t>
            </w:r>
          </w:p>
        </w:tc>
        <w:tc>
          <w:tcPr>
            <w:tcW w:w="502" w:type="pct"/>
            <w:tcMar>
              <w:top w:w="57" w:type="dxa"/>
              <w:left w:w="57" w:type="dxa"/>
              <w:bottom w:w="57" w:type="dxa"/>
              <w:right w:w="57" w:type="dxa"/>
            </w:tcMar>
            <w:hideMark/>
          </w:tcPr>
          <w:p w14:paraId="6FDFEAE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274,013</w:t>
            </w:r>
          </w:p>
        </w:tc>
      </w:tr>
      <w:tr w:rsidR="001C5CCD" w:rsidRPr="00344D90" w14:paraId="485B8695" w14:textId="77777777" w:rsidTr="00F65D12">
        <w:trPr>
          <w:trHeight w:val="124"/>
        </w:trPr>
        <w:tc>
          <w:tcPr>
            <w:cnfStyle w:val="001000000000" w:firstRow="0" w:lastRow="0" w:firstColumn="1" w:lastColumn="0" w:oddVBand="0" w:evenVBand="0" w:oddHBand="0" w:evenHBand="0" w:firstRowFirstColumn="0" w:firstRowLastColumn="0" w:lastRowFirstColumn="0" w:lastRowLastColumn="0"/>
            <w:tcW w:w="987" w:type="pct"/>
            <w:tcMar>
              <w:top w:w="57" w:type="dxa"/>
              <w:left w:w="57" w:type="dxa"/>
              <w:bottom w:w="57" w:type="dxa"/>
              <w:right w:w="57" w:type="dxa"/>
            </w:tcMar>
            <w:hideMark/>
          </w:tcPr>
          <w:p w14:paraId="4C98B205" w14:textId="77777777" w:rsidR="001C5CCD" w:rsidRPr="007D01D0" w:rsidRDefault="001C5CCD" w:rsidP="00C43CBA">
            <w:pPr>
              <w:spacing w:before="0" w:after="0"/>
              <w:rPr>
                <w:rFonts w:cs="Arial"/>
                <w:szCs w:val="18"/>
              </w:rPr>
            </w:pPr>
            <w:r w:rsidRPr="007D01D0">
              <w:rPr>
                <w:rFonts w:cs="Arial"/>
                <w:szCs w:val="18"/>
              </w:rPr>
              <w:t>In-place connections</w:t>
            </w:r>
          </w:p>
        </w:tc>
        <w:tc>
          <w:tcPr>
            <w:tcW w:w="501" w:type="pct"/>
            <w:tcMar>
              <w:top w:w="57" w:type="dxa"/>
              <w:left w:w="57" w:type="dxa"/>
              <w:bottom w:w="57" w:type="dxa"/>
              <w:right w:w="57" w:type="dxa"/>
            </w:tcMar>
            <w:hideMark/>
          </w:tcPr>
          <w:p w14:paraId="18F254E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40,325</w:t>
            </w:r>
          </w:p>
        </w:tc>
        <w:tc>
          <w:tcPr>
            <w:tcW w:w="502" w:type="pct"/>
            <w:tcMar>
              <w:top w:w="57" w:type="dxa"/>
              <w:left w:w="57" w:type="dxa"/>
              <w:bottom w:w="57" w:type="dxa"/>
              <w:right w:w="57" w:type="dxa"/>
            </w:tcMar>
            <w:hideMark/>
          </w:tcPr>
          <w:p w14:paraId="23AF77F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17,465</w:t>
            </w:r>
          </w:p>
        </w:tc>
        <w:tc>
          <w:tcPr>
            <w:tcW w:w="501" w:type="pct"/>
            <w:tcMar>
              <w:top w:w="57" w:type="dxa"/>
              <w:left w:w="57" w:type="dxa"/>
              <w:bottom w:w="57" w:type="dxa"/>
              <w:right w:w="57" w:type="dxa"/>
            </w:tcMar>
            <w:hideMark/>
          </w:tcPr>
          <w:p w14:paraId="1D99D6A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n/a</w:t>
            </w:r>
          </w:p>
        </w:tc>
        <w:tc>
          <w:tcPr>
            <w:tcW w:w="502" w:type="pct"/>
            <w:tcMar>
              <w:top w:w="57" w:type="dxa"/>
              <w:left w:w="57" w:type="dxa"/>
              <w:bottom w:w="57" w:type="dxa"/>
              <w:right w:w="57" w:type="dxa"/>
            </w:tcMar>
            <w:hideMark/>
          </w:tcPr>
          <w:p w14:paraId="31CBDC8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n/a</w:t>
            </w:r>
          </w:p>
        </w:tc>
        <w:tc>
          <w:tcPr>
            <w:tcW w:w="501" w:type="pct"/>
            <w:tcMar>
              <w:top w:w="57" w:type="dxa"/>
              <w:left w:w="57" w:type="dxa"/>
              <w:bottom w:w="57" w:type="dxa"/>
              <w:right w:w="57" w:type="dxa"/>
            </w:tcMar>
            <w:hideMark/>
          </w:tcPr>
          <w:p w14:paraId="74D7A1B8"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87,778</w:t>
            </w:r>
          </w:p>
        </w:tc>
        <w:tc>
          <w:tcPr>
            <w:tcW w:w="502" w:type="pct"/>
            <w:tcMar>
              <w:top w:w="57" w:type="dxa"/>
              <w:left w:w="57" w:type="dxa"/>
              <w:bottom w:w="57" w:type="dxa"/>
              <w:right w:w="57" w:type="dxa"/>
            </w:tcMar>
            <w:hideMark/>
          </w:tcPr>
          <w:p w14:paraId="0F641405"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58,309</w:t>
            </w:r>
          </w:p>
        </w:tc>
        <w:tc>
          <w:tcPr>
            <w:tcW w:w="501" w:type="pct"/>
            <w:tcMar>
              <w:top w:w="57" w:type="dxa"/>
              <w:left w:w="57" w:type="dxa"/>
              <w:bottom w:w="57" w:type="dxa"/>
              <w:right w:w="57" w:type="dxa"/>
            </w:tcMar>
            <w:hideMark/>
          </w:tcPr>
          <w:p w14:paraId="0D60C72E"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267,258</w:t>
            </w:r>
          </w:p>
        </w:tc>
        <w:tc>
          <w:tcPr>
            <w:tcW w:w="502" w:type="pct"/>
            <w:tcMar>
              <w:top w:w="57" w:type="dxa"/>
              <w:left w:w="57" w:type="dxa"/>
              <w:bottom w:w="57" w:type="dxa"/>
              <w:right w:w="57" w:type="dxa"/>
            </w:tcMar>
            <w:hideMark/>
          </w:tcPr>
          <w:p w14:paraId="54C5EE8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206,904</w:t>
            </w:r>
          </w:p>
        </w:tc>
      </w:tr>
      <w:tr w:rsidR="001C5CCD" w:rsidRPr="00344D90" w14:paraId="417F747D" w14:textId="77777777" w:rsidTr="00F65D12">
        <w:trPr>
          <w:trHeight w:val="116"/>
        </w:trPr>
        <w:tc>
          <w:tcPr>
            <w:cnfStyle w:val="001000000000" w:firstRow="0" w:lastRow="0" w:firstColumn="1" w:lastColumn="0" w:oddVBand="0" w:evenVBand="0" w:oddHBand="0" w:evenHBand="0" w:firstRowFirstColumn="0" w:firstRowLastColumn="0" w:lastRowFirstColumn="0" w:lastRowLastColumn="0"/>
            <w:tcW w:w="987" w:type="pct"/>
            <w:tcMar>
              <w:top w:w="57" w:type="dxa"/>
              <w:left w:w="57" w:type="dxa"/>
              <w:bottom w:w="57" w:type="dxa"/>
              <w:right w:w="57" w:type="dxa"/>
            </w:tcMar>
            <w:hideMark/>
          </w:tcPr>
          <w:p w14:paraId="7A46D30C" w14:textId="77777777" w:rsidR="001C5CCD" w:rsidRPr="007D01D0" w:rsidRDefault="001C5CCD" w:rsidP="00C43CBA">
            <w:pPr>
              <w:spacing w:before="0" w:after="0"/>
              <w:rPr>
                <w:rFonts w:cs="Arial"/>
                <w:szCs w:val="18"/>
              </w:rPr>
            </w:pPr>
            <w:r w:rsidRPr="007D01D0">
              <w:rPr>
                <w:rFonts w:cs="Arial"/>
                <w:szCs w:val="18"/>
              </w:rPr>
              <w:t>Fault repairs</w:t>
            </w:r>
          </w:p>
        </w:tc>
        <w:tc>
          <w:tcPr>
            <w:tcW w:w="501" w:type="pct"/>
            <w:tcMar>
              <w:top w:w="57" w:type="dxa"/>
              <w:left w:w="57" w:type="dxa"/>
              <w:bottom w:w="57" w:type="dxa"/>
              <w:right w:w="57" w:type="dxa"/>
            </w:tcMar>
            <w:hideMark/>
          </w:tcPr>
          <w:p w14:paraId="0A1B7A29"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66,644</w:t>
            </w:r>
          </w:p>
        </w:tc>
        <w:tc>
          <w:tcPr>
            <w:tcW w:w="502" w:type="pct"/>
            <w:tcMar>
              <w:top w:w="57" w:type="dxa"/>
              <w:left w:w="57" w:type="dxa"/>
              <w:bottom w:w="57" w:type="dxa"/>
              <w:right w:w="57" w:type="dxa"/>
            </w:tcMar>
            <w:hideMark/>
          </w:tcPr>
          <w:p w14:paraId="5B2A21AD"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58,976</w:t>
            </w:r>
          </w:p>
        </w:tc>
        <w:tc>
          <w:tcPr>
            <w:tcW w:w="501" w:type="pct"/>
            <w:tcMar>
              <w:top w:w="57" w:type="dxa"/>
              <w:left w:w="57" w:type="dxa"/>
              <w:bottom w:w="57" w:type="dxa"/>
              <w:right w:w="57" w:type="dxa"/>
            </w:tcMar>
            <w:hideMark/>
          </w:tcPr>
          <w:p w14:paraId="7A5ADF2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168,403</w:t>
            </w:r>
          </w:p>
        </w:tc>
        <w:tc>
          <w:tcPr>
            <w:tcW w:w="502" w:type="pct"/>
            <w:tcMar>
              <w:top w:w="57" w:type="dxa"/>
              <w:left w:w="57" w:type="dxa"/>
              <w:bottom w:w="57" w:type="dxa"/>
              <w:right w:w="57" w:type="dxa"/>
            </w:tcMar>
            <w:hideMark/>
          </w:tcPr>
          <w:p w14:paraId="0B30F92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158,562</w:t>
            </w:r>
          </w:p>
        </w:tc>
        <w:tc>
          <w:tcPr>
            <w:tcW w:w="501" w:type="pct"/>
            <w:tcMar>
              <w:top w:w="57" w:type="dxa"/>
              <w:left w:w="57" w:type="dxa"/>
              <w:bottom w:w="57" w:type="dxa"/>
              <w:right w:w="57" w:type="dxa"/>
            </w:tcMar>
            <w:hideMark/>
          </w:tcPr>
          <w:p w14:paraId="70D2F00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83,642</w:t>
            </w:r>
          </w:p>
        </w:tc>
        <w:tc>
          <w:tcPr>
            <w:tcW w:w="502" w:type="pct"/>
            <w:tcMar>
              <w:top w:w="57" w:type="dxa"/>
              <w:left w:w="57" w:type="dxa"/>
              <w:bottom w:w="57" w:type="dxa"/>
              <w:right w:w="57" w:type="dxa"/>
            </w:tcMar>
            <w:hideMark/>
          </w:tcPr>
          <w:p w14:paraId="674E685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58,692</w:t>
            </w:r>
          </w:p>
        </w:tc>
        <w:tc>
          <w:tcPr>
            <w:tcW w:w="501" w:type="pct"/>
            <w:tcMar>
              <w:top w:w="57" w:type="dxa"/>
              <w:left w:w="57" w:type="dxa"/>
              <w:bottom w:w="57" w:type="dxa"/>
              <w:right w:w="57" w:type="dxa"/>
            </w:tcMar>
            <w:hideMark/>
          </w:tcPr>
          <w:p w14:paraId="46050BB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602,492</w:t>
            </w:r>
          </w:p>
        </w:tc>
        <w:tc>
          <w:tcPr>
            <w:tcW w:w="502" w:type="pct"/>
            <w:tcMar>
              <w:top w:w="57" w:type="dxa"/>
              <w:left w:w="57" w:type="dxa"/>
              <w:bottom w:w="57" w:type="dxa"/>
              <w:right w:w="57" w:type="dxa"/>
            </w:tcMar>
            <w:hideMark/>
          </w:tcPr>
          <w:p w14:paraId="4A9E99CF"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555,429</w:t>
            </w:r>
          </w:p>
        </w:tc>
      </w:tr>
      <w:tr w:rsidR="001C5CCD" w:rsidRPr="00344D90" w14:paraId="2C3656D9" w14:textId="77777777" w:rsidTr="00F65D12">
        <w:trPr>
          <w:trHeight w:val="26"/>
        </w:trPr>
        <w:tc>
          <w:tcPr>
            <w:cnfStyle w:val="001000000000" w:firstRow="0" w:lastRow="0" w:firstColumn="1" w:lastColumn="0" w:oddVBand="0" w:evenVBand="0" w:oddHBand="0" w:evenHBand="0" w:firstRowFirstColumn="0" w:firstRowLastColumn="0" w:lastRowFirstColumn="0" w:lastRowLastColumn="0"/>
            <w:tcW w:w="987" w:type="pct"/>
            <w:tcMar>
              <w:top w:w="57" w:type="dxa"/>
              <w:left w:w="57" w:type="dxa"/>
              <w:bottom w:w="57" w:type="dxa"/>
              <w:right w:w="57" w:type="dxa"/>
            </w:tcMar>
            <w:hideMark/>
          </w:tcPr>
          <w:p w14:paraId="51A4B487" w14:textId="77777777" w:rsidR="001C5CCD" w:rsidRPr="007D01D0" w:rsidRDefault="001C5CCD" w:rsidP="00C43CBA">
            <w:pPr>
              <w:spacing w:before="0" w:after="0"/>
              <w:rPr>
                <w:rFonts w:cs="Arial"/>
                <w:szCs w:val="18"/>
              </w:rPr>
            </w:pPr>
            <w:r w:rsidRPr="007D01D0">
              <w:rPr>
                <w:rFonts w:cs="Arial"/>
                <w:szCs w:val="18"/>
              </w:rPr>
              <w:t>Appointments</w:t>
            </w:r>
            <w:r w:rsidRPr="007D01D0">
              <w:rPr>
                <w:rFonts w:cs="Arial"/>
                <w:szCs w:val="18"/>
                <w:vertAlign w:val="superscript"/>
              </w:rPr>
              <w:t>†</w:t>
            </w:r>
          </w:p>
        </w:tc>
        <w:tc>
          <w:tcPr>
            <w:tcW w:w="501" w:type="pct"/>
            <w:tcMar>
              <w:top w:w="57" w:type="dxa"/>
              <w:left w:w="57" w:type="dxa"/>
              <w:bottom w:w="57" w:type="dxa"/>
              <w:right w:w="57" w:type="dxa"/>
            </w:tcMar>
            <w:hideMark/>
          </w:tcPr>
          <w:p w14:paraId="36AE8612"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45,240</w:t>
            </w:r>
          </w:p>
        </w:tc>
        <w:tc>
          <w:tcPr>
            <w:tcW w:w="502" w:type="pct"/>
            <w:tcMar>
              <w:top w:w="57" w:type="dxa"/>
              <w:left w:w="57" w:type="dxa"/>
              <w:bottom w:w="57" w:type="dxa"/>
              <w:right w:w="57" w:type="dxa"/>
            </w:tcMar>
            <w:hideMark/>
          </w:tcPr>
          <w:p w14:paraId="605A310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36,545</w:t>
            </w:r>
          </w:p>
        </w:tc>
        <w:tc>
          <w:tcPr>
            <w:tcW w:w="501" w:type="pct"/>
            <w:tcMar>
              <w:top w:w="57" w:type="dxa"/>
              <w:left w:w="57" w:type="dxa"/>
              <w:bottom w:w="57" w:type="dxa"/>
              <w:right w:w="57" w:type="dxa"/>
            </w:tcMar>
            <w:hideMark/>
          </w:tcPr>
          <w:p w14:paraId="7F171D1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225,249</w:t>
            </w:r>
          </w:p>
        </w:tc>
        <w:tc>
          <w:tcPr>
            <w:tcW w:w="502" w:type="pct"/>
            <w:tcMar>
              <w:top w:w="57" w:type="dxa"/>
              <w:left w:w="57" w:type="dxa"/>
              <w:bottom w:w="57" w:type="dxa"/>
              <w:right w:w="57" w:type="dxa"/>
            </w:tcMar>
            <w:hideMark/>
          </w:tcPr>
          <w:p w14:paraId="34C34BB4"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203,613</w:t>
            </w:r>
          </w:p>
        </w:tc>
        <w:tc>
          <w:tcPr>
            <w:tcW w:w="501" w:type="pct"/>
            <w:tcMar>
              <w:top w:w="57" w:type="dxa"/>
              <w:left w:w="57" w:type="dxa"/>
              <w:bottom w:w="57" w:type="dxa"/>
              <w:right w:w="57" w:type="dxa"/>
            </w:tcMar>
            <w:hideMark/>
          </w:tcPr>
          <w:p w14:paraId="433BFE26"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106,186</w:t>
            </w:r>
          </w:p>
        </w:tc>
        <w:tc>
          <w:tcPr>
            <w:tcW w:w="502" w:type="pct"/>
            <w:tcMar>
              <w:top w:w="57" w:type="dxa"/>
              <w:left w:w="57" w:type="dxa"/>
              <w:bottom w:w="57" w:type="dxa"/>
              <w:right w:w="57" w:type="dxa"/>
            </w:tcMar>
            <w:hideMark/>
          </w:tcPr>
          <w:p w14:paraId="6F91D5C3"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137,461</w:t>
            </w:r>
          </w:p>
        </w:tc>
        <w:tc>
          <w:tcPr>
            <w:tcW w:w="501" w:type="pct"/>
            <w:tcMar>
              <w:top w:w="57" w:type="dxa"/>
              <w:left w:w="57" w:type="dxa"/>
              <w:bottom w:w="57" w:type="dxa"/>
              <w:right w:w="57" w:type="dxa"/>
            </w:tcMar>
            <w:hideMark/>
          </w:tcPr>
          <w:p w14:paraId="48C29180"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476,419</w:t>
            </w:r>
          </w:p>
        </w:tc>
        <w:tc>
          <w:tcPr>
            <w:tcW w:w="502" w:type="pct"/>
            <w:tcMar>
              <w:top w:w="57" w:type="dxa"/>
              <w:left w:w="57" w:type="dxa"/>
              <w:bottom w:w="57" w:type="dxa"/>
              <w:right w:w="57" w:type="dxa"/>
            </w:tcMar>
            <w:hideMark/>
          </w:tcPr>
          <w:p w14:paraId="6B54B87C" w14:textId="77777777" w:rsidR="001C5CCD" w:rsidRPr="00344D90" w:rsidRDefault="001C5CCD" w:rsidP="00C43CBA">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507,329</w:t>
            </w:r>
          </w:p>
        </w:tc>
      </w:tr>
    </w:tbl>
    <w:p w14:paraId="3BAE8897" w14:textId="77777777" w:rsidR="00C6256D" w:rsidRPr="00344D90" w:rsidRDefault="00C6256D" w:rsidP="00734EE2">
      <w:pPr>
        <w:pStyle w:val="ACMANotes"/>
        <w:spacing w:before="120"/>
      </w:pPr>
      <w:r w:rsidRPr="00344D90">
        <w:t>n/a=not applicable.</w:t>
      </w:r>
    </w:p>
    <w:p w14:paraId="31BAE6D1" w14:textId="77777777" w:rsidR="00C6256D" w:rsidRPr="00344D90" w:rsidRDefault="00C6256D" w:rsidP="00734EE2">
      <w:pPr>
        <w:pStyle w:val="ACMANotes"/>
      </w:pPr>
      <w:r w:rsidRPr="00344D90">
        <w:rPr>
          <w:vertAlign w:val="superscript"/>
        </w:rPr>
        <w:t>†</w:t>
      </w:r>
      <w:r w:rsidRPr="00344D90">
        <w:t>New service connections and fault repair.</w:t>
      </w:r>
    </w:p>
    <w:p w14:paraId="6A35B139" w14:textId="77777777" w:rsidR="00C6256D" w:rsidRPr="00344D90" w:rsidRDefault="00C6256D" w:rsidP="00734EE2">
      <w:pPr>
        <w:pStyle w:val="ACMANotesspaceafter"/>
        <w:spacing w:after="360"/>
      </w:pPr>
      <w:r w:rsidRPr="00344D90">
        <w:t>Source: CSP data.</w:t>
      </w:r>
    </w:p>
    <w:p w14:paraId="28DCB49F" w14:textId="77777777" w:rsidR="00C6256D" w:rsidRPr="00344D90" w:rsidRDefault="00C6256D" w:rsidP="00C6256D">
      <w:pPr>
        <w:pStyle w:val="Heading3"/>
        <w:rPr>
          <w:b w:val="0"/>
          <w:bCs w:val="0"/>
        </w:rPr>
      </w:pPr>
      <w:r w:rsidRPr="00344D90">
        <w:t>CSG Standard payments</w:t>
      </w:r>
    </w:p>
    <w:p w14:paraId="3609F43B" w14:textId="77777777" w:rsidR="00C6256D" w:rsidRPr="00344D90" w:rsidRDefault="00C6256D" w:rsidP="00C6256D">
      <w:pPr>
        <w:rPr>
          <w:b/>
          <w:bCs/>
          <w:color w:val="323232"/>
          <w:szCs w:val="20"/>
        </w:rPr>
      </w:pPr>
      <w:r w:rsidRPr="00344D90">
        <w:t>As a result of failing to meet CSG Standard time frames during 2016–17, CSPs made compensation payments to customers, as shown in Table 5.9.</w:t>
      </w:r>
    </w:p>
    <w:p w14:paraId="36EB4550" w14:textId="77777777" w:rsidR="00C6256D" w:rsidRPr="00344D90" w:rsidRDefault="00C6256D" w:rsidP="009125E7">
      <w:pPr>
        <w:pStyle w:val="ACMAFigureHeader"/>
      </w:pPr>
      <w:r w:rsidRPr="00344D90">
        <w:t>Table 5.9</w:t>
      </w:r>
      <w:r w:rsidRPr="00344D90">
        <w:tab/>
        <w:t xml:space="preserve">Volume and value of compensation payments </w:t>
      </w:r>
      <w:r w:rsidR="00B86951" w:rsidRPr="00344D90">
        <w:t xml:space="preserve">CSPs </w:t>
      </w:r>
      <w:r w:rsidRPr="00344D90">
        <w:t>made to customers</w:t>
      </w:r>
    </w:p>
    <w:tbl>
      <w:tblPr>
        <w:tblStyle w:val="Commsreport2017"/>
        <w:tblW w:w="8445" w:type="dxa"/>
        <w:tblInd w:w="5" w:type="dxa"/>
        <w:tblCellMar>
          <w:top w:w="57" w:type="dxa"/>
          <w:left w:w="57" w:type="dxa"/>
          <w:bottom w:w="57" w:type="dxa"/>
          <w:right w:w="57" w:type="dxa"/>
        </w:tblCellMar>
        <w:tblLook w:val="04A0" w:firstRow="1" w:lastRow="0" w:firstColumn="1" w:lastColumn="0" w:noHBand="0" w:noVBand="1"/>
        <w:tblCaption w:val="Table 5.9 Volume and value of compensation payments CSPs made to customers"/>
      </w:tblPr>
      <w:tblGrid>
        <w:gridCol w:w="1980"/>
        <w:gridCol w:w="1616"/>
        <w:gridCol w:w="1616"/>
        <w:gridCol w:w="1616"/>
        <w:gridCol w:w="1617"/>
      </w:tblGrid>
      <w:tr w:rsidR="00C6256D" w:rsidRPr="00344D90" w14:paraId="7DB0E552" w14:textId="77777777" w:rsidTr="00EC183A">
        <w:trPr>
          <w:cnfStyle w:val="100000000000" w:firstRow="1" w:lastRow="0" w:firstColumn="0" w:lastColumn="0" w:oddVBand="0" w:evenVBand="0" w:oddHBand="0" w:evenHBand="0" w:firstRowFirstColumn="0" w:firstRowLastColumn="0" w:lastRowFirstColumn="0" w:lastRowLastColumn="0"/>
          <w:trHeight w:val="76"/>
          <w:tblHeader/>
        </w:trPr>
        <w:tc>
          <w:tcPr>
            <w:cnfStyle w:val="001000000000" w:firstRow="0" w:lastRow="0" w:firstColumn="1" w:lastColumn="0" w:oddVBand="0" w:evenVBand="0" w:oddHBand="0" w:evenHBand="0" w:firstRowFirstColumn="0" w:firstRowLastColumn="0" w:lastRowFirstColumn="0" w:lastRowLastColumn="0"/>
            <w:tcW w:w="1980" w:type="dxa"/>
            <w:tcBorders>
              <w:top w:val="nil"/>
              <w:left w:val="nil"/>
              <w:bottom w:val="nil"/>
            </w:tcBorders>
            <w:shd w:val="clear" w:color="auto" w:fill="FFFFFF" w:themeFill="background1"/>
            <w:tcMar>
              <w:top w:w="57" w:type="dxa"/>
              <w:left w:w="57" w:type="dxa"/>
              <w:bottom w:w="57" w:type="dxa"/>
              <w:right w:w="57" w:type="dxa"/>
            </w:tcMar>
            <w:hideMark/>
          </w:tcPr>
          <w:p w14:paraId="7ACEEBA5" w14:textId="77777777" w:rsidR="00C6256D" w:rsidRPr="00344D90" w:rsidRDefault="00C6256D" w:rsidP="009125E7">
            <w:pPr>
              <w:spacing w:beforeLines="0" w:before="0" w:afterLines="0" w:after="0"/>
              <w:jc w:val="center"/>
              <w:rPr>
                <w:rFonts w:cs="Arial"/>
                <w:b/>
                <w:color w:val="FFFFFF"/>
                <w:szCs w:val="20"/>
              </w:rPr>
            </w:pPr>
            <w:r w:rsidRPr="00344D90">
              <w:rPr>
                <w:rFonts w:cs="Arial"/>
                <w:color w:val="FFFFFF"/>
                <w:szCs w:val="20"/>
              </w:rPr>
              <w:t> </w:t>
            </w:r>
          </w:p>
        </w:tc>
        <w:tc>
          <w:tcPr>
            <w:tcW w:w="3232" w:type="dxa"/>
            <w:gridSpan w:val="2"/>
            <w:tcMar>
              <w:top w:w="57" w:type="dxa"/>
              <w:left w:w="57" w:type="dxa"/>
              <w:bottom w:w="57" w:type="dxa"/>
              <w:right w:w="57" w:type="dxa"/>
            </w:tcMar>
            <w:hideMark/>
          </w:tcPr>
          <w:p w14:paraId="6F33141F" w14:textId="77777777" w:rsidR="00C6256D" w:rsidRPr="00344D90" w:rsidRDefault="00C6256D" w:rsidP="009125E7">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2015–16</w:t>
            </w:r>
          </w:p>
        </w:tc>
        <w:tc>
          <w:tcPr>
            <w:tcW w:w="3233" w:type="dxa"/>
            <w:gridSpan w:val="2"/>
            <w:tcMar>
              <w:top w:w="57" w:type="dxa"/>
              <w:left w:w="57" w:type="dxa"/>
              <w:bottom w:w="57" w:type="dxa"/>
              <w:right w:w="57" w:type="dxa"/>
            </w:tcMar>
            <w:hideMark/>
          </w:tcPr>
          <w:p w14:paraId="1597DAC8" w14:textId="77777777" w:rsidR="00C6256D" w:rsidRPr="00344D90" w:rsidRDefault="00C6256D" w:rsidP="009125E7">
            <w:pPr>
              <w:spacing w:beforeLines="0" w:before="0" w:afterLines="0" w:after="0"/>
              <w:jc w:val="center"/>
              <w:cnfStyle w:val="100000000000" w:firstRow="1"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2016–17</w:t>
            </w:r>
          </w:p>
        </w:tc>
      </w:tr>
      <w:tr w:rsidR="00C6256D" w:rsidRPr="00344D90" w14:paraId="5B481721" w14:textId="77777777" w:rsidTr="00BE6FCF">
        <w:trPr>
          <w:trHeight w:val="29"/>
        </w:trPr>
        <w:tc>
          <w:tcPr>
            <w:cnfStyle w:val="001000000000" w:firstRow="0" w:lastRow="0" w:firstColumn="1" w:lastColumn="0" w:oddVBand="0" w:evenVBand="0" w:oddHBand="0" w:evenHBand="0" w:firstRowFirstColumn="0" w:firstRowLastColumn="0" w:lastRowFirstColumn="0" w:lastRowLastColumn="0"/>
            <w:tcW w:w="1980" w:type="dxa"/>
            <w:tcBorders>
              <w:top w:val="nil"/>
              <w:left w:val="nil"/>
            </w:tcBorders>
            <w:shd w:val="clear" w:color="auto" w:fill="FFFFFF" w:themeFill="background1"/>
            <w:tcMar>
              <w:top w:w="57" w:type="dxa"/>
              <w:left w:w="57" w:type="dxa"/>
              <w:bottom w:w="57" w:type="dxa"/>
              <w:right w:w="57" w:type="dxa"/>
            </w:tcMar>
            <w:hideMark/>
          </w:tcPr>
          <w:p w14:paraId="065A839D" w14:textId="77777777" w:rsidR="00C6256D" w:rsidRPr="00344D90" w:rsidRDefault="00C6256D" w:rsidP="009125E7">
            <w:pPr>
              <w:spacing w:before="0" w:after="0"/>
              <w:jc w:val="right"/>
              <w:rPr>
                <w:rFonts w:cs="Arial"/>
                <w:b/>
                <w:bCs/>
                <w:color w:val="FFFFFF"/>
                <w:szCs w:val="18"/>
              </w:rPr>
            </w:pPr>
            <w:r w:rsidRPr="00344D90">
              <w:rPr>
                <w:rFonts w:cs="Arial"/>
                <w:b/>
                <w:bCs/>
                <w:color w:val="FFFFFF"/>
                <w:szCs w:val="18"/>
              </w:rPr>
              <w:t> </w:t>
            </w:r>
          </w:p>
        </w:tc>
        <w:tc>
          <w:tcPr>
            <w:tcW w:w="1616" w:type="dxa"/>
            <w:shd w:val="clear" w:color="auto" w:fill="37897E"/>
            <w:tcMar>
              <w:top w:w="57" w:type="dxa"/>
              <w:left w:w="57" w:type="dxa"/>
              <w:bottom w:w="57" w:type="dxa"/>
              <w:right w:w="57" w:type="dxa"/>
            </w:tcMar>
            <w:hideMark/>
          </w:tcPr>
          <w:p w14:paraId="5977C539"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Volume</w:t>
            </w:r>
          </w:p>
        </w:tc>
        <w:tc>
          <w:tcPr>
            <w:tcW w:w="1616" w:type="dxa"/>
            <w:shd w:val="clear" w:color="auto" w:fill="37897E"/>
            <w:tcMar>
              <w:top w:w="57" w:type="dxa"/>
              <w:left w:w="57" w:type="dxa"/>
              <w:bottom w:w="57" w:type="dxa"/>
              <w:right w:w="57" w:type="dxa"/>
            </w:tcMar>
            <w:hideMark/>
          </w:tcPr>
          <w:p w14:paraId="62D5F578"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 (million)</w:t>
            </w:r>
          </w:p>
        </w:tc>
        <w:tc>
          <w:tcPr>
            <w:tcW w:w="1616" w:type="dxa"/>
            <w:shd w:val="clear" w:color="auto" w:fill="37897E"/>
            <w:tcMar>
              <w:top w:w="57" w:type="dxa"/>
              <w:left w:w="57" w:type="dxa"/>
              <w:bottom w:w="57" w:type="dxa"/>
              <w:right w:w="57" w:type="dxa"/>
            </w:tcMar>
            <w:hideMark/>
          </w:tcPr>
          <w:p w14:paraId="4536EDA9"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Volume</w:t>
            </w:r>
          </w:p>
        </w:tc>
        <w:tc>
          <w:tcPr>
            <w:tcW w:w="1617" w:type="dxa"/>
            <w:shd w:val="clear" w:color="auto" w:fill="37897E"/>
            <w:tcMar>
              <w:top w:w="57" w:type="dxa"/>
              <w:left w:w="57" w:type="dxa"/>
              <w:bottom w:w="57" w:type="dxa"/>
              <w:right w:w="57" w:type="dxa"/>
            </w:tcMar>
            <w:hideMark/>
          </w:tcPr>
          <w:p w14:paraId="674849E7"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FFFFFF"/>
                <w:szCs w:val="18"/>
              </w:rPr>
            </w:pPr>
            <w:r w:rsidRPr="00344D90">
              <w:rPr>
                <w:rFonts w:cs="Arial"/>
                <w:b/>
                <w:bCs/>
                <w:color w:val="FFFFFF"/>
                <w:szCs w:val="18"/>
              </w:rPr>
              <w:t>$ (million)</w:t>
            </w:r>
          </w:p>
        </w:tc>
      </w:tr>
      <w:tr w:rsidR="00C6256D" w:rsidRPr="00344D90" w14:paraId="3BD6DDC3" w14:textId="77777777" w:rsidTr="00BE6FCF">
        <w:trPr>
          <w:trHeight w:val="114"/>
        </w:trPr>
        <w:tc>
          <w:tcPr>
            <w:cnfStyle w:val="001000000000" w:firstRow="0" w:lastRow="0" w:firstColumn="1" w:lastColumn="0" w:oddVBand="0" w:evenVBand="0" w:oddHBand="0" w:evenHBand="0" w:firstRowFirstColumn="0" w:firstRowLastColumn="0" w:lastRowFirstColumn="0" w:lastRowLastColumn="0"/>
            <w:tcW w:w="1980" w:type="dxa"/>
            <w:tcMar>
              <w:top w:w="57" w:type="dxa"/>
              <w:left w:w="57" w:type="dxa"/>
              <w:bottom w:w="57" w:type="dxa"/>
              <w:right w:w="57" w:type="dxa"/>
            </w:tcMar>
            <w:hideMark/>
          </w:tcPr>
          <w:p w14:paraId="77AC429F" w14:textId="77777777" w:rsidR="00C6256D" w:rsidRPr="00344D90" w:rsidRDefault="00C6256D" w:rsidP="009125E7">
            <w:pPr>
              <w:spacing w:before="0" w:after="0"/>
              <w:rPr>
                <w:rFonts w:cs="Arial"/>
                <w:szCs w:val="18"/>
              </w:rPr>
            </w:pPr>
            <w:r w:rsidRPr="00344D90">
              <w:rPr>
                <w:rFonts w:cs="Arial"/>
                <w:szCs w:val="18"/>
              </w:rPr>
              <w:t>iiNet</w:t>
            </w:r>
          </w:p>
        </w:tc>
        <w:tc>
          <w:tcPr>
            <w:tcW w:w="1616" w:type="dxa"/>
            <w:tcMar>
              <w:top w:w="57" w:type="dxa"/>
              <w:left w:w="57" w:type="dxa"/>
              <w:bottom w:w="57" w:type="dxa"/>
              <w:right w:w="57" w:type="dxa"/>
            </w:tcMar>
            <w:hideMark/>
          </w:tcPr>
          <w:p w14:paraId="2684D4B6"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18,434</w:t>
            </w:r>
          </w:p>
        </w:tc>
        <w:tc>
          <w:tcPr>
            <w:tcW w:w="1616" w:type="dxa"/>
            <w:tcMar>
              <w:top w:w="57" w:type="dxa"/>
              <w:left w:w="57" w:type="dxa"/>
              <w:bottom w:w="57" w:type="dxa"/>
              <w:right w:w="57" w:type="dxa"/>
            </w:tcMar>
            <w:hideMark/>
          </w:tcPr>
          <w:p w14:paraId="50E102D6"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1.22</w:t>
            </w:r>
          </w:p>
        </w:tc>
        <w:tc>
          <w:tcPr>
            <w:tcW w:w="1616" w:type="dxa"/>
            <w:tcMar>
              <w:top w:w="57" w:type="dxa"/>
              <w:left w:w="57" w:type="dxa"/>
              <w:bottom w:w="57" w:type="dxa"/>
              <w:right w:w="57" w:type="dxa"/>
            </w:tcMar>
            <w:hideMark/>
          </w:tcPr>
          <w:p w14:paraId="6336B8D6"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11,964</w:t>
            </w:r>
          </w:p>
        </w:tc>
        <w:tc>
          <w:tcPr>
            <w:tcW w:w="1617" w:type="dxa"/>
            <w:tcMar>
              <w:top w:w="57" w:type="dxa"/>
              <w:left w:w="57" w:type="dxa"/>
              <w:bottom w:w="57" w:type="dxa"/>
              <w:right w:w="57" w:type="dxa"/>
            </w:tcMar>
            <w:hideMark/>
          </w:tcPr>
          <w:p w14:paraId="455DD590"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1.11</w:t>
            </w:r>
          </w:p>
        </w:tc>
      </w:tr>
      <w:tr w:rsidR="00C6256D" w:rsidRPr="00344D90" w14:paraId="002E512D" w14:textId="77777777" w:rsidTr="00BE6FCF">
        <w:trPr>
          <w:trHeight w:val="218"/>
        </w:trPr>
        <w:tc>
          <w:tcPr>
            <w:cnfStyle w:val="001000000000" w:firstRow="0" w:lastRow="0" w:firstColumn="1" w:lastColumn="0" w:oddVBand="0" w:evenVBand="0" w:oddHBand="0" w:evenHBand="0" w:firstRowFirstColumn="0" w:firstRowLastColumn="0" w:lastRowFirstColumn="0" w:lastRowLastColumn="0"/>
            <w:tcW w:w="1980" w:type="dxa"/>
            <w:tcMar>
              <w:top w:w="57" w:type="dxa"/>
              <w:left w:w="57" w:type="dxa"/>
              <w:bottom w:w="57" w:type="dxa"/>
              <w:right w:w="57" w:type="dxa"/>
            </w:tcMar>
            <w:hideMark/>
          </w:tcPr>
          <w:p w14:paraId="3D06639F" w14:textId="77777777" w:rsidR="00C6256D" w:rsidRPr="00344D90" w:rsidRDefault="00C6256D" w:rsidP="009125E7">
            <w:pPr>
              <w:spacing w:before="0" w:after="0"/>
              <w:rPr>
                <w:rFonts w:cs="Arial"/>
                <w:szCs w:val="18"/>
              </w:rPr>
            </w:pPr>
            <w:r w:rsidRPr="00344D90">
              <w:rPr>
                <w:rFonts w:cs="Arial"/>
                <w:szCs w:val="18"/>
              </w:rPr>
              <w:t>Optus</w:t>
            </w:r>
          </w:p>
        </w:tc>
        <w:tc>
          <w:tcPr>
            <w:tcW w:w="1616" w:type="dxa"/>
            <w:tcMar>
              <w:top w:w="57" w:type="dxa"/>
              <w:left w:w="57" w:type="dxa"/>
              <w:bottom w:w="57" w:type="dxa"/>
              <w:right w:w="57" w:type="dxa"/>
            </w:tcMar>
            <w:hideMark/>
          </w:tcPr>
          <w:p w14:paraId="3928A62D"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32,093</w:t>
            </w:r>
          </w:p>
        </w:tc>
        <w:tc>
          <w:tcPr>
            <w:tcW w:w="1616" w:type="dxa"/>
            <w:tcMar>
              <w:top w:w="57" w:type="dxa"/>
              <w:left w:w="57" w:type="dxa"/>
              <w:bottom w:w="57" w:type="dxa"/>
              <w:right w:w="57" w:type="dxa"/>
            </w:tcMar>
            <w:hideMark/>
          </w:tcPr>
          <w:p w14:paraId="677BD6E6"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4.88</w:t>
            </w:r>
          </w:p>
        </w:tc>
        <w:tc>
          <w:tcPr>
            <w:tcW w:w="1616" w:type="dxa"/>
            <w:tcMar>
              <w:top w:w="57" w:type="dxa"/>
              <w:left w:w="57" w:type="dxa"/>
              <w:bottom w:w="57" w:type="dxa"/>
              <w:right w:w="57" w:type="dxa"/>
            </w:tcMar>
            <w:hideMark/>
          </w:tcPr>
          <w:p w14:paraId="14F02B7F"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27,625</w:t>
            </w:r>
          </w:p>
        </w:tc>
        <w:tc>
          <w:tcPr>
            <w:tcW w:w="1617" w:type="dxa"/>
            <w:tcMar>
              <w:top w:w="57" w:type="dxa"/>
              <w:left w:w="57" w:type="dxa"/>
              <w:bottom w:w="57" w:type="dxa"/>
              <w:right w:w="57" w:type="dxa"/>
            </w:tcMar>
            <w:hideMark/>
          </w:tcPr>
          <w:p w14:paraId="5CC156DD"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4.10</w:t>
            </w:r>
          </w:p>
        </w:tc>
      </w:tr>
      <w:tr w:rsidR="00C6256D" w:rsidRPr="00344D90" w14:paraId="21CEB346" w14:textId="77777777" w:rsidTr="00BE6FCF">
        <w:trPr>
          <w:trHeight w:val="156"/>
        </w:trPr>
        <w:tc>
          <w:tcPr>
            <w:cnfStyle w:val="001000000000" w:firstRow="0" w:lastRow="0" w:firstColumn="1" w:lastColumn="0" w:oddVBand="0" w:evenVBand="0" w:oddHBand="0" w:evenHBand="0" w:firstRowFirstColumn="0" w:firstRowLastColumn="0" w:lastRowFirstColumn="0" w:lastRowLastColumn="0"/>
            <w:tcW w:w="1980" w:type="dxa"/>
            <w:tcMar>
              <w:top w:w="57" w:type="dxa"/>
              <w:left w:w="57" w:type="dxa"/>
              <w:bottom w:w="57" w:type="dxa"/>
              <w:right w:w="57" w:type="dxa"/>
            </w:tcMar>
            <w:hideMark/>
          </w:tcPr>
          <w:p w14:paraId="0BECEC9D" w14:textId="77777777" w:rsidR="00C6256D" w:rsidRPr="00344D90" w:rsidRDefault="00C6256D" w:rsidP="009125E7">
            <w:pPr>
              <w:spacing w:before="0" w:after="0"/>
              <w:rPr>
                <w:rFonts w:cs="Arial"/>
                <w:szCs w:val="18"/>
              </w:rPr>
            </w:pPr>
            <w:r w:rsidRPr="00344D90">
              <w:rPr>
                <w:rFonts w:cs="Arial"/>
                <w:szCs w:val="18"/>
              </w:rPr>
              <w:t>iPrimus</w:t>
            </w:r>
          </w:p>
        </w:tc>
        <w:tc>
          <w:tcPr>
            <w:tcW w:w="1616" w:type="dxa"/>
            <w:tcMar>
              <w:top w:w="57" w:type="dxa"/>
              <w:left w:w="57" w:type="dxa"/>
              <w:bottom w:w="57" w:type="dxa"/>
              <w:right w:w="57" w:type="dxa"/>
            </w:tcMar>
            <w:hideMark/>
          </w:tcPr>
          <w:p w14:paraId="1B3DFE88"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1,678</w:t>
            </w:r>
          </w:p>
        </w:tc>
        <w:tc>
          <w:tcPr>
            <w:tcW w:w="1616" w:type="dxa"/>
            <w:tcMar>
              <w:top w:w="57" w:type="dxa"/>
              <w:left w:w="57" w:type="dxa"/>
              <w:bottom w:w="57" w:type="dxa"/>
              <w:right w:w="57" w:type="dxa"/>
            </w:tcMar>
            <w:hideMark/>
          </w:tcPr>
          <w:p w14:paraId="345A71CD"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0.09</w:t>
            </w:r>
          </w:p>
        </w:tc>
        <w:tc>
          <w:tcPr>
            <w:tcW w:w="1616" w:type="dxa"/>
            <w:tcMar>
              <w:top w:w="57" w:type="dxa"/>
              <w:left w:w="57" w:type="dxa"/>
              <w:bottom w:w="57" w:type="dxa"/>
              <w:right w:w="57" w:type="dxa"/>
            </w:tcMar>
            <w:hideMark/>
          </w:tcPr>
          <w:p w14:paraId="0CCC9E3B"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2,692</w:t>
            </w:r>
          </w:p>
        </w:tc>
        <w:tc>
          <w:tcPr>
            <w:tcW w:w="1617" w:type="dxa"/>
            <w:tcMar>
              <w:top w:w="57" w:type="dxa"/>
              <w:left w:w="57" w:type="dxa"/>
              <w:bottom w:w="57" w:type="dxa"/>
              <w:right w:w="57" w:type="dxa"/>
            </w:tcMar>
            <w:hideMark/>
          </w:tcPr>
          <w:p w14:paraId="20DEE39D"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0.12</w:t>
            </w:r>
          </w:p>
        </w:tc>
      </w:tr>
      <w:tr w:rsidR="00C6256D" w:rsidRPr="00344D90" w14:paraId="52B7C179" w14:textId="77777777" w:rsidTr="00BE6FCF">
        <w:trPr>
          <w:trHeight w:val="114"/>
        </w:trPr>
        <w:tc>
          <w:tcPr>
            <w:cnfStyle w:val="001000000000" w:firstRow="0" w:lastRow="0" w:firstColumn="1" w:lastColumn="0" w:oddVBand="0" w:evenVBand="0" w:oddHBand="0" w:evenHBand="0" w:firstRowFirstColumn="0" w:firstRowLastColumn="0" w:lastRowFirstColumn="0" w:lastRowLastColumn="0"/>
            <w:tcW w:w="1980" w:type="dxa"/>
            <w:tcMar>
              <w:top w:w="57" w:type="dxa"/>
              <w:left w:w="57" w:type="dxa"/>
              <w:bottom w:w="57" w:type="dxa"/>
              <w:right w:w="57" w:type="dxa"/>
            </w:tcMar>
            <w:hideMark/>
          </w:tcPr>
          <w:p w14:paraId="11C04D3A" w14:textId="77777777" w:rsidR="00C6256D" w:rsidRPr="00344D90" w:rsidRDefault="00C6256D" w:rsidP="009125E7">
            <w:pPr>
              <w:spacing w:before="0" w:after="0"/>
              <w:rPr>
                <w:rFonts w:cs="Arial"/>
                <w:szCs w:val="18"/>
              </w:rPr>
            </w:pPr>
            <w:r w:rsidRPr="00344D90">
              <w:rPr>
                <w:rFonts w:cs="Arial"/>
                <w:szCs w:val="18"/>
              </w:rPr>
              <w:t>Telstra</w:t>
            </w:r>
          </w:p>
        </w:tc>
        <w:tc>
          <w:tcPr>
            <w:tcW w:w="1616" w:type="dxa"/>
            <w:tcMar>
              <w:top w:w="57" w:type="dxa"/>
              <w:left w:w="57" w:type="dxa"/>
              <w:bottom w:w="57" w:type="dxa"/>
              <w:right w:w="57" w:type="dxa"/>
            </w:tcMar>
            <w:hideMark/>
          </w:tcPr>
          <w:p w14:paraId="195F5C2A"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153,310</w:t>
            </w:r>
          </w:p>
        </w:tc>
        <w:tc>
          <w:tcPr>
            <w:tcW w:w="1616" w:type="dxa"/>
            <w:tcMar>
              <w:top w:w="57" w:type="dxa"/>
              <w:left w:w="57" w:type="dxa"/>
              <w:bottom w:w="57" w:type="dxa"/>
              <w:right w:w="57" w:type="dxa"/>
            </w:tcMar>
            <w:hideMark/>
          </w:tcPr>
          <w:p w14:paraId="7A5F67EC"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9.29</w:t>
            </w:r>
          </w:p>
        </w:tc>
        <w:tc>
          <w:tcPr>
            <w:tcW w:w="1616" w:type="dxa"/>
            <w:tcMar>
              <w:top w:w="57" w:type="dxa"/>
              <w:left w:w="57" w:type="dxa"/>
              <w:bottom w:w="57" w:type="dxa"/>
              <w:right w:w="57" w:type="dxa"/>
            </w:tcMar>
            <w:hideMark/>
          </w:tcPr>
          <w:p w14:paraId="3922B4D2"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198,514</w:t>
            </w:r>
          </w:p>
        </w:tc>
        <w:tc>
          <w:tcPr>
            <w:tcW w:w="1617" w:type="dxa"/>
            <w:tcMar>
              <w:top w:w="57" w:type="dxa"/>
              <w:left w:w="57" w:type="dxa"/>
              <w:bottom w:w="57" w:type="dxa"/>
              <w:right w:w="57" w:type="dxa"/>
            </w:tcMar>
            <w:hideMark/>
          </w:tcPr>
          <w:p w14:paraId="037FA3B3"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14.58</w:t>
            </w:r>
          </w:p>
        </w:tc>
      </w:tr>
      <w:tr w:rsidR="00C6256D" w:rsidRPr="00344D90" w14:paraId="4BAC8240" w14:textId="77777777" w:rsidTr="00BE6FCF">
        <w:trPr>
          <w:trHeight w:val="204"/>
        </w:trPr>
        <w:tc>
          <w:tcPr>
            <w:cnfStyle w:val="001000000000" w:firstRow="0" w:lastRow="0" w:firstColumn="1" w:lastColumn="0" w:oddVBand="0" w:evenVBand="0" w:oddHBand="0" w:evenHBand="0" w:firstRowFirstColumn="0" w:firstRowLastColumn="0" w:lastRowFirstColumn="0" w:lastRowLastColumn="0"/>
            <w:tcW w:w="1980" w:type="dxa"/>
            <w:tcMar>
              <w:top w:w="57" w:type="dxa"/>
              <w:left w:w="57" w:type="dxa"/>
              <w:bottom w:w="57" w:type="dxa"/>
              <w:right w:w="57" w:type="dxa"/>
            </w:tcMar>
            <w:hideMark/>
          </w:tcPr>
          <w:p w14:paraId="6E8628AE" w14:textId="77777777" w:rsidR="00C6256D" w:rsidRPr="00344D90" w:rsidRDefault="00C6256D" w:rsidP="009125E7">
            <w:pPr>
              <w:spacing w:before="0" w:after="0"/>
              <w:rPr>
                <w:rFonts w:cs="Arial"/>
                <w:szCs w:val="18"/>
              </w:rPr>
            </w:pPr>
            <w:r w:rsidRPr="00344D90">
              <w:rPr>
                <w:rFonts w:cs="Arial"/>
                <w:szCs w:val="18"/>
              </w:rPr>
              <w:t>Dodo</w:t>
            </w:r>
          </w:p>
        </w:tc>
        <w:tc>
          <w:tcPr>
            <w:tcW w:w="1616" w:type="dxa"/>
            <w:tcMar>
              <w:top w:w="57" w:type="dxa"/>
              <w:left w:w="57" w:type="dxa"/>
              <w:bottom w:w="57" w:type="dxa"/>
              <w:right w:w="57" w:type="dxa"/>
            </w:tcMar>
            <w:hideMark/>
          </w:tcPr>
          <w:p w14:paraId="2BD3805E"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16,038</w:t>
            </w:r>
          </w:p>
        </w:tc>
        <w:tc>
          <w:tcPr>
            <w:tcW w:w="1616" w:type="dxa"/>
            <w:tcMar>
              <w:top w:w="57" w:type="dxa"/>
              <w:left w:w="57" w:type="dxa"/>
              <w:bottom w:w="57" w:type="dxa"/>
              <w:right w:w="57" w:type="dxa"/>
            </w:tcMar>
            <w:hideMark/>
          </w:tcPr>
          <w:p w14:paraId="6BF05204"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0.69</w:t>
            </w:r>
          </w:p>
        </w:tc>
        <w:tc>
          <w:tcPr>
            <w:tcW w:w="1616" w:type="dxa"/>
            <w:tcMar>
              <w:top w:w="57" w:type="dxa"/>
              <w:left w:w="57" w:type="dxa"/>
              <w:bottom w:w="57" w:type="dxa"/>
              <w:right w:w="57" w:type="dxa"/>
            </w:tcMar>
            <w:hideMark/>
          </w:tcPr>
          <w:p w14:paraId="7D87424F"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13,934</w:t>
            </w:r>
          </w:p>
        </w:tc>
        <w:tc>
          <w:tcPr>
            <w:tcW w:w="1617" w:type="dxa"/>
            <w:tcMar>
              <w:top w:w="57" w:type="dxa"/>
              <w:left w:w="57" w:type="dxa"/>
              <w:bottom w:w="57" w:type="dxa"/>
              <w:right w:w="57" w:type="dxa"/>
            </w:tcMar>
            <w:hideMark/>
          </w:tcPr>
          <w:p w14:paraId="4907CF67"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344D90">
              <w:rPr>
                <w:rFonts w:cs="Arial"/>
                <w:color w:val="000000"/>
                <w:szCs w:val="18"/>
              </w:rPr>
              <w:t>0.91</w:t>
            </w:r>
          </w:p>
        </w:tc>
      </w:tr>
      <w:tr w:rsidR="00C6256D" w:rsidRPr="00344D90" w14:paraId="5166D70C" w14:textId="77777777" w:rsidTr="00BE6FCF">
        <w:trPr>
          <w:trHeight w:val="114"/>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Mar>
              <w:top w:w="57" w:type="dxa"/>
              <w:left w:w="57" w:type="dxa"/>
              <w:bottom w:w="57" w:type="dxa"/>
              <w:right w:w="57" w:type="dxa"/>
            </w:tcMar>
            <w:hideMark/>
          </w:tcPr>
          <w:p w14:paraId="340DB74E" w14:textId="77777777" w:rsidR="00C6256D" w:rsidRPr="00344D90" w:rsidRDefault="00C6256D" w:rsidP="009125E7">
            <w:pPr>
              <w:spacing w:before="0" w:after="0"/>
              <w:rPr>
                <w:rFonts w:cs="Arial"/>
                <w:b/>
                <w:bCs/>
                <w:szCs w:val="18"/>
              </w:rPr>
            </w:pPr>
            <w:r w:rsidRPr="00344D90">
              <w:rPr>
                <w:rFonts w:cs="Arial"/>
                <w:b/>
                <w:bCs/>
                <w:szCs w:val="18"/>
              </w:rPr>
              <w:t>Total</w:t>
            </w:r>
          </w:p>
        </w:tc>
        <w:tc>
          <w:tcPr>
            <w:tcW w:w="1616" w:type="dxa"/>
            <w:shd w:val="clear" w:color="auto" w:fill="F2F2F2" w:themeFill="background1" w:themeFillShade="F2"/>
            <w:tcMar>
              <w:top w:w="57" w:type="dxa"/>
              <w:left w:w="57" w:type="dxa"/>
              <w:bottom w:w="57" w:type="dxa"/>
              <w:right w:w="57" w:type="dxa"/>
            </w:tcMar>
            <w:hideMark/>
          </w:tcPr>
          <w:p w14:paraId="0D3DEDF3"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000000" w:themeColor="text1"/>
                <w:szCs w:val="18"/>
              </w:rPr>
            </w:pPr>
            <w:r w:rsidRPr="00344D90">
              <w:rPr>
                <w:rFonts w:cs="Arial"/>
                <w:b/>
                <w:bCs/>
                <w:color w:val="000000" w:themeColor="text1"/>
                <w:szCs w:val="18"/>
              </w:rPr>
              <w:t>221,553</w:t>
            </w:r>
          </w:p>
        </w:tc>
        <w:tc>
          <w:tcPr>
            <w:tcW w:w="1616" w:type="dxa"/>
            <w:shd w:val="clear" w:color="auto" w:fill="F2F2F2" w:themeFill="background1" w:themeFillShade="F2"/>
            <w:tcMar>
              <w:top w:w="57" w:type="dxa"/>
              <w:left w:w="57" w:type="dxa"/>
              <w:bottom w:w="57" w:type="dxa"/>
              <w:right w:w="57" w:type="dxa"/>
            </w:tcMar>
            <w:hideMark/>
          </w:tcPr>
          <w:p w14:paraId="1BDE491D"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000000" w:themeColor="text1"/>
                <w:szCs w:val="18"/>
              </w:rPr>
            </w:pPr>
            <w:r w:rsidRPr="00344D90">
              <w:rPr>
                <w:rFonts w:cs="Arial"/>
                <w:b/>
                <w:bCs/>
                <w:color w:val="000000" w:themeColor="text1"/>
                <w:szCs w:val="18"/>
              </w:rPr>
              <w:t>16.17</w:t>
            </w:r>
          </w:p>
        </w:tc>
        <w:tc>
          <w:tcPr>
            <w:tcW w:w="1616" w:type="dxa"/>
            <w:shd w:val="clear" w:color="auto" w:fill="F2F2F2" w:themeFill="background1" w:themeFillShade="F2"/>
            <w:tcMar>
              <w:top w:w="57" w:type="dxa"/>
              <w:left w:w="57" w:type="dxa"/>
              <w:bottom w:w="57" w:type="dxa"/>
              <w:right w:w="57" w:type="dxa"/>
            </w:tcMar>
            <w:hideMark/>
          </w:tcPr>
          <w:p w14:paraId="39A79C1A"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000000" w:themeColor="text1"/>
                <w:szCs w:val="18"/>
              </w:rPr>
            </w:pPr>
            <w:r w:rsidRPr="00344D90">
              <w:rPr>
                <w:rFonts w:cs="Arial"/>
                <w:b/>
                <w:bCs/>
                <w:color w:val="000000" w:themeColor="text1"/>
                <w:szCs w:val="18"/>
              </w:rPr>
              <w:t>254,729</w:t>
            </w:r>
          </w:p>
        </w:tc>
        <w:tc>
          <w:tcPr>
            <w:tcW w:w="1617" w:type="dxa"/>
            <w:shd w:val="clear" w:color="auto" w:fill="F2F2F2" w:themeFill="background1" w:themeFillShade="F2"/>
            <w:tcMar>
              <w:top w:w="57" w:type="dxa"/>
              <w:left w:w="57" w:type="dxa"/>
              <w:bottom w:w="57" w:type="dxa"/>
              <w:right w:w="57" w:type="dxa"/>
            </w:tcMar>
            <w:hideMark/>
          </w:tcPr>
          <w:p w14:paraId="6E1C5E9E" w14:textId="77777777" w:rsidR="00C6256D" w:rsidRPr="00344D90" w:rsidRDefault="00C6256D"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color w:val="000000" w:themeColor="text1"/>
                <w:szCs w:val="18"/>
              </w:rPr>
            </w:pPr>
            <w:r w:rsidRPr="00344D90">
              <w:rPr>
                <w:rFonts w:cs="Arial"/>
                <w:b/>
                <w:bCs/>
                <w:color w:val="000000" w:themeColor="text1"/>
                <w:szCs w:val="18"/>
              </w:rPr>
              <w:t>20.82</w:t>
            </w:r>
          </w:p>
        </w:tc>
      </w:tr>
    </w:tbl>
    <w:p w14:paraId="7154C6BE" w14:textId="77777777" w:rsidR="00C6256D" w:rsidRPr="00344D90" w:rsidRDefault="00C6256D" w:rsidP="00525CA5">
      <w:pPr>
        <w:pStyle w:val="ACMANotes"/>
        <w:spacing w:before="120"/>
        <w:rPr>
          <w:iCs/>
          <w:color w:val="000000"/>
          <w:szCs w:val="16"/>
        </w:rPr>
      </w:pPr>
      <w:r w:rsidRPr="00344D90">
        <w:t>Note: Numbers may not add up due to rounding.</w:t>
      </w:r>
    </w:p>
    <w:p w14:paraId="5C5949A1" w14:textId="77777777" w:rsidR="00C6256D" w:rsidRPr="00344D90" w:rsidRDefault="00C6256D" w:rsidP="009125E7">
      <w:pPr>
        <w:pStyle w:val="ACMANotesspaceafter"/>
        <w:spacing w:after="360"/>
      </w:pPr>
      <w:r w:rsidRPr="00344D90">
        <w:t>Source: CSP data.</w:t>
      </w:r>
    </w:p>
    <w:p w14:paraId="686A80D3" w14:textId="77777777" w:rsidR="00C6256D" w:rsidRPr="00344D90" w:rsidRDefault="00C6256D" w:rsidP="00C6256D">
      <w:pPr>
        <w:rPr>
          <w:color w:val="000000"/>
        </w:rPr>
      </w:pPr>
      <w:r w:rsidRPr="00344D90">
        <w:t xml:space="preserve">Compensation payments totalled $20.80 million for 2016–17, compared to $16.17 million during </w:t>
      </w:r>
      <w:r w:rsidR="00B86951" w:rsidRPr="00344D90">
        <w:br/>
      </w:r>
      <w:r w:rsidRPr="00344D90">
        <w:t xml:space="preserve">2015–16—an increase of 29 per cent. </w:t>
      </w:r>
    </w:p>
    <w:p w14:paraId="58DD089A" w14:textId="25045411" w:rsidR="00C6256D" w:rsidRPr="006134FA" w:rsidRDefault="00C6256D" w:rsidP="00C6256D">
      <w:pPr>
        <w:rPr>
          <w:color w:val="000000"/>
        </w:rPr>
      </w:pPr>
      <w:r w:rsidRPr="00344D90">
        <w:rPr>
          <w:color w:val="000000"/>
        </w:rPr>
        <w:t>This increase is</w:t>
      </w:r>
      <w:r w:rsidR="00B86951" w:rsidRPr="00344D90">
        <w:rPr>
          <w:color w:val="000000"/>
        </w:rPr>
        <w:t>,</w:t>
      </w:r>
      <w:r w:rsidRPr="00344D90">
        <w:rPr>
          <w:color w:val="000000"/>
        </w:rPr>
        <w:t xml:space="preserve"> in part</w:t>
      </w:r>
      <w:r w:rsidR="00B86951" w:rsidRPr="00344D90">
        <w:rPr>
          <w:color w:val="000000"/>
        </w:rPr>
        <w:t>,</w:t>
      </w:r>
      <w:r w:rsidRPr="00344D90">
        <w:rPr>
          <w:color w:val="000000"/>
        </w:rPr>
        <w:t xml:space="preserve"> a reflection of the transition to NBN services. As a wholesale-only provider of services, </w:t>
      </w:r>
      <w:r w:rsidR="00B86951" w:rsidRPr="00344D90">
        <w:rPr>
          <w:color w:val="000000"/>
        </w:rPr>
        <w:t xml:space="preserve">NBN Co </w:t>
      </w:r>
      <w:r w:rsidRPr="00344D90">
        <w:rPr>
          <w:color w:val="000000"/>
        </w:rPr>
        <w:t xml:space="preserve">is not required to comply with the CSG Standard time frames. This means it does not need to claim exemptions from compliance with the standard where service provision may be affected for circumstances beyond its control (for example, extreme weather conditions and natural disasters). As CSPs often rely on exemptions declared by wholesale providers, this has resulted in CSPs applying for </w:t>
      </w:r>
      <w:r w:rsidR="00A95CCB" w:rsidRPr="00344D90">
        <w:rPr>
          <w:color w:val="000000"/>
        </w:rPr>
        <w:t xml:space="preserve">fewer </w:t>
      </w:r>
      <w:r w:rsidRPr="00344D90">
        <w:rPr>
          <w:color w:val="000000"/>
        </w:rPr>
        <w:t xml:space="preserve">exemptions, resulting in more compensation being paid. In addition, </w:t>
      </w:r>
      <w:r w:rsidRPr="00344D90">
        <w:t>exemptions from compliance with the CSG Standard</w:t>
      </w:r>
      <w:r w:rsidRPr="00344D90">
        <w:rPr>
          <w:color w:val="000000"/>
        </w:rPr>
        <w:t xml:space="preserve"> fell to 58, a one per cent decrease over 2016–17, following a 28 per cent decrease over 2015–16.</w:t>
      </w:r>
      <w:r w:rsidRPr="006134FA">
        <w:rPr>
          <w:color w:val="000000"/>
        </w:rPr>
        <w:t xml:space="preserve"> </w:t>
      </w:r>
    </w:p>
    <w:p w14:paraId="329FCFA4" w14:textId="77777777" w:rsidR="00C6256D" w:rsidRPr="00072794" w:rsidRDefault="00C6256D" w:rsidP="00C6256D">
      <w:pPr>
        <w:pStyle w:val="Heading3"/>
        <w:rPr>
          <w:b w:val="0"/>
          <w:bCs w:val="0"/>
        </w:rPr>
      </w:pPr>
      <w:bookmarkStart w:id="1522" w:name="_Toc494799487"/>
      <w:bookmarkStart w:id="1523" w:name="_Toc494805790"/>
      <w:bookmarkStart w:id="1524" w:name="_Toc494806054"/>
      <w:bookmarkStart w:id="1525" w:name="_Toc494808284"/>
      <w:bookmarkStart w:id="1526" w:name="_Toc494808940"/>
      <w:bookmarkStart w:id="1527" w:name="_Toc494816358"/>
      <w:bookmarkStart w:id="1528" w:name="_Toc494818953"/>
      <w:bookmarkStart w:id="1529" w:name="_Toc494819184"/>
      <w:r w:rsidRPr="00072794">
        <w:t>Exemptions from the CSG Standard</w:t>
      </w:r>
      <w:bookmarkEnd w:id="1522"/>
      <w:bookmarkEnd w:id="1523"/>
      <w:bookmarkEnd w:id="1524"/>
      <w:bookmarkEnd w:id="1525"/>
      <w:bookmarkEnd w:id="1526"/>
      <w:bookmarkEnd w:id="1527"/>
      <w:bookmarkEnd w:id="1528"/>
      <w:bookmarkEnd w:id="1529"/>
    </w:p>
    <w:p w14:paraId="37ED9C4C" w14:textId="77777777" w:rsidR="00C6256D" w:rsidRPr="006134FA" w:rsidRDefault="00C6256D" w:rsidP="00C6256D">
      <w:r w:rsidRPr="006134FA">
        <w:t xml:space="preserve">During periods when circumstances beyond a CSP’s control affect its ability to comply with the CSG Standard, </w:t>
      </w:r>
      <w:r>
        <w:t>it</w:t>
      </w:r>
      <w:r w:rsidRPr="006134FA">
        <w:t xml:space="preserve"> may claim an exemption. Similarly, a CSP may also claim an exemption if there is a need to move staff or equipment to an area affected by circumstances beyond its control. Many exemptions are the result of extreme weather events or natural disasters.</w:t>
      </w:r>
    </w:p>
    <w:p w14:paraId="3191E1A8" w14:textId="77777777" w:rsidR="00C6256D" w:rsidRPr="006134FA" w:rsidRDefault="00C6256D" w:rsidP="00C6256D">
      <w:r>
        <w:t>In 2016–17, the major CSPs claimed a</w:t>
      </w:r>
      <w:r w:rsidRPr="006134FA">
        <w:t xml:space="preserve"> total of </w:t>
      </w:r>
      <w:r>
        <w:t>226</w:t>
      </w:r>
      <w:r w:rsidRPr="006134FA">
        <w:t xml:space="preserve"> exemptions</w:t>
      </w:r>
      <w:r>
        <w:t xml:space="preserve"> (Table 5.10), </w:t>
      </w:r>
      <w:r w:rsidRPr="006134FA">
        <w:t xml:space="preserve">a </w:t>
      </w:r>
      <w:r>
        <w:t>one</w:t>
      </w:r>
      <w:r w:rsidRPr="006134FA">
        <w:t xml:space="preserve"> per cent decrease </w:t>
      </w:r>
      <w:r>
        <w:t>on</w:t>
      </w:r>
      <w:r w:rsidRPr="006134FA">
        <w:t xml:space="preserve"> 201</w:t>
      </w:r>
      <w:r>
        <w:t>5</w:t>
      </w:r>
      <w:r w:rsidRPr="006134FA">
        <w:t>–1</w:t>
      </w:r>
      <w:r>
        <w:t>6</w:t>
      </w:r>
      <w:r w:rsidRPr="006134FA">
        <w:t xml:space="preserve"> (228 exemptions). The median duration for which CSG exemptions applied </w:t>
      </w:r>
      <w:r w:rsidRPr="005E630C">
        <w:t>increased</w:t>
      </w:r>
      <w:r w:rsidRPr="006134FA">
        <w:t xml:space="preserve"> </w:t>
      </w:r>
      <w:r>
        <w:t>from 31 to 33 days over the past year</w:t>
      </w:r>
      <w:r w:rsidRPr="006134FA">
        <w:t>.</w:t>
      </w:r>
    </w:p>
    <w:p w14:paraId="448ABFE6" w14:textId="77777777" w:rsidR="00C6256D" w:rsidRPr="00BB54B6" w:rsidRDefault="00C6256D" w:rsidP="009125E7">
      <w:pPr>
        <w:pStyle w:val="ACMAFigureHeader"/>
      </w:pPr>
      <w:r w:rsidRPr="006134FA">
        <w:t>Table 5.10</w:t>
      </w:r>
      <w:r>
        <w:tab/>
      </w:r>
      <w:r w:rsidRPr="006134FA">
        <w:t xml:space="preserve">CSG </w:t>
      </w:r>
      <w:r w:rsidRPr="00BB54B6">
        <w:t>exemptions for the major CSPs, 2016–17</w:t>
      </w:r>
    </w:p>
    <w:tbl>
      <w:tblPr>
        <w:tblStyle w:val="Commsreport2017"/>
        <w:tblW w:w="9429" w:type="dxa"/>
        <w:tblLayout w:type="fixed"/>
        <w:tblCellMar>
          <w:top w:w="57" w:type="dxa"/>
          <w:left w:w="57" w:type="dxa"/>
          <w:bottom w:w="57" w:type="dxa"/>
          <w:right w:w="57" w:type="dxa"/>
        </w:tblCellMar>
        <w:tblLook w:val="01E0" w:firstRow="1" w:lastRow="1" w:firstColumn="1" w:lastColumn="1" w:noHBand="0" w:noVBand="0"/>
        <w:tblCaption w:val="Table 5.10 Numbers of CSG exemptions for the major CSPs, 2015–16"/>
      </w:tblPr>
      <w:tblGrid>
        <w:gridCol w:w="3195"/>
        <w:gridCol w:w="1484"/>
        <w:gridCol w:w="1485"/>
        <w:gridCol w:w="1485"/>
        <w:gridCol w:w="1780"/>
      </w:tblGrid>
      <w:tr w:rsidR="00C6256D" w:rsidRPr="00515D61" w14:paraId="181490D7" w14:textId="77777777" w:rsidTr="00EC183A">
        <w:trPr>
          <w:cnfStyle w:val="100000000000" w:firstRow="1" w:lastRow="0" w:firstColumn="0" w:lastColumn="0" w:oddVBand="0" w:evenVBand="0" w:oddHBand="0" w:evenHBand="0" w:firstRowFirstColumn="0" w:firstRowLastColumn="0" w:lastRowFirstColumn="0" w:lastRowLastColumn="0"/>
          <w:trHeight w:val="75"/>
          <w:tblHeader/>
        </w:trPr>
        <w:tc>
          <w:tcPr>
            <w:cnfStyle w:val="001000000000" w:firstRow="0" w:lastRow="0" w:firstColumn="1" w:lastColumn="0" w:oddVBand="0" w:evenVBand="0" w:oddHBand="0" w:evenHBand="0" w:firstRowFirstColumn="0" w:firstRowLastColumn="0" w:lastRowFirstColumn="0" w:lastRowLastColumn="0"/>
            <w:tcW w:w="3195" w:type="dxa"/>
            <w:tcMar>
              <w:top w:w="57" w:type="dxa"/>
              <w:left w:w="57" w:type="dxa"/>
              <w:bottom w:w="57" w:type="dxa"/>
              <w:right w:w="57" w:type="dxa"/>
            </w:tcMar>
          </w:tcPr>
          <w:p w14:paraId="19F0BA8A" w14:textId="77777777" w:rsidR="00C6256D" w:rsidRPr="00515D61" w:rsidRDefault="00C6256D" w:rsidP="009125E7">
            <w:pPr>
              <w:pStyle w:val="TableHeading"/>
              <w:spacing w:beforeLines="0" w:before="0" w:afterLines="0"/>
            </w:pPr>
            <w:r w:rsidRPr="00515D61">
              <w:t>Reason for exemption</w:t>
            </w:r>
          </w:p>
        </w:tc>
        <w:tc>
          <w:tcPr>
            <w:tcW w:w="1484" w:type="dxa"/>
            <w:tcMar>
              <w:top w:w="57" w:type="dxa"/>
              <w:left w:w="57" w:type="dxa"/>
              <w:bottom w:w="57" w:type="dxa"/>
              <w:right w:w="57" w:type="dxa"/>
            </w:tcMar>
          </w:tcPr>
          <w:p w14:paraId="43310DC2" w14:textId="77777777" w:rsidR="00C6256D" w:rsidRPr="00515D61" w:rsidRDefault="00C6256D"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515D61">
              <w:t>iiNet</w:t>
            </w:r>
          </w:p>
        </w:tc>
        <w:tc>
          <w:tcPr>
            <w:tcW w:w="1485" w:type="dxa"/>
            <w:tcMar>
              <w:top w:w="57" w:type="dxa"/>
              <w:left w:w="57" w:type="dxa"/>
              <w:bottom w:w="57" w:type="dxa"/>
              <w:right w:w="57" w:type="dxa"/>
            </w:tcMar>
          </w:tcPr>
          <w:p w14:paraId="4BE9AC35" w14:textId="77777777" w:rsidR="00C6256D" w:rsidRPr="00515D61" w:rsidRDefault="00C6256D"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515D61">
              <w:t>Optus</w:t>
            </w:r>
          </w:p>
        </w:tc>
        <w:tc>
          <w:tcPr>
            <w:tcW w:w="1485" w:type="dxa"/>
            <w:tcMar>
              <w:top w:w="57" w:type="dxa"/>
              <w:left w:w="57" w:type="dxa"/>
              <w:bottom w:w="57" w:type="dxa"/>
              <w:right w:w="57" w:type="dxa"/>
            </w:tcMar>
          </w:tcPr>
          <w:p w14:paraId="5E805A33" w14:textId="77777777" w:rsidR="00C6256D" w:rsidRPr="00515D61" w:rsidRDefault="00C6256D"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515D61">
              <w:t>Telstra</w:t>
            </w:r>
          </w:p>
        </w:tc>
        <w:tc>
          <w:tcPr>
            <w:tcW w:w="1780" w:type="dxa"/>
            <w:tcMar>
              <w:top w:w="57" w:type="dxa"/>
              <w:left w:w="57" w:type="dxa"/>
              <w:bottom w:w="57" w:type="dxa"/>
              <w:right w:w="57" w:type="dxa"/>
            </w:tcMar>
          </w:tcPr>
          <w:p w14:paraId="7D113469" w14:textId="77777777" w:rsidR="00C6256D" w:rsidRPr="00515D61" w:rsidRDefault="00C6256D"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r w:rsidRPr="00515D61">
              <w:t>Vocus Communications*</w:t>
            </w:r>
          </w:p>
        </w:tc>
      </w:tr>
      <w:tr w:rsidR="00C6256D" w:rsidRPr="006134FA" w14:paraId="7C94A0F6" w14:textId="77777777" w:rsidTr="00BE6FCF">
        <w:trPr>
          <w:trHeight w:val="111"/>
        </w:trPr>
        <w:tc>
          <w:tcPr>
            <w:cnfStyle w:val="001000000000" w:firstRow="0" w:lastRow="0" w:firstColumn="1" w:lastColumn="0" w:oddVBand="0" w:evenVBand="0" w:oddHBand="0" w:evenHBand="0" w:firstRowFirstColumn="0" w:firstRowLastColumn="0" w:lastRowFirstColumn="0" w:lastRowLastColumn="0"/>
            <w:tcW w:w="3195" w:type="dxa"/>
            <w:tcMar>
              <w:top w:w="57" w:type="dxa"/>
              <w:left w:w="57" w:type="dxa"/>
              <w:bottom w:w="57" w:type="dxa"/>
              <w:right w:w="57" w:type="dxa"/>
            </w:tcMar>
          </w:tcPr>
          <w:p w14:paraId="680542C6" w14:textId="77777777" w:rsidR="00C6256D" w:rsidRPr="00744827" w:rsidRDefault="00C6256D" w:rsidP="009125E7">
            <w:pPr>
              <w:pStyle w:val="ACMATableText"/>
              <w:spacing w:before="0" w:after="0"/>
            </w:pPr>
            <w:r w:rsidRPr="00744827">
              <w:t>Extreme weather conditions</w:t>
            </w:r>
          </w:p>
        </w:tc>
        <w:tc>
          <w:tcPr>
            <w:tcW w:w="1484" w:type="dxa"/>
            <w:tcMar>
              <w:top w:w="57" w:type="dxa"/>
              <w:left w:w="57" w:type="dxa"/>
              <w:bottom w:w="57" w:type="dxa"/>
              <w:right w:w="57" w:type="dxa"/>
            </w:tcMar>
          </w:tcPr>
          <w:p w14:paraId="2CDF8863"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46</w:t>
            </w:r>
          </w:p>
        </w:tc>
        <w:tc>
          <w:tcPr>
            <w:tcW w:w="1485" w:type="dxa"/>
            <w:tcMar>
              <w:top w:w="57" w:type="dxa"/>
              <w:left w:w="57" w:type="dxa"/>
              <w:bottom w:w="57" w:type="dxa"/>
              <w:right w:w="57" w:type="dxa"/>
            </w:tcMar>
          </w:tcPr>
          <w:p w14:paraId="16800B5E"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54</w:t>
            </w:r>
          </w:p>
        </w:tc>
        <w:tc>
          <w:tcPr>
            <w:tcW w:w="1485" w:type="dxa"/>
            <w:tcMar>
              <w:top w:w="57" w:type="dxa"/>
              <w:left w:w="57" w:type="dxa"/>
              <w:bottom w:w="57" w:type="dxa"/>
              <w:right w:w="57" w:type="dxa"/>
            </w:tcMar>
          </w:tcPr>
          <w:p w14:paraId="4940E0FA"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t>54</w:t>
            </w:r>
          </w:p>
        </w:tc>
        <w:tc>
          <w:tcPr>
            <w:tcW w:w="1780" w:type="dxa"/>
            <w:tcMar>
              <w:top w:w="57" w:type="dxa"/>
              <w:left w:w="57" w:type="dxa"/>
              <w:bottom w:w="57" w:type="dxa"/>
              <w:right w:w="57" w:type="dxa"/>
            </w:tcMar>
          </w:tcPr>
          <w:p w14:paraId="5903A9C4"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t>54</w:t>
            </w:r>
          </w:p>
        </w:tc>
      </w:tr>
      <w:tr w:rsidR="00C6256D" w:rsidRPr="006134FA" w14:paraId="408CD4EA" w14:textId="77777777" w:rsidTr="00BE6FCF">
        <w:trPr>
          <w:trHeight w:val="60"/>
        </w:trPr>
        <w:tc>
          <w:tcPr>
            <w:cnfStyle w:val="001000000000" w:firstRow="0" w:lastRow="0" w:firstColumn="1" w:lastColumn="0" w:oddVBand="0" w:evenVBand="0" w:oddHBand="0" w:evenHBand="0" w:firstRowFirstColumn="0" w:firstRowLastColumn="0" w:lastRowFirstColumn="0" w:lastRowLastColumn="0"/>
            <w:tcW w:w="3195" w:type="dxa"/>
            <w:tcMar>
              <w:top w:w="57" w:type="dxa"/>
              <w:left w:w="57" w:type="dxa"/>
              <w:bottom w:w="57" w:type="dxa"/>
              <w:right w:w="57" w:type="dxa"/>
            </w:tcMar>
          </w:tcPr>
          <w:p w14:paraId="6CEFF89F" w14:textId="77777777" w:rsidR="00C6256D" w:rsidRPr="00744827" w:rsidRDefault="00C6256D" w:rsidP="009125E7">
            <w:pPr>
              <w:pStyle w:val="ACMATableText"/>
              <w:spacing w:before="0" w:after="0"/>
              <w:rPr>
                <w:spacing w:val="-28"/>
              </w:rPr>
            </w:pPr>
            <w:r w:rsidRPr="00744827">
              <w:t>Natural disasters</w:t>
            </w:r>
          </w:p>
        </w:tc>
        <w:tc>
          <w:tcPr>
            <w:tcW w:w="1484" w:type="dxa"/>
            <w:tcMar>
              <w:top w:w="57" w:type="dxa"/>
              <w:left w:w="57" w:type="dxa"/>
              <w:bottom w:w="57" w:type="dxa"/>
              <w:right w:w="57" w:type="dxa"/>
            </w:tcMar>
          </w:tcPr>
          <w:p w14:paraId="4D21E452"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1</w:t>
            </w:r>
          </w:p>
        </w:tc>
        <w:tc>
          <w:tcPr>
            <w:tcW w:w="1485" w:type="dxa"/>
            <w:tcMar>
              <w:top w:w="57" w:type="dxa"/>
              <w:left w:w="57" w:type="dxa"/>
              <w:bottom w:w="57" w:type="dxa"/>
              <w:right w:w="57" w:type="dxa"/>
            </w:tcMar>
          </w:tcPr>
          <w:p w14:paraId="284101AC"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2</w:t>
            </w:r>
          </w:p>
        </w:tc>
        <w:tc>
          <w:tcPr>
            <w:tcW w:w="1485" w:type="dxa"/>
            <w:tcMar>
              <w:top w:w="57" w:type="dxa"/>
              <w:left w:w="57" w:type="dxa"/>
              <w:bottom w:w="57" w:type="dxa"/>
              <w:right w:w="57" w:type="dxa"/>
            </w:tcMar>
          </w:tcPr>
          <w:p w14:paraId="60E9DBD4"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2</w:t>
            </w:r>
          </w:p>
        </w:tc>
        <w:tc>
          <w:tcPr>
            <w:tcW w:w="1780" w:type="dxa"/>
            <w:tcMar>
              <w:top w:w="57" w:type="dxa"/>
              <w:left w:w="57" w:type="dxa"/>
              <w:bottom w:w="57" w:type="dxa"/>
              <w:right w:w="57" w:type="dxa"/>
            </w:tcMar>
          </w:tcPr>
          <w:p w14:paraId="06A344A3"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pPr>
            <w:r w:rsidRPr="00744827">
              <w:rPr>
                <w:color w:val="000000"/>
              </w:rPr>
              <w:t>2</w:t>
            </w:r>
          </w:p>
        </w:tc>
      </w:tr>
      <w:tr w:rsidR="00C6256D" w:rsidRPr="006134FA" w14:paraId="51DD47E2" w14:textId="77777777" w:rsidTr="00BE6FCF">
        <w:trPr>
          <w:trHeight w:val="160"/>
        </w:trPr>
        <w:tc>
          <w:tcPr>
            <w:cnfStyle w:val="001000000000" w:firstRow="0" w:lastRow="0" w:firstColumn="1" w:lastColumn="0" w:oddVBand="0" w:evenVBand="0" w:oddHBand="0" w:evenHBand="0" w:firstRowFirstColumn="0" w:firstRowLastColumn="0" w:lastRowFirstColumn="0" w:lastRowLastColumn="0"/>
            <w:tcW w:w="3195" w:type="dxa"/>
            <w:tcMar>
              <w:top w:w="57" w:type="dxa"/>
              <w:left w:w="57" w:type="dxa"/>
              <w:bottom w:w="57" w:type="dxa"/>
              <w:right w:w="57" w:type="dxa"/>
            </w:tcMar>
          </w:tcPr>
          <w:p w14:paraId="75D0FB95" w14:textId="77777777" w:rsidR="00C6256D" w:rsidRPr="00744827" w:rsidRDefault="00C6256D" w:rsidP="009125E7">
            <w:pPr>
              <w:pStyle w:val="ACMATableText"/>
              <w:spacing w:before="0" w:after="0"/>
            </w:pPr>
            <w:r w:rsidRPr="00744827">
              <w:t>Other</w:t>
            </w:r>
          </w:p>
        </w:tc>
        <w:tc>
          <w:tcPr>
            <w:tcW w:w="1484" w:type="dxa"/>
            <w:tcMar>
              <w:top w:w="57" w:type="dxa"/>
              <w:left w:w="57" w:type="dxa"/>
              <w:bottom w:w="57" w:type="dxa"/>
              <w:right w:w="57" w:type="dxa"/>
            </w:tcMar>
          </w:tcPr>
          <w:p w14:paraId="6D507684"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Cs/>
                <w:color w:val="000000"/>
              </w:rPr>
            </w:pPr>
            <w:r w:rsidRPr="00744827">
              <w:rPr>
                <w:bCs/>
                <w:color w:val="000000"/>
              </w:rPr>
              <w:t>3</w:t>
            </w:r>
          </w:p>
        </w:tc>
        <w:tc>
          <w:tcPr>
            <w:tcW w:w="1485" w:type="dxa"/>
            <w:tcMar>
              <w:top w:w="57" w:type="dxa"/>
              <w:left w:w="57" w:type="dxa"/>
              <w:bottom w:w="57" w:type="dxa"/>
              <w:right w:w="57" w:type="dxa"/>
            </w:tcMar>
          </w:tcPr>
          <w:p w14:paraId="42DF9BAA"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Cs/>
                <w:color w:val="000000"/>
              </w:rPr>
            </w:pPr>
            <w:r w:rsidRPr="00744827">
              <w:rPr>
                <w:bCs/>
                <w:color w:val="000000"/>
              </w:rPr>
              <w:t>3</w:t>
            </w:r>
          </w:p>
        </w:tc>
        <w:tc>
          <w:tcPr>
            <w:tcW w:w="1485" w:type="dxa"/>
            <w:tcMar>
              <w:top w:w="57" w:type="dxa"/>
              <w:left w:w="57" w:type="dxa"/>
              <w:bottom w:w="57" w:type="dxa"/>
              <w:right w:w="57" w:type="dxa"/>
            </w:tcMar>
          </w:tcPr>
          <w:p w14:paraId="1763B063"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Cs/>
                <w:color w:val="000000"/>
              </w:rPr>
            </w:pPr>
            <w:r w:rsidRPr="00744827">
              <w:rPr>
                <w:bCs/>
                <w:color w:val="000000"/>
              </w:rPr>
              <w:t>3</w:t>
            </w:r>
          </w:p>
        </w:tc>
        <w:tc>
          <w:tcPr>
            <w:tcW w:w="1780" w:type="dxa"/>
            <w:tcMar>
              <w:top w:w="57" w:type="dxa"/>
              <w:left w:w="57" w:type="dxa"/>
              <w:bottom w:w="57" w:type="dxa"/>
              <w:right w:w="57" w:type="dxa"/>
            </w:tcMar>
          </w:tcPr>
          <w:p w14:paraId="66728175"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Cs/>
                <w:color w:val="000000"/>
              </w:rPr>
            </w:pPr>
            <w:r w:rsidRPr="00744827">
              <w:rPr>
                <w:bCs/>
                <w:color w:val="000000"/>
              </w:rPr>
              <w:t>2</w:t>
            </w:r>
          </w:p>
        </w:tc>
      </w:tr>
      <w:tr w:rsidR="00C6256D" w:rsidRPr="006134FA" w14:paraId="45DB4973" w14:textId="77777777" w:rsidTr="00BE6FCF">
        <w:trPr>
          <w:trHeight w:val="66"/>
        </w:trPr>
        <w:tc>
          <w:tcPr>
            <w:cnfStyle w:val="001000000000" w:firstRow="0" w:lastRow="0" w:firstColumn="1" w:lastColumn="0" w:oddVBand="0" w:evenVBand="0" w:oddHBand="0" w:evenHBand="0" w:firstRowFirstColumn="0" w:firstRowLastColumn="0" w:lastRowFirstColumn="0" w:lastRowLastColumn="0"/>
            <w:tcW w:w="3195" w:type="dxa"/>
            <w:shd w:val="clear" w:color="auto" w:fill="F2F2F2" w:themeFill="background1" w:themeFillShade="F2"/>
            <w:tcMar>
              <w:top w:w="57" w:type="dxa"/>
              <w:left w:w="57" w:type="dxa"/>
              <w:bottom w:w="57" w:type="dxa"/>
              <w:right w:w="57" w:type="dxa"/>
            </w:tcMar>
          </w:tcPr>
          <w:p w14:paraId="311B95E6" w14:textId="77777777" w:rsidR="00C6256D" w:rsidRPr="00744827" w:rsidRDefault="00C6256D" w:rsidP="009125E7">
            <w:pPr>
              <w:pStyle w:val="ACMATableText"/>
              <w:spacing w:before="0" w:after="0"/>
              <w:rPr>
                <w:b/>
              </w:rPr>
            </w:pPr>
            <w:r w:rsidRPr="00744827">
              <w:rPr>
                <w:b/>
              </w:rPr>
              <w:t>Total</w:t>
            </w:r>
          </w:p>
        </w:tc>
        <w:tc>
          <w:tcPr>
            <w:tcW w:w="1484" w:type="dxa"/>
            <w:shd w:val="clear" w:color="auto" w:fill="F2F2F2" w:themeFill="background1" w:themeFillShade="F2"/>
            <w:tcMar>
              <w:top w:w="57" w:type="dxa"/>
              <w:left w:w="57" w:type="dxa"/>
              <w:bottom w:w="57" w:type="dxa"/>
              <w:right w:w="57" w:type="dxa"/>
            </w:tcMar>
          </w:tcPr>
          <w:p w14:paraId="0A526882"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
                <w:bCs/>
              </w:rPr>
            </w:pPr>
            <w:r w:rsidRPr="00744827">
              <w:rPr>
                <w:b/>
                <w:bCs/>
              </w:rPr>
              <w:t>50</w:t>
            </w:r>
          </w:p>
        </w:tc>
        <w:tc>
          <w:tcPr>
            <w:tcW w:w="1485" w:type="dxa"/>
            <w:shd w:val="clear" w:color="auto" w:fill="F2F2F2" w:themeFill="background1" w:themeFillShade="F2"/>
            <w:tcMar>
              <w:top w:w="57" w:type="dxa"/>
              <w:left w:w="57" w:type="dxa"/>
              <w:bottom w:w="57" w:type="dxa"/>
              <w:right w:w="57" w:type="dxa"/>
            </w:tcMar>
          </w:tcPr>
          <w:p w14:paraId="167FEF70"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
                <w:bCs/>
              </w:rPr>
            </w:pPr>
            <w:r w:rsidRPr="00744827">
              <w:rPr>
                <w:b/>
                <w:bCs/>
              </w:rPr>
              <w:t>59</w:t>
            </w:r>
          </w:p>
        </w:tc>
        <w:tc>
          <w:tcPr>
            <w:tcW w:w="1485" w:type="dxa"/>
            <w:shd w:val="clear" w:color="auto" w:fill="F2F2F2" w:themeFill="background1" w:themeFillShade="F2"/>
            <w:tcMar>
              <w:top w:w="57" w:type="dxa"/>
              <w:left w:w="57" w:type="dxa"/>
              <w:bottom w:w="57" w:type="dxa"/>
              <w:right w:w="57" w:type="dxa"/>
            </w:tcMar>
          </w:tcPr>
          <w:p w14:paraId="4511559B"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
                <w:bCs/>
              </w:rPr>
            </w:pPr>
            <w:r w:rsidRPr="00744827">
              <w:rPr>
                <w:b/>
                <w:bCs/>
              </w:rPr>
              <w:t>59</w:t>
            </w:r>
          </w:p>
        </w:tc>
        <w:tc>
          <w:tcPr>
            <w:tcW w:w="1780" w:type="dxa"/>
            <w:shd w:val="clear" w:color="auto" w:fill="F2F2F2" w:themeFill="background1" w:themeFillShade="F2"/>
            <w:tcMar>
              <w:top w:w="57" w:type="dxa"/>
              <w:left w:w="57" w:type="dxa"/>
              <w:bottom w:w="57" w:type="dxa"/>
              <w:right w:w="57" w:type="dxa"/>
            </w:tcMar>
          </w:tcPr>
          <w:p w14:paraId="450E04CF" w14:textId="77777777" w:rsidR="00C6256D" w:rsidRPr="00744827" w:rsidRDefault="00C6256D" w:rsidP="009125E7">
            <w:pPr>
              <w:pStyle w:val="ACMATableText"/>
              <w:spacing w:before="0" w:after="0"/>
              <w:cnfStyle w:val="000000000000" w:firstRow="0" w:lastRow="0" w:firstColumn="0" w:lastColumn="0" w:oddVBand="0" w:evenVBand="0" w:oddHBand="0" w:evenHBand="0" w:firstRowFirstColumn="0" w:firstRowLastColumn="0" w:lastRowFirstColumn="0" w:lastRowLastColumn="0"/>
              <w:rPr>
                <w:b/>
                <w:bCs/>
              </w:rPr>
            </w:pPr>
            <w:r w:rsidRPr="00744827">
              <w:rPr>
                <w:b/>
                <w:bCs/>
              </w:rPr>
              <w:t>58</w:t>
            </w:r>
          </w:p>
        </w:tc>
      </w:tr>
    </w:tbl>
    <w:p w14:paraId="089D88DD" w14:textId="77777777" w:rsidR="00C6256D" w:rsidRPr="006134FA" w:rsidRDefault="00C6256D" w:rsidP="00525CA5">
      <w:pPr>
        <w:pStyle w:val="ACMANotes"/>
        <w:keepNext/>
        <w:keepLines/>
        <w:spacing w:before="120"/>
      </w:pPr>
      <w:r w:rsidRPr="006134FA">
        <w:t xml:space="preserve">*Formerly M2 Group. Exemption notifications for </w:t>
      </w:r>
      <w:r>
        <w:t>i</w:t>
      </w:r>
      <w:r w:rsidRPr="006134FA">
        <w:t>Primus, Dod</w:t>
      </w:r>
      <w:r>
        <w:t>o, Eftel, Commander, aaNet and e</w:t>
      </w:r>
      <w:r w:rsidRPr="006134FA">
        <w:t>ngin have been included in Vocus Communications notifications.</w:t>
      </w:r>
    </w:p>
    <w:p w14:paraId="1E982FB9" w14:textId="77777777" w:rsidR="00C6256D" w:rsidRDefault="00C6256D" w:rsidP="009125E7">
      <w:pPr>
        <w:pStyle w:val="ACMANotesspaceafter"/>
        <w:spacing w:after="360"/>
      </w:pPr>
      <w:r w:rsidRPr="006134FA">
        <w:t>Source: CSP data.</w:t>
      </w:r>
    </w:p>
    <w:p w14:paraId="4F6B90D7" w14:textId="77777777" w:rsidR="00C6256D" w:rsidRPr="00686EBE" w:rsidRDefault="00C6256D" w:rsidP="00C6256D">
      <w:pPr>
        <w:pStyle w:val="Heading2"/>
        <w:numPr>
          <w:ilvl w:val="1"/>
          <w:numId w:val="20"/>
        </w:numPr>
        <w:ind w:hanging="792"/>
      </w:pPr>
      <w:bookmarkStart w:id="1530" w:name="_Toc433790417"/>
      <w:bookmarkStart w:id="1531" w:name="_Toc494799488"/>
      <w:bookmarkStart w:id="1532" w:name="_Toc494805791"/>
      <w:bookmarkStart w:id="1533" w:name="_Toc494806055"/>
      <w:bookmarkStart w:id="1534" w:name="_Toc494808285"/>
      <w:bookmarkStart w:id="1535" w:name="_Toc494808941"/>
      <w:bookmarkStart w:id="1536" w:name="_Toc494816359"/>
      <w:bookmarkStart w:id="1537" w:name="_Toc494818954"/>
      <w:bookmarkStart w:id="1538" w:name="_Toc494819185"/>
      <w:bookmarkStart w:id="1539" w:name="_Toc500320927"/>
      <w:r w:rsidRPr="00686EBE">
        <w:t>Network Reliability Framework</w:t>
      </w:r>
      <w:bookmarkEnd w:id="1530"/>
      <w:bookmarkEnd w:id="1531"/>
      <w:bookmarkEnd w:id="1532"/>
      <w:bookmarkEnd w:id="1533"/>
      <w:bookmarkEnd w:id="1534"/>
      <w:bookmarkEnd w:id="1535"/>
      <w:bookmarkEnd w:id="1536"/>
      <w:bookmarkEnd w:id="1537"/>
      <w:bookmarkEnd w:id="1538"/>
      <w:bookmarkEnd w:id="1539"/>
    </w:p>
    <w:p w14:paraId="6CA070A1" w14:textId="77777777" w:rsidR="00C6256D" w:rsidRPr="006134FA" w:rsidRDefault="00C6256D" w:rsidP="00C6256D">
      <w:pPr>
        <w:rPr>
          <w:rFonts w:cs="Arial"/>
        </w:rPr>
      </w:pPr>
      <w:r w:rsidRPr="006134FA">
        <w:rPr>
          <w:rFonts w:cs="Arial"/>
        </w:rPr>
        <w:t xml:space="preserve">The ACMA monitors the reliability of Telstra’s fixed-line telephone service network under the </w:t>
      </w:r>
      <w:r w:rsidR="002044D7">
        <w:rPr>
          <w:rFonts w:cs="Arial"/>
        </w:rPr>
        <w:t>Network Reliability Framework (</w:t>
      </w:r>
      <w:r w:rsidRPr="006134FA">
        <w:rPr>
          <w:rFonts w:cs="Arial"/>
        </w:rPr>
        <w:t>NRF</w:t>
      </w:r>
      <w:r w:rsidR="002044D7">
        <w:rPr>
          <w:rFonts w:cs="Arial"/>
        </w:rPr>
        <w:t>)</w:t>
      </w:r>
      <w:r w:rsidRPr="006134FA">
        <w:rPr>
          <w:rFonts w:cs="Arial"/>
        </w:rPr>
        <w:t xml:space="preserve">. The NRF applies only to services that Telstra provides to its CSG Standard-eligible customers. Telstra is required to report to </w:t>
      </w:r>
      <w:r w:rsidR="002044D7">
        <w:rPr>
          <w:rFonts w:cs="Arial"/>
        </w:rPr>
        <w:t>us</w:t>
      </w:r>
      <w:r w:rsidRPr="006134FA">
        <w:rPr>
          <w:rFonts w:cs="Arial"/>
        </w:rPr>
        <w:t xml:space="preserve"> on the performance of its network and to fix poorly performing cable runs and individual services.</w:t>
      </w:r>
    </w:p>
    <w:p w14:paraId="620DB93C" w14:textId="77777777" w:rsidR="00C6256D" w:rsidRPr="006134FA" w:rsidRDefault="00C6256D" w:rsidP="00C6256D">
      <w:pPr>
        <w:spacing w:after="80"/>
        <w:rPr>
          <w:rFonts w:cs="Arial"/>
        </w:rPr>
      </w:pPr>
      <w:r w:rsidRPr="006134FA">
        <w:rPr>
          <w:rFonts w:cs="Arial"/>
        </w:rPr>
        <w:t>The NRF requires monitoring and/or remedying network reliability performance at three levels:</w:t>
      </w:r>
    </w:p>
    <w:p w14:paraId="4388309A" w14:textId="77777777" w:rsidR="00C6256D" w:rsidRPr="00A50F66" w:rsidRDefault="00C6256D" w:rsidP="00682979">
      <w:pPr>
        <w:pStyle w:val="ListBullet"/>
      </w:pPr>
      <w:r w:rsidRPr="006134FA">
        <w:t xml:space="preserve">Level 1—national and geographical area level, </w:t>
      </w:r>
      <w:r w:rsidRPr="00A50F66">
        <w:t>based on Telstra’s 44 field service areas (FSAs)</w:t>
      </w:r>
    </w:p>
    <w:p w14:paraId="5ABD5CCF" w14:textId="77777777" w:rsidR="00C6256D" w:rsidRPr="006134FA" w:rsidRDefault="00C6256D" w:rsidP="00682979">
      <w:pPr>
        <w:pStyle w:val="ListBullet"/>
      </w:pPr>
      <w:r w:rsidRPr="002044D7">
        <w:t>Level 2—local-level cable runs in disaggregated</w:t>
      </w:r>
      <w:r w:rsidRPr="006134FA">
        <w:t xml:space="preserve"> parts of the network</w:t>
      </w:r>
    </w:p>
    <w:p w14:paraId="2D9E5B60" w14:textId="77777777" w:rsidR="00C6256D" w:rsidRPr="006134FA" w:rsidRDefault="00C6256D" w:rsidP="00682979">
      <w:pPr>
        <w:pStyle w:val="ListBulletLast"/>
      </w:pPr>
      <w:r w:rsidRPr="006134FA">
        <w:t xml:space="preserve">Level 3—individual service level that includes all Telstra services covered by the </w:t>
      </w:r>
      <w:r w:rsidRPr="00A50F66">
        <w:t>CSG</w:t>
      </w:r>
      <w:r w:rsidRPr="006134FA">
        <w:t xml:space="preserve"> Standard.</w:t>
      </w:r>
    </w:p>
    <w:p w14:paraId="2F24341D" w14:textId="77777777" w:rsidR="00C6256D" w:rsidRPr="006134FA" w:rsidRDefault="00C6256D" w:rsidP="00C6256D">
      <w:r w:rsidRPr="006134FA">
        <w:t xml:space="preserve">Level 1 is designed to inform the public about overall network reliability </w:t>
      </w:r>
      <w:r>
        <w:t>performance. Under levels 2 and </w:t>
      </w:r>
      <w:r w:rsidRPr="006134FA">
        <w:t>3, Telstra is required to remediate poorly performing parts of its network as a priority.</w:t>
      </w:r>
    </w:p>
    <w:p w14:paraId="1AF005E4" w14:textId="77777777" w:rsidR="00C6256D" w:rsidRPr="00072794" w:rsidRDefault="00C6256D" w:rsidP="00C6256D">
      <w:pPr>
        <w:pStyle w:val="Heading3"/>
        <w:rPr>
          <w:b w:val="0"/>
          <w:bCs w:val="0"/>
        </w:rPr>
      </w:pPr>
      <w:bookmarkStart w:id="1540" w:name="_Toc494799489"/>
      <w:bookmarkStart w:id="1541" w:name="_Toc494805792"/>
      <w:bookmarkStart w:id="1542" w:name="_Toc494806056"/>
      <w:bookmarkStart w:id="1543" w:name="_Toc494808286"/>
      <w:bookmarkStart w:id="1544" w:name="_Toc494808942"/>
      <w:bookmarkStart w:id="1545" w:name="_Toc494816360"/>
      <w:bookmarkStart w:id="1546" w:name="_Toc494818955"/>
      <w:bookmarkStart w:id="1547" w:name="_Toc494819186"/>
      <w:r w:rsidRPr="00072794">
        <w:t>Level 1—national and field service area performance</w:t>
      </w:r>
      <w:bookmarkEnd w:id="1540"/>
      <w:bookmarkEnd w:id="1541"/>
      <w:bookmarkEnd w:id="1542"/>
      <w:bookmarkEnd w:id="1543"/>
      <w:bookmarkEnd w:id="1544"/>
      <w:bookmarkEnd w:id="1545"/>
      <w:bookmarkEnd w:id="1546"/>
      <w:bookmarkEnd w:id="1547"/>
    </w:p>
    <w:p w14:paraId="051ECF01" w14:textId="77777777" w:rsidR="00C6256D" w:rsidRPr="006134FA" w:rsidRDefault="00C6256D" w:rsidP="00C6256D">
      <w:r w:rsidRPr="006134FA">
        <w:t>Telstra’s national performance data is presented in Figure 5.2. Level 1a shows the percentage of CSG Standard services that did not experience a fault during the month reported. Level 1b shows the percentage of time in a month that CSG Standard services, on average, are available.</w:t>
      </w:r>
    </w:p>
    <w:p w14:paraId="09F7FE4E" w14:textId="77777777" w:rsidR="00D678EC" w:rsidRPr="006134FA" w:rsidRDefault="00D678EC" w:rsidP="00574669">
      <w:pPr>
        <w:pStyle w:val="ACMAFigureHeader"/>
        <w:keepNext/>
        <w:spacing w:after="240"/>
      </w:pPr>
      <w:r w:rsidRPr="006134FA">
        <w:t>Figure 5.2</w:t>
      </w:r>
      <w:r>
        <w:tab/>
      </w:r>
      <w:r w:rsidRPr="006134FA">
        <w:t xml:space="preserve">Telstra’s </w:t>
      </w:r>
      <w:r>
        <w:t>l</w:t>
      </w:r>
      <w:r w:rsidRPr="006134FA">
        <w:t>evel 1a and 1b performance, based on monthly reports (percentage)</w:t>
      </w:r>
    </w:p>
    <w:p w14:paraId="09E3BEDF" w14:textId="77777777" w:rsidR="0077185B" w:rsidRDefault="00D678EC" w:rsidP="00AE3C5E">
      <w:pPr>
        <w:keepNext/>
        <w:keepLines/>
        <w:spacing w:before="60" w:after="120" w:line="240" w:lineRule="auto"/>
      </w:pPr>
      <w:r>
        <w:rPr>
          <w:noProof/>
        </w:rPr>
        <w:drawing>
          <wp:inline distT="0" distB="0" distL="0" distR="0" wp14:anchorId="2907EEC6" wp14:editId="2779B99C">
            <wp:extent cx="5939530" cy="3319153"/>
            <wp:effectExtent l="0" t="0" r="4445" b="0"/>
            <wp:docPr id="39" name="Picture 39" descr="Data for Figure 5.2 is in the .ods file for Chapter 5 on the landing page ‘Communications report 2016-17’, available from the ACMA website." title="Figure 5.2  Telstra’s level 1a and 1b performance, based on monthly report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hapter 5_Figure 5.2.png"/>
                    <pic:cNvPicPr/>
                  </pic:nvPicPr>
                  <pic:blipFill rotWithShape="1">
                    <a:blip r:embed="rId108">
                      <a:extLst>
                        <a:ext uri="{28A0092B-C50C-407E-A947-70E740481C1C}">
                          <a14:useLocalDpi xmlns:a14="http://schemas.microsoft.com/office/drawing/2010/main" val="0"/>
                        </a:ext>
                      </a:extLst>
                    </a:blip>
                    <a:srcRect t="4200" b="1903"/>
                    <a:stretch/>
                  </pic:blipFill>
                  <pic:spPr bwMode="auto">
                    <a:xfrm>
                      <a:off x="0" y="0"/>
                      <a:ext cx="5939790" cy="3319298"/>
                    </a:xfrm>
                    <a:prstGeom prst="rect">
                      <a:avLst/>
                    </a:prstGeom>
                    <a:ln>
                      <a:noFill/>
                    </a:ln>
                    <a:extLst>
                      <a:ext uri="{53640926-AAD7-44D8-BBD7-CCE9431645EC}">
                        <a14:shadowObscured xmlns:a14="http://schemas.microsoft.com/office/drawing/2010/main"/>
                      </a:ext>
                    </a:extLst>
                  </pic:spPr>
                </pic:pic>
              </a:graphicData>
            </a:graphic>
          </wp:inline>
        </w:drawing>
      </w:r>
    </w:p>
    <w:p w14:paraId="011E1DE6" w14:textId="77777777" w:rsidR="00D678EC" w:rsidRDefault="00D678EC" w:rsidP="009125E7">
      <w:pPr>
        <w:pStyle w:val="ACMANotes"/>
        <w:spacing w:before="240"/>
      </w:pPr>
      <w:r>
        <w:t>Base: Number in each category</w:t>
      </w:r>
      <w:r w:rsidR="009972F2">
        <w:t>.</w:t>
      </w:r>
    </w:p>
    <w:p w14:paraId="7B6DAC76" w14:textId="77777777" w:rsidR="00D678EC" w:rsidRPr="0086538B" w:rsidRDefault="00D678EC" w:rsidP="009125E7">
      <w:pPr>
        <w:pStyle w:val="ACMANotesspaceafter"/>
        <w:spacing w:after="360"/>
      </w:pPr>
      <w:r w:rsidRPr="00702802">
        <w:t>Source: Telstra</w:t>
      </w:r>
      <w:r>
        <w:t>.</w:t>
      </w:r>
    </w:p>
    <w:p w14:paraId="397E15A4" w14:textId="77777777" w:rsidR="00D678EC" w:rsidRPr="006134FA" w:rsidRDefault="00D678EC" w:rsidP="00D678EC">
      <w:r w:rsidRPr="006134FA">
        <w:t xml:space="preserve">Under Level 1a, FSAs in urban areas experienced a lower percentage of faults than those in non-urban areas. On average, </w:t>
      </w:r>
      <w:r>
        <w:t>1.46</w:t>
      </w:r>
      <w:r w:rsidRPr="006134FA">
        <w:t xml:space="preserve"> per cent of services experienced a fault in any given month in urban areas, compared </w:t>
      </w:r>
      <w:r w:rsidRPr="00212C50">
        <w:t>to 1.70 per</w:t>
      </w:r>
      <w:r w:rsidRPr="006134FA">
        <w:t xml:space="preserve"> cent in non-urban areas. Figure 5.3 shows the seasonal nature of NRF Level 1a performance. </w:t>
      </w:r>
      <w:r>
        <w:t>S</w:t>
      </w:r>
      <w:r w:rsidRPr="006134FA">
        <w:t>mall changes in this figure represent relatively large changes in the number of faults occurring on the network.</w:t>
      </w:r>
    </w:p>
    <w:p w14:paraId="351113D0" w14:textId="77777777" w:rsidR="00D678EC" w:rsidRPr="006134FA" w:rsidRDefault="00D678EC" w:rsidP="00D678EC">
      <w:r w:rsidRPr="006134FA">
        <w:t>Level 1b measures the percentage of time in a month that services (on average) are available; that is, not awaiting repair. In 201</w:t>
      </w:r>
      <w:r>
        <w:t>6</w:t>
      </w:r>
      <w:r w:rsidRPr="006134FA">
        <w:t>–1</w:t>
      </w:r>
      <w:r>
        <w:t>7</w:t>
      </w:r>
      <w:r w:rsidRPr="006134FA">
        <w:t xml:space="preserve">, services were available, on a monthly average, </w:t>
      </w:r>
      <w:r>
        <w:t>99.79</w:t>
      </w:r>
      <w:r w:rsidRPr="006134FA">
        <w:t xml:space="preserve"> per cent of the time (nationally)</w:t>
      </w:r>
      <w:r>
        <w:t>. I</w:t>
      </w:r>
      <w:r w:rsidRPr="006134FA">
        <w:t>n 201</w:t>
      </w:r>
      <w:r>
        <w:t>5</w:t>
      </w:r>
      <w:r w:rsidRPr="006134FA">
        <w:t>–1</w:t>
      </w:r>
      <w:r>
        <w:t>6,</w:t>
      </w:r>
      <w:r w:rsidRPr="006134FA">
        <w:t xml:space="preserve"> services were available</w:t>
      </w:r>
      <w:r w:rsidR="002044D7">
        <w:t xml:space="preserve"> </w:t>
      </w:r>
      <w:r w:rsidRPr="006134FA">
        <w:t>99.84 per cent of the time.</w:t>
      </w:r>
    </w:p>
    <w:p w14:paraId="6B31E73B" w14:textId="77777777" w:rsidR="00D678EC" w:rsidRPr="006134FA" w:rsidRDefault="00D678EC" w:rsidP="00D678EC">
      <w:r w:rsidRPr="006134FA">
        <w:t>The ACMA also uses data provided under Level 1 of the NRF to calculate the average time (in hours) for fault-affected CSG Standard services to be repaired for the month (Level 1c—Figure 5.3). Level 1c measures the average number of hours Telstra took to restore fault-affected services in the month. While Level 1b takes into account all services, Level 1c only considers services that experienced a fault.</w:t>
      </w:r>
    </w:p>
    <w:p w14:paraId="7480A603" w14:textId="77777777" w:rsidR="00D678EC" w:rsidRPr="006134FA" w:rsidRDefault="00D678EC" w:rsidP="00D678EC">
      <w:r w:rsidRPr="006134FA">
        <w:t xml:space="preserve">In terms of elapsed time, it took an average of </w:t>
      </w:r>
      <w:r>
        <w:t>97</w:t>
      </w:r>
      <w:r w:rsidRPr="006134FA">
        <w:t xml:space="preserve"> hours to restore services that had a fault in 201</w:t>
      </w:r>
      <w:r>
        <w:t>6</w:t>
      </w:r>
      <w:r w:rsidRPr="006134FA">
        <w:t>–1</w:t>
      </w:r>
      <w:r>
        <w:t>7,</w:t>
      </w:r>
      <w:r w:rsidRPr="006134FA">
        <w:t xml:space="preserve"> compared to an average of 76</w:t>
      </w:r>
      <w:r>
        <w:t xml:space="preserve"> </w:t>
      </w:r>
      <w:r w:rsidRPr="006134FA">
        <w:t>hours in 201</w:t>
      </w:r>
      <w:r>
        <w:t>6</w:t>
      </w:r>
      <w:r w:rsidRPr="006134FA">
        <w:t>–1</w:t>
      </w:r>
      <w:r>
        <w:t>7</w:t>
      </w:r>
      <w:r w:rsidRPr="006134FA">
        <w:t xml:space="preserve">. It </w:t>
      </w:r>
      <w:r>
        <w:t xml:space="preserve">also </w:t>
      </w:r>
      <w:r w:rsidRPr="006134FA">
        <w:t xml:space="preserve">took an average of </w:t>
      </w:r>
      <w:r>
        <w:t>81</w:t>
      </w:r>
      <w:r w:rsidRPr="006134FA">
        <w:t xml:space="preserve"> hours to restore fault-affected services in urban areas </w:t>
      </w:r>
      <w:r>
        <w:t>(</w:t>
      </w:r>
      <w:r w:rsidRPr="006134FA">
        <w:t>66</w:t>
      </w:r>
      <w:r>
        <w:t xml:space="preserve"> </w:t>
      </w:r>
      <w:r w:rsidRPr="006134FA">
        <w:t xml:space="preserve">hours </w:t>
      </w:r>
      <w:r>
        <w:t xml:space="preserve">in 2015–16) </w:t>
      </w:r>
      <w:r w:rsidRPr="006134FA">
        <w:t xml:space="preserve">and </w:t>
      </w:r>
      <w:r>
        <w:t>119</w:t>
      </w:r>
      <w:r w:rsidRPr="006134FA">
        <w:t xml:space="preserve"> hours in non-urban areas</w:t>
      </w:r>
      <w:r>
        <w:t xml:space="preserve"> (</w:t>
      </w:r>
      <w:r w:rsidRPr="006134FA">
        <w:t>90</w:t>
      </w:r>
      <w:r>
        <w:t xml:space="preserve"> </w:t>
      </w:r>
      <w:r w:rsidRPr="006134FA">
        <w:t>hours</w:t>
      </w:r>
      <w:r>
        <w:t xml:space="preserve"> in 2015–16)</w:t>
      </w:r>
      <w:r w:rsidRPr="006134FA">
        <w:t>.</w:t>
      </w:r>
    </w:p>
    <w:p w14:paraId="066DAA5E" w14:textId="77777777" w:rsidR="00D678EC" w:rsidRPr="00093325" w:rsidRDefault="00D678EC" w:rsidP="009125E7">
      <w:pPr>
        <w:pStyle w:val="ACMAFigureHeader"/>
        <w:keepNext/>
        <w:spacing w:after="240"/>
        <w:ind w:left="1021" w:hanging="1021"/>
      </w:pPr>
      <w:r w:rsidRPr="006134FA">
        <w:t>Figure 5.3</w:t>
      </w:r>
      <w:r>
        <w:tab/>
      </w:r>
      <w:r w:rsidRPr="006134FA">
        <w:t>Level 1c—average time for Telstra to restore fault-affected services (hours)</w:t>
      </w:r>
    </w:p>
    <w:p w14:paraId="382D9391" w14:textId="77777777" w:rsidR="00D678EC" w:rsidRDefault="00D678EC" w:rsidP="00AE3C5E">
      <w:pPr>
        <w:keepNext/>
        <w:keepLines/>
        <w:spacing w:before="60" w:after="120" w:line="240" w:lineRule="auto"/>
      </w:pPr>
      <w:r>
        <w:rPr>
          <w:noProof/>
        </w:rPr>
        <w:drawing>
          <wp:inline distT="0" distB="0" distL="0" distR="0" wp14:anchorId="6D926301" wp14:editId="7AE4B173">
            <wp:extent cx="5939343" cy="3200400"/>
            <wp:effectExtent l="0" t="0" r="4445" b="0"/>
            <wp:docPr id="40" name="Picture 40" descr="Data for Figure 5.3 is in the .ods file for Chapter 5 on the landing page ‘Communications report 2016-17’, available from the ACMA website." title="Figure 5.3  Level 1c—average time for Telstra to restore fault-affected services (h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hapter 5_Figure 5.3.png"/>
                    <pic:cNvPicPr/>
                  </pic:nvPicPr>
                  <pic:blipFill rotWithShape="1">
                    <a:blip r:embed="rId109">
                      <a:extLst>
                        <a:ext uri="{28A0092B-C50C-407E-A947-70E740481C1C}">
                          <a14:useLocalDpi xmlns:a14="http://schemas.microsoft.com/office/drawing/2010/main" val="0"/>
                        </a:ext>
                      </a:extLst>
                    </a:blip>
                    <a:srcRect/>
                    <a:stretch/>
                  </pic:blipFill>
                  <pic:spPr bwMode="auto">
                    <a:xfrm>
                      <a:off x="0" y="0"/>
                      <a:ext cx="5939790" cy="3200641"/>
                    </a:xfrm>
                    <a:prstGeom prst="rect">
                      <a:avLst/>
                    </a:prstGeom>
                    <a:ln>
                      <a:noFill/>
                    </a:ln>
                    <a:extLst>
                      <a:ext uri="{53640926-AAD7-44D8-BBD7-CCE9431645EC}">
                        <a14:shadowObscured xmlns:a14="http://schemas.microsoft.com/office/drawing/2010/main"/>
                      </a:ext>
                    </a:extLst>
                  </pic:spPr>
                </pic:pic>
              </a:graphicData>
            </a:graphic>
          </wp:inline>
        </w:drawing>
      </w:r>
    </w:p>
    <w:p w14:paraId="4782FD17" w14:textId="77777777" w:rsidR="00D678EC" w:rsidRDefault="00D678EC" w:rsidP="009125E7">
      <w:pPr>
        <w:pStyle w:val="ACMANotes"/>
        <w:spacing w:before="240"/>
      </w:pPr>
      <w:r>
        <w:t>Base: Number in each category.</w:t>
      </w:r>
    </w:p>
    <w:p w14:paraId="073425EA" w14:textId="77777777" w:rsidR="00D678EC" w:rsidRPr="0086538B" w:rsidRDefault="00D678EC" w:rsidP="009125E7">
      <w:pPr>
        <w:pStyle w:val="ACMANotesspaceafter"/>
        <w:spacing w:after="360"/>
      </w:pPr>
      <w:r w:rsidRPr="00702802">
        <w:t>Source: Telstra</w:t>
      </w:r>
      <w:r>
        <w:t>.</w:t>
      </w:r>
    </w:p>
    <w:p w14:paraId="769F2B37" w14:textId="77777777" w:rsidR="00D678EC" w:rsidRPr="00072794" w:rsidRDefault="00D678EC" w:rsidP="00D678EC">
      <w:pPr>
        <w:pStyle w:val="Heading3"/>
        <w:rPr>
          <w:b w:val="0"/>
          <w:bCs w:val="0"/>
        </w:rPr>
      </w:pPr>
      <w:r w:rsidRPr="00072794">
        <w:t>Level 2—local cable run remediation</w:t>
      </w:r>
    </w:p>
    <w:p w14:paraId="5349D96F" w14:textId="77777777" w:rsidR="00D678EC" w:rsidRPr="006134FA" w:rsidRDefault="00D678EC" w:rsidP="00D678EC">
      <w:r w:rsidRPr="006134FA">
        <w:t xml:space="preserve">Level 2 of the NRF requires Telstra to report on and undertake remediation work on the 40 poorest performing cable runs—a set of 10 or 100 copper wire pairs within a physical cable sheath—each month. </w:t>
      </w:r>
    </w:p>
    <w:p w14:paraId="53276C49" w14:textId="77777777" w:rsidR="00D678EC" w:rsidRPr="006134FA" w:rsidRDefault="00D678EC" w:rsidP="00D678EC">
      <w:r w:rsidRPr="006134FA">
        <w:t>During 201</w:t>
      </w:r>
      <w:r>
        <w:t>6</w:t>
      </w:r>
      <w:r w:rsidRPr="006134FA">
        <w:t>–1</w:t>
      </w:r>
      <w:r>
        <w:t>7</w:t>
      </w:r>
      <w:r w:rsidRPr="006134FA">
        <w:t xml:space="preserve">, Telstra completed remediation and monitoring of </w:t>
      </w:r>
      <w:r>
        <w:t>497</w:t>
      </w:r>
      <w:r w:rsidRPr="006134FA">
        <w:t xml:space="preserve"> cable runs, some of which were identified for remediation in previous reporting periods. For the year, Telstra identified the required 480 cable runs to be remediated. Telstra also remediated an additional </w:t>
      </w:r>
      <w:r>
        <w:t>397</w:t>
      </w:r>
      <w:r w:rsidRPr="006134FA">
        <w:t xml:space="preserve"> cable runs associated with the reported cable runs</w:t>
      </w:r>
      <w:r>
        <w:t xml:space="preserve"> (</w:t>
      </w:r>
      <w:r w:rsidRPr="006134FA">
        <w:t xml:space="preserve">385 </w:t>
      </w:r>
      <w:r>
        <w:t>in 2015–16)</w:t>
      </w:r>
      <w:r w:rsidRPr="006134FA">
        <w:t>. Telstra estimated that remediation work undertaken as part of Level 2 of the NRF in 201</w:t>
      </w:r>
      <w:r>
        <w:t>6</w:t>
      </w:r>
      <w:r w:rsidRPr="006134FA">
        <w:t>–1</w:t>
      </w:r>
      <w:r>
        <w:t>7</w:t>
      </w:r>
      <w:r w:rsidRPr="006134FA">
        <w:t xml:space="preserve"> improved the reliability of </w:t>
      </w:r>
      <w:r w:rsidRPr="00BA41A3">
        <w:t>21,690</w:t>
      </w:r>
      <w:r>
        <w:t xml:space="preserve"> </w:t>
      </w:r>
      <w:r w:rsidRPr="006134FA">
        <w:t>services</w:t>
      </w:r>
      <w:r>
        <w:t xml:space="preserve"> (</w:t>
      </w:r>
      <w:r w:rsidRPr="006134FA">
        <w:t>24,743 in 201</w:t>
      </w:r>
      <w:r>
        <w:t>5</w:t>
      </w:r>
      <w:r w:rsidRPr="006134FA">
        <w:t>–1</w:t>
      </w:r>
      <w:r>
        <w:t>6)</w:t>
      </w:r>
      <w:r w:rsidRPr="006134FA">
        <w:t>.</w:t>
      </w:r>
    </w:p>
    <w:p w14:paraId="2A721B1E" w14:textId="77777777" w:rsidR="00D678EC" w:rsidRPr="00072794" w:rsidRDefault="00D678EC" w:rsidP="00D678EC">
      <w:pPr>
        <w:pStyle w:val="Heading3"/>
        <w:rPr>
          <w:b w:val="0"/>
          <w:bCs w:val="0"/>
        </w:rPr>
      </w:pPr>
      <w:bookmarkStart w:id="1548" w:name="_Toc494799491"/>
      <w:bookmarkStart w:id="1549" w:name="_Toc494805794"/>
      <w:bookmarkStart w:id="1550" w:name="_Toc494806058"/>
      <w:bookmarkStart w:id="1551" w:name="_Toc494808288"/>
      <w:bookmarkStart w:id="1552" w:name="_Toc494808944"/>
      <w:bookmarkStart w:id="1553" w:name="_Toc494816362"/>
      <w:bookmarkStart w:id="1554" w:name="_Toc494818957"/>
      <w:bookmarkStart w:id="1555" w:name="_Toc494819188"/>
      <w:r w:rsidRPr="00072794">
        <w:t>Level 3—individual service performance</w:t>
      </w:r>
      <w:bookmarkEnd w:id="1548"/>
      <w:bookmarkEnd w:id="1549"/>
      <w:bookmarkEnd w:id="1550"/>
      <w:bookmarkEnd w:id="1551"/>
      <w:bookmarkEnd w:id="1552"/>
      <w:bookmarkEnd w:id="1553"/>
      <w:bookmarkEnd w:id="1554"/>
      <w:bookmarkEnd w:id="1555"/>
    </w:p>
    <w:p w14:paraId="76870544" w14:textId="77777777" w:rsidR="00D678EC" w:rsidRPr="006134FA" w:rsidRDefault="00D678EC" w:rsidP="00D678EC">
      <w:r w:rsidRPr="006134FA">
        <w:t>Telstra is required to take action to prevent an individual CSG Standard-eligible service from experiencing more than either three faults in a rolling 60</w:t>
      </w:r>
      <w:r>
        <w:t>-</w:t>
      </w:r>
      <w:r w:rsidRPr="006134FA">
        <w:t>day period (NRF Level 3a) or four faults in a rolling 365</w:t>
      </w:r>
      <w:r>
        <w:t>-</w:t>
      </w:r>
      <w:r w:rsidRPr="006134FA">
        <w:t>day period (NRF Level 3b).</w:t>
      </w:r>
    </w:p>
    <w:p w14:paraId="34E20AD3" w14:textId="77777777" w:rsidR="00D678EC" w:rsidRPr="006134FA" w:rsidRDefault="00D678EC" w:rsidP="00E1208C">
      <w:r w:rsidRPr="006134FA">
        <w:t>Telstra reports to the ACMA on any services that breach these thresholds, investigates the performance of the service and then undertakes necessary remediation.</w:t>
      </w:r>
    </w:p>
    <w:p w14:paraId="5EC603B6" w14:textId="77777777" w:rsidR="00D678EC" w:rsidRPr="006134FA" w:rsidRDefault="00D678EC" w:rsidP="00E1208C">
      <w:r w:rsidRPr="006134FA">
        <w:t>Figure 5.4 shows that the number of services experiencing four or more faults in a rolling 60</w:t>
      </w:r>
      <w:r>
        <w:t>-</w:t>
      </w:r>
      <w:r w:rsidRPr="006134FA">
        <w:t>day period (Level 3a) or five or more faults in a rolling 365-day period (Level 3b).</w:t>
      </w:r>
    </w:p>
    <w:p w14:paraId="6D894CC2" w14:textId="77777777" w:rsidR="00D678EC" w:rsidRPr="00D678EC" w:rsidRDefault="00D678EC" w:rsidP="009125E7">
      <w:pPr>
        <w:pStyle w:val="ACMAFigureHeader"/>
        <w:keepNext/>
        <w:ind w:left="1136" w:hanging="1136"/>
      </w:pPr>
      <w:r w:rsidRPr="00D678EC">
        <w:t>Figure 5.4</w:t>
      </w:r>
      <w:r w:rsidRPr="00D678EC">
        <w:tab/>
        <w:t xml:space="preserve">Telstra CSG Standard services with four or more faults in a rolling 60-day period (Level 3a) and five or more faults in a rolling 365-day period (Level 3b) </w:t>
      </w:r>
    </w:p>
    <w:p w14:paraId="4752A10B" w14:textId="77777777" w:rsidR="00D678EC" w:rsidRDefault="00D678EC" w:rsidP="00AE3C5E">
      <w:pPr>
        <w:keepNext/>
        <w:keepLines/>
        <w:spacing w:before="60" w:after="120" w:line="240" w:lineRule="auto"/>
      </w:pPr>
      <w:r>
        <w:rPr>
          <w:noProof/>
        </w:rPr>
        <w:drawing>
          <wp:inline distT="0" distB="0" distL="0" distR="0" wp14:anchorId="5691E3AA" wp14:editId="0CDFC120">
            <wp:extent cx="5938890" cy="3265714"/>
            <wp:effectExtent l="0" t="0" r="5080" b="0"/>
            <wp:docPr id="42" name="Picture 42" descr="Data for Figure 5.4 is in the .ods file for Chapter 5 on the landing page ‘Communications report 2016-17’, available from the ACMA website." title="Figure 5.4  Telstra CSG Standard services with four or more faults in a rolling 60-day period (Level 3a) and five or more faults in a rolling 365-day period (Level 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hapter 5_Figure 5.4.png"/>
                    <pic:cNvPicPr/>
                  </pic:nvPicPr>
                  <pic:blipFill rotWithShape="1">
                    <a:blip r:embed="rId110">
                      <a:extLst>
                        <a:ext uri="{28A0092B-C50C-407E-A947-70E740481C1C}">
                          <a14:useLocalDpi xmlns:a14="http://schemas.microsoft.com/office/drawing/2010/main" val="0"/>
                        </a:ext>
                      </a:extLst>
                    </a:blip>
                    <a:srcRect t="2103" b="1538"/>
                    <a:stretch/>
                  </pic:blipFill>
                  <pic:spPr bwMode="auto">
                    <a:xfrm>
                      <a:off x="0" y="0"/>
                      <a:ext cx="5939790" cy="3266209"/>
                    </a:xfrm>
                    <a:prstGeom prst="rect">
                      <a:avLst/>
                    </a:prstGeom>
                    <a:ln>
                      <a:noFill/>
                    </a:ln>
                    <a:extLst>
                      <a:ext uri="{53640926-AAD7-44D8-BBD7-CCE9431645EC}">
                        <a14:shadowObscured xmlns:a14="http://schemas.microsoft.com/office/drawing/2010/main"/>
                      </a:ext>
                    </a:extLst>
                  </pic:spPr>
                </pic:pic>
              </a:graphicData>
            </a:graphic>
          </wp:inline>
        </w:drawing>
      </w:r>
    </w:p>
    <w:p w14:paraId="47F8F27F" w14:textId="77777777" w:rsidR="0042565F" w:rsidRDefault="0042565F" w:rsidP="009125E7">
      <w:pPr>
        <w:pStyle w:val="ACMANotes"/>
        <w:spacing w:before="240"/>
      </w:pPr>
      <w:r>
        <w:t>Base: Number of services.</w:t>
      </w:r>
    </w:p>
    <w:p w14:paraId="347BC143" w14:textId="77777777" w:rsidR="0040781A" w:rsidRDefault="0042565F" w:rsidP="009125E7">
      <w:pPr>
        <w:pStyle w:val="ACMANotesspaceafter"/>
        <w:spacing w:after="360"/>
      </w:pPr>
      <w:r>
        <w:t>Source: Telstra.</w:t>
      </w:r>
    </w:p>
    <w:p w14:paraId="0AB1F9FD" w14:textId="77777777" w:rsidR="0042565F" w:rsidRPr="006134FA" w:rsidRDefault="0042565F" w:rsidP="0042565F">
      <w:r w:rsidRPr="006134FA">
        <w:t xml:space="preserve">Telstra reported a </w:t>
      </w:r>
      <w:r>
        <w:t>slight increase</w:t>
      </w:r>
      <w:r w:rsidRPr="006134FA">
        <w:t xml:space="preserve"> in the number of services experiencing breaches of the 60</w:t>
      </w:r>
      <w:r>
        <w:t>-</w:t>
      </w:r>
      <w:r w:rsidRPr="006134FA">
        <w:t xml:space="preserve">day threshold, with </w:t>
      </w:r>
      <w:r>
        <w:t>27</w:t>
      </w:r>
      <w:r w:rsidRPr="006134FA">
        <w:t xml:space="preserve"> breaches per month (on average) and a total of </w:t>
      </w:r>
      <w:r>
        <w:t>320</w:t>
      </w:r>
      <w:r w:rsidRPr="006134FA">
        <w:t xml:space="preserve"> for 201</w:t>
      </w:r>
      <w:r>
        <w:t>6</w:t>
      </w:r>
      <w:r w:rsidRPr="006134FA">
        <w:t>–1</w:t>
      </w:r>
      <w:r>
        <w:t>7</w:t>
      </w:r>
      <w:r w:rsidRPr="006134FA">
        <w:t>. In 201</w:t>
      </w:r>
      <w:r>
        <w:t>5</w:t>
      </w:r>
      <w:r w:rsidRPr="006134FA">
        <w:t>–1</w:t>
      </w:r>
      <w:r>
        <w:t>6</w:t>
      </w:r>
      <w:r w:rsidR="0040781A">
        <w:t>, there was</w:t>
      </w:r>
      <w:r w:rsidRPr="006134FA">
        <w:t xml:space="preserve"> an average of </w:t>
      </w:r>
      <w:r>
        <w:t>22</w:t>
      </w:r>
      <w:r w:rsidRPr="006134FA">
        <w:t xml:space="preserve"> breaches per month and a total of 258</w:t>
      </w:r>
      <w:r>
        <w:t xml:space="preserve"> </w:t>
      </w:r>
      <w:r w:rsidRPr="006134FA">
        <w:t>for the year.</w:t>
      </w:r>
    </w:p>
    <w:p w14:paraId="68D01FCC" w14:textId="77777777" w:rsidR="0042565F" w:rsidRPr="006134FA" w:rsidRDefault="0042565F" w:rsidP="0042565F">
      <w:r w:rsidRPr="006134FA">
        <w:t xml:space="preserve">Telstra reported a slight </w:t>
      </w:r>
      <w:r>
        <w:t>decrease</w:t>
      </w:r>
      <w:r w:rsidRPr="006134FA">
        <w:t xml:space="preserve"> in the number of services experiencing breaches of the 365</w:t>
      </w:r>
      <w:r>
        <w:t>-</w:t>
      </w:r>
      <w:r w:rsidRPr="006134FA">
        <w:t xml:space="preserve">day threshold, with </w:t>
      </w:r>
      <w:r>
        <w:t>167</w:t>
      </w:r>
      <w:r w:rsidRPr="006134FA">
        <w:t xml:space="preserve"> breaches per month (on average) and a total of </w:t>
      </w:r>
      <w:r>
        <w:t>2,007</w:t>
      </w:r>
      <w:r w:rsidRPr="006134FA">
        <w:t xml:space="preserve"> for 2015–16. </w:t>
      </w:r>
      <w:r>
        <w:t xml:space="preserve">In 2015–16, </w:t>
      </w:r>
      <w:r w:rsidR="0040781A">
        <w:t>there was</w:t>
      </w:r>
      <w:r>
        <w:t xml:space="preserve"> an average of</w:t>
      </w:r>
      <w:r w:rsidRPr="006134FA">
        <w:t xml:space="preserve"> </w:t>
      </w:r>
      <w:r>
        <w:t>187</w:t>
      </w:r>
      <w:r w:rsidRPr="006134FA">
        <w:t xml:space="preserve"> breaches per month and a total of 2,248 for the year.</w:t>
      </w:r>
    </w:p>
    <w:p w14:paraId="1360BA7E" w14:textId="77777777" w:rsidR="0042565F" w:rsidRPr="006134FA" w:rsidRDefault="0042565F" w:rsidP="0042565F">
      <w:r w:rsidRPr="006134FA">
        <w:t>Telstra is required to remediate any service that breaches the fault thresholds and monitor that service for an eight</w:t>
      </w:r>
      <w:r>
        <w:t>-</w:t>
      </w:r>
      <w:r w:rsidRPr="006134FA">
        <w:t>month period. If a service experiences another fault (known as a monitoring-period fault) during the monitoring period, Telstra must report this to the ACMA</w:t>
      </w:r>
      <w:r>
        <w:t>,</w:t>
      </w:r>
      <w:r w:rsidRPr="006134FA">
        <w:t xml:space="preserve"> together with an assessment of whether the fault is related or unrelated to the original fault(s) that caused the contravention. In 201</w:t>
      </w:r>
      <w:r>
        <w:t>6</w:t>
      </w:r>
      <w:r w:rsidRPr="006134FA">
        <w:t>–1</w:t>
      </w:r>
      <w:r>
        <w:t>7</w:t>
      </w:r>
      <w:r w:rsidRPr="006134FA">
        <w:t xml:space="preserve">, Telstra reported </w:t>
      </w:r>
      <w:r>
        <w:t>836</w:t>
      </w:r>
      <w:r w:rsidRPr="006134FA">
        <w:t xml:space="preserve"> monitoring-period faults (across </w:t>
      </w:r>
      <w:r>
        <w:t>643</w:t>
      </w:r>
      <w:r w:rsidRPr="006134FA">
        <w:t xml:space="preserve"> individual services) and assessed </w:t>
      </w:r>
      <w:r>
        <w:t>11</w:t>
      </w:r>
      <w:r w:rsidRPr="006134FA">
        <w:t xml:space="preserve"> faults as related to the original contravention. This compares to </w:t>
      </w:r>
      <w:r w:rsidRPr="00D15740">
        <w:t>937</w:t>
      </w:r>
      <w:r>
        <w:t xml:space="preserve"> </w:t>
      </w:r>
      <w:r w:rsidRPr="00D15740">
        <w:t>monitoring-period faults (across 767</w:t>
      </w:r>
      <w:r>
        <w:t xml:space="preserve"> </w:t>
      </w:r>
      <w:r w:rsidRPr="00D15740">
        <w:t>individual services) reported and 24 faults</w:t>
      </w:r>
      <w:r w:rsidRPr="006134FA">
        <w:t xml:space="preserve"> assessed as related to the original contravention in 201</w:t>
      </w:r>
      <w:r>
        <w:t>5</w:t>
      </w:r>
      <w:r w:rsidRPr="006134FA">
        <w:t>–1</w:t>
      </w:r>
      <w:r>
        <w:t>6</w:t>
      </w:r>
      <w:r w:rsidRPr="006134FA">
        <w:t xml:space="preserve">. </w:t>
      </w:r>
    </w:p>
    <w:p w14:paraId="00DF1E0A" w14:textId="77777777" w:rsidR="0042565F" w:rsidRDefault="0042565F" w:rsidP="0042565F">
      <w:r w:rsidRPr="006134FA">
        <w:t>Additionally, Telstra is required to report to the ACMA quarterly any services where remediation has not been completed within the expected time frames. In 201</w:t>
      </w:r>
      <w:r>
        <w:t>6</w:t>
      </w:r>
      <w:r w:rsidRPr="006134FA">
        <w:t>–1</w:t>
      </w:r>
      <w:r>
        <w:t>7</w:t>
      </w:r>
      <w:r w:rsidRPr="006134FA">
        <w:t xml:space="preserve">, Telstra reported </w:t>
      </w:r>
      <w:r>
        <w:t>186</w:t>
      </w:r>
      <w:r w:rsidRPr="006134FA">
        <w:t xml:space="preserve"> delays to remediation, with an average reported delay of </w:t>
      </w:r>
      <w:r>
        <w:t>118</w:t>
      </w:r>
      <w:r w:rsidRPr="006134FA">
        <w:t xml:space="preserve"> days. This compares to 190 delays to remediation</w:t>
      </w:r>
      <w:r>
        <w:t>,</w:t>
      </w:r>
      <w:r w:rsidRPr="006134FA">
        <w:t xml:space="preserve"> with an average</w:t>
      </w:r>
      <w:r>
        <w:t> </w:t>
      </w:r>
      <w:r w:rsidRPr="006134FA">
        <w:t>reported delay of 119 days</w:t>
      </w:r>
      <w:r>
        <w:t>,</w:t>
      </w:r>
      <w:r w:rsidRPr="006134FA">
        <w:t xml:space="preserve"> in 201</w:t>
      </w:r>
      <w:r>
        <w:t>5</w:t>
      </w:r>
      <w:r w:rsidRPr="006134FA">
        <w:t>–1</w:t>
      </w:r>
      <w:r>
        <w:t>6</w:t>
      </w:r>
      <w:r w:rsidRPr="006134FA">
        <w:t>. Some services were reported as experiencing more than one delay.</w:t>
      </w:r>
    </w:p>
    <w:p w14:paraId="0A9003D5" w14:textId="566B3970" w:rsidR="0042565F" w:rsidRPr="00403D9A" w:rsidRDefault="0042565F" w:rsidP="0042565F">
      <w:r w:rsidRPr="00403D9A">
        <w:t xml:space="preserve">In 2016–17, the ACMA agreed to grant Telstra regulatory forbearance in circumstances where Telstra is unable to meet its level 2 and 3 obligations because its assets have been transferred to </w:t>
      </w:r>
      <w:r w:rsidR="0040781A">
        <w:t>NBN Co</w:t>
      </w:r>
      <w:r w:rsidRPr="00403D9A">
        <w:t xml:space="preserve">. </w:t>
      </w:r>
      <w:r w:rsidR="0040781A">
        <w:t>This</w:t>
      </w:r>
      <w:r w:rsidRPr="00403D9A">
        <w:t xml:space="preserve"> is contingent on Telstra meeting certain conditions and will be reviewed at the beginning of 201</w:t>
      </w:r>
      <w:r>
        <w:t>7</w:t>
      </w:r>
      <w:r w:rsidRPr="00403D9A">
        <w:t>–1</w:t>
      </w:r>
      <w:r>
        <w:t>8</w:t>
      </w:r>
      <w:r w:rsidRPr="00403D9A">
        <w:t xml:space="preserve">. </w:t>
      </w:r>
      <w:r>
        <w:t xml:space="preserve">In 2016–17, Telstra did not seek regulatory forbearance for any </w:t>
      </w:r>
      <w:r w:rsidRPr="00CE0E76">
        <w:t xml:space="preserve">of its </w:t>
      </w:r>
      <w:r w:rsidR="00CE0E76" w:rsidRPr="00CE0E76">
        <w:t>L</w:t>
      </w:r>
      <w:r w:rsidRPr="00CE0E76">
        <w:t xml:space="preserve">evel 2 obligations. However, </w:t>
      </w:r>
      <w:r w:rsidR="0040781A" w:rsidRPr="00CE0E76">
        <w:t xml:space="preserve">it </w:t>
      </w:r>
      <w:r w:rsidRPr="00CE0E76">
        <w:t xml:space="preserve">was granted regulatory forbearance </w:t>
      </w:r>
      <w:r w:rsidR="0040781A" w:rsidRPr="00CE0E76">
        <w:t>for</w:t>
      </w:r>
      <w:r w:rsidRPr="00CE0E76">
        <w:t xml:space="preserve"> 23 </w:t>
      </w:r>
      <w:r w:rsidR="00CE0E76" w:rsidRPr="00CE0E76">
        <w:t>L</w:t>
      </w:r>
      <w:r w:rsidRPr="00CE0E76">
        <w:t xml:space="preserve">evel 3 monitoring and 72 </w:t>
      </w:r>
      <w:r w:rsidR="00CE0E76" w:rsidRPr="00CE0E76">
        <w:t>L</w:t>
      </w:r>
      <w:r w:rsidRPr="00CE0E76">
        <w:t>evel 3 remediation obligations</w:t>
      </w:r>
      <w:r>
        <w:t>.</w:t>
      </w:r>
    </w:p>
    <w:p w14:paraId="51EFBD93" w14:textId="77777777" w:rsidR="0042565F" w:rsidRPr="00744827" w:rsidRDefault="0042565F" w:rsidP="0042565F">
      <w:pPr>
        <w:pStyle w:val="Heading2"/>
        <w:numPr>
          <w:ilvl w:val="1"/>
          <w:numId w:val="20"/>
        </w:numPr>
        <w:ind w:hanging="792"/>
      </w:pPr>
      <w:bookmarkStart w:id="1556" w:name="_Toc462909510"/>
      <w:bookmarkStart w:id="1557" w:name="_Toc494799492"/>
      <w:bookmarkStart w:id="1558" w:name="_Toc494805795"/>
      <w:bookmarkStart w:id="1559" w:name="_Toc494806059"/>
      <w:bookmarkStart w:id="1560" w:name="_Toc494808289"/>
      <w:bookmarkStart w:id="1561" w:name="_Toc494808945"/>
      <w:bookmarkStart w:id="1562" w:name="_Toc494816363"/>
      <w:bookmarkStart w:id="1563" w:name="_Toc494818958"/>
      <w:bookmarkStart w:id="1564" w:name="_Toc494819189"/>
      <w:bookmarkStart w:id="1565" w:name="_Toc500320928"/>
      <w:r w:rsidRPr="00744827">
        <w:t>Priority assistance</w:t>
      </w:r>
      <w:bookmarkEnd w:id="1556"/>
      <w:bookmarkEnd w:id="1557"/>
      <w:bookmarkEnd w:id="1558"/>
      <w:bookmarkEnd w:id="1559"/>
      <w:bookmarkEnd w:id="1560"/>
      <w:bookmarkEnd w:id="1561"/>
      <w:bookmarkEnd w:id="1562"/>
      <w:bookmarkEnd w:id="1563"/>
      <w:bookmarkEnd w:id="1564"/>
      <w:bookmarkEnd w:id="1565"/>
    </w:p>
    <w:p w14:paraId="75488269" w14:textId="77777777" w:rsidR="0042565F" w:rsidRPr="00A92ED0" w:rsidRDefault="0042565F" w:rsidP="0042565F">
      <w:pPr>
        <w:keepLines/>
      </w:pPr>
      <w:r w:rsidRPr="00A92ED0">
        <w:t>Priority assistance is a priority telephone connection and repair service for people with a diagnosed life</w:t>
      </w:r>
      <w:r w:rsidR="0040781A">
        <w:noBreakHyphen/>
      </w:r>
      <w:r w:rsidRPr="00A92ED0">
        <w:t xml:space="preserve">threatening medical condition who are at risk of suffering a rapid deterioration in their condition. Telstra is required to provide the service under its carrier licence condition. Other CSPs may offer priority assistance services but are not obliged by regulation to do so. In 2016–17, iPrimus was the only CSP to voluntarily offer priority assistance services in line with industry code ACIF: C609:2007 </w:t>
      </w:r>
      <w:r w:rsidRPr="00EE11DD">
        <w:rPr>
          <w:i/>
        </w:rPr>
        <w:t>Priority Assistance for Life Threatening Medical Conditions</w:t>
      </w:r>
      <w:r w:rsidRPr="00A92ED0">
        <w:t xml:space="preserve">. However, it does not </w:t>
      </w:r>
      <w:r w:rsidR="0040781A">
        <w:t>offer</w:t>
      </w:r>
      <w:r w:rsidR="0040781A" w:rsidRPr="00A92ED0">
        <w:t xml:space="preserve"> </w:t>
      </w:r>
      <w:r w:rsidR="0040781A">
        <w:t>p</w:t>
      </w:r>
      <w:r w:rsidRPr="00A92ED0">
        <w:t xml:space="preserve">riority </w:t>
      </w:r>
      <w:r w:rsidR="0040781A">
        <w:t>a</w:t>
      </w:r>
      <w:r w:rsidRPr="00A92ED0">
        <w:t xml:space="preserve">ssistance for new customers or </w:t>
      </w:r>
      <w:r w:rsidR="0040781A">
        <w:t>those</w:t>
      </w:r>
      <w:r w:rsidRPr="00A92ED0">
        <w:t xml:space="preserve"> who do not already have </w:t>
      </w:r>
      <w:r w:rsidR="0040781A">
        <w:t>p</w:t>
      </w:r>
      <w:r w:rsidRPr="00A92ED0">
        <w:t xml:space="preserve">riority </w:t>
      </w:r>
      <w:r w:rsidR="0040781A">
        <w:t>a</w:t>
      </w:r>
      <w:r w:rsidRPr="00A92ED0">
        <w:t>ssistance active on their fixed-line service.</w:t>
      </w:r>
    </w:p>
    <w:p w14:paraId="79BFDBBE" w14:textId="77777777" w:rsidR="0042565F" w:rsidRPr="00A92ED0" w:rsidRDefault="0042565F" w:rsidP="0042565F">
      <w:r w:rsidRPr="00A92ED0">
        <w:t>During 2016–17, the number of priority assistance customers increased by 12.1 per cent</w:t>
      </w:r>
      <w:r w:rsidRPr="008F2254">
        <w:t xml:space="preserve"> </w:t>
      </w:r>
      <w:r>
        <w:t>(</w:t>
      </w:r>
      <w:r w:rsidRPr="00A92ED0">
        <w:t>Table 5.11</w:t>
      </w:r>
      <w:r>
        <w:t>)</w:t>
      </w:r>
      <w:r w:rsidRPr="00A92ED0">
        <w:t>. Telstra implemented its new priority assistance policy in 2015–16.</w:t>
      </w:r>
    </w:p>
    <w:p w14:paraId="505E13EA" w14:textId="77777777" w:rsidR="0042565F" w:rsidRDefault="0042565F" w:rsidP="009125E7">
      <w:pPr>
        <w:pStyle w:val="ACMAFigureHeader"/>
      </w:pPr>
      <w:r w:rsidRPr="00A92ED0">
        <w:t>Table 5.11</w:t>
      </w:r>
      <w:r w:rsidRPr="00A92ED0">
        <w:tab/>
        <w:t>Number of priority assistance customers, at 30 June</w:t>
      </w:r>
      <w:r w:rsidR="00495EB0">
        <w:t xml:space="preserve"> 2017</w:t>
      </w:r>
    </w:p>
    <w:tbl>
      <w:tblPr>
        <w:tblStyle w:val="Commsreport2017"/>
        <w:tblW w:w="8759" w:type="dxa"/>
        <w:tblInd w:w="5" w:type="dxa"/>
        <w:tblCellMar>
          <w:top w:w="57" w:type="dxa"/>
          <w:left w:w="57" w:type="dxa"/>
          <w:bottom w:w="57" w:type="dxa"/>
          <w:right w:w="57" w:type="dxa"/>
        </w:tblCellMar>
        <w:tblLook w:val="04A0" w:firstRow="1" w:lastRow="0" w:firstColumn="1" w:lastColumn="0" w:noHBand="0" w:noVBand="1"/>
        <w:tblCaption w:val="Table 5.11 Number of priority assistance customers, at 30 June 2017"/>
      </w:tblPr>
      <w:tblGrid>
        <w:gridCol w:w="2358"/>
        <w:gridCol w:w="1119"/>
        <w:gridCol w:w="1313"/>
        <w:gridCol w:w="1276"/>
        <w:gridCol w:w="1417"/>
        <w:gridCol w:w="1276"/>
      </w:tblGrid>
      <w:tr w:rsidR="0042565F" w:rsidRPr="00280D36" w14:paraId="15D2E053" w14:textId="77777777" w:rsidTr="00EC183A">
        <w:trPr>
          <w:cnfStyle w:val="100000000000" w:firstRow="1" w:lastRow="0" w:firstColumn="0" w:lastColumn="0" w:oddVBand="0" w:evenVBand="0" w:oddHBand="0" w:evenHBand="0" w:firstRowFirstColumn="0" w:firstRowLastColumn="0" w:lastRowFirstColumn="0" w:lastRowLastColumn="0"/>
          <w:trHeight w:val="194"/>
          <w:tblHeader/>
        </w:trPr>
        <w:tc>
          <w:tcPr>
            <w:cnfStyle w:val="001000000000" w:firstRow="0" w:lastRow="0" w:firstColumn="1" w:lastColumn="0" w:oddVBand="0" w:evenVBand="0" w:oddHBand="0" w:evenHBand="0" w:firstRowFirstColumn="0" w:firstRowLastColumn="0" w:lastRowFirstColumn="0" w:lastRowLastColumn="0"/>
            <w:tcW w:w="2358" w:type="dxa"/>
            <w:tcBorders>
              <w:top w:val="nil"/>
              <w:left w:val="nil"/>
            </w:tcBorders>
            <w:shd w:val="clear" w:color="auto" w:fill="FFFFFF" w:themeFill="background1"/>
            <w:tcMar>
              <w:top w:w="57" w:type="dxa"/>
              <w:left w:w="57" w:type="dxa"/>
              <w:bottom w:w="57" w:type="dxa"/>
              <w:right w:w="57" w:type="dxa"/>
            </w:tcMar>
            <w:hideMark/>
          </w:tcPr>
          <w:p w14:paraId="442ED6A4" w14:textId="77777777" w:rsidR="0042565F" w:rsidRPr="00280D36" w:rsidRDefault="0042565F" w:rsidP="009125E7">
            <w:pPr>
              <w:spacing w:beforeLines="0" w:before="0" w:afterLines="0" w:after="0"/>
              <w:rPr>
                <w:rFonts w:cs="Arial"/>
                <w:b/>
                <w:color w:val="FFFFFF"/>
                <w:szCs w:val="20"/>
              </w:rPr>
            </w:pPr>
          </w:p>
        </w:tc>
        <w:tc>
          <w:tcPr>
            <w:tcW w:w="1119" w:type="dxa"/>
            <w:tcMar>
              <w:top w:w="57" w:type="dxa"/>
              <w:left w:w="57" w:type="dxa"/>
              <w:bottom w:w="57" w:type="dxa"/>
              <w:right w:w="57" w:type="dxa"/>
            </w:tcMar>
            <w:hideMark/>
          </w:tcPr>
          <w:p w14:paraId="53ED3B3A" w14:textId="77777777" w:rsidR="0042565F" w:rsidRPr="004A077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E7A62">
              <w:rPr>
                <w:rFonts w:cs="Arial"/>
                <w:szCs w:val="18"/>
              </w:rPr>
              <w:t>2013</w:t>
            </w:r>
          </w:p>
        </w:tc>
        <w:tc>
          <w:tcPr>
            <w:tcW w:w="1313" w:type="dxa"/>
            <w:tcMar>
              <w:top w:w="57" w:type="dxa"/>
              <w:left w:w="57" w:type="dxa"/>
              <w:bottom w:w="57" w:type="dxa"/>
              <w:right w:w="57" w:type="dxa"/>
            </w:tcMar>
            <w:hideMark/>
          </w:tcPr>
          <w:p w14:paraId="4F05FE41" w14:textId="77777777" w:rsidR="0042565F" w:rsidRPr="004A077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E7A62">
              <w:rPr>
                <w:rFonts w:cs="Arial"/>
                <w:szCs w:val="18"/>
              </w:rPr>
              <w:t>2014</w:t>
            </w:r>
          </w:p>
        </w:tc>
        <w:tc>
          <w:tcPr>
            <w:tcW w:w="1276" w:type="dxa"/>
            <w:tcMar>
              <w:top w:w="57" w:type="dxa"/>
              <w:left w:w="57" w:type="dxa"/>
              <w:bottom w:w="57" w:type="dxa"/>
              <w:right w:w="57" w:type="dxa"/>
            </w:tcMar>
            <w:hideMark/>
          </w:tcPr>
          <w:p w14:paraId="33F7E9D1" w14:textId="77777777" w:rsidR="0042565F" w:rsidRPr="004A077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E7A62">
              <w:rPr>
                <w:rFonts w:cs="Arial"/>
                <w:szCs w:val="18"/>
              </w:rPr>
              <w:t>2015</w:t>
            </w:r>
          </w:p>
        </w:tc>
        <w:tc>
          <w:tcPr>
            <w:tcW w:w="1417" w:type="dxa"/>
            <w:tcMar>
              <w:top w:w="57" w:type="dxa"/>
              <w:left w:w="57" w:type="dxa"/>
              <w:bottom w:w="57" w:type="dxa"/>
              <w:right w:w="57" w:type="dxa"/>
            </w:tcMar>
            <w:hideMark/>
          </w:tcPr>
          <w:p w14:paraId="48D1C779" w14:textId="77777777" w:rsidR="0042565F" w:rsidRPr="004A077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E7A62">
              <w:rPr>
                <w:rFonts w:cs="Arial"/>
                <w:szCs w:val="18"/>
              </w:rPr>
              <w:t>2016</w:t>
            </w:r>
          </w:p>
        </w:tc>
        <w:tc>
          <w:tcPr>
            <w:tcW w:w="1276" w:type="dxa"/>
            <w:tcMar>
              <w:top w:w="57" w:type="dxa"/>
              <w:left w:w="57" w:type="dxa"/>
              <w:bottom w:w="57" w:type="dxa"/>
              <w:right w:w="57" w:type="dxa"/>
            </w:tcMar>
            <w:hideMark/>
          </w:tcPr>
          <w:p w14:paraId="32DE50EA" w14:textId="77777777" w:rsidR="0042565F" w:rsidRPr="004A077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E7A62">
              <w:rPr>
                <w:rFonts w:cs="Arial"/>
                <w:szCs w:val="18"/>
              </w:rPr>
              <w:t>2017</w:t>
            </w:r>
          </w:p>
        </w:tc>
      </w:tr>
      <w:tr w:rsidR="0042565F" w:rsidRPr="00280D36" w14:paraId="0FC10352" w14:textId="77777777" w:rsidTr="00BE6FCF">
        <w:trPr>
          <w:trHeight w:val="164"/>
        </w:trPr>
        <w:tc>
          <w:tcPr>
            <w:cnfStyle w:val="001000000000" w:firstRow="0" w:lastRow="0" w:firstColumn="1" w:lastColumn="0" w:oddVBand="0" w:evenVBand="0" w:oddHBand="0" w:evenHBand="0" w:firstRowFirstColumn="0" w:firstRowLastColumn="0" w:lastRowFirstColumn="0" w:lastRowLastColumn="0"/>
            <w:tcW w:w="2358" w:type="dxa"/>
            <w:tcMar>
              <w:top w:w="57" w:type="dxa"/>
              <w:left w:w="57" w:type="dxa"/>
              <w:bottom w:w="57" w:type="dxa"/>
              <w:right w:w="57" w:type="dxa"/>
            </w:tcMar>
            <w:hideMark/>
          </w:tcPr>
          <w:p w14:paraId="55F49649" w14:textId="77777777" w:rsidR="0042565F" w:rsidRPr="00744827" w:rsidRDefault="0042565F" w:rsidP="009125E7">
            <w:pPr>
              <w:spacing w:before="0" w:after="0"/>
              <w:rPr>
                <w:rFonts w:cs="Arial"/>
                <w:szCs w:val="18"/>
              </w:rPr>
            </w:pPr>
            <w:r w:rsidRPr="00744827">
              <w:rPr>
                <w:rFonts w:cs="Arial"/>
                <w:szCs w:val="18"/>
              </w:rPr>
              <w:t>Provisional</w:t>
            </w:r>
          </w:p>
        </w:tc>
        <w:tc>
          <w:tcPr>
            <w:tcW w:w="1119" w:type="dxa"/>
            <w:tcMar>
              <w:top w:w="57" w:type="dxa"/>
              <w:left w:w="57" w:type="dxa"/>
              <w:bottom w:w="57" w:type="dxa"/>
              <w:right w:w="57" w:type="dxa"/>
            </w:tcMar>
            <w:hideMark/>
          </w:tcPr>
          <w:p w14:paraId="233648F6"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144,435</w:t>
            </w:r>
          </w:p>
        </w:tc>
        <w:tc>
          <w:tcPr>
            <w:tcW w:w="1313" w:type="dxa"/>
            <w:tcMar>
              <w:top w:w="57" w:type="dxa"/>
              <w:left w:w="57" w:type="dxa"/>
              <w:bottom w:w="57" w:type="dxa"/>
              <w:right w:w="57" w:type="dxa"/>
            </w:tcMar>
            <w:hideMark/>
          </w:tcPr>
          <w:p w14:paraId="7499C20E"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49,679</w:t>
            </w:r>
          </w:p>
        </w:tc>
        <w:tc>
          <w:tcPr>
            <w:tcW w:w="1276" w:type="dxa"/>
            <w:tcMar>
              <w:top w:w="57" w:type="dxa"/>
              <w:left w:w="57" w:type="dxa"/>
              <w:bottom w:w="57" w:type="dxa"/>
              <w:right w:w="57" w:type="dxa"/>
            </w:tcMar>
            <w:hideMark/>
          </w:tcPr>
          <w:p w14:paraId="49B6983C"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63,505</w:t>
            </w:r>
          </w:p>
        </w:tc>
        <w:tc>
          <w:tcPr>
            <w:tcW w:w="1417" w:type="dxa"/>
            <w:tcMar>
              <w:top w:w="57" w:type="dxa"/>
              <w:left w:w="57" w:type="dxa"/>
              <w:bottom w:w="57" w:type="dxa"/>
              <w:right w:w="57" w:type="dxa"/>
            </w:tcMar>
            <w:hideMark/>
          </w:tcPr>
          <w:p w14:paraId="7CFB0717"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94,290</w:t>
            </w:r>
          </w:p>
        </w:tc>
        <w:tc>
          <w:tcPr>
            <w:tcW w:w="1276" w:type="dxa"/>
            <w:tcMar>
              <w:top w:w="57" w:type="dxa"/>
              <w:left w:w="57" w:type="dxa"/>
              <w:bottom w:w="57" w:type="dxa"/>
              <w:right w:w="57" w:type="dxa"/>
            </w:tcMar>
            <w:hideMark/>
          </w:tcPr>
          <w:p w14:paraId="454C00A1"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116,178</w:t>
            </w:r>
          </w:p>
        </w:tc>
      </w:tr>
      <w:tr w:rsidR="0042565F" w:rsidRPr="00280D36" w14:paraId="05FE8872" w14:textId="77777777" w:rsidTr="00BE6FCF">
        <w:trPr>
          <w:trHeight w:val="112"/>
        </w:trPr>
        <w:tc>
          <w:tcPr>
            <w:cnfStyle w:val="001000000000" w:firstRow="0" w:lastRow="0" w:firstColumn="1" w:lastColumn="0" w:oddVBand="0" w:evenVBand="0" w:oddHBand="0" w:evenHBand="0" w:firstRowFirstColumn="0" w:firstRowLastColumn="0" w:lastRowFirstColumn="0" w:lastRowLastColumn="0"/>
            <w:tcW w:w="2358" w:type="dxa"/>
            <w:tcMar>
              <w:top w:w="57" w:type="dxa"/>
              <w:left w:w="57" w:type="dxa"/>
              <w:bottom w:w="57" w:type="dxa"/>
              <w:right w:w="57" w:type="dxa"/>
            </w:tcMar>
            <w:hideMark/>
          </w:tcPr>
          <w:p w14:paraId="7AA92AAA" w14:textId="77777777" w:rsidR="0042565F" w:rsidRPr="00744827" w:rsidRDefault="0042565F" w:rsidP="009125E7">
            <w:pPr>
              <w:spacing w:before="0" w:after="0"/>
              <w:rPr>
                <w:rFonts w:cs="Arial"/>
                <w:szCs w:val="18"/>
              </w:rPr>
            </w:pPr>
            <w:r w:rsidRPr="00744827">
              <w:rPr>
                <w:rFonts w:cs="Arial"/>
                <w:szCs w:val="18"/>
              </w:rPr>
              <w:t>Validated</w:t>
            </w:r>
          </w:p>
        </w:tc>
        <w:tc>
          <w:tcPr>
            <w:tcW w:w="1119" w:type="dxa"/>
            <w:tcMar>
              <w:top w:w="57" w:type="dxa"/>
              <w:left w:w="57" w:type="dxa"/>
              <w:bottom w:w="57" w:type="dxa"/>
              <w:right w:w="57" w:type="dxa"/>
            </w:tcMar>
            <w:hideMark/>
          </w:tcPr>
          <w:p w14:paraId="46D6BFB5"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112,114</w:t>
            </w:r>
          </w:p>
        </w:tc>
        <w:tc>
          <w:tcPr>
            <w:tcW w:w="1313" w:type="dxa"/>
            <w:tcMar>
              <w:top w:w="57" w:type="dxa"/>
              <w:left w:w="57" w:type="dxa"/>
              <w:bottom w:w="57" w:type="dxa"/>
              <w:right w:w="57" w:type="dxa"/>
            </w:tcMar>
            <w:hideMark/>
          </w:tcPr>
          <w:p w14:paraId="378557A6"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154,940</w:t>
            </w:r>
          </w:p>
        </w:tc>
        <w:tc>
          <w:tcPr>
            <w:tcW w:w="1276" w:type="dxa"/>
            <w:tcMar>
              <w:top w:w="57" w:type="dxa"/>
              <w:left w:w="57" w:type="dxa"/>
              <w:bottom w:w="57" w:type="dxa"/>
              <w:right w:w="57" w:type="dxa"/>
            </w:tcMar>
            <w:hideMark/>
          </w:tcPr>
          <w:p w14:paraId="11804D6E"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123,240</w:t>
            </w:r>
          </w:p>
        </w:tc>
        <w:tc>
          <w:tcPr>
            <w:tcW w:w="1417" w:type="dxa"/>
            <w:tcMar>
              <w:top w:w="57" w:type="dxa"/>
              <w:left w:w="57" w:type="dxa"/>
              <w:bottom w:w="57" w:type="dxa"/>
              <w:right w:w="57" w:type="dxa"/>
            </w:tcMar>
            <w:hideMark/>
          </w:tcPr>
          <w:p w14:paraId="02272B70"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116,969</w:t>
            </w:r>
          </w:p>
        </w:tc>
        <w:tc>
          <w:tcPr>
            <w:tcW w:w="1276" w:type="dxa"/>
            <w:tcMar>
              <w:top w:w="57" w:type="dxa"/>
              <w:left w:w="57" w:type="dxa"/>
              <w:bottom w:w="57" w:type="dxa"/>
              <w:right w:w="57" w:type="dxa"/>
            </w:tcMar>
            <w:hideMark/>
          </w:tcPr>
          <w:p w14:paraId="33BA1D30" w14:textId="77777777" w:rsidR="0042565F" w:rsidRPr="00280D36"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280D36">
              <w:rPr>
                <w:rFonts w:cs="Arial"/>
                <w:color w:val="000000"/>
                <w:szCs w:val="18"/>
              </w:rPr>
              <w:t>124,16</w:t>
            </w:r>
            <w:r>
              <w:rPr>
                <w:rFonts w:cs="Arial"/>
                <w:color w:val="000000"/>
                <w:szCs w:val="18"/>
              </w:rPr>
              <w:t>4</w:t>
            </w:r>
          </w:p>
        </w:tc>
      </w:tr>
      <w:tr w:rsidR="0042565F" w:rsidRPr="00280D36" w14:paraId="33964614" w14:textId="77777777" w:rsidTr="00BE6FCF">
        <w:trPr>
          <w:trHeight w:val="190"/>
        </w:trPr>
        <w:tc>
          <w:tcPr>
            <w:cnfStyle w:val="001000000000" w:firstRow="0" w:lastRow="0" w:firstColumn="1" w:lastColumn="0" w:oddVBand="0" w:evenVBand="0" w:oddHBand="0" w:evenHBand="0" w:firstRowFirstColumn="0" w:firstRowLastColumn="0" w:lastRowFirstColumn="0" w:lastRowLastColumn="0"/>
            <w:tcW w:w="2358" w:type="dxa"/>
            <w:shd w:val="clear" w:color="auto" w:fill="F2F2F2" w:themeFill="background1" w:themeFillShade="F2"/>
            <w:tcMar>
              <w:top w:w="57" w:type="dxa"/>
              <w:left w:w="57" w:type="dxa"/>
              <w:bottom w:w="57" w:type="dxa"/>
              <w:right w:w="57" w:type="dxa"/>
            </w:tcMar>
            <w:hideMark/>
          </w:tcPr>
          <w:p w14:paraId="10C524E8" w14:textId="77777777" w:rsidR="0042565F" w:rsidRPr="00744827" w:rsidRDefault="0042565F" w:rsidP="009125E7">
            <w:pPr>
              <w:spacing w:before="0" w:after="0"/>
              <w:rPr>
                <w:rFonts w:cs="Arial"/>
                <w:b/>
                <w:bCs/>
                <w:szCs w:val="18"/>
              </w:rPr>
            </w:pPr>
            <w:r w:rsidRPr="00744827">
              <w:rPr>
                <w:rFonts w:cs="Arial"/>
                <w:b/>
                <w:bCs/>
                <w:szCs w:val="18"/>
              </w:rPr>
              <w:t>Total</w:t>
            </w:r>
          </w:p>
        </w:tc>
        <w:tc>
          <w:tcPr>
            <w:tcW w:w="1119" w:type="dxa"/>
            <w:shd w:val="clear" w:color="auto" w:fill="F2F2F2" w:themeFill="background1" w:themeFillShade="F2"/>
            <w:tcMar>
              <w:top w:w="57" w:type="dxa"/>
              <w:left w:w="57" w:type="dxa"/>
              <w:bottom w:w="57" w:type="dxa"/>
              <w:right w:w="57" w:type="dxa"/>
            </w:tcMar>
            <w:hideMark/>
          </w:tcPr>
          <w:p w14:paraId="7625813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256,549</w:t>
            </w:r>
          </w:p>
        </w:tc>
        <w:tc>
          <w:tcPr>
            <w:tcW w:w="1313" w:type="dxa"/>
            <w:shd w:val="clear" w:color="auto" w:fill="F2F2F2" w:themeFill="background1" w:themeFillShade="F2"/>
            <w:tcMar>
              <w:top w:w="57" w:type="dxa"/>
              <w:left w:w="57" w:type="dxa"/>
              <w:bottom w:w="57" w:type="dxa"/>
              <w:right w:w="57" w:type="dxa"/>
            </w:tcMar>
            <w:hideMark/>
          </w:tcPr>
          <w:p w14:paraId="17DA156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204,619</w:t>
            </w:r>
          </w:p>
        </w:tc>
        <w:tc>
          <w:tcPr>
            <w:tcW w:w="1276" w:type="dxa"/>
            <w:shd w:val="clear" w:color="auto" w:fill="F2F2F2" w:themeFill="background1" w:themeFillShade="F2"/>
            <w:tcMar>
              <w:top w:w="57" w:type="dxa"/>
              <w:left w:w="57" w:type="dxa"/>
              <w:bottom w:w="57" w:type="dxa"/>
              <w:right w:w="57" w:type="dxa"/>
            </w:tcMar>
            <w:hideMark/>
          </w:tcPr>
          <w:p w14:paraId="24732FB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186,745</w:t>
            </w:r>
          </w:p>
        </w:tc>
        <w:tc>
          <w:tcPr>
            <w:tcW w:w="1417" w:type="dxa"/>
            <w:shd w:val="clear" w:color="auto" w:fill="F2F2F2" w:themeFill="background1" w:themeFillShade="F2"/>
            <w:tcMar>
              <w:top w:w="57" w:type="dxa"/>
              <w:left w:w="57" w:type="dxa"/>
              <w:bottom w:w="57" w:type="dxa"/>
              <w:right w:w="57" w:type="dxa"/>
            </w:tcMar>
            <w:hideMark/>
          </w:tcPr>
          <w:p w14:paraId="71F939A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211,259</w:t>
            </w:r>
          </w:p>
        </w:tc>
        <w:tc>
          <w:tcPr>
            <w:tcW w:w="1276" w:type="dxa"/>
            <w:shd w:val="clear" w:color="auto" w:fill="F2F2F2" w:themeFill="background1" w:themeFillShade="F2"/>
            <w:tcMar>
              <w:top w:w="57" w:type="dxa"/>
              <w:left w:w="57" w:type="dxa"/>
              <w:bottom w:w="57" w:type="dxa"/>
              <w:right w:w="57" w:type="dxa"/>
            </w:tcMar>
            <w:hideMark/>
          </w:tcPr>
          <w:p w14:paraId="012640F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240,3</w:t>
            </w:r>
            <w:r>
              <w:rPr>
                <w:rFonts w:cs="Arial"/>
                <w:b/>
                <w:bCs/>
                <w:szCs w:val="18"/>
              </w:rPr>
              <w:t>42</w:t>
            </w:r>
          </w:p>
        </w:tc>
      </w:tr>
    </w:tbl>
    <w:p w14:paraId="270B2FA8" w14:textId="77777777" w:rsidR="0042565F" w:rsidRPr="00744827" w:rsidRDefault="0042565F" w:rsidP="009125E7">
      <w:pPr>
        <w:pStyle w:val="ACMANotesspaceafter"/>
        <w:spacing w:before="120" w:after="360"/>
      </w:pPr>
      <w:r w:rsidRPr="00744827">
        <w:t>Source: Telstra, iPrimus.</w:t>
      </w:r>
    </w:p>
    <w:p w14:paraId="732FFC75" w14:textId="77777777" w:rsidR="0042565F" w:rsidRPr="00A92ED0" w:rsidRDefault="0042565F" w:rsidP="0042565F">
      <w:r w:rsidRPr="00A92ED0">
        <w:t xml:space="preserve">Priority assistance customers are given faster connections and fault repairs for their fixed-line telephone service than </w:t>
      </w:r>
      <w:r w:rsidR="00F278EA">
        <w:t>the</w:t>
      </w:r>
      <w:r w:rsidRPr="00A92ED0">
        <w:t xml:space="preserve"> time frames mandated in the CSG Standard. A service must be connected or a fault repaired within 24 hours in urban and rural areas, or within 48 hours in remote areas. However, Telstra is not required to meet these time</w:t>
      </w:r>
      <w:r w:rsidR="00F278EA">
        <w:t xml:space="preserve"> </w:t>
      </w:r>
      <w:r w:rsidRPr="00A92ED0">
        <w:t>frames in circumstances where the service is supplied over a local access network</w:t>
      </w:r>
      <w:r w:rsidR="00F278EA" w:rsidRPr="00A92ED0">
        <w:t>, such as the NBN</w:t>
      </w:r>
      <w:r w:rsidR="00F278EA">
        <w:t>,</w:t>
      </w:r>
      <w:r w:rsidR="00F278EA" w:rsidRPr="00A92ED0">
        <w:t xml:space="preserve"> </w:t>
      </w:r>
      <w:r w:rsidRPr="00A92ED0">
        <w:t>over which it is not in a position to exercise control.</w:t>
      </w:r>
    </w:p>
    <w:p w14:paraId="12F51472" w14:textId="77777777" w:rsidR="0042565F" w:rsidRPr="00A92ED0" w:rsidRDefault="0042565F" w:rsidP="0042565F">
      <w:r w:rsidRPr="00A92ED0">
        <w:t xml:space="preserve">Tables 5.12 and 5.13 provide information about the performance of Telstra and iPrimus in meeting priority assistance time frames for connections and fault repairs since 2012–13. </w:t>
      </w:r>
    </w:p>
    <w:p w14:paraId="5F1E25EA" w14:textId="77777777" w:rsidR="0042565F" w:rsidRPr="0042565F" w:rsidRDefault="0042565F" w:rsidP="009125E7">
      <w:pPr>
        <w:pStyle w:val="ACMAFigureHeader"/>
        <w:keepNext/>
        <w:ind w:left="1134" w:hanging="1134"/>
        <w:rPr>
          <w:i/>
        </w:rPr>
      </w:pPr>
      <w:r w:rsidRPr="006134FA">
        <w:t>Table 5.12</w:t>
      </w:r>
      <w:r>
        <w:tab/>
      </w:r>
      <w:r w:rsidRPr="006134FA">
        <w:t>Priority assistance—percentage and volume of connection requests completed on time, by financial year</w:t>
      </w:r>
    </w:p>
    <w:tbl>
      <w:tblPr>
        <w:tblStyle w:val="Commsreport2017"/>
        <w:tblW w:w="9429" w:type="dxa"/>
        <w:tblInd w:w="5" w:type="dxa"/>
        <w:tblLayout w:type="fixed"/>
        <w:tblCellMar>
          <w:top w:w="57" w:type="dxa"/>
          <w:left w:w="57" w:type="dxa"/>
          <w:bottom w:w="57" w:type="dxa"/>
          <w:right w:w="57" w:type="dxa"/>
        </w:tblCellMar>
        <w:tblLook w:val="04A0" w:firstRow="1" w:lastRow="0" w:firstColumn="1" w:lastColumn="0" w:noHBand="0" w:noVBand="1"/>
        <w:tblCaption w:val="Table 5.12  Priority assistance—percentage and volume of connection requests completed on time, by financial year"/>
      </w:tblPr>
      <w:tblGrid>
        <w:gridCol w:w="971"/>
        <w:gridCol w:w="960"/>
        <w:gridCol w:w="937"/>
        <w:gridCol w:w="937"/>
        <w:gridCol w:w="937"/>
        <w:gridCol w:w="938"/>
        <w:gridCol w:w="937"/>
        <w:gridCol w:w="1008"/>
        <w:gridCol w:w="866"/>
        <w:gridCol w:w="938"/>
      </w:tblGrid>
      <w:tr w:rsidR="0042565F" w:rsidRPr="00A92ED0" w14:paraId="51D5346D" w14:textId="77777777" w:rsidTr="00EC183A">
        <w:trPr>
          <w:cnfStyle w:val="100000000000" w:firstRow="1" w:lastRow="0" w:firstColumn="0" w:lastColumn="0" w:oddVBand="0" w:evenVBand="0" w:oddHBand="0" w:evenHBand="0" w:firstRowFirstColumn="0" w:firstRowLastColumn="0" w:lastRowFirstColumn="0" w:lastRowLastColumn="0"/>
          <w:trHeight w:val="78"/>
          <w:tblHeader/>
        </w:trPr>
        <w:tc>
          <w:tcPr>
            <w:cnfStyle w:val="001000000000" w:firstRow="0" w:lastRow="0" w:firstColumn="1" w:lastColumn="0" w:oddVBand="0" w:evenVBand="0" w:oddHBand="0" w:evenHBand="0" w:firstRowFirstColumn="0" w:firstRowLastColumn="0" w:lastRowFirstColumn="0" w:lastRowLastColumn="0"/>
            <w:tcW w:w="971" w:type="dxa"/>
            <w:tcBorders>
              <w:top w:val="nil"/>
              <w:left w:val="nil"/>
              <w:bottom w:val="nil"/>
              <w:right w:val="nil"/>
            </w:tcBorders>
            <w:shd w:val="clear" w:color="auto" w:fill="FFFFFF" w:themeFill="background1"/>
            <w:tcMar>
              <w:top w:w="57" w:type="dxa"/>
              <w:left w:w="57" w:type="dxa"/>
              <w:bottom w:w="57" w:type="dxa"/>
              <w:right w:w="57" w:type="dxa"/>
            </w:tcMar>
          </w:tcPr>
          <w:p w14:paraId="22A16D4F" w14:textId="77777777" w:rsidR="0042565F" w:rsidRPr="00744827" w:rsidRDefault="0042565F" w:rsidP="009125E7">
            <w:pPr>
              <w:pStyle w:val="TableHeading"/>
              <w:spacing w:beforeLines="0" w:before="0" w:afterLines="0"/>
              <w:jc w:val="center"/>
            </w:pPr>
          </w:p>
        </w:tc>
        <w:tc>
          <w:tcPr>
            <w:tcW w:w="960" w:type="dxa"/>
            <w:tcBorders>
              <w:top w:val="nil"/>
              <w:left w:val="nil"/>
              <w:bottom w:val="nil"/>
            </w:tcBorders>
            <w:shd w:val="clear" w:color="auto" w:fill="FFFFFF" w:themeFill="background1"/>
            <w:tcMar>
              <w:top w:w="57" w:type="dxa"/>
              <w:left w:w="57" w:type="dxa"/>
              <w:bottom w:w="57" w:type="dxa"/>
              <w:right w:w="57" w:type="dxa"/>
            </w:tcMar>
          </w:tcPr>
          <w:p w14:paraId="25EB275F" w14:textId="77777777" w:rsidR="0042565F" w:rsidRPr="00744827"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p>
        </w:tc>
        <w:tc>
          <w:tcPr>
            <w:tcW w:w="1874" w:type="dxa"/>
            <w:gridSpan w:val="2"/>
            <w:tcMar>
              <w:top w:w="57" w:type="dxa"/>
              <w:left w:w="57" w:type="dxa"/>
              <w:bottom w:w="57" w:type="dxa"/>
              <w:right w:w="57" w:type="dxa"/>
            </w:tcMar>
          </w:tcPr>
          <w:p w14:paraId="49523FC7" w14:textId="77777777" w:rsidR="0042565F" w:rsidRPr="00AB37C2"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64105C">
              <w:t>National</w:t>
            </w:r>
          </w:p>
        </w:tc>
        <w:tc>
          <w:tcPr>
            <w:tcW w:w="1875" w:type="dxa"/>
            <w:gridSpan w:val="2"/>
            <w:tcMar>
              <w:top w:w="57" w:type="dxa"/>
              <w:left w:w="57" w:type="dxa"/>
              <w:bottom w:w="57" w:type="dxa"/>
              <w:right w:w="57" w:type="dxa"/>
            </w:tcMar>
          </w:tcPr>
          <w:p w14:paraId="73658E15" w14:textId="77777777" w:rsidR="0042565F" w:rsidRPr="00AB37C2"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64105C">
              <w:t>Urban</w:t>
            </w:r>
          </w:p>
        </w:tc>
        <w:tc>
          <w:tcPr>
            <w:tcW w:w="1945" w:type="dxa"/>
            <w:gridSpan w:val="2"/>
            <w:tcMar>
              <w:top w:w="57" w:type="dxa"/>
              <w:left w:w="57" w:type="dxa"/>
              <w:bottom w:w="57" w:type="dxa"/>
              <w:right w:w="57" w:type="dxa"/>
            </w:tcMar>
          </w:tcPr>
          <w:p w14:paraId="1A089ED6" w14:textId="77777777" w:rsidR="0042565F" w:rsidRPr="00AB37C2"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64105C">
              <w:t>Rural</w:t>
            </w:r>
          </w:p>
        </w:tc>
        <w:tc>
          <w:tcPr>
            <w:tcW w:w="1804" w:type="dxa"/>
            <w:gridSpan w:val="2"/>
            <w:tcMar>
              <w:top w:w="57" w:type="dxa"/>
              <w:left w:w="57" w:type="dxa"/>
              <w:bottom w:w="57" w:type="dxa"/>
              <w:right w:w="57" w:type="dxa"/>
            </w:tcMar>
          </w:tcPr>
          <w:p w14:paraId="57C23E19" w14:textId="77777777" w:rsidR="0042565F" w:rsidRPr="00AB37C2"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64105C">
              <w:t>Remote</w:t>
            </w:r>
          </w:p>
        </w:tc>
      </w:tr>
      <w:tr w:rsidR="0042565F" w:rsidRPr="005A6644" w14:paraId="7A6F49CA" w14:textId="77777777" w:rsidTr="00BE6FCF">
        <w:trPr>
          <w:trHeight w:val="166"/>
        </w:trPr>
        <w:tc>
          <w:tcPr>
            <w:cnfStyle w:val="001000000000" w:firstRow="0" w:lastRow="0" w:firstColumn="1" w:lastColumn="0" w:oddVBand="0" w:evenVBand="0" w:oddHBand="0" w:evenHBand="0" w:firstRowFirstColumn="0" w:firstRowLastColumn="0" w:lastRowFirstColumn="0" w:lastRowLastColumn="0"/>
            <w:tcW w:w="971" w:type="dxa"/>
            <w:tcBorders>
              <w:top w:val="nil"/>
              <w:left w:val="nil"/>
              <w:right w:val="nil"/>
            </w:tcBorders>
            <w:shd w:val="clear" w:color="auto" w:fill="FFFFFF" w:themeFill="background1"/>
            <w:tcMar>
              <w:top w:w="57" w:type="dxa"/>
              <w:left w:w="57" w:type="dxa"/>
              <w:bottom w:w="57" w:type="dxa"/>
              <w:right w:w="57" w:type="dxa"/>
            </w:tcMar>
          </w:tcPr>
          <w:p w14:paraId="7B491049" w14:textId="77777777" w:rsidR="0042565F" w:rsidRPr="00744827" w:rsidRDefault="0042565F" w:rsidP="009125E7">
            <w:pPr>
              <w:spacing w:before="0" w:after="0"/>
              <w:rPr>
                <w:rFonts w:cs="Arial"/>
                <w:b/>
                <w:szCs w:val="18"/>
              </w:rPr>
            </w:pPr>
          </w:p>
        </w:tc>
        <w:tc>
          <w:tcPr>
            <w:tcW w:w="960" w:type="dxa"/>
            <w:tcBorders>
              <w:top w:val="nil"/>
              <w:left w:val="nil"/>
            </w:tcBorders>
            <w:shd w:val="clear" w:color="auto" w:fill="FFFFFF" w:themeFill="background1"/>
            <w:tcMar>
              <w:top w:w="57" w:type="dxa"/>
              <w:left w:w="57" w:type="dxa"/>
              <w:bottom w:w="57" w:type="dxa"/>
              <w:right w:w="57" w:type="dxa"/>
            </w:tcMar>
          </w:tcPr>
          <w:p w14:paraId="3D02C6C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p>
        </w:tc>
        <w:tc>
          <w:tcPr>
            <w:tcW w:w="937" w:type="dxa"/>
            <w:shd w:val="clear" w:color="auto" w:fill="37897E"/>
            <w:tcMar>
              <w:top w:w="57" w:type="dxa"/>
              <w:left w:w="57" w:type="dxa"/>
              <w:bottom w:w="57" w:type="dxa"/>
              <w:right w:w="57" w:type="dxa"/>
            </w:tcMar>
          </w:tcPr>
          <w:p w14:paraId="2E91206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w:t>
            </w:r>
          </w:p>
        </w:tc>
        <w:tc>
          <w:tcPr>
            <w:tcW w:w="937" w:type="dxa"/>
            <w:shd w:val="clear" w:color="auto" w:fill="37897E"/>
            <w:tcMar>
              <w:top w:w="57" w:type="dxa"/>
              <w:left w:w="57" w:type="dxa"/>
              <w:bottom w:w="57" w:type="dxa"/>
              <w:right w:w="57" w:type="dxa"/>
            </w:tcMar>
          </w:tcPr>
          <w:p w14:paraId="1094F44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Volume</w:t>
            </w:r>
          </w:p>
        </w:tc>
        <w:tc>
          <w:tcPr>
            <w:tcW w:w="937" w:type="dxa"/>
            <w:shd w:val="clear" w:color="auto" w:fill="37897E"/>
            <w:tcMar>
              <w:top w:w="57" w:type="dxa"/>
              <w:left w:w="57" w:type="dxa"/>
              <w:bottom w:w="57" w:type="dxa"/>
              <w:right w:w="57" w:type="dxa"/>
            </w:tcMar>
          </w:tcPr>
          <w:p w14:paraId="3D6BE7A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w:t>
            </w:r>
          </w:p>
        </w:tc>
        <w:tc>
          <w:tcPr>
            <w:tcW w:w="938" w:type="dxa"/>
            <w:shd w:val="clear" w:color="auto" w:fill="37897E"/>
            <w:tcMar>
              <w:top w:w="57" w:type="dxa"/>
              <w:left w:w="57" w:type="dxa"/>
              <w:bottom w:w="57" w:type="dxa"/>
              <w:right w:w="57" w:type="dxa"/>
            </w:tcMar>
          </w:tcPr>
          <w:p w14:paraId="6FA2399E"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Volume</w:t>
            </w:r>
          </w:p>
        </w:tc>
        <w:tc>
          <w:tcPr>
            <w:tcW w:w="937" w:type="dxa"/>
            <w:shd w:val="clear" w:color="auto" w:fill="37897E"/>
            <w:tcMar>
              <w:top w:w="57" w:type="dxa"/>
              <w:left w:w="57" w:type="dxa"/>
              <w:bottom w:w="57" w:type="dxa"/>
              <w:right w:w="57" w:type="dxa"/>
            </w:tcMar>
          </w:tcPr>
          <w:p w14:paraId="3D8967B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w:t>
            </w:r>
          </w:p>
        </w:tc>
        <w:tc>
          <w:tcPr>
            <w:tcW w:w="1008" w:type="dxa"/>
            <w:shd w:val="clear" w:color="auto" w:fill="37897E"/>
            <w:tcMar>
              <w:top w:w="57" w:type="dxa"/>
              <w:left w:w="57" w:type="dxa"/>
              <w:bottom w:w="57" w:type="dxa"/>
              <w:right w:w="57" w:type="dxa"/>
            </w:tcMar>
          </w:tcPr>
          <w:p w14:paraId="5B5BF6E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Volume</w:t>
            </w:r>
          </w:p>
        </w:tc>
        <w:tc>
          <w:tcPr>
            <w:tcW w:w="866" w:type="dxa"/>
            <w:shd w:val="clear" w:color="auto" w:fill="37897E"/>
            <w:tcMar>
              <w:top w:w="57" w:type="dxa"/>
              <w:left w:w="57" w:type="dxa"/>
              <w:bottom w:w="57" w:type="dxa"/>
              <w:right w:w="57" w:type="dxa"/>
            </w:tcMar>
          </w:tcPr>
          <w:p w14:paraId="721BAA3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w:t>
            </w:r>
          </w:p>
        </w:tc>
        <w:tc>
          <w:tcPr>
            <w:tcW w:w="938" w:type="dxa"/>
            <w:shd w:val="clear" w:color="auto" w:fill="37897E"/>
            <w:tcMar>
              <w:top w:w="57" w:type="dxa"/>
              <w:left w:w="57" w:type="dxa"/>
              <w:bottom w:w="57" w:type="dxa"/>
              <w:right w:w="57" w:type="dxa"/>
            </w:tcMar>
          </w:tcPr>
          <w:p w14:paraId="2A5E304A"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b/>
                <w:color w:val="FFFFFF"/>
                <w:szCs w:val="18"/>
              </w:rPr>
              <w:t>Volume</w:t>
            </w:r>
          </w:p>
        </w:tc>
      </w:tr>
      <w:tr w:rsidR="0042565F" w:rsidRPr="00A92ED0" w14:paraId="75804600" w14:textId="77777777" w:rsidTr="00BE6FCF">
        <w:trPr>
          <w:trHeight w:val="130"/>
        </w:trPr>
        <w:tc>
          <w:tcPr>
            <w:cnfStyle w:val="001000000000" w:firstRow="0" w:lastRow="0" w:firstColumn="1" w:lastColumn="0" w:oddVBand="0" w:evenVBand="0" w:oddHBand="0" w:evenHBand="0" w:firstRowFirstColumn="0" w:firstRowLastColumn="0" w:lastRowFirstColumn="0" w:lastRowLastColumn="0"/>
            <w:tcW w:w="971" w:type="dxa"/>
            <w:vMerge w:val="restart"/>
            <w:tcMar>
              <w:top w:w="57" w:type="dxa"/>
              <w:left w:w="57" w:type="dxa"/>
              <w:bottom w:w="57" w:type="dxa"/>
              <w:right w:w="57" w:type="dxa"/>
            </w:tcMar>
          </w:tcPr>
          <w:p w14:paraId="1A6ED275" w14:textId="77777777" w:rsidR="0042565F" w:rsidRPr="007D01D0" w:rsidRDefault="0042565F" w:rsidP="009125E7">
            <w:pPr>
              <w:spacing w:before="0" w:after="0"/>
              <w:rPr>
                <w:rFonts w:cs="Arial"/>
                <w:szCs w:val="18"/>
              </w:rPr>
            </w:pPr>
            <w:r w:rsidRPr="007D01D0">
              <w:rPr>
                <w:rFonts w:cs="Arial"/>
                <w:szCs w:val="18"/>
              </w:rPr>
              <w:t>Telstra</w:t>
            </w:r>
          </w:p>
        </w:tc>
        <w:tc>
          <w:tcPr>
            <w:tcW w:w="960" w:type="dxa"/>
            <w:tcMar>
              <w:top w:w="57" w:type="dxa"/>
              <w:left w:w="57" w:type="dxa"/>
              <w:bottom w:w="57" w:type="dxa"/>
              <w:right w:w="57" w:type="dxa"/>
            </w:tcMar>
          </w:tcPr>
          <w:p w14:paraId="288C809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2012–13</w:t>
            </w:r>
          </w:p>
        </w:tc>
        <w:tc>
          <w:tcPr>
            <w:tcW w:w="937" w:type="dxa"/>
            <w:tcMar>
              <w:top w:w="57" w:type="dxa"/>
              <w:left w:w="57" w:type="dxa"/>
              <w:bottom w:w="57" w:type="dxa"/>
              <w:right w:w="57" w:type="dxa"/>
            </w:tcMar>
          </w:tcPr>
          <w:p w14:paraId="312DC92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92.9</w:t>
            </w:r>
          </w:p>
        </w:tc>
        <w:tc>
          <w:tcPr>
            <w:tcW w:w="937" w:type="dxa"/>
            <w:tcMar>
              <w:top w:w="57" w:type="dxa"/>
              <w:left w:w="57" w:type="dxa"/>
              <w:bottom w:w="57" w:type="dxa"/>
              <w:right w:w="57" w:type="dxa"/>
            </w:tcMar>
          </w:tcPr>
          <w:p w14:paraId="448B45D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42,700</w:t>
            </w:r>
          </w:p>
        </w:tc>
        <w:tc>
          <w:tcPr>
            <w:tcW w:w="937" w:type="dxa"/>
            <w:tcMar>
              <w:top w:w="57" w:type="dxa"/>
              <w:left w:w="57" w:type="dxa"/>
              <w:bottom w:w="57" w:type="dxa"/>
              <w:right w:w="57" w:type="dxa"/>
            </w:tcMar>
          </w:tcPr>
          <w:p w14:paraId="2E0262E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92.9</w:t>
            </w:r>
          </w:p>
        </w:tc>
        <w:tc>
          <w:tcPr>
            <w:tcW w:w="938" w:type="dxa"/>
            <w:tcMar>
              <w:top w:w="57" w:type="dxa"/>
              <w:left w:w="57" w:type="dxa"/>
              <w:bottom w:w="57" w:type="dxa"/>
              <w:right w:w="57" w:type="dxa"/>
            </w:tcMar>
          </w:tcPr>
          <w:p w14:paraId="2C991B0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32,536</w:t>
            </w:r>
          </w:p>
        </w:tc>
        <w:tc>
          <w:tcPr>
            <w:tcW w:w="937" w:type="dxa"/>
            <w:tcMar>
              <w:top w:w="57" w:type="dxa"/>
              <w:left w:w="57" w:type="dxa"/>
              <w:bottom w:w="57" w:type="dxa"/>
              <w:right w:w="57" w:type="dxa"/>
            </w:tcMar>
          </w:tcPr>
          <w:p w14:paraId="08AF811E"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92.9</w:t>
            </w:r>
          </w:p>
        </w:tc>
        <w:tc>
          <w:tcPr>
            <w:tcW w:w="1008" w:type="dxa"/>
            <w:tcMar>
              <w:top w:w="57" w:type="dxa"/>
              <w:left w:w="57" w:type="dxa"/>
              <w:bottom w:w="57" w:type="dxa"/>
              <w:right w:w="57" w:type="dxa"/>
            </w:tcMar>
          </w:tcPr>
          <w:p w14:paraId="4FF902A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9,886</w:t>
            </w:r>
          </w:p>
        </w:tc>
        <w:tc>
          <w:tcPr>
            <w:tcW w:w="866" w:type="dxa"/>
            <w:tcMar>
              <w:top w:w="57" w:type="dxa"/>
              <w:left w:w="57" w:type="dxa"/>
              <w:bottom w:w="57" w:type="dxa"/>
              <w:right w:w="57" w:type="dxa"/>
            </w:tcMar>
          </w:tcPr>
          <w:p w14:paraId="1EE6FD8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89.1</w:t>
            </w:r>
          </w:p>
        </w:tc>
        <w:tc>
          <w:tcPr>
            <w:tcW w:w="938" w:type="dxa"/>
            <w:tcMar>
              <w:top w:w="57" w:type="dxa"/>
              <w:left w:w="57" w:type="dxa"/>
              <w:bottom w:w="57" w:type="dxa"/>
              <w:right w:w="57" w:type="dxa"/>
            </w:tcMar>
          </w:tcPr>
          <w:p w14:paraId="1E992DD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277</w:t>
            </w:r>
          </w:p>
        </w:tc>
      </w:tr>
      <w:tr w:rsidR="0042565F" w:rsidRPr="00A92ED0" w14:paraId="22869734" w14:textId="77777777" w:rsidTr="00BE6FCF">
        <w:trPr>
          <w:trHeight w:val="78"/>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550A7758" w14:textId="77777777" w:rsidR="0042565F" w:rsidRPr="007D01D0" w:rsidRDefault="0042565F" w:rsidP="009125E7">
            <w:pPr>
              <w:spacing w:before="0" w:after="0"/>
              <w:rPr>
                <w:rFonts w:cs="Arial"/>
                <w:szCs w:val="18"/>
              </w:rPr>
            </w:pPr>
          </w:p>
        </w:tc>
        <w:tc>
          <w:tcPr>
            <w:tcW w:w="960" w:type="dxa"/>
            <w:tcMar>
              <w:top w:w="57" w:type="dxa"/>
              <w:left w:w="57" w:type="dxa"/>
              <w:bottom w:w="57" w:type="dxa"/>
              <w:right w:w="57" w:type="dxa"/>
            </w:tcMar>
          </w:tcPr>
          <w:p w14:paraId="0D9142D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2013–14</w:t>
            </w:r>
          </w:p>
        </w:tc>
        <w:tc>
          <w:tcPr>
            <w:tcW w:w="937" w:type="dxa"/>
            <w:tcMar>
              <w:top w:w="57" w:type="dxa"/>
              <w:left w:w="57" w:type="dxa"/>
              <w:bottom w:w="57" w:type="dxa"/>
              <w:right w:w="57" w:type="dxa"/>
            </w:tcMar>
          </w:tcPr>
          <w:p w14:paraId="18BECE3C"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93.2</w:t>
            </w:r>
          </w:p>
        </w:tc>
        <w:tc>
          <w:tcPr>
            <w:tcW w:w="937" w:type="dxa"/>
            <w:tcMar>
              <w:top w:w="57" w:type="dxa"/>
              <w:left w:w="57" w:type="dxa"/>
              <w:bottom w:w="57" w:type="dxa"/>
              <w:right w:w="57" w:type="dxa"/>
            </w:tcMar>
          </w:tcPr>
          <w:p w14:paraId="6AFAA53E"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34,675</w:t>
            </w:r>
          </w:p>
        </w:tc>
        <w:tc>
          <w:tcPr>
            <w:tcW w:w="937" w:type="dxa"/>
            <w:tcMar>
              <w:top w:w="57" w:type="dxa"/>
              <w:left w:w="57" w:type="dxa"/>
              <w:bottom w:w="57" w:type="dxa"/>
              <w:right w:w="57" w:type="dxa"/>
            </w:tcMar>
          </w:tcPr>
          <w:p w14:paraId="2CA2265F"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93.3</w:t>
            </w:r>
          </w:p>
        </w:tc>
        <w:tc>
          <w:tcPr>
            <w:tcW w:w="938" w:type="dxa"/>
            <w:tcMar>
              <w:top w:w="57" w:type="dxa"/>
              <w:left w:w="57" w:type="dxa"/>
              <w:bottom w:w="57" w:type="dxa"/>
              <w:right w:w="57" w:type="dxa"/>
            </w:tcMar>
          </w:tcPr>
          <w:p w14:paraId="63A6E53F"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26,980</w:t>
            </w:r>
          </w:p>
        </w:tc>
        <w:tc>
          <w:tcPr>
            <w:tcW w:w="937" w:type="dxa"/>
            <w:tcMar>
              <w:top w:w="57" w:type="dxa"/>
              <w:left w:w="57" w:type="dxa"/>
              <w:bottom w:w="57" w:type="dxa"/>
              <w:right w:w="57" w:type="dxa"/>
            </w:tcMar>
          </w:tcPr>
          <w:p w14:paraId="14B5A0D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92.9</w:t>
            </w:r>
          </w:p>
        </w:tc>
        <w:tc>
          <w:tcPr>
            <w:tcW w:w="1008" w:type="dxa"/>
            <w:tcMar>
              <w:top w:w="57" w:type="dxa"/>
              <w:left w:w="57" w:type="dxa"/>
              <w:bottom w:w="57" w:type="dxa"/>
              <w:right w:w="57" w:type="dxa"/>
            </w:tcMar>
          </w:tcPr>
          <w:p w14:paraId="16E7403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7,467</w:t>
            </w:r>
          </w:p>
        </w:tc>
        <w:tc>
          <w:tcPr>
            <w:tcW w:w="866" w:type="dxa"/>
            <w:tcMar>
              <w:top w:w="57" w:type="dxa"/>
              <w:left w:w="57" w:type="dxa"/>
              <w:bottom w:w="57" w:type="dxa"/>
              <w:right w:w="57" w:type="dxa"/>
            </w:tcMar>
          </w:tcPr>
          <w:p w14:paraId="4097C3C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88.8</w:t>
            </w:r>
          </w:p>
        </w:tc>
        <w:tc>
          <w:tcPr>
            <w:tcW w:w="938" w:type="dxa"/>
            <w:tcMar>
              <w:top w:w="57" w:type="dxa"/>
              <w:left w:w="57" w:type="dxa"/>
              <w:bottom w:w="57" w:type="dxa"/>
              <w:right w:w="57" w:type="dxa"/>
            </w:tcMar>
          </w:tcPr>
          <w:p w14:paraId="193F0A9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222</w:t>
            </w:r>
          </w:p>
        </w:tc>
      </w:tr>
      <w:tr w:rsidR="0042565F" w:rsidRPr="00A92ED0" w14:paraId="0A1108AF" w14:textId="77777777" w:rsidTr="00BE6FCF">
        <w:trPr>
          <w:trHeight w:val="262"/>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206376E4" w14:textId="77777777" w:rsidR="0042565F" w:rsidRPr="007D01D0" w:rsidRDefault="0042565F" w:rsidP="009125E7">
            <w:pPr>
              <w:spacing w:before="0" w:after="0"/>
              <w:rPr>
                <w:rFonts w:cs="Arial"/>
                <w:szCs w:val="18"/>
              </w:rPr>
            </w:pPr>
          </w:p>
        </w:tc>
        <w:tc>
          <w:tcPr>
            <w:tcW w:w="960" w:type="dxa"/>
            <w:tcMar>
              <w:top w:w="57" w:type="dxa"/>
              <w:left w:w="57" w:type="dxa"/>
              <w:bottom w:w="57" w:type="dxa"/>
              <w:right w:w="57" w:type="dxa"/>
            </w:tcMar>
          </w:tcPr>
          <w:p w14:paraId="22D4C9DE"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2014–15</w:t>
            </w:r>
          </w:p>
        </w:tc>
        <w:tc>
          <w:tcPr>
            <w:tcW w:w="937" w:type="dxa"/>
            <w:tcMar>
              <w:top w:w="57" w:type="dxa"/>
              <w:left w:w="57" w:type="dxa"/>
              <w:bottom w:w="57" w:type="dxa"/>
              <w:right w:w="57" w:type="dxa"/>
            </w:tcMar>
          </w:tcPr>
          <w:p w14:paraId="5851169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92.4</w:t>
            </w:r>
          </w:p>
        </w:tc>
        <w:tc>
          <w:tcPr>
            <w:tcW w:w="937" w:type="dxa"/>
            <w:tcMar>
              <w:top w:w="57" w:type="dxa"/>
              <w:left w:w="57" w:type="dxa"/>
              <w:bottom w:w="57" w:type="dxa"/>
              <w:right w:w="57" w:type="dxa"/>
            </w:tcMar>
          </w:tcPr>
          <w:p w14:paraId="39DCDA5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34,185</w:t>
            </w:r>
          </w:p>
        </w:tc>
        <w:tc>
          <w:tcPr>
            <w:tcW w:w="937" w:type="dxa"/>
            <w:tcMar>
              <w:top w:w="57" w:type="dxa"/>
              <w:left w:w="57" w:type="dxa"/>
              <w:bottom w:w="57" w:type="dxa"/>
              <w:right w:w="57" w:type="dxa"/>
            </w:tcMar>
          </w:tcPr>
          <w:p w14:paraId="68B08DD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92.3</w:t>
            </w:r>
          </w:p>
        </w:tc>
        <w:tc>
          <w:tcPr>
            <w:tcW w:w="938" w:type="dxa"/>
            <w:tcMar>
              <w:top w:w="57" w:type="dxa"/>
              <w:left w:w="57" w:type="dxa"/>
              <w:bottom w:w="57" w:type="dxa"/>
              <w:right w:w="57" w:type="dxa"/>
            </w:tcMar>
          </w:tcPr>
          <w:p w14:paraId="583DB22A"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26,495</w:t>
            </w:r>
          </w:p>
        </w:tc>
        <w:tc>
          <w:tcPr>
            <w:tcW w:w="937" w:type="dxa"/>
            <w:tcMar>
              <w:top w:w="57" w:type="dxa"/>
              <w:left w:w="57" w:type="dxa"/>
              <w:bottom w:w="57" w:type="dxa"/>
              <w:right w:w="57" w:type="dxa"/>
            </w:tcMar>
          </w:tcPr>
          <w:p w14:paraId="51E8DF4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92.6</w:t>
            </w:r>
          </w:p>
        </w:tc>
        <w:tc>
          <w:tcPr>
            <w:tcW w:w="1008" w:type="dxa"/>
            <w:tcMar>
              <w:top w:w="57" w:type="dxa"/>
              <w:left w:w="57" w:type="dxa"/>
              <w:bottom w:w="57" w:type="dxa"/>
              <w:right w:w="57" w:type="dxa"/>
            </w:tcMar>
          </w:tcPr>
          <w:p w14:paraId="6DCAA7D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7,504</w:t>
            </w:r>
          </w:p>
        </w:tc>
        <w:tc>
          <w:tcPr>
            <w:tcW w:w="866" w:type="dxa"/>
            <w:tcMar>
              <w:top w:w="57" w:type="dxa"/>
              <w:left w:w="57" w:type="dxa"/>
              <w:bottom w:w="57" w:type="dxa"/>
              <w:right w:w="57" w:type="dxa"/>
            </w:tcMar>
          </w:tcPr>
          <w:p w14:paraId="1294F4E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93.1</w:t>
            </w:r>
          </w:p>
        </w:tc>
        <w:tc>
          <w:tcPr>
            <w:tcW w:w="938" w:type="dxa"/>
            <w:tcMar>
              <w:top w:w="57" w:type="dxa"/>
              <w:left w:w="57" w:type="dxa"/>
              <w:bottom w:w="57" w:type="dxa"/>
              <w:right w:w="57" w:type="dxa"/>
            </w:tcMar>
          </w:tcPr>
          <w:p w14:paraId="77837AF5"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175</w:t>
            </w:r>
          </w:p>
        </w:tc>
      </w:tr>
      <w:tr w:rsidR="0042565F" w:rsidRPr="00A92ED0" w14:paraId="0BA65050" w14:textId="77777777" w:rsidTr="00BE6FCF">
        <w:trPr>
          <w:trHeight w:val="101"/>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4A86E8D5" w14:textId="77777777" w:rsidR="0042565F" w:rsidRPr="007D01D0" w:rsidRDefault="0042565F" w:rsidP="009125E7">
            <w:pPr>
              <w:spacing w:before="0" w:after="0"/>
              <w:rPr>
                <w:rFonts w:cs="Arial"/>
                <w:szCs w:val="18"/>
              </w:rPr>
            </w:pPr>
          </w:p>
        </w:tc>
        <w:tc>
          <w:tcPr>
            <w:tcW w:w="960" w:type="dxa"/>
            <w:tcMar>
              <w:top w:w="57" w:type="dxa"/>
              <w:left w:w="57" w:type="dxa"/>
              <w:bottom w:w="57" w:type="dxa"/>
              <w:right w:w="57" w:type="dxa"/>
            </w:tcMar>
          </w:tcPr>
          <w:p w14:paraId="349F034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2015–16</w:t>
            </w:r>
          </w:p>
        </w:tc>
        <w:tc>
          <w:tcPr>
            <w:tcW w:w="937" w:type="dxa"/>
            <w:tcMar>
              <w:top w:w="57" w:type="dxa"/>
              <w:left w:w="57" w:type="dxa"/>
              <w:bottom w:w="57" w:type="dxa"/>
              <w:right w:w="57" w:type="dxa"/>
            </w:tcMar>
          </w:tcPr>
          <w:p w14:paraId="534CA03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90.8</w:t>
            </w:r>
          </w:p>
        </w:tc>
        <w:tc>
          <w:tcPr>
            <w:tcW w:w="937" w:type="dxa"/>
            <w:tcMar>
              <w:top w:w="57" w:type="dxa"/>
              <w:left w:w="57" w:type="dxa"/>
              <w:bottom w:w="57" w:type="dxa"/>
              <w:right w:w="57" w:type="dxa"/>
            </w:tcMar>
          </w:tcPr>
          <w:p w14:paraId="3DAB426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41,418</w:t>
            </w:r>
          </w:p>
        </w:tc>
        <w:tc>
          <w:tcPr>
            <w:tcW w:w="937" w:type="dxa"/>
            <w:tcMar>
              <w:top w:w="57" w:type="dxa"/>
              <w:left w:w="57" w:type="dxa"/>
              <w:bottom w:w="57" w:type="dxa"/>
              <w:right w:w="57" w:type="dxa"/>
            </w:tcMar>
          </w:tcPr>
          <w:p w14:paraId="6E1E92B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90.2</w:t>
            </w:r>
          </w:p>
        </w:tc>
        <w:tc>
          <w:tcPr>
            <w:tcW w:w="938" w:type="dxa"/>
            <w:tcMar>
              <w:top w:w="57" w:type="dxa"/>
              <w:left w:w="57" w:type="dxa"/>
              <w:bottom w:w="57" w:type="dxa"/>
              <w:right w:w="57" w:type="dxa"/>
            </w:tcMar>
          </w:tcPr>
          <w:p w14:paraId="25EFBD5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 xml:space="preserve">31,995 </w:t>
            </w:r>
          </w:p>
        </w:tc>
        <w:tc>
          <w:tcPr>
            <w:tcW w:w="937" w:type="dxa"/>
            <w:tcMar>
              <w:top w:w="57" w:type="dxa"/>
              <w:left w:w="57" w:type="dxa"/>
              <w:bottom w:w="57" w:type="dxa"/>
              <w:right w:w="57" w:type="dxa"/>
            </w:tcMar>
          </w:tcPr>
          <w:p w14:paraId="793F8F7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92.8</w:t>
            </w:r>
          </w:p>
        </w:tc>
        <w:tc>
          <w:tcPr>
            <w:tcW w:w="1008" w:type="dxa"/>
            <w:tcMar>
              <w:top w:w="57" w:type="dxa"/>
              <w:left w:w="57" w:type="dxa"/>
              <w:bottom w:w="57" w:type="dxa"/>
              <w:right w:w="57" w:type="dxa"/>
            </w:tcMar>
          </w:tcPr>
          <w:p w14:paraId="166EBDEA"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 xml:space="preserve">9,229 </w:t>
            </w:r>
          </w:p>
        </w:tc>
        <w:tc>
          <w:tcPr>
            <w:tcW w:w="866" w:type="dxa"/>
            <w:tcMar>
              <w:top w:w="57" w:type="dxa"/>
              <w:left w:w="57" w:type="dxa"/>
              <w:bottom w:w="57" w:type="dxa"/>
              <w:right w:w="57" w:type="dxa"/>
            </w:tcMar>
          </w:tcPr>
          <w:p w14:paraId="3178882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89.9</w:t>
            </w:r>
          </w:p>
        </w:tc>
        <w:tc>
          <w:tcPr>
            <w:tcW w:w="938" w:type="dxa"/>
            <w:tcMar>
              <w:top w:w="57" w:type="dxa"/>
              <w:left w:w="57" w:type="dxa"/>
              <w:bottom w:w="57" w:type="dxa"/>
              <w:right w:w="57" w:type="dxa"/>
            </w:tcMar>
          </w:tcPr>
          <w:p w14:paraId="780C51A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 xml:space="preserve">178 </w:t>
            </w:r>
          </w:p>
        </w:tc>
      </w:tr>
      <w:tr w:rsidR="0042565F" w:rsidRPr="00A92ED0" w14:paraId="6B506BDC" w14:textId="77777777" w:rsidTr="00BE6FCF">
        <w:trPr>
          <w:trHeight w:val="204"/>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0663C749" w14:textId="77777777" w:rsidR="0042565F" w:rsidRPr="007D01D0" w:rsidRDefault="0042565F" w:rsidP="009125E7">
            <w:pPr>
              <w:spacing w:before="0" w:after="0"/>
              <w:rPr>
                <w:rFonts w:cs="Arial"/>
                <w:szCs w:val="18"/>
              </w:rPr>
            </w:pPr>
          </w:p>
        </w:tc>
        <w:tc>
          <w:tcPr>
            <w:tcW w:w="960" w:type="dxa"/>
            <w:tcMar>
              <w:top w:w="57" w:type="dxa"/>
              <w:left w:w="57" w:type="dxa"/>
              <w:bottom w:w="57" w:type="dxa"/>
              <w:right w:w="57" w:type="dxa"/>
            </w:tcMar>
          </w:tcPr>
          <w:p w14:paraId="3CE0F42A"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2016–17</w:t>
            </w:r>
          </w:p>
        </w:tc>
        <w:tc>
          <w:tcPr>
            <w:tcW w:w="937" w:type="dxa"/>
            <w:tcMar>
              <w:top w:w="57" w:type="dxa"/>
              <w:left w:w="57" w:type="dxa"/>
              <w:bottom w:w="57" w:type="dxa"/>
              <w:right w:w="57" w:type="dxa"/>
            </w:tcMar>
          </w:tcPr>
          <w:p w14:paraId="1D03D56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91.2</w:t>
            </w:r>
          </w:p>
        </w:tc>
        <w:tc>
          <w:tcPr>
            <w:tcW w:w="937" w:type="dxa"/>
            <w:tcMar>
              <w:top w:w="57" w:type="dxa"/>
              <w:left w:w="57" w:type="dxa"/>
              <w:bottom w:w="57" w:type="dxa"/>
              <w:right w:w="57" w:type="dxa"/>
            </w:tcMar>
          </w:tcPr>
          <w:p w14:paraId="371E008C"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39,587</w:t>
            </w:r>
          </w:p>
        </w:tc>
        <w:tc>
          <w:tcPr>
            <w:tcW w:w="937" w:type="dxa"/>
            <w:tcMar>
              <w:top w:w="57" w:type="dxa"/>
              <w:left w:w="57" w:type="dxa"/>
              <w:bottom w:w="57" w:type="dxa"/>
              <w:right w:w="57" w:type="dxa"/>
            </w:tcMar>
          </w:tcPr>
          <w:p w14:paraId="1507BC9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91.2</w:t>
            </w:r>
          </w:p>
        </w:tc>
        <w:tc>
          <w:tcPr>
            <w:tcW w:w="938" w:type="dxa"/>
            <w:tcMar>
              <w:top w:w="57" w:type="dxa"/>
              <w:left w:w="57" w:type="dxa"/>
              <w:bottom w:w="57" w:type="dxa"/>
              <w:right w:w="57" w:type="dxa"/>
            </w:tcMar>
          </w:tcPr>
          <w:p w14:paraId="64DA125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30,865</w:t>
            </w:r>
          </w:p>
        </w:tc>
        <w:tc>
          <w:tcPr>
            <w:tcW w:w="937" w:type="dxa"/>
            <w:tcMar>
              <w:top w:w="57" w:type="dxa"/>
              <w:left w:w="57" w:type="dxa"/>
              <w:bottom w:w="57" w:type="dxa"/>
              <w:right w:w="57" w:type="dxa"/>
            </w:tcMar>
          </w:tcPr>
          <w:p w14:paraId="1CFE83A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91.3</w:t>
            </w:r>
          </w:p>
        </w:tc>
        <w:tc>
          <w:tcPr>
            <w:tcW w:w="1008" w:type="dxa"/>
            <w:tcMar>
              <w:top w:w="57" w:type="dxa"/>
              <w:left w:w="57" w:type="dxa"/>
              <w:bottom w:w="57" w:type="dxa"/>
              <w:right w:w="57" w:type="dxa"/>
            </w:tcMar>
          </w:tcPr>
          <w:p w14:paraId="6B0C59CE"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8,585</w:t>
            </w:r>
          </w:p>
        </w:tc>
        <w:tc>
          <w:tcPr>
            <w:tcW w:w="866" w:type="dxa"/>
            <w:tcMar>
              <w:top w:w="57" w:type="dxa"/>
              <w:left w:w="57" w:type="dxa"/>
              <w:bottom w:w="57" w:type="dxa"/>
              <w:right w:w="57" w:type="dxa"/>
            </w:tcMar>
          </w:tcPr>
          <w:p w14:paraId="53DE150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99.3</w:t>
            </w:r>
          </w:p>
        </w:tc>
        <w:tc>
          <w:tcPr>
            <w:tcW w:w="938" w:type="dxa"/>
            <w:tcMar>
              <w:top w:w="57" w:type="dxa"/>
              <w:left w:w="57" w:type="dxa"/>
              <w:bottom w:w="57" w:type="dxa"/>
              <w:right w:w="57" w:type="dxa"/>
            </w:tcMar>
          </w:tcPr>
          <w:p w14:paraId="09D92AE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137</w:t>
            </w:r>
          </w:p>
        </w:tc>
      </w:tr>
      <w:tr w:rsidR="0042565F" w:rsidRPr="00A92ED0" w14:paraId="3D8153C6" w14:textId="77777777" w:rsidTr="00BE6FCF">
        <w:trPr>
          <w:trHeight w:val="192"/>
        </w:trPr>
        <w:tc>
          <w:tcPr>
            <w:cnfStyle w:val="001000000000" w:firstRow="0" w:lastRow="0" w:firstColumn="1" w:lastColumn="0" w:oddVBand="0" w:evenVBand="0" w:oddHBand="0" w:evenHBand="0" w:firstRowFirstColumn="0" w:firstRowLastColumn="0" w:lastRowFirstColumn="0" w:lastRowLastColumn="0"/>
            <w:tcW w:w="971" w:type="dxa"/>
            <w:vMerge w:val="restart"/>
            <w:tcMar>
              <w:top w:w="57" w:type="dxa"/>
              <w:left w:w="57" w:type="dxa"/>
              <w:bottom w:w="57" w:type="dxa"/>
              <w:right w:w="57" w:type="dxa"/>
            </w:tcMar>
          </w:tcPr>
          <w:p w14:paraId="0746C5BF" w14:textId="77777777" w:rsidR="0042565F" w:rsidRPr="007D01D0" w:rsidRDefault="0042565F" w:rsidP="009125E7">
            <w:pPr>
              <w:spacing w:before="0" w:after="0"/>
              <w:rPr>
                <w:rFonts w:cs="Arial"/>
                <w:szCs w:val="18"/>
              </w:rPr>
            </w:pPr>
            <w:r w:rsidRPr="007D01D0">
              <w:rPr>
                <w:rFonts w:cs="Arial"/>
                <w:szCs w:val="18"/>
              </w:rPr>
              <w:t>iPrimus</w:t>
            </w:r>
          </w:p>
        </w:tc>
        <w:tc>
          <w:tcPr>
            <w:tcW w:w="960" w:type="dxa"/>
            <w:tcMar>
              <w:top w:w="57" w:type="dxa"/>
              <w:left w:w="57" w:type="dxa"/>
              <w:bottom w:w="57" w:type="dxa"/>
              <w:right w:w="57" w:type="dxa"/>
            </w:tcMar>
          </w:tcPr>
          <w:p w14:paraId="411CD66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2012–13</w:t>
            </w:r>
          </w:p>
        </w:tc>
        <w:tc>
          <w:tcPr>
            <w:tcW w:w="937" w:type="dxa"/>
            <w:tcMar>
              <w:top w:w="57" w:type="dxa"/>
              <w:left w:w="57" w:type="dxa"/>
              <w:bottom w:w="57" w:type="dxa"/>
              <w:right w:w="57" w:type="dxa"/>
            </w:tcMar>
          </w:tcPr>
          <w:p w14:paraId="0A58FE3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937" w:type="dxa"/>
            <w:tcMar>
              <w:top w:w="57" w:type="dxa"/>
              <w:left w:w="57" w:type="dxa"/>
              <w:bottom w:w="57" w:type="dxa"/>
              <w:right w:w="57" w:type="dxa"/>
            </w:tcMar>
          </w:tcPr>
          <w:p w14:paraId="131E2A1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112</w:t>
            </w:r>
          </w:p>
        </w:tc>
        <w:tc>
          <w:tcPr>
            <w:tcW w:w="937" w:type="dxa"/>
            <w:tcMar>
              <w:top w:w="57" w:type="dxa"/>
              <w:left w:w="57" w:type="dxa"/>
              <w:bottom w:w="57" w:type="dxa"/>
              <w:right w:w="57" w:type="dxa"/>
            </w:tcMar>
          </w:tcPr>
          <w:p w14:paraId="0740F26C"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938" w:type="dxa"/>
            <w:tcMar>
              <w:top w:w="57" w:type="dxa"/>
              <w:left w:w="57" w:type="dxa"/>
              <w:bottom w:w="57" w:type="dxa"/>
              <w:right w:w="57" w:type="dxa"/>
            </w:tcMar>
          </w:tcPr>
          <w:p w14:paraId="61A0D2B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90</w:t>
            </w:r>
          </w:p>
        </w:tc>
        <w:tc>
          <w:tcPr>
            <w:tcW w:w="937" w:type="dxa"/>
            <w:tcMar>
              <w:top w:w="57" w:type="dxa"/>
              <w:left w:w="57" w:type="dxa"/>
              <w:bottom w:w="57" w:type="dxa"/>
              <w:right w:w="57" w:type="dxa"/>
            </w:tcMar>
          </w:tcPr>
          <w:p w14:paraId="71C0297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1008" w:type="dxa"/>
            <w:tcMar>
              <w:top w:w="57" w:type="dxa"/>
              <w:left w:w="57" w:type="dxa"/>
              <w:bottom w:w="57" w:type="dxa"/>
              <w:right w:w="57" w:type="dxa"/>
            </w:tcMar>
          </w:tcPr>
          <w:p w14:paraId="7402BD0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22</w:t>
            </w:r>
          </w:p>
        </w:tc>
        <w:tc>
          <w:tcPr>
            <w:tcW w:w="866" w:type="dxa"/>
            <w:tcMar>
              <w:top w:w="57" w:type="dxa"/>
              <w:left w:w="57" w:type="dxa"/>
              <w:bottom w:w="57" w:type="dxa"/>
              <w:right w:w="57" w:type="dxa"/>
            </w:tcMar>
          </w:tcPr>
          <w:p w14:paraId="281A7B7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n/a</w:t>
            </w:r>
          </w:p>
        </w:tc>
        <w:tc>
          <w:tcPr>
            <w:tcW w:w="938" w:type="dxa"/>
            <w:tcMar>
              <w:top w:w="57" w:type="dxa"/>
              <w:left w:w="57" w:type="dxa"/>
              <w:bottom w:w="57" w:type="dxa"/>
              <w:right w:w="57" w:type="dxa"/>
            </w:tcMar>
          </w:tcPr>
          <w:p w14:paraId="1AFED6C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0</w:t>
            </w:r>
          </w:p>
        </w:tc>
      </w:tr>
      <w:tr w:rsidR="0042565F" w:rsidRPr="00A92ED0" w14:paraId="69F26F89" w14:textId="77777777" w:rsidTr="00BE6FCF">
        <w:trPr>
          <w:trHeight w:val="186"/>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2577AC79" w14:textId="77777777" w:rsidR="0042565F" w:rsidRPr="00744827" w:rsidRDefault="0042565F" w:rsidP="009125E7">
            <w:pPr>
              <w:spacing w:before="0" w:after="0"/>
              <w:rPr>
                <w:rFonts w:cs="Arial"/>
                <w:b/>
                <w:color w:val="FFFFFF" w:themeColor="background1"/>
                <w:szCs w:val="18"/>
              </w:rPr>
            </w:pPr>
          </w:p>
        </w:tc>
        <w:tc>
          <w:tcPr>
            <w:tcW w:w="960" w:type="dxa"/>
            <w:tcMar>
              <w:top w:w="57" w:type="dxa"/>
              <w:left w:w="57" w:type="dxa"/>
              <w:bottom w:w="57" w:type="dxa"/>
              <w:right w:w="57" w:type="dxa"/>
            </w:tcMar>
          </w:tcPr>
          <w:p w14:paraId="7B2053C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2013–14</w:t>
            </w:r>
          </w:p>
        </w:tc>
        <w:tc>
          <w:tcPr>
            <w:tcW w:w="937" w:type="dxa"/>
            <w:tcMar>
              <w:top w:w="57" w:type="dxa"/>
              <w:left w:w="57" w:type="dxa"/>
              <w:bottom w:w="57" w:type="dxa"/>
              <w:right w:w="57" w:type="dxa"/>
            </w:tcMar>
          </w:tcPr>
          <w:p w14:paraId="2239FCF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937" w:type="dxa"/>
            <w:tcMar>
              <w:top w:w="57" w:type="dxa"/>
              <w:left w:w="57" w:type="dxa"/>
              <w:bottom w:w="57" w:type="dxa"/>
              <w:right w:w="57" w:type="dxa"/>
            </w:tcMar>
          </w:tcPr>
          <w:p w14:paraId="25AB42B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937" w:type="dxa"/>
            <w:tcMar>
              <w:top w:w="57" w:type="dxa"/>
              <w:left w:w="57" w:type="dxa"/>
              <w:bottom w:w="57" w:type="dxa"/>
              <w:right w:w="57" w:type="dxa"/>
            </w:tcMar>
          </w:tcPr>
          <w:p w14:paraId="362B20E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938" w:type="dxa"/>
            <w:tcMar>
              <w:top w:w="57" w:type="dxa"/>
              <w:left w:w="57" w:type="dxa"/>
              <w:bottom w:w="57" w:type="dxa"/>
              <w:right w:w="57" w:type="dxa"/>
            </w:tcMar>
          </w:tcPr>
          <w:p w14:paraId="2F9AF1A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937" w:type="dxa"/>
            <w:tcMar>
              <w:top w:w="57" w:type="dxa"/>
              <w:left w:w="57" w:type="dxa"/>
              <w:bottom w:w="57" w:type="dxa"/>
              <w:right w:w="57" w:type="dxa"/>
            </w:tcMar>
          </w:tcPr>
          <w:p w14:paraId="6635471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1008" w:type="dxa"/>
            <w:tcMar>
              <w:top w:w="57" w:type="dxa"/>
              <w:left w:w="57" w:type="dxa"/>
              <w:bottom w:w="57" w:type="dxa"/>
              <w:right w:w="57" w:type="dxa"/>
            </w:tcMar>
          </w:tcPr>
          <w:p w14:paraId="24F4483F"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866" w:type="dxa"/>
            <w:tcMar>
              <w:top w:w="57" w:type="dxa"/>
              <w:left w:w="57" w:type="dxa"/>
              <w:bottom w:w="57" w:type="dxa"/>
              <w:right w:w="57" w:type="dxa"/>
            </w:tcMar>
          </w:tcPr>
          <w:p w14:paraId="4A84500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c>
          <w:tcPr>
            <w:tcW w:w="938" w:type="dxa"/>
            <w:tcMar>
              <w:top w:w="57" w:type="dxa"/>
              <w:left w:w="57" w:type="dxa"/>
              <w:bottom w:w="57" w:type="dxa"/>
              <w:right w:w="57" w:type="dxa"/>
            </w:tcMar>
          </w:tcPr>
          <w:p w14:paraId="50FF371F"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n/r</w:t>
            </w:r>
          </w:p>
        </w:tc>
      </w:tr>
      <w:tr w:rsidR="0042565F" w:rsidRPr="00A92ED0" w14:paraId="42FFBD60" w14:textId="77777777" w:rsidTr="00BE6FCF">
        <w:trPr>
          <w:trHeight w:val="192"/>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14ADBB5B" w14:textId="77777777" w:rsidR="0042565F" w:rsidRPr="00744827" w:rsidRDefault="0042565F" w:rsidP="009125E7">
            <w:pPr>
              <w:spacing w:before="0" w:after="0"/>
              <w:rPr>
                <w:rFonts w:cs="Arial"/>
                <w:b/>
                <w:color w:val="FFFFFF" w:themeColor="background1"/>
                <w:szCs w:val="18"/>
              </w:rPr>
            </w:pPr>
          </w:p>
        </w:tc>
        <w:tc>
          <w:tcPr>
            <w:tcW w:w="960" w:type="dxa"/>
            <w:tcMar>
              <w:top w:w="57" w:type="dxa"/>
              <w:left w:w="57" w:type="dxa"/>
              <w:bottom w:w="57" w:type="dxa"/>
              <w:right w:w="57" w:type="dxa"/>
            </w:tcMar>
          </w:tcPr>
          <w:p w14:paraId="67F94AB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2014–15</w:t>
            </w:r>
          </w:p>
        </w:tc>
        <w:tc>
          <w:tcPr>
            <w:tcW w:w="937" w:type="dxa"/>
            <w:tcMar>
              <w:top w:w="57" w:type="dxa"/>
              <w:left w:w="57" w:type="dxa"/>
              <w:bottom w:w="57" w:type="dxa"/>
              <w:right w:w="57" w:type="dxa"/>
            </w:tcMar>
          </w:tcPr>
          <w:p w14:paraId="61B3C18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937" w:type="dxa"/>
            <w:tcMar>
              <w:top w:w="57" w:type="dxa"/>
              <w:left w:w="57" w:type="dxa"/>
              <w:bottom w:w="57" w:type="dxa"/>
              <w:right w:w="57" w:type="dxa"/>
            </w:tcMar>
          </w:tcPr>
          <w:p w14:paraId="4813D4E5"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w:t>
            </w:r>
          </w:p>
        </w:tc>
        <w:tc>
          <w:tcPr>
            <w:tcW w:w="937" w:type="dxa"/>
            <w:tcMar>
              <w:top w:w="57" w:type="dxa"/>
              <w:left w:w="57" w:type="dxa"/>
              <w:bottom w:w="57" w:type="dxa"/>
              <w:right w:w="57" w:type="dxa"/>
            </w:tcMar>
          </w:tcPr>
          <w:p w14:paraId="3BDB3D4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n/a</w:t>
            </w:r>
          </w:p>
        </w:tc>
        <w:tc>
          <w:tcPr>
            <w:tcW w:w="938" w:type="dxa"/>
            <w:tcMar>
              <w:top w:w="57" w:type="dxa"/>
              <w:left w:w="57" w:type="dxa"/>
              <w:bottom w:w="57" w:type="dxa"/>
              <w:right w:w="57" w:type="dxa"/>
            </w:tcMar>
          </w:tcPr>
          <w:p w14:paraId="64CA3F0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0</w:t>
            </w:r>
          </w:p>
        </w:tc>
        <w:tc>
          <w:tcPr>
            <w:tcW w:w="937" w:type="dxa"/>
            <w:tcMar>
              <w:top w:w="57" w:type="dxa"/>
              <w:left w:w="57" w:type="dxa"/>
              <w:bottom w:w="57" w:type="dxa"/>
              <w:right w:w="57" w:type="dxa"/>
            </w:tcMar>
          </w:tcPr>
          <w:p w14:paraId="3DDFF96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1008" w:type="dxa"/>
            <w:tcMar>
              <w:top w:w="57" w:type="dxa"/>
              <w:left w:w="57" w:type="dxa"/>
              <w:bottom w:w="57" w:type="dxa"/>
              <w:right w:w="57" w:type="dxa"/>
            </w:tcMar>
          </w:tcPr>
          <w:p w14:paraId="546EED4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w:t>
            </w:r>
          </w:p>
        </w:tc>
        <w:tc>
          <w:tcPr>
            <w:tcW w:w="866" w:type="dxa"/>
            <w:tcMar>
              <w:top w:w="57" w:type="dxa"/>
              <w:left w:w="57" w:type="dxa"/>
              <w:bottom w:w="57" w:type="dxa"/>
              <w:right w:w="57" w:type="dxa"/>
            </w:tcMar>
          </w:tcPr>
          <w:p w14:paraId="3E91C45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n/a</w:t>
            </w:r>
          </w:p>
        </w:tc>
        <w:tc>
          <w:tcPr>
            <w:tcW w:w="938" w:type="dxa"/>
            <w:tcMar>
              <w:top w:w="57" w:type="dxa"/>
              <w:left w:w="57" w:type="dxa"/>
              <w:bottom w:w="57" w:type="dxa"/>
              <w:right w:w="57" w:type="dxa"/>
            </w:tcMar>
          </w:tcPr>
          <w:p w14:paraId="792607A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0</w:t>
            </w:r>
          </w:p>
        </w:tc>
      </w:tr>
      <w:tr w:rsidR="0042565F" w:rsidRPr="00A92ED0" w14:paraId="5B455704" w14:textId="77777777" w:rsidTr="00BE6FCF">
        <w:trPr>
          <w:trHeight w:val="208"/>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6810D886" w14:textId="77777777" w:rsidR="0042565F" w:rsidRPr="00744827" w:rsidRDefault="0042565F" w:rsidP="009125E7">
            <w:pPr>
              <w:spacing w:before="0" w:after="0"/>
              <w:rPr>
                <w:rFonts w:cs="Arial"/>
                <w:b/>
                <w:color w:val="FFFFFF" w:themeColor="background1"/>
                <w:szCs w:val="18"/>
              </w:rPr>
            </w:pPr>
          </w:p>
        </w:tc>
        <w:tc>
          <w:tcPr>
            <w:tcW w:w="960" w:type="dxa"/>
            <w:tcMar>
              <w:top w:w="57" w:type="dxa"/>
              <w:left w:w="57" w:type="dxa"/>
              <w:bottom w:w="57" w:type="dxa"/>
              <w:right w:w="57" w:type="dxa"/>
            </w:tcMar>
          </w:tcPr>
          <w:p w14:paraId="694F85E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2015–16</w:t>
            </w:r>
          </w:p>
        </w:tc>
        <w:tc>
          <w:tcPr>
            <w:tcW w:w="937" w:type="dxa"/>
            <w:tcMar>
              <w:top w:w="57" w:type="dxa"/>
              <w:left w:w="57" w:type="dxa"/>
              <w:bottom w:w="57" w:type="dxa"/>
              <w:right w:w="57" w:type="dxa"/>
            </w:tcMar>
          </w:tcPr>
          <w:p w14:paraId="2AD137C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937" w:type="dxa"/>
            <w:tcMar>
              <w:top w:w="57" w:type="dxa"/>
              <w:left w:w="57" w:type="dxa"/>
              <w:bottom w:w="57" w:type="dxa"/>
              <w:right w:w="57" w:type="dxa"/>
            </w:tcMar>
          </w:tcPr>
          <w:p w14:paraId="37568C7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w:t>
            </w:r>
          </w:p>
        </w:tc>
        <w:tc>
          <w:tcPr>
            <w:tcW w:w="937" w:type="dxa"/>
            <w:tcMar>
              <w:top w:w="57" w:type="dxa"/>
              <w:left w:w="57" w:type="dxa"/>
              <w:bottom w:w="57" w:type="dxa"/>
              <w:right w:w="57" w:type="dxa"/>
            </w:tcMar>
          </w:tcPr>
          <w:p w14:paraId="0E58692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n/a</w:t>
            </w:r>
          </w:p>
        </w:tc>
        <w:tc>
          <w:tcPr>
            <w:tcW w:w="938" w:type="dxa"/>
            <w:tcMar>
              <w:top w:w="57" w:type="dxa"/>
              <w:left w:w="57" w:type="dxa"/>
              <w:bottom w:w="57" w:type="dxa"/>
              <w:right w:w="57" w:type="dxa"/>
            </w:tcMar>
          </w:tcPr>
          <w:p w14:paraId="70C703E3"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0</w:t>
            </w:r>
          </w:p>
        </w:tc>
        <w:tc>
          <w:tcPr>
            <w:tcW w:w="937" w:type="dxa"/>
            <w:tcMar>
              <w:top w:w="57" w:type="dxa"/>
              <w:left w:w="57" w:type="dxa"/>
              <w:bottom w:w="57" w:type="dxa"/>
              <w:right w:w="57" w:type="dxa"/>
            </w:tcMar>
          </w:tcPr>
          <w:p w14:paraId="1DED0BEF"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100</w:t>
            </w:r>
          </w:p>
        </w:tc>
        <w:tc>
          <w:tcPr>
            <w:tcW w:w="1008" w:type="dxa"/>
            <w:tcMar>
              <w:top w:w="57" w:type="dxa"/>
              <w:left w:w="57" w:type="dxa"/>
              <w:bottom w:w="57" w:type="dxa"/>
              <w:right w:w="57" w:type="dxa"/>
            </w:tcMar>
          </w:tcPr>
          <w:p w14:paraId="29EF9C0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w:t>
            </w:r>
          </w:p>
        </w:tc>
        <w:tc>
          <w:tcPr>
            <w:tcW w:w="866" w:type="dxa"/>
            <w:tcMar>
              <w:top w:w="57" w:type="dxa"/>
              <w:left w:w="57" w:type="dxa"/>
              <w:bottom w:w="57" w:type="dxa"/>
              <w:right w:w="57" w:type="dxa"/>
            </w:tcMar>
          </w:tcPr>
          <w:p w14:paraId="684187F7"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n/a</w:t>
            </w:r>
          </w:p>
        </w:tc>
        <w:tc>
          <w:tcPr>
            <w:tcW w:w="938" w:type="dxa"/>
            <w:tcMar>
              <w:top w:w="57" w:type="dxa"/>
              <w:left w:w="57" w:type="dxa"/>
              <w:bottom w:w="57" w:type="dxa"/>
              <w:right w:w="57" w:type="dxa"/>
            </w:tcMar>
          </w:tcPr>
          <w:p w14:paraId="3509FD4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0</w:t>
            </w:r>
          </w:p>
        </w:tc>
      </w:tr>
      <w:tr w:rsidR="0042565F" w:rsidRPr="002E3B8C" w14:paraId="25C06456" w14:textId="77777777" w:rsidTr="00BE6FCF">
        <w:trPr>
          <w:trHeight w:val="20"/>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0E281B55" w14:textId="77777777" w:rsidR="0042565F" w:rsidRPr="00744827" w:rsidRDefault="0042565F" w:rsidP="009125E7">
            <w:pPr>
              <w:spacing w:before="0" w:after="0"/>
              <w:rPr>
                <w:rFonts w:cs="Arial"/>
                <w:b/>
                <w:color w:val="FFFFFF" w:themeColor="background1"/>
                <w:szCs w:val="18"/>
              </w:rPr>
            </w:pPr>
          </w:p>
        </w:tc>
        <w:tc>
          <w:tcPr>
            <w:tcW w:w="960" w:type="dxa"/>
            <w:tcMar>
              <w:top w:w="57" w:type="dxa"/>
              <w:left w:w="57" w:type="dxa"/>
              <w:bottom w:w="57" w:type="dxa"/>
              <w:right w:w="57" w:type="dxa"/>
            </w:tcMar>
          </w:tcPr>
          <w:p w14:paraId="33AD4E6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2016–17</w:t>
            </w:r>
          </w:p>
        </w:tc>
        <w:tc>
          <w:tcPr>
            <w:tcW w:w="937" w:type="dxa"/>
            <w:tcMar>
              <w:top w:w="57" w:type="dxa"/>
              <w:left w:w="57" w:type="dxa"/>
              <w:bottom w:w="57" w:type="dxa"/>
              <w:right w:w="57" w:type="dxa"/>
            </w:tcMar>
          </w:tcPr>
          <w:p w14:paraId="1AA61DB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n/a</w:t>
            </w:r>
          </w:p>
        </w:tc>
        <w:tc>
          <w:tcPr>
            <w:tcW w:w="937" w:type="dxa"/>
            <w:tcMar>
              <w:top w:w="57" w:type="dxa"/>
              <w:left w:w="57" w:type="dxa"/>
              <w:bottom w:w="57" w:type="dxa"/>
              <w:right w:w="57" w:type="dxa"/>
            </w:tcMar>
          </w:tcPr>
          <w:p w14:paraId="71CF9E5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0</w:t>
            </w:r>
          </w:p>
        </w:tc>
        <w:tc>
          <w:tcPr>
            <w:tcW w:w="937" w:type="dxa"/>
            <w:tcMar>
              <w:top w:w="57" w:type="dxa"/>
              <w:left w:w="57" w:type="dxa"/>
              <w:bottom w:w="57" w:type="dxa"/>
              <w:right w:w="57" w:type="dxa"/>
            </w:tcMar>
          </w:tcPr>
          <w:p w14:paraId="44FA892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n/a</w:t>
            </w:r>
          </w:p>
        </w:tc>
        <w:tc>
          <w:tcPr>
            <w:tcW w:w="938" w:type="dxa"/>
            <w:tcMar>
              <w:top w:w="57" w:type="dxa"/>
              <w:left w:w="57" w:type="dxa"/>
              <w:bottom w:w="57" w:type="dxa"/>
              <w:right w:w="57" w:type="dxa"/>
            </w:tcMar>
          </w:tcPr>
          <w:p w14:paraId="5A6BBE3C"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0</w:t>
            </w:r>
          </w:p>
        </w:tc>
        <w:tc>
          <w:tcPr>
            <w:tcW w:w="937" w:type="dxa"/>
            <w:tcMar>
              <w:top w:w="57" w:type="dxa"/>
              <w:left w:w="57" w:type="dxa"/>
              <w:bottom w:w="57" w:type="dxa"/>
              <w:right w:w="57" w:type="dxa"/>
            </w:tcMar>
          </w:tcPr>
          <w:p w14:paraId="726DD85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n/a</w:t>
            </w:r>
          </w:p>
        </w:tc>
        <w:tc>
          <w:tcPr>
            <w:tcW w:w="1008" w:type="dxa"/>
            <w:tcMar>
              <w:top w:w="57" w:type="dxa"/>
              <w:left w:w="57" w:type="dxa"/>
              <w:bottom w:w="57" w:type="dxa"/>
              <w:right w:w="57" w:type="dxa"/>
            </w:tcMar>
          </w:tcPr>
          <w:p w14:paraId="7B10711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0</w:t>
            </w:r>
          </w:p>
        </w:tc>
        <w:tc>
          <w:tcPr>
            <w:tcW w:w="866" w:type="dxa"/>
            <w:tcMar>
              <w:top w:w="57" w:type="dxa"/>
              <w:left w:w="57" w:type="dxa"/>
              <w:bottom w:w="57" w:type="dxa"/>
              <w:right w:w="57" w:type="dxa"/>
            </w:tcMar>
          </w:tcPr>
          <w:p w14:paraId="40CE8AB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n/a</w:t>
            </w:r>
          </w:p>
        </w:tc>
        <w:tc>
          <w:tcPr>
            <w:tcW w:w="938" w:type="dxa"/>
            <w:tcMar>
              <w:top w:w="57" w:type="dxa"/>
              <w:left w:w="57" w:type="dxa"/>
              <w:bottom w:w="57" w:type="dxa"/>
              <w:right w:w="57" w:type="dxa"/>
            </w:tcMar>
          </w:tcPr>
          <w:p w14:paraId="4EAB8955"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0</w:t>
            </w:r>
          </w:p>
        </w:tc>
      </w:tr>
    </w:tbl>
    <w:p w14:paraId="60D604A4" w14:textId="77777777" w:rsidR="0042565F" w:rsidRDefault="0042565F" w:rsidP="00525CA5">
      <w:pPr>
        <w:pStyle w:val="ACMANotes"/>
        <w:spacing w:before="120"/>
      </w:pPr>
      <w:r w:rsidRPr="006F3EDF">
        <w:t xml:space="preserve">n/a=not </w:t>
      </w:r>
      <w:r>
        <w:t>applicable</w:t>
      </w:r>
      <w:r w:rsidR="00F278EA">
        <w:t xml:space="preserve">; </w:t>
      </w:r>
      <w:r w:rsidRPr="006F3EDF">
        <w:t>n/r=not requested</w:t>
      </w:r>
      <w:r>
        <w:t>.</w:t>
      </w:r>
    </w:p>
    <w:p w14:paraId="0D7CF9C6" w14:textId="77777777" w:rsidR="0042565F" w:rsidRDefault="0042565F" w:rsidP="0042565F">
      <w:pPr>
        <w:pStyle w:val="ACMANotes"/>
      </w:pPr>
      <w:r w:rsidRPr="006F3EDF">
        <w:t>Note: ‘Urban’ is defined as communities with 10,000 or more people, ‘rural’ as communities with between 200 and 10,000 people, ‘remote’ as communities with up to 200 people.</w:t>
      </w:r>
    </w:p>
    <w:p w14:paraId="0E86CD84" w14:textId="77777777" w:rsidR="00F278EA" w:rsidRDefault="0042565F" w:rsidP="009125E7">
      <w:pPr>
        <w:pStyle w:val="ACMANotesspaceafter"/>
        <w:spacing w:after="360"/>
      </w:pPr>
      <w:r w:rsidRPr="006F3EDF">
        <w:t>Source: Telstra, iPrimus.</w:t>
      </w:r>
    </w:p>
    <w:p w14:paraId="6486F759" w14:textId="77777777" w:rsidR="0042565F" w:rsidRDefault="0042565F" w:rsidP="009125E7">
      <w:pPr>
        <w:pStyle w:val="ACMAFigureHeader"/>
        <w:keepNext/>
        <w:ind w:left="1136" w:hanging="1136"/>
      </w:pPr>
      <w:r w:rsidRPr="006134FA">
        <w:t>Table 5.13</w:t>
      </w:r>
      <w:r>
        <w:tab/>
      </w:r>
      <w:r w:rsidRPr="006134FA">
        <w:t>Priority assistance—percentage and volume of fault restoration requests completed on time, by financial year</w:t>
      </w:r>
    </w:p>
    <w:tbl>
      <w:tblPr>
        <w:tblStyle w:val="Commsreport2017"/>
        <w:tblW w:w="9429" w:type="dxa"/>
        <w:tblInd w:w="5" w:type="dxa"/>
        <w:tblLayout w:type="fixed"/>
        <w:tblLook w:val="04A0" w:firstRow="1" w:lastRow="0" w:firstColumn="1" w:lastColumn="0" w:noHBand="0" w:noVBand="1"/>
        <w:tblCaption w:val="Table 5.13 Priority assistance—percentage and volume of fault restoration requests completed on time, by financial year"/>
      </w:tblPr>
      <w:tblGrid>
        <w:gridCol w:w="971"/>
        <w:gridCol w:w="960"/>
        <w:gridCol w:w="937"/>
        <w:gridCol w:w="937"/>
        <w:gridCol w:w="937"/>
        <w:gridCol w:w="938"/>
        <w:gridCol w:w="937"/>
        <w:gridCol w:w="937"/>
        <w:gridCol w:w="937"/>
        <w:gridCol w:w="938"/>
      </w:tblGrid>
      <w:tr w:rsidR="0042565F" w:rsidRPr="00515D61" w14:paraId="02D3846F" w14:textId="77777777" w:rsidTr="00EC183A">
        <w:trPr>
          <w:cnfStyle w:val="100000000000" w:firstRow="1" w:lastRow="0" w:firstColumn="0" w:lastColumn="0" w:oddVBand="0" w:evenVBand="0" w:oddHBand="0" w:evenHBand="0" w:firstRowFirstColumn="0" w:firstRowLastColumn="0" w:lastRowFirstColumn="0" w:lastRowLastColumn="0"/>
          <w:trHeight w:val="26"/>
          <w:tblHeader/>
        </w:trPr>
        <w:tc>
          <w:tcPr>
            <w:cnfStyle w:val="001000000000" w:firstRow="0" w:lastRow="0" w:firstColumn="1" w:lastColumn="0" w:oddVBand="0" w:evenVBand="0" w:oddHBand="0" w:evenHBand="0" w:firstRowFirstColumn="0" w:firstRowLastColumn="0" w:lastRowFirstColumn="0" w:lastRowLastColumn="0"/>
            <w:tcW w:w="971" w:type="dxa"/>
            <w:tcBorders>
              <w:top w:val="nil"/>
              <w:left w:val="nil"/>
              <w:bottom w:val="nil"/>
              <w:right w:val="nil"/>
            </w:tcBorders>
            <w:shd w:val="clear" w:color="auto" w:fill="FFFFFF" w:themeFill="background1"/>
            <w:tcMar>
              <w:top w:w="57" w:type="dxa"/>
              <w:left w:w="57" w:type="dxa"/>
              <w:bottom w:w="57" w:type="dxa"/>
              <w:right w:w="57" w:type="dxa"/>
            </w:tcMar>
          </w:tcPr>
          <w:p w14:paraId="28CC0C97" w14:textId="77777777" w:rsidR="0042565F" w:rsidRPr="00515D61" w:rsidRDefault="0042565F" w:rsidP="009125E7">
            <w:pPr>
              <w:pStyle w:val="TableHeading"/>
              <w:spacing w:beforeLines="0" w:before="0" w:afterLines="0"/>
              <w:jc w:val="center"/>
            </w:pPr>
          </w:p>
        </w:tc>
        <w:tc>
          <w:tcPr>
            <w:tcW w:w="960" w:type="dxa"/>
            <w:tcBorders>
              <w:top w:val="nil"/>
              <w:left w:val="nil"/>
              <w:bottom w:val="nil"/>
            </w:tcBorders>
            <w:shd w:val="clear" w:color="auto" w:fill="FFFFFF" w:themeFill="background1"/>
            <w:tcMar>
              <w:top w:w="57" w:type="dxa"/>
              <w:left w:w="57" w:type="dxa"/>
              <w:bottom w:w="57" w:type="dxa"/>
              <w:right w:w="57" w:type="dxa"/>
            </w:tcMar>
          </w:tcPr>
          <w:p w14:paraId="370BCEFA" w14:textId="77777777" w:rsidR="0042565F" w:rsidRPr="00515D61"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pPr>
          </w:p>
        </w:tc>
        <w:tc>
          <w:tcPr>
            <w:tcW w:w="1874" w:type="dxa"/>
            <w:gridSpan w:val="2"/>
            <w:tcMar>
              <w:top w:w="57" w:type="dxa"/>
              <w:left w:w="57" w:type="dxa"/>
              <w:bottom w:w="57" w:type="dxa"/>
              <w:right w:w="57" w:type="dxa"/>
            </w:tcMar>
          </w:tcPr>
          <w:p w14:paraId="5B1029A8" w14:textId="77777777" w:rsidR="0042565F" w:rsidRPr="00515D61"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515D61">
              <w:t>National</w:t>
            </w:r>
          </w:p>
        </w:tc>
        <w:tc>
          <w:tcPr>
            <w:tcW w:w="1875" w:type="dxa"/>
            <w:gridSpan w:val="2"/>
            <w:tcMar>
              <w:top w:w="57" w:type="dxa"/>
              <w:left w:w="57" w:type="dxa"/>
              <w:bottom w:w="57" w:type="dxa"/>
              <w:right w:w="57" w:type="dxa"/>
            </w:tcMar>
          </w:tcPr>
          <w:p w14:paraId="161AEDE5" w14:textId="77777777" w:rsidR="0042565F" w:rsidRPr="00515D61"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515D61">
              <w:t>Urban</w:t>
            </w:r>
          </w:p>
        </w:tc>
        <w:tc>
          <w:tcPr>
            <w:tcW w:w="1874" w:type="dxa"/>
            <w:gridSpan w:val="2"/>
            <w:tcMar>
              <w:top w:w="57" w:type="dxa"/>
              <w:left w:w="57" w:type="dxa"/>
              <w:bottom w:w="57" w:type="dxa"/>
              <w:right w:w="57" w:type="dxa"/>
            </w:tcMar>
          </w:tcPr>
          <w:p w14:paraId="22253832" w14:textId="77777777" w:rsidR="0042565F" w:rsidRPr="00515D61"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515D61">
              <w:t>Rural</w:t>
            </w:r>
          </w:p>
        </w:tc>
        <w:tc>
          <w:tcPr>
            <w:tcW w:w="1875" w:type="dxa"/>
            <w:gridSpan w:val="2"/>
            <w:tcMar>
              <w:top w:w="57" w:type="dxa"/>
              <w:left w:w="57" w:type="dxa"/>
              <w:bottom w:w="57" w:type="dxa"/>
              <w:right w:w="57" w:type="dxa"/>
            </w:tcMar>
          </w:tcPr>
          <w:p w14:paraId="08E98D04" w14:textId="77777777" w:rsidR="0042565F" w:rsidRPr="00515D61" w:rsidRDefault="0042565F" w:rsidP="009125E7">
            <w:pPr>
              <w:pStyle w:val="TableHeading"/>
              <w:spacing w:beforeLines="0" w:before="0" w:afterLines="0"/>
              <w:jc w:val="center"/>
              <w:cnfStyle w:val="100000000000" w:firstRow="1" w:lastRow="0" w:firstColumn="0" w:lastColumn="0" w:oddVBand="0" w:evenVBand="0" w:oddHBand="0" w:evenHBand="0" w:firstRowFirstColumn="0" w:firstRowLastColumn="0" w:lastRowFirstColumn="0" w:lastRowLastColumn="0"/>
            </w:pPr>
            <w:r w:rsidRPr="00515D61">
              <w:t>Remote</w:t>
            </w:r>
          </w:p>
        </w:tc>
      </w:tr>
      <w:tr w:rsidR="0042565F" w:rsidRPr="006134FA" w14:paraId="5B2B8B54" w14:textId="77777777" w:rsidTr="009125E7">
        <w:trPr>
          <w:trHeight w:val="146"/>
        </w:trPr>
        <w:tc>
          <w:tcPr>
            <w:cnfStyle w:val="001000000000" w:firstRow="0" w:lastRow="0" w:firstColumn="1" w:lastColumn="0" w:oddVBand="0" w:evenVBand="0" w:oddHBand="0" w:evenHBand="0" w:firstRowFirstColumn="0" w:firstRowLastColumn="0" w:lastRowFirstColumn="0" w:lastRowLastColumn="0"/>
            <w:tcW w:w="971" w:type="dxa"/>
            <w:tcBorders>
              <w:top w:val="nil"/>
              <w:left w:val="nil"/>
              <w:right w:val="nil"/>
            </w:tcBorders>
            <w:shd w:val="clear" w:color="auto" w:fill="FFFFFF" w:themeFill="background1"/>
            <w:tcMar>
              <w:top w:w="57" w:type="dxa"/>
              <w:left w:w="57" w:type="dxa"/>
              <w:bottom w:w="57" w:type="dxa"/>
              <w:right w:w="57" w:type="dxa"/>
            </w:tcMar>
          </w:tcPr>
          <w:p w14:paraId="078C4FB9" w14:textId="77777777" w:rsidR="0042565F" w:rsidRPr="006134FA" w:rsidRDefault="0042565F" w:rsidP="009125E7">
            <w:pPr>
              <w:widowControl w:val="0"/>
              <w:spacing w:before="0" w:after="0"/>
              <w:rPr>
                <w:rFonts w:cs="Arial"/>
                <w:b/>
                <w:szCs w:val="18"/>
              </w:rPr>
            </w:pPr>
          </w:p>
        </w:tc>
        <w:tc>
          <w:tcPr>
            <w:tcW w:w="960" w:type="dxa"/>
            <w:tcBorders>
              <w:top w:val="nil"/>
              <w:left w:val="nil"/>
            </w:tcBorders>
            <w:shd w:val="clear" w:color="auto" w:fill="FFFFFF" w:themeFill="background1"/>
            <w:tcMar>
              <w:top w:w="57" w:type="dxa"/>
              <w:left w:w="57" w:type="dxa"/>
              <w:bottom w:w="57" w:type="dxa"/>
              <w:right w:w="57" w:type="dxa"/>
            </w:tcMar>
          </w:tcPr>
          <w:p w14:paraId="2CDB24EE"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p>
        </w:tc>
        <w:tc>
          <w:tcPr>
            <w:tcW w:w="937" w:type="dxa"/>
            <w:shd w:val="clear" w:color="auto" w:fill="37897E"/>
            <w:tcMar>
              <w:top w:w="57" w:type="dxa"/>
              <w:left w:w="57" w:type="dxa"/>
              <w:bottom w:w="57" w:type="dxa"/>
              <w:right w:w="57" w:type="dxa"/>
            </w:tcMar>
          </w:tcPr>
          <w:p w14:paraId="6E249C2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w:t>
            </w:r>
          </w:p>
        </w:tc>
        <w:tc>
          <w:tcPr>
            <w:tcW w:w="937" w:type="dxa"/>
            <w:shd w:val="clear" w:color="auto" w:fill="37897E"/>
            <w:tcMar>
              <w:top w:w="57" w:type="dxa"/>
              <w:left w:w="57" w:type="dxa"/>
              <w:bottom w:w="57" w:type="dxa"/>
              <w:right w:w="57" w:type="dxa"/>
            </w:tcMar>
          </w:tcPr>
          <w:p w14:paraId="0D88B0F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Volume</w:t>
            </w:r>
          </w:p>
        </w:tc>
        <w:tc>
          <w:tcPr>
            <w:tcW w:w="937" w:type="dxa"/>
            <w:shd w:val="clear" w:color="auto" w:fill="37897E"/>
            <w:tcMar>
              <w:top w:w="57" w:type="dxa"/>
              <w:left w:w="57" w:type="dxa"/>
              <w:bottom w:w="57" w:type="dxa"/>
              <w:right w:w="57" w:type="dxa"/>
            </w:tcMar>
          </w:tcPr>
          <w:p w14:paraId="4FF90B8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w:t>
            </w:r>
          </w:p>
        </w:tc>
        <w:tc>
          <w:tcPr>
            <w:tcW w:w="938" w:type="dxa"/>
            <w:shd w:val="clear" w:color="auto" w:fill="37897E"/>
            <w:tcMar>
              <w:top w:w="57" w:type="dxa"/>
              <w:left w:w="57" w:type="dxa"/>
              <w:bottom w:w="57" w:type="dxa"/>
              <w:right w:w="57" w:type="dxa"/>
            </w:tcMar>
          </w:tcPr>
          <w:p w14:paraId="203B3AAB"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Volume</w:t>
            </w:r>
          </w:p>
        </w:tc>
        <w:tc>
          <w:tcPr>
            <w:tcW w:w="937" w:type="dxa"/>
            <w:shd w:val="clear" w:color="auto" w:fill="37897E"/>
            <w:tcMar>
              <w:top w:w="57" w:type="dxa"/>
              <w:left w:w="57" w:type="dxa"/>
              <w:bottom w:w="57" w:type="dxa"/>
              <w:right w:w="57" w:type="dxa"/>
            </w:tcMar>
          </w:tcPr>
          <w:p w14:paraId="1B466DB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w:t>
            </w:r>
          </w:p>
        </w:tc>
        <w:tc>
          <w:tcPr>
            <w:tcW w:w="937" w:type="dxa"/>
            <w:shd w:val="clear" w:color="auto" w:fill="37897E"/>
            <w:tcMar>
              <w:top w:w="57" w:type="dxa"/>
              <w:left w:w="57" w:type="dxa"/>
              <w:bottom w:w="57" w:type="dxa"/>
              <w:right w:w="57" w:type="dxa"/>
            </w:tcMar>
          </w:tcPr>
          <w:p w14:paraId="77EAE249"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Volume</w:t>
            </w:r>
          </w:p>
        </w:tc>
        <w:tc>
          <w:tcPr>
            <w:tcW w:w="937" w:type="dxa"/>
            <w:shd w:val="clear" w:color="auto" w:fill="37897E"/>
            <w:tcMar>
              <w:top w:w="57" w:type="dxa"/>
              <w:left w:w="57" w:type="dxa"/>
              <w:bottom w:w="57" w:type="dxa"/>
              <w:right w:w="57" w:type="dxa"/>
            </w:tcMar>
          </w:tcPr>
          <w:p w14:paraId="08F7F33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w:t>
            </w:r>
          </w:p>
        </w:tc>
        <w:tc>
          <w:tcPr>
            <w:tcW w:w="938" w:type="dxa"/>
            <w:shd w:val="clear" w:color="auto" w:fill="37897E"/>
            <w:tcMar>
              <w:top w:w="57" w:type="dxa"/>
              <w:left w:w="57" w:type="dxa"/>
              <w:bottom w:w="57" w:type="dxa"/>
              <w:right w:w="57" w:type="dxa"/>
            </w:tcMar>
          </w:tcPr>
          <w:p w14:paraId="2B399590"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6134FA">
              <w:rPr>
                <w:rFonts w:cs="Arial"/>
                <w:b/>
                <w:color w:val="FFFFFF"/>
                <w:szCs w:val="18"/>
              </w:rPr>
              <w:t>Volume</w:t>
            </w:r>
          </w:p>
        </w:tc>
      </w:tr>
      <w:tr w:rsidR="0042565F" w:rsidRPr="006134FA" w14:paraId="426E05CF" w14:textId="77777777" w:rsidTr="009125E7">
        <w:trPr>
          <w:trHeight w:val="180"/>
        </w:trPr>
        <w:tc>
          <w:tcPr>
            <w:cnfStyle w:val="001000000000" w:firstRow="0" w:lastRow="0" w:firstColumn="1" w:lastColumn="0" w:oddVBand="0" w:evenVBand="0" w:oddHBand="0" w:evenHBand="0" w:firstRowFirstColumn="0" w:firstRowLastColumn="0" w:lastRowFirstColumn="0" w:lastRowLastColumn="0"/>
            <w:tcW w:w="971" w:type="dxa"/>
            <w:vMerge w:val="restart"/>
            <w:tcMar>
              <w:top w:w="57" w:type="dxa"/>
              <w:left w:w="57" w:type="dxa"/>
              <w:bottom w:w="57" w:type="dxa"/>
              <w:right w:w="57" w:type="dxa"/>
            </w:tcMar>
          </w:tcPr>
          <w:p w14:paraId="308D0370" w14:textId="77777777" w:rsidR="0042565F" w:rsidRPr="007D01D0" w:rsidRDefault="0042565F" w:rsidP="009125E7">
            <w:pPr>
              <w:widowControl w:val="0"/>
              <w:spacing w:before="0" w:after="0"/>
              <w:rPr>
                <w:rFonts w:cs="Arial"/>
                <w:szCs w:val="18"/>
              </w:rPr>
            </w:pPr>
            <w:r w:rsidRPr="007D01D0">
              <w:rPr>
                <w:rFonts w:cs="Arial"/>
                <w:szCs w:val="18"/>
              </w:rPr>
              <w:t>Telstra</w:t>
            </w:r>
          </w:p>
        </w:tc>
        <w:tc>
          <w:tcPr>
            <w:tcW w:w="960" w:type="dxa"/>
            <w:tcMar>
              <w:top w:w="57" w:type="dxa"/>
              <w:left w:w="57" w:type="dxa"/>
              <w:bottom w:w="57" w:type="dxa"/>
              <w:right w:w="57" w:type="dxa"/>
            </w:tcMar>
          </w:tcPr>
          <w:p w14:paraId="2CC9A513"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2012–13</w:t>
            </w:r>
          </w:p>
        </w:tc>
        <w:tc>
          <w:tcPr>
            <w:tcW w:w="937" w:type="dxa"/>
            <w:tcMar>
              <w:top w:w="57" w:type="dxa"/>
              <w:left w:w="57" w:type="dxa"/>
              <w:bottom w:w="57" w:type="dxa"/>
              <w:right w:w="57" w:type="dxa"/>
            </w:tcMar>
          </w:tcPr>
          <w:p w14:paraId="4ECE850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95.5</w:t>
            </w:r>
          </w:p>
        </w:tc>
        <w:tc>
          <w:tcPr>
            <w:tcW w:w="937" w:type="dxa"/>
            <w:tcMar>
              <w:top w:w="57" w:type="dxa"/>
              <w:left w:w="57" w:type="dxa"/>
              <w:bottom w:w="57" w:type="dxa"/>
              <w:right w:w="57" w:type="dxa"/>
            </w:tcMar>
          </w:tcPr>
          <w:p w14:paraId="63D1F6B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155,378</w:t>
            </w:r>
          </w:p>
        </w:tc>
        <w:tc>
          <w:tcPr>
            <w:tcW w:w="937" w:type="dxa"/>
            <w:tcMar>
              <w:top w:w="57" w:type="dxa"/>
              <w:left w:w="57" w:type="dxa"/>
              <w:bottom w:w="57" w:type="dxa"/>
              <w:right w:w="57" w:type="dxa"/>
            </w:tcMar>
          </w:tcPr>
          <w:p w14:paraId="08F2CBE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96.6</w:t>
            </w:r>
          </w:p>
        </w:tc>
        <w:tc>
          <w:tcPr>
            <w:tcW w:w="938" w:type="dxa"/>
            <w:tcMar>
              <w:top w:w="57" w:type="dxa"/>
              <w:left w:w="57" w:type="dxa"/>
              <w:bottom w:w="57" w:type="dxa"/>
              <w:right w:w="57" w:type="dxa"/>
            </w:tcMar>
          </w:tcPr>
          <w:p w14:paraId="65846B2D"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114,800</w:t>
            </w:r>
          </w:p>
        </w:tc>
        <w:tc>
          <w:tcPr>
            <w:tcW w:w="937" w:type="dxa"/>
            <w:tcMar>
              <w:top w:w="57" w:type="dxa"/>
              <w:left w:w="57" w:type="dxa"/>
              <w:bottom w:w="57" w:type="dxa"/>
              <w:right w:w="57" w:type="dxa"/>
            </w:tcMar>
          </w:tcPr>
          <w:p w14:paraId="2410818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92.3</w:t>
            </w:r>
          </w:p>
        </w:tc>
        <w:tc>
          <w:tcPr>
            <w:tcW w:w="937" w:type="dxa"/>
            <w:tcMar>
              <w:top w:w="57" w:type="dxa"/>
              <w:left w:w="57" w:type="dxa"/>
              <w:bottom w:w="57" w:type="dxa"/>
              <w:right w:w="57" w:type="dxa"/>
            </w:tcMar>
          </w:tcPr>
          <w:p w14:paraId="2845EC44"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40,045</w:t>
            </w:r>
          </w:p>
        </w:tc>
        <w:tc>
          <w:tcPr>
            <w:tcW w:w="937" w:type="dxa"/>
            <w:tcMar>
              <w:top w:w="57" w:type="dxa"/>
              <w:left w:w="57" w:type="dxa"/>
              <w:bottom w:w="57" w:type="dxa"/>
              <w:right w:w="57" w:type="dxa"/>
            </w:tcMar>
          </w:tcPr>
          <w:p w14:paraId="1D85A67A"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92</w:t>
            </w:r>
          </w:p>
        </w:tc>
        <w:tc>
          <w:tcPr>
            <w:tcW w:w="938" w:type="dxa"/>
            <w:tcMar>
              <w:top w:w="57" w:type="dxa"/>
              <w:left w:w="57" w:type="dxa"/>
              <w:bottom w:w="57" w:type="dxa"/>
              <w:right w:w="57" w:type="dxa"/>
            </w:tcMar>
          </w:tcPr>
          <w:p w14:paraId="2B504B8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502</w:t>
            </w:r>
          </w:p>
        </w:tc>
      </w:tr>
      <w:tr w:rsidR="0042565F" w:rsidRPr="006134FA" w14:paraId="3A9226B8" w14:textId="77777777" w:rsidTr="009125E7">
        <w:trPr>
          <w:trHeight w:val="86"/>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11E19D89" w14:textId="77777777" w:rsidR="0042565F" w:rsidRPr="007D01D0" w:rsidRDefault="0042565F" w:rsidP="009125E7">
            <w:pPr>
              <w:widowControl w:val="0"/>
              <w:spacing w:before="0" w:after="0"/>
              <w:rPr>
                <w:rFonts w:cs="Arial"/>
                <w:szCs w:val="18"/>
              </w:rPr>
            </w:pPr>
          </w:p>
        </w:tc>
        <w:tc>
          <w:tcPr>
            <w:tcW w:w="960" w:type="dxa"/>
            <w:tcMar>
              <w:top w:w="57" w:type="dxa"/>
              <w:left w:w="57" w:type="dxa"/>
              <w:bottom w:w="57" w:type="dxa"/>
              <w:right w:w="57" w:type="dxa"/>
            </w:tcMar>
          </w:tcPr>
          <w:p w14:paraId="17654140"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2013–14</w:t>
            </w:r>
          </w:p>
        </w:tc>
        <w:tc>
          <w:tcPr>
            <w:tcW w:w="937" w:type="dxa"/>
            <w:tcMar>
              <w:top w:w="57" w:type="dxa"/>
              <w:left w:w="57" w:type="dxa"/>
              <w:bottom w:w="57" w:type="dxa"/>
              <w:right w:w="57" w:type="dxa"/>
            </w:tcMar>
          </w:tcPr>
          <w:p w14:paraId="2284FBB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95.1</w:t>
            </w:r>
          </w:p>
        </w:tc>
        <w:tc>
          <w:tcPr>
            <w:tcW w:w="937" w:type="dxa"/>
            <w:tcMar>
              <w:top w:w="57" w:type="dxa"/>
              <w:left w:w="57" w:type="dxa"/>
              <w:bottom w:w="57" w:type="dxa"/>
              <w:right w:w="57" w:type="dxa"/>
            </w:tcMar>
          </w:tcPr>
          <w:p w14:paraId="62BA19B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116,552</w:t>
            </w:r>
          </w:p>
        </w:tc>
        <w:tc>
          <w:tcPr>
            <w:tcW w:w="937" w:type="dxa"/>
            <w:tcMar>
              <w:top w:w="57" w:type="dxa"/>
              <w:left w:w="57" w:type="dxa"/>
              <w:bottom w:w="57" w:type="dxa"/>
              <w:right w:w="57" w:type="dxa"/>
            </w:tcMar>
          </w:tcPr>
          <w:p w14:paraId="187940B9"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96.1</w:t>
            </w:r>
          </w:p>
        </w:tc>
        <w:tc>
          <w:tcPr>
            <w:tcW w:w="938" w:type="dxa"/>
            <w:tcMar>
              <w:top w:w="57" w:type="dxa"/>
              <w:left w:w="57" w:type="dxa"/>
              <w:bottom w:w="57" w:type="dxa"/>
              <w:right w:w="57" w:type="dxa"/>
            </w:tcMar>
          </w:tcPr>
          <w:p w14:paraId="7EB4B85E"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89,205</w:t>
            </w:r>
          </w:p>
        </w:tc>
        <w:tc>
          <w:tcPr>
            <w:tcW w:w="937" w:type="dxa"/>
            <w:tcMar>
              <w:top w:w="57" w:type="dxa"/>
              <w:left w:w="57" w:type="dxa"/>
              <w:bottom w:w="57" w:type="dxa"/>
              <w:right w:w="57" w:type="dxa"/>
            </w:tcMar>
          </w:tcPr>
          <w:p w14:paraId="7611F31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92.1</w:t>
            </w:r>
          </w:p>
        </w:tc>
        <w:tc>
          <w:tcPr>
            <w:tcW w:w="937" w:type="dxa"/>
            <w:tcMar>
              <w:top w:w="57" w:type="dxa"/>
              <w:left w:w="57" w:type="dxa"/>
              <w:bottom w:w="57" w:type="dxa"/>
              <w:right w:w="57" w:type="dxa"/>
            </w:tcMar>
          </w:tcPr>
          <w:p w14:paraId="29A6DC5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26,988</w:t>
            </w:r>
          </w:p>
        </w:tc>
        <w:tc>
          <w:tcPr>
            <w:tcW w:w="937" w:type="dxa"/>
            <w:tcMar>
              <w:top w:w="57" w:type="dxa"/>
              <w:left w:w="57" w:type="dxa"/>
              <w:bottom w:w="57" w:type="dxa"/>
              <w:right w:w="57" w:type="dxa"/>
            </w:tcMar>
          </w:tcPr>
          <w:p w14:paraId="0160F27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90.9</w:t>
            </w:r>
          </w:p>
        </w:tc>
        <w:tc>
          <w:tcPr>
            <w:tcW w:w="938" w:type="dxa"/>
            <w:tcMar>
              <w:top w:w="57" w:type="dxa"/>
              <w:left w:w="57" w:type="dxa"/>
              <w:bottom w:w="57" w:type="dxa"/>
              <w:right w:w="57" w:type="dxa"/>
            </w:tcMar>
          </w:tcPr>
          <w:p w14:paraId="7F42A3C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390</w:t>
            </w:r>
          </w:p>
        </w:tc>
      </w:tr>
      <w:tr w:rsidR="0042565F" w:rsidRPr="006134FA" w14:paraId="16A2F565" w14:textId="77777777" w:rsidTr="009125E7">
        <w:trPr>
          <w:trHeight w:val="20"/>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13E437FD" w14:textId="77777777" w:rsidR="0042565F" w:rsidRPr="007D01D0" w:rsidRDefault="0042565F" w:rsidP="009125E7">
            <w:pPr>
              <w:widowControl w:val="0"/>
              <w:spacing w:before="0" w:after="0"/>
              <w:rPr>
                <w:rFonts w:cs="Arial"/>
                <w:szCs w:val="18"/>
              </w:rPr>
            </w:pPr>
          </w:p>
        </w:tc>
        <w:tc>
          <w:tcPr>
            <w:tcW w:w="960" w:type="dxa"/>
            <w:tcMar>
              <w:top w:w="57" w:type="dxa"/>
              <w:left w:w="57" w:type="dxa"/>
              <w:bottom w:w="57" w:type="dxa"/>
              <w:right w:w="57" w:type="dxa"/>
            </w:tcMar>
          </w:tcPr>
          <w:p w14:paraId="3544A1E7"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2014–15</w:t>
            </w:r>
          </w:p>
        </w:tc>
        <w:tc>
          <w:tcPr>
            <w:tcW w:w="937" w:type="dxa"/>
            <w:tcMar>
              <w:top w:w="57" w:type="dxa"/>
              <w:left w:w="57" w:type="dxa"/>
              <w:bottom w:w="57" w:type="dxa"/>
              <w:right w:w="57" w:type="dxa"/>
            </w:tcMar>
          </w:tcPr>
          <w:p w14:paraId="2503EF3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94.6</w:t>
            </w:r>
          </w:p>
        </w:tc>
        <w:tc>
          <w:tcPr>
            <w:tcW w:w="937" w:type="dxa"/>
            <w:tcMar>
              <w:top w:w="57" w:type="dxa"/>
              <w:left w:w="57" w:type="dxa"/>
              <w:bottom w:w="57" w:type="dxa"/>
              <w:right w:w="57" w:type="dxa"/>
            </w:tcMar>
          </w:tcPr>
          <w:p w14:paraId="22FCD1B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133,563</w:t>
            </w:r>
          </w:p>
        </w:tc>
        <w:tc>
          <w:tcPr>
            <w:tcW w:w="937" w:type="dxa"/>
            <w:tcMar>
              <w:top w:w="57" w:type="dxa"/>
              <w:left w:w="57" w:type="dxa"/>
              <w:bottom w:w="57" w:type="dxa"/>
              <w:right w:w="57" w:type="dxa"/>
            </w:tcMar>
          </w:tcPr>
          <w:p w14:paraId="58065749"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95.7</w:t>
            </w:r>
          </w:p>
        </w:tc>
        <w:tc>
          <w:tcPr>
            <w:tcW w:w="938" w:type="dxa"/>
            <w:tcMar>
              <w:top w:w="57" w:type="dxa"/>
              <w:left w:w="57" w:type="dxa"/>
              <w:bottom w:w="57" w:type="dxa"/>
              <w:right w:w="57" w:type="dxa"/>
            </w:tcMar>
          </w:tcPr>
          <w:p w14:paraId="064F646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102,803</w:t>
            </w:r>
          </w:p>
        </w:tc>
        <w:tc>
          <w:tcPr>
            <w:tcW w:w="937" w:type="dxa"/>
            <w:tcMar>
              <w:top w:w="57" w:type="dxa"/>
              <w:left w:w="57" w:type="dxa"/>
              <w:bottom w:w="57" w:type="dxa"/>
              <w:right w:w="57" w:type="dxa"/>
            </w:tcMar>
          </w:tcPr>
          <w:p w14:paraId="2ECAEDC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91.1</w:t>
            </w:r>
          </w:p>
        </w:tc>
        <w:tc>
          <w:tcPr>
            <w:tcW w:w="937" w:type="dxa"/>
            <w:tcMar>
              <w:top w:w="57" w:type="dxa"/>
              <w:left w:w="57" w:type="dxa"/>
              <w:bottom w:w="57" w:type="dxa"/>
              <w:right w:w="57" w:type="dxa"/>
            </w:tcMar>
          </w:tcPr>
          <w:p w14:paraId="3A10AD8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30,348</w:t>
            </w:r>
          </w:p>
        </w:tc>
        <w:tc>
          <w:tcPr>
            <w:tcW w:w="937" w:type="dxa"/>
            <w:tcMar>
              <w:top w:w="57" w:type="dxa"/>
              <w:left w:w="57" w:type="dxa"/>
              <w:bottom w:w="57" w:type="dxa"/>
              <w:right w:w="57" w:type="dxa"/>
            </w:tcMar>
          </w:tcPr>
          <w:p w14:paraId="2CDE03C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94</w:t>
            </w:r>
          </w:p>
        </w:tc>
        <w:tc>
          <w:tcPr>
            <w:tcW w:w="938" w:type="dxa"/>
            <w:tcMar>
              <w:top w:w="57" w:type="dxa"/>
              <w:left w:w="57" w:type="dxa"/>
              <w:bottom w:w="57" w:type="dxa"/>
              <w:right w:w="57" w:type="dxa"/>
            </w:tcMar>
          </w:tcPr>
          <w:p w14:paraId="5C432302"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425</w:t>
            </w:r>
          </w:p>
        </w:tc>
      </w:tr>
      <w:tr w:rsidR="0042565F" w:rsidRPr="006134FA" w14:paraId="0495EEDD" w14:textId="77777777" w:rsidTr="009125E7">
        <w:trPr>
          <w:trHeight w:val="168"/>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04ACEC3A" w14:textId="77777777" w:rsidR="0042565F" w:rsidRPr="007D01D0" w:rsidRDefault="0042565F" w:rsidP="009125E7">
            <w:pPr>
              <w:widowControl w:val="0"/>
              <w:spacing w:before="0" w:after="0"/>
              <w:rPr>
                <w:rFonts w:cs="Arial"/>
                <w:szCs w:val="18"/>
              </w:rPr>
            </w:pPr>
          </w:p>
        </w:tc>
        <w:tc>
          <w:tcPr>
            <w:tcW w:w="960" w:type="dxa"/>
            <w:tcMar>
              <w:top w:w="57" w:type="dxa"/>
              <w:left w:w="57" w:type="dxa"/>
              <w:bottom w:w="57" w:type="dxa"/>
              <w:right w:w="57" w:type="dxa"/>
            </w:tcMar>
          </w:tcPr>
          <w:p w14:paraId="78EF19F3"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2015–16</w:t>
            </w:r>
          </w:p>
        </w:tc>
        <w:tc>
          <w:tcPr>
            <w:tcW w:w="937" w:type="dxa"/>
            <w:tcMar>
              <w:top w:w="57" w:type="dxa"/>
              <w:left w:w="57" w:type="dxa"/>
              <w:bottom w:w="57" w:type="dxa"/>
              <w:right w:w="57" w:type="dxa"/>
            </w:tcMar>
          </w:tcPr>
          <w:p w14:paraId="07C377EA"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94.6</w:t>
            </w:r>
          </w:p>
        </w:tc>
        <w:tc>
          <w:tcPr>
            <w:tcW w:w="937" w:type="dxa"/>
            <w:tcMar>
              <w:top w:w="57" w:type="dxa"/>
              <w:left w:w="57" w:type="dxa"/>
              <w:bottom w:w="57" w:type="dxa"/>
              <w:right w:w="57" w:type="dxa"/>
            </w:tcMar>
          </w:tcPr>
          <w:p w14:paraId="70DC109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127,618</w:t>
            </w:r>
          </w:p>
        </w:tc>
        <w:tc>
          <w:tcPr>
            <w:tcW w:w="937" w:type="dxa"/>
            <w:tcMar>
              <w:top w:w="57" w:type="dxa"/>
              <w:left w:w="57" w:type="dxa"/>
              <w:bottom w:w="57" w:type="dxa"/>
              <w:right w:w="57" w:type="dxa"/>
            </w:tcMar>
          </w:tcPr>
          <w:p w14:paraId="45746C3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95.3</w:t>
            </w:r>
          </w:p>
        </w:tc>
        <w:tc>
          <w:tcPr>
            <w:tcW w:w="938" w:type="dxa"/>
            <w:tcMar>
              <w:top w:w="57" w:type="dxa"/>
              <w:left w:w="57" w:type="dxa"/>
              <w:bottom w:w="57" w:type="dxa"/>
              <w:right w:w="57" w:type="dxa"/>
            </w:tcMar>
          </w:tcPr>
          <w:p w14:paraId="1E69007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96,977</w:t>
            </w:r>
          </w:p>
        </w:tc>
        <w:tc>
          <w:tcPr>
            <w:tcW w:w="937" w:type="dxa"/>
            <w:tcMar>
              <w:top w:w="57" w:type="dxa"/>
              <w:left w:w="57" w:type="dxa"/>
              <w:bottom w:w="57" w:type="dxa"/>
              <w:right w:w="57" w:type="dxa"/>
            </w:tcMar>
          </w:tcPr>
          <w:p w14:paraId="3D4346F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90.8</w:t>
            </w:r>
          </w:p>
        </w:tc>
        <w:tc>
          <w:tcPr>
            <w:tcW w:w="937" w:type="dxa"/>
            <w:tcMar>
              <w:top w:w="57" w:type="dxa"/>
              <w:left w:w="57" w:type="dxa"/>
              <w:bottom w:w="57" w:type="dxa"/>
              <w:right w:w="57" w:type="dxa"/>
            </w:tcMar>
          </w:tcPr>
          <w:p w14:paraId="59076AD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29,692</w:t>
            </w:r>
          </w:p>
        </w:tc>
        <w:tc>
          <w:tcPr>
            <w:tcW w:w="937" w:type="dxa"/>
            <w:tcMar>
              <w:top w:w="57" w:type="dxa"/>
              <w:left w:w="57" w:type="dxa"/>
              <w:bottom w:w="57" w:type="dxa"/>
              <w:right w:w="57" w:type="dxa"/>
            </w:tcMar>
          </w:tcPr>
          <w:p w14:paraId="0C9AC1E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90.1</w:t>
            </w:r>
          </w:p>
        </w:tc>
        <w:tc>
          <w:tcPr>
            <w:tcW w:w="938" w:type="dxa"/>
            <w:tcMar>
              <w:top w:w="57" w:type="dxa"/>
              <w:left w:w="57" w:type="dxa"/>
              <w:bottom w:w="57" w:type="dxa"/>
              <w:right w:w="57" w:type="dxa"/>
            </w:tcMar>
          </w:tcPr>
          <w:p w14:paraId="280C8D50"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399</w:t>
            </w:r>
          </w:p>
        </w:tc>
      </w:tr>
      <w:tr w:rsidR="0042565F" w:rsidRPr="006134FA" w14:paraId="52AFC2BA" w14:textId="77777777" w:rsidTr="009125E7">
        <w:trPr>
          <w:trHeight w:val="74"/>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06F93BA0" w14:textId="77777777" w:rsidR="0042565F" w:rsidRPr="007D01D0" w:rsidRDefault="0042565F" w:rsidP="009125E7">
            <w:pPr>
              <w:widowControl w:val="0"/>
              <w:spacing w:before="0" w:after="0"/>
              <w:rPr>
                <w:rFonts w:cs="Arial"/>
                <w:szCs w:val="18"/>
              </w:rPr>
            </w:pPr>
          </w:p>
        </w:tc>
        <w:tc>
          <w:tcPr>
            <w:tcW w:w="960" w:type="dxa"/>
            <w:tcMar>
              <w:top w:w="57" w:type="dxa"/>
              <w:left w:w="57" w:type="dxa"/>
              <w:bottom w:w="57" w:type="dxa"/>
              <w:right w:w="57" w:type="dxa"/>
            </w:tcMar>
          </w:tcPr>
          <w:p w14:paraId="22712A77"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2016–17</w:t>
            </w:r>
          </w:p>
        </w:tc>
        <w:tc>
          <w:tcPr>
            <w:tcW w:w="937" w:type="dxa"/>
            <w:tcMar>
              <w:top w:w="57" w:type="dxa"/>
              <w:left w:w="57" w:type="dxa"/>
              <w:bottom w:w="57" w:type="dxa"/>
              <w:right w:w="57" w:type="dxa"/>
            </w:tcMar>
          </w:tcPr>
          <w:p w14:paraId="6A76D9B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93.9</w:t>
            </w:r>
          </w:p>
        </w:tc>
        <w:tc>
          <w:tcPr>
            <w:tcW w:w="937" w:type="dxa"/>
            <w:tcMar>
              <w:top w:w="57" w:type="dxa"/>
              <w:left w:w="57" w:type="dxa"/>
              <w:bottom w:w="57" w:type="dxa"/>
              <w:right w:w="57" w:type="dxa"/>
            </w:tcMar>
          </w:tcPr>
          <w:p w14:paraId="6C8A398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102,466</w:t>
            </w:r>
          </w:p>
        </w:tc>
        <w:tc>
          <w:tcPr>
            <w:tcW w:w="937" w:type="dxa"/>
            <w:tcMar>
              <w:top w:w="57" w:type="dxa"/>
              <w:left w:w="57" w:type="dxa"/>
              <w:bottom w:w="57" w:type="dxa"/>
              <w:right w:w="57" w:type="dxa"/>
            </w:tcMar>
          </w:tcPr>
          <w:p w14:paraId="0DCF1020"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94.6</w:t>
            </w:r>
          </w:p>
        </w:tc>
        <w:tc>
          <w:tcPr>
            <w:tcW w:w="938" w:type="dxa"/>
            <w:tcMar>
              <w:top w:w="57" w:type="dxa"/>
              <w:left w:w="57" w:type="dxa"/>
              <w:bottom w:w="57" w:type="dxa"/>
              <w:right w:w="57" w:type="dxa"/>
            </w:tcMar>
          </w:tcPr>
          <w:p w14:paraId="5BAA41C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75,005</w:t>
            </w:r>
          </w:p>
        </w:tc>
        <w:tc>
          <w:tcPr>
            <w:tcW w:w="937" w:type="dxa"/>
            <w:tcMar>
              <w:top w:w="57" w:type="dxa"/>
              <w:left w:w="57" w:type="dxa"/>
              <w:bottom w:w="57" w:type="dxa"/>
              <w:right w:w="57" w:type="dxa"/>
            </w:tcMar>
          </w:tcPr>
          <w:p w14:paraId="2DA9C12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91.8</w:t>
            </w:r>
          </w:p>
        </w:tc>
        <w:tc>
          <w:tcPr>
            <w:tcW w:w="937" w:type="dxa"/>
            <w:tcMar>
              <w:top w:w="57" w:type="dxa"/>
              <w:left w:w="57" w:type="dxa"/>
              <w:bottom w:w="57" w:type="dxa"/>
              <w:right w:w="57" w:type="dxa"/>
            </w:tcMar>
          </w:tcPr>
          <w:p w14:paraId="646339B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27,108</w:t>
            </w:r>
          </w:p>
        </w:tc>
        <w:tc>
          <w:tcPr>
            <w:tcW w:w="937" w:type="dxa"/>
            <w:tcMar>
              <w:top w:w="57" w:type="dxa"/>
              <w:left w:w="57" w:type="dxa"/>
              <w:bottom w:w="57" w:type="dxa"/>
              <w:right w:w="57" w:type="dxa"/>
            </w:tcMar>
          </w:tcPr>
          <w:p w14:paraId="4DAB5304"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91.8</w:t>
            </w:r>
          </w:p>
        </w:tc>
        <w:tc>
          <w:tcPr>
            <w:tcW w:w="938" w:type="dxa"/>
            <w:tcMar>
              <w:top w:w="57" w:type="dxa"/>
              <w:left w:w="57" w:type="dxa"/>
              <w:bottom w:w="57" w:type="dxa"/>
              <w:right w:w="57" w:type="dxa"/>
            </w:tcMar>
          </w:tcPr>
          <w:p w14:paraId="409C993E"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353</w:t>
            </w:r>
          </w:p>
        </w:tc>
      </w:tr>
      <w:tr w:rsidR="0042565F" w:rsidRPr="006134FA" w14:paraId="145766BC" w14:textId="77777777" w:rsidTr="009125E7">
        <w:trPr>
          <w:trHeight w:val="90"/>
        </w:trPr>
        <w:tc>
          <w:tcPr>
            <w:cnfStyle w:val="001000000000" w:firstRow="0" w:lastRow="0" w:firstColumn="1" w:lastColumn="0" w:oddVBand="0" w:evenVBand="0" w:oddHBand="0" w:evenHBand="0" w:firstRowFirstColumn="0" w:firstRowLastColumn="0" w:lastRowFirstColumn="0" w:lastRowLastColumn="0"/>
            <w:tcW w:w="971" w:type="dxa"/>
            <w:vMerge w:val="restart"/>
            <w:tcMar>
              <w:top w:w="57" w:type="dxa"/>
              <w:left w:w="57" w:type="dxa"/>
              <w:bottom w:w="57" w:type="dxa"/>
              <w:right w:w="57" w:type="dxa"/>
            </w:tcMar>
          </w:tcPr>
          <w:p w14:paraId="3BCE464B" w14:textId="77777777" w:rsidR="0042565F" w:rsidRPr="007D01D0" w:rsidRDefault="0042565F" w:rsidP="009125E7">
            <w:pPr>
              <w:widowControl w:val="0"/>
              <w:spacing w:before="0" w:after="0"/>
              <w:rPr>
                <w:rFonts w:cs="Arial"/>
                <w:szCs w:val="18"/>
              </w:rPr>
            </w:pPr>
            <w:r w:rsidRPr="007D01D0">
              <w:rPr>
                <w:rFonts w:cs="Arial"/>
                <w:szCs w:val="18"/>
              </w:rPr>
              <w:t>iPrimus</w:t>
            </w:r>
          </w:p>
        </w:tc>
        <w:tc>
          <w:tcPr>
            <w:tcW w:w="960" w:type="dxa"/>
            <w:tcMar>
              <w:top w:w="57" w:type="dxa"/>
              <w:left w:w="57" w:type="dxa"/>
              <w:bottom w:w="57" w:type="dxa"/>
              <w:right w:w="57" w:type="dxa"/>
            </w:tcMar>
          </w:tcPr>
          <w:p w14:paraId="736B7439"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2012–13</w:t>
            </w:r>
          </w:p>
        </w:tc>
        <w:tc>
          <w:tcPr>
            <w:tcW w:w="937" w:type="dxa"/>
            <w:tcMar>
              <w:top w:w="57" w:type="dxa"/>
              <w:left w:w="57" w:type="dxa"/>
              <w:bottom w:w="57" w:type="dxa"/>
              <w:right w:w="57" w:type="dxa"/>
            </w:tcMar>
          </w:tcPr>
          <w:p w14:paraId="7C56ABC2"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84</w:t>
            </w:r>
          </w:p>
        </w:tc>
        <w:tc>
          <w:tcPr>
            <w:tcW w:w="937" w:type="dxa"/>
            <w:tcMar>
              <w:top w:w="57" w:type="dxa"/>
              <w:left w:w="57" w:type="dxa"/>
              <w:bottom w:w="57" w:type="dxa"/>
              <w:right w:w="57" w:type="dxa"/>
            </w:tcMar>
          </w:tcPr>
          <w:p w14:paraId="240837D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58</w:t>
            </w:r>
          </w:p>
        </w:tc>
        <w:tc>
          <w:tcPr>
            <w:tcW w:w="937" w:type="dxa"/>
            <w:tcMar>
              <w:top w:w="57" w:type="dxa"/>
              <w:left w:w="57" w:type="dxa"/>
              <w:bottom w:w="57" w:type="dxa"/>
              <w:right w:w="57" w:type="dxa"/>
            </w:tcMar>
          </w:tcPr>
          <w:p w14:paraId="6A52675A"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90</w:t>
            </w:r>
          </w:p>
        </w:tc>
        <w:tc>
          <w:tcPr>
            <w:tcW w:w="938" w:type="dxa"/>
            <w:tcMar>
              <w:top w:w="57" w:type="dxa"/>
              <w:left w:w="57" w:type="dxa"/>
              <w:bottom w:w="57" w:type="dxa"/>
              <w:right w:w="57" w:type="dxa"/>
            </w:tcMar>
          </w:tcPr>
          <w:p w14:paraId="7653CF6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40</w:t>
            </w:r>
          </w:p>
        </w:tc>
        <w:tc>
          <w:tcPr>
            <w:tcW w:w="937" w:type="dxa"/>
            <w:tcMar>
              <w:top w:w="57" w:type="dxa"/>
              <w:left w:w="57" w:type="dxa"/>
              <w:bottom w:w="57" w:type="dxa"/>
              <w:right w:w="57" w:type="dxa"/>
            </w:tcMar>
          </w:tcPr>
          <w:p w14:paraId="08483E8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72.2</w:t>
            </w:r>
          </w:p>
        </w:tc>
        <w:tc>
          <w:tcPr>
            <w:tcW w:w="937" w:type="dxa"/>
            <w:tcMar>
              <w:top w:w="57" w:type="dxa"/>
              <w:left w:w="57" w:type="dxa"/>
              <w:bottom w:w="57" w:type="dxa"/>
              <w:right w:w="57" w:type="dxa"/>
            </w:tcMar>
          </w:tcPr>
          <w:p w14:paraId="56932C49"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18</w:t>
            </w:r>
          </w:p>
        </w:tc>
        <w:tc>
          <w:tcPr>
            <w:tcW w:w="937" w:type="dxa"/>
            <w:tcMar>
              <w:top w:w="57" w:type="dxa"/>
              <w:left w:w="57" w:type="dxa"/>
              <w:bottom w:w="57" w:type="dxa"/>
              <w:right w:w="57" w:type="dxa"/>
            </w:tcMar>
          </w:tcPr>
          <w:p w14:paraId="6716E0A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n/a</w:t>
            </w:r>
          </w:p>
        </w:tc>
        <w:tc>
          <w:tcPr>
            <w:tcW w:w="938" w:type="dxa"/>
            <w:tcMar>
              <w:top w:w="57" w:type="dxa"/>
              <w:left w:w="57" w:type="dxa"/>
              <w:bottom w:w="57" w:type="dxa"/>
              <w:right w:w="57" w:type="dxa"/>
            </w:tcMar>
          </w:tcPr>
          <w:p w14:paraId="73B57BB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0</w:t>
            </w:r>
          </w:p>
        </w:tc>
      </w:tr>
      <w:tr w:rsidR="0042565F" w:rsidRPr="006134FA" w14:paraId="495E4BC7" w14:textId="77777777" w:rsidTr="009125E7">
        <w:trPr>
          <w:trHeight w:val="170"/>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780CF291" w14:textId="77777777" w:rsidR="0042565F" w:rsidRPr="00BE6BBB" w:rsidRDefault="0042565F" w:rsidP="009125E7">
            <w:pPr>
              <w:widowControl w:val="0"/>
              <w:spacing w:before="0" w:after="0"/>
              <w:rPr>
                <w:rFonts w:cs="Arial"/>
                <w:b/>
                <w:color w:val="FFFFFF" w:themeColor="background1"/>
                <w:szCs w:val="18"/>
              </w:rPr>
            </w:pPr>
          </w:p>
        </w:tc>
        <w:tc>
          <w:tcPr>
            <w:tcW w:w="960" w:type="dxa"/>
            <w:tcMar>
              <w:top w:w="57" w:type="dxa"/>
              <w:left w:w="57" w:type="dxa"/>
              <w:bottom w:w="57" w:type="dxa"/>
              <w:right w:w="57" w:type="dxa"/>
            </w:tcMar>
          </w:tcPr>
          <w:p w14:paraId="23C28E54"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2013–14</w:t>
            </w:r>
          </w:p>
        </w:tc>
        <w:tc>
          <w:tcPr>
            <w:tcW w:w="937" w:type="dxa"/>
            <w:tcMar>
              <w:top w:w="57" w:type="dxa"/>
              <w:left w:w="57" w:type="dxa"/>
              <w:bottom w:w="57" w:type="dxa"/>
              <w:right w:w="57" w:type="dxa"/>
            </w:tcMar>
          </w:tcPr>
          <w:p w14:paraId="79DAE47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7" w:type="dxa"/>
            <w:tcMar>
              <w:top w:w="57" w:type="dxa"/>
              <w:left w:w="57" w:type="dxa"/>
              <w:bottom w:w="57" w:type="dxa"/>
              <w:right w:w="57" w:type="dxa"/>
            </w:tcMar>
          </w:tcPr>
          <w:p w14:paraId="5D7C5D2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7" w:type="dxa"/>
            <w:tcMar>
              <w:top w:w="57" w:type="dxa"/>
              <w:left w:w="57" w:type="dxa"/>
              <w:bottom w:w="57" w:type="dxa"/>
              <w:right w:w="57" w:type="dxa"/>
            </w:tcMar>
          </w:tcPr>
          <w:p w14:paraId="070FC2E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8" w:type="dxa"/>
            <w:tcMar>
              <w:top w:w="57" w:type="dxa"/>
              <w:left w:w="57" w:type="dxa"/>
              <w:bottom w:w="57" w:type="dxa"/>
              <w:right w:w="57" w:type="dxa"/>
            </w:tcMar>
          </w:tcPr>
          <w:p w14:paraId="02B49779"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7" w:type="dxa"/>
            <w:tcMar>
              <w:top w:w="57" w:type="dxa"/>
              <w:left w:w="57" w:type="dxa"/>
              <w:bottom w:w="57" w:type="dxa"/>
              <w:right w:w="57" w:type="dxa"/>
            </w:tcMar>
          </w:tcPr>
          <w:p w14:paraId="6523ACF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7" w:type="dxa"/>
            <w:tcMar>
              <w:top w:w="57" w:type="dxa"/>
              <w:left w:w="57" w:type="dxa"/>
              <w:bottom w:w="57" w:type="dxa"/>
              <w:right w:w="57" w:type="dxa"/>
            </w:tcMar>
          </w:tcPr>
          <w:p w14:paraId="24B029F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7" w:type="dxa"/>
            <w:tcMar>
              <w:top w:w="57" w:type="dxa"/>
              <w:left w:w="57" w:type="dxa"/>
              <w:bottom w:w="57" w:type="dxa"/>
              <w:right w:w="57" w:type="dxa"/>
            </w:tcMar>
          </w:tcPr>
          <w:p w14:paraId="15461710"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n/r</w:t>
            </w:r>
          </w:p>
        </w:tc>
        <w:tc>
          <w:tcPr>
            <w:tcW w:w="938" w:type="dxa"/>
            <w:tcMar>
              <w:top w:w="57" w:type="dxa"/>
              <w:left w:w="57" w:type="dxa"/>
              <w:bottom w:w="57" w:type="dxa"/>
              <w:right w:w="57" w:type="dxa"/>
            </w:tcMar>
          </w:tcPr>
          <w:p w14:paraId="3CEF74BD"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0</w:t>
            </w:r>
          </w:p>
        </w:tc>
      </w:tr>
      <w:tr w:rsidR="0042565F" w:rsidRPr="006134FA" w14:paraId="1CF7F025" w14:textId="77777777" w:rsidTr="009125E7">
        <w:trPr>
          <w:trHeight w:val="62"/>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418DF852" w14:textId="77777777" w:rsidR="0042565F" w:rsidRPr="00BE6BBB" w:rsidRDefault="0042565F" w:rsidP="009125E7">
            <w:pPr>
              <w:widowControl w:val="0"/>
              <w:spacing w:before="0" w:after="0"/>
              <w:rPr>
                <w:rFonts w:cs="Arial"/>
                <w:b/>
                <w:color w:val="FFFFFF" w:themeColor="background1"/>
                <w:szCs w:val="18"/>
              </w:rPr>
            </w:pPr>
          </w:p>
        </w:tc>
        <w:tc>
          <w:tcPr>
            <w:tcW w:w="960" w:type="dxa"/>
            <w:tcMar>
              <w:top w:w="57" w:type="dxa"/>
              <w:left w:w="57" w:type="dxa"/>
              <w:bottom w:w="57" w:type="dxa"/>
              <w:right w:w="57" w:type="dxa"/>
            </w:tcMar>
          </w:tcPr>
          <w:p w14:paraId="7E7C3242"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2014–15</w:t>
            </w:r>
          </w:p>
        </w:tc>
        <w:tc>
          <w:tcPr>
            <w:tcW w:w="937" w:type="dxa"/>
            <w:tcMar>
              <w:top w:w="57" w:type="dxa"/>
              <w:left w:w="57" w:type="dxa"/>
              <w:bottom w:w="57" w:type="dxa"/>
              <w:right w:w="57" w:type="dxa"/>
            </w:tcMar>
          </w:tcPr>
          <w:p w14:paraId="7DA1115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100</w:t>
            </w:r>
          </w:p>
        </w:tc>
        <w:tc>
          <w:tcPr>
            <w:tcW w:w="937" w:type="dxa"/>
            <w:tcMar>
              <w:top w:w="57" w:type="dxa"/>
              <w:left w:w="57" w:type="dxa"/>
              <w:bottom w:w="57" w:type="dxa"/>
              <w:right w:w="57" w:type="dxa"/>
            </w:tcMar>
          </w:tcPr>
          <w:p w14:paraId="2722870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7</w:t>
            </w:r>
          </w:p>
        </w:tc>
        <w:tc>
          <w:tcPr>
            <w:tcW w:w="937" w:type="dxa"/>
            <w:tcMar>
              <w:top w:w="57" w:type="dxa"/>
              <w:left w:w="57" w:type="dxa"/>
              <w:bottom w:w="57" w:type="dxa"/>
              <w:right w:w="57" w:type="dxa"/>
            </w:tcMar>
          </w:tcPr>
          <w:p w14:paraId="72A2E45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100</w:t>
            </w:r>
          </w:p>
        </w:tc>
        <w:tc>
          <w:tcPr>
            <w:tcW w:w="938" w:type="dxa"/>
            <w:tcMar>
              <w:top w:w="57" w:type="dxa"/>
              <w:left w:w="57" w:type="dxa"/>
              <w:bottom w:w="57" w:type="dxa"/>
              <w:right w:w="57" w:type="dxa"/>
            </w:tcMar>
          </w:tcPr>
          <w:p w14:paraId="6E1EE4C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6</w:t>
            </w:r>
          </w:p>
        </w:tc>
        <w:tc>
          <w:tcPr>
            <w:tcW w:w="937" w:type="dxa"/>
            <w:tcMar>
              <w:top w:w="57" w:type="dxa"/>
              <w:left w:w="57" w:type="dxa"/>
              <w:bottom w:w="57" w:type="dxa"/>
              <w:right w:w="57" w:type="dxa"/>
            </w:tcMar>
          </w:tcPr>
          <w:p w14:paraId="323B73D8"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n/a</w:t>
            </w:r>
          </w:p>
        </w:tc>
        <w:tc>
          <w:tcPr>
            <w:tcW w:w="937" w:type="dxa"/>
            <w:tcMar>
              <w:top w:w="57" w:type="dxa"/>
              <w:left w:w="57" w:type="dxa"/>
              <w:bottom w:w="57" w:type="dxa"/>
              <w:right w:w="57" w:type="dxa"/>
            </w:tcMar>
          </w:tcPr>
          <w:p w14:paraId="2DD7FF4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0</w:t>
            </w:r>
          </w:p>
        </w:tc>
        <w:tc>
          <w:tcPr>
            <w:tcW w:w="937" w:type="dxa"/>
            <w:tcMar>
              <w:top w:w="57" w:type="dxa"/>
              <w:left w:w="57" w:type="dxa"/>
              <w:bottom w:w="57" w:type="dxa"/>
              <w:right w:w="57" w:type="dxa"/>
            </w:tcMar>
          </w:tcPr>
          <w:p w14:paraId="526A4B5F"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100</w:t>
            </w:r>
          </w:p>
        </w:tc>
        <w:tc>
          <w:tcPr>
            <w:tcW w:w="938" w:type="dxa"/>
            <w:tcMar>
              <w:top w:w="57" w:type="dxa"/>
              <w:left w:w="57" w:type="dxa"/>
              <w:bottom w:w="57" w:type="dxa"/>
              <w:right w:w="57" w:type="dxa"/>
            </w:tcMar>
          </w:tcPr>
          <w:p w14:paraId="52DA54E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w:t>
            </w:r>
          </w:p>
        </w:tc>
      </w:tr>
      <w:tr w:rsidR="0042565F" w:rsidRPr="006134FA" w14:paraId="66BC4BCF" w14:textId="77777777" w:rsidTr="009125E7">
        <w:trPr>
          <w:trHeight w:val="110"/>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6EC48731" w14:textId="77777777" w:rsidR="0042565F" w:rsidRPr="00BE6BBB" w:rsidRDefault="0042565F" w:rsidP="009125E7">
            <w:pPr>
              <w:widowControl w:val="0"/>
              <w:spacing w:before="0" w:after="0"/>
              <w:rPr>
                <w:rFonts w:cs="Arial"/>
                <w:b/>
                <w:color w:val="FFFFFF" w:themeColor="background1"/>
                <w:szCs w:val="18"/>
              </w:rPr>
            </w:pPr>
          </w:p>
        </w:tc>
        <w:tc>
          <w:tcPr>
            <w:tcW w:w="960" w:type="dxa"/>
            <w:tcMar>
              <w:top w:w="57" w:type="dxa"/>
              <w:left w:w="57" w:type="dxa"/>
              <w:bottom w:w="57" w:type="dxa"/>
              <w:right w:w="57" w:type="dxa"/>
            </w:tcMar>
          </w:tcPr>
          <w:p w14:paraId="04835525"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2015–16</w:t>
            </w:r>
          </w:p>
        </w:tc>
        <w:tc>
          <w:tcPr>
            <w:tcW w:w="937" w:type="dxa"/>
            <w:tcMar>
              <w:top w:w="57" w:type="dxa"/>
              <w:left w:w="57" w:type="dxa"/>
              <w:bottom w:w="57" w:type="dxa"/>
              <w:right w:w="57" w:type="dxa"/>
            </w:tcMar>
          </w:tcPr>
          <w:p w14:paraId="3D66271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100</w:t>
            </w:r>
          </w:p>
        </w:tc>
        <w:tc>
          <w:tcPr>
            <w:tcW w:w="937" w:type="dxa"/>
            <w:tcMar>
              <w:top w:w="57" w:type="dxa"/>
              <w:left w:w="57" w:type="dxa"/>
              <w:bottom w:w="57" w:type="dxa"/>
              <w:right w:w="57" w:type="dxa"/>
            </w:tcMar>
          </w:tcPr>
          <w:p w14:paraId="12F73FA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5</w:t>
            </w:r>
          </w:p>
        </w:tc>
        <w:tc>
          <w:tcPr>
            <w:tcW w:w="937" w:type="dxa"/>
            <w:tcMar>
              <w:top w:w="57" w:type="dxa"/>
              <w:left w:w="57" w:type="dxa"/>
              <w:bottom w:w="57" w:type="dxa"/>
              <w:right w:w="57" w:type="dxa"/>
            </w:tcMar>
          </w:tcPr>
          <w:p w14:paraId="3250D0E4"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100</w:t>
            </w:r>
          </w:p>
        </w:tc>
        <w:tc>
          <w:tcPr>
            <w:tcW w:w="938" w:type="dxa"/>
            <w:tcMar>
              <w:top w:w="57" w:type="dxa"/>
              <w:left w:w="57" w:type="dxa"/>
              <w:bottom w:w="57" w:type="dxa"/>
              <w:right w:w="57" w:type="dxa"/>
            </w:tcMar>
          </w:tcPr>
          <w:p w14:paraId="616A86A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5</w:t>
            </w:r>
          </w:p>
        </w:tc>
        <w:tc>
          <w:tcPr>
            <w:tcW w:w="937" w:type="dxa"/>
            <w:tcMar>
              <w:top w:w="57" w:type="dxa"/>
              <w:left w:w="57" w:type="dxa"/>
              <w:bottom w:w="57" w:type="dxa"/>
              <w:right w:w="57" w:type="dxa"/>
            </w:tcMar>
          </w:tcPr>
          <w:p w14:paraId="4EBCADFA"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n/a</w:t>
            </w:r>
          </w:p>
        </w:tc>
        <w:tc>
          <w:tcPr>
            <w:tcW w:w="937" w:type="dxa"/>
            <w:tcMar>
              <w:top w:w="57" w:type="dxa"/>
              <w:left w:w="57" w:type="dxa"/>
              <w:bottom w:w="57" w:type="dxa"/>
              <w:right w:w="57" w:type="dxa"/>
            </w:tcMar>
          </w:tcPr>
          <w:p w14:paraId="376B2C9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0</w:t>
            </w:r>
          </w:p>
        </w:tc>
        <w:tc>
          <w:tcPr>
            <w:tcW w:w="937" w:type="dxa"/>
            <w:tcMar>
              <w:top w:w="57" w:type="dxa"/>
              <w:left w:w="57" w:type="dxa"/>
              <w:bottom w:w="57" w:type="dxa"/>
              <w:right w:w="57" w:type="dxa"/>
            </w:tcMar>
          </w:tcPr>
          <w:p w14:paraId="259A250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n/a</w:t>
            </w:r>
          </w:p>
        </w:tc>
        <w:tc>
          <w:tcPr>
            <w:tcW w:w="938" w:type="dxa"/>
            <w:tcMar>
              <w:top w:w="57" w:type="dxa"/>
              <w:left w:w="57" w:type="dxa"/>
              <w:bottom w:w="57" w:type="dxa"/>
              <w:right w:w="57" w:type="dxa"/>
            </w:tcMar>
          </w:tcPr>
          <w:p w14:paraId="258B294E"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6134FA">
              <w:rPr>
                <w:rFonts w:cs="Arial"/>
                <w:szCs w:val="18"/>
              </w:rPr>
              <w:t>0</w:t>
            </w:r>
          </w:p>
        </w:tc>
      </w:tr>
      <w:tr w:rsidR="0042565F" w:rsidRPr="006134FA" w14:paraId="10CA7E1B" w14:textId="77777777" w:rsidTr="009125E7">
        <w:trPr>
          <w:trHeight w:val="20"/>
        </w:trPr>
        <w:tc>
          <w:tcPr>
            <w:cnfStyle w:val="001000000000" w:firstRow="0" w:lastRow="0" w:firstColumn="1" w:lastColumn="0" w:oddVBand="0" w:evenVBand="0" w:oddHBand="0" w:evenHBand="0" w:firstRowFirstColumn="0" w:firstRowLastColumn="0" w:lastRowFirstColumn="0" w:lastRowLastColumn="0"/>
            <w:tcW w:w="971" w:type="dxa"/>
            <w:vMerge/>
            <w:tcMar>
              <w:top w:w="57" w:type="dxa"/>
              <w:left w:w="57" w:type="dxa"/>
              <w:bottom w:w="57" w:type="dxa"/>
              <w:right w:w="57" w:type="dxa"/>
            </w:tcMar>
          </w:tcPr>
          <w:p w14:paraId="60B5200F" w14:textId="77777777" w:rsidR="0042565F" w:rsidRPr="00BE6BBB" w:rsidRDefault="0042565F" w:rsidP="009125E7">
            <w:pPr>
              <w:widowControl w:val="0"/>
              <w:spacing w:before="0" w:after="0"/>
              <w:rPr>
                <w:rFonts w:cs="Arial"/>
                <w:b/>
                <w:color w:val="FFFFFF" w:themeColor="background1"/>
                <w:szCs w:val="18"/>
              </w:rPr>
            </w:pPr>
          </w:p>
        </w:tc>
        <w:tc>
          <w:tcPr>
            <w:tcW w:w="960" w:type="dxa"/>
            <w:tcMar>
              <w:top w:w="57" w:type="dxa"/>
              <w:left w:w="57" w:type="dxa"/>
              <w:bottom w:w="57" w:type="dxa"/>
              <w:right w:w="57" w:type="dxa"/>
            </w:tcMar>
          </w:tcPr>
          <w:p w14:paraId="1F9BD3D1" w14:textId="77777777" w:rsidR="0042565F" w:rsidRPr="00EE11DD"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2016–17</w:t>
            </w:r>
          </w:p>
        </w:tc>
        <w:tc>
          <w:tcPr>
            <w:tcW w:w="937" w:type="dxa"/>
            <w:tcMar>
              <w:top w:w="57" w:type="dxa"/>
              <w:left w:w="57" w:type="dxa"/>
              <w:bottom w:w="57" w:type="dxa"/>
              <w:right w:w="57" w:type="dxa"/>
            </w:tcMar>
          </w:tcPr>
          <w:p w14:paraId="3819AFC6"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100</w:t>
            </w:r>
          </w:p>
        </w:tc>
        <w:tc>
          <w:tcPr>
            <w:tcW w:w="937" w:type="dxa"/>
            <w:tcMar>
              <w:top w:w="57" w:type="dxa"/>
              <w:left w:w="57" w:type="dxa"/>
              <w:bottom w:w="57" w:type="dxa"/>
              <w:right w:w="57" w:type="dxa"/>
            </w:tcMar>
          </w:tcPr>
          <w:p w14:paraId="4C79174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24</w:t>
            </w:r>
          </w:p>
        </w:tc>
        <w:tc>
          <w:tcPr>
            <w:tcW w:w="937" w:type="dxa"/>
            <w:tcMar>
              <w:top w:w="57" w:type="dxa"/>
              <w:left w:w="57" w:type="dxa"/>
              <w:bottom w:w="57" w:type="dxa"/>
              <w:right w:w="57" w:type="dxa"/>
            </w:tcMar>
          </w:tcPr>
          <w:p w14:paraId="5C7E91D3"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100</w:t>
            </w:r>
          </w:p>
        </w:tc>
        <w:tc>
          <w:tcPr>
            <w:tcW w:w="938" w:type="dxa"/>
            <w:tcMar>
              <w:top w:w="57" w:type="dxa"/>
              <w:left w:w="57" w:type="dxa"/>
              <w:bottom w:w="57" w:type="dxa"/>
              <w:right w:w="57" w:type="dxa"/>
            </w:tcMar>
          </w:tcPr>
          <w:p w14:paraId="7EAD2ABC"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22</w:t>
            </w:r>
          </w:p>
        </w:tc>
        <w:tc>
          <w:tcPr>
            <w:tcW w:w="937" w:type="dxa"/>
            <w:tcMar>
              <w:top w:w="57" w:type="dxa"/>
              <w:left w:w="57" w:type="dxa"/>
              <w:bottom w:w="57" w:type="dxa"/>
              <w:right w:w="57" w:type="dxa"/>
            </w:tcMar>
          </w:tcPr>
          <w:p w14:paraId="544D5B64"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100</w:t>
            </w:r>
          </w:p>
        </w:tc>
        <w:tc>
          <w:tcPr>
            <w:tcW w:w="937" w:type="dxa"/>
            <w:tcMar>
              <w:top w:w="57" w:type="dxa"/>
              <w:left w:w="57" w:type="dxa"/>
              <w:bottom w:w="57" w:type="dxa"/>
              <w:right w:w="57" w:type="dxa"/>
            </w:tcMar>
          </w:tcPr>
          <w:p w14:paraId="36B7F727"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2</w:t>
            </w:r>
          </w:p>
        </w:tc>
        <w:tc>
          <w:tcPr>
            <w:tcW w:w="937" w:type="dxa"/>
            <w:tcMar>
              <w:top w:w="57" w:type="dxa"/>
              <w:left w:w="57" w:type="dxa"/>
              <w:bottom w:w="57" w:type="dxa"/>
              <w:right w:w="57" w:type="dxa"/>
            </w:tcMar>
          </w:tcPr>
          <w:p w14:paraId="4A915541"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n/a</w:t>
            </w:r>
          </w:p>
        </w:tc>
        <w:tc>
          <w:tcPr>
            <w:tcW w:w="938" w:type="dxa"/>
            <w:tcMar>
              <w:top w:w="57" w:type="dxa"/>
              <w:left w:w="57" w:type="dxa"/>
              <w:bottom w:w="57" w:type="dxa"/>
              <w:right w:w="57" w:type="dxa"/>
            </w:tcMar>
          </w:tcPr>
          <w:p w14:paraId="44808065" w14:textId="77777777" w:rsidR="0042565F" w:rsidRPr="006134FA" w:rsidRDefault="0042565F" w:rsidP="009125E7">
            <w:pPr>
              <w:widowControl w:val="0"/>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0</w:t>
            </w:r>
          </w:p>
        </w:tc>
      </w:tr>
    </w:tbl>
    <w:p w14:paraId="43549C5D" w14:textId="77777777" w:rsidR="0042565F" w:rsidRDefault="0042565F" w:rsidP="00525CA5">
      <w:pPr>
        <w:pStyle w:val="ACMANotes"/>
        <w:spacing w:before="120"/>
      </w:pPr>
      <w:r w:rsidRPr="006F3EDF">
        <w:t xml:space="preserve">n/a=not </w:t>
      </w:r>
      <w:r>
        <w:t>applicable</w:t>
      </w:r>
      <w:r w:rsidR="00F278EA">
        <w:t xml:space="preserve">; </w:t>
      </w:r>
      <w:r w:rsidRPr="006F3EDF">
        <w:t>n/r=not requested</w:t>
      </w:r>
      <w:r>
        <w:t>.</w:t>
      </w:r>
    </w:p>
    <w:p w14:paraId="1FFF6B5C" w14:textId="77777777" w:rsidR="0042565F" w:rsidRDefault="0042565F" w:rsidP="0042565F">
      <w:pPr>
        <w:pStyle w:val="ACMANotes"/>
      </w:pPr>
      <w:r w:rsidRPr="006F3EDF">
        <w:t>Note: ‘Urban’ is defined as communities with 10,000 or more people, ‘rural’ as communities with between 200 and 10,000 people, ‘remote’ as communities with up to 200 people.</w:t>
      </w:r>
    </w:p>
    <w:p w14:paraId="24C67E84" w14:textId="77777777" w:rsidR="0042565F" w:rsidRDefault="0042565F" w:rsidP="009125E7">
      <w:pPr>
        <w:pStyle w:val="ACMANotesspaceafter"/>
        <w:spacing w:after="360"/>
      </w:pPr>
      <w:r w:rsidRPr="006F3EDF">
        <w:t>Source: Telstra, iPrimus.</w:t>
      </w:r>
    </w:p>
    <w:p w14:paraId="6DF05C7A" w14:textId="77777777" w:rsidR="0042565F" w:rsidRPr="003C7351" w:rsidRDefault="0042565F" w:rsidP="009125E7">
      <w:pPr>
        <w:pStyle w:val="Heading2"/>
        <w:keepLines/>
        <w:numPr>
          <w:ilvl w:val="1"/>
          <w:numId w:val="20"/>
        </w:numPr>
        <w:ind w:hanging="792"/>
      </w:pPr>
      <w:bookmarkStart w:id="1566" w:name="_Toc494799493"/>
      <w:bookmarkStart w:id="1567" w:name="_Toc494805796"/>
      <w:bookmarkStart w:id="1568" w:name="_Toc494806061"/>
      <w:bookmarkStart w:id="1569" w:name="_Toc494808291"/>
      <w:bookmarkStart w:id="1570" w:name="_Toc494808948"/>
      <w:bookmarkStart w:id="1571" w:name="_Toc494816364"/>
      <w:bookmarkStart w:id="1572" w:name="_Toc494818960"/>
      <w:bookmarkStart w:id="1573" w:name="_Toc494819190"/>
      <w:bookmarkStart w:id="1574" w:name="_Toc500320929"/>
      <w:r w:rsidRPr="00AA1057">
        <w:t>Number portability</w:t>
      </w:r>
      <w:bookmarkEnd w:id="1566"/>
      <w:bookmarkEnd w:id="1567"/>
      <w:bookmarkEnd w:id="1568"/>
      <w:bookmarkEnd w:id="1569"/>
      <w:bookmarkEnd w:id="1570"/>
      <w:bookmarkEnd w:id="1571"/>
      <w:bookmarkEnd w:id="1572"/>
      <w:bookmarkEnd w:id="1573"/>
      <w:bookmarkEnd w:id="1574"/>
    </w:p>
    <w:p w14:paraId="39189BF2" w14:textId="77777777" w:rsidR="0042565F" w:rsidRPr="006134FA" w:rsidRDefault="0042565F" w:rsidP="009125E7">
      <w:pPr>
        <w:keepNext/>
        <w:keepLines/>
        <w:spacing w:after="80"/>
        <w:rPr>
          <w:rFonts w:cs="Arial"/>
        </w:rPr>
      </w:pPr>
      <w:r w:rsidRPr="006134FA">
        <w:rPr>
          <w:rFonts w:cs="Arial"/>
        </w:rPr>
        <w:t>Number portability allows customer</w:t>
      </w:r>
      <w:r w:rsidR="00C71389">
        <w:rPr>
          <w:rFonts w:cs="Arial"/>
        </w:rPr>
        <w:t>s</w:t>
      </w:r>
      <w:r w:rsidRPr="006134FA">
        <w:rPr>
          <w:rFonts w:cs="Arial"/>
        </w:rPr>
        <w:t xml:space="preserve"> to </w:t>
      </w:r>
      <w:r>
        <w:rPr>
          <w:rFonts w:cs="Arial"/>
        </w:rPr>
        <w:t>retain</w:t>
      </w:r>
      <w:r w:rsidRPr="006134FA">
        <w:rPr>
          <w:rFonts w:cs="Arial"/>
        </w:rPr>
        <w:t xml:space="preserve"> their existing telephone number when changing from one service provider to another. Number portability is available for:</w:t>
      </w:r>
    </w:p>
    <w:p w14:paraId="002374D9" w14:textId="77777777" w:rsidR="0042565F" w:rsidRDefault="0042565F" w:rsidP="009125E7">
      <w:pPr>
        <w:pStyle w:val="ListBullet"/>
        <w:keepNext/>
        <w:keepLines/>
      </w:pPr>
      <w:r w:rsidRPr="006134FA">
        <w:t>local numbers (beginning with the area codes 02, 03, 07 and 08)</w:t>
      </w:r>
    </w:p>
    <w:p w14:paraId="6B466BD1" w14:textId="77777777" w:rsidR="0042565F" w:rsidRDefault="0042565F" w:rsidP="009125E7">
      <w:pPr>
        <w:pStyle w:val="ListBullet"/>
        <w:keepNext/>
        <w:keepLines/>
      </w:pPr>
      <w:r w:rsidRPr="006134FA">
        <w:t>mobile numbers</w:t>
      </w:r>
    </w:p>
    <w:p w14:paraId="07A3199B" w14:textId="77777777" w:rsidR="0042565F" w:rsidRDefault="0042565F" w:rsidP="009125E7">
      <w:pPr>
        <w:pStyle w:val="ListBulletLast"/>
        <w:keepNext/>
        <w:keepLines/>
      </w:pPr>
      <w:r w:rsidRPr="006134FA">
        <w:t>freephone (1800 numbers) and local rate numbers (13 and 1300 numbers)</w:t>
      </w:r>
      <w:r>
        <w:t>.</w:t>
      </w:r>
    </w:p>
    <w:p w14:paraId="171A07BC" w14:textId="77777777" w:rsidR="0042565F" w:rsidRPr="00072794" w:rsidRDefault="0042565F" w:rsidP="009125E7">
      <w:pPr>
        <w:pStyle w:val="Heading3"/>
        <w:keepLines/>
        <w:rPr>
          <w:b w:val="0"/>
          <w:bCs w:val="0"/>
        </w:rPr>
      </w:pPr>
      <w:bookmarkStart w:id="1575" w:name="_Toc494799494"/>
      <w:bookmarkStart w:id="1576" w:name="_Toc494805797"/>
      <w:bookmarkStart w:id="1577" w:name="_Toc494806062"/>
      <w:bookmarkStart w:id="1578" w:name="_Toc494808292"/>
      <w:bookmarkStart w:id="1579" w:name="_Toc494808949"/>
      <w:bookmarkStart w:id="1580" w:name="_Toc494816365"/>
      <w:bookmarkStart w:id="1581" w:name="_Toc494818961"/>
      <w:bookmarkStart w:id="1582" w:name="_Toc494819191"/>
      <w:r w:rsidRPr="00072794">
        <w:t>Local number portability</w:t>
      </w:r>
      <w:bookmarkEnd w:id="1575"/>
      <w:bookmarkEnd w:id="1576"/>
      <w:bookmarkEnd w:id="1577"/>
      <w:bookmarkEnd w:id="1578"/>
      <w:bookmarkEnd w:id="1579"/>
      <w:bookmarkEnd w:id="1580"/>
      <w:bookmarkEnd w:id="1581"/>
      <w:bookmarkEnd w:id="1582"/>
    </w:p>
    <w:p w14:paraId="5CA76228" w14:textId="77777777" w:rsidR="0042565F" w:rsidRDefault="0042565F" w:rsidP="0042565F">
      <w:r w:rsidRPr="006134FA">
        <w:t>During 201</w:t>
      </w:r>
      <w:r>
        <w:t>6</w:t>
      </w:r>
      <w:r w:rsidRPr="006134FA">
        <w:t>–1</w:t>
      </w:r>
      <w:r>
        <w:t>7</w:t>
      </w:r>
      <w:r w:rsidRPr="006134FA">
        <w:t xml:space="preserve">, </w:t>
      </w:r>
      <w:r w:rsidRPr="003A4E94">
        <w:rPr>
          <w:shd w:val="clear" w:color="auto" w:fill="FFFFFF" w:themeFill="background1"/>
        </w:rPr>
        <w:t>1,320,313</w:t>
      </w:r>
      <w:r w:rsidRPr="006134FA">
        <w:t xml:space="preserve"> local numbers were ported</w:t>
      </w:r>
      <w:r>
        <w:t xml:space="preserve">, </w:t>
      </w:r>
      <w:r w:rsidRPr="006134FA">
        <w:t xml:space="preserve">a </w:t>
      </w:r>
      <w:r w:rsidRPr="003A4E94">
        <w:rPr>
          <w:shd w:val="clear" w:color="auto" w:fill="FFFFFF" w:themeFill="background1"/>
        </w:rPr>
        <w:t xml:space="preserve">33 per cent </w:t>
      </w:r>
      <w:r w:rsidR="00C71389">
        <w:rPr>
          <w:shd w:val="clear" w:color="auto" w:fill="FFFFFF" w:themeFill="background1"/>
        </w:rPr>
        <w:t>rise</w:t>
      </w:r>
      <w:r w:rsidR="00C71389" w:rsidRPr="006134FA">
        <w:t xml:space="preserve"> </w:t>
      </w:r>
      <w:r>
        <w:t>on</w:t>
      </w:r>
      <w:r w:rsidRPr="006134FA">
        <w:t xml:space="preserve"> the </w:t>
      </w:r>
      <w:r>
        <w:rPr>
          <w:rFonts w:cs="Arial"/>
          <w:szCs w:val="18"/>
        </w:rPr>
        <w:t>991,011</w:t>
      </w:r>
      <w:r w:rsidRPr="006134FA">
        <w:rPr>
          <w:rFonts w:cs="Arial"/>
          <w:szCs w:val="18"/>
        </w:rPr>
        <w:t xml:space="preserve"> </w:t>
      </w:r>
      <w:r w:rsidRPr="006134FA">
        <w:t>local numbers ported in 201</w:t>
      </w:r>
      <w:r>
        <w:t>5</w:t>
      </w:r>
      <w:r w:rsidRPr="006134FA">
        <w:t>–1</w:t>
      </w:r>
      <w:r>
        <w:t>6</w:t>
      </w:r>
      <w:r w:rsidR="00C71389">
        <w:t>—</w:t>
      </w:r>
      <w:r>
        <w:t>a significant increase</w:t>
      </w:r>
      <w:r w:rsidRPr="003A4E94">
        <w:rPr>
          <w:shd w:val="clear" w:color="auto" w:fill="FFFFFF" w:themeFill="background1"/>
        </w:rPr>
        <w:t>.</w:t>
      </w:r>
      <w:r>
        <w:t xml:space="preserve"> </w:t>
      </w:r>
      <w:r w:rsidRPr="006134FA">
        <w:t xml:space="preserve">The C540:2013 </w:t>
      </w:r>
      <w:r w:rsidRPr="00F30AE3">
        <w:rPr>
          <w:i/>
        </w:rPr>
        <w:t>Local Number Portability Code</w:t>
      </w:r>
      <w:r w:rsidRPr="006134FA">
        <w:t xml:space="preserve"> sets out carrier/CSP operational procedures for porting local numbers. </w:t>
      </w:r>
    </w:p>
    <w:p w14:paraId="1C6D6E7A" w14:textId="77777777" w:rsidR="0042565F" w:rsidRPr="00072794" w:rsidRDefault="0042565F" w:rsidP="0042565F">
      <w:pPr>
        <w:pStyle w:val="Heading3"/>
        <w:rPr>
          <w:b w:val="0"/>
          <w:bCs w:val="0"/>
        </w:rPr>
      </w:pPr>
      <w:bookmarkStart w:id="1583" w:name="_Toc494799495"/>
      <w:bookmarkStart w:id="1584" w:name="_Toc494805798"/>
      <w:bookmarkStart w:id="1585" w:name="_Toc494806063"/>
      <w:bookmarkStart w:id="1586" w:name="_Toc494808293"/>
      <w:bookmarkStart w:id="1587" w:name="_Toc494808950"/>
      <w:bookmarkStart w:id="1588" w:name="_Toc494816366"/>
      <w:bookmarkStart w:id="1589" w:name="_Toc494818962"/>
      <w:bookmarkStart w:id="1590" w:name="_Toc494819192"/>
      <w:r w:rsidRPr="00072794">
        <w:t>Mobile number portability</w:t>
      </w:r>
      <w:bookmarkEnd w:id="1583"/>
      <w:bookmarkEnd w:id="1584"/>
      <w:bookmarkEnd w:id="1585"/>
      <w:bookmarkEnd w:id="1586"/>
      <w:bookmarkEnd w:id="1587"/>
      <w:bookmarkEnd w:id="1588"/>
      <w:bookmarkEnd w:id="1589"/>
      <w:bookmarkEnd w:id="1590"/>
    </w:p>
    <w:p w14:paraId="2D33FEE9" w14:textId="77777777" w:rsidR="0042565F" w:rsidRPr="006134FA" w:rsidRDefault="0042565F" w:rsidP="0042565F">
      <w:r w:rsidRPr="006134FA">
        <w:t>During 201</w:t>
      </w:r>
      <w:r>
        <w:t>6</w:t>
      </w:r>
      <w:r w:rsidRPr="006134FA">
        <w:t>–1</w:t>
      </w:r>
      <w:r>
        <w:t>7, t</w:t>
      </w:r>
      <w:r w:rsidRPr="006134FA">
        <w:t xml:space="preserve">here were </w:t>
      </w:r>
      <w:r w:rsidRPr="003A4E94">
        <w:rPr>
          <w:shd w:val="clear" w:color="auto" w:fill="FFFFFF" w:themeFill="background1"/>
        </w:rPr>
        <w:t>1.87</w:t>
      </w:r>
      <w:r w:rsidRPr="006134FA">
        <w:t xml:space="preserve"> million mobile numbers ported, a</w:t>
      </w:r>
      <w:r>
        <w:t>n</w:t>
      </w:r>
      <w:r w:rsidRPr="006134FA">
        <w:t xml:space="preserve"> </w:t>
      </w:r>
      <w:r w:rsidRPr="006F03A5">
        <w:rPr>
          <w:shd w:val="clear" w:color="auto" w:fill="FFFFFF" w:themeFill="background1"/>
        </w:rPr>
        <w:t xml:space="preserve">increase of </w:t>
      </w:r>
      <w:r>
        <w:rPr>
          <w:shd w:val="clear" w:color="auto" w:fill="FFFFFF" w:themeFill="background1"/>
        </w:rPr>
        <w:t>eight</w:t>
      </w:r>
      <w:r w:rsidRPr="006F03A5">
        <w:rPr>
          <w:shd w:val="clear" w:color="auto" w:fill="FFFFFF" w:themeFill="background1"/>
        </w:rPr>
        <w:t xml:space="preserve"> per</w:t>
      </w:r>
      <w:r w:rsidRPr="006134FA">
        <w:t xml:space="preserve"> cent on the </w:t>
      </w:r>
      <w:r>
        <w:t>1.73</w:t>
      </w:r>
      <w:r w:rsidR="00C71389">
        <w:t> </w:t>
      </w:r>
      <w:r w:rsidRPr="006134FA">
        <w:t>million mobile numbers ported in 201</w:t>
      </w:r>
      <w:r>
        <w:t>5</w:t>
      </w:r>
      <w:r w:rsidRPr="006134FA">
        <w:t>–1</w:t>
      </w:r>
      <w:r>
        <w:t>6</w:t>
      </w:r>
      <w:r w:rsidRPr="006134FA">
        <w:t>. Most mobile ports are completed within a few hours</w:t>
      </w:r>
      <w:r>
        <w:t>; with 99 per cent of ports completed within two days</w:t>
      </w:r>
      <w:r w:rsidRPr="006134FA">
        <w:t>.</w:t>
      </w:r>
      <w:r w:rsidRPr="00FD19CF">
        <w:t xml:space="preserve"> The portability of mobile numbers is regulated by the C570:2009 </w:t>
      </w:r>
      <w:r w:rsidRPr="00FD19CF">
        <w:rPr>
          <w:i/>
        </w:rPr>
        <w:t>Mobile Number Portability Code</w:t>
      </w:r>
      <w:r w:rsidRPr="00FD19CF">
        <w:t>.</w:t>
      </w:r>
    </w:p>
    <w:p w14:paraId="3EC6FA26" w14:textId="77777777" w:rsidR="0042565F" w:rsidRPr="00072794" w:rsidRDefault="0042565F" w:rsidP="0042565F">
      <w:pPr>
        <w:pStyle w:val="Heading3"/>
        <w:rPr>
          <w:b w:val="0"/>
          <w:bCs w:val="0"/>
        </w:rPr>
      </w:pPr>
      <w:bookmarkStart w:id="1591" w:name="_Toc494799496"/>
      <w:bookmarkStart w:id="1592" w:name="_Toc494805799"/>
      <w:bookmarkStart w:id="1593" w:name="_Toc494806064"/>
      <w:bookmarkStart w:id="1594" w:name="_Toc494808294"/>
      <w:bookmarkStart w:id="1595" w:name="_Toc494808951"/>
      <w:bookmarkStart w:id="1596" w:name="_Toc494816367"/>
      <w:bookmarkStart w:id="1597" w:name="_Toc494818963"/>
      <w:bookmarkStart w:id="1598" w:name="_Toc494819193"/>
      <w:r w:rsidRPr="00072794">
        <w:t>Freephone and local rate number portability</w:t>
      </w:r>
      <w:bookmarkEnd w:id="1591"/>
      <w:bookmarkEnd w:id="1592"/>
      <w:bookmarkEnd w:id="1593"/>
      <w:bookmarkEnd w:id="1594"/>
      <w:bookmarkEnd w:id="1595"/>
      <w:bookmarkEnd w:id="1596"/>
      <w:bookmarkEnd w:id="1597"/>
      <w:bookmarkEnd w:id="1598"/>
    </w:p>
    <w:p w14:paraId="727764E9" w14:textId="77777777" w:rsidR="0042565F" w:rsidRDefault="0042565F" w:rsidP="0042565F">
      <w:r w:rsidRPr="006134FA">
        <w:t xml:space="preserve">The portability of </w:t>
      </w:r>
      <w:r>
        <w:t>f</w:t>
      </w:r>
      <w:r w:rsidRPr="006134FA">
        <w:t xml:space="preserve">reephone and </w:t>
      </w:r>
      <w:r>
        <w:t>l</w:t>
      </w:r>
      <w:r w:rsidRPr="006134FA">
        <w:t xml:space="preserve">ocal </w:t>
      </w:r>
      <w:r>
        <w:t>r</w:t>
      </w:r>
      <w:r w:rsidRPr="006134FA">
        <w:t xml:space="preserve">ate </w:t>
      </w:r>
      <w:r>
        <w:t>n</w:t>
      </w:r>
      <w:r w:rsidRPr="006134FA">
        <w:t xml:space="preserve">umbers </w:t>
      </w:r>
      <w:r>
        <w:t xml:space="preserve">(FLRNs) </w:t>
      </w:r>
      <w:r w:rsidRPr="006134FA">
        <w:t>is referred to as Inbound Number Portability (INP)</w:t>
      </w:r>
      <w:r>
        <w:t>. Industry Number Management Services</w:t>
      </w:r>
      <w:r w:rsidRPr="006134FA">
        <w:t xml:space="preserve"> facilitat</w:t>
      </w:r>
      <w:r>
        <w:t>es</w:t>
      </w:r>
      <w:r w:rsidRPr="006134FA">
        <w:t xml:space="preserve"> FLRN</w:t>
      </w:r>
      <w:r>
        <w:t xml:space="preserve"> portability</w:t>
      </w:r>
      <w:r w:rsidRPr="006134FA">
        <w:t xml:space="preserve"> on behalf of industry. There were </w:t>
      </w:r>
      <w:r w:rsidRPr="00744827">
        <w:t>10,710</w:t>
      </w:r>
      <w:r w:rsidRPr="006134FA">
        <w:t xml:space="preserve"> FLRNs ported during 201</w:t>
      </w:r>
      <w:r>
        <w:t>6</w:t>
      </w:r>
      <w:r w:rsidRPr="006134FA">
        <w:t>–1</w:t>
      </w:r>
      <w:r>
        <w:t>7</w:t>
      </w:r>
      <w:r w:rsidRPr="006134FA">
        <w:t>, a</w:t>
      </w:r>
      <w:r>
        <w:t>n</w:t>
      </w:r>
      <w:r w:rsidRPr="006134FA">
        <w:t xml:space="preserve"> </w:t>
      </w:r>
      <w:r w:rsidR="00C71389">
        <w:t>11</w:t>
      </w:r>
      <w:r w:rsidR="00C71389" w:rsidRPr="00744827">
        <w:t xml:space="preserve"> </w:t>
      </w:r>
      <w:r w:rsidRPr="00744827">
        <w:t>per cent decrease</w:t>
      </w:r>
      <w:r w:rsidRPr="006134FA">
        <w:t xml:space="preserve"> on the </w:t>
      </w:r>
      <w:r>
        <w:t>11,991</w:t>
      </w:r>
      <w:r w:rsidRPr="006134FA">
        <w:t xml:space="preserve"> FLRNs ported during 201</w:t>
      </w:r>
      <w:r>
        <w:t>5</w:t>
      </w:r>
      <w:r w:rsidRPr="006134FA">
        <w:t>–1</w:t>
      </w:r>
      <w:r>
        <w:t>6</w:t>
      </w:r>
      <w:r w:rsidRPr="006134FA">
        <w:t xml:space="preserve"> (Table </w:t>
      </w:r>
      <w:r w:rsidRPr="00744827">
        <w:t>5.14</w:t>
      </w:r>
      <w:r w:rsidRPr="006134FA">
        <w:t xml:space="preserve">). The </w:t>
      </w:r>
      <w:r w:rsidRPr="008A4D94">
        <w:t>C657:2015</w:t>
      </w:r>
      <w:r w:rsidRPr="00744827">
        <w:t xml:space="preserve"> </w:t>
      </w:r>
      <w:r w:rsidRPr="00A26483">
        <w:rPr>
          <w:i/>
        </w:rPr>
        <w:t>Inbound Number Portability Code</w:t>
      </w:r>
      <w:r w:rsidRPr="006134FA">
        <w:t xml:space="preserve"> </w:t>
      </w:r>
      <w:r>
        <w:t>sets out</w:t>
      </w:r>
      <w:r w:rsidRPr="006134FA">
        <w:t xml:space="preserve"> operational requirements for porting inbound numbers.</w:t>
      </w:r>
    </w:p>
    <w:p w14:paraId="69672811" w14:textId="77777777" w:rsidR="0042565F" w:rsidRPr="00744827" w:rsidRDefault="0042565F" w:rsidP="009125E7">
      <w:pPr>
        <w:pStyle w:val="ACMAFigureHeader"/>
        <w:keepNext/>
        <w:ind w:left="1136" w:hanging="1136"/>
        <w:rPr>
          <w:i/>
        </w:rPr>
      </w:pPr>
      <w:r w:rsidRPr="00744827">
        <w:t>Table 5.14</w:t>
      </w:r>
      <w:r w:rsidRPr="00744827">
        <w:tab/>
        <w:t>Number portability</w:t>
      </w:r>
      <w:r w:rsidRPr="006134FA">
        <w:t>—</w:t>
      </w:r>
      <w:r>
        <w:t>local, f</w:t>
      </w:r>
      <w:r w:rsidRPr="006134FA">
        <w:t xml:space="preserve">reephone and </w:t>
      </w:r>
      <w:r>
        <w:t>l</w:t>
      </w:r>
      <w:r w:rsidRPr="006134FA">
        <w:t xml:space="preserve">ocal </w:t>
      </w:r>
      <w:r>
        <w:t>r</w:t>
      </w:r>
      <w:r w:rsidRPr="006134FA">
        <w:t xml:space="preserve">ate </w:t>
      </w:r>
      <w:r>
        <w:t>and mobile n</w:t>
      </w:r>
      <w:r w:rsidRPr="006134FA">
        <w:t xml:space="preserve">umbers </w:t>
      </w:r>
      <w:r>
        <w:t>ported</w:t>
      </w:r>
      <w:r w:rsidRPr="006134FA">
        <w:t>, by financial year</w:t>
      </w:r>
    </w:p>
    <w:tbl>
      <w:tblPr>
        <w:tblStyle w:val="Commsreport2017"/>
        <w:tblW w:w="9498" w:type="dxa"/>
        <w:tblLayout w:type="fixed"/>
        <w:tblCellMar>
          <w:top w:w="57" w:type="dxa"/>
          <w:left w:w="57" w:type="dxa"/>
          <w:bottom w:w="57" w:type="dxa"/>
          <w:right w:w="57" w:type="dxa"/>
        </w:tblCellMar>
        <w:tblLook w:val="01E0" w:firstRow="1" w:lastRow="1" w:firstColumn="1" w:lastColumn="1" w:noHBand="0" w:noVBand="0"/>
        <w:tblCaption w:val="Table 5.14 Number portability"/>
      </w:tblPr>
      <w:tblGrid>
        <w:gridCol w:w="2608"/>
        <w:gridCol w:w="1378"/>
        <w:gridCol w:w="1378"/>
        <w:gridCol w:w="1378"/>
        <w:gridCol w:w="1378"/>
        <w:gridCol w:w="1378"/>
      </w:tblGrid>
      <w:tr w:rsidR="0042565F" w:rsidRPr="0099384D" w14:paraId="651103F0" w14:textId="77777777" w:rsidTr="00EC183A">
        <w:trPr>
          <w:cnfStyle w:val="100000000000" w:firstRow="1" w:lastRow="0" w:firstColumn="0" w:lastColumn="0" w:oddVBand="0" w:evenVBand="0" w:oddHBand="0" w:evenHBand="0" w:firstRowFirstColumn="0" w:firstRowLastColumn="0" w:lastRowFirstColumn="0" w:lastRowLastColumn="0"/>
          <w:trHeight w:val="141"/>
          <w:tblHeader/>
        </w:trPr>
        <w:tc>
          <w:tcPr>
            <w:cnfStyle w:val="001000000000" w:firstRow="0" w:lastRow="0" w:firstColumn="1" w:lastColumn="0" w:oddVBand="0" w:evenVBand="0" w:oddHBand="0" w:evenHBand="0" w:firstRowFirstColumn="0" w:firstRowLastColumn="0" w:lastRowFirstColumn="0" w:lastRowLastColumn="0"/>
            <w:tcW w:w="2608" w:type="dxa"/>
            <w:tcMar>
              <w:top w:w="57" w:type="dxa"/>
              <w:left w:w="57" w:type="dxa"/>
              <w:bottom w:w="57" w:type="dxa"/>
              <w:right w:w="57" w:type="dxa"/>
            </w:tcMar>
          </w:tcPr>
          <w:p w14:paraId="357903E5" w14:textId="77777777" w:rsidR="0042565F" w:rsidRPr="00C247CA" w:rsidRDefault="0042565F" w:rsidP="009125E7">
            <w:pPr>
              <w:pStyle w:val="TableHeading"/>
              <w:spacing w:beforeLines="0" w:before="0" w:afterLines="0"/>
            </w:pPr>
            <w:r w:rsidRPr="000313D3">
              <w:t xml:space="preserve">Numbers ported </w:t>
            </w:r>
          </w:p>
        </w:tc>
        <w:tc>
          <w:tcPr>
            <w:tcW w:w="1378" w:type="dxa"/>
            <w:tcMar>
              <w:top w:w="57" w:type="dxa"/>
              <w:left w:w="57" w:type="dxa"/>
              <w:bottom w:w="57" w:type="dxa"/>
              <w:right w:w="57" w:type="dxa"/>
            </w:tcMar>
          </w:tcPr>
          <w:p w14:paraId="7E973B5C" w14:textId="77777777" w:rsidR="0042565F" w:rsidRPr="006B6C1A"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b w:val="0"/>
              </w:rPr>
            </w:pPr>
            <w:r w:rsidRPr="000F4081">
              <w:t>2012–13</w:t>
            </w:r>
          </w:p>
        </w:tc>
        <w:tc>
          <w:tcPr>
            <w:tcW w:w="1378" w:type="dxa"/>
            <w:tcMar>
              <w:top w:w="57" w:type="dxa"/>
              <w:left w:w="57" w:type="dxa"/>
              <w:bottom w:w="57" w:type="dxa"/>
              <w:right w:w="57" w:type="dxa"/>
            </w:tcMar>
          </w:tcPr>
          <w:p w14:paraId="0ACD2A17" w14:textId="77777777" w:rsidR="0042565F" w:rsidRPr="000313D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b w:val="0"/>
              </w:rPr>
            </w:pPr>
            <w:r w:rsidRPr="00704494">
              <w:t>2013–14</w:t>
            </w:r>
          </w:p>
        </w:tc>
        <w:tc>
          <w:tcPr>
            <w:tcW w:w="1378" w:type="dxa"/>
            <w:tcMar>
              <w:top w:w="57" w:type="dxa"/>
              <w:left w:w="57" w:type="dxa"/>
              <w:bottom w:w="57" w:type="dxa"/>
              <w:right w:w="57" w:type="dxa"/>
            </w:tcMar>
          </w:tcPr>
          <w:p w14:paraId="7BD47CF5" w14:textId="77777777" w:rsidR="0042565F" w:rsidRPr="000313D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b w:val="0"/>
              </w:rPr>
            </w:pPr>
            <w:r w:rsidRPr="00704494">
              <w:t>2014–15</w:t>
            </w:r>
          </w:p>
        </w:tc>
        <w:tc>
          <w:tcPr>
            <w:tcW w:w="1378" w:type="dxa"/>
            <w:tcMar>
              <w:top w:w="57" w:type="dxa"/>
              <w:left w:w="57" w:type="dxa"/>
              <w:bottom w:w="57" w:type="dxa"/>
              <w:right w:w="57" w:type="dxa"/>
            </w:tcMar>
          </w:tcPr>
          <w:p w14:paraId="21CAC395" w14:textId="77777777" w:rsidR="0042565F" w:rsidRPr="000313D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b w:val="0"/>
              </w:rPr>
            </w:pPr>
            <w:r w:rsidRPr="00704494">
              <w:t>2015–16</w:t>
            </w:r>
          </w:p>
        </w:tc>
        <w:tc>
          <w:tcPr>
            <w:tcW w:w="1378" w:type="dxa"/>
            <w:tcMar>
              <w:top w:w="57" w:type="dxa"/>
              <w:left w:w="57" w:type="dxa"/>
              <w:bottom w:w="57" w:type="dxa"/>
              <w:right w:w="57" w:type="dxa"/>
            </w:tcMar>
          </w:tcPr>
          <w:p w14:paraId="7ABDF947" w14:textId="77777777" w:rsidR="0042565F" w:rsidRPr="000313D3" w:rsidRDefault="0042565F" w:rsidP="009125E7">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b w:val="0"/>
              </w:rPr>
            </w:pPr>
            <w:r w:rsidRPr="00704494">
              <w:t>2016–17</w:t>
            </w:r>
          </w:p>
        </w:tc>
      </w:tr>
      <w:tr w:rsidR="0042565F" w:rsidRPr="00A92ED0" w14:paraId="53829C3D" w14:textId="77777777" w:rsidTr="00BE6FCF">
        <w:trPr>
          <w:trHeight w:val="89"/>
        </w:trPr>
        <w:tc>
          <w:tcPr>
            <w:cnfStyle w:val="001000000000" w:firstRow="0" w:lastRow="0" w:firstColumn="1" w:lastColumn="0" w:oddVBand="0" w:evenVBand="0" w:oddHBand="0" w:evenHBand="0" w:firstRowFirstColumn="0" w:firstRowLastColumn="0" w:lastRowFirstColumn="0" w:lastRowLastColumn="0"/>
            <w:tcW w:w="2608" w:type="dxa"/>
            <w:tcMar>
              <w:top w:w="57" w:type="dxa"/>
              <w:left w:w="57" w:type="dxa"/>
              <w:bottom w:w="57" w:type="dxa"/>
              <w:right w:w="57" w:type="dxa"/>
            </w:tcMar>
          </w:tcPr>
          <w:p w14:paraId="58D104CC" w14:textId="77777777" w:rsidR="0042565F" w:rsidRPr="00744827" w:rsidRDefault="0042565F" w:rsidP="009125E7">
            <w:pPr>
              <w:spacing w:before="0" w:after="0"/>
            </w:pPr>
            <w:r w:rsidRPr="00744827">
              <w:t xml:space="preserve">Local </w:t>
            </w:r>
          </w:p>
        </w:tc>
        <w:tc>
          <w:tcPr>
            <w:tcW w:w="1378" w:type="dxa"/>
            <w:tcMar>
              <w:top w:w="57" w:type="dxa"/>
              <w:left w:w="57" w:type="dxa"/>
              <w:bottom w:w="57" w:type="dxa"/>
              <w:right w:w="57" w:type="dxa"/>
            </w:tcMar>
          </w:tcPr>
          <w:p w14:paraId="65B1F48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763,422</w:t>
            </w:r>
          </w:p>
        </w:tc>
        <w:tc>
          <w:tcPr>
            <w:tcW w:w="1378" w:type="dxa"/>
            <w:tcMar>
              <w:top w:w="57" w:type="dxa"/>
              <w:left w:w="57" w:type="dxa"/>
              <w:bottom w:w="57" w:type="dxa"/>
              <w:right w:w="57" w:type="dxa"/>
            </w:tcMar>
          </w:tcPr>
          <w:p w14:paraId="76FFBB6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 xml:space="preserve">865,522* </w:t>
            </w:r>
          </w:p>
        </w:tc>
        <w:tc>
          <w:tcPr>
            <w:tcW w:w="1378" w:type="dxa"/>
            <w:tcMar>
              <w:top w:w="57" w:type="dxa"/>
              <w:left w:w="57" w:type="dxa"/>
              <w:bottom w:w="57" w:type="dxa"/>
              <w:right w:w="57" w:type="dxa"/>
            </w:tcMar>
          </w:tcPr>
          <w:p w14:paraId="4BC48999"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1,223,599</w:t>
            </w:r>
          </w:p>
        </w:tc>
        <w:tc>
          <w:tcPr>
            <w:tcW w:w="1378" w:type="dxa"/>
            <w:tcMar>
              <w:top w:w="57" w:type="dxa"/>
              <w:left w:w="57" w:type="dxa"/>
              <w:bottom w:w="57" w:type="dxa"/>
              <w:right w:w="57" w:type="dxa"/>
            </w:tcMar>
          </w:tcPr>
          <w:p w14:paraId="4DDF9B1B"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991,011</w:t>
            </w:r>
          </w:p>
        </w:tc>
        <w:tc>
          <w:tcPr>
            <w:tcW w:w="1378" w:type="dxa"/>
            <w:tcMar>
              <w:top w:w="57" w:type="dxa"/>
              <w:left w:w="57" w:type="dxa"/>
              <w:bottom w:w="57" w:type="dxa"/>
              <w:right w:w="57" w:type="dxa"/>
            </w:tcMar>
          </w:tcPr>
          <w:p w14:paraId="164E4390"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5A6644">
              <w:rPr>
                <w:rFonts w:cs="Arial"/>
                <w:color w:val="000000"/>
                <w:szCs w:val="18"/>
              </w:rPr>
              <w:t>1,320,313</w:t>
            </w:r>
          </w:p>
        </w:tc>
      </w:tr>
      <w:tr w:rsidR="0042565F" w:rsidRPr="00A92ED0" w14:paraId="37D8FC7B" w14:textId="77777777" w:rsidTr="00BE6FCF">
        <w:trPr>
          <w:trHeight w:val="148"/>
        </w:trPr>
        <w:tc>
          <w:tcPr>
            <w:cnfStyle w:val="001000000000" w:firstRow="0" w:lastRow="0" w:firstColumn="1" w:lastColumn="0" w:oddVBand="0" w:evenVBand="0" w:oddHBand="0" w:evenHBand="0" w:firstRowFirstColumn="0" w:firstRowLastColumn="0" w:lastRowFirstColumn="0" w:lastRowLastColumn="0"/>
            <w:tcW w:w="2608" w:type="dxa"/>
            <w:tcMar>
              <w:top w:w="57" w:type="dxa"/>
              <w:left w:w="57" w:type="dxa"/>
              <w:bottom w:w="57" w:type="dxa"/>
              <w:right w:w="57" w:type="dxa"/>
            </w:tcMar>
          </w:tcPr>
          <w:p w14:paraId="54B0C173" w14:textId="77777777" w:rsidR="0042565F" w:rsidRPr="00744827" w:rsidRDefault="0042565F" w:rsidP="009125E7">
            <w:pPr>
              <w:spacing w:before="0" w:after="0"/>
            </w:pPr>
            <w:r w:rsidRPr="00744827">
              <w:t>Freephone and local rate</w:t>
            </w:r>
          </w:p>
        </w:tc>
        <w:tc>
          <w:tcPr>
            <w:tcW w:w="1378" w:type="dxa"/>
            <w:tcMar>
              <w:top w:w="57" w:type="dxa"/>
              <w:left w:w="57" w:type="dxa"/>
              <w:bottom w:w="57" w:type="dxa"/>
              <w:right w:w="57" w:type="dxa"/>
            </w:tcMar>
          </w:tcPr>
          <w:p w14:paraId="1BFA4B3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13,096</w:t>
            </w:r>
          </w:p>
        </w:tc>
        <w:tc>
          <w:tcPr>
            <w:tcW w:w="1378" w:type="dxa"/>
            <w:tcMar>
              <w:top w:w="57" w:type="dxa"/>
              <w:left w:w="57" w:type="dxa"/>
              <w:bottom w:w="57" w:type="dxa"/>
              <w:right w:w="57" w:type="dxa"/>
            </w:tcMar>
          </w:tcPr>
          <w:p w14:paraId="6C237EA6"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11,088</w:t>
            </w:r>
          </w:p>
        </w:tc>
        <w:tc>
          <w:tcPr>
            <w:tcW w:w="1378" w:type="dxa"/>
            <w:tcMar>
              <w:top w:w="57" w:type="dxa"/>
              <w:left w:w="57" w:type="dxa"/>
              <w:bottom w:w="57" w:type="dxa"/>
              <w:right w:w="57" w:type="dxa"/>
            </w:tcMar>
          </w:tcPr>
          <w:p w14:paraId="28BE9D11"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12,495</w:t>
            </w:r>
          </w:p>
        </w:tc>
        <w:tc>
          <w:tcPr>
            <w:tcW w:w="1378" w:type="dxa"/>
            <w:tcMar>
              <w:top w:w="57" w:type="dxa"/>
              <w:left w:w="57" w:type="dxa"/>
              <w:bottom w:w="57" w:type="dxa"/>
              <w:right w:w="57" w:type="dxa"/>
            </w:tcMar>
          </w:tcPr>
          <w:p w14:paraId="339C6B45"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11,991</w:t>
            </w:r>
          </w:p>
        </w:tc>
        <w:tc>
          <w:tcPr>
            <w:tcW w:w="1378" w:type="dxa"/>
            <w:tcMar>
              <w:top w:w="57" w:type="dxa"/>
              <w:left w:w="57" w:type="dxa"/>
              <w:bottom w:w="57" w:type="dxa"/>
              <w:right w:w="57" w:type="dxa"/>
            </w:tcMar>
          </w:tcPr>
          <w:p w14:paraId="12CC0498"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5A6644">
              <w:rPr>
                <w:rFonts w:cs="Arial"/>
                <w:color w:val="000000"/>
                <w:szCs w:val="18"/>
              </w:rPr>
              <w:t>10,710</w:t>
            </w:r>
          </w:p>
        </w:tc>
      </w:tr>
      <w:tr w:rsidR="0042565F" w:rsidRPr="00A92ED0" w14:paraId="2EA8F9DC" w14:textId="77777777" w:rsidTr="00BE6FCF">
        <w:trPr>
          <w:trHeight w:val="23"/>
        </w:trPr>
        <w:tc>
          <w:tcPr>
            <w:cnfStyle w:val="001000000000" w:firstRow="0" w:lastRow="0" w:firstColumn="1" w:lastColumn="0" w:oddVBand="0" w:evenVBand="0" w:oddHBand="0" w:evenHBand="0" w:firstRowFirstColumn="0" w:firstRowLastColumn="0" w:lastRowFirstColumn="0" w:lastRowLastColumn="0"/>
            <w:tcW w:w="2608" w:type="dxa"/>
            <w:tcMar>
              <w:top w:w="57" w:type="dxa"/>
              <w:left w:w="57" w:type="dxa"/>
              <w:bottom w:w="57" w:type="dxa"/>
              <w:right w:w="57" w:type="dxa"/>
            </w:tcMar>
          </w:tcPr>
          <w:p w14:paraId="1A5ADC8B" w14:textId="77777777" w:rsidR="0042565F" w:rsidRPr="00744827" w:rsidRDefault="0042565F" w:rsidP="009125E7">
            <w:pPr>
              <w:spacing w:before="0" w:after="0"/>
            </w:pPr>
            <w:r w:rsidRPr="00744827">
              <w:t>Mobile</w:t>
            </w:r>
          </w:p>
        </w:tc>
        <w:tc>
          <w:tcPr>
            <w:tcW w:w="1378" w:type="dxa"/>
            <w:tcMar>
              <w:top w:w="57" w:type="dxa"/>
              <w:left w:w="57" w:type="dxa"/>
              <w:bottom w:w="57" w:type="dxa"/>
              <w:right w:w="57" w:type="dxa"/>
            </w:tcMar>
          </w:tcPr>
          <w:p w14:paraId="2ACB7C8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1,743,485</w:t>
            </w:r>
          </w:p>
        </w:tc>
        <w:tc>
          <w:tcPr>
            <w:tcW w:w="1378" w:type="dxa"/>
            <w:tcMar>
              <w:top w:w="57" w:type="dxa"/>
              <w:left w:w="57" w:type="dxa"/>
              <w:bottom w:w="57" w:type="dxa"/>
              <w:right w:w="57" w:type="dxa"/>
            </w:tcMar>
          </w:tcPr>
          <w:p w14:paraId="5B749A62"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1,668,163</w:t>
            </w:r>
          </w:p>
        </w:tc>
        <w:tc>
          <w:tcPr>
            <w:tcW w:w="1378" w:type="dxa"/>
            <w:tcMar>
              <w:top w:w="57" w:type="dxa"/>
              <w:left w:w="57" w:type="dxa"/>
              <w:bottom w:w="57" w:type="dxa"/>
              <w:right w:w="57" w:type="dxa"/>
            </w:tcMar>
          </w:tcPr>
          <w:p w14:paraId="235397EA"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1,721,284</w:t>
            </w:r>
          </w:p>
        </w:tc>
        <w:tc>
          <w:tcPr>
            <w:tcW w:w="1378" w:type="dxa"/>
            <w:tcMar>
              <w:top w:w="57" w:type="dxa"/>
              <w:left w:w="57" w:type="dxa"/>
              <w:bottom w:w="57" w:type="dxa"/>
              <w:right w:w="57" w:type="dxa"/>
            </w:tcMar>
          </w:tcPr>
          <w:p w14:paraId="58F7BE94"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1,733,834</w:t>
            </w:r>
          </w:p>
        </w:tc>
        <w:tc>
          <w:tcPr>
            <w:tcW w:w="1378" w:type="dxa"/>
            <w:tcMar>
              <w:top w:w="57" w:type="dxa"/>
              <w:left w:w="57" w:type="dxa"/>
              <w:bottom w:w="57" w:type="dxa"/>
              <w:right w:w="57" w:type="dxa"/>
            </w:tcMar>
          </w:tcPr>
          <w:p w14:paraId="3357140D" w14:textId="77777777" w:rsidR="0042565F" w:rsidRPr="00744827" w:rsidRDefault="0042565F" w:rsidP="009125E7">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5A6644">
              <w:rPr>
                <w:rFonts w:cs="Arial"/>
                <w:color w:val="000000"/>
                <w:szCs w:val="18"/>
              </w:rPr>
              <w:t>1,871,233</w:t>
            </w:r>
          </w:p>
        </w:tc>
      </w:tr>
    </w:tbl>
    <w:p w14:paraId="23863D2C" w14:textId="77777777" w:rsidR="0042565F" w:rsidRPr="00744827" w:rsidDel="00720631" w:rsidRDefault="0042565F" w:rsidP="00525CA5">
      <w:pPr>
        <w:pStyle w:val="ACMANotes"/>
        <w:spacing w:before="120"/>
      </w:pPr>
      <w:r w:rsidRPr="00744827" w:rsidDel="00720631">
        <w:t>*Figure revised due to one CSP submitting updated data.</w:t>
      </w:r>
    </w:p>
    <w:p w14:paraId="6FE58910" w14:textId="77777777" w:rsidR="0042565F" w:rsidRPr="002E3B8C" w:rsidRDefault="0042565F" w:rsidP="009125E7">
      <w:pPr>
        <w:pStyle w:val="ACMANotesspaceafter"/>
        <w:spacing w:after="360"/>
        <w:rPr>
          <w:highlight w:val="yellow"/>
        </w:rPr>
      </w:pPr>
      <w:r w:rsidRPr="00744827">
        <w:t>Source: ACMA and INMS.</w:t>
      </w:r>
    </w:p>
    <w:p w14:paraId="53C820F9" w14:textId="77777777" w:rsidR="0042565F" w:rsidRPr="00744827" w:rsidRDefault="0042565F" w:rsidP="0042565F">
      <w:pPr>
        <w:pStyle w:val="Heading2"/>
        <w:numPr>
          <w:ilvl w:val="1"/>
          <w:numId w:val="20"/>
        </w:numPr>
        <w:ind w:hanging="792"/>
      </w:pPr>
      <w:bookmarkStart w:id="1599" w:name="_Toc433790432"/>
      <w:bookmarkStart w:id="1600" w:name="_Toc494799497"/>
      <w:bookmarkStart w:id="1601" w:name="_Toc494805800"/>
      <w:bookmarkStart w:id="1602" w:name="_Toc494806065"/>
      <w:bookmarkStart w:id="1603" w:name="_Toc494808295"/>
      <w:bookmarkStart w:id="1604" w:name="_Toc494808952"/>
      <w:bookmarkStart w:id="1605" w:name="_Toc494816368"/>
      <w:bookmarkStart w:id="1606" w:name="_Toc494818964"/>
      <w:bookmarkStart w:id="1607" w:name="_Toc494819194"/>
      <w:bookmarkStart w:id="1608" w:name="_Toc500320930"/>
      <w:r w:rsidRPr="00744827">
        <w:t>Telecommunications codes—development and review</w:t>
      </w:r>
      <w:bookmarkEnd w:id="1599"/>
      <w:bookmarkEnd w:id="1600"/>
      <w:bookmarkEnd w:id="1601"/>
      <w:bookmarkEnd w:id="1602"/>
      <w:bookmarkEnd w:id="1603"/>
      <w:bookmarkEnd w:id="1604"/>
      <w:bookmarkEnd w:id="1605"/>
      <w:bookmarkEnd w:id="1606"/>
      <w:bookmarkEnd w:id="1607"/>
      <w:bookmarkEnd w:id="1608"/>
    </w:p>
    <w:p w14:paraId="3FA5DB88" w14:textId="77777777" w:rsidR="0042565F" w:rsidRPr="006134FA" w:rsidRDefault="0042565F" w:rsidP="0042565F">
      <w:pPr>
        <w:keepNext/>
        <w:spacing w:after="80"/>
        <w:rPr>
          <w:rFonts w:cs="Arial"/>
          <w:szCs w:val="20"/>
        </w:rPr>
      </w:pPr>
      <w:bookmarkStart w:id="1609" w:name="_Toc433790433"/>
      <w:r w:rsidRPr="006134FA">
        <w:rPr>
          <w:rFonts w:cs="Arial"/>
          <w:szCs w:val="20"/>
        </w:rPr>
        <w:t xml:space="preserve">Under Part 6 of </w:t>
      </w:r>
      <w:r w:rsidRPr="00A26483">
        <w:rPr>
          <w:rFonts w:cs="Arial"/>
          <w:szCs w:val="20"/>
        </w:rPr>
        <w:t>Telecommunications Act</w:t>
      </w:r>
      <w:r>
        <w:rPr>
          <w:rFonts w:cs="Arial"/>
          <w:i/>
          <w:szCs w:val="20"/>
        </w:rPr>
        <w:t xml:space="preserve">, </w:t>
      </w:r>
      <w:r w:rsidRPr="006134FA">
        <w:rPr>
          <w:rFonts w:cs="Arial"/>
          <w:szCs w:val="20"/>
        </w:rPr>
        <w:t>the ACMA may register codes developed by indu</w:t>
      </w:r>
      <w:r>
        <w:rPr>
          <w:rFonts w:cs="Arial"/>
          <w:szCs w:val="20"/>
        </w:rPr>
        <w:t xml:space="preserve">stry bodies. During </w:t>
      </w:r>
      <w:r w:rsidRPr="006134FA">
        <w:t>201</w:t>
      </w:r>
      <w:r>
        <w:t>6</w:t>
      </w:r>
      <w:r w:rsidRPr="006134FA">
        <w:t>–1</w:t>
      </w:r>
      <w:r>
        <w:t>7</w:t>
      </w:r>
      <w:r>
        <w:rPr>
          <w:rFonts w:cs="Arial"/>
          <w:szCs w:val="20"/>
        </w:rPr>
        <w:t>, four</w:t>
      </w:r>
      <w:r w:rsidRPr="006134FA">
        <w:rPr>
          <w:rFonts w:cs="Arial"/>
          <w:szCs w:val="20"/>
        </w:rPr>
        <w:t> codes were</w:t>
      </w:r>
      <w:r>
        <w:rPr>
          <w:rFonts w:cs="Arial"/>
          <w:szCs w:val="20"/>
        </w:rPr>
        <w:t xml:space="preserve"> developed or </w:t>
      </w:r>
      <w:r w:rsidRPr="00D92D67">
        <w:rPr>
          <w:rFonts w:cs="Arial"/>
          <w:szCs w:val="20"/>
        </w:rPr>
        <w:t>revised by Communications Alliance (CA)</w:t>
      </w:r>
      <w:r>
        <w:rPr>
          <w:rFonts w:cs="Arial"/>
          <w:szCs w:val="20"/>
        </w:rPr>
        <w:t xml:space="preserve"> and </w:t>
      </w:r>
      <w:r w:rsidRPr="006134FA">
        <w:rPr>
          <w:rFonts w:cs="Arial"/>
          <w:szCs w:val="20"/>
        </w:rPr>
        <w:t>registered</w:t>
      </w:r>
      <w:r>
        <w:rPr>
          <w:rFonts w:cs="Arial"/>
          <w:szCs w:val="20"/>
        </w:rPr>
        <w:t xml:space="preserve"> by the ACMA</w:t>
      </w:r>
      <w:r w:rsidRPr="006134FA">
        <w:rPr>
          <w:rFonts w:cs="Arial"/>
          <w:szCs w:val="20"/>
        </w:rPr>
        <w:t>:</w:t>
      </w:r>
    </w:p>
    <w:p w14:paraId="58E3B989" w14:textId="77777777" w:rsidR="0042565F" w:rsidRPr="00744827" w:rsidRDefault="00AC2753" w:rsidP="00A26483">
      <w:pPr>
        <w:pStyle w:val="ListBullet"/>
      </w:pPr>
      <w:r w:rsidRPr="00744827">
        <w:t>C647:2017</w:t>
      </w:r>
      <w:r>
        <w:t xml:space="preserve"> </w:t>
      </w:r>
      <w:r w:rsidR="0042565F" w:rsidRPr="00A26483">
        <w:rPr>
          <w:i/>
        </w:rPr>
        <w:t>NBN Access Transfer Industry Code</w:t>
      </w:r>
      <w:r>
        <w:t>—</w:t>
      </w:r>
      <w:r w:rsidR="0042565F" w:rsidRPr="00744827">
        <w:t xml:space="preserve">registered on 16 March 2017. </w:t>
      </w:r>
      <w:r>
        <w:t>It</w:t>
      </w:r>
      <w:r w:rsidR="0042565F" w:rsidRPr="00744827">
        <w:t xml:space="preserve"> defines responsibilities of parties and establishes minimum operational requirements during the transfer of active NBN services between retail service providers. </w:t>
      </w:r>
    </w:p>
    <w:p w14:paraId="3351A166" w14:textId="77777777" w:rsidR="00D06E27" w:rsidRPr="00744827" w:rsidRDefault="00D06E27" w:rsidP="00A26483">
      <w:pPr>
        <w:pStyle w:val="ListBullet"/>
      </w:pPr>
      <w:r w:rsidRPr="00FB6FC9">
        <w:t>C617:2017</w:t>
      </w:r>
      <w:r>
        <w:t xml:space="preserve"> </w:t>
      </w:r>
      <w:r w:rsidR="0042565F" w:rsidRPr="00A26483">
        <w:rPr>
          <w:i/>
        </w:rPr>
        <w:t>Connect Outstanding Industry Code</w:t>
      </w:r>
      <w:r w:rsidR="00AC2753">
        <w:t>—</w:t>
      </w:r>
      <w:r>
        <w:t xml:space="preserve">updated code </w:t>
      </w:r>
      <w:r w:rsidR="0042565F" w:rsidRPr="00744827">
        <w:t>registered on 16 March 2017. CA extended the code to encompass situations where the previous occupant of premises failed to cancel their broadband service.</w:t>
      </w:r>
      <w:r w:rsidR="0042565F" w:rsidRPr="00A50F66">
        <w:rPr>
          <w:lang w:val="en"/>
        </w:rPr>
        <w:t xml:space="preserve"> </w:t>
      </w:r>
      <w:r w:rsidR="0042565F" w:rsidRPr="00744827">
        <w:t>The expansion of the code to cover fixed broadband connections means consumers are able to have timely connection of both phone and broadband services.</w:t>
      </w:r>
    </w:p>
    <w:p w14:paraId="5DA99DB8" w14:textId="77777777" w:rsidR="0042565F" w:rsidRPr="00D06E27" w:rsidRDefault="00D06E27" w:rsidP="00A26483">
      <w:pPr>
        <w:pStyle w:val="ListBullet"/>
        <w:rPr>
          <w:rFonts w:cs="Arial"/>
          <w:szCs w:val="20"/>
        </w:rPr>
      </w:pPr>
      <w:r w:rsidRPr="00744827">
        <w:t>C525:2017</w:t>
      </w:r>
      <w:r>
        <w:t xml:space="preserve"> </w:t>
      </w:r>
      <w:r w:rsidR="0042565F" w:rsidRPr="00A26483">
        <w:rPr>
          <w:i/>
        </w:rPr>
        <w:t>Handling of Life Threatening and Unwelcome Communications Industry Code</w:t>
      </w:r>
      <w:r>
        <w:rPr>
          <w:rFonts w:cs="Arial"/>
          <w:szCs w:val="20"/>
        </w:rPr>
        <w:t>—updated code</w:t>
      </w:r>
      <w:r w:rsidR="0042565F" w:rsidRPr="00A50F66">
        <w:rPr>
          <w:rFonts w:cs="Arial"/>
          <w:szCs w:val="20"/>
        </w:rPr>
        <w:t xml:space="preserve"> registered </w:t>
      </w:r>
      <w:r w:rsidR="0042565F" w:rsidRPr="00D06E27">
        <w:rPr>
          <w:rFonts w:cs="Arial"/>
          <w:szCs w:val="20"/>
        </w:rPr>
        <w:t xml:space="preserve">on 23 February 2017. This code was updated to address a recognised need for improved management of </w:t>
      </w:r>
      <w:r>
        <w:rPr>
          <w:rFonts w:cs="Arial"/>
          <w:szCs w:val="20"/>
        </w:rPr>
        <w:t>l</w:t>
      </w:r>
      <w:r w:rsidR="0042565F" w:rsidRPr="00A50F66">
        <w:rPr>
          <w:rFonts w:cs="Arial"/>
          <w:szCs w:val="20"/>
        </w:rPr>
        <w:t>ife-</w:t>
      </w:r>
      <w:r>
        <w:rPr>
          <w:rFonts w:cs="Arial"/>
          <w:szCs w:val="20"/>
        </w:rPr>
        <w:t>t</w:t>
      </w:r>
      <w:r w:rsidR="0042565F" w:rsidRPr="00A50F66">
        <w:rPr>
          <w:rFonts w:cs="Arial"/>
          <w:szCs w:val="20"/>
        </w:rPr>
        <w:t xml:space="preserve">hreatening and </w:t>
      </w:r>
      <w:r>
        <w:rPr>
          <w:rFonts w:cs="Arial"/>
          <w:szCs w:val="20"/>
        </w:rPr>
        <w:t>u</w:t>
      </w:r>
      <w:r w:rsidR="0042565F" w:rsidRPr="00A50F66">
        <w:rPr>
          <w:rFonts w:cs="Arial"/>
          <w:szCs w:val="20"/>
        </w:rPr>
        <w:t xml:space="preserve">nwelcome </w:t>
      </w:r>
      <w:r>
        <w:rPr>
          <w:rFonts w:cs="Arial"/>
          <w:szCs w:val="20"/>
        </w:rPr>
        <w:t>c</w:t>
      </w:r>
      <w:r w:rsidR="0042565F" w:rsidRPr="00A50F66">
        <w:rPr>
          <w:rFonts w:cs="Arial"/>
          <w:szCs w:val="20"/>
        </w:rPr>
        <w:t xml:space="preserve">ommunications, and for rules and procedures in dealing with unwelcome calls to </w:t>
      </w:r>
      <w:r>
        <w:rPr>
          <w:rFonts w:cs="Arial"/>
          <w:szCs w:val="20"/>
        </w:rPr>
        <w:t>h</w:t>
      </w:r>
      <w:r w:rsidR="0042565F" w:rsidRPr="00A50F66">
        <w:rPr>
          <w:rFonts w:cs="Arial"/>
          <w:szCs w:val="20"/>
        </w:rPr>
        <w:t xml:space="preserve">elplines. Two industry </w:t>
      </w:r>
      <w:r>
        <w:rPr>
          <w:rFonts w:cs="Arial"/>
          <w:szCs w:val="20"/>
        </w:rPr>
        <w:t>g</w:t>
      </w:r>
      <w:r w:rsidR="0042565F" w:rsidRPr="00A50F66">
        <w:rPr>
          <w:rFonts w:cs="Arial"/>
          <w:szCs w:val="20"/>
        </w:rPr>
        <w:t xml:space="preserve">uides were </w:t>
      </w:r>
      <w:r w:rsidR="0042565F" w:rsidRPr="00D06E27">
        <w:rPr>
          <w:rFonts w:cs="Arial"/>
          <w:szCs w:val="20"/>
        </w:rPr>
        <w:t>developed to supplement the code.</w:t>
      </w:r>
    </w:p>
    <w:p w14:paraId="4F14899D" w14:textId="77777777" w:rsidR="0042565F" w:rsidRPr="00D06E27" w:rsidRDefault="00D06E27" w:rsidP="00A26483">
      <w:pPr>
        <w:pStyle w:val="ListBulletLast"/>
        <w:rPr>
          <w:rFonts w:cs="Arial"/>
          <w:szCs w:val="20"/>
        </w:rPr>
      </w:pPr>
      <w:r w:rsidRPr="00744827">
        <w:t>C540:2013</w:t>
      </w:r>
      <w:r>
        <w:t xml:space="preserve"> </w:t>
      </w:r>
      <w:r w:rsidR="0042565F" w:rsidRPr="00A26483">
        <w:rPr>
          <w:i/>
        </w:rPr>
        <w:t>Local Number Portability Code</w:t>
      </w:r>
      <w:r>
        <w:t>—</w:t>
      </w:r>
      <w:r w:rsidR="0042565F" w:rsidRPr="00D06E27">
        <w:rPr>
          <w:rFonts w:cs="Arial"/>
          <w:szCs w:val="20"/>
        </w:rPr>
        <w:t xml:space="preserve">revised code </w:t>
      </w:r>
      <w:r>
        <w:rPr>
          <w:rFonts w:cs="Arial"/>
          <w:szCs w:val="20"/>
        </w:rPr>
        <w:t xml:space="preserve">registered </w:t>
      </w:r>
      <w:r w:rsidR="0042565F" w:rsidRPr="00A50F66">
        <w:rPr>
          <w:rFonts w:cs="Arial"/>
          <w:szCs w:val="20"/>
        </w:rPr>
        <w:t xml:space="preserve">on 28 October 2016. The revisions to the code (incorporating Variation No.1/2016) are intended to reduce mismatched </w:t>
      </w:r>
      <w:r>
        <w:rPr>
          <w:rFonts w:cs="Arial"/>
          <w:szCs w:val="20"/>
        </w:rPr>
        <w:t>s</w:t>
      </w:r>
      <w:r w:rsidR="0042565F" w:rsidRPr="00A50F66">
        <w:rPr>
          <w:rFonts w:cs="Arial"/>
          <w:szCs w:val="20"/>
        </w:rPr>
        <w:t xml:space="preserve">ervice </w:t>
      </w:r>
      <w:r>
        <w:rPr>
          <w:rFonts w:cs="Arial"/>
          <w:szCs w:val="20"/>
        </w:rPr>
        <w:t>a</w:t>
      </w:r>
      <w:r w:rsidR="0042565F" w:rsidRPr="00A50F66">
        <w:rPr>
          <w:rFonts w:cs="Arial"/>
          <w:szCs w:val="20"/>
        </w:rPr>
        <w:t xml:space="preserve">ccount and </w:t>
      </w:r>
      <w:r>
        <w:rPr>
          <w:rFonts w:cs="Arial"/>
          <w:szCs w:val="20"/>
        </w:rPr>
        <w:t>t</w:t>
      </w:r>
      <w:r w:rsidR="0042565F" w:rsidRPr="00A50F66">
        <w:rPr>
          <w:rFonts w:cs="Arial"/>
          <w:szCs w:val="20"/>
        </w:rPr>
        <w:t xml:space="preserve">elephone </w:t>
      </w:r>
      <w:r>
        <w:rPr>
          <w:rFonts w:cs="Arial"/>
          <w:szCs w:val="20"/>
        </w:rPr>
        <w:t>n</w:t>
      </w:r>
      <w:r w:rsidR="0042565F" w:rsidRPr="00A50F66">
        <w:rPr>
          <w:rFonts w:cs="Arial"/>
          <w:szCs w:val="20"/>
        </w:rPr>
        <w:t>umbers</w:t>
      </w:r>
      <w:r>
        <w:rPr>
          <w:rFonts w:cs="Arial"/>
          <w:szCs w:val="20"/>
        </w:rPr>
        <w:t>,</w:t>
      </w:r>
      <w:r w:rsidR="0042565F" w:rsidRPr="00A50F66">
        <w:rPr>
          <w:rFonts w:cs="Arial"/>
          <w:szCs w:val="20"/>
        </w:rPr>
        <w:t xml:space="preserve"> and improve customer experience</w:t>
      </w:r>
      <w:r w:rsidR="0042565F" w:rsidRPr="00A50F66">
        <w:rPr>
          <w:rFonts w:eastAsiaTheme="minorHAnsi" w:cs="Arial"/>
          <w:szCs w:val="20"/>
          <w:lang w:eastAsia="en-US"/>
        </w:rPr>
        <w:t xml:space="preserve"> </w:t>
      </w:r>
      <w:r w:rsidR="0042565F" w:rsidRPr="00D06E27">
        <w:rPr>
          <w:rFonts w:cs="Arial"/>
          <w:szCs w:val="20"/>
        </w:rPr>
        <w:t>when</w:t>
      </w:r>
      <w:r w:rsidR="0042565F" w:rsidRPr="00D06E27">
        <w:rPr>
          <w:rFonts w:cs="Arial"/>
          <w:szCs w:val="20"/>
          <w:lang w:val="en"/>
        </w:rPr>
        <w:t xml:space="preserve"> customers port a number when changing CSPs</w:t>
      </w:r>
      <w:r w:rsidR="0042565F" w:rsidRPr="00D06E27">
        <w:rPr>
          <w:rFonts w:cs="Arial"/>
          <w:szCs w:val="20"/>
        </w:rPr>
        <w:t xml:space="preserve">. </w:t>
      </w:r>
    </w:p>
    <w:p w14:paraId="61F029D8" w14:textId="77777777" w:rsidR="0042565F" w:rsidRPr="00744827" w:rsidRDefault="0042565F" w:rsidP="0042565F">
      <w:pPr>
        <w:pStyle w:val="Heading2"/>
        <w:numPr>
          <w:ilvl w:val="1"/>
          <w:numId w:val="20"/>
        </w:numPr>
        <w:ind w:hanging="792"/>
      </w:pPr>
      <w:bookmarkStart w:id="1610" w:name="_Toc494799498"/>
      <w:bookmarkStart w:id="1611" w:name="_Toc494805801"/>
      <w:bookmarkStart w:id="1612" w:name="_Toc494806066"/>
      <w:bookmarkStart w:id="1613" w:name="_Toc494808296"/>
      <w:bookmarkStart w:id="1614" w:name="_Toc494808954"/>
      <w:bookmarkStart w:id="1615" w:name="_Toc494816369"/>
      <w:bookmarkStart w:id="1616" w:name="_Toc494818965"/>
      <w:bookmarkStart w:id="1617" w:name="_Toc494819195"/>
      <w:bookmarkStart w:id="1618" w:name="_Toc500320931"/>
      <w:r w:rsidRPr="00744827">
        <w:t>Industry compliance with telecommunications codes</w:t>
      </w:r>
      <w:bookmarkEnd w:id="1609"/>
      <w:bookmarkEnd w:id="1610"/>
      <w:bookmarkEnd w:id="1611"/>
      <w:bookmarkEnd w:id="1612"/>
      <w:bookmarkEnd w:id="1613"/>
      <w:bookmarkEnd w:id="1614"/>
      <w:bookmarkEnd w:id="1615"/>
      <w:bookmarkEnd w:id="1616"/>
      <w:bookmarkEnd w:id="1617"/>
      <w:bookmarkEnd w:id="1618"/>
    </w:p>
    <w:p w14:paraId="55822D31" w14:textId="77777777" w:rsidR="0042565F" w:rsidRPr="006134FA" w:rsidRDefault="0042565F" w:rsidP="0042565F">
      <w:pPr>
        <w:pStyle w:val="Heading3"/>
      </w:pPr>
      <w:bookmarkStart w:id="1619" w:name="_Toc494799499"/>
      <w:bookmarkStart w:id="1620" w:name="_Toc494805802"/>
      <w:bookmarkStart w:id="1621" w:name="_Toc494806067"/>
      <w:bookmarkStart w:id="1622" w:name="_Toc494808297"/>
      <w:bookmarkStart w:id="1623" w:name="_Toc494808955"/>
      <w:bookmarkStart w:id="1624" w:name="_Toc494816370"/>
      <w:bookmarkStart w:id="1625" w:name="_Toc494818966"/>
      <w:bookmarkStart w:id="1626" w:name="_Toc494819196"/>
      <w:r w:rsidRPr="006134FA">
        <w:t>Compliance with the T</w:t>
      </w:r>
      <w:r>
        <w:t xml:space="preserve">elecommunications Consumer Protections Code </w:t>
      </w:r>
      <w:bookmarkEnd w:id="1619"/>
      <w:bookmarkEnd w:id="1620"/>
      <w:bookmarkEnd w:id="1621"/>
      <w:bookmarkEnd w:id="1622"/>
      <w:bookmarkEnd w:id="1623"/>
      <w:bookmarkEnd w:id="1624"/>
      <w:bookmarkEnd w:id="1625"/>
      <w:bookmarkEnd w:id="1626"/>
    </w:p>
    <w:p w14:paraId="7E0C95F3" w14:textId="77777777" w:rsidR="0042565F" w:rsidRDefault="0042565F" w:rsidP="00A26483">
      <w:r w:rsidRPr="008325AF">
        <w:t xml:space="preserve">The </w:t>
      </w:r>
      <w:r w:rsidR="00364AAB" w:rsidRPr="00364AAB">
        <w:t xml:space="preserve">Telecommunications Consumer Protections </w:t>
      </w:r>
      <w:r w:rsidR="00364AAB">
        <w:t>(</w:t>
      </w:r>
      <w:r w:rsidRPr="008325AF">
        <w:t>TCP</w:t>
      </w:r>
      <w:r w:rsidR="00364AAB">
        <w:t>)</w:t>
      </w:r>
      <w:r w:rsidRPr="008325AF">
        <w:t xml:space="preserve"> Code provides consumer safeguards in the</w:t>
      </w:r>
      <w:r w:rsidR="00A44F92">
        <w:t xml:space="preserve"> areas of advertising and point-of-</w:t>
      </w:r>
      <w:r w:rsidRPr="008325AF">
        <w:t xml:space="preserve">sale, billing, payment methods, complaints-handling and when customers </w:t>
      </w:r>
      <w:r w:rsidRPr="00D92D67">
        <w:t xml:space="preserve">change their service provider. Telecommunications companies </w:t>
      </w:r>
      <w:r w:rsidR="00364AAB">
        <w:t xml:space="preserve">have </w:t>
      </w:r>
      <w:r w:rsidRPr="00D92D67">
        <w:t>demonstrated varying levels of compliance with the TCP Code across a range of enquiries, audits and investigations</w:t>
      </w:r>
      <w:r>
        <w:t xml:space="preserve">. </w:t>
      </w:r>
    </w:p>
    <w:p w14:paraId="43E193B9" w14:textId="77777777" w:rsidR="0042565F" w:rsidRDefault="0042565F" w:rsidP="00A26483">
      <w:pPr>
        <w:spacing w:after="80"/>
      </w:pPr>
      <w:r>
        <w:t>During</w:t>
      </w:r>
      <w:r w:rsidRPr="00C34BC4">
        <w:t xml:space="preserve"> 2016</w:t>
      </w:r>
      <w:r w:rsidR="00364AAB">
        <w:t>–</w:t>
      </w:r>
      <w:r w:rsidRPr="00C34BC4">
        <w:t xml:space="preserve">17, the ACMA </w:t>
      </w:r>
      <w:r>
        <w:t>undertook</w:t>
      </w:r>
      <w:r w:rsidRPr="00C34BC4">
        <w:t xml:space="preserve"> </w:t>
      </w:r>
      <w:r w:rsidRPr="00A25896">
        <w:t>122</w:t>
      </w:r>
      <w:r>
        <w:t xml:space="preserve"> preliminary</w:t>
      </w:r>
      <w:r w:rsidRPr="00A25896">
        <w:t xml:space="preserve"> </w:t>
      </w:r>
      <w:r>
        <w:t>i</w:t>
      </w:r>
      <w:r w:rsidRPr="003F5621">
        <w:t>nquiries</w:t>
      </w:r>
      <w:r>
        <w:t xml:space="preserve"> to assess provider compliance with the TCP Code</w:t>
      </w:r>
      <w:r w:rsidRPr="00C34BC4">
        <w:t xml:space="preserve"> </w:t>
      </w:r>
      <w:r>
        <w:t>and</w:t>
      </w:r>
      <w:r w:rsidRPr="00C34BC4">
        <w:t xml:space="preserve"> concluded </w:t>
      </w:r>
      <w:r w:rsidRPr="00A25896">
        <w:t xml:space="preserve">33 </w:t>
      </w:r>
      <w:r w:rsidRPr="003F5621">
        <w:t>investigations</w:t>
      </w:r>
      <w:r w:rsidRPr="00C34BC4">
        <w:t xml:space="preserve"> </w:t>
      </w:r>
      <w:r>
        <w:t>into</w:t>
      </w:r>
      <w:r w:rsidRPr="00C34BC4">
        <w:t xml:space="preserve"> non-compliance with various </w:t>
      </w:r>
      <w:r w:rsidR="00364AAB">
        <w:t>c</w:t>
      </w:r>
      <w:r w:rsidRPr="00C34BC4">
        <w:t xml:space="preserve">ode </w:t>
      </w:r>
      <w:r>
        <w:t>requirements</w:t>
      </w:r>
      <w:r w:rsidR="00364AAB">
        <w:t>:</w:t>
      </w:r>
    </w:p>
    <w:p w14:paraId="3FECF134" w14:textId="77777777" w:rsidR="00A50F66" w:rsidRPr="00A50F66" w:rsidRDefault="0042565F" w:rsidP="00A26483">
      <w:pPr>
        <w:pStyle w:val="ListBullet"/>
      </w:pPr>
      <w:r w:rsidRPr="00A26483">
        <w:rPr>
          <w:b/>
        </w:rPr>
        <w:t>Advertising</w:t>
      </w:r>
      <w:r w:rsidR="00364AAB">
        <w:t>—t</w:t>
      </w:r>
      <w:r w:rsidRPr="00A50F66">
        <w:t>he</w:t>
      </w:r>
      <w:r w:rsidRPr="00F554FD">
        <w:t xml:space="preserve"> ACMA reviewed 27 advertisements from 23 different providers</w:t>
      </w:r>
      <w:r w:rsidR="00364AAB">
        <w:t>, with t</w:t>
      </w:r>
      <w:r w:rsidRPr="00A50F66">
        <w:t>wo-</w:t>
      </w:r>
      <w:r w:rsidRPr="00F554FD">
        <w:t xml:space="preserve">thirds </w:t>
      </w:r>
      <w:r w:rsidRPr="001E6177">
        <w:t xml:space="preserve">compliant with the advertising requirements of the TCP Code. </w:t>
      </w:r>
      <w:r w:rsidR="00A50F66">
        <w:t>P</w:t>
      </w:r>
      <w:r w:rsidRPr="00F554FD">
        <w:t>reliminary inq</w:t>
      </w:r>
      <w:r w:rsidRPr="001E6177">
        <w:t xml:space="preserve">uiries of nine providers to ensure compliance with the TCP Code </w:t>
      </w:r>
      <w:r w:rsidR="00A50F66">
        <w:t>will</w:t>
      </w:r>
      <w:r w:rsidR="00A50F66" w:rsidRPr="00A50F66">
        <w:t xml:space="preserve"> </w:t>
      </w:r>
      <w:r w:rsidRPr="00A50F66">
        <w:t>continu</w:t>
      </w:r>
      <w:r w:rsidR="00A50F66">
        <w:t xml:space="preserve">e </w:t>
      </w:r>
      <w:r w:rsidRPr="001E6177">
        <w:t xml:space="preserve">in 2017–18. </w:t>
      </w:r>
    </w:p>
    <w:p w14:paraId="7FEE3F4A" w14:textId="77777777" w:rsidR="00A50F66" w:rsidRDefault="0042565F" w:rsidP="00A26483">
      <w:pPr>
        <w:pStyle w:val="ListBullet"/>
      </w:pPr>
      <w:r w:rsidRPr="00A26483">
        <w:rPr>
          <w:b/>
        </w:rPr>
        <w:t>Critical Information Summary</w:t>
      </w:r>
      <w:r w:rsidRPr="00744827">
        <w:t xml:space="preserve"> (CIS)</w:t>
      </w:r>
      <w:r w:rsidR="00A50F66">
        <w:t>—c</w:t>
      </w:r>
      <w:r w:rsidRPr="00EB1D47">
        <w:t xml:space="preserve">lause 4.1 of the </w:t>
      </w:r>
      <w:r>
        <w:t xml:space="preserve">TCP Code </w:t>
      </w:r>
      <w:r w:rsidRPr="00AF5C5D">
        <w:t xml:space="preserve">requires a </w:t>
      </w:r>
      <w:r>
        <w:t>s</w:t>
      </w:r>
      <w:r w:rsidRPr="00AF5C5D">
        <w:t xml:space="preserve">upplier </w:t>
      </w:r>
      <w:r w:rsidR="00A50F66">
        <w:t xml:space="preserve">to </w:t>
      </w:r>
      <w:r w:rsidRPr="00AF5C5D">
        <w:t>provide a CIS for each of its offers</w:t>
      </w:r>
      <w:r>
        <w:t xml:space="preserve"> to allow consumer comparison. </w:t>
      </w:r>
      <w:r w:rsidR="00A50F66">
        <w:t>In a</w:t>
      </w:r>
      <w:r>
        <w:t>ssess</w:t>
      </w:r>
      <w:r w:rsidR="00A50F66">
        <w:t xml:space="preserve">ing </w:t>
      </w:r>
      <w:r>
        <w:t>111 offers from 79 providers</w:t>
      </w:r>
      <w:r w:rsidR="00A50F66">
        <w:t>, we found c</w:t>
      </w:r>
      <w:r w:rsidRPr="00F228F1">
        <w:t xml:space="preserve">ompliance with </w:t>
      </w:r>
      <w:r>
        <w:t>CIS</w:t>
      </w:r>
      <w:r w:rsidRPr="00F228F1">
        <w:t xml:space="preserve"> requirements </w:t>
      </w:r>
      <w:r w:rsidRPr="009369A4">
        <w:t>decreased from</w:t>
      </w:r>
      <w:r w:rsidRPr="00F228F1">
        <w:t xml:space="preserve"> </w:t>
      </w:r>
      <w:r w:rsidRPr="009369A4">
        <w:t>75 per</w:t>
      </w:r>
      <w:r>
        <w:t xml:space="preserve"> </w:t>
      </w:r>
      <w:r w:rsidRPr="009369A4">
        <w:t>cent</w:t>
      </w:r>
      <w:r w:rsidRPr="00F228F1">
        <w:t xml:space="preserve"> </w:t>
      </w:r>
      <w:r>
        <w:t xml:space="preserve">in 2015–16 to </w:t>
      </w:r>
      <w:r w:rsidRPr="00A25896">
        <w:t>61 per</w:t>
      </w:r>
      <w:r>
        <w:t xml:space="preserve"> </w:t>
      </w:r>
      <w:r w:rsidRPr="00A25896">
        <w:t xml:space="preserve">cent </w:t>
      </w:r>
      <w:r>
        <w:t>in 2016–17</w:t>
      </w:r>
      <w:r w:rsidRPr="00F228F1">
        <w:t>.</w:t>
      </w:r>
      <w:r w:rsidR="00A50F66">
        <w:t xml:space="preserve"> </w:t>
      </w:r>
    </w:p>
    <w:p w14:paraId="71FEED32" w14:textId="77777777" w:rsidR="00A50F66" w:rsidRDefault="00A50F66" w:rsidP="00A26483">
      <w:pPr>
        <w:pStyle w:val="ListBullet"/>
        <w:numPr>
          <w:ilvl w:val="0"/>
          <w:numId w:val="0"/>
        </w:numPr>
        <w:ind w:left="360"/>
      </w:pPr>
      <w:r>
        <w:t>T</w:t>
      </w:r>
      <w:r w:rsidR="0042565F">
        <w:t xml:space="preserve">he incidence of offers being made without a CIS increased from two per cent </w:t>
      </w:r>
      <w:r>
        <w:t>in</w:t>
      </w:r>
      <w:r w:rsidR="0042565F">
        <w:t xml:space="preserve"> 2015–16 to four</w:t>
      </w:r>
      <w:r w:rsidR="0042565F" w:rsidRPr="00A25896">
        <w:t xml:space="preserve"> per</w:t>
      </w:r>
      <w:r w:rsidR="0042565F">
        <w:t xml:space="preserve"> </w:t>
      </w:r>
      <w:r w:rsidR="0042565F" w:rsidRPr="00A25896">
        <w:t>cent</w:t>
      </w:r>
      <w:r w:rsidR="0042565F">
        <w:t xml:space="preserve"> </w:t>
      </w:r>
      <w:r>
        <w:t>in</w:t>
      </w:r>
      <w:r w:rsidR="0042565F">
        <w:t xml:space="preserve"> 2016–17. </w:t>
      </w:r>
      <w:r>
        <w:t>E</w:t>
      </w:r>
      <w:r w:rsidR="0042565F">
        <w:t xml:space="preserve">ngagement </w:t>
      </w:r>
      <w:r>
        <w:t xml:space="preserve">from the ACMA </w:t>
      </w:r>
      <w:r w:rsidR="00E3247C">
        <w:t xml:space="preserve">saw </w:t>
      </w:r>
      <w:r w:rsidR="0042565F" w:rsidRPr="00A25896">
        <w:t>43</w:t>
      </w:r>
      <w:r w:rsidR="0042565F">
        <w:t xml:space="preserve"> providers subsequently amend their CISs to ensure compliance. </w:t>
      </w:r>
    </w:p>
    <w:p w14:paraId="5BDE85FB" w14:textId="77777777" w:rsidR="0042565F" w:rsidRPr="00197FB7" w:rsidRDefault="0042565F" w:rsidP="00A26483">
      <w:pPr>
        <w:pStyle w:val="ListBullet"/>
        <w:rPr>
          <w:rFonts w:cs="Arial"/>
          <w:szCs w:val="20"/>
        </w:rPr>
      </w:pPr>
      <w:r w:rsidRPr="00A26483">
        <w:rPr>
          <w:b/>
        </w:rPr>
        <w:t xml:space="preserve">Compliance and </w:t>
      </w:r>
      <w:r w:rsidR="00E3247C" w:rsidRPr="00A26483">
        <w:rPr>
          <w:b/>
        </w:rPr>
        <w:t>m</w:t>
      </w:r>
      <w:r w:rsidRPr="00A26483">
        <w:rPr>
          <w:b/>
        </w:rPr>
        <w:t>onitoring</w:t>
      </w:r>
      <w:r w:rsidR="00A50F66" w:rsidRPr="001E6177">
        <w:rPr>
          <w:rFonts w:cs="Arial"/>
          <w:szCs w:val="20"/>
        </w:rPr>
        <w:t>—</w:t>
      </w:r>
      <w:r w:rsidR="00BD3802" w:rsidRPr="00CE0E76">
        <w:rPr>
          <w:rFonts w:cs="Arial"/>
          <w:szCs w:val="20"/>
        </w:rPr>
        <w:t>c</w:t>
      </w:r>
      <w:r w:rsidRPr="00CE0E76">
        <w:rPr>
          <w:rFonts w:cs="Arial"/>
          <w:szCs w:val="20"/>
        </w:rPr>
        <w:t>hapter</w:t>
      </w:r>
      <w:r w:rsidRPr="001E6177">
        <w:rPr>
          <w:rFonts w:cs="Arial"/>
          <w:szCs w:val="20"/>
        </w:rPr>
        <w:t xml:space="preserve"> 9 of the TCP Code requires all providers to register with CA by May 2016 or one month after the provider first acquires customers. In </w:t>
      </w:r>
      <w:r w:rsidRPr="00197FB7">
        <w:t>2016–17</w:t>
      </w:r>
      <w:r w:rsidRPr="00197FB7">
        <w:rPr>
          <w:rFonts w:cs="Arial"/>
          <w:szCs w:val="20"/>
        </w:rPr>
        <w:t>, the ACMA issued a formal warning to one provider for failing to register with CA. Another six providers were issued with a direction to comply.</w:t>
      </w:r>
    </w:p>
    <w:p w14:paraId="02C6E0E7" w14:textId="77777777" w:rsidR="0042565F" w:rsidRPr="00937C0B" w:rsidRDefault="00BD3802" w:rsidP="00A26483">
      <w:pPr>
        <w:pStyle w:val="ListBulletLast"/>
        <w:numPr>
          <w:ilvl w:val="0"/>
          <w:numId w:val="0"/>
        </w:numPr>
        <w:spacing w:after="80"/>
        <w:ind w:left="360"/>
      </w:pPr>
      <w:r>
        <w:t>P</w:t>
      </w:r>
      <w:r w:rsidR="0042565F" w:rsidRPr="00937C0B">
        <w:t xml:space="preserve">roviders are </w:t>
      </w:r>
      <w:r>
        <w:t xml:space="preserve">also </w:t>
      </w:r>
      <w:r w:rsidR="0042565F" w:rsidRPr="00937C0B">
        <w:t>required to lodge annual compliance</w:t>
      </w:r>
      <w:r w:rsidR="0042565F" w:rsidRPr="00937C0B">
        <w:rPr>
          <w:color w:val="7B7B7B" w:themeColor="accent3" w:themeShade="BF"/>
        </w:rPr>
        <w:t xml:space="preserve"> </w:t>
      </w:r>
      <w:r w:rsidR="0042565F" w:rsidRPr="00611750">
        <w:t>attestation</w:t>
      </w:r>
      <w:r w:rsidR="0042565F" w:rsidRPr="00937C0B">
        <w:t xml:space="preserve"> documents to Communications Compliance Ltd (CommCom). </w:t>
      </w:r>
      <w:r w:rsidR="0042565F">
        <w:t xml:space="preserve">In </w:t>
      </w:r>
      <w:r w:rsidR="0042565F" w:rsidRPr="006134FA">
        <w:t>201</w:t>
      </w:r>
      <w:r w:rsidR="0042565F">
        <w:t>6</w:t>
      </w:r>
      <w:r w:rsidR="0042565F" w:rsidRPr="006134FA">
        <w:t>–1</w:t>
      </w:r>
      <w:r w:rsidR="0042565F">
        <w:t>7, the ACMA issued six</w:t>
      </w:r>
      <w:r w:rsidR="0042565F" w:rsidRPr="00937C0B">
        <w:t xml:space="preserve"> directions and 14 formal warnings to providers who failed to lodge compliance attestations with CommCom by the due date.</w:t>
      </w:r>
    </w:p>
    <w:p w14:paraId="22AEB4EB" w14:textId="1E230679" w:rsidR="0042565F" w:rsidRDefault="0042565F" w:rsidP="00A26483">
      <w:pPr>
        <w:pStyle w:val="ListBulletLast"/>
      </w:pPr>
      <w:r w:rsidRPr="00A26483">
        <w:rPr>
          <w:b/>
        </w:rPr>
        <w:t xml:space="preserve">Formal </w:t>
      </w:r>
      <w:r w:rsidR="00BD3802" w:rsidRPr="00A26483">
        <w:rPr>
          <w:b/>
        </w:rPr>
        <w:t>w</w:t>
      </w:r>
      <w:r w:rsidRPr="00A26483">
        <w:rPr>
          <w:b/>
        </w:rPr>
        <w:t xml:space="preserve">arnings and </w:t>
      </w:r>
      <w:r w:rsidR="00BD3802" w:rsidRPr="00A26483">
        <w:rPr>
          <w:b/>
        </w:rPr>
        <w:t>d</w:t>
      </w:r>
      <w:r w:rsidRPr="00A26483">
        <w:rPr>
          <w:b/>
        </w:rPr>
        <w:t>irections</w:t>
      </w:r>
      <w:r w:rsidR="00BD3802">
        <w:t>—i</w:t>
      </w:r>
      <w:r w:rsidRPr="00611750">
        <w:t>n 2016–17, the ACMA issued 15 formal warnings and nine directions to telecommunications companies</w:t>
      </w:r>
      <w:r w:rsidRPr="00611750" w:rsidDel="0059794E">
        <w:t xml:space="preserve"> </w:t>
      </w:r>
      <w:r w:rsidRPr="00611750">
        <w:t>requiring compliance with the TCP Code (Table</w:t>
      </w:r>
      <w:r w:rsidR="00BD3802">
        <w:t> 5.15</w:t>
      </w:r>
      <w:r w:rsidRPr="00611750">
        <w:t>).</w:t>
      </w:r>
    </w:p>
    <w:p w14:paraId="3477D082" w14:textId="6C81A56C" w:rsidR="00470388" w:rsidRPr="00744827" w:rsidRDefault="002A4826" w:rsidP="009125E7">
      <w:pPr>
        <w:pStyle w:val="ACMAFigureHeader"/>
        <w:keepNext/>
      </w:pPr>
      <w:r w:rsidRPr="00744827">
        <w:t>Table 5.15</w:t>
      </w:r>
      <w:r w:rsidRPr="00744827">
        <w:tab/>
        <w:t xml:space="preserve">ACMA </w:t>
      </w:r>
      <w:r>
        <w:t xml:space="preserve">TCP Code </w:t>
      </w:r>
      <w:r w:rsidRPr="00744827">
        <w:t>compliance activity</w:t>
      </w:r>
    </w:p>
    <w:tbl>
      <w:tblPr>
        <w:tblStyle w:val="Commsreport2017"/>
        <w:tblW w:w="9016" w:type="dxa"/>
        <w:tblBorders>
          <w:insideH w:val="single" w:sz="6" w:space="0" w:color="BFBFBF" w:themeColor="background1" w:themeShade="BF"/>
          <w:insideV w:val="single" w:sz="6"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Caption w:val="Table 5.15 ACMA TCP Code compliance activity"/>
      </w:tblPr>
      <w:tblGrid>
        <w:gridCol w:w="3989"/>
        <w:gridCol w:w="1233"/>
        <w:gridCol w:w="1460"/>
        <w:gridCol w:w="2334"/>
      </w:tblGrid>
      <w:tr w:rsidR="002A4826" w:rsidRPr="00651850" w14:paraId="302EF8A7" w14:textId="77777777" w:rsidTr="00BE6FCF">
        <w:trPr>
          <w:cnfStyle w:val="100000000000" w:firstRow="1" w:lastRow="0" w:firstColumn="0" w:lastColumn="0" w:oddVBand="0" w:evenVBand="0" w:oddHBand="0" w:evenHBand="0" w:firstRowFirstColumn="0" w:firstRowLastColumn="0" w:lastRowFirstColumn="0" w:lastRowLastColumn="0"/>
          <w:cantSplit/>
          <w:trHeight w:val="340"/>
          <w:tblHeader/>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tcPr>
          <w:p w14:paraId="1C3DEE0B" w14:textId="77777777" w:rsidR="002A4826" w:rsidRPr="00C247CA" w:rsidRDefault="002A4826" w:rsidP="00E1208C">
            <w:pPr>
              <w:pStyle w:val="TableHeading"/>
              <w:keepNext w:val="0"/>
              <w:keepLines w:val="0"/>
              <w:spacing w:beforeLines="0" w:before="0" w:afterLines="0"/>
            </w:pPr>
            <w:r w:rsidRPr="000F64BD">
              <w:t xml:space="preserve">TCP Code </w:t>
            </w:r>
            <w:r>
              <w:t>o</w:t>
            </w:r>
            <w:r w:rsidRPr="000F64BD">
              <w:t>bligation</w:t>
            </w:r>
          </w:p>
        </w:tc>
        <w:tc>
          <w:tcPr>
            <w:tcW w:w="1233" w:type="dxa"/>
            <w:tcMar>
              <w:top w:w="57" w:type="dxa"/>
              <w:left w:w="57" w:type="dxa"/>
              <w:bottom w:w="57" w:type="dxa"/>
              <w:right w:w="57" w:type="dxa"/>
            </w:tcMar>
          </w:tcPr>
          <w:p w14:paraId="0EE1CC67" w14:textId="77777777" w:rsidR="002A4826" w:rsidRPr="000313D3" w:rsidRDefault="002A4826" w:rsidP="00E1208C">
            <w:pPr>
              <w:pStyle w:val="TableHeading"/>
              <w:keepNext w:val="0"/>
              <w:keepLines w:val="0"/>
              <w:spacing w:beforeLines="0" w:before="0" w:afterLines="0"/>
              <w:jc w:val="left"/>
              <w:cnfStyle w:val="100000000000" w:firstRow="1" w:lastRow="0" w:firstColumn="0" w:lastColumn="0" w:oddVBand="0" w:evenVBand="0" w:oddHBand="0" w:evenHBand="0" w:firstRowFirstColumn="0" w:firstRowLastColumn="0" w:lastRowFirstColumn="0" w:lastRowLastColumn="0"/>
            </w:pPr>
            <w:r w:rsidRPr="000313D3">
              <w:t xml:space="preserve">TCP Code </w:t>
            </w:r>
            <w:r>
              <w:t>p</w:t>
            </w:r>
            <w:r w:rsidRPr="000313D3">
              <w:t>rovision</w:t>
            </w:r>
          </w:p>
        </w:tc>
        <w:tc>
          <w:tcPr>
            <w:tcW w:w="1460" w:type="dxa"/>
            <w:tcMar>
              <w:top w:w="57" w:type="dxa"/>
              <w:left w:w="57" w:type="dxa"/>
              <w:bottom w:w="57" w:type="dxa"/>
              <w:right w:w="57" w:type="dxa"/>
            </w:tcMar>
          </w:tcPr>
          <w:p w14:paraId="076B4BEF" w14:textId="77777777" w:rsidR="002A4826" w:rsidRPr="000313D3" w:rsidRDefault="002A4826" w:rsidP="00E1208C">
            <w:pPr>
              <w:pStyle w:val="TableHeading"/>
              <w:keepNext w:val="0"/>
              <w:keepLines w:val="0"/>
              <w:spacing w:beforeLines="0" w:before="0" w:afterLines="0"/>
              <w:jc w:val="left"/>
              <w:cnfStyle w:val="100000000000" w:firstRow="1" w:lastRow="0" w:firstColumn="0" w:lastColumn="0" w:oddVBand="0" w:evenVBand="0" w:oddHBand="0" w:evenHBand="0" w:firstRowFirstColumn="0" w:firstRowLastColumn="0" w:lastRowFirstColumn="0" w:lastRowLastColumn="0"/>
            </w:pPr>
            <w:r w:rsidRPr="000313D3">
              <w:t>Outcome</w:t>
            </w:r>
          </w:p>
        </w:tc>
        <w:tc>
          <w:tcPr>
            <w:tcW w:w="2334" w:type="dxa"/>
            <w:tcMar>
              <w:top w:w="57" w:type="dxa"/>
              <w:left w:w="57" w:type="dxa"/>
              <w:bottom w:w="57" w:type="dxa"/>
              <w:right w:w="57" w:type="dxa"/>
            </w:tcMar>
          </w:tcPr>
          <w:p w14:paraId="3A4CD25C" w14:textId="77777777" w:rsidR="002A4826" w:rsidRPr="000313D3" w:rsidRDefault="002A4826" w:rsidP="00E1208C">
            <w:pPr>
              <w:pStyle w:val="TableHeading"/>
              <w:keepNext w:val="0"/>
              <w:keepLines w:val="0"/>
              <w:spacing w:beforeLines="0" w:before="0" w:afterLines="0"/>
              <w:jc w:val="left"/>
              <w:cnfStyle w:val="100000000000" w:firstRow="1" w:lastRow="0" w:firstColumn="0" w:lastColumn="0" w:oddVBand="0" w:evenVBand="0" w:oddHBand="0" w:evenHBand="0" w:firstRowFirstColumn="0" w:firstRowLastColumn="0" w:lastRowFirstColumn="0" w:lastRowLastColumn="0"/>
            </w:pPr>
            <w:r w:rsidRPr="000313D3">
              <w:t xml:space="preserve">Telecommunications company </w:t>
            </w:r>
          </w:p>
        </w:tc>
      </w:tr>
      <w:tr w:rsidR="002A4826" w:rsidRPr="005A6644" w14:paraId="36CFFD37"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1505E15B"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 xml:space="preserve">Managing </w:t>
            </w:r>
            <w:r>
              <w:rPr>
                <w:rFonts w:cs="Arial"/>
                <w:b w:val="0"/>
                <w:color w:val="auto"/>
                <w:szCs w:val="18"/>
              </w:rPr>
              <w:t>and</w:t>
            </w:r>
            <w:r w:rsidRPr="00744827">
              <w:rPr>
                <w:rFonts w:cs="Arial"/>
                <w:b w:val="0"/>
                <w:color w:val="auto"/>
                <w:szCs w:val="18"/>
              </w:rPr>
              <w:t xml:space="preserve"> keeping records of complaints</w:t>
            </w:r>
          </w:p>
          <w:p w14:paraId="1DA32CDD"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Credit management for disputed amounts</w:t>
            </w:r>
          </w:p>
        </w:tc>
        <w:tc>
          <w:tcPr>
            <w:tcW w:w="1233" w:type="dxa"/>
            <w:tcMar>
              <w:top w:w="57" w:type="dxa"/>
              <w:left w:w="57" w:type="dxa"/>
              <w:bottom w:w="57" w:type="dxa"/>
              <w:right w:w="57" w:type="dxa"/>
            </w:tcMar>
            <w:vAlign w:val="top"/>
          </w:tcPr>
          <w:p w14:paraId="17FCD4BB"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 xml:space="preserve">Chapter 8 </w:t>
            </w:r>
          </w:p>
          <w:p w14:paraId="5979D77C"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6.9</w:t>
            </w:r>
          </w:p>
        </w:tc>
        <w:tc>
          <w:tcPr>
            <w:tcW w:w="1460" w:type="dxa"/>
            <w:tcMar>
              <w:top w:w="57" w:type="dxa"/>
              <w:left w:w="57" w:type="dxa"/>
              <w:bottom w:w="57" w:type="dxa"/>
              <w:right w:w="57" w:type="dxa"/>
            </w:tcMar>
          </w:tcPr>
          <w:p w14:paraId="324C89D0"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 xml:space="preserve">Direction </w:t>
            </w:r>
          </w:p>
        </w:tc>
        <w:tc>
          <w:tcPr>
            <w:tcW w:w="2334" w:type="dxa"/>
            <w:tcMar>
              <w:top w:w="57" w:type="dxa"/>
              <w:left w:w="57" w:type="dxa"/>
              <w:bottom w:w="57" w:type="dxa"/>
              <w:right w:w="57" w:type="dxa"/>
            </w:tcMar>
          </w:tcPr>
          <w:p w14:paraId="3D4FBB44"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 xml:space="preserve">Novatel </w:t>
            </w:r>
            <w:r w:rsidRPr="003D67C0">
              <w:rPr>
                <w:rFonts w:cs="Arial"/>
                <w:szCs w:val="18"/>
              </w:rPr>
              <w:t>Telecommunications Pty Ltd (t/a NetCube)</w:t>
            </w:r>
          </w:p>
        </w:tc>
      </w:tr>
      <w:tr w:rsidR="002A4826" w:rsidRPr="005A6644" w14:paraId="1A37BCFA"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6431F4D4"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Information about offers</w:t>
            </w:r>
            <w:r>
              <w:rPr>
                <w:rFonts w:cs="Arial"/>
                <w:b w:val="0"/>
                <w:color w:val="auto"/>
                <w:szCs w:val="18"/>
              </w:rPr>
              <w:t>—</w:t>
            </w:r>
            <w:r w:rsidRPr="00744827">
              <w:rPr>
                <w:rFonts w:cs="Arial"/>
                <w:b w:val="0"/>
                <w:color w:val="auto"/>
                <w:szCs w:val="18"/>
              </w:rPr>
              <w:t xml:space="preserve">must be clear, accurate and free from material omissions </w:t>
            </w:r>
          </w:p>
        </w:tc>
        <w:tc>
          <w:tcPr>
            <w:tcW w:w="1233" w:type="dxa"/>
            <w:tcMar>
              <w:top w:w="57" w:type="dxa"/>
              <w:left w:w="57" w:type="dxa"/>
              <w:bottom w:w="57" w:type="dxa"/>
              <w:right w:w="57" w:type="dxa"/>
            </w:tcMar>
            <w:vAlign w:val="top"/>
          </w:tcPr>
          <w:p w14:paraId="6B8A5EA7"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w:t>
            </w:r>
            <w:r>
              <w:t>s</w:t>
            </w:r>
            <w:r w:rsidRPr="005A6644">
              <w:t xml:space="preserve"> 3.2 </w:t>
            </w:r>
            <w:r>
              <w:t>and</w:t>
            </w:r>
            <w:r w:rsidR="00AE3C5E">
              <w:t xml:space="preserve"> </w:t>
            </w:r>
            <w:r w:rsidRPr="005A6644">
              <w:t xml:space="preserve">4.1 </w:t>
            </w:r>
          </w:p>
        </w:tc>
        <w:tc>
          <w:tcPr>
            <w:tcW w:w="1460" w:type="dxa"/>
            <w:tcMar>
              <w:top w:w="57" w:type="dxa"/>
              <w:left w:w="57" w:type="dxa"/>
              <w:bottom w:w="57" w:type="dxa"/>
              <w:right w:w="57" w:type="dxa"/>
            </w:tcMar>
          </w:tcPr>
          <w:p w14:paraId="365E0D40"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 xml:space="preserve">Direction </w:t>
            </w:r>
          </w:p>
        </w:tc>
        <w:tc>
          <w:tcPr>
            <w:tcW w:w="2334" w:type="dxa"/>
            <w:tcMar>
              <w:top w:w="57" w:type="dxa"/>
              <w:left w:w="57" w:type="dxa"/>
              <w:bottom w:w="57" w:type="dxa"/>
              <w:right w:w="57" w:type="dxa"/>
            </w:tcMar>
          </w:tcPr>
          <w:p w14:paraId="512F2F55"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Total Group Pty Ltd</w:t>
            </w:r>
          </w:p>
        </w:tc>
      </w:tr>
      <w:tr w:rsidR="002A4826" w:rsidRPr="005A6644" w14:paraId="45433F2D" w14:textId="77777777" w:rsidTr="00BE6FCF">
        <w:trPr>
          <w:cantSplit/>
          <w:trHeight w:val="365"/>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67598847"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Information about offers</w:t>
            </w:r>
            <w:r>
              <w:rPr>
                <w:rFonts w:cs="Arial"/>
                <w:b w:val="0"/>
                <w:color w:val="auto"/>
                <w:szCs w:val="18"/>
              </w:rPr>
              <w:t>—</w:t>
            </w:r>
            <w:r w:rsidRPr="00744827">
              <w:rPr>
                <w:rFonts w:cs="Arial"/>
                <w:b w:val="0"/>
                <w:color w:val="auto"/>
                <w:szCs w:val="18"/>
              </w:rPr>
              <w:t xml:space="preserve">must be clear, accurate and free from material omissions </w:t>
            </w:r>
          </w:p>
        </w:tc>
        <w:tc>
          <w:tcPr>
            <w:tcW w:w="1233" w:type="dxa"/>
            <w:tcMar>
              <w:top w:w="57" w:type="dxa"/>
              <w:left w:w="57" w:type="dxa"/>
              <w:bottom w:w="57" w:type="dxa"/>
              <w:right w:w="57" w:type="dxa"/>
            </w:tcMar>
            <w:vAlign w:val="top"/>
          </w:tcPr>
          <w:p w14:paraId="70CDF43E"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w:t>
            </w:r>
            <w:r>
              <w:t>s</w:t>
            </w:r>
            <w:r w:rsidRPr="005A6644">
              <w:t xml:space="preserve"> 3.2 </w:t>
            </w:r>
            <w:r>
              <w:t>and</w:t>
            </w:r>
            <w:r w:rsidRPr="005A6644">
              <w:t xml:space="preserve"> 4.1 </w:t>
            </w:r>
          </w:p>
        </w:tc>
        <w:tc>
          <w:tcPr>
            <w:tcW w:w="1460" w:type="dxa"/>
            <w:tcMar>
              <w:top w:w="57" w:type="dxa"/>
              <w:left w:w="57" w:type="dxa"/>
              <w:bottom w:w="57" w:type="dxa"/>
              <w:right w:w="57" w:type="dxa"/>
            </w:tcMar>
          </w:tcPr>
          <w:p w14:paraId="281FD04F"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 xml:space="preserve">Direction </w:t>
            </w:r>
          </w:p>
        </w:tc>
        <w:tc>
          <w:tcPr>
            <w:tcW w:w="2334" w:type="dxa"/>
            <w:tcMar>
              <w:top w:w="57" w:type="dxa"/>
              <w:left w:w="57" w:type="dxa"/>
              <w:bottom w:w="57" w:type="dxa"/>
              <w:right w:w="57" w:type="dxa"/>
            </w:tcMar>
          </w:tcPr>
          <w:p w14:paraId="67871BD2"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 Connect Pty Ltd</w:t>
            </w:r>
          </w:p>
        </w:tc>
      </w:tr>
      <w:tr w:rsidR="002A4826" w:rsidRPr="005A6644" w14:paraId="2507646E"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3FDB6CCD"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 xml:space="preserve">Credit and </w:t>
            </w:r>
            <w:r>
              <w:rPr>
                <w:rFonts w:cs="Arial"/>
                <w:b w:val="0"/>
                <w:color w:val="auto"/>
                <w:szCs w:val="18"/>
              </w:rPr>
              <w:t>d</w:t>
            </w:r>
            <w:r w:rsidRPr="00744827">
              <w:rPr>
                <w:rFonts w:cs="Arial"/>
                <w:b w:val="0"/>
                <w:color w:val="auto"/>
                <w:szCs w:val="18"/>
              </w:rPr>
              <w:t>ebt management (financial hardship)</w:t>
            </w:r>
          </w:p>
          <w:p w14:paraId="5FE9CAF0"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Registration with Communications Alliance</w:t>
            </w:r>
          </w:p>
          <w:p w14:paraId="271B4A8E"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5D07FC9B" w14:textId="77777777" w:rsidR="002A4826" w:rsidRPr="005A6644" w:rsidRDefault="002A4826" w:rsidP="00E1208C">
            <w:pPr>
              <w:pStyle w:val="TableBody"/>
              <w:keepNext w:val="0"/>
              <w:keepLines w:val="0"/>
              <w:spacing w:before="120" w:after="12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6.11</w:t>
            </w:r>
          </w:p>
          <w:p w14:paraId="1672AA0A"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p w14:paraId="47F21268"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tcPr>
          <w:p w14:paraId="2CB8F247"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tcPr>
          <w:p w14:paraId="4E33671B"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Australian Power Control Systems Pty</w:t>
            </w:r>
            <w:r w:rsidR="007140AF">
              <w:t xml:space="preserve"> Ltd</w:t>
            </w:r>
          </w:p>
        </w:tc>
      </w:tr>
      <w:tr w:rsidR="002A4826" w:rsidRPr="005A6644" w14:paraId="667A0941"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27A49FD6"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Summary about offer</w:t>
            </w:r>
          </w:p>
          <w:p w14:paraId="7194A058"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 xml:space="preserve">Credit and </w:t>
            </w:r>
            <w:r>
              <w:rPr>
                <w:rFonts w:cs="Arial"/>
                <w:b w:val="0"/>
                <w:color w:val="auto"/>
                <w:szCs w:val="18"/>
              </w:rPr>
              <w:t>d</w:t>
            </w:r>
            <w:r w:rsidRPr="00744827">
              <w:rPr>
                <w:rFonts w:cs="Arial"/>
                <w:b w:val="0"/>
                <w:color w:val="auto"/>
                <w:szCs w:val="18"/>
              </w:rPr>
              <w:t>ebt management (financial hardship)</w:t>
            </w:r>
          </w:p>
          <w:p w14:paraId="6DD8345F"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Registration with Communications Alliance</w:t>
            </w:r>
          </w:p>
          <w:p w14:paraId="1A5E09A4"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24A48610" w14:textId="77777777" w:rsidR="002A4826" w:rsidRPr="00FF043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234840">
              <w:t xml:space="preserve">Clause </w:t>
            </w:r>
            <w:r w:rsidRPr="003D67C0">
              <w:rPr>
                <w:rFonts w:cs="Arial"/>
                <w:szCs w:val="18"/>
              </w:rPr>
              <w:t>4.1.1</w:t>
            </w:r>
          </w:p>
          <w:p w14:paraId="56B7D11A" w14:textId="77777777" w:rsidR="002A4826" w:rsidRPr="005A6644" w:rsidRDefault="002A4826" w:rsidP="00E1208C">
            <w:pPr>
              <w:pStyle w:val="TableBody"/>
              <w:keepNext w:val="0"/>
              <w:keepLines w:val="0"/>
              <w:spacing w:before="24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6.11</w:t>
            </w:r>
          </w:p>
          <w:p w14:paraId="64DDC29C"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p w14:paraId="2A7FD7A7"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tcPr>
          <w:p w14:paraId="0580FA9D"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tcPr>
          <w:p w14:paraId="401AFD73"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Beyontel Pty Ltd</w:t>
            </w:r>
          </w:p>
        </w:tc>
      </w:tr>
      <w:tr w:rsidR="002A4826" w:rsidRPr="005A6644" w14:paraId="17AC3BE3" w14:textId="77777777" w:rsidTr="00BE6FCF">
        <w:trPr>
          <w:cantSplit/>
          <w:trHeight w:val="155"/>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72C1F2B4"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1588D968"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3E09218E"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vAlign w:val="top"/>
          </w:tcPr>
          <w:p w14:paraId="7F5915F4"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Bytecard Pty Ltd</w:t>
            </w:r>
          </w:p>
        </w:tc>
      </w:tr>
      <w:tr w:rsidR="002A4826" w:rsidRPr="005A6644" w14:paraId="6B50F916"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45822BE3"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Summary about offer</w:t>
            </w:r>
          </w:p>
          <w:p w14:paraId="2DDA74B0"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 xml:space="preserve">Credit and </w:t>
            </w:r>
            <w:r>
              <w:rPr>
                <w:rFonts w:cs="Arial"/>
                <w:b w:val="0"/>
                <w:color w:val="auto"/>
                <w:szCs w:val="18"/>
              </w:rPr>
              <w:t>d</w:t>
            </w:r>
            <w:r w:rsidRPr="00744827">
              <w:rPr>
                <w:rFonts w:cs="Arial"/>
                <w:b w:val="0"/>
                <w:color w:val="auto"/>
                <w:szCs w:val="18"/>
              </w:rPr>
              <w:t>ebt management (financial hardship)</w:t>
            </w:r>
          </w:p>
          <w:p w14:paraId="30BB59E2"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Registration with Communications Alliance</w:t>
            </w:r>
          </w:p>
          <w:p w14:paraId="1E73F3B1"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615896CE" w14:textId="77777777" w:rsidR="002A4826" w:rsidRPr="005A6644" w:rsidRDefault="002A4826" w:rsidP="00E1208C">
            <w:pPr>
              <w:pStyle w:val="TableBody"/>
              <w:keepNext w:val="0"/>
              <w:keepLines w:val="0"/>
              <w:spacing w:before="0" w:after="24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4.1.1</w:t>
            </w:r>
          </w:p>
          <w:p w14:paraId="1E9E3DF2"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6.11</w:t>
            </w:r>
          </w:p>
          <w:p w14:paraId="37BB2FFA"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p w14:paraId="232C531A"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tcPr>
          <w:p w14:paraId="767CD8A5"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tcPr>
          <w:p w14:paraId="2E9027BB"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Rojan Australia Pty Ltd</w:t>
            </w:r>
          </w:p>
        </w:tc>
      </w:tr>
      <w:tr w:rsidR="002A4826" w:rsidRPr="005A6644" w14:paraId="5B9CC0BF"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1C70BE20"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 xml:space="preserve">Credit and </w:t>
            </w:r>
            <w:r>
              <w:rPr>
                <w:rFonts w:cs="Arial"/>
                <w:b w:val="0"/>
                <w:color w:val="auto"/>
                <w:szCs w:val="18"/>
              </w:rPr>
              <w:t>d</w:t>
            </w:r>
            <w:r w:rsidRPr="00744827">
              <w:rPr>
                <w:rFonts w:cs="Arial"/>
                <w:b w:val="0"/>
                <w:color w:val="auto"/>
                <w:szCs w:val="18"/>
              </w:rPr>
              <w:t>ebt management (financial hardship)</w:t>
            </w:r>
          </w:p>
          <w:p w14:paraId="2C3A924A"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Registration with Communications Alliance</w:t>
            </w:r>
          </w:p>
          <w:p w14:paraId="5E0AF15B"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64DA0D0B" w14:textId="77777777" w:rsidR="002A4826" w:rsidRPr="005A6644" w:rsidRDefault="002A4826" w:rsidP="00E1208C">
            <w:pPr>
              <w:pStyle w:val="TableBody"/>
              <w:keepNext w:val="0"/>
              <w:keepLines w:val="0"/>
              <w:spacing w:before="12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6.11</w:t>
            </w:r>
          </w:p>
          <w:p w14:paraId="1C3348CC"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p w14:paraId="767C7FDD"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tcPr>
          <w:p w14:paraId="2142459C"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tcPr>
          <w:p w14:paraId="0675431F"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Teleforce Pty Ltd</w:t>
            </w:r>
          </w:p>
        </w:tc>
      </w:tr>
      <w:tr w:rsidR="002A4826" w:rsidRPr="005A6644" w14:paraId="6E5D9BE3" w14:textId="77777777" w:rsidTr="00BE6FCF">
        <w:trPr>
          <w:cantSplit/>
          <w:trHeight w:val="34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279B39FA"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Summary about offer</w:t>
            </w:r>
          </w:p>
          <w:p w14:paraId="090BF674"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 xml:space="preserve">Credit and </w:t>
            </w:r>
            <w:r>
              <w:rPr>
                <w:rFonts w:cs="Arial"/>
                <w:b w:val="0"/>
                <w:color w:val="auto"/>
                <w:szCs w:val="18"/>
              </w:rPr>
              <w:t>d</w:t>
            </w:r>
            <w:r w:rsidRPr="00744827">
              <w:rPr>
                <w:rFonts w:cs="Arial"/>
                <w:b w:val="0"/>
                <w:color w:val="auto"/>
                <w:szCs w:val="18"/>
              </w:rPr>
              <w:t>ebt management (financial hardship)</w:t>
            </w:r>
          </w:p>
          <w:p w14:paraId="2AFA7052" w14:textId="77777777" w:rsidR="002A4826" w:rsidRPr="00744827" w:rsidRDefault="002A4826" w:rsidP="00E1208C">
            <w:pPr>
              <w:pStyle w:val="TableHeading"/>
              <w:keepNext w:val="0"/>
              <w:keepLines w:val="0"/>
              <w:widowControl w:val="0"/>
              <w:spacing w:before="0" w:after="60"/>
              <w:rPr>
                <w:rFonts w:cs="Arial"/>
                <w:b w:val="0"/>
                <w:color w:val="auto"/>
                <w:szCs w:val="18"/>
              </w:rPr>
            </w:pPr>
            <w:r w:rsidRPr="00744827">
              <w:rPr>
                <w:rFonts w:cs="Arial"/>
                <w:b w:val="0"/>
                <w:color w:val="auto"/>
                <w:szCs w:val="18"/>
              </w:rPr>
              <w:t>Registration with Communications Alliance</w:t>
            </w:r>
          </w:p>
          <w:p w14:paraId="64B3CBC2"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609CC6BD"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4.1</w:t>
            </w:r>
          </w:p>
          <w:p w14:paraId="798124C3" w14:textId="77777777" w:rsidR="002A4826" w:rsidRPr="005A6644" w:rsidRDefault="002A4826" w:rsidP="00E1208C">
            <w:pPr>
              <w:pStyle w:val="TableBody"/>
              <w:keepNext w:val="0"/>
              <w:keepLines w:val="0"/>
              <w:spacing w:before="24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6.11</w:t>
            </w:r>
          </w:p>
          <w:p w14:paraId="6A6C4074" w14:textId="77777777" w:rsidR="002A4826" w:rsidRPr="005A6644" w:rsidRDefault="002A4826" w:rsidP="00E1208C">
            <w:pPr>
              <w:pStyle w:val="TableBody"/>
              <w:keepNext w:val="0"/>
              <w:keepLines w:val="0"/>
              <w:spacing w:before="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p w14:paraId="55F18678"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tcPr>
          <w:p w14:paraId="2DC08BC0"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Direction</w:t>
            </w:r>
          </w:p>
        </w:tc>
        <w:tc>
          <w:tcPr>
            <w:tcW w:w="2334" w:type="dxa"/>
            <w:tcMar>
              <w:top w:w="57" w:type="dxa"/>
              <w:left w:w="57" w:type="dxa"/>
              <w:bottom w:w="57" w:type="dxa"/>
              <w:right w:w="57" w:type="dxa"/>
            </w:tcMar>
          </w:tcPr>
          <w:p w14:paraId="4EBE1CA4"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V Telecom Pty Ltd</w:t>
            </w:r>
          </w:p>
        </w:tc>
      </w:tr>
      <w:tr w:rsidR="002A4826" w:rsidRPr="005A6644" w14:paraId="10E2812F" w14:textId="77777777" w:rsidTr="00BE6FCF">
        <w:trPr>
          <w:cantSplit/>
          <w:trHeight w:val="227"/>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18324B47"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Registration with Communications Alliance</w:t>
            </w:r>
          </w:p>
        </w:tc>
        <w:tc>
          <w:tcPr>
            <w:tcW w:w="1233" w:type="dxa"/>
            <w:tcMar>
              <w:top w:w="57" w:type="dxa"/>
              <w:left w:w="57" w:type="dxa"/>
              <w:bottom w:w="57" w:type="dxa"/>
              <w:right w:w="57" w:type="dxa"/>
            </w:tcMar>
            <w:vAlign w:val="top"/>
          </w:tcPr>
          <w:p w14:paraId="5C7EA75A"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9.1</w:t>
            </w:r>
          </w:p>
        </w:tc>
        <w:tc>
          <w:tcPr>
            <w:tcW w:w="1460" w:type="dxa"/>
            <w:tcMar>
              <w:top w:w="57" w:type="dxa"/>
              <w:left w:w="57" w:type="dxa"/>
              <w:bottom w:w="57" w:type="dxa"/>
              <w:right w:w="57" w:type="dxa"/>
            </w:tcMar>
            <w:vAlign w:val="top"/>
          </w:tcPr>
          <w:p w14:paraId="01E70942"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175AC920"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Crunch Networks Pty Ltd</w:t>
            </w:r>
          </w:p>
        </w:tc>
      </w:tr>
      <w:tr w:rsidR="002A4826" w:rsidRPr="005A6644" w14:paraId="270D6E15" w14:textId="77777777" w:rsidTr="00BE6FCF">
        <w:trPr>
          <w:cantSplit/>
          <w:trHeight w:val="147"/>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5C82A72A"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1B53CDDA"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790CE4A1"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7EABFCC8"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Aero Telecom Pty</w:t>
            </w:r>
            <w:r w:rsidRPr="00234840">
              <w:t xml:space="preserve"> </w:t>
            </w:r>
            <w:r w:rsidRPr="003D67C0">
              <w:rPr>
                <w:rFonts w:cs="Arial"/>
                <w:szCs w:val="18"/>
              </w:rPr>
              <w:t>Ltd</w:t>
            </w:r>
          </w:p>
        </w:tc>
      </w:tr>
      <w:tr w:rsidR="002A4826" w:rsidRPr="005A6644" w14:paraId="292DC86F" w14:textId="77777777" w:rsidTr="00BE6FCF">
        <w:trPr>
          <w:cantSplit/>
          <w:trHeight w:val="237"/>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4944E4FC"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73116AB7"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7E37E025"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409EDA69"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Ecopost Pty Ltd</w:t>
            </w:r>
          </w:p>
        </w:tc>
      </w:tr>
      <w:tr w:rsidR="002A4826" w:rsidRPr="005A6644" w14:paraId="3748BABE" w14:textId="77777777" w:rsidTr="00BE6FCF">
        <w:trPr>
          <w:cantSplit/>
          <w:trHeight w:val="117"/>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5C6F1F71"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2E161914"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20CCE4BE"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6F7003A5"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Encoo Pty Ltd</w:t>
            </w:r>
          </w:p>
        </w:tc>
      </w:tr>
      <w:tr w:rsidR="002A4826" w:rsidRPr="005A6644" w14:paraId="5EA24EE2" w14:textId="77777777" w:rsidTr="00BE6FCF">
        <w:trPr>
          <w:cantSplit/>
          <w:trHeight w:val="248"/>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7C30D0C7"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77C6669D"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115B8CD9"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00372565"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Escapenet Pty Ltd</w:t>
            </w:r>
          </w:p>
        </w:tc>
      </w:tr>
      <w:tr w:rsidR="002A4826" w:rsidRPr="005A6644" w14:paraId="0A767E43" w14:textId="77777777" w:rsidTr="00BE6FCF">
        <w:trPr>
          <w:cantSplit/>
          <w:trHeight w:val="154"/>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13B920FA"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4032D5C3"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793F637E"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0FD8C7D2"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FaktorTel Pty Ltd</w:t>
            </w:r>
          </w:p>
        </w:tc>
      </w:tr>
      <w:tr w:rsidR="002A4826" w:rsidRPr="005A6644" w14:paraId="3FB064FE" w14:textId="77777777" w:rsidTr="00BE6FCF">
        <w:trPr>
          <w:cantSplit/>
          <w:trHeight w:val="260"/>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7ED681F0"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0643DDD6"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74A201C7"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062B217D"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Globalgig Australia Pty Ltd</w:t>
            </w:r>
          </w:p>
        </w:tc>
      </w:tr>
      <w:tr w:rsidR="002A4826" w:rsidRPr="005A6644" w14:paraId="43BAE8A8" w14:textId="77777777" w:rsidTr="00BE6FCF">
        <w:trPr>
          <w:cantSplit/>
          <w:trHeight w:val="196"/>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6D1F4108"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630ECB29" w14:textId="77777777" w:rsidR="002A4826" w:rsidRPr="00E471A8"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E471A8">
              <w:t xml:space="preserve">Clause </w:t>
            </w:r>
            <w:r w:rsidRPr="00AB072D">
              <w:rPr>
                <w:rFonts w:cs="Arial"/>
                <w:szCs w:val="18"/>
              </w:rPr>
              <w:t>9.4</w:t>
            </w:r>
          </w:p>
        </w:tc>
        <w:tc>
          <w:tcPr>
            <w:tcW w:w="1460" w:type="dxa"/>
            <w:tcMar>
              <w:top w:w="57" w:type="dxa"/>
              <w:left w:w="57" w:type="dxa"/>
              <w:bottom w:w="57" w:type="dxa"/>
              <w:right w:w="57" w:type="dxa"/>
            </w:tcMar>
            <w:vAlign w:val="top"/>
          </w:tcPr>
          <w:p w14:paraId="4994DC74"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6EDA31F1"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GPK Group Pty Ltd</w:t>
            </w:r>
          </w:p>
        </w:tc>
      </w:tr>
      <w:tr w:rsidR="002A4826" w:rsidRPr="005A6644" w14:paraId="5DF95F73" w14:textId="77777777" w:rsidTr="00BE6FCF">
        <w:trPr>
          <w:cantSplit/>
          <w:trHeight w:val="159"/>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747C437A"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5E35A657"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4B3B3DBB"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3ABC1EE1"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IS Telecoms Pty Ltd</w:t>
            </w:r>
          </w:p>
        </w:tc>
      </w:tr>
      <w:tr w:rsidR="002A4826" w:rsidRPr="005A6644" w14:paraId="5B183125" w14:textId="77777777" w:rsidTr="00BE6FCF">
        <w:trPr>
          <w:cantSplit/>
          <w:trHeight w:val="123"/>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42CFA415"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32D68349"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6A775033"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7E4C95B5"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LB &amp; GL Rodda Pty Ltd</w:t>
            </w:r>
          </w:p>
        </w:tc>
      </w:tr>
      <w:tr w:rsidR="002A4826" w:rsidRPr="005A6644" w14:paraId="31C0DE90" w14:textId="77777777" w:rsidTr="00BE6FCF">
        <w:trPr>
          <w:cantSplit/>
          <w:trHeight w:val="215"/>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4A2243F7"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1F96274F" w14:textId="77777777" w:rsidR="002A4826" w:rsidRPr="00E471A8"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E471A8">
              <w:t xml:space="preserve">Clause </w:t>
            </w:r>
            <w:r w:rsidRPr="00AB072D">
              <w:rPr>
                <w:rFonts w:cs="Arial"/>
                <w:szCs w:val="18"/>
              </w:rPr>
              <w:t>9.4</w:t>
            </w:r>
          </w:p>
        </w:tc>
        <w:tc>
          <w:tcPr>
            <w:tcW w:w="1460" w:type="dxa"/>
            <w:tcMar>
              <w:top w:w="57" w:type="dxa"/>
              <w:left w:w="57" w:type="dxa"/>
              <w:bottom w:w="57" w:type="dxa"/>
              <w:right w:w="57" w:type="dxa"/>
            </w:tcMar>
            <w:vAlign w:val="top"/>
          </w:tcPr>
          <w:p w14:paraId="5E6ECD9A"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5BD266DC"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NETSIP Pty Ltd</w:t>
            </w:r>
          </w:p>
        </w:tc>
      </w:tr>
      <w:tr w:rsidR="002A4826" w:rsidRPr="005A6644" w14:paraId="24642208" w14:textId="77777777" w:rsidTr="00BE6FCF">
        <w:trPr>
          <w:cantSplit/>
          <w:trHeight w:val="165"/>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4F270F95"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288D95BB"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5AB5EF2A"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10A4FBFF"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Roggle Pty Ltd</w:t>
            </w:r>
          </w:p>
        </w:tc>
      </w:tr>
      <w:tr w:rsidR="002A4826" w:rsidRPr="005A6644" w14:paraId="26B79AB8" w14:textId="77777777" w:rsidTr="00BE6FCF">
        <w:trPr>
          <w:cantSplit/>
          <w:trHeight w:val="129"/>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307A4FD2" w14:textId="77777777" w:rsidR="002A4826" w:rsidRPr="00744827" w:rsidRDefault="002A4826" w:rsidP="00470388">
            <w:pPr>
              <w:pStyle w:val="TableHeading"/>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5F54E6A1"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5720A94B"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1B0B9749" w14:textId="77777777" w:rsidR="002A4826" w:rsidRPr="005A6644" w:rsidRDefault="002A4826" w:rsidP="00470388">
            <w:pPr>
              <w:pStyle w:val="TableBody"/>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Sprint Telco Group Pty Ltd</w:t>
            </w:r>
          </w:p>
        </w:tc>
      </w:tr>
      <w:tr w:rsidR="002A4826" w:rsidRPr="005A6644" w14:paraId="18E4E85B" w14:textId="77777777" w:rsidTr="00BE6FCF">
        <w:trPr>
          <w:cantSplit/>
          <w:trHeight w:val="235"/>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6CB75E75"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51AF91A2"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5772D9AE"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6C15BC47"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V4 Telecom Pty Ltd</w:t>
            </w:r>
          </w:p>
        </w:tc>
      </w:tr>
      <w:tr w:rsidR="002A4826" w:rsidRPr="005A6644" w14:paraId="15C1A27F" w14:textId="77777777" w:rsidTr="00BE6FCF">
        <w:trPr>
          <w:cantSplit/>
          <w:trHeight w:val="171"/>
        </w:trPr>
        <w:tc>
          <w:tcPr>
            <w:cnfStyle w:val="001000000000" w:firstRow="0" w:lastRow="0" w:firstColumn="1" w:lastColumn="0" w:oddVBand="0" w:evenVBand="0" w:oddHBand="0" w:evenHBand="0" w:firstRowFirstColumn="0" w:firstRowLastColumn="0" w:lastRowFirstColumn="0" w:lastRowLastColumn="0"/>
            <w:tcW w:w="3989" w:type="dxa"/>
            <w:tcMar>
              <w:top w:w="57" w:type="dxa"/>
              <w:left w:w="57" w:type="dxa"/>
              <w:bottom w:w="57" w:type="dxa"/>
              <w:right w:w="57" w:type="dxa"/>
            </w:tcMar>
            <w:vAlign w:val="top"/>
          </w:tcPr>
          <w:p w14:paraId="20B2A894" w14:textId="77777777" w:rsidR="002A4826" w:rsidRPr="00744827" w:rsidRDefault="002A4826" w:rsidP="00E1208C">
            <w:pPr>
              <w:pStyle w:val="TableHeading"/>
              <w:keepNext w:val="0"/>
              <w:keepLines w:val="0"/>
              <w:widowControl w:val="0"/>
              <w:spacing w:before="0"/>
              <w:rPr>
                <w:rFonts w:cs="Arial"/>
                <w:b w:val="0"/>
                <w:color w:val="auto"/>
                <w:szCs w:val="18"/>
              </w:rPr>
            </w:pPr>
            <w:r w:rsidRPr="00744827">
              <w:rPr>
                <w:rFonts w:cs="Arial"/>
                <w:b w:val="0"/>
                <w:color w:val="auto"/>
                <w:szCs w:val="18"/>
              </w:rPr>
              <w:t>Lodge compliance statements</w:t>
            </w:r>
            <w:r>
              <w:rPr>
                <w:rFonts w:cs="Arial"/>
                <w:b w:val="0"/>
                <w:color w:val="auto"/>
                <w:szCs w:val="18"/>
              </w:rPr>
              <w:t>—</w:t>
            </w:r>
            <w:r w:rsidRPr="00744827">
              <w:rPr>
                <w:rFonts w:cs="Arial"/>
                <w:b w:val="0"/>
                <w:color w:val="auto"/>
                <w:szCs w:val="18"/>
              </w:rPr>
              <w:t>CommCom</w:t>
            </w:r>
          </w:p>
        </w:tc>
        <w:tc>
          <w:tcPr>
            <w:tcW w:w="1233" w:type="dxa"/>
            <w:tcMar>
              <w:top w:w="57" w:type="dxa"/>
              <w:left w:w="57" w:type="dxa"/>
              <w:bottom w:w="57" w:type="dxa"/>
              <w:right w:w="57" w:type="dxa"/>
            </w:tcMar>
            <w:vAlign w:val="top"/>
          </w:tcPr>
          <w:p w14:paraId="00F9EE1E"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Clause 9.4</w:t>
            </w:r>
          </w:p>
        </w:tc>
        <w:tc>
          <w:tcPr>
            <w:tcW w:w="1460" w:type="dxa"/>
            <w:tcMar>
              <w:top w:w="57" w:type="dxa"/>
              <w:left w:w="57" w:type="dxa"/>
              <w:bottom w:w="57" w:type="dxa"/>
              <w:right w:w="57" w:type="dxa"/>
            </w:tcMar>
            <w:vAlign w:val="top"/>
          </w:tcPr>
          <w:p w14:paraId="0F3098CB"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Formal warning</w:t>
            </w:r>
          </w:p>
        </w:tc>
        <w:tc>
          <w:tcPr>
            <w:tcW w:w="2334" w:type="dxa"/>
            <w:tcMar>
              <w:top w:w="57" w:type="dxa"/>
              <w:left w:w="57" w:type="dxa"/>
              <w:bottom w:w="57" w:type="dxa"/>
              <w:right w:w="57" w:type="dxa"/>
            </w:tcMar>
            <w:vAlign w:val="top"/>
          </w:tcPr>
          <w:p w14:paraId="56625772" w14:textId="77777777" w:rsidR="002A4826" w:rsidRPr="005A6644" w:rsidRDefault="002A4826" w:rsidP="00E1208C">
            <w:pPr>
              <w:pStyle w:val="TableBody"/>
              <w:keepNext w:val="0"/>
              <w:keepLines w:val="0"/>
              <w:spacing w:before="0"/>
              <w:jc w:val="left"/>
              <w:cnfStyle w:val="000000000000" w:firstRow="0" w:lastRow="0" w:firstColumn="0" w:lastColumn="0" w:oddVBand="0" w:evenVBand="0" w:oddHBand="0" w:evenHBand="0" w:firstRowFirstColumn="0" w:firstRowLastColumn="0" w:lastRowFirstColumn="0" w:lastRowLastColumn="0"/>
              <w:rPr>
                <w:rFonts w:cs="Arial"/>
                <w:szCs w:val="18"/>
              </w:rPr>
            </w:pPr>
            <w:r w:rsidRPr="005A6644">
              <w:t>Yomojo Pty Ltd</w:t>
            </w:r>
          </w:p>
        </w:tc>
      </w:tr>
    </w:tbl>
    <w:p w14:paraId="4083977C" w14:textId="77777777" w:rsidR="002A4826" w:rsidRPr="002A4826" w:rsidRDefault="002A4826" w:rsidP="00382821">
      <w:pPr>
        <w:pStyle w:val="ACMANotes"/>
        <w:spacing w:before="120" w:after="360"/>
      </w:pPr>
      <w:r w:rsidRPr="007575E8">
        <w:t>Source: ACMA</w:t>
      </w:r>
      <w:r w:rsidRPr="002A4826">
        <w:t>.</w:t>
      </w:r>
    </w:p>
    <w:p w14:paraId="1357567A" w14:textId="77777777" w:rsidR="000C526C" w:rsidRPr="002F5610" w:rsidRDefault="000C526C" w:rsidP="000C526C">
      <w:pPr>
        <w:pStyle w:val="Heading2"/>
        <w:numPr>
          <w:ilvl w:val="1"/>
          <w:numId w:val="20"/>
        </w:numPr>
        <w:ind w:hanging="792"/>
      </w:pPr>
      <w:bookmarkStart w:id="1627" w:name="_Toc433790426"/>
      <w:bookmarkStart w:id="1628" w:name="_Toc494799500"/>
      <w:bookmarkStart w:id="1629" w:name="_Toc494805803"/>
      <w:bookmarkStart w:id="1630" w:name="_Toc494806068"/>
      <w:bookmarkStart w:id="1631" w:name="_Toc494808298"/>
      <w:bookmarkStart w:id="1632" w:name="_Toc494808956"/>
      <w:bookmarkStart w:id="1633" w:name="_Toc494816371"/>
      <w:bookmarkStart w:id="1634" w:name="_Toc494818967"/>
      <w:bookmarkStart w:id="1635" w:name="_Toc494819197"/>
      <w:bookmarkStart w:id="1636" w:name="_Toc500320932"/>
      <w:r w:rsidRPr="002F5610">
        <w:t>Cabling regulation</w:t>
      </w:r>
      <w:bookmarkEnd w:id="1627"/>
      <w:bookmarkEnd w:id="1628"/>
      <w:bookmarkEnd w:id="1629"/>
      <w:bookmarkEnd w:id="1630"/>
      <w:bookmarkEnd w:id="1631"/>
      <w:bookmarkEnd w:id="1632"/>
      <w:bookmarkEnd w:id="1633"/>
      <w:bookmarkEnd w:id="1634"/>
      <w:bookmarkEnd w:id="1635"/>
      <w:bookmarkEnd w:id="1636"/>
      <w:r w:rsidRPr="002F5610">
        <w:t xml:space="preserve"> </w:t>
      </w:r>
    </w:p>
    <w:p w14:paraId="189D456A" w14:textId="77777777" w:rsidR="000C526C" w:rsidRPr="006134FA" w:rsidRDefault="000C526C" w:rsidP="000C526C">
      <w:pPr>
        <w:pStyle w:val="Heading3"/>
      </w:pPr>
      <w:bookmarkStart w:id="1637" w:name="_Toc494799501"/>
      <w:bookmarkStart w:id="1638" w:name="_Toc494805804"/>
      <w:bookmarkStart w:id="1639" w:name="_Toc494806069"/>
      <w:bookmarkStart w:id="1640" w:name="_Toc494808299"/>
      <w:bookmarkStart w:id="1641" w:name="_Toc494808957"/>
      <w:bookmarkStart w:id="1642" w:name="_Toc494816372"/>
      <w:bookmarkStart w:id="1643" w:name="_Toc494818968"/>
      <w:bookmarkStart w:id="1644" w:name="_Toc494819198"/>
      <w:r w:rsidRPr="006134FA">
        <w:t>Registered cablers</w:t>
      </w:r>
      <w:bookmarkEnd w:id="1637"/>
      <w:bookmarkEnd w:id="1638"/>
      <w:bookmarkEnd w:id="1639"/>
      <w:bookmarkEnd w:id="1640"/>
      <w:bookmarkEnd w:id="1641"/>
      <w:bookmarkEnd w:id="1642"/>
      <w:bookmarkEnd w:id="1643"/>
      <w:bookmarkEnd w:id="1644"/>
    </w:p>
    <w:p w14:paraId="647CA4BC" w14:textId="77777777" w:rsidR="000C526C" w:rsidRPr="006134FA" w:rsidRDefault="000C526C" w:rsidP="000C526C">
      <w:r w:rsidRPr="006134FA">
        <w:t>Every person who works on customer cabling connected to the telecommunications network, or intended for use on the customer side of the network boundary, must either be registered with an ACMA-accredited registrar as a cabling provider or supervised by a person who is registered.</w:t>
      </w:r>
      <w:r>
        <w:t xml:space="preserve"> </w:t>
      </w:r>
      <w:r w:rsidRPr="006134FA">
        <w:t>The ACMA’s regulatory requirements for customer cabling work are set out in the Telecommunications Cabling Provider Rules 2014</w:t>
      </w:r>
      <w:r>
        <w:t xml:space="preserve"> (Cabling Provider Rules)</w:t>
      </w:r>
      <w:r w:rsidRPr="006134FA">
        <w:t>. The Cabling Provider Rules require customer cabling work to comply with the technical requirements in AS/CA S009</w:t>
      </w:r>
      <w:r>
        <w:rPr>
          <w:rFonts w:cs="Arial"/>
          <w:i/>
          <w:iCs/>
          <w:sz w:val="19"/>
          <w:szCs w:val="19"/>
        </w:rPr>
        <w:t xml:space="preserve"> </w:t>
      </w:r>
      <w:r w:rsidRPr="00F30AE3">
        <w:rPr>
          <w:rFonts w:cs="Arial"/>
          <w:i/>
          <w:iCs/>
          <w:sz w:val="19"/>
          <w:szCs w:val="19"/>
        </w:rPr>
        <w:t>Installation Requirements for Customer Cabling</w:t>
      </w:r>
      <w:r w:rsidRPr="006134FA">
        <w:t xml:space="preserve"> (Wiring Rules).</w:t>
      </w:r>
    </w:p>
    <w:p w14:paraId="1CC8A71A" w14:textId="0305CE80" w:rsidR="000C526C" w:rsidRPr="006134FA" w:rsidRDefault="000C526C" w:rsidP="000C526C">
      <w:r w:rsidRPr="006134FA">
        <w:t>In 201</w:t>
      </w:r>
      <w:r>
        <w:t>6</w:t>
      </w:r>
      <w:r w:rsidRPr="006134FA">
        <w:t>–1</w:t>
      </w:r>
      <w:r>
        <w:t>7</w:t>
      </w:r>
      <w:r w:rsidRPr="006134FA">
        <w:t xml:space="preserve">, there were five ACMA-accredited registrars providing registration and other associated services to cablers. </w:t>
      </w:r>
      <w:r>
        <w:t>T</w:t>
      </w:r>
      <w:r w:rsidRPr="006134FA">
        <w:t>he total number of registered cablers in the industry has increased each year since 30 June 201</w:t>
      </w:r>
      <w:r>
        <w:t>0</w:t>
      </w:r>
      <w:r w:rsidRPr="006134FA">
        <w:t>.</w:t>
      </w:r>
    </w:p>
    <w:p w14:paraId="58BF4C03" w14:textId="77777777" w:rsidR="000C526C" w:rsidRPr="002F5610" w:rsidRDefault="000C526C" w:rsidP="00382821">
      <w:pPr>
        <w:pStyle w:val="ACMAFigureHeader"/>
      </w:pPr>
      <w:r w:rsidRPr="002F5610">
        <w:t>Table 5.16</w:t>
      </w:r>
      <w:r w:rsidRPr="002F5610">
        <w:tab/>
      </w:r>
      <w:r w:rsidR="000F2637">
        <w:t>L</w:t>
      </w:r>
      <w:r w:rsidRPr="002F5610">
        <w:t>icensed/registered cablers</w:t>
      </w:r>
      <w:r>
        <w:t xml:space="preserve"> at 30 June</w:t>
      </w:r>
    </w:p>
    <w:tbl>
      <w:tblPr>
        <w:tblStyle w:val="Commsreport2017"/>
        <w:tblW w:w="8940" w:type="dxa"/>
        <w:tblInd w:w="30" w:type="dxa"/>
        <w:tblLayout w:type="fixed"/>
        <w:tblLook w:val="04A0" w:firstRow="1" w:lastRow="0" w:firstColumn="1" w:lastColumn="0" w:noHBand="0" w:noVBand="1"/>
        <w:tblCaption w:val="Table 5.16 Total number of licenced/registered cablers"/>
      </w:tblPr>
      <w:tblGrid>
        <w:gridCol w:w="2551"/>
        <w:gridCol w:w="1277"/>
        <w:gridCol w:w="1278"/>
        <w:gridCol w:w="1278"/>
        <w:gridCol w:w="1278"/>
        <w:gridCol w:w="1278"/>
      </w:tblGrid>
      <w:tr w:rsidR="00944A6E" w:rsidRPr="00266162" w14:paraId="0279F15B" w14:textId="77777777" w:rsidTr="00EC183A">
        <w:trPr>
          <w:cnfStyle w:val="100000000000" w:firstRow="1" w:lastRow="0" w:firstColumn="0" w:lastColumn="0" w:oddVBand="0" w:evenVBand="0" w:oddHBand="0" w:evenHBand="0" w:firstRowFirstColumn="0" w:firstRowLastColumn="0" w:lastRowFirstColumn="0" w:lastRowLastColumn="0"/>
          <w:trHeight w:val="90"/>
          <w:tblHeader/>
        </w:trPr>
        <w:tc>
          <w:tcPr>
            <w:cnfStyle w:val="001000000000" w:firstRow="0" w:lastRow="0" w:firstColumn="1" w:lastColumn="0" w:oddVBand="0" w:evenVBand="0" w:oddHBand="0" w:evenHBand="0" w:firstRowFirstColumn="0" w:firstRowLastColumn="0" w:lastRowFirstColumn="0" w:lastRowLastColumn="0"/>
            <w:tcW w:w="2551" w:type="dxa"/>
            <w:tcBorders>
              <w:top w:val="nil"/>
              <w:left w:val="nil"/>
            </w:tcBorders>
            <w:shd w:val="clear" w:color="auto" w:fill="FFFFFF" w:themeFill="background1"/>
            <w:tcMar>
              <w:top w:w="57" w:type="dxa"/>
              <w:left w:w="57" w:type="dxa"/>
              <w:bottom w:w="57" w:type="dxa"/>
              <w:right w:w="57" w:type="dxa"/>
            </w:tcMar>
          </w:tcPr>
          <w:p w14:paraId="3DD3F871" w14:textId="77777777" w:rsidR="00944A6E" w:rsidRPr="00266162" w:rsidRDefault="00944A6E" w:rsidP="00382821">
            <w:pPr>
              <w:pStyle w:val="TableHeading"/>
              <w:spacing w:beforeLines="0" w:before="0" w:afterLines="0"/>
              <w:jc w:val="right"/>
              <w:rPr>
                <w:szCs w:val="18"/>
              </w:rPr>
            </w:pPr>
          </w:p>
        </w:tc>
        <w:tc>
          <w:tcPr>
            <w:tcW w:w="1277" w:type="dxa"/>
            <w:tcMar>
              <w:top w:w="57" w:type="dxa"/>
              <w:left w:w="57" w:type="dxa"/>
              <w:bottom w:w="57" w:type="dxa"/>
              <w:right w:w="57" w:type="dxa"/>
            </w:tcMar>
          </w:tcPr>
          <w:p w14:paraId="07EEC95E" w14:textId="77777777" w:rsidR="00944A6E" w:rsidRPr="005A6644" w:rsidRDefault="00944A6E"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szCs w:val="18"/>
              </w:rPr>
            </w:pPr>
            <w:r w:rsidRPr="005A6644">
              <w:rPr>
                <w:szCs w:val="18"/>
              </w:rPr>
              <w:t>Jun 13</w:t>
            </w:r>
          </w:p>
        </w:tc>
        <w:tc>
          <w:tcPr>
            <w:tcW w:w="1278" w:type="dxa"/>
            <w:tcMar>
              <w:top w:w="57" w:type="dxa"/>
              <w:left w:w="57" w:type="dxa"/>
              <w:bottom w:w="57" w:type="dxa"/>
              <w:right w:w="57" w:type="dxa"/>
            </w:tcMar>
          </w:tcPr>
          <w:p w14:paraId="6EAFC51B" w14:textId="77777777" w:rsidR="00944A6E" w:rsidRPr="005A6644" w:rsidRDefault="00944A6E"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szCs w:val="18"/>
              </w:rPr>
            </w:pPr>
            <w:r w:rsidRPr="005A6644">
              <w:rPr>
                <w:szCs w:val="18"/>
              </w:rPr>
              <w:t>Jun 14</w:t>
            </w:r>
          </w:p>
        </w:tc>
        <w:tc>
          <w:tcPr>
            <w:tcW w:w="1278" w:type="dxa"/>
            <w:tcMar>
              <w:top w:w="57" w:type="dxa"/>
              <w:left w:w="57" w:type="dxa"/>
              <w:bottom w:w="57" w:type="dxa"/>
              <w:right w:w="57" w:type="dxa"/>
            </w:tcMar>
          </w:tcPr>
          <w:p w14:paraId="68299238" w14:textId="77777777" w:rsidR="00944A6E" w:rsidRPr="005A6644" w:rsidRDefault="00944A6E"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szCs w:val="18"/>
              </w:rPr>
            </w:pPr>
            <w:r w:rsidRPr="005A6644">
              <w:rPr>
                <w:szCs w:val="18"/>
              </w:rPr>
              <w:t>Jun 15</w:t>
            </w:r>
          </w:p>
        </w:tc>
        <w:tc>
          <w:tcPr>
            <w:tcW w:w="1278" w:type="dxa"/>
            <w:tcMar>
              <w:top w:w="57" w:type="dxa"/>
              <w:left w:w="57" w:type="dxa"/>
              <w:bottom w:w="57" w:type="dxa"/>
              <w:right w:w="57" w:type="dxa"/>
            </w:tcMar>
          </w:tcPr>
          <w:p w14:paraId="1DDB6076" w14:textId="77777777" w:rsidR="00944A6E" w:rsidRPr="005A6644" w:rsidRDefault="00944A6E"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szCs w:val="18"/>
              </w:rPr>
            </w:pPr>
            <w:r w:rsidRPr="005A6644">
              <w:rPr>
                <w:szCs w:val="18"/>
              </w:rPr>
              <w:t>Jun 16</w:t>
            </w:r>
          </w:p>
        </w:tc>
        <w:tc>
          <w:tcPr>
            <w:tcW w:w="1278" w:type="dxa"/>
            <w:tcMar>
              <w:top w:w="57" w:type="dxa"/>
              <w:left w:w="57" w:type="dxa"/>
              <w:bottom w:w="57" w:type="dxa"/>
              <w:right w:w="57" w:type="dxa"/>
            </w:tcMar>
          </w:tcPr>
          <w:p w14:paraId="04105AD9" w14:textId="77777777" w:rsidR="00944A6E" w:rsidRPr="005A6644" w:rsidRDefault="00944A6E"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szCs w:val="18"/>
              </w:rPr>
            </w:pPr>
            <w:r w:rsidRPr="005A6644">
              <w:rPr>
                <w:szCs w:val="18"/>
              </w:rPr>
              <w:t>Jun 17</w:t>
            </w:r>
          </w:p>
        </w:tc>
      </w:tr>
      <w:tr w:rsidR="00944A6E" w:rsidRPr="00266162" w14:paraId="7E656BCF" w14:textId="77777777" w:rsidTr="00BE6FCF">
        <w:trPr>
          <w:trHeight w:val="110"/>
        </w:trPr>
        <w:tc>
          <w:tcPr>
            <w:cnfStyle w:val="001000000000" w:firstRow="0" w:lastRow="0" w:firstColumn="1" w:lastColumn="0" w:oddVBand="0" w:evenVBand="0" w:oddHBand="0" w:evenHBand="0" w:firstRowFirstColumn="0" w:firstRowLastColumn="0" w:lastRowFirstColumn="0" w:lastRowLastColumn="0"/>
            <w:tcW w:w="2551" w:type="dxa"/>
            <w:tcMar>
              <w:top w:w="57" w:type="dxa"/>
              <w:left w:w="57" w:type="dxa"/>
              <w:bottom w:w="57" w:type="dxa"/>
              <w:right w:w="57" w:type="dxa"/>
            </w:tcMar>
          </w:tcPr>
          <w:p w14:paraId="1B2CDE38" w14:textId="77777777" w:rsidR="00944A6E" w:rsidRPr="00744827" w:rsidRDefault="00944A6E" w:rsidP="00382821">
            <w:pPr>
              <w:spacing w:before="0" w:after="0"/>
              <w:rPr>
                <w:szCs w:val="18"/>
              </w:rPr>
            </w:pPr>
            <w:r w:rsidRPr="00744827">
              <w:rPr>
                <w:szCs w:val="18"/>
              </w:rPr>
              <w:t>Number of cablers</w:t>
            </w:r>
          </w:p>
        </w:tc>
        <w:tc>
          <w:tcPr>
            <w:tcW w:w="1277" w:type="dxa"/>
            <w:tcMar>
              <w:top w:w="57" w:type="dxa"/>
              <w:left w:w="57" w:type="dxa"/>
              <w:bottom w:w="57" w:type="dxa"/>
              <w:right w:w="57" w:type="dxa"/>
            </w:tcMar>
          </w:tcPr>
          <w:p w14:paraId="2355B9A1" w14:textId="77777777" w:rsidR="00944A6E" w:rsidRPr="00744827" w:rsidRDefault="00944A6E"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69,155</w:t>
            </w:r>
          </w:p>
        </w:tc>
        <w:tc>
          <w:tcPr>
            <w:tcW w:w="1278" w:type="dxa"/>
            <w:tcMar>
              <w:top w:w="57" w:type="dxa"/>
              <w:left w:w="57" w:type="dxa"/>
              <w:bottom w:w="57" w:type="dxa"/>
              <w:right w:w="57" w:type="dxa"/>
            </w:tcMar>
          </w:tcPr>
          <w:p w14:paraId="2ABF1135" w14:textId="77777777" w:rsidR="00944A6E" w:rsidRPr="00744827" w:rsidRDefault="00944A6E"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71,057</w:t>
            </w:r>
          </w:p>
        </w:tc>
        <w:tc>
          <w:tcPr>
            <w:tcW w:w="1278" w:type="dxa"/>
            <w:tcMar>
              <w:top w:w="57" w:type="dxa"/>
              <w:left w:w="57" w:type="dxa"/>
              <w:bottom w:w="57" w:type="dxa"/>
              <w:right w:w="57" w:type="dxa"/>
            </w:tcMar>
          </w:tcPr>
          <w:p w14:paraId="7F03EF2C" w14:textId="77777777" w:rsidR="00944A6E" w:rsidRPr="00744827" w:rsidRDefault="00944A6E"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71,288</w:t>
            </w:r>
          </w:p>
        </w:tc>
        <w:tc>
          <w:tcPr>
            <w:tcW w:w="1278" w:type="dxa"/>
            <w:tcMar>
              <w:top w:w="57" w:type="dxa"/>
              <w:left w:w="57" w:type="dxa"/>
              <w:bottom w:w="57" w:type="dxa"/>
              <w:right w:w="57" w:type="dxa"/>
            </w:tcMar>
          </w:tcPr>
          <w:p w14:paraId="54FB71C8" w14:textId="77777777" w:rsidR="00944A6E" w:rsidRPr="00744827" w:rsidRDefault="00944A6E"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72,302</w:t>
            </w:r>
          </w:p>
        </w:tc>
        <w:tc>
          <w:tcPr>
            <w:tcW w:w="1278" w:type="dxa"/>
            <w:tcMar>
              <w:top w:w="57" w:type="dxa"/>
              <w:left w:w="57" w:type="dxa"/>
              <w:bottom w:w="57" w:type="dxa"/>
              <w:right w:w="57" w:type="dxa"/>
            </w:tcMar>
          </w:tcPr>
          <w:p w14:paraId="4D48D6CE" w14:textId="77777777" w:rsidR="00944A6E" w:rsidRPr="00744827" w:rsidRDefault="00944A6E"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73,306</w:t>
            </w:r>
          </w:p>
        </w:tc>
      </w:tr>
    </w:tbl>
    <w:p w14:paraId="13E5CF46" w14:textId="77777777" w:rsidR="000C526C" w:rsidRPr="002F5610" w:rsidRDefault="000C526C" w:rsidP="00382821">
      <w:pPr>
        <w:pStyle w:val="ACMANotesspaceafter"/>
        <w:spacing w:before="120" w:after="360"/>
      </w:pPr>
      <w:r w:rsidRPr="002F5610">
        <w:t>Source: ACMA.</w:t>
      </w:r>
    </w:p>
    <w:p w14:paraId="724D79A2" w14:textId="77777777" w:rsidR="000C526C" w:rsidRPr="006134FA" w:rsidRDefault="000C526C" w:rsidP="00C74247">
      <w:pPr>
        <w:pStyle w:val="Heading3"/>
        <w:keepLines/>
      </w:pPr>
      <w:bookmarkStart w:id="1645" w:name="_Toc494799502"/>
      <w:bookmarkStart w:id="1646" w:name="_Toc494805805"/>
      <w:bookmarkStart w:id="1647" w:name="_Toc494806070"/>
      <w:bookmarkStart w:id="1648" w:name="_Toc494808300"/>
      <w:bookmarkStart w:id="1649" w:name="_Toc494808958"/>
      <w:bookmarkStart w:id="1650" w:name="_Toc494816373"/>
      <w:bookmarkStart w:id="1651" w:name="_Toc494818969"/>
      <w:bookmarkStart w:id="1652" w:name="_Toc494819199"/>
      <w:r w:rsidRPr="006134FA">
        <w:t>Cabling compliance</w:t>
      </w:r>
      <w:bookmarkEnd w:id="1645"/>
      <w:bookmarkEnd w:id="1646"/>
      <w:bookmarkEnd w:id="1647"/>
      <w:bookmarkEnd w:id="1648"/>
      <w:bookmarkEnd w:id="1649"/>
      <w:bookmarkEnd w:id="1650"/>
      <w:bookmarkEnd w:id="1651"/>
      <w:bookmarkEnd w:id="1652"/>
    </w:p>
    <w:p w14:paraId="21402773" w14:textId="77777777" w:rsidR="000C526C" w:rsidRDefault="000C526C" w:rsidP="00C74247">
      <w:pPr>
        <w:keepNext/>
        <w:keepLines/>
      </w:pPr>
      <w:r w:rsidRPr="006134FA">
        <w:t xml:space="preserve">The ACMA investigates complaints about non-compliant cabling work or work performed by unregistered cablers. Where appropriate, </w:t>
      </w:r>
      <w:r w:rsidR="000F2637">
        <w:t>we</w:t>
      </w:r>
      <w:r w:rsidRPr="006134FA">
        <w:t xml:space="preserve"> conduct investigations arising from these complaints.</w:t>
      </w:r>
      <w:r w:rsidR="000F2637">
        <w:t xml:space="preserve"> </w:t>
      </w:r>
      <w:r w:rsidRPr="006134FA">
        <w:t>During 201</w:t>
      </w:r>
      <w:r>
        <w:t>6</w:t>
      </w:r>
      <w:r w:rsidRPr="006134FA">
        <w:t>–1</w:t>
      </w:r>
      <w:r>
        <w:t>7</w:t>
      </w:r>
      <w:r w:rsidRPr="006134FA">
        <w:t xml:space="preserve">, </w:t>
      </w:r>
      <w:r w:rsidR="000F2637">
        <w:t>we</w:t>
      </w:r>
      <w:r w:rsidRPr="006134FA">
        <w:t xml:space="preserve"> received </w:t>
      </w:r>
      <w:r>
        <w:t xml:space="preserve">47 </w:t>
      </w:r>
      <w:r w:rsidRPr="006134FA">
        <w:t>complaints</w:t>
      </w:r>
      <w:r w:rsidR="000F2637">
        <w:t>,</w:t>
      </w:r>
      <w:r>
        <w:t xml:space="preserve"> and</w:t>
      </w:r>
      <w:r w:rsidRPr="006134FA">
        <w:t xml:space="preserve"> issued </w:t>
      </w:r>
      <w:r>
        <w:t xml:space="preserve">39 </w:t>
      </w:r>
      <w:r w:rsidRPr="006134FA">
        <w:t xml:space="preserve">warning notices and </w:t>
      </w:r>
      <w:r>
        <w:t xml:space="preserve">17 </w:t>
      </w:r>
      <w:r w:rsidRPr="006134FA">
        <w:t>advice notice</w:t>
      </w:r>
      <w:r>
        <w:t xml:space="preserve">s. </w:t>
      </w:r>
      <w:r w:rsidRPr="006134FA">
        <w:t>No telecommunications infringement notices were issued.</w:t>
      </w:r>
    </w:p>
    <w:p w14:paraId="35363A53" w14:textId="77777777" w:rsidR="000C526C" w:rsidRDefault="000F2637" w:rsidP="00C74247">
      <w:pPr>
        <w:keepNext/>
        <w:keepLines/>
      </w:pPr>
      <w:r>
        <w:t>We</w:t>
      </w:r>
      <w:r w:rsidR="000C526C">
        <w:t xml:space="preserve"> also carried out 178 cabling inspections in 2016–17 as part of </w:t>
      </w:r>
      <w:r>
        <w:t>our customer cabling p</w:t>
      </w:r>
      <w:r w:rsidR="000C526C">
        <w:t xml:space="preserve">riority </w:t>
      </w:r>
      <w:r>
        <w:t>c</w:t>
      </w:r>
      <w:r w:rsidR="000C526C">
        <w:t xml:space="preserve">ompliance </w:t>
      </w:r>
      <w:r>
        <w:t>a</w:t>
      </w:r>
      <w:r w:rsidR="000C526C">
        <w:t>rea</w:t>
      </w:r>
      <w:r>
        <w:t xml:space="preserve"> </w:t>
      </w:r>
      <w:r w:rsidR="000C526C">
        <w:t xml:space="preserve">(PCA). </w:t>
      </w:r>
      <w:r>
        <w:t xml:space="preserve">We </w:t>
      </w:r>
      <w:r w:rsidR="000C526C">
        <w:t>inspected a cross</w:t>
      </w:r>
      <w:r w:rsidR="008C5AD5">
        <w:t>-</w:t>
      </w:r>
      <w:r w:rsidR="000C526C">
        <w:t>section of domestic and commercial customer cabling environments including residential low</w:t>
      </w:r>
      <w:r w:rsidR="008C5AD5">
        <w:t>-</w:t>
      </w:r>
      <w:r w:rsidR="000C526C">
        <w:t>rise, high</w:t>
      </w:r>
      <w:r w:rsidR="008C5AD5">
        <w:t>-</w:t>
      </w:r>
      <w:r w:rsidR="000C526C">
        <w:t>rise</w:t>
      </w:r>
      <w:r w:rsidR="008C5AD5">
        <w:t>,</w:t>
      </w:r>
      <w:r w:rsidR="000C526C">
        <w:t xml:space="preserve"> and commercial and multi-dwelling sites. The majority of sites inspected </w:t>
      </w:r>
      <w:r w:rsidR="008C5AD5">
        <w:t>complied</w:t>
      </w:r>
      <w:r w:rsidR="000C526C">
        <w:t xml:space="preserve"> with the Cabling Provider Rules. Of the actual wiring rule breaches, the majority were from incorrect physical separation between customer cabling and other services. However</w:t>
      </w:r>
      <w:r w:rsidR="008C5AD5">
        <w:t>,</w:t>
      </w:r>
      <w:r w:rsidR="000C526C">
        <w:t xml:space="preserve"> none represented an immediate safety risk.</w:t>
      </w:r>
    </w:p>
    <w:p w14:paraId="7C6849EE" w14:textId="77777777" w:rsidR="000C526C" w:rsidRPr="009D1FEF" w:rsidRDefault="000C526C" w:rsidP="000C526C">
      <w:pPr>
        <w:pStyle w:val="Heading2"/>
        <w:numPr>
          <w:ilvl w:val="1"/>
          <w:numId w:val="20"/>
        </w:numPr>
        <w:ind w:hanging="792"/>
      </w:pPr>
      <w:bookmarkStart w:id="1653" w:name="_Toc433790429"/>
      <w:bookmarkStart w:id="1654" w:name="_Toc494799506"/>
      <w:bookmarkStart w:id="1655" w:name="_Toc494805809"/>
      <w:bookmarkStart w:id="1656" w:name="_Toc494806074"/>
      <w:bookmarkStart w:id="1657" w:name="_Toc494808304"/>
      <w:bookmarkStart w:id="1658" w:name="_Toc494808962"/>
      <w:bookmarkStart w:id="1659" w:name="_Toc494816377"/>
      <w:bookmarkStart w:id="1660" w:name="_Toc494818973"/>
      <w:bookmarkStart w:id="1661" w:name="_Toc494819203"/>
      <w:bookmarkStart w:id="1662" w:name="_Toc500320933"/>
      <w:r w:rsidRPr="009B3E81">
        <w:t>Do Not Call Register</w:t>
      </w:r>
      <w:bookmarkEnd w:id="1653"/>
      <w:bookmarkEnd w:id="1654"/>
      <w:bookmarkEnd w:id="1655"/>
      <w:bookmarkEnd w:id="1656"/>
      <w:bookmarkEnd w:id="1657"/>
      <w:bookmarkEnd w:id="1658"/>
      <w:bookmarkEnd w:id="1659"/>
      <w:bookmarkEnd w:id="1660"/>
      <w:bookmarkEnd w:id="1661"/>
      <w:bookmarkEnd w:id="1662"/>
    </w:p>
    <w:p w14:paraId="47E9301D" w14:textId="77777777" w:rsidR="000C526C" w:rsidRPr="00EA384B" w:rsidRDefault="000C526C" w:rsidP="000C526C">
      <w:pPr>
        <w:spacing w:after="80"/>
        <w:rPr>
          <w:rFonts w:cs="Arial"/>
          <w:szCs w:val="20"/>
        </w:rPr>
      </w:pPr>
      <w:r w:rsidRPr="00EA384B">
        <w:rPr>
          <w:rFonts w:cs="Arial"/>
          <w:szCs w:val="20"/>
        </w:rPr>
        <w:t>The DNCR is a secure database that allows people to list their numbers to opt out of receiving most unsolicited telemarketing calls and marketing faxes. A number is eligible to be registered if it is:</w:t>
      </w:r>
    </w:p>
    <w:p w14:paraId="57E79DBA" w14:textId="77777777" w:rsidR="000C526C" w:rsidRPr="001E6177" w:rsidRDefault="000C526C" w:rsidP="00FE476D">
      <w:pPr>
        <w:pStyle w:val="ListBullet"/>
      </w:pPr>
      <w:r w:rsidRPr="004638FC">
        <w:t xml:space="preserve">used or maintained </w:t>
      </w:r>
      <w:r w:rsidRPr="00F554FD">
        <w:t>primarily for private or domestic purposes</w:t>
      </w:r>
    </w:p>
    <w:p w14:paraId="6B9AD690" w14:textId="77777777" w:rsidR="000C526C" w:rsidRPr="00197FB7" w:rsidRDefault="000C526C" w:rsidP="00FE476D">
      <w:pPr>
        <w:pStyle w:val="ListBullet"/>
      </w:pPr>
      <w:r w:rsidRPr="00197FB7">
        <w:t>used for transmitting and/or receiving faxes</w:t>
      </w:r>
    </w:p>
    <w:p w14:paraId="2E264507" w14:textId="77777777" w:rsidR="000C526C" w:rsidRPr="004638FC" w:rsidRDefault="000C526C" w:rsidP="00FE476D">
      <w:pPr>
        <w:pStyle w:val="ListBullet"/>
      </w:pPr>
      <w:r w:rsidRPr="00197FB7">
        <w:t>used exclusively by a</w:t>
      </w:r>
      <w:r w:rsidRPr="004638FC">
        <w:t xml:space="preserve"> government body</w:t>
      </w:r>
    </w:p>
    <w:p w14:paraId="0D32FAFB" w14:textId="77777777" w:rsidR="000C526C" w:rsidRPr="00EA384B" w:rsidRDefault="000C526C" w:rsidP="00FE476D">
      <w:pPr>
        <w:pStyle w:val="ListBulletLast"/>
      </w:pPr>
      <w:r w:rsidRPr="00EA384B">
        <w:t>an emergency service number.</w:t>
      </w:r>
    </w:p>
    <w:p w14:paraId="77D33610" w14:textId="77777777" w:rsidR="000C526C" w:rsidRPr="00EA384B" w:rsidRDefault="000C526C" w:rsidP="000C526C">
      <w:pPr>
        <w:rPr>
          <w:rFonts w:cs="Arial"/>
          <w:szCs w:val="20"/>
        </w:rPr>
      </w:pPr>
      <w:r w:rsidRPr="00EA384B">
        <w:rPr>
          <w:rFonts w:cs="Arial"/>
          <w:szCs w:val="20"/>
        </w:rPr>
        <w:t xml:space="preserve">In 2016–17, the </w:t>
      </w:r>
      <w:r w:rsidR="000412D4">
        <w:rPr>
          <w:rFonts w:cs="Arial"/>
          <w:szCs w:val="20"/>
        </w:rPr>
        <w:t>quantity</w:t>
      </w:r>
      <w:r w:rsidR="000412D4" w:rsidRPr="00EA384B">
        <w:rPr>
          <w:rFonts w:cs="Arial"/>
          <w:szCs w:val="20"/>
        </w:rPr>
        <w:t xml:space="preserve"> </w:t>
      </w:r>
      <w:r w:rsidRPr="00EA384B">
        <w:rPr>
          <w:rFonts w:cs="Arial"/>
          <w:szCs w:val="20"/>
        </w:rPr>
        <w:t>of numbers listed on the DNCR increased by 374,994</w:t>
      </w:r>
      <w:r>
        <w:rPr>
          <w:rFonts w:cs="Arial"/>
          <w:szCs w:val="20"/>
        </w:rPr>
        <w:t xml:space="preserve"> (3.5 per cent)</w:t>
      </w:r>
      <w:r w:rsidRPr="00EA384B">
        <w:rPr>
          <w:rFonts w:cs="Arial"/>
          <w:szCs w:val="20"/>
        </w:rPr>
        <w:t>, taking the total amount of numbers registered to 11.02 million.</w:t>
      </w:r>
    </w:p>
    <w:p w14:paraId="7CCDFD91" w14:textId="7D28A0E5" w:rsidR="000C526C" w:rsidRPr="00EA384B" w:rsidRDefault="000C526C" w:rsidP="000C526C">
      <w:pPr>
        <w:rPr>
          <w:rFonts w:cs="Arial"/>
          <w:szCs w:val="20"/>
        </w:rPr>
      </w:pPr>
      <w:r w:rsidRPr="00EA384B">
        <w:rPr>
          <w:rFonts w:cs="Arial"/>
          <w:szCs w:val="20"/>
        </w:rPr>
        <w:t xml:space="preserve">To avoid breaching the </w:t>
      </w:r>
      <w:r w:rsidRPr="00EA384B">
        <w:rPr>
          <w:rFonts w:cs="Arial"/>
          <w:i/>
          <w:szCs w:val="20"/>
        </w:rPr>
        <w:t xml:space="preserve">Do Not Call Register Act 2006 </w:t>
      </w:r>
      <w:r w:rsidRPr="00EA384B">
        <w:rPr>
          <w:rFonts w:cs="Arial"/>
          <w:szCs w:val="20"/>
        </w:rPr>
        <w:t xml:space="preserve">(DNCR Act), telemarketers and fax marketers are able to submit their contact lists to the DNCR operator for checking, or ‘washing’, against the DNCR. During 2016–17, 1,106 telemarketers and fax marketers submitted nearly 840 million numbers for </w:t>
      </w:r>
      <w:r w:rsidR="006C4A2D">
        <w:rPr>
          <w:rFonts w:cs="Arial"/>
          <w:szCs w:val="20"/>
        </w:rPr>
        <w:t>washing</w:t>
      </w:r>
      <w:r w:rsidR="006C4A2D" w:rsidRPr="00EA384B">
        <w:rPr>
          <w:rFonts w:cs="Arial"/>
          <w:szCs w:val="20"/>
        </w:rPr>
        <w:t xml:space="preserve"> </w:t>
      </w:r>
      <w:r w:rsidRPr="00EA384B">
        <w:rPr>
          <w:rFonts w:cs="Arial"/>
          <w:szCs w:val="20"/>
        </w:rPr>
        <w:t>(Figure 5.5).</w:t>
      </w:r>
    </w:p>
    <w:p w14:paraId="0585AA53" w14:textId="1AB176B7" w:rsidR="000C526C" w:rsidRPr="00491E6E" w:rsidRDefault="000C526C" w:rsidP="00382821">
      <w:pPr>
        <w:pStyle w:val="ACMAFigureHeader"/>
        <w:keepNext/>
      </w:pPr>
      <w:r w:rsidRPr="00491E6E">
        <w:t>Figure 5.5</w:t>
      </w:r>
      <w:r w:rsidRPr="00491E6E">
        <w:tab/>
        <w:t xml:space="preserve">Numbers submitted for </w:t>
      </w:r>
      <w:r w:rsidR="006C4A2D">
        <w:t>washing</w:t>
      </w:r>
      <w:r w:rsidR="006C4A2D" w:rsidRPr="00491E6E">
        <w:t xml:space="preserve"> </w:t>
      </w:r>
      <w:r w:rsidRPr="00491E6E">
        <w:t>against the DNCR (billions)</w:t>
      </w:r>
    </w:p>
    <w:p w14:paraId="73E3F55C" w14:textId="77777777" w:rsidR="0042565F" w:rsidRDefault="000C526C" w:rsidP="00E739FC">
      <w:pPr>
        <w:keepNext/>
        <w:keepLines/>
        <w:spacing w:before="60" w:after="0" w:line="240" w:lineRule="auto"/>
      </w:pPr>
      <w:r>
        <w:rPr>
          <w:noProof/>
        </w:rPr>
        <w:drawing>
          <wp:inline distT="0" distB="0" distL="0" distR="0" wp14:anchorId="368C12D4" wp14:editId="4685E53F">
            <wp:extent cx="5040726" cy="1691192"/>
            <wp:effectExtent l="0" t="0" r="7620" b="4445"/>
            <wp:docPr id="51" name="Picture 51" descr="Data for Figure 5.5 is in the .ods file for Chapter 5 on the landing page ‘Communications report 2016-17’, available from the ACMA website." title="Figure 5.5  Numbers submitted for washing against the DNCR (b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hapter 5_Figure 5.5.png"/>
                    <pic:cNvPicPr/>
                  </pic:nvPicPr>
                  <pic:blipFill rotWithShape="1">
                    <a:blip r:embed="rId111">
                      <a:extLst>
                        <a:ext uri="{28A0092B-C50C-407E-A947-70E740481C1C}">
                          <a14:useLocalDpi xmlns:a14="http://schemas.microsoft.com/office/drawing/2010/main" val="0"/>
                        </a:ext>
                      </a:extLst>
                    </a:blip>
                    <a:srcRect t="4076" r="22252" b="5486"/>
                    <a:stretch/>
                  </pic:blipFill>
                  <pic:spPr bwMode="auto">
                    <a:xfrm>
                      <a:off x="0" y="0"/>
                      <a:ext cx="5055848" cy="1696266"/>
                    </a:xfrm>
                    <a:prstGeom prst="rect">
                      <a:avLst/>
                    </a:prstGeom>
                    <a:ln>
                      <a:noFill/>
                    </a:ln>
                    <a:extLst>
                      <a:ext uri="{53640926-AAD7-44D8-BBD7-CCE9431645EC}">
                        <a14:shadowObscured xmlns:a14="http://schemas.microsoft.com/office/drawing/2010/main"/>
                      </a:ext>
                    </a:extLst>
                  </pic:spPr>
                </pic:pic>
              </a:graphicData>
            </a:graphic>
          </wp:inline>
        </w:drawing>
      </w:r>
    </w:p>
    <w:p w14:paraId="0B48C801" w14:textId="25241855" w:rsidR="000C526C" w:rsidRPr="00491E6E" w:rsidRDefault="000C526C" w:rsidP="00382821">
      <w:pPr>
        <w:pStyle w:val="ACMANotes"/>
        <w:spacing w:before="240"/>
      </w:pPr>
      <w:r w:rsidRPr="00491E6E">
        <w:t xml:space="preserve">Base: Numbers submitted for </w:t>
      </w:r>
      <w:r w:rsidR="006C4A2D">
        <w:t>washing</w:t>
      </w:r>
      <w:r w:rsidRPr="00491E6E">
        <w:t>.</w:t>
      </w:r>
    </w:p>
    <w:p w14:paraId="022D9254" w14:textId="77777777" w:rsidR="008C5AD5" w:rsidRDefault="000C526C" w:rsidP="00382821">
      <w:pPr>
        <w:pStyle w:val="ACMANotesspaceafter"/>
        <w:spacing w:after="360"/>
      </w:pPr>
      <w:r w:rsidRPr="00491E6E">
        <w:t>Source: Register</w:t>
      </w:r>
      <w:r w:rsidR="007575E8">
        <w:t>ed</w:t>
      </w:r>
      <w:r w:rsidRPr="00491E6E">
        <w:t xml:space="preserve"> operator (Salmat Digital Pty Ltd) reports to the ACMA.</w:t>
      </w:r>
    </w:p>
    <w:p w14:paraId="29534A54" w14:textId="77777777" w:rsidR="000C526C" w:rsidRPr="00EA384B" w:rsidRDefault="000C526C" w:rsidP="000C526C">
      <w:pPr>
        <w:rPr>
          <w:rFonts w:cs="Arial"/>
          <w:szCs w:val="20"/>
        </w:rPr>
      </w:pPr>
      <w:r w:rsidRPr="00EA384B">
        <w:rPr>
          <w:rFonts w:cs="Arial"/>
          <w:szCs w:val="20"/>
        </w:rPr>
        <w:t xml:space="preserve">Under section 125A of the </w:t>
      </w:r>
      <w:r w:rsidRPr="000271C4">
        <w:rPr>
          <w:rFonts w:cs="Arial"/>
          <w:szCs w:val="20"/>
        </w:rPr>
        <w:t>Telecommunications Act</w:t>
      </w:r>
      <w:r w:rsidRPr="00EA384B">
        <w:rPr>
          <w:rFonts w:cs="Arial"/>
          <w:szCs w:val="20"/>
        </w:rPr>
        <w:t xml:space="preserve">, the ACMA is required to determine a standard </w:t>
      </w:r>
      <w:r w:rsidR="008C5AD5">
        <w:rPr>
          <w:rFonts w:cs="Arial"/>
          <w:szCs w:val="20"/>
        </w:rPr>
        <w:t>that</w:t>
      </w:r>
      <w:r w:rsidR="008C5AD5" w:rsidRPr="00EA384B">
        <w:rPr>
          <w:rFonts w:cs="Arial"/>
          <w:szCs w:val="20"/>
        </w:rPr>
        <w:t xml:space="preserve"> </w:t>
      </w:r>
      <w:r w:rsidRPr="00EA384B">
        <w:rPr>
          <w:rFonts w:cs="Arial"/>
          <w:szCs w:val="20"/>
        </w:rPr>
        <w:t>applies to participants in the telemarketing industry and deals with matters relevant to the conduct of telemarketing calls</w:t>
      </w:r>
      <w:r w:rsidR="008C5AD5">
        <w:rPr>
          <w:rFonts w:cs="Arial"/>
          <w:szCs w:val="20"/>
        </w:rPr>
        <w:t>,</w:t>
      </w:r>
      <w:r w:rsidRPr="00EA384B">
        <w:rPr>
          <w:rFonts w:cs="Arial"/>
          <w:szCs w:val="20"/>
        </w:rPr>
        <w:t xml:space="preserve"> including research calls.</w:t>
      </w:r>
    </w:p>
    <w:p w14:paraId="7B5739A1" w14:textId="77777777" w:rsidR="000C526C" w:rsidRPr="00C65173" w:rsidRDefault="000C526C" w:rsidP="000C526C">
      <w:pPr>
        <w:rPr>
          <w:rFonts w:cs="Arial"/>
          <w:szCs w:val="20"/>
        </w:rPr>
      </w:pPr>
      <w:r w:rsidRPr="00EA384B">
        <w:rPr>
          <w:rFonts w:cs="Arial"/>
          <w:szCs w:val="20"/>
        </w:rPr>
        <w:t>In 2016</w:t>
      </w:r>
      <w:r>
        <w:rPr>
          <w:rFonts w:cs="Arial"/>
          <w:szCs w:val="20"/>
        </w:rPr>
        <w:t>–</w:t>
      </w:r>
      <w:r w:rsidRPr="00EA384B">
        <w:rPr>
          <w:rFonts w:cs="Arial"/>
          <w:szCs w:val="20"/>
        </w:rPr>
        <w:t>17</w:t>
      </w:r>
      <w:r w:rsidR="008C5AD5">
        <w:rPr>
          <w:rFonts w:cs="Arial"/>
          <w:szCs w:val="20"/>
        </w:rPr>
        <w:t>, we</w:t>
      </w:r>
      <w:r w:rsidRPr="00EA384B">
        <w:rPr>
          <w:rFonts w:cs="Arial"/>
          <w:szCs w:val="20"/>
        </w:rPr>
        <w:t xml:space="preserve"> made the Telecommunications (Telemarketing and Research Calls) Industry Standard 2017. This </w:t>
      </w:r>
      <w:r w:rsidR="000271C4" w:rsidRPr="00EA384B">
        <w:rPr>
          <w:rFonts w:cs="Arial"/>
          <w:szCs w:val="20"/>
        </w:rPr>
        <w:t>rep</w:t>
      </w:r>
      <w:r w:rsidR="000271C4">
        <w:rPr>
          <w:rFonts w:cs="Arial"/>
          <w:szCs w:val="20"/>
        </w:rPr>
        <w:t>laced</w:t>
      </w:r>
      <w:r w:rsidR="000271C4" w:rsidRPr="00EA384B">
        <w:rPr>
          <w:rFonts w:cs="Arial"/>
          <w:szCs w:val="20"/>
        </w:rPr>
        <w:t xml:space="preserve"> </w:t>
      </w:r>
      <w:r w:rsidRPr="00EA384B">
        <w:rPr>
          <w:rFonts w:cs="Arial"/>
          <w:szCs w:val="20"/>
        </w:rPr>
        <w:t>the Telemarketing and Research Industry Standard 2007</w:t>
      </w:r>
      <w:r w:rsidR="008C5AD5">
        <w:rPr>
          <w:rFonts w:cs="Arial"/>
          <w:szCs w:val="20"/>
        </w:rPr>
        <w:t>,</w:t>
      </w:r>
      <w:r w:rsidRPr="00EA384B">
        <w:rPr>
          <w:rFonts w:cs="Arial"/>
          <w:szCs w:val="20"/>
        </w:rPr>
        <w:t xml:space="preserve"> which was due to sunset on 1 April 2017.</w:t>
      </w:r>
      <w:r w:rsidR="008C5AD5">
        <w:rPr>
          <w:rFonts w:cs="Arial"/>
          <w:szCs w:val="20"/>
        </w:rPr>
        <w:t xml:space="preserve"> </w:t>
      </w:r>
      <w:r>
        <w:rPr>
          <w:rFonts w:cs="Arial"/>
          <w:szCs w:val="20"/>
        </w:rPr>
        <w:t xml:space="preserve">The standard provides enhanced protections to help consumers </w:t>
      </w:r>
      <w:r w:rsidR="00973FA0">
        <w:rPr>
          <w:rFonts w:cs="Arial"/>
          <w:szCs w:val="20"/>
        </w:rPr>
        <w:t xml:space="preserve">deal with </w:t>
      </w:r>
      <w:r>
        <w:rPr>
          <w:rFonts w:cs="Arial"/>
          <w:szCs w:val="20"/>
        </w:rPr>
        <w:t>the number of unwanted telemarketing calls they receive.</w:t>
      </w:r>
    </w:p>
    <w:p w14:paraId="5C4AC069" w14:textId="77777777" w:rsidR="000C526C" w:rsidRPr="009D1FEF" w:rsidRDefault="000C526C" w:rsidP="000C526C">
      <w:pPr>
        <w:pStyle w:val="Heading2"/>
        <w:numPr>
          <w:ilvl w:val="1"/>
          <w:numId w:val="20"/>
        </w:numPr>
        <w:ind w:hanging="792"/>
      </w:pPr>
      <w:bookmarkStart w:id="1663" w:name="_Toc462909522"/>
      <w:bookmarkStart w:id="1664" w:name="_Toc500320934"/>
      <w:bookmarkStart w:id="1665" w:name="_Toc494799507"/>
      <w:bookmarkStart w:id="1666" w:name="_Toc494805810"/>
      <w:bookmarkStart w:id="1667" w:name="_Toc494806075"/>
      <w:bookmarkStart w:id="1668" w:name="_Toc494808305"/>
      <w:bookmarkStart w:id="1669" w:name="_Toc494808963"/>
      <w:bookmarkStart w:id="1670" w:name="_Toc494816378"/>
      <w:bookmarkStart w:id="1671" w:name="_Toc494818974"/>
      <w:bookmarkStart w:id="1672" w:name="_Toc494819204"/>
      <w:r w:rsidRPr="009D1FEF">
        <w:t>Unsolicited communications—spam and telemarketing</w:t>
      </w:r>
      <w:bookmarkEnd w:id="1663"/>
      <w:bookmarkEnd w:id="1664"/>
      <w:r w:rsidRPr="009D1FEF">
        <w:t xml:space="preserve"> </w:t>
      </w:r>
      <w:bookmarkEnd w:id="1665"/>
      <w:bookmarkEnd w:id="1666"/>
      <w:bookmarkEnd w:id="1667"/>
      <w:bookmarkEnd w:id="1668"/>
      <w:bookmarkEnd w:id="1669"/>
      <w:bookmarkEnd w:id="1670"/>
      <w:bookmarkEnd w:id="1671"/>
      <w:bookmarkEnd w:id="1672"/>
    </w:p>
    <w:p w14:paraId="3AC45DC7" w14:textId="77777777" w:rsidR="000C526C" w:rsidRDefault="000C526C" w:rsidP="008D6DCE">
      <w:pPr>
        <w:keepNext/>
        <w:keepLines/>
      </w:pPr>
      <w:bookmarkStart w:id="1673" w:name="_Toc433790430"/>
      <w:bookmarkEnd w:id="1673"/>
      <w:r w:rsidRPr="006134FA">
        <w:t xml:space="preserve">The ACMA is responsible for </w:t>
      </w:r>
      <w:r>
        <w:t>the unsolicited communications safeguards provided under</w:t>
      </w:r>
      <w:r w:rsidRPr="006134FA">
        <w:t xml:space="preserve"> the </w:t>
      </w:r>
      <w:r w:rsidRPr="00833EBE">
        <w:t>DNCR</w:t>
      </w:r>
      <w:r w:rsidRPr="006134FA">
        <w:t xml:space="preserve"> Act, </w:t>
      </w:r>
      <w:r>
        <w:t>Telecommunications (</w:t>
      </w:r>
      <w:r w:rsidRPr="00042B53">
        <w:t xml:space="preserve">Telemarketing and Research </w:t>
      </w:r>
      <w:r>
        <w:t>Calls)</w:t>
      </w:r>
      <w:r w:rsidRPr="00042B53">
        <w:t xml:space="preserve"> Industry Standard 20</w:t>
      </w:r>
      <w:r>
        <w:t>1</w:t>
      </w:r>
      <w:r w:rsidRPr="00042B53">
        <w:t>7</w:t>
      </w:r>
      <w:r>
        <w:t>,</w:t>
      </w:r>
      <w:r w:rsidRPr="006134FA">
        <w:t xml:space="preserve"> </w:t>
      </w:r>
      <w:r w:rsidRPr="00042B53">
        <w:t>Fax Marketing Industry Standard 2011</w:t>
      </w:r>
      <w:r>
        <w:t xml:space="preserve"> and </w:t>
      </w:r>
      <w:r w:rsidRPr="008D6DCE">
        <w:rPr>
          <w:i/>
        </w:rPr>
        <w:t>Spam Act 2003</w:t>
      </w:r>
      <w:r w:rsidRPr="006134FA">
        <w:t xml:space="preserve">. </w:t>
      </w:r>
      <w:r>
        <w:t>These safeguards place obligations on</w:t>
      </w:r>
      <w:r w:rsidRPr="00333486">
        <w:t xml:space="preserve"> businesses </w:t>
      </w:r>
      <w:r>
        <w:t xml:space="preserve">and other entities that use telemarketing, e-marketing and fax marketing activities for commercial purposes. </w:t>
      </w:r>
    </w:p>
    <w:p w14:paraId="1A4E68C5" w14:textId="75316CBF" w:rsidR="000C526C" w:rsidRPr="006134FA" w:rsidRDefault="000C526C" w:rsidP="000C526C">
      <w:r w:rsidRPr="006134FA">
        <w:t>In 201</w:t>
      </w:r>
      <w:r>
        <w:t>6</w:t>
      </w:r>
      <w:r w:rsidRPr="006134FA">
        <w:t>–1</w:t>
      </w:r>
      <w:r>
        <w:t>7</w:t>
      </w:r>
      <w:r w:rsidRPr="006134FA">
        <w:t xml:space="preserve">, </w:t>
      </w:r>
      <w:r w:rsidR="00DA508E">
        <w:t>we received 28,197</w:t>
      </w:r>
      <w:r w:rsidRPr="006134FA">
        <w:t xml:space="preserve"> complaints about telemarketing</w:t>
      </w:r>
      <w:r w:rsidR="00DA508E">
        <w:t>—an increase of</w:t>
      </w:r>
      <w:r w:rsidRPr="006134FA">
        <w:t xml:space="preserve"> </w:t>
      </w:r>
      <w:r>
        <w:t>22.5</w:t>
      </w:r>
      <w:r w:rsidRPr="006134FA">
        <w:t xml:space="preserve"> per cent</w:t>
      </w:r>
      <w:r>
        <w:t xml:space="preserve"> </w:t>
      </w:r>
      <w:r w:rsidR="00DA508E">
        <w:t>on the 23,014 from 2015–16</w:t>
      </w:r>
      <w:r w:rsidRPr="006134FA">
        <w:t xml:space="preserve">. This increase </w:t>
      </w:r>
      <w:r>
        <w:t>is at a consistent level with the trend in complaints each year since 2013–14.</w:t>
      </w:r>
      <w:r w:rsidRPr="006134FA">
        <w:t xml:space="preserve"> The overall number of complaints about fax marketing remained very low</w:t>
      </w:r>
      <w:r w:rsidR="00141C93">
        <w:t xml:space="preserve">, a reflection of the </w:t>
      </w:r>
      <w:r w:rsidR="00381C43">
        <w:t>decline in use of fax machines.</w:t>
      </w:r>
    </w:p>
    <w:p w14:paraId="4D16205D" w14:textId="77777777" w:rsidR="000C526C" w:rsidRDefault="00DA508E" w:rsidP="000C526C">
      <w:r>
        <w:t>We</w:t>
      </w:r>
      <w:r w:rsidRPr="00FC662C">
        <w:t xml:space="preserve"> </w:t>
      </w:r>
      <w:r>
        <w:t xml:space="preserve">also </w:t>
      </w:r>
      <w:r w:rsidRPr="00FC662C">
        <w:t xml:space="preserve">received </w:t>
      </w:r>
      <w:r>
        <w:t xml:space="preserve">849,928 </w:t>
      </w:r>
      <w:r w:rsidR="000C526C" w:rsidRPr="00FC662C">
        <w:t xml:space="preserve">complaints and reports about commercial </w:t>
      </w:r>
      <w:r w:rsidR="000C526C">
        <w:t>e-marketing (email and SMS)</w:t>
      </w:r>
      <w:r>
        <w:t xml:space="preserve">—an </w:t>
      </w:r>
      <w:r w:rsidR="000C526C">
        <w:t>increase</w:t>
      </w:r>
      <w:r>
        <w:t xml:space="preserve"> of</w:t>
      </w:r>
      <w:r w:rsidR="000C526C">
        <w:t xml:space="preserve"> 59.2 per cent </w:t>
      </w:r>
      <w:r>
        <w:t xml:space="preserve">on the </w:t>
      </w:r>
      <w:r w:rsidR="000C526C">
        <w:t xml:space="preserve">533,947 </w:t>
      </w:r>
      <w:r>
        <w:t>from</w:t>
      </w:r>
      <w:r w:rsidR="000C526C">
        <w:t xml:space="preserve"> 2015</w:t>
      </w:r>
      <w:r>
        <w:t>–</w:t>
      </w:r>
      <w:r w:rsidR="000C526C">
        <w:t>16</w:t>
      </w:r>
      <w:r w:rsidR="000C526C" w:rsidRPr="006134FA">
        <w:t>.</w:t>
      </w:r>
      <w:r w:rsidR="000C526C">
        <w:t xml:space="preserve"> </w:t>
      </w:r>
    </w:p>
    <w:p w14:paraId="64E45E9C" w14:textId="77777777" w:rsidR="000C526C" w:rsidRPr="008B38F9" w:rsidRDefault="00DA508E" w:rsidP="000C526C">
      <w:r>
        <w:t>To manage</w:t>
      </w:r>
      <w:r w:rsidR="000C526C" w:rsidRPr="008B38F9">
        <w:t xml:space="preserve"> th</w:t>
      </w:r>
      <w:r w:rsidR="00F554FD">
        <w:t>is</w:t>
      </w:r>
      <w:r w:rsidR="000C526C" w:rsidRPr="008B38F9">
        <w:t xml:space="preserve"> increase</w:t>
      </w:r>
      <w:r>
        <w:t xml:space="preserve">d number of </w:t>
      </w:r>
      <w:r w:rsidR="000C526C" w:rsidRPr="008B38F9">
        <w:t xml:space="preserve">complaints and reports, </w:t>
      </w:r>
      <w:r>
        <w:t xml:space="preserve">we </w:t>
      </w:r>
      <w:r w:rsidR="00F554FD">
        <w:t>will undertake</w:t>
      </w:r>
      <w:r w:rsidR="000C526C" w:rsidRPr="008B38F9">
        <w:t xml:space="preserve"> a range of new activities </w:t>
      </w:r>
      <w:r w:rsidR="00F554FD">
        <w:t>in</w:t>
      </w:r>
      <w:r w:rsidR="000C526C" w:rsidRPr="008B38F9">
        <w:t xml:space="preserve"> 2017</w:t>
      </w:r>
      <w:r w:rsidR="000C526C">
        <w:t>–</w:t>
      </w:r>
      <w:r w:rsidR="000C526C" w:rsidRPr="008B38F9">
        <w:t>18, including adopti</w:t>
      </w:r>
      <w:r w:rsidR="00F554FD">
        <w:t>ng PCAs</w:t>
      </w:r>
      <w:r w:rsidR="000C526C" w:rsidRPr="008B38F9">
        <w:t xml:space="preserve"> for regulatory focus</w:t>
      </w:r>
      <w:r w:rsidR="00F554FD">
        <w:t>,</w:t>
      </w:r>
      <w:r w:rsidR="000C526C" w:rsidRPr="008B38F9">
        <w:t xml:space="preserve"> and new education and </w:t>
      </w:r>
      <w:r w:rsidR="00F554FD">
        <w:t>awareness-</w:t>
      </w:r>
      <w:r w:rsidR="000C526C" w:rsidRPr="008B38F9">
        <w:t>raising initiatives.</w:t>
      </w:r>
    </w:p>
    <w:p w14:paraId="280E63CF" w14:textId="6A877100" w:rsidR="000C526C" w:rsidRPr="006134FA" w:rsidRDefault="000C526C" w:rsidP="000C526C">
      <w:r w:rsidRPr="00F51DB8">
        <w:t xml:space="preserve">The ACMA adopts a graduated and strategic risk-based approach to unsolicited communications compliance and enforcement. </w:t>
      </w:r>
      <w:r w:rsidR="00F554FD">
        <w:t>We</w:t>
      </w:r>
      <w:r>
        <w:t xml:space="preserve"> sent 5,049 compliance warnings about potential breaches of the telemarketing and spam safeguards during 2016–17, an increase of 23.1 per cent. </w:t>
      </w:r>
      <w:r w:rsidRPr="00F51DB8">
        <w:t xml:space="preserve">These warnings are generally the first step </w:t>
      </w:r>
      <w:r>
        <w:t>to fostering industry compliance.</w:t>
      </w:r>
      <w:r w:rsidRPr="00F51DB8">
        <w:t xml:space="preserve"> </w:t>
      </w:r>
    </w:p>
    <w:p w14:paraId="4B17CD92" w14:textId="089B1B8E" w:rsidR="000C526C" w:rsidRDefault="00F554FD" w:rsidP="000C526C">
      <w:r>
        <w:t>T</w:t>
      </w:r>
      <w:r w:rsidR="000C526C" w:rsidRPr="006134FA">
        <w:t xml:space="preserve">he majority of businesses address compliance issues after one contact. </w:t>
      </w:r>
      <w:r w:rsidR="000C526C">
        <w:t>S</w:t>
      </w:r>
      <w:r w:rsidR="000C526C" w:rsidRPr="00732292">
        <w:t xml:space="preserve">ystemic non-compliance issues </w:t>
      </w:r>
      <w:r w:rsidR="000C526C">
        <w:t xml:space="preserve">or matters that involve serious public harms </w:t>
      </w:r>
      <w:r w:rsidR="000C526C" w:rsidRPr="00732292">
        <w:t xml:space="preserve">may lead to </w:t>
      </w:r>
      <w:r w:rsidR="000C526C">
        <w:t>more formal interventions including, but</w:t>
      </w:r>
      <w:r w:rsidR="0056483A">
        <w:t> </w:t>
      </w:r>
      <w:r w:rsidR="000C526C">
        <w:t>not limited to, preliminary inquiries or investigation</w:t>
      </w:r>
      <w:r w:rsidR="000C526C" w:rsidRPr="00732292">
        <w:t>. Where non-compliance is found, the</w:t>
      </w:r>
      <w:r w:rsidR="000C526C">
        <w:t xml:space="preserve"> ACMA has </w:t>
      </w:r>
      <w:r w:rsidR="000C526C" w:rsidRPr="00732292">
        <w:t>a</w:t>
      </w:r>
      <w:r w:rsidR="0056483A">
        <w:t> </w:t>
      </w:r>
      <w:r w:rsidR="000C526C" w:rsidRPr="00732292">
        <w:t>range</w:t>
      </w:r>
      <w:r w:rsidR="000C526C">
        <w:t xml:space="preserve"> of</w:t>
      </w:r>
      <w:r w:rsidR="000C526C" w:rsidRPr="00732292">
        <w:t xml:space="preserve"> enforcement actions </w:t>
      </w:r>
      <w:r w:rsidR="000C526C">
        <w:t xml:space="preserve">available, including formal warnings, infringement notices or Federal Court proceedings. </w:t>
      </w:r>
    </w:p>
    <w:p w14:paraId="6B363DEB" w14:textId="77777777" w:rsidR="000C526C" w:rsidRPr="006134FA" w:rsidRDefault="000C526C" w:rsidP="000C526C">
      <w:r w:rsidRPr="006134FA">
        <w:t xml:space="preserve">Table 5.17 summarises the number of complaints, reports and enquiries </w:t>
      </w:r>
      <w:r w:rsidR="00F554FD">
        <w:t xml:space="preserve">we </w:t>
      </w:r>
      <w:r w:rsidRPr="006134FA">
        <w:t>received</w:t>
      </w:r>
      <w:r>
        <w:t>,</w:t>
      </w:r>
      <w:r w:rsidRPr="006134FA">
        <w:t xml:space="preserve"> and the levels of compliance and enforcement activity. </w:t>
      </w:r>
    </w:p>
    <w:p w14:paraId="1AF23F15" w14:textId="77777777" w:rsidR="000C526C" w:rsidRPr="00286E9D" w:rsidRDefault="000C526C" w:rsidP="00382821">
      <w:pPr>
        <w:pStyle w:val="ACMAFigureHeader"/>
        <w:keepNext/>
        <w:ind w:left="1136" w:hanging="1136"/>
        <w:rPr>
          <w:rFonts w:cs="Arial"/>
        </w:rPr>
      </w:pPr>
      <w:r>
        <w:t>Table 5.17</w:t>
      </w:r>
      <w:r w:rsidR="00F554FD">
        <w:tab/>
      </w:r>
      <w:r>
        <w:t>Telemarketing, fax marketing and spam</w:t>
      </w:r>
      <w:r w:rsidRPr="006134FA">
        <w:t>—</w:t>
      </w:r>
      <w:r>
        <w:t>s</w:t>
      </w:r>
      <w:r w:rsidRPr="00286E9D">
        <w:t>ummary of complaints, reports, enquiries, compliance activities and enforcement</w:t>
      </w:r>
    </w:p>
    <w:tbl>
      <w:tblPr>
        <w:tblStyle w:val="Commsreport2017"/>
        <w:tblW w:w="8903" w:type="dxa"/>
        <w:tblInd w:w="5" w:type="dxa"/>
        <w:tblLayout w:type="fixed"/>
        <w:tblLook w:val="04A0" w:firstRow="1" w:lastRow="0" w:firstColumn="1" w:lastColumn="0" w:noHBand="0" w:noVBand="1"/>
        <w:tblCaption w:val="Table 5.17 Summary of complaints, reports, enquiries, compliance activities and enforcement"/>
      </w:tblPr>
      <w:tblGrid>
        <w:gridCol w:w="1480"/>
        <w:gridCol w:w="27"/>
        <w:gridCol w:w="1479"/>
        <w:gridCol w:w="27"/>
        <w:gridCol w:w="1887"/>
        <w:gridCol w:w="27"/>
        <w:gridCol w:w="1207"/>
        <w:gridCol w:w="27"/>
        <w:gridCol w:w="1371"/>
        <w:gridCol w:w="1371"/>
      </w:tblGrid>
      <w:tr w:rsidR="000C526C" w:rsidRPr="00623E0B" w14:paraId="1FC085D7" w14:textId="77777777" w:rsidTr="00382821">
        <w:trPr>
          <w:cnfStyle w:val="100000000000" w:firstRow="1" w:lastRow="0" w:firstColumn="0" w:lastColumn="0" w:oddVBand="0" w:evenVBand="0" w:oddHBand="0" w:evenHBand="0" w:firstRowFirstColumn="0" w:firstRowLastColumn="0" w:lastRowFirstColumn="0" w:lastRowLastColumn="0"/>
          <w:trHeight w:val="137"/>
          <w:tblHeader/>
        </w:trPr>
        <w:tc>
          <w:tcPr>
            <w:cnfStyle w:val="001000000000" w:firstRow="0" w:lastRow="0" w:firstColumn="1" w:lastColumn="0" w:oddVBand="0" w:evenVBand="0" w:oddHBand="0" w:evenHBand="0" w:firstRowFirstColumn="0" w:firstRowLastColumn="0" w:lastRowFirstColumn="0" w:lastRowLastColumn="0"/>
            <w:tcW w:w="1507" w:type="dxa"/>
            <w:gridSpan w:val="2"/>
            <w:tcBorders>
              <w:top w:val="nil"/>
              <w:left w:val="nil"/>
              <w:right w:val="nil"/>
            </w:tcBorders>
            <w:shd w:val="clear" w:color="auto" w:fill="FFFFFF" w:themeFill="background1"/>
            <w:tcMar>
              <w:top w:w="57" w:type="dxa"/>
              <w:left w:w="57" w:type="dxa"/>
              <w:bottom w:w="57" w:type="dxa"/>
              <w:right w:w="57" w:type="dxa"/>
            </w:tcMar>
          </w:tcPr>
          <w:p w14:paraId="5A6AD2E2" w14:textId="77777777" w:rsidR="000C526C" w:rsidRPr="00623E0B" w:rsidRDefault="000C526C" w:rsidP="00382821">
            <w:pPr>
              <w:pStyle w:val="TableHeading"/>
              <w:spacing w:beforeLines="0" w:before="0" w:afterLines="0"/>
              <w:jc w:val="right"/>
              <w:rPr>
                <w:rFonts w:cs="Arial"/>
                <w:szCs w:val="18"/>
              </w:rPr>
            </w:pPr>
          </w:p>
        </w:tc>
        <w:tc>
          <w:tcPr>
            <w:tcW w:w="1506" w:type="dxa"/>
            <w:gridSpan w:val="2"/>
            <w:tcBorders>
              <w:top w:val="nil"/>
              <w:left w:val="nil"/>
              <w:right w:val="nil"/>
            </w:tcBorders>
            <w:shd w:val="clear" w:color="auto" w:fill="FFFFFF" w:themeFill="background1"/>
            <w:tcMar>
              <w:top w:w="57" w:type="dxa"/>
              <w:left w:w="57" w:type="dxa"/>
              <w:bottom w:w="57" w:type="dxa"/>
              <w:right w:w="57" w:type="dxa"/>
            </w:tcMar>
          </w:tcPr>
          <w:p w14:paraId="4F29022A" w14:textId="77777777" w:rsidR="000C526C" w:rsidRPr="005A6644" w:rsidRDefault="000C526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p>
        </w:tc>
        <w:tc>
          <w:tcPr>
            <w:tcW w:w="1914" w:type="dxa"/>
            <w:gridSpan w:val="2"/>
            <w:tcBorders>
              <w:top w:val="nil"/>
              <w:left w:val="nil"/>
            </w:tcBorders>
            <w:shd w:val="clear" w:color="auto" w:fill="FFFFFF" w:themeFill="background1"/>
            <w:tcMar>
              <w:top w:w="57" w:type="dxa"/>
              <w:left w:w="57" w:type="dxa"/>
              <w:bottom w:w="57" w:type="dxa"/>
              <w:right w:w="57" w:type="dxa"/>
            </w:tcMar>
          </w:tcPr>
          <w:p w14:paraId="7344EBD5" w14:textId="77777777" w:rsidR="000C526C" w:rsidRPr="005A6644" w:rsidRDefault="000C526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p>
        </w:tc>
        <w:tc>
          <w:tcPr>
            <w:tcW w:w="1234" w:type="dxa"/>
            <w:gridSpan w:val="2"/>
            <w:tcMar>
              <w:top w:w="57" w:type="dxa"/>
              <w:left w:w="57" w:type="dxa"/>
              <w:bottom w:w="57" w:type="dxa"/>
              <w:right w:w="57" w:type="dxa"/>
            </w:tcMar>
          </w:tcPr>
          <w:p w14:paraId="36183DC5" w14:textId="77777777" w:rsidR="000C526C" w:rsidRPr="005A6644" w:rsidRDefault="000C526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A6644">
              <w:rPr>
                <w:rFonts w:cs="Arial"/>
                <w:szCs w:val="18"/>
              </w:rPr>
              <w:t>2015–16</w:t>
            </w:r>
          </w:p>
        </w:tc>
        <w:tc>
          <w:tcPr>
            <w:tcW w:w="1371" w:type="dxa"/>
            <w:tcMar>
              <w:top w:w="57" w:type="dxa"/>
              <w:left w:w="57" w:type="dxa"/>
              <w:bottom w:w="57" w:type="dxa"/>
              <w:right w:w="57" w:type="dxa"/>
            </w:tcMar>
          </w:tcPr>
          <w:p w14:paraId="5B067DEA" w14:textId="77777777" w:rsidR="000C526C" w:rsidRPr="005A6644" w:rsidRDefault="000C526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A6644">
              <w:rPr>
                <w:rFonts w:cs="Arial"/>
                <w:szCs w:val="18"/>
              </w:rPr>
              <w:t>2016–17</w:t>
            </w:r>
          </w:p>
        </w:tc>
        <w:tc>
          <w:tcPr>
            <w:tcW w:w="1371" w:type="dxa"/>
            <w:noWrap/>
            <w:tcMar>
              <w:top w:w="57" w:type="dxa"/>
              <w:left w:w="57" w:type="dxa"/>
              <w:bottom w:w="57" w:type="dxa"/>
              <w:right w:w="57" w:type="dxa"/>
            </w:tcMar>
            <w:hideMark/>
          </w:tcPr>
          <w:p w14:paraId="23196190" w14:textId="77777777" w:rsidR="000C526C" w:rsidRPr="005A6644" w:rsidRDefault="000C526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sidRPr="005A6644">
              <w:rPr>
                <w:rFonts w:cs="Arial"/>
                <w:szCs w:val="18"/>
              </w:rPr>
              <w:t>Change (%)</w:t>
            </w:r>
          </w:p>
        </w:tc>
      </w:tr>
      <w:tr w:rsidR="000C526C" w:rsidRPr="00623E0B" w14:paraId="3E2855C9" w14:textId="77777777" w:rsidTr="00382821">
        <w:trPr>
          <w:trHeight w:val="241"/>
        </w:trPr>
        <w:tc>
          <w:tcPr>
            <w:cnfStyle w:val="001000000000" w:firstRow="0" w:lastRow="0" w:firstColumn="1" w:lastColumn="0" w:oddVBand="0" w:evenVBand="0" w:oddHBand="0" w:evenHBand="0" w:firstRowFirstColumn="0" w:firstRowLastColumn="0" w:lastRowFirstColumn="0" w:lastRowLastColumn="0"/>
            <w:tcW w:w="1480" w:type="dxa"/>
            <w:vMerge w:val="restart"/>
            <w:noWrap/>
            <w:tcMar>
              <w:top w:w="57" w:type="dxa"/>
              <w:left w:w="57" w:type="dxa"/>
              <w:bottom w:w="57" w:type="dxa"/>
              <w:right w:w="57" w:type="dxa"/>
            </w:tcMar>
          </w:tcPr>
          <w:p w14:paraId="37DB493F" w14:textId="77777777" w:rsidR="000C526C" w:rsidRPr="00744827" w:rsidRDefault="000C526C" w:rsidP="00382821">
            <w:pPr>
              <w:spacing w:before="0" w:after="0"/>
              <w:rPr>
                <w:rFonts w:cs="Arial"/>
                <w:b/>
                <w:szCs w:val="18"/>
              </w:rPr>
            </w:pPr>
            <w:r w:rsidRPr="00744827">
              <w:rPr>
                <w:rFonts w:cs="Arial"/>
                <w:b/>
                <w:bCs/>
                <w:szCs w:val="18"/>
              </w:rPr>
              <w:t>Complaints and reports*</w:t>
            </w:r>
          </w:p>
        </w:tc>
        <w:tc>
          <w:tcPr>
            <w:tcW w:w="3420" w:type="dxa"/>
            <w:gridSpan w:val="4"/>
            <w:tcMar>
              <w:top w:w="57" w:type="dxa"/>
              <w:left w:w="57" w:type="dxa"/>
              <w:bottom w:w="57" w:type="dxa"/>
              <w:right w:w="57" w:type="dxa"/>
            </w:tcMar>
          </w:tcPr>
          <w:p w14:paraId="7295BBF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Telemarketing complaints</w:t>
            </w:r>
          </w:p>
        </w:tc>
        <w:tc>
          <w:tcPr>
            <w:tcW w:w="1234" w:type="dxa"/>
            <w:gridSpan w:val="2"/>
            <w:tcMar>
              <w:top w:w="57" w:type="dxa"/>
              <w:left w:w="57" w:type="dxa"/>
              <w:bottom w:w="57" w:type="dxa"/>
              <w:right w:w="57" w:type="dxa"/>
            </w:tcMar>
          </w:tcPr>
          <w:p w14:paraId="7558066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23,014</w:t>
            </w:r>
          </w:p>
        </w:tc>
        <w:tc>
          <w:tcPr>
            <w:tcW w:w="1398" w:type="dxa"/>
            <w:gridSpan w:val="2"/>
            <w:tcMar>
              <w:top w:w="57" w:type="dxa"/>
              <w:left w:w="57" w:type="dxa"/>
              <w:bottom w:w="57" w:type="dxa"/>
              <w:right w:w="57" w:type="dxa"/>
            </w:tcMar>
          </w:tcPr>
          <w:p w14:paraId="4CF9C4E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28,197</w:t>
            </w:r>
          </w:p>
        </w:tc>
        <w:tc>
          <w:tcPr>
            <w:tcW w:w="1371" w:type="dxa"/>
            <w:noWrap/>
            <w:tcMar>
              <w:top w:w="57" w:type="dxa"/>
              <w:left w:w="57" w:type="dxa"/>
              <w:bottom w:w="57" w:type="dxa"/>
              <w:right w:w="57" w:type="dxa"/>
            </w:tcMar>
          </w:tcPr>
          <w:p w14:paraId="2504A485"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22.5</w:t>
            </w:r>
          </w:p>
        </w:tc>
      </w:tr>
      <w:tr w:rsidR="000C526C" w:rsidRPr="00623E0B" w14:paraId="6B88BB05" w14:textId="77777777" w:rsidTr="00382821">
        <w:trPr>
          <w:trHeight w:val="146"/>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2C6FE733" w14:textId="77777777" w:rsidR="000C526C" w:rsidRPr="00744827" w:rsidRDefault="000C526C" w:rsidP="00382821">
            <w:pPr>
              <w:spacing w:before="0" w:after="0"/>
              <w:rPr>
                <w:rFonts w:cs="Arial"/>
                <w:b/>
                <w:szCs w:val="18"/>
              </w:rPr>
            </w:pPr>
          </w:p>
        </w:tc>
        <w:tc>
          <w:tcPr>
            <w:tcW w:w="3420" w:type="dxa"/>
            <w:gridSpan w:val="4"/>
            <w:tcMar>
              <w:top w:w="57" w:type="dxa"/>
              <w:left w:w="57" w:type="dxa"/>
              <w:bottom w:w="57" w:type="dxa"/>
              <w:right w:w="57" w:type="dxa"/>
            </w:tcMar>
          </w:tcPr>
          <w:p w14:paraId="5C054793"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Fax marketing complaints</w:t>
            </w:r>
          </w:p>
        </w:tc>
        <w:tc>
          <w:tcPr>
            <w:tcW w:w="1234" w:type="dxa"/>
            <w:gridSpan w:val="2"/>
            <w:tcMar>
              <w:top w:w="57" w:type="dxa"/>
              <w:left w:w="57" w:type="dxa"/>
              <w:bottom w:w="57" w:type="dxa"/>
              <w:right w:w="57" w:type="dxa"/>
            </w:tcMar>
          </w:tcPr>
          <w:p w14:paraId="5197A725"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45</w:t>
            </w:r>
          </w:p>
        </w:tc>
        <w:tc>
          <w:tcPr>
            <w:tcW w:w="1398" w:type="dxa"/>
            <w:gridSpan w:val="2"/>
            <w:tcMar>
              <w:top w:w="57" w:type="dxa"/>
              <w:left w:w="57" w:type="dxa"/>
              <w:bottom w:w="57" w:type="dxa"/>
              <w:right w:w="57" w:type="dxa"/>
            </w:tcMar>
          </w:tcPr>
          <w:p w14:paraId="41F420F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62</w:t>
            </w:r>
          </w:p>
        </w:tc>
        <w:tc>
          <w:tcPr>
            <w:tcW w:w="1371" w:type="dxa"/>
            <w:noWrap/>
            <w:tcMar>
              <w:top w:w="57" w:type="dxa"/>
              <w:left w:w="57" w:type="dxa"/>
              <w:bottom w:w="57" w:type="dxa"/>
              <w:right w:w="57" w:type="dxa"/>
            </w:tcMar>
          </w:tcPr>
          <w:p w14:paraId="4DA26EF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37.8</w:t>
            </w:r>
          </w:p>
        </w:tc>
      </w:tr>
      <w:tr w:rsidR="000C526C" w:rsidRPr="00623E0B" w14:paraId="488B4020" w14:textId="77777777" w:rsidTr="00382821">
        <w:trPr>
          <w:trHeight w:val="25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777BAA38" w14:textId="77777777" w:rsidR="000C526C" w:rsidRPr="00744827" w:rsidRDefault="000C526C" w:rsidP="00382821">
            <w:pPr>
              <w:spacing w:before="0" w:after="0"/>
              <w:rPr>
                <w:rFonts w:cs="Arial"/>
                <w:b/>
                <w:szCs w:val="18"/>
              </w:rPr>
            </w:pPr>
          </w:p>
        </w:tc>
        <w:tc>
          <w:tcPr>
            <w:tcW w:w="1506" w:type="dxa"/>
            <w:gridSpan w:val="2"/>
            <w:vMerge w:val="restart"/>
            <w:tcMar>
              <w:top w:w="57" w:type="dxa"/>
              <w:left w:w="57" w:type="dxa"/>
              <w:bottom w:w="57" w:type="dxa"/>
              <w:right w:w="57" w:type="dxa"/>
            </w:tcMar>
          </w:tcPr>
          <w:p w14:paraId="5E3E2CD7"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Spam*</w:t>
            </w:r>
          </w:p>
        </w:tc>
        <w:tc>
          <w:tcPr>
            <w:tcW w:w="1914" w:type="dxa"/>
            <w:gridSpan w:val="2"/>
            <w:tcMar>
              <w:top w:w="57" w:type="dxa"/>
              <w:left w:w="57" w:type="dxa"/>
              <w:bottom w:w="57" w:type="dxa"/>
              <w:right w:w="57" w:type="dxa"/>
            </w:tcMar>
          </w:tcPr>
          <w:p w14:paraId="124B0FBF"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Complaints (email)</w:t>
            </w:r>
          </w:p>
        </w:tc>
        <w:tc>
          <w:tcPr>
            <w:tcW w:w="1234" w:type="dxa"/>
            <w:gridSpan w:val="2"/>
            <w:tcMar>
              <w:top w:w="57" w:type="dxa"/>
              <w:left w:w="57" w:type="dxa"/>
              <w:bottom w:w="57" w:type="dxa"/>
              <w:right w:w="57" w:type="dxa"/>
            </w:tcMar>
          </w:tcPr>
          <w:p w14:paraId="64A7CB7B"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1,275</w:t>
            </w:r>
          </w:p>
        </w:tc>
        <w:tc>
          <w:tcPr>
            <w:tcW w:w="1398" w:type="dxa"/>
            <w:gridSpan w:val="2"/>
            <w:tcMar>
              <w:top w:w="57" w:type="dxa"/>
              <w:left w:w="57" w:type="dxa"/>
              <w:bottom w:w="57" w:type="dxa"/>
              <w:right w:w="57" w:type="dxa"/>
            </w:tcMar>
          </w:tcPr>
          <w:p w14:paraId="14361743"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1,820</w:t>
            </w:r>
          </w:p>
        </w:tc>
        <w:tc>
          <w:tcPr>
            <w:tcW w:w="1371" w:type="dxa"/>
            <w:noWrap/>
            <w:tcMar>
              <w:top w:w="57" w:type="dxa"/>
              <w:left w:w="57" w:type="dxa"/>
              <w:bottom w:w="57" w:type="dxa"/>
              <w:right w:w="57" w:type="dxa"/>
            </w:tcMar>
          </w:tcPr>
          <w:p w14:paraId="7A27163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42.8</w:t>
            </w:r>
          </w:p>
        </w:tc>
      </w:tr>
      <w:tr w:rsidR="000C526C" w:rsidRPr="00623E0B" w14:paraId="539C0D19" w14:textId="77777777" w:rsidTr="00382821">
        <w:trPr>
          <w:trHeight w:val="156"/>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2127DBE0" w14:textId="77777777" w:rsidR="000C526C" w:rsidRPr="00744827" w:rsidRDefault="000C526C" w:rsidP="00382821">
            <w:pPr>
              <w:spacing w:before="0" w:after="0"/>
              <w:rPr>
                <w:rFonts w:cs="Arial"/>
                <w:b/>
                <w:szCs w:val="18"/>
              </w:rPr>
            </w:pPr>
          </w:p>
        </w:tc>
        <w:tc>
          <w:tcPr>
            <w:tcW w:w="1506" w:type="dxa"/>
            <w:gridSpan w:val="2"/>
            <w:vMerge/>
            <w:tcMar>
              <w:top w:w="57" w:type="dxa"/>
              <w:left w:w="57" w:type="dxa"/>
              <w:bottom w:w="57" w:type="dxa"/>
              <w:right w:w="57" w:type="dxa"/>
            </w:tcMar>
          </w:tcPr>
          <w:p w14:paraId="112AE876" w14:textId="77777777" w:rsidR="000C526C" w:rsidRPr="00744827" w:rsidRDefault="000C526C" w:rsidP="00382821">
            <w:pPr>
              <w:spacing w:before="0" w:after="0"/>
              <w:ind w:firstLine="318"/>
              <w:cnfStyle w:val="000000000000" w:firstRow="0" w:lastRow="0" w:firstColumn="0" w:lastColumn="0" w:oddVBand="0" w:evenVBand="0" w:oddHBand="0" w:evenHBand="0" w:firstRowFirstColumn="0" w:firstRowLastColumn="0" w:lastRowFirstColumn="0" w:lastRowLastColumn="0"/>
              <w:rPr>
                <w:rFonts w:cs="Arial"/>
                <w:szCs w:val="18"/>
              </w:rPr>
            </w:pPr>
          </w:p>
        </w:tc>
        <w:tc>
          <w:tcPr>
            <w:tcW w:w="1914" w:type="dxa"/>
            <w:gridSpan w:val="2"/>
            <w:tcMar>
              <w:top w:w="57" w:type="dxa"/>
              <w:left w:w="57" w:type="dxa"/>
              <w:bottom w:w="57" w:type="dxa"/>
              <w:right w:w="57" w:type="dxa"/>
            </w:tcMar>
          </w:tcPr>
          <w:p w14:paraId="3624A04E"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Reports (email)</w:t>
            </w:r>
          </w:p>
        </w:tc>
        <w:tc>
          <w:tcPr>
            <w:tcW w:w="1234" w:type="dxa"/>
            <w:gridSpan w:val="2"/>
            <w:tcMar>
              <w:top w:w="57" w:type="dxa"/>
              <w:left w:w="57" w:type="dxa"/>
              <w:bottom w:w="57" w:type="dxa"/>
              <w:right w:w="57" w:type="dxa"/>
            </w:tcMar>
          </w:tcPr>
          <w:p w14:paraId="362694F9"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514,604</w:t>
            </w:r>
          </w:p>
        </w:tc>
        <w:tc>
          <w:tcPr>
            <w:tcW w:w="1398" w:type="dxa"/>
            <w:gridSpan w:val="2"/>
            <w:tcMar>
              <w:top w:w="57" w:type="dxa"/>
              <w:left w:w="57" w:type="dxa"/>
              <w:bottom w:w="57" w:type="dxa"/>
              <w:right w:w="57" w:type="dxa"/>
            </w:tcMar>
          </w:tcPr>
          <w:p w14:paraId="012DD69F"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828,184</w:t>
            </w:r>
          </w:p>
        </w:tc>
        <w:tc>
          <w:tcPr>
            <w:tcW w:w="1371" w:type="dxa"/>
            <w:noWrap/>
            <w:tcMar>
              <w:top w:w="57" w:type="dxa"/>
              <w:left w:w="57" w:type="dxa"/>
              <w:bottom w:w="57" w:type="dxa"/>
              <w:right w:w="57" w:type="dxa"/>
            </w:tcMar>
          </w:tcPr>
          <w:p w14:paraId="568F5426"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60.9</w:t>
            </w:r>
          </w:p>
        </w:tc>
      </w:tr>
      <w:tr w:rsidR="000C526C" w:rsidRPr="00623E0B" w14:paraId="26F5FB48" w14:textId="77777777" w:rsidTr="00382821">
        <w:trPr>
          <w:trHeight w:val="104"/>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24AF4E7A" w14:textId="77777777" w:rsidR="000C526C" w:rsidRPr="00744827" w:rsidRDefault="000C526C" w:rsidP="00382821">
            <w:pPr>
              <w:spacing w:before="0" w:after="0"/>
              <w:rPr>
                <w:rFonts w:cs="Arial"/>
                <w:b/>
                <w:bCs/>
                <w:szCs w:val="18"/>
              </w:rPr>
            </w:pPr>
          </w:p>
        </w:tc>
        <w:tc>
          <w:tcPr>
            <w:tcW w:w="1506" w:type="dxa"/>
            <w:gridSpan w:val="2"/>
            <w:vMerge/>
            <w:tcMar>
              <w:top w:w="57" w:type="dxa"/>
              <w:left w:w="57" w:type="dxa"/>
              <w:bottom w:w="57" w:type="dxa"/>
              <w:right w:w="57" w:type="dxa"/>
            </w:tcMar>
          </w:tcPr>
          <w:p w14:paraId="7462625A" w14:textId="77777777" w:rsidR="000C526C" w:rsidRPr="00744827" w:rsidRDefault="000C526C" w:rsidP="00382821">
            <w:pPr>
              <w:spacing w:before="0" w:after="0"/>
              <w:ind w:firstLine="318"/>
              <w:cnfStyle w:val="000000000000" w:firstRow="0" w:lastRow="0" w:firstColumn="0" w:lastColumn="0" w:oddVBand="0" w:evenVBand="0" w:oddHBand="0" w:evenHBand="0" w:firstRowFirstColumn="0" w:firstRowLastColumn="0" w:lastRowFirstColumn="0" w:lastRowLastColumn="0"/>
              <w:rPr>
                <w:rFonts w:cs="Arial"/>
                <w:szCs w:val="18"/>
              </w:rPr>
            </w:pPr>
          </w:p>
        </w:tc>
        <w:tc>
          <w:tcPr>
            <w:tcW w:w="1914" w:type="dxa"/>
            <w:gridSpan w:val="2"/>
            <w:tcMar>
              <w:top w:w="57" w:type="dxa"/>
              <w:left w:w="57" w:type="dxa"/>
              <w:bottom w:w="57" w:type="dxa"/>
              <w:right w:w="57" w:type="dxa"/>
            </w:tcMar>
          </w:tcPr>
          <w:p w14:paraId="7D64143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Complaints (SMS)</w:t>
            </w:r>
          </w:p>
        </w:tc>
        <w:tc>
          <w:tcPr>
            <w:tcW w:w="1234" w:type="dxa"/>
            <w:gridSpan w:val="2"/>
            <w:tcMar>
              <w:top w:w="57" w:type="dxa"/>
              <w:left w:w="57" w:type="dxa"/>
              <w:bottom w:w="57" w:type="dxa"/>
              <w:right w:w="57" w:type="dxa"/>
            </w:tcMar>
          </w:tcPr>
          <w:p w14:paraId="0367CBF6" w14:textId="77777777" w:rsidR="000C526C" w:rsidRPr="00744827" w:rsidDel="001662AF"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462</w:t>
            </w:r>
          </w:p>
        </w:tc>
        <w:tc>
          <w:tcPr>
            <w:tcW w:w="1398" w:type="dxa"/>
            <w:gridSpan w:val="2"/>
            <w:tcMar>
              <w:top w:w="57" w:type="dxa"/>
              <w:left w:w="57" w:type="dxa"/>
              <w:bottom w:w="57" w:type="dxa"/>
              <w:right w:w="57" w:type="dxa"/>
            </w:tcMar>
          </w:tcPr>
          <w:p w14:paraId="4008515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569</w:t>
            </w:r>
          </w:p>
        </w:tc>
        <w:tc>
          <w:tcPr>
            <w:tcW w:w="1371" w:type="dxa"/>
            <w:noWrap/>
            <w:tcMar>
              <w:top w:w="57" w:type="dxa"/>
              <w:left w:w="57" w:type="dxa"/>
              <w:bottom w:w="57" w:type="dxa"/>
              <w:right w:w="57" w:type="dxa"/>
            </w:tcMar>
          </w:tcPr>
          <w:p w14:paraId="1A25608F"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23.</w:t>
            </w:r>
            <w:r>
              <w:rPr>
                <w:rFonts w:cs="Arial"/>
                <w:color w:val="000000"/>
                <w:szCs w:val="18"/>
              </w:rPr>
              <w:t>2</w:t>
            </w:r>
          </w:p>
        </w:tc>
      </w:tr>
      <w:tr w:rsidR="000C526C" w:rsidRPr="00623E0B" w14:paraId="1DA22B10" w14:textId="77777777" w:rsidTr="00382821">
        <w:trPr>
          <w:trHeight w:val="21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45B5CEE0" w14:textId="77777777" w:rsidR="000C526C" w:rsidRPr="00744827" w:rsidRDefault="000C526C" w:rsidP="00382821">
            <w:pPr>
              <w:spacing w:before="0" w:after="0"/>
              <w:rPr>
                <w:rFonts w:cs="Arial"/>
                <w:b/>
                <w:szCs w:val="18"/>
              </w:rPr>
            </w:pPr>
          </w:p>
        </w:tc>
        <w:tc>
          <w:tcPr>
            <w:tcW w:w="1506" w:type="dxa"/>
            <w:gridSpan w:val="2"/>
            <w:vMerge/>
            <w:tcMar>
              <w:top w:w="57" w:type="dxa"/>
              <w:left w:w="57" w:type="dxa"/>
              <w:bottom w:w="57" w:type="dxa"/>
              <w:right w:w="57" w:type="dxa"/>
            </w:tcMar>
          </w:tcPr>
          <w:p w14:paraId="6ACE396B" w14:textId="77777777" w:rsidR="000C526C" w:rsidRPr="00744827" w:rsidRDefault="000C526C" w:rsidP="00382821">
            <w:pPr>
              <w:spacing w:before="0" w:after="0"/>
              <w:ind w:firstLine="318"/>
              <w:cnfStyle w:val="000000000000" w:firstRow="0" w:lastRow="0" w:firstColumn="0" w:lastColumn="0" w:oddVBand="0" w:evenVBand="0" w:oddHBand="0" w:evenHBand="0" w:firstRowFirstColumn="0" w:firstRowLastColumn="0" w:lastRowFirstColumn="0" w:lastRowLastColumn="0"/>
              <w:rPr>
                <w:rFonts w:cs="Arial"/>
                <w:szCs w:val="18"/>
              </w:rPr>
            </w:pPr>
          </w:p>
        </w:tc>
        <w:tc>
          <w:tcPr>
            <w:tcW w:w="1914" w:type="dxa"/>
            <w:gridSpan w:val="2"/>
            <w:tcMar>
              <w:top w:w="57" w:type="dxa"/>
              <w:left w:w="57" w:type="dxa"/>
              <w:bottom w:w="57" w:type="dxa"/>
              <w:right w:w="57" w:type="dxa"/>
            </w:tcMar>
          </w:tcPr>
          <w:p w14:paraId="047DBA1B"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szCs w:val="18"/>
              </w:rPr>
              <w:t>Reports (SMS)</w:t>
            </w:r>
          </w:p>
        </w:tc>
        <w:tc>
          <w:tcPr>
            <w:tcW w:w="1234" w:type="dxa"/>
            <w:gridSpan w:val="2"/>
            <w:tcMar>
              <w:top w:w="57" w:type="dxa"/>
              <w:left w:w="57" w:type="dxa"/>
              <w:bottom w:w="57" w:type="dxa"/>
              <w:right w:w="57" w:type="dxa"/>
            </w:tcMar>
          </w:tcPr>
          <w:p w14:paraId="66595794" w14:textId="77777777" w:rsidR="000C526C" w:rsidRPr="00744827" w:rsidDel="001662AF"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17,606</w:t>
            </w:r>
          </w:p>
        </w:tc>
        <w:tc>
          <w:tcPr>
            <w:tcW w:w="1398" w:type="dxa"/>
            <w:gridSpan w:val="2"/>
            <w:tcMar>
              <w:top w:w="57" w:type="dxa"/>
              <w:left w:w="57" w:type="dxa"/>
              <w:bottom w:w="57" w:type="dxa"/>
              <w:right w:w="57" w:type="dxa"/>
            </w:tcMar>
          </w:tcPr>
          <w:p w14:paraId="0C81A455"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19,355</w:t>
            </w:r>
          </w:p>
        </w:tc>
        <w:tc>
          <w:tcPr>
            <w:tcW w:w="1371" w:type="dxa"/>
            <w:noWrap/>
            <w:tcMar>
              <w:top w:w="57" w:type="dxa"/>
              <w:left w:w="57" w:type="dxa"/>
              <w:bottom w:w="57" w:type="dxa"/>
              <w:right w:w="57" w:type="dxa"/>
            </w:tcMar>
          </w:tcPr>
          <w:p w14:paraId="648A030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9.9</w:t>
            </w:r>
          </w:p>
        </w:tc>
      </w:tr>
      <w:tr w:rsidR="000C526C" w:rsidRPr="00623E0B" w14:paraId="309915A9" w14:textId="77777777" w:rsidTr="007D01D0">
        <w:trPr>
          <w:trHeight w:val="2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715AB54A" w14:textId="77777777" w:rsidR="000C526C" w:rsidRPr="00744827" w:rsidRDefault="000C526C" w:rsidP="00382821">
            <w:pPr>
              <w:spacing w:before="0" w:after="0"/>
              <w:rPr>
                <w:rFonts w:cs="Arial"/>
                <w:b/>
                <w:szCs w:val="18"/>
              </w:rPr>
            </w:pPr>
          </w:p>
        </w:tc>
        <w:tc>
          <w:tcPr>
            <w:tcW w:w="3420" w:type="dxa"/>
            <w:gridSpan w:val="4"/>
            <w:shd w:val="clear" w:color="auto" w:fill="F2F2F2" w:themeFill="background1" w:themeFillShade="F2"/>
            <w:tcMar>
              <w:top w:w="57" w:type="dxa"/>
              <w:left w:w="57" w:type="dxa"/>
              <w:bottom w:w="57" w:type="dxa"/>
              <w:right w:w="57" w:type="dxa"/>
            </w:tcMar>
          </w:tcPr>
          <w:p w14:paraId="3FE9C5BA"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bCs/>
                <w:i/>
                <w:iCs/>
                <w:szCs w:val="18"/>
              </w:rPr>
            </w:pPr>
            <w:r w:rsidRPr="00744827">
              <w:rPr>
                <w:rFonts w:cs="Arial"/>
                <w:b/>
                <w:bCs/>
                <w:szCs w:val="18"/>
              </w:rPr>
              <w:t>Total</w:t>
            </w:r>
          </w:p>
        </w:tc>
        <w:tc>
          <w:tcPr>
            <w:tcW w:w="1234" w:type="dxa"/>
            <w:gridSpan w:val="2"/>
            <w:shd w:val="clear" w:color="auto" w:fill="F2F2F2" w:themeFill="background1" w:themeFillShade="F2"/>
            <w:tcMar>
              <w:top w:w="57" w:type="dxa"/>
              <w:left w:w="57" w:type="dxa"/>
              <w:bottom w:w="57" w:type="dxa"/>
              <w:right w:w="57" w:type="dxa"/>
            </w:tcMar>
          </w:tcPr>
          <w:p w14:paraId="06535581" w14:textId="77777777" w:rsidR="000C526C" w:rsidRPr="00744827" w:rsidDel="001662AF"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557,006</w:t>
            </w:r>
          </w:p>
        </w:tc>
        <w:tc>
          <w:tcPr>
            <w:tcW w:w="1398" w:type="dxa"/>
            <w:gridSpan w:val="2"/>
            <w:shd w:val="clear" w:color="auto" w:fill="F2F2F2" w:themeFill="background1" w:themeFillShade="F2"/>
            <w:tcMar>
              <w:top w:w="57" w:type="dxa"/>
              <w:left w:w="57" w:type="dxa"/>
              <w:bottom w:w="57" w:type="dxa"/>
              <w:right w:w="57" w:type="dxa"/>
            </w:tcMar>
          </w:tcPr>
          <w:p w14:paraId="4603DCA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bCs/>
                <w:szCs w:val="18"/>
              </w:rPr>
            </w:pPr>
            <w:r w:rsidRPr="00744827">
              <w:rPr>
                <w:rFonts w:cs="Arial"/>
                <w:b/>
                <w:bCs/>
                <w:szCs w:val="18"/>
              </w:rPr>
              <w:t>878,187</w:t>
            </w:r>
          </w:p>
        </w:tc>
        <w:tc>
          <w:tcPr>
            <w:tcW w:w="1371" w:type="dxa"/>
            <w:shd w:val="clear" w:color="auto" w:fill="F2F2F2" w:themeFill="background1" w:themeFillShade="F2"/>
            <w:noWrap/>
            <w:tcMar>
              <w:top w:w="57" w:type="dxa"/>
              <w:left w:w="57" w:type="dxa"/>
              <w:bottom w:w="57" w:type="dxa"/>
              <w:right w:w="57" w:type="dxa"/>
            </w:tcMar>
          </w:tcPr>
          <w:p w14:paraId="1D35B623"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744827">
              <w:rPr>
                <w:rFonts w:cs="Arial"/>
                <w:b/>
                <w:bCs/>
                <w:szCs w:val="18"/>
              </w:rPr>
              <w:t>57.</w:t>
            </w:r>
            <w:r>
              <w:rPr>
                <w:rFonts w:cs="Arial"/>
                <w:b/>
                <w:bCs/>
                <w:szCs w:val="18"/>
              </w:rPr>
              <w:t>7</w:t>
            </w:r>
          </w:p>
        </w:tc>
      </w:tr>
      <w:tr w:rsidR="000C526C" w:rsidRPr="00623E0B" w14:paraId="4B2F228C" w14:textId="77777777" w:rsidTr="00382821">
        <w:trPr>
          <w:trHeight w:val="104"/>
        </w:trPr>
        <w:tc>
          <w:tcPr>
            <w:cnfStyle w:val="001000000000" w:firstRow="0" w:lastRow="0" w:firstColumn="1" w:lastColumn="0" w:oddVBand="0" w:evenVBand="0" w:oddHBand="0" w:evenHBand="0" w:firstRowFirstColumn="0" w:firstRowLastColumn="0" w:lastRowFirstColumn="0" w:lastRowLastColumn="0"/>
            <w:tcW w:w="1480" w:type="dxa"/>
            <w:vMerge w:val="restart"/>
            <w:noWrap/>
            <w:tcMar>
              <w:top w:w="57" w:type="dxa"/>
              <w:left w:w="57" w:type="dxa"/>
              <w:bottom w:w="57" w:type="dxa"/>
              <w:right w:w="57" w:type="dxa"/>
            </w:tcMar>
            <w:hideMark/>
          </w:tcPr>
          <w:p w14:paraId="7BE0D007" w14:textId="77777777" w:rsidR="000C526C" w:rsidRPr="00744827" w:rsidRDefault="000C526C" w:rsidP="00382821">
            <w:pPr>
              <w:spacing w:before="0" w:after="0"/>
              <w:rPr>
                <w:rFonts w:cs="Arial"/>
                <w:b/>
                <w:bCs/>
                <w:i/>
                <w:iCs/>
                <w:szCs w:val="18"/>
                <w:vertAlign w:val="superscript"/>
              </w:rPr>
            </w:pPr>
            <w:r w:rsidRPr="00744827">
              <w:rPr>
                <w:rFonts w:cs="Arial"/>
                <w:b/>
                <w:szCs w:val="18"/>
              </w:rPr>
              <w:t>Enquiries</w:t>
            </w:r>
            <w:r w:rsidRPr="00744827">
              <w:rPr>
                <w:rFonts w:cs="Arial"/>
                <w:b/>
                <w:szCs w:val="18"/>
                <w:vertAlign w:val="superscript"/>
              </w:rPr>
              <w:t>†</w:t>
            </w:r>
          </w:p>
        </w:tc>
        <w:tc>
          <w:tcPr>
            <w:tcW w:w="3420" w:type="dxa"/>
            <w:gridSpan w:val="4"/>
            <w:tcMar>
              <w:top w:w="57" w:type="dxa"/>
              <w:left w:w="57" w:type="dxa"/>
              <w:bottom w:w="57" w:type="dxa"/>
              <w:right w:w="57" w:type="dxa"/>
            </w:tcMar>
          </w:tcPr>
          <w:p w14:paraId="7A99A25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Telemarketing and fax marketing</w:t>
            </w:r>
          </w:p>
        </w:tc>
        <w:tc>
          <w:tcPr>
            <w:tcW w:w="1234" w:type="dxa"/>
            <w:gridSpan w:val="2"/>
            <w:tcMar>
              <w:top w:w="57" w:type="dxa"/>
              <w:left w:w="57" w:type="dxa"/>
              <w:bottom w:w="57" w:type="dxa"/>
              <w:right w:w="57" w:type="dxa"/>
            </w:tcMar>
          </w:tcPr>
          <w:p w14:paraId="72F6B38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6,740</w:t>
            </w:r>
          </w:p>
        </w:tc>
        <w:tc>
          <w:tcPr>
            <w:tcW w:w="1398" w:type="dxa"/>
            <w:gridSpan w:val="2"/>
            <w:tcMar>
              <w:top w:w="57" w:type="dxa"/>
              <w:left w:w="57" w:type="dxa"/>
              <w:bottom w:w="57" w:type="dxa"/>
              <w:right w:w="57" w:type="dxa"/>
            </w:tcMar>
          </w:tcPr>
          <w:p w14:paraId="7D516774"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5,484</w:t>
            </w:r>
          </w:p>
        </w:tc>
        <w:tc>
          <w:tcPr>
            <w:tcW w:w="1371" w:type="dxa"/>
            <w:noWrap/>
            <w:tcMar>
              <w:top w:w="57" w:type="dxa"/>
              <w:left w:w="57" w:type="dxa"/>
              <w:bottom w:w="57" w:type="dxa"/>
              <w:right w:w="57" w:type="dxa"/>
            </w:tcMar>
          </w:tcPr>
          <w:p w14:paraId="36FAB644" w14:textId="77777777" w:rsidR="000C526C" w:rsidRPr="00744827" w:rsidRDefault="00F554FD"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w:t>
            </w:r>
            <w:r w:rsidR="000C526C">
              <w:rPr>
                <w:rFonts w:cs="Arial"/>
                <w:color w:val="000000"/>
                <w:szCs w:val="18"/>
              </w:rPr>
              <w:t>18.6</w:t>
            </w:r>
          </w:p>
        </w:tc>
      </w:tr>
      <w:tr w:rsidR="000C526C" w:rsidRPr="00623E0B" w14:paraId="3219E177" w14:textId="77777777" w:rsidTr="00382821">
        <w:trPr>
          <w:trHeight w:val="194"/>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6A4D3883" w14:textId="77777777" w:rsidR="000C526C" w:rsidRPr="00744827" w:rsidRDefault="000C526C" w:rsidP="00382821">
            <w:pPr>
              <w:spacing w:before="0" w:after="0"/>
              <w:rPr>
                <w:rFonts w:cs="Arial"/>
                <w:b/>
                <w:bCs/>
                <w:i/>
                <w:iCs/>
                <w:szCs w:val="18"/>
              </w:rPr>
            </w:pPr>
          </w:p>
        </w:tc>
        <w:tc>
          <w:tcPr>
            <w:tcW w:w="3420" w:type="dxa"/>
            <w:gridSpan w:val="4"/>
            <w:tcMar>
              <w:top w:w="57" w:type="dxa"/>
              <w:left w:w="57" w:type="dxa"/>
              <w:bottom w:w="57" w:type="dxa"/>
              <w:right w:w="57" w:type="dxa"/>
            </w:tcMar>
          </w:tcPr>
          <w:p w14:paraId="2F7DE9C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Spam</w:t>
            </w:r>
          </w:p>
        </w:tc>
        <w:tc>
          <w:tcPr>
            <w:tcW w:w="1234" w:type="dxa"/>
            <w:gridSpan w:val="2"/>
            <w:tcMar>
              <w:top w:w="57" w:type="dxa"/>
              <w:left w:w="57" w:type="dxa"/>
              <w:bottom w:w="57" w:type="dxa"/>
              <w:right w:w="57" w:type="dxa"/>
            </w:tcMar>
          </w:tcPr>
          <w:p w14:paraId="0C7D8E19"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1,251</w:t>
            </w:r>
          </w:p>
        </w:tc>
        <w:tc>
          <w:tcPr>
            <w:tcW w:w="1398" w:type="dxa"/>
            <w:gridSpan w:val="2"/>
            <w:tcMar>
              <w:top w:w="57" w:type="dxa"/>
              <w:left w:w="57" w:type="dxa"/>
              <w:bottom w:w="57" w:type="dxa"/>
              <w:right w:w="57" w:type="dxa"/>
            </w:tcMar>
          </w:tcPr>
          <w:p w14:paraId="47C107A9"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1,458</w:t>
            </w:r>
          </w:p>
        </w:tc>
        <w:tc>
          <w:tcPr>
            <w:tcW w:w="1371" w:type="dxa"/>
            <w:noWrap/>
            <w:tcMar>
              <w:top w:w="57" w:type="dxa"/>
              <w:left w:w="57" w:type="dxa"/>
              <w:bottom w:w="57" w:type="dxa"/>
              <w:right w:w="57" w:type="dxa"/>
            </w:tcMar>
          </w:tcPr>
          <w:p w14:paraId="534FA92C"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16.6</w:t>
            </w:r>
          </w:p>
        </w:tc>
      </w:tr>
      <w:tr w:rsidR="000C526C" w:rsidRPr="00623E0B" w14:paraId="140608C9" w14:textId="77777777" w:rsidTr="00382821">
        <w:trPr>
          <w:trHeight w:val="2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25EB5BF6" w14:textId="77777777" w:rsidR="000C526C" w:rsidRPr="00744827" w:rsidRDefault="000C526C" w:rsidP="00382821">
            <w:pPr>
              <w:spacing w:before="0" w:after="0"/>
              <w:rPr>
                <w:rFonts w:cs="Arial"/>
                <w:b/>
                <w:bCs/>
                <w:i/>
                <w:iCs/>
                <w:szCs w:val="18"/>
              </w:rPr>
            </w:pPr>
          </w:p>
        </w:tc>
        <w:tc>
          <w:tcPr>
            <w:tcW w:w="3420" w:type="dxa"/>
            <w:gridSpan w:val="4"/>
            <w:tcMar>
              <w:top w:w="57" w:type="dxa"/>
              <w:left w:w="57" w:type="dxa"/>
              <w:bottom w:w="57" w:type="dxa"/>
              <w:right w:w="57" w:type="dxa"/>
            </w:tcMar>
          </w:tcPr>
          <w:p w14:paraId="5133BC04"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bCs/>
                <w:i/>
                <w:iCs/>
                <w:szCs w:val="18"/>
              </w:rPr>
            </w:pPr>
            <w:r w:rsidRPr="00744827">
              <w:rPr>
                <w:rFonts w:cs="Arial"/>
                <w:b/>
                <w:bCs/>
                <w:szCs w:val="18"/>
              </w:rPr>
              <w:t>Total</w:t>
            </w:r>
          </w:p>
        </w:tc>
        <w:tc>
          <w:tcPr>
            <w:tcW w:w="1234" w:type="dxa"/>
            <w:gridSpan w:val="2"/>
            <w:tcMar>
              <w:top w:w="57" w:type="dxa"/>
              <w:left w:w="57" w:type="dxa"/>
              <w:bottom w:w="57" w:type="dxa"/>
              <w:right w:w="57" w:type="dxa"/>
            </w:tcMar>
          </w:tcPr>
          <w:p w14:paraId="48C0C284"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szCs w:val="18"/>
              </w:rPr>
              <w:t>7,991</w:t>
            </w:r>
          </w:p>
        </w:tc>
        <w:tc>
          <w:tcPr>
            <w:tcW w:w="1398" w:type="dxa"/>
            <w:gridSpan w:val="2"/>
            <w:tcMar>
              <w:top w:w="57" w:type="dxa"/>
              <w:left w:w="57" w:type="dxa"/>
              <w:bottom w:w="57" w:type="dxa"/>
              <w:right w:w="57" w:type="dxa"/>
            </w:tcMar>
          </w:tcPr>
          <w:p w14:paraId="25F30C5C"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744827">
              <w:rPr>
                <w:rFonts w:cs="Arial"/>
                <w:b/>
                <w:szCs w:val="18"/>
              </w:rPr>
              <w:t>6,942</w:t>
            </w:r>
          </w:p>
        </w:tc>
        <w:tc>
          <w:tcPr>
            <w:tcW w:w="1371" w:type="dxa"/>
            <w:noWrap/>
            <w:tcMar>
              <w:top w:w="57" w:type="dxa"/>
              <w:left w:w="57" w:type="dxa"/>
              <w:bottom w:w="57" w:type="dxa"/>
              <w:right w:w="57" w:type="dxa"/>
            </w:tcMar>
          </w:tcPr>
          <w:p w14:paraId="782DE70E" w14:textId="77777777" w:rsidR="000C526C" w:rsidRPr="00744827" w:rsidRDefault="00F554FD"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b/>
                <w:bCs/>
                <w:szCs w:val="18"/>
              </w:rPr>
              <w:t>–</w:t>
            </w:r>
            <w:r w:rsidR="000C526C">
              <w:rPr>
                <w:rFonts w:cs="Arial"/>
                <w:b/>
                <w:bCs/>
                <w:szCs w:val="18"/>
              </w:rPr>
              <w:t>13.1</w:t>
            </w:r>
          </w:p>
        </w:tc>
      </w:tr>
      <w:tr w:rsidR="000C526C" w:rsidRPr="00623E0B" w14:paraId="45E14989" w14:textId="77777777" w:rsidTr="00382821">
        <w:trPr>
          <w:trHeight w:val="104"/>
        </w:trPr>
        <w:tc>
          <w:tcPr>
            <w:cnfStyle w:val="001000000000" w:firstRow="0" w:lastRow="0" w:firstColumn="1" w:lastColumn="0" w:oddVBand="0" w:evenVBand="0" w:oddHBand="0" w:evenHBand="0" w:firstRowFirstColumn="0" w:firstRowLastColumn="0" w:lastRowFirstColumn="0" w:lastRowLastColumn="0"/>
            <w:tcW w:w="1480" w:type="dxa"/>
            <w:vMerge w:val="restart"/>
            <w:noWrap/>
            <w:tcMar>
              <w:top w:w="57" w:type="dxa"/>
              <w:left w:w="57" w:type="dxa"/>
              <w:bottom w:w="57" w:type="dxa"/>
              <w:right w:w="57" w:type="dxa"/>
            </w:tcMar>
          </w:tcPr>
          <w:p w14:paraId="468BD4DF" w14:textId="77777777" w:rsidR="000C526C" w:rsidRPr="00744827" w:rsidRDefault="000C526C" w:rsidP="00382821">
            <w:pPr>
              <w:spacing w:before="0" w:after="0"/>
              <w:rPr>
                <w:rFonts w:cs="Arial"/>
                <w:b/>
                <w:szCs w:val="18"/>
              </w:rPr>
            </w:pPr>
            <w:r w:rsidRPr="00744827">
              <w:rPr>
                <w:rFonts w:cs="Arial"/>
                <w:b/>
                <w:szCs w:val="18"/>
              </w:rPr>
              <w:t xml:space="preserve">Compliance warnings </w:t>
            </w:r>
          </w:p>
        </w:tc>
        <w:tc>
          <w:tcPr>
            <w:tcW w:w="3420" w:type="dxa"/>
            <w:gridSpan w:val="4"/>
            <w:tcMar>
              <w:top w:w="57" w:type="dxa"/>
              <w:left w:w="57" w:type="dxa"/>
              <w:bottom w:w="57" w:type="dxa"/>
              <w:right w:w="57" w:type="dxa"/>
            </w:tcMar>
          </w:tcPr>
          <w:p w14:paraId="7D723E4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Telemarketing and fax marketing</w:t>
            </w:r>
          </w:p>
        </w:tc>
        <w:tc>
          <w:tcPr>
            <w:tcW w:w="1234" w:type="dxa"/>
            <w:gridSpan w:val="2"/>
            <w:tcMar>
              <w:top w:w="57" w:type="dxa"/>
              <w:left w:w="57" w:type="dxa"/>
              <w:bottom w:w="57" w:type="dxa"/>
              <w:right w:w="57" w:type="dxa"/>
            </w:tcMar>
          </w:tcPr>
          <w:p w14:paraId="22CC571B"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1,691</w:t>
            </w:r>
          </w:p>
        </w:tc>
        <w:tc>
          <w:tcPr>
            <w:tcW w:w="1398" w:type="dxa"/>
            <w:gridSpan w:val="2"/>
            <w:tcMar>
              <w:top w:w="57" w:type="dxa"/>
              <w:left w:w="57" w:type="dxa"/>
              <w:bottom w:w="57" w:type="dxa"/>
              <w:right w:w="57" w:type="dxa"/>
            </w:tcMar>
          </w:tcPr>
          <w:p w14:paraId="14365F8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2,280</w:t>
            </w:r>
          </w:p>
        </w:tc>
        <w:tc>
          <w:tcPr>
            <w:tcW w:w="1371" w:type="dxa"/>
            <w:noWrap/>
            <w:tcMar>
              <w:top w:w="57" w:type="dxa"/>
              <w:left w:w="57" w:type="dxa"/>
              <w:bottom w:w="57" w:type="dxa"/>
              <w:right w:w="57" w:type="dxa"/>
            </w:tcMar>
          </w:tcPr>
          <w:p w14:paraId="04FBAB24"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34.8</w:t>
            </w:r>
          </w:p>
        </w:tc>
      </w:tr>
      <w:tr w:rsidR="000C526C" w:rsidRPr="00623E0B" w14:paraId="677B4A62" w14:textId="77777777" w:rsidTr="00382821">
        <w:trPr>
          <w:trHeight w:val="195"/>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6ECEF538" w14:textId="77777777" w:rsidR="000C526C" w:rsidRPr="00744827" w:rsidRDefault="000C526C" w:rsidP="00382821">
            <w:pPr>
              <w:spacing w:before="0" w:after="0"/>
              <w:rPr>
                <w:rFonts w:cs="Arial"/>
                <w:b/>
                <w:szCs w:val="18"/>
              </w:rPr>
            </w:pPr>
          </w:p>
        </w:tc>
        <w:tc>
          <w:tcPr>
            <w:tcW w:w="3420" w:type="dxa"/>
            <w:gridSpan w:val="4"/>
            <w:tcMar>
              <w:top w:w="57" w:type="dxa"/>
              <w:left w:w="57" w:type="dxa"/>
              <w:bottom w:w="57" w:type="dxa"/>
              <w:right w:w="57" w:type="dxa"/>
            </w:tcMar>
          </w:tcPr>
          <w:p w14:paraId="14A2472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Spam</w:t>
            </w:r>
          </w:p>
        </w:tc>
        <w:tc>
          <w:tcPr>
            <w:tcW w:w="1234" w:type="dxa"/>
            <w:gridSpan w:val="2"/>
            <w:tcMar>
              <w:top w:w="57" w:type="dxa"/>
              <w:left w:w="57" w:type="dxa"/>
              <w:bottom w:w="57" w:type="dxa"/>
              <w:right w:w="57" w:type="dxa"/>
            </w:tcMar>
          </w:tcPr>
          <w:p w14:paraId="308F721D"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2,412</w:t>
            </w:r>
          </w:p>
        </w:tc>
        <w:tc>
          <w:tcPr>
            <w:tcW w:w="1398" w:type="dxa"/>
            <w:gridSpan w:val="2"/>
            <w:tcMar>
              <w:top w:w="57" w:type="dxa"/>
              <w:left w:w="57" w:type="dxa"/>
              <w:bottom w:w="57" w:type="dxa"/>
              <w:right w:w="57" w:type="dxa"/>
            </w:tcMar>
          </w:tcPr>
          <w:p w14:paraId="0A199410"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2,769</w:t>
            </w:r>
          </w:p>
        </w:tc>
        <w:tc>
          <w:tcPr>
            <w:tcW w:w="1371" w:type="dxa"/>
            <w:noWrap/>
            <w:tcMar>
              <w:top w:w="57" w:type="dxa"/>
              <w:left w:w="57" w:type="dxa"/>
              <w:bottom w:w="57" w:type="dxa"/>
              <w:right w:w="57" w:type="dxa"/>
            </w:tcMar>
          </w:tcPr>
          <w:p w14:paraId="1251CEE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14.8</w:t>
            </w:r>
          </w:p>
        </w:tc>
      </w:tr>
      <w:tr w:rsidR="000C526C" w:rsidRPr="00623E0B" w14:paraId="512F793D" w14:textId="77777777" w:rsidTr="007D01D0">
        <w:trPr>
          <w:trHeight w:val="156"/>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7FE182F7" w14:textId="77777777" w:rsidR="000C526C" w:rsidRPr="00744827" w:rsidRDefault="000C526C" w:rsidP="00382821">
            <w:pPr>
              <w:spacing w:before="0" w:after="0"/>
              <w:rPr>
                <w:rFonts w:cs="Arial"/>
                <w:b/>
                <w:szCs w:val="18"/>
              </w:rPr>
            </w:pPr>
          </w:p>
        </w:tc>
        <w:tc>
          <w:tcPr>
            <w:tcW w:w="3420" w:type="dxa"/>
            <w:gridSpan w:val="4"/>
            <w:shd w:val="clear" w:color="auto" w:fill="F2F2F2" w:themeFill="background1" w:themeFillShade="F2"/>
            <w:tcMar>
              <w:top w:w="57" w:type="dxa"/>
              <w:left w:w="57" w:type="dxa"/>
              <w:bottom w:w="57" w:type="dxa"/>
              <w:right w:w="57" w:type="dxa"/>
            </w:tcMar>
          </w:tcPr>
          <w:p w14:paraId="096A371E"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bCs/>
                <w:szCs w:val="18"/>
              </w:rPr>
              <w:t>Total</w:t>
            </w:r>
          </w:p>
        </w:tc>
        <w:tc>
          <w:tcPr>
            <w:tcW w:w="1234" w:type="dxa"/>
            <w:gridSpan w:val="2"/>
            <w:shd w:val="clear" w:color="auto" w:fill="F2F2F2" w:themeFill="background1" w:themeFillShade="F2"/>
            <w:tcMar>
              <w:top w:w="57" w:type="dxa"/>
              <w:left w:w="57" w:type="dxa"/>
              <w:bottom w:w="57" w:type="dxa"/>
              <w:right w:w="57" w:type="dxa"/>
            </w:tcMar>
          </w:tcPr>
          <w:p w14:paraId="4AD13744"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szCs w:val="18"/>
              </w:rPr>
              <w:t>4,103</w:t>
            </w:r>
          </w:p>
        </w:tc>
        <w:tc>
          <w:tcPr>
            <w:tcW w:w="1398" w:type="dxa"/>
            <w:gridSpan w:val="2"/>
            <w:shd w:val="clear" w:color="auto" w:fill="F2F2F2" w:themeFill="background1" w:themeFillShade="F2"/>
            <w:tcMar>
              <w:top w:w="57" w:type="dxa"/>
              <w:left w:w="57" w:type="dxa"/>
              <w:bottom w:w="57" w:type="dxa"/>
              <w:right w:w="57" w:type="dxa"/>
            </w:tcMar>
          </w:tcPr>
          <w:p w14:paraId="5741FC7A"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szCs w:val="18"/>
              </w:rPr>
            </w:pPr>
            <w:r w:rsidRPr="00744827">
              <w:rPr>
                <w:rFonts w:cs="Arial"/>
                <w:b/>
                <w:szCs w:val="18"/>
              </w:rPr>
              <w:t>5,049</w:t>
            </w:r>
          </w:p>
        </w:tc>
        <w:tc>
          <w:tcPr>
            <w:tcW w:w="1371" w:type="dxa"/>
            <w:shd w:val="clear" w:color="auto" w:fill="F2F2F2" w:themeFill="background1" w:themeFillShade="F2"/>
            <w:noWrap/>
            <w:tcMar>
              <w:top w:w="57" w:type="dxa"/>
              <w:left w:w="57" w:type="dxa"/>
              <w:bottom w:w="57" w:type="dxa"/>
              <w:right w:w="57" w:type="dxa"/>
            </w:tcMar>
          </w:tcPr>
          <w:p w14:paraId="197FA6D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b/>
                <w:bCs/>
                <w:szCs w:val="18"/>
              </w:rPr>
              <w:t>23.1</w:t>
            </w:r>
          </w:p>
        </w:tc>
      </w:tr>
      <w:tr w:rsidR="000C526C" w:rsidRPr="00623E0B" w14:paraId="41A7EB4E" w14:textId="77777777" w:rsidTr="00382821">
        <w:trPr>
          <w:trHeight w:val="90"/>
        </w:trPr>
        <w:tc>
          <w:tcPr>
            <w:cnfStyle w:val="001000000000" w:firstRow="0" w:lastRow="0" w:firstColumn="1" w:lastColumn="0" w:oddVBand="0" w:evenVBand="0" w:oddHBand="0" w:evenHBand="0" w:firstRowFirstColumn="0" w:firstRowLastColumn="0" w:lastRowFirstColumn="0" w:lastRowLastColumn="0"/>
            <w:tcW w:w="1480" w:type="dxa"/>
            <w:vMerge w:val="restart"/>
            <w:noWrap/>
            <w:tcMar>
              <w:top w:w="57" w:type="dxa"/>
              <w:left w:w="57" w:type="dxa"/>
              <w:bottom w:w="57" w:type="dxa"/>
              <w:right w:w="57" w:type="dxa"/>
            </w:tcMar>
          </w:tcPr>
          <w:p w14:paraId="254B06C8" w14:textId="77777777" w:rsidR="000C526C" w:rsidRPr="00744827" w:rsidRDefault="000C526C" w:rsidP="00382821">
            <w:pPr>
              <w:spacing w:before="0" w:after="0"/>
              <w:rPr>
                <w:rFonts w:cs="Arial"/>
                <w:b/>
                <w:szCs w:val="18"/>
              </w:rPr>
            </w:pPr>
            <w:r w:rsidRPr="00744827">
              <w:rPr>
                <w:rFonts w:cs="Arial"/>
                <w:b/>
                <w:bCs/>
                <w:iCs/>
                <w:szCs w:val="18"/>
              </w:rPr>
              <w:t>Investigations</w:t>
            </w:r>
          </w:p>
        </w:tc>
        <w:tc>
          <w:tcPr>
            <w:tcW w:w="3420" w:type="dxa"/>
            <w:gridSpan w:val="4"/>
            <w:tcMar>
              <w:top w:w="57" w:type="dxa"/>
              <w:left w:w="57" w:type="dxa"/>
              <w:bottom w:w="57" w:type="dxa"/>
              <w:right w:w="57" w:type="dxa"/>
            </w:tcMar>
          </w:tcPr>
          <w:p w14:paraId="4A4FF68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Telemarketing</w:t>
            </w:r>
          </w:p>
        </w:tc>
        <w:tc>
          <w:tcPr>
            <w:tcW w:w="1234" w:type="dxa"/>
            <w:gridSpan w:val="2"/>
            <w:tcMar>
              <w:top w:w="57" w:type="dxa"/>
              <w:left w:w="57" w:type="dxa"/>
              <w:bottom w:w="57" w:type="dxa"/>
              <w:right w:w="57" w:type="dxa"/>
            </w:tcMar>
          </w:tcPr>
          <w:p w14:paraId="78B18B0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8</w:t>
            </w:r>
          </w:p>
        </w:tc>
        <w:tc>
          <w:tcPr>
            <w:tcW w:w="1398" w:type="dxa"/>
            <w:gridSpan w:val="2"/>
            <w:tcMar>
              <w:top w:w="57" w:type="dxa"/>
              <w:left w:w="57" w:type="dxa"/>
              <w:bottom w:w="57" w:type="dxa"/>
              <w:right w:w="57" w:type="dxa"/>
            </w:tcMar>
          </w:tcPr>
          <w:p w14:paraId="4E2EB021"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744827">
              <w:rPr>
                <w:rFonts w:cs="Arial"/>
                <w:color w:val="000000"/>
                <w:szCs w:val="18"/>
              </w:rPr>
              <w:t>2</w:t>
            </w:r>
          </w:p>
        </w:tc>
        <w:tc>
          <w:tcPr>
            <w:tcW w:w="1371" w:type="dxa"/>
            <w:noWrap/>
            <w:tcMar>
              <w:top w:w="57" w:type="dxa"/>
              <w:left w:w="57" w:type="dxa"/>
              <w:bottom w:w="57" w:type="dxa"/>
              <w:right w:w="57" w:type="dxa"/>
            </w:tcMar>
          </w:tcPr>
          <w:p w14:paraId="7027CB1C" w14:textId="77777777" w:rsidR="000C526C" w:rsidRPr="00744827" w:rsidRDefault="00F554FD"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w:t>
            </w:r>
            <w:r w:rsidR="000C526C">
              <w:rPr>
                <w:rFonts w:cs="Arial"/>
                <w:color w:val="000000"/>
                <w:szCs w:val="18"/>
              </w:rPr>
              <w:t>75.8</w:t>
            </w:r>
          </w:p>
        </w:tc>
      </w:tr>
      <w:tr w:rsidR="000C526C" w:rsidRPr="00623E0B" w14:paraId="7DB9BDCF" w14:textId="77777777" w:rsidTr="00382821">
        <w:trPr>
          <w:trHeight w:val="52"/>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61FAEC2C" w14:textId="77777777" w:rsidR="000C526C" w:rsidRPr="00744827" w:rsidRDefault="000C526C" w:rsidP="00382821">
            <w:pPr>
              <w:spacing w:before="0" w:after="0"/>
              <w:rPr>
                <w:rFonts w:cs="Arial"/>
                <w:b/>
                <w:bCs/>
                <w:iCs/>
                <w:color w:val="FFFFFF" w:themeColor="background1"/>
                <w:szCs w:val="18"/>
              </w:rPr>
            </w:pPr>
          </w:p>
        </w:tc>
        <w:tc>
          <w:tcPr>
            <w:tcW w:w="3420" w:type="dxa"/>
            <w:gridSpan w:val="4"/>
            <w:tcMar>
              <w:top w:w="57" w:type="dxa"/>
              <w:left w:w="57" w:type="dxa"/>
              <w:bottom w:w="57" w:type="dxa"/>
              <w:right w:w="57" w:type="dxa"/>
            </w:tcMar>
          </w:tcPr>
          <w:p w14:paraId="72432FD8"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Cs/>
                <w:iCs/>
                <w:szCs w:val="18"/>
              </w:rPr>
              <w:t>Fax marketing</w:t>
            </w:r>
          </w:p>
        </w:tc>
        <w:tc>
          <w:tcPr>
            <w:tcW w:w="1234" w:type="dxa"/>
            <w:gridSpan w:val="2"/>
            <w:tcMar>
              <w:top w:w="57" w:type="dxa"/>
              <w:left w:w="57" w:type="dxa"/>
              <w:bottom w:w="57" w:type="dxa"/>
              <w:right w:w="57" w:type="dxa"/>
            </w:tcMar>
          </w:tcPr>
          <w:p w14:paraId="168F65D6"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0</w:t>
            </w:r>
          </w:p>
        </w:tc>
        <w:tc>
          <w:tcPr>
            <w:tcW w:w="1398" w:type="dxa"/>
            <w:gridSpan w:val="2"/>
            <w:tcMar>
              <w:top w:w="57" w:type="dxa"/>
              <w:left w:w="57" w:type="dxa"/>
              <w:bottom w:w="57" w:type="dxa"/>
              <w:right w:w="57" w:type="dxa"/>
            </w:tcMar>
          </w:tcPr>
          <w:p w14:paraId="164279AB"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0</w:t>
            </w:r>
          </w:p>
        </w:tc>
        <w:tc>
          <w:tcPr>
            <w:tcW w:w="1371" w:type="dxa"/>
            <w:noWrap/>
            <w:tcMar>
              <w:top w:w="57" w:type="dxa"/>
              <w:left w:w="57" w:type="dxa"/>
              <w:bottom w:w="57" w:type="dxa"/>
              <w:right w:w="57" w:type="dxa"/>
            </w:tcMar>
          </w:tcPr>
          <w:p w14:paraId="0F424E12"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n/a</w:t>
            </w:r>
          </w:p>
        </w:tc>
      </w:tr>
      <w:tr w:rsidR="000C526C" w:rsidRPr="00623E0B" w14:paraId="51015715" w14:textId="77777777" w:rsidTr="00382821">
        <w:trPr>
          <w:trHeight w:val="2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tcPr>
          <w:p w14:paraId="59B3B405" w14:textId="77777777" w:rsidR="000C526C" w:rsidRPr="00744827" w:rsidRDefault="000C526C" w:rsidP="00382821">
            <w:pPr>
              <w:spacing w:before="0" w:after="0"/>
              <w:rPr>
                <w:rFonts w:cs="Arial"/>
                <w:b/>
                <w:bCs/>
                <w:i/>
                <w:iCs/>
                <w:color w:val="FFFFFF" w:themeColor="background1"/>
                <w:szCs w:val="18"/>
              </w:rPr>
            </w:pPr>
          </w:p>
        </w:tc>
        <w:tc>
          <w:tcPr>
            <w:tcW w:w="3420" w:type="dxa"/>
            <w:gridSpan w:val="4"/>
            <w:tcMar>
              <w:top w:w="57" w:type="dxa"/>
              <w:left w:w="57" w:type="dxa"/>
              <w:bottom w:w="57" w:type="dxa"/>
              <w:right w:w="57" w:type="dxa"/>
            </w:tcMar>
          </w:tcPr>
          <w:p w14:paraId="5E0E0D8A"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b/>
                <w:bCs/>
                <w:i/>
                <w:iCs/>
                <w:szCs w:val="18"/>
              </w:rPr>
            </w:pPr>
            <w:r w:rsidRPr="00744827">
              <w:rPr>
                <w:rFonts w:cs="Arial"/>
                <w:bCs/>
                <w:iCs/>
                <w:szCs w:val="18"/>
              </w:rPr>
              <w:t>Spam</w:t>
            </w:r>
          </w:p>
        </w:tc>
        <w:tc>
          <w:tcPr>
            <w:tcW w:w="1234" w:type="dxa"/>
            <w:gridSpan w:val="2"/>
            <w:tcMar>
              <w:top w:w="57" w:type="dxa"/>
              <w:left w:w="57" w:type="dxa"/>
              <w:bottom w:w="57" w:type="dxa"/>
              <w:right w:w="57" w:type="dxa"/>
            </w:tcMar>
          </w:tcPr>
          <w:p w14:paraId="5C2A4C49" w14:textId="77777777" w:rsidR="000C526C" w:rsidRPr="00744827" w:rsidDel="007E61A5"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744827">
              <w:rPr>
                <w:rFonts w:cs="Arial"/>
                <w:szCs w:val="18"/>
              </w:rPr>
              <w:t>5</w:t>
            </w:r>
          </w:p>
        </w:tc>
        <w:tc>
          <w:tcPr>
            <w:tcW w:w="1398" w:type="dxa"/>
            <w:gridSpan w:val="2"/>
            <w:tcMar>
              <w:top w:w="57" w:type="dxa"/>
              <w:left w:w="57" w:type="dxa"/>
              <w:bottom w:w="57" w:type="dxa"/>
              <w:right w:w="57" w:type="dxa"/>
            </w:tcMar>
          </w:tcPr>
          <w:p w14:paraId="5DBD6E99"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color w:val="000000"/>
                <w:szCs w:val="18"/>
              </w:rPr>
              <w:t>3</w:t>
            </w:r>
          </w:p>
        </w:tc>
        <w:tc>
          <w:tcPr>
            <w:tcW w:w="1371" w:type="dxa"/>
            <w:noWrap/>
            <w:tcMar>
              <w:top w:w="57" w:type="dxa"/>
              <w:left w:w="57" w:type="dxa"/>
              <w:bottom w:w="57" w:type="dxa"/>
              <w:right w:w="57" w:type="dxa"/>
            </w:tcMar>
          </w:tcPr>
          <w:p w14:paraId="4748DADE" w14:textId="77777777" w:rsidR="000C526C" w:rsidRPr="00744827" w:rsidRDefault="00F554FD"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color w:val="000000"/>
                <w:szCs w:val="18"/>
              </w:rPr>
              <w:t>–</w:t>
            </w:r>
            <w:r w:rsidR="000C526C" w:rsidRPr="00744827">
              <w:rPr>
                <w:rFonts w:cs="Arial"/>
                <w:color w:val="000000"/>
                <w:szCs w:val="18"/>
              </w:rPr>
              <w:t>40.0</w:t>
            </w:r>
          </w:p>
        </w:tc>
      </w:tr>
      <w:tr w:rsidR="000C526C" w:rsidRPr="00623E0B" w14:paraId="626C820B" w14:textId="77777777" w:rsidTr="007D01D0">
        <w:trPr>
          <w:trHeight w:val="90"/>
        </w:trPr>
        <w:tc>
          <w:tcPr>
            <w:cnfStyle w:val="001000000000" w:firstRow="0" w:lastRow="0" w:firstColumn="1" w:lastColumn="0" w:oddVBand="0" w:evenVBand="0" w:oddHBand="0" w:evenHBand="0" w:firstRowFirstColumn="0" w:firstRowLastColumn="0" w:lastRowFirstColumn="0" w:lastRowLastColumn="0"/>
            <w:tcW w:w="1480" w:type="dxa"/>
            <w:vMerge/>
            <w:noWrap/>
            <w:tcMar>
              <w:top w:w="57" w:type="dxa"/>
              <w:left w:w="57" w:type="dxa"/>
              <w:bottom w:w="57" w:type="dxa"/>
              <w:right w:w="57" w:type="dxa"/>
            </w:tcMar>
            <w:hideMark/>
          </w:tcPr>
          <w:p w14:paraId="3B7691B4" w14:textId="77777777" w:rsidR="000C526C" w:rsidRPr="00744827" w:rsidRDefault="000C526C" w:rsidP="00382821">
            <w:pPr>
              <w:spacing w:before="0" w:after="0"/>
              <w:rPr>
                <w:rFonts w:cs="Arial"/>
                <w:b/>
                <w:bCs/>
                <w:i/>
                <w:iCs/>
                <w:color w:val="FFFFFF" w:themeColor="background1"/>
                <w:szCs w:val="18"/>
              </w:rPr>
            </w:pPr>
          </w:p>
        </w:tc>
        <w:tc>
          <w:tcPr>
            <w:tcW w:w="3420" w:type="dxa"/>
            <w:gridSpan w:val="4"/>
            <w:shd w:val="clear" w:color="auto" w:fill="F2F2F2" w:themeFill="background1" w:themeFillShade="F2"/>
            <w:tcMar>
              <w:top w:w="57" w:type="dxa"/>
              <w:left w:w="57" w:type="dxa"/>
              <w:bottom w:w="57" w:type="dxa"/>
              <w:right w:w="57" w:type="dxa"/>
            </w:tcMar>
          </w:tcPr>
          <w:p w14:paraId="4EC06E65"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bCs/>
                <w:szCs w:val="18"/>
              </w:rPr>
              <w:t>Total</w:t>
            </w:r>
          </w:p>
        </w:tc>
        <w:tc>
          <w:tcPr>
            <w:tcW w:w="1234" w:type="dxa"/>
            <w:gridSpan w:val="2"/>
            <w:shd w:val="clear" w:color="auto" w:fill="F2F2F2" w:themeFill="background1" w:themeFillShade="F2"/>
            <w:tcMar>
              <w:top w:w="57" w:type="dxa"/>
              <w:left w:w="57" w:type="dxa"/>
              <w:bottom w:w="57" w:type="dxa"/>
              <w:right w:w="57" w:type="dxa"/>
            </w:tcMar>
          </w:tcPr>
          <w:p w14:paraId="475807E3"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szCs w:val="18"/>
              </w:rPr>
              <w:t>13</w:t>
            </w:r>
            <w:r w:rsidRPr="00744827">
              <w:rPr>
                <w:rStyle w:val="EndnoteReference"/>
                <w:rFonts w:cs="Arial"/>
                <w:b/>
                <w:szCs w:val="18"/>
              </w:rPr>
              <w:endnoteReference w:id="243"/>
            </w:r>
          </w:p>
        </w:tc>
        <w:tc>
          <w:tcPr>
            <w:tcW w:w="1398" w:type="dxa"/>
            <w:gridSpan w:val="2"/>
            <w:shd w:val="clear" w:color="auto" w:fill="F2F2F2" w:themeFill="background1" w:themeFillShade="F2"/>
            <w:tcMar>
              <w:top w:w="57" w:type="dxa"/>
              <w:left w:w="57" w:type="dxa"/>
              <w:bottom w:w="57" w:type="dxa"/>
              <w:right w:w="57" w:type="dxa"/>
            </w:tcMar>
          </w:tcPr>
          <w:p w14:paraId="17335839" w14:textId="77777777" w:rsidR="000C526C" w:rsidRPr="00744827"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sidRPr="00744827">
              <w:rPr>
                <w:rFonts w:cs="Arial"/>
                <w:b/>
                <w:szCs w:val="18"/>
              </w:rPr>
              <w:t>5</w:t>
            </w:r>
          </w:p>
        </w:tc>
        <w:tc>
          <w:tcPr>
            <w:tcW w:w="1371" w:type="dxa"/>
            <w:shd w:val="clear" w:color="auto" w:fill="F2F2F2" w:themeFill="background1" w:themeFillShade="F2"/>
            <w:noWrap/>
            <w:tcMar>
              <w:top w:w="57" w:type="dxa"/>
              <w:left w:w="57" w:type="dxa"/>
              <w:bottom w:w="57" w:type="dxa"/>
              <w:right w:w="57" w:type="dxa"/>
            </w:tcMar>
          </w:tcPr>
          <w:p w14:paraId="27CC447F" w14:textId="77777777" w:rsidR="000C526C" w:rsidRPr="00744827" w:rsidRDefault="00F554FD" w:rsidP="00382821">
            <w:pPr>
              <w:spacing w:before="0" w:after="0"/>
              <w:cnfStyle w:val="000000000000" w:firstRow="0" w:lastRow="0" w:firstColumn="0" w:lastColumn="0" w:oddVBand="0" w:evenVBand="0" w:oddHBand="0" w:evenHBand="0" w:firstRowFirstColumn="0" w:firstRowLastColumn="0" w:lastRowFirstColumn="0" w:lastRowLastColumn="0"/>
              <w:rPr>
                <w:rFonts w:cs="Arial"/>
                <w:szCs w:val="18"/>
              </w:rPr>
            </w:pPr>
            <w:r>
              <w:rPr>
                <w:rFonts w:cs="Arial"/>
                <w:b/>
                <w:bCs/>
                <w:szCs w:val="18"/>
              </w:rPr>
              <w:t>–</w:t>
            </w:r>
            <w:r w:rsidR="000C526C" w:rsidRPr="00744827">
              <w:rPr>
                <w:rFonts w:cs="Arial"/>
                <w:b/>
                <w:bCs/>
                <w:szCs w:val="18"/>
              </w:rPr>
              <w:t>61.5</w:t>
            </w:r>
          </w:p>
        </w:tc>
      </w:tr>
    </w:tbl>
    <w:p w14:paraId="77C5CBE4" w14:textId="77777777" w:rsidR="000C526C" w:rsidRPr="006134FA" w:rsidRDefault="000C526C" w:rsidP="007A7D12">
      <w:pPr>
        <w:pStyle w:val="ACMANotes"/>
        <w:spacing w:before="120"/>
      </w:pPr>
      <w:r w:rsidRPr="006134FA">
        <w:t>n/a=not available.</w:t>
      </w:r>
    </w:p>
    <w:p w14:paraId="7A2BD93E" w14:textId="77777777" w:rsidR="000C526C" w:rsidRPr="006134FA" w:rsidRDefault="000C526C" w:rsidP="000C526C">
      <w:pPr>
        <w:pStyle w:val="ACMANotes"/>
      </w:pPr>
      <w:r w:rsidRPr="006134FA">
        <w:t>*Complaints are an expression of dissatisfaction made to the ACMA about unsolicited emails or SMS</w:t>
      </w:r>
      <w:r>
        <w:t>,</w:t>
      </w:r>
      <w:r w:rsidRPr="006134FA">
        <w:t xml:space="preserve"> </w:t>
      </w:r>
      <w:r w:rsidR="00F554FD">
        <w:t>while</w:t>
      </w:r>
      <w:r w:rsidR="00F554FD" w:rsidRPr="006134FA">
        <w:t xml:space="preserve"> </w:t>
      </w:r>
      <w:r w:rsidRPr="006134FA">
        <w:t xml:space="preserve">reports are an advice of spam activity directed to the ACMA’s anti-spam databases. Reports are not actioned individually but </w:t>
      </w:r>
      <w:r w:rsidR="00F554FD">
        <w:t>help</w:t>
      </w:r>
      <w:r w:rsidR="00F554FD" w:rsidRPr="006134FA">
        <w:t xml:space="preserve"> </w:t>
      </w:r>
      <w:r w:rsidRPr="006134FA">
        <w:t>the ACMA in its anti-spam activities.</w:t>
      </w:r>
    </w:p>
    <w:p w14:paraId="7F3A239E" w14:textId="77777777" w:rsidR="000C526C" w:rsidRPr="00FB6FC9" w:rsidRDefault="000C526C" w:rsidP="000C526C">
      <w:pPr>
        <w:pStyle w:val="ACMANotes"/>
      </w:pPr>
      <w:r w:rsidRPr="008D6DCE">
        <w:rPr>
          <w:vertAlign w:val="superscript"/>
        </w:rPr>
        <w:t>†</w:t>
      </w:r>
      <w:r w:rsidRPr="00FB6FC9">
        <w:t>The ACMA and DNCR operator receive enquiries from the public and businesses on compliance with the DNCR Act and Spam Act, such as the legitimacy of calls or messages received, how to stop receiving calls or messages, how requirements of the</w:t>
      </w:r>
      <w:r w:rsidR="00F554FD">
        <w:t>se</w:t>
      </w:r>
      <w:r w:rsidRPr="00FB6FC9">
        <w:t xml:space="preserve"> Act</w:t>
      </w:r>
      <w:r w:rsidR="00F554FD">
        <w:t>s</w:t>
      </w:r>
      <w:r w:rsidRPr="00FB6FC9">
        <w:t xml:space="preserve"> </w:t>
      </w:r>
      <w:r w:rsidRPr="007F2D83">
        <w:t>affect</w:t>
      </w:r>
      <w:r w:rsidRPr="00FB6FC9">
        <w:t xml:space="preserve"> their business, and whether particular marketing approaches are compliant with the</w:t>
      </w:r>
      <w:r w:rsidR="00F554FD">
        <w:t>se</w:t>
      </w:r>
      <w:r w:rsidRPr="00FB6FC9">
        <w:t xml:space="preserve"> Act</w:t>
      </w:r>
      <w:r w:rsidR="00F554FD">
        <w:t>s</w:t>
      </w:r>
      <w:r w:rsidRPr="00FB6FC9">
        <w:t xml:space="preserve">. </w:t>
      </w:r>
    </w:p>
    <w:p w14:paraId="74756D97" w14:textId="77777777" w:rsidR="000C526C" w:rsidRPr="00FB6FC9" w:rsidRDefault="000C526C" w:rsidP="00382821">
      <w:pPr>
        <w:pStyle w:val="ACMANotesspaceafter"/>
        <w:spacing w:after="360"/>
      </w:pPr>
      <w:r w:rsidRPr="00FB6FC9">
        <w:t>Source: ACMA.</w:t>
      </w:r>
    </w:p>
    <w:p w14:paraId="57FA2A2C" w14:textId="77777777" w:rsidR="000C526C" w:rsidRPr="002F2FF4" w:rsidRDefault="000C526C" w:rsidP="000C526C">
      <w:pPr>
        <w:rPr>
          <w:rFonts w:cs="Arial"/>
        </w:rPr>
      </w:pPr>
      <w:r w:rsidRPr="002F2FF4">
        <w:t xml:space="preserve">The ACMA receives reports of email and SMS spam from a number of different sources into </w:t>
      </w:r>
      <w:r w:rsidR="00DC4D7D">
        <w:t>our</w:t>
      </w:r>
      <w:r w:rsidR="00DC4D7D" w:rsidRPr="002F2FF4">
        <w:t xml:space="preserve"> </w:t>
      </w:r>
      <w:r w:rsidRPr="002F2FF4">
        <w:t xml:space="preserve">Spam Intelligence Database (SID), which </w:t>
      </w:r>
      <w:r w:rsidR="00DC4D7D">
        <w:t xml:space="preserve">we </w:t>
      </w:r>
      <w:r w:rsidRPr="002F2FF4">
        <w:t xml:space="preserve">use to administer </w:t>
      </w:r>
      <w:r w:rsidR="00DC4D7D">
        <w:t>our</w:t>
      </w:r>
      <w:r w:rsidR="00DC4D7D" w:rsidRPr="002F2FF4">
        <w:t xml:space="preserve"> </w:t>
      </w:r>
      <w:r w:rsidRPr="002F2FF4">
        <w:t>compliance responsibilities under the Spam Act. This data is also used to identify scam ‘phishing’ activities.</w:t>
      </w:r>
      <w:r w:rsidRPr="002F2FF4">
        <w:rPr>
          <w:rFonts w:cs="Arial"/>
        </w:rPr>
        <w:t xml:space="preserve"> Phishing emails direct internet users to fraudulent web pages that represent themselves as belonging to legitimate businesses, such as banks. Their main function is to obtain financial and personal information from unsuspecting internet users for criminal purposes.</w:t>
      </w:r>
    </w:p>
    <w:p w14:paraId="3330BE9D" w14:textId="77777777" w:rsidR="000C526C" w:rsidRDefault="000C526C" w:rsidP="000C526C">
      <w:pPr>
        <w:rPr>
          <w:rFonts w:cs="Arial"/>
        </w:rPr>
      </w:pPr>
      <w:r w:rsidRPr="006134FA">
        <w:rPr>
          <w:rFonts w:cs="Arial"/>
        </w:rPr>
        <w:t xml:space="preserve">Recipients of the ACMA’s phishing reports include the Australian Tax Office, Facebook, Telstra and a number of major financial institutions. A total of </w:t>
      </w:r>
      <w:r>
        <w:rPr>
          <w:rFonts w:cs="Arial"/>
        </w:rPr>
        <w:t>15,996</w:t>
      </w:r>
      <w:r w:rsidRPr="006134FA">
        <w:rPr>
          <w:rFonts w:cs="Arial"/>
        </w:rPr>
        <w:t xml:space="preserve"> reports of suspected phishing URLs were provided to these organisations in 201</w:t>
      </w:r>
      <w:r>
        <w:rPr>
          <w:rFonts w:cs="Arial"/>
        </w:rPr>
        <w:t>6</w:t>
      </w:r>
      <w:r w:rsidRPr="006134FA">
        <w:rPr>
          <w:rFonts w:cs="Arial"/>
        </w:rPr>
        <w:t>–1</w:t>
      </w:r>
      <w:r>
        <w:rPr>
          <w:rFonts w:cs="Arial"/>
        </w:rPr>
        <w:t>7</w:t>
      </w:r>
      <w:r w:rsidRPr="006134FA">
        <w:rPr>
          <w:rFonts w:cs="Arial"/>
        </w:rPr>
        <w:t>. To enable quick and early action, phishing reports are provided within minutes of being received by the</w:t>
      </w:r>
      <w:r w:rsidR="00DC4D7D">
        <w:rPr>
          <w:rFonts w:cs="Arial"/>
        </w:rPr>
        <w:t xml:space="preserve"> </w:t>
      </w:r>
      <w:r w:rsidRPr="006134FA">
        <w:rPr>
          <w:rFonts w:cs="Arial"/>
        </w:rPr>
        <w:t>ACMA.</w:t>
      </w:r>
    </w:p>
    <w:p w14:paraId="700D64B3" w14:textId="77777777" w:rsidR="000C526C" w:rsidRPr="002F2FF4" w:rsidRDefault="000C526C" w:rsidP="000C526C">
      <w:r w:rsidRPr="00FA3CDC">
        <w:rPr>
          <w:rFonts w:cs="Arial"/>
        </w:rPr>
        <w:t>In 2016</w:t>
      </w:r>
      <w:r>
        <w:rPr>
          <w:rFonts w:cs="Arial"/>
        </w:rPr>
        <w:t>–</w:t>
      </w:r>
      <w:r w:rsidRPr="00FA3CDC">
        <w:rPr>
          <w:rFonts w:cs="Arial"/>
        </w:rPr>
        <w:t xml:space="preserve">17, </w:t>
      </w:r>
      <w:r w:rsidR="00DC4D7D">
        <w:rPr>
          <w:rFonts w:cs="Arial"/>
        </w:rPr>
        <w:t>we</w:t>
      </w:r>
      <w:r w:rsidRPr="00FA3CDC">
        <w:rPr>
          <w:rFonts w:cs="Arial"/>
        </w:rPr>
        <w:t xml:space="preserve"> used social media extensively to quickly alert citizens of phishing attacks, with widespread interest in these notificatio</w:t>
      </w:r>
      <w:r w:rsidRPr="004A7F66">
        <w:rPr>
          <w:rFonts w:cs="Arial"/>
        </w:rPr>
        <w:t xml:space="preserve">ns. </w:t>
      </w:r>
      <w:r w:rsidRPr="002F2FF4">
        <w:t>The most successful of these alerts</w:t>
      </w:r>
      <w:r w:rsidR="008A50A4">
        <w:t>—on</w:t>
      </w:r>
      <w:r>
        <w:t xml:space="preserve"> a bogus supermarket customer survey</w:t>
      </w:r>
      <w:r w:rsidR="008A50A4">
        <w:t>—</w:t>
      </w:r>
      <w:r w:rsidRPr="002F2FF4">
        <w:t>reached nearly 800,000 social media users.</w:t>
      </w:r>
    </w:p>
    <w:p w14:paraId="4CDD14CC" w14:textId="77777777" w:rsidR="000C526C" w:rsidRPr="008B4F0E" w:rsidRDefault="000C526C" w:rsidP="000C526C">
      <w:pPr>
        <w:pStyle w:val="Heading2"/>
        <w:numPr>
          <w:ilvl w:val="1"/>
          <w:numId w:val="20"/>
        </w:numPr>
        <w:ind w:hanging="792"/>
      </w:pPr>
      <w:bookmarkStart w:id="1674" w:name="_Toc462909523"/>
      <w:bookmarkStart w:id="1675" w:name="_Toc494799508"/>
      <w:bookmarkStart w:id="1676" w:name="_Toc494805811"/>
      <w:bookmarkStart w:id="1677" w:name="_Toc494806076"/>
      <w:bookmarkStart w:id="1678" w:name="_Toc494808306"/>
      <w:bookmarkStart w:id="1679" w:name="_Toc494808964"/>
      <w:bookmarkStart w:id="1680" w:name="_Toc494816379"/>
      <w:bookmarkStart w:id="1681" w:name="_Toc494818975"/>
      <w:bookmarkStart w:id="1682" w:name="_Toc494819205"/>
      <w:bookmarkStart w:id="1683" w:name="_Toc500320935"/>
      <w:r w:rsidRPr="008B4F0E">
        <w:t>Australian Internet Security Initiative</w:t>
      </w:r>
      <w:bookmarkEnd w:id="1674"/>
      <w:bookmarkEnd w:id="1675"/>
      <w:bookmarkEnd w:id="1676"/>
      <w:bookmarkEnd w:id="1677"/>
      <w:bookmarkEnd w:id="1678"/>
      <w:bookmarkEnd w:id="1679"/>
      <w:bookmarkEnd w:id="1680"/>
      <w:bookmarkEnd w:id="1681"/>
      <w:bookmarkEnd w:id="1682"/>
      <w:bookmarkEnd w:id="1683"/>
    </w:p>
    <w:p w14:paraId="5873B3FE" w14:textId="77777777" w:rsidR="000C526C" w:rsidRPr="008B4F0E" w:rsidRDefault="000C526C" w:rsidP="000C526C">
      <w:bookmarkStart w:id="1684" w:name="_Toc399331805"/>
      <w:bookmarkStart w:id="1685" w:name="_Toc399336986"/>
      <w:bookmarkStart w:id="1686" w:name="_Toc402337587"/>
      <w:bookmarkStart w:id="1687" w:name="_Toc371589078"/>
      <w:bookmarkStart w:id="1688" w:name="_Toc373149140"/>
      <w:bookmarkStart w:id="1689" w:name="_Toc462909524"/>
      <w:bookmarkEnd w:id="1684"/>
      <w:bookmarkEnd w:id="1685"/>
      <w:bookmarkEnd w:id="1686"/>
      <w:bookmarkEnd w:id="1687"/>
      <w:bookmarkEnd w:id="1688"/>
      <w:r w:rsidRPr="008B4F0E">
        <w:t xml:space="preserve">The AISI is a program to </w:t>
      </w:r>
      <w:r w:rsidR="004562EE">
        <w:t>help</w:t>
      </w:r>
      <w:r w:rsidR="004562EE" w:rsidRPr="008B4F0E">
        <w:t xml:space="preserve"> </w:t>
      </w:r>
      <w:r w:rsidRPr="008B4F0E">
        <w:t xml:space="preserve">voluntary AISI partners address computing devices on Australian IP address ranges that are compromised by malware (malicious software) or that have specific types of service vulnerabilities. </w:t>
      </w:r>
    </w:p>
    <w:p w14:paraId="69CD07F7" w14:textId="77777777" w:rsidR="000C526C" w:rsidRPr="006134FA" w:rsidRDefault="000C526C" w:rsidP="000C526C">
      <w:pPr>
        <w:rPr>
          <w:rFonts w:cs="Arial"/>
        </w:rPr>
      </w:pPr>
      <w:r w:rsidRPr="006134FA">
        <w:rPr>
          <w:rFonts w:cs="Arial"/>
        </w:rPr>
        <w:t xml:space="preserve">Malware can enable criminals or malicious parties to steal personal and sensitive information from devices </w:t>
      </w:r>
      <w:r>
        <w:rPr>
          <w:rFonts w:cs="Arial"/>
        </w:rPr>
        <w:t>or</w:t>
      </w:r>
      <w:r w:rsidRPr="006134FA">
        <w:rPr>
          <w:rFonts w:cs="Arial"/>
        </w:rPr>
        <w:t xml:space="preserve"> control them remotely for illegal or harmful purposes, without the user’s knowledge. These infections often enable activities causing harm to other </w:t>
      </w:r>
      <w:r>
        <w:rPr>
          <w:rFonts w:cs="Arial"/>
        </w:rPr>
        <w:t>i</w:t>
      </w:r>
      <w:r w:rsidRPr="006134FA">
        <w:rPr>
          <w:rFonts w:cs="Arial"/>
        </w:rPr>
        <w:t>nternet users, including the mass distribution of spam, hosting of phishing sites, facilitation of identity theft, participation in dedicated denial</w:t>
      </w:r>
      <w:r>
        <w:rPr>
          <w:rFonts w:cs="Arial"/>
        </w:rPr>
        <w:t>-</w:t>
      </w:r>
      <w:r w:rsidRPr="006134FA">
        <w:rPr>
          <w:rFonts w:cs="Arial"/>
        </w:rPr>
        <w:t>of</w:t>
      </w:r>
      <w:r>
        <w:rPr>
          <w:rFonts w:cs="Arial"/>
        </w:rPr>
        <w:t>-</w:t>
      </w:r>
      <w:r w:rsidRPr="006134FA">
        <w:rPr>
          <w:rFonts w:cs="Arial"/>
        </w:rPr>
        <w:t>service</w:t>
      </w:r>
      <w:r>
        <w:rPr>
          <w:rFonts w:cs="Arial"/>
        </w:rPr>
        <w:t xml:space="preserve"> (DDoS)</w:t>
      </w:r>
      <w:r w:rsidRPr="006134FA">
        <w:rPr>
          <w:rFonts w:cs="Arial"/>
        </w:rPr>
        <w:t xml:space="preserve"> attacks and dissemination of ransomware (malware that restricts access to files on a computer system until a sum of money is paid).</w:t>
      </w:r>
    </w:p>
    <w:p w14:paraId="79B76FC2" w14:textId="77777777" w:rsidR="000C526C" w:rsidRDefault="000C526C" w:rsidP="008D6DCE">
      <w:pPr>
        <w:spacing w:after="80"/>
        <w:rPr>
          <w:rFonts w:cs="Arial"/>
        </w:rPr>
      </w:pPr>
      <w:r>
        <w:rPr>
          <w:rFonts w:cs="Arial"/>
        </w:rPr>
        <w:t xml:space="preserve">Service vulnerabilities expose a range of potential exploits and </w:t>
      </w:r>
      <w:r w:rsidR="004562EE">
        <w:rPr>
          <w:rFonts w:cs="Arial"/>
        </w:rPr>
        <w:t xml:space="preserve">the degree of severity </w:t>
      </w:r>
      <w:r>
        <w:rPr>
          <w:rFonts w:cs="Arial"/>
        </w:rPr>
        <w:t>may vary significantly. Examples of vulnerabilities reported through the AISI include services that:</w:t>
      </w:r>
    </w:p>
    <w:p w14:paraId="0D476E4D" w14:textId="77777777" w:rsidR="000C526C" w:rsidRPr="004562EE" w:rsidRDefault="000C526C" w:rsidP="008D6DCE">
      <w:pPr>
        <w:pStyle w:val="ListBullet"/>
      </w:pPr>
      <w:r w:rsidRPr="008B4F0E">
        <w:t xml:space="preserve">are misconfigured, enabling </w:t>
      </w:r>
      <w:r w:rsidRPr="004562EE">
        <w:t xml:space="preserve">them to be unwittingly used in a DDoS attack </w:t>
      </w:r>
    </w:p>
    <w:p w14:paraId="085F272A" w14:textId="77777777" w:rsidR="000C526C" w:rsidRPr="00197FB7" w:rsidRDefault="000C526C" w:rsidP="008D6DCE">
      <w:pPr>
        <w:pStyle w:val="ListBullet"/>
      </w:pPr>
      <w:r w:rsidRPr="00197FB7">
        <w:t xml:space="preserve">are exposed to interception due to the use of outdated encryption </w:t>
      </w:r>
    </w:p>
    <w:p w14:paraId="456E29A9" w14:textId="77777777" w:rsidR="000C526C" w:rsidRPr="008B4F0E" w:rsidRDefault="000C526C" w:rsidP="008D6DCE">
      <w:pPr>
        <w:pStyle w:val="ListBullet"/>
      </w:pPr>
      <w:r w:rsidRPr="00197FB7">
        <w:t>provide access to system credentials</w:t>
      </w:r>
      <w:r w:rsidRPr="008B4F0E">
        <w:t xml:space="preserve"> and operating systems</w:t>
      </w:r>
      <w:r w:rsidR="004562EE">
        <w:t>,</w:t>
      </w:r>
      <w:r w:rsidRPr="008B4F0E">
        <w:t xml:space="preserve"> exposing sensitive information</w:t>
      </w:r>
    </w:p>
    <w:p w14:paraId="2E410319" w14:textId="77777777" w:rsidR="000C526C" w:rsidRPr="008B4F0E" w:rsidRDefault="000C526C" w:rsidP="008D6DCE">
      <w:pPr>
        <w:pStyle w:val="ListBulletLast"/>
      </w:pPr>
      <w:r w:rsidRPr="008B4F0E">
        <w:t>enable open access to database content.</w:t>
      </w:r>
    </w:p>
    <w:p w14:paraId="0F20B399" w14:textId="77777777" w:rsidR="000C526C" w:rsidRPr="006134FA" w:rsidRDefault="000C526C" w:rsidP="000C526C">
      <w:pPr>
        <w:rPr>
          <w:rFonts w:cs="Arial"/>
        </w:rPr>
      </w:pPr>
      <w:r w:rsidRPr="006134FA">
        <w:rPr>
          <w:rFonts w:cs="Arial"/>
        </w:rPr>
        <w:t xml:space="preserve">The AISI provides daily reports to partners—Australian ISPs and educational institutions—about malware-infected computing devices </w:t>
      </w:r>
      <w:r>
        <w:rPr>
          <w:rFonts w:cs="Arial"/>
        </w:rPr>
        <w:t xml:space="preserve">or vulnerable services </w:t>
      </w:r>
      <w:r w:rsidRPr="006134FA">
        <w:rPr>
          <w:rFonts w:cs="Arial"/>
        </w:rPr>
        <w:t xml:space="preserve">on their networks. When they receive a report of an infection, AISI partners </w:t>
      </w:r>
      <w:r>
        <w:rPr>
          <w:rFonts w:cs="Arial"/>
        </w:rPr>
        <w:t>deal directly</w:t>
      </w:r>
      <w:r w:rsidRPr="006134FA">
        <w:rPr>
          <w:rFonts w:cs="Arial"/>
        </w:rPr>
        <w:t xml:space="preserve"> </w:t>
      </w:r>
      <w:r>
        <w:rPr>
          <w:rFonts w:cs="Arial"/>
        </w:rPr>
        <w:t>with</w:t>
      </w:r>
      <w:r w:rsidRPr="006134FA">
        <w:rPr>
          <w:rFonts w:cs="Arial"/>
        </w:rPr>
        <w:t xml:space="preserve"> their customers, inform</w:t>
      </w:r>
      <w:r>
        <w:rPr>
          <w:rFonts w:cs="Arial"/>
        </w:rPr>
        <w:t>ing</w:t>
      </w:r>
      <w:r w:rsidRPr="006134FA">
        <w:rPr>
          <w:rFonts w:cs="Arial"/>
        </w:rPr>
        <w:t xml:space="preserve"> them that their computing devices are infected </w:t>
      </w:r>
      <w:r>
        <w:rPr>
          <w:rFonts w:cs="Arial"/>
        </w:rPr>
        <w:t xml:space="preserve">or vulnerable </w:t>
      </w:r>
      <w:r w:rsidRPr="006134FA">
        <w:rPr>
          <w:rFonts w:cs="Arial"/>
        </w:rPr>
        <w:t>and provid</w:t>
      </w:r>
      <w:r>
        <w:rPr>
          <w:rFonts w:cs="Arial"/>
        </w:rPr>
        <w:t>ing</w:t>
      </w:r>
      <w:r w:rsidRPr="006134FA">
        <w:rPr>
          <w:rFonts w:cs="Arial"/>
        </w:rPr>
        <w:t xml:space="preserve"> information to help re</w:t>
      </w:r>
      <w:r>
        <w:rPr>
          <w:rFonts w:cs="Arial"/>
        </w:rPr>
        <w:t>medy the problem</w:t>
      </w:r>
      <w:r w:rsidRPr="006134FA">
        <w:rPr>
          <w:rFonts w:cs="Arial"/>
        </w:rPr>
        <w:t xml:space="preserve">. Partners can also access AISI data through an online portal, which contains more comprehensive data than </w:t>
      </w:r>
      <w:r>
        <w:rPr>
          <w:rFonts w:cs="Arial"/>
        </w:rPr>
        <w:t>is</w:t>
      </w:r>
      <w:r w:rsidRPr="006134FA">
        <w:rPr>
          <w:rFonts w:cs="Arial"/>
        </w:rPr>
        <w:t xml:space="preserve"> in the daily email reports.</w:t>
      </w:r>
    </w:p>
    <w:p w14:paraId="74969C11" w14:textId="77777777" w:rsidR="000C526C" w:rsidRPr="006134FA" w:rsidRDefault="000C526C" w:rsidP="000C526C">
      <w:pPr>
        <w:rPr>
          <w:rFonts w:cs="Arial"/>
          <w:szCs w:val="20"/>
        </w:rPr>
      </w:pPr>
      <w:r w:rsidRPr="006134FA">
        <w:rPr>
          <w:rFonts w:cs="Arial"/>
        </w:rPr>
        <w:t>At 30 June 201</w:t>
      </w:r>
      <w:r>
        <w:rPr>
          <w:rFonts w:cs="Arial"/>
        </w:rPr>
        <w:t>7</w:t>
      </w:r>
      <w:r w:rsidRPr="006134FA">
        <w:rPr>
          <w:rFonts w:cs="Arial"/>
        </w:rPr>
        <w:t xml:space="preserve">, there were 146 </w:t>
      </w:r>
      <w:r>
        <w:rPr>
          <w:rFonts w:cs="Arial"/>
        </w:rPr>
        <w:t xml:space="preserve">AISI </w:t>
      </w:r>
      <w:r w:rsidRPr="006134FA">
        <w:rPr>
          <w:rFonts w:cs="Arial"/>
        </w:rPr>
        <w:t>partners</w:t>
      </w:r>
      <w:r>
        <w:rPr>
          <w:rFonts w:cs="Arial"/>
        </w:rPr>
        <w:t xml:space="preserve"> </w:t>
      </w:r>
      <w:r w:rsidRPr="006134FA">
        <w:rPr>
          <w:rFonts w:cs="Arial"/>
        </w:rPr>
        <w:t xml:space="preserve">estimated to cover more than 95 per cent of allocated Australian IP address ranges. A total of </w:t>
      </w:r>
      <w:r>
        <w:rPr>
          <w:rFonts w:cs="Arial"/>
        </w:rPr>
        <w:t>38</w:t>
      </w:r>
      <w:r w:rsidRPr="006134FA">
        <w:rPr>
          <w:rFonts w:cs="Arial"/>
        </w:rPr>
        <w:t>.5</w:t>
      </w:r>
      <w:r w:rsidRPr="006134FA">
        <w:rPr>
          <w:rFonts w:cs="Arial"/>
          <w:szCs w:val="20"/>
        </w:rPr>
        <w:t xml:space="preserve"> million observations of infections were reported to AISI partners in 201</w:t>
      </w:r>
      <w:r>
        <w:rPr>
          <w:rFonts w:cs="Arial"/>
          <w:szCs w:val="20"/>
        </w:rPr>
        <w:t>6</w:t>
      </w:r>
      <w:r w:rsidRPr="006134FA">
        <w:rPr>
          <w:rFonts w:cs="Arial"/>
          <w:szCs w:val="20"/>
        </w:rPr>
        <w:t>–1</w:t>
      </w:r>
      <w:r>
        <w:rPr>
          <w:rFonts w:cs="Arial"/>
          <w:szCs w:val="20"/>
        </w:rPr>
        <w:t>7</w:t>
      </w:r>
      <w:r w:rsidRPr="006134FA">
        <w:rPr>
          <w:rFonts w:cs="Arial"/>
          <w:szCs w:val="20"/>
        </w:rPr>
        <w:t xml:space="preserve">, averaging </w:t>
      </w:r>
      <w:r>
        <w:rPr>
          <w:rFonts w:cs="Arial"/>
          <w:szCs w:val="20"/>
        </w:rPr>
        <w:t>3</w:t>
      </w:r>
      <w:r w:rsidRPr="006134FA">
        <w:rPr>
          <w:rFonts w:cs="Arial"/>
          <w:szCs w:val="20"/>
        </w:rPr>
        <w:t>.2 million per month.</w:t>
      </w:r>
    </w:p>
    <w:p w14:paraId="50EE2DD0" w14:textId="4E9222E5" w:rsidR="000C526C" w:rsidRPr="00495DBF" w:rsidRDefault="000C526C" w:rsidP="008D6DCE">
      <w:pPr>
        <w:rPr>
          <w:rFonts w:cs="Arial"/>
        </w:rPr>
      </w:pPr>
      <w:r w:rsidRPr="00495DBF">
        <w:rPr>
          <w:rFonts w:cs="Arial"/>
        </w:rPr>
        <w:t xml:space="preserve">The average number of AISI malware reports per day increased significantly in December </w:t>
      </w:r>
      <w:r>
        <w:rPr>
          <w:rFonts w:cs="Arial"/>
        </w:rPr>
        <w:t xml:space="preserve">2016 </w:t>
      </w:r>
      <w:r w:rsidRPr="00495DBF">
        <w:rPr>
          <w:rFonts w:cs="Arial"/>
        </w:rPr>
        <w:t>to 41,281</w:t>
      </w:r>
      <w:r>
        <w:rPr>
          <w:rFonts w:cs="Arial"/>
        </w:rPr>
        <w:t xml:space="preserve"> (up from</w:t>
      </w:r>
      <w:r w:rsidRPr="00495DBF">
        <w:rPr>
          <w:rFonts w:cs="Arial"/>
        </w:rPr>
        <w:t xml:space="preserve"> the </w:t>
      </w:r>
      <w:r>
        <w:rPr>
          <w:rFonts w:cs="Arial"/>
        </w:rPr>
        <w:t>2015</w:t>
      </w:r>
      <w:r w:rsidR="004562EE">
        <w:rPr>
          <w:rFonts w:cs="Arial"/>
        </w:rPr>
        <w:t>–</w:t>
      </w:r>
      <w:r>
        <w:rPr>
          <w:rFonts w:cs="Arial"/>
        </w:rPr>
        <w:t xml:space="preserve">16 daily </w:t>
      </w:r>
      <w:r w:rsidRPr="00495DBF">
        <w:rPr>
          <w:rFonts w:cs="Arial"/>
        </w:rPr>
        <w:t>average of 8,557</w:t>
      </w:r>
      <w:r>
        <w:rPr>
          <w:rFonts w:cs="Arial"/>
        </w:rPr>
        <w:t>)</w:t>
      </w:r>
      <w:r w:rsidRPr="00495DBF">
        <w:rPr>
          <w:rFonts w:cs="Arial"/>
        </w:rPr>
        <w:t>. This increase was due to the i</w:t>
      </w:r>
      <w:r>
        <w:rPr>
          <w:rFonts w:cs="Arial"/>
        </w:rPr>
        <w:t>dentification</w:t>
      </w:r>
      <w:r w:rsidRPr="00495DBF">
        <w:rPr>
          <w:rFonts w:cs="Arial"/>
        </w:rPr>
        <w:t xml:space="preserve"> of a new malware </w:t>
      </w:r>
      <w:r w:rsidRPr="004562EE">
        <w:rPr>
          <w:rFonts w:cs="Arial"/>
          <w:szCs w:val="20"/>
        </w:rPr>
        <w:t>variant</w:t>
      </w:r>
      <w:r>
        <w:rPr>
          <w:rFonts w:cs="Arial"/>
        </w:rPr>
        <w:t>—Mira</w:t>
      </w:r>
      <w:r w:rsidR="004562EE">
        <w:rPr>
          <w:rFonts w:cs="Arial"/>
        </w:rPr>
        <w:t>i</w:t>
      </w:r>
      <w:r>
        <w:rPr>
          <w:rFonts w:cs="Arial"/>
        </w:rPr>
        <w:t>—o</w:t>
      </w:r>
      <w:r w:rsidRPr="00495DBF">
        <w:rPr>
          <w:rFonts w:cs="Arial"/>
        </w:rPr>
        <w:t xml:space="preserve">n 29 November 2016. Mirai </w:t>
      </w:r>
      <w:r>
        <w:rPr>
          <w:rFonts w:cs="Arial"/>
        </w:rPr>
        <w:t>was a large</w:t>
      </w:r>
      <w:r w:rsidR="004562EE">
        <w:rPr>
          <w:rFonts w:cs="Arial"/>
        </w:rPr>
        <w:t>-</w:t>
      </w:r>
      <w:r>
        <w:rPr>
          <w:rFonts w:cs="Arial"/>
        </w:rPr>
        <w:t>scale infection of IoT</w:t>
      </w:r>
      <w:r w:rsidRPr="00495DBF">
        <w:rPr>
          <w:rFonts w:cs="Arial"/>
        </w:rPr>
        <w:t xml:space="preserve"> devices (such as routers, webcams, printers and digital video recorders)</w:t>
      </w:r>
      <w:r>
        <w:rPr>
          <w:rFonts w:cs="Arial"/>
        </w:rPr>
        <w:t xml:space="preserve"> targeting </w:t>
      </w:r>
      <w:r w:rsidRPr="00495DBF">
        <w:rPr>
          <w:rFonts w:cs="Arial"/>
        </w:rPr>
        <w:t xml:space="preserve">weak or default passwords. The highest number of Mirai malware </w:t>
      </w:r>
      <w:r>
        <w:rPr>
          <w:rFonts w:cs="Arial"/>
        </w:rPr>
        <w:t>reports</w:t>
      </w:r>
      <w:r w:rsidR="004562EE">
        <w:rPr>
          <w:rFonts w:cs="Arial"/>
        </w:rPr>
        <w:t>—</w:t>
      </w:r>
      <w:r w:rsidR="004562EE" w:rsidRPr="00495DBF">
        <w:rPr>
          <w:rFonts w:cs="Arial"/>
        </w:rPr>
        <w:t>80,000</w:t>
      </w:r>
      <w:r w:rsidR="004562EE">
        <w:rPr>
          <w:rFonts w:cs="Arial"/>
        </w:rPr>
        <w:t>—</w:t>
      </w:r>
      <w:r w:rsidRPr="00495DBF">
        <w:rPr>
          <w:rFonts w:cs="Arial"/>
        </w:rPr>
        <w:t>was on 20 December</w:t>
      </w:r>
      <w:r w:rsidR="00F05F35">
        <w:rPr>
          <w:rFonts w:cs="Arial"/>
        </w:rPr>
        <w:t xml:space="preserve"> 2016</w:t>
      </w:r>
      <w:r>
        <w:rPr>
          <w:rFonts w:cs="Arial"/>
        </w:rPr>
        <w:t>.</w:t>
      </w:r>
    </w:p>
    <w:p w14:paraId="5C60654B" w14:textId="77777777" w:rsidR="000C526C" w:rsidRPr="006134FA" w:rsidRDefault="000C526C" w:rsidP="000C526C">
      <w:pPr>
        <w:rPr>
          <w:rFonts w:cs="Arial"/>
        </w:rPr>
      </w:pPr>
      <w:r>
        <w:rPr>
          <w:rFonts w:cs="Arial"/>
        </w:rPr>
        <w:t xml:space="preserve">The ACMA’s reporting of vulnerable services expanded significantly in </w:t>
      </w:r>
      <w:r w:rsidRPr="006134FA">
        <w:rPr>
          <w:rFonts w:cs="Arial"/>
        </w:rPr>
        <w:t>201</w:t>
      </w:r>
      <w:r>
        <w:rPr>
          <w:rFonts w:cs="Arial"/>
        </w:rPr>
        <w:t>6–</w:t>
      </w:r>
      <w:r w:rsidRPr="006134FA">
        <w:rPr>
          <w:rFonts w:cs="Arial"/>
        </w:rPr>
        <w:t>1</w:t>
      </w:r>
      <w:r>
        <w:rPr>
          <w:rFonts w:cs="Arial"/>
        </w:rPr>
        <w:t>7, with</w:t>
      </w:r>
      <w:r w:rsidRPr="006134FA">
        <w:rPr>
          <w:rFonts w:cs="Arial"/>
        </w:rPr>
        <w:t xml:space="preserve"> </w:t>
      </w:r>
      <w:r w:rsidR="004562EE">
        <w:rPr>
          <w:rFonts w:cs="Arial"/>
        </w:rPr>
        <w:t xml:space="preserve">11 </w:t>
      </w:r>
      <w:r>
        <w:rPr>
          <w:rFonts w:cs="Arial"/>
        </w:rPr>
        <w:t>new</w:t>
      </w:r>
      <w:r w:rsidRPr="006134FA">
        <w:rPr>
          <w:rFonts w:cs="Arial"/>
        </w:rPr>
        <w:t xml:space="preserve"> vulnerability types added to the daily AISI reports</w:t>
      </w:r>
      <w:r>
        <w:rPr>
          <w:rFonts w:cs="Arial"/>
        </w:rPr>
        <w:t xml:space="preserve">. </w:t>
      </w:r>
      <w:r w:rsidRPr="006134FA">
        <w:rPr>
          <w:rFonts w:cs="Arial"/>
        </w:rPr>
        <w:t xml:space="preserve">A total of </w:t>
      </w:r>
      <w:r>
        <w:rPr>
          <w:rFonts w:cs="Arial"/>
        </w:rPr>
        <w:t xml:space="preserve">61.8 </w:t>
      </w:r>
      <w:r w:rsidRPr="006134FA">
        <w:rPr>
          <w:rFonts w:cs="Arial"/>
        </w:rPr>
        <w:t>million daily observations of vulnerable IP addresses were reported to AISI partners in 201</w:t>
      </w:r>
      <w:r>
        <w:rPr>
          <w:rFonts w:cs="Arial"/>
        </w:rPr>
        <w:t>6–</w:t>
      </w:r>
      <w:r w:rsidRPr="006134FA">
        <w:rPr>
          <w:rFonts w:cs="Arial"/>
        </w:rPr>
        <w:t>1</w:t>
      </w:r>
      <w:r>
        <w:rPr>
          <w:rFonts w:cs="Arial"/>
        </w:rPr>
        <w:t>7</w:t>
      </w:r>
      <w:r w:rsidRPr="006134FA">
        <w:rPr>
          <w:rFonts w:cs="Arial"/>
        </w:rPr>
        <w:t>.</w:t>
      </w:r>
    </w:p>
    <w:p w14:paraId="791ADB30" w14:textId="77777777" w:rsidR="000C526C" w:rsidRDefault="000C526C" w:rsidP="000C526C">
      <w:r w:rsidRPr="006134FA">
        <w:rPr>
          <w:rFonts w:cs="Arial"/>
        </w:rPr>
        <w:t xml:space="preserve">Reporting vulnerable services </w:t>
      </w:r>
      <w:r w:rsidR="004562EE">
        <w:rPr>
          <w:rFonts w:cs="Arial"/>
        </w:rPr>
        <w:t>helps</w:t>
      </w:r>
      <w:r w:rsidR="004562EE" w:rsidRPr="006134FA">
        <w:rPr>
          <w:rFonts w:cs="Arial"/>
        </w:rPr>
        <w:t xml:space="preserve"> </w:t>
      </w:r>
      <w:r w:rsidRPr="006134FA">
        <w:rPr>
          <w:rFonts w:cs="Arial"/>
        </w:rPr>
        <w:t xml:space="preserve">home and business users </w:t>
      </w:r>
      <w:r>
        <w:rPr>
          <w:rFonts w:cs="Arial"/>
        </w:rPr>
        <w:t>by</w:t>
      </w:r>
      <w:r w:rsidRPr="006134FA">
        <w:rPr>
          <w:rFonts w:cs="Arial"/>
        </w:rPr>
        <w:t xml:space="preserve"> </w:t>
      </w:r>
      <w:r>
        <w:rPr>
          <w:rFonts w:cs="Arial"/>
        </w:rPr>
        <w:t xml:space="preserve">providing data to underpin </w:t>
      </w:r>
      <w:r w:rsidRPr="006134FA">
        <w:rPr>
          <w:rFonts w:cs="Arial"/>
        </w:rPr>
        <w:t>alert</w:t>
      </w:r>
      <w:r>
        <w:rPr>
          <w:rFonts w:cs="Arial"/>
        </w:rPr>
        <w:t>s</w:t>
      </w:r>
      <w:r w:rsidRPr="006134FA">
        <w:rPr>
          <w:rFonts w:cs="Arial"/>
        </w:rPr>
        <w:t xml:space="preserve"> </w:t>
      </w:r>
      <w:r>
        <w:rPr>
          <w:rFonts w:cs="Arial"/>
        </w:rPr>
        <w:t>about</w:t>
      </w:r>
      <w:r w:rsidRPr="006134FA">
        <w:rPr>
          <w:rFonts w:cs="Arial"/>
        </w:rPr>
        <w:t xml:space="preserve"> the need to improve the security level of their internet</w:t>
      </w:r>
      <w:r>
        <w:rPr>
          <w:rFonts w:cs="Arial"/>
        </w:rPr>
        <w:t>-</w:t>
      </w:r>
      <w:r w:rsidRPr="006134FA">
        <w:rPr>
          <w:rFonts w:cs="Arial"/>
        </w:rPr>
        <w:t xml:space="preserve">accessible services. </w:t>
      </w:r>
      <w:r w:rsidRPr="006134FA">
        <w:t xml:space="preserve">The feedback from industry </w:t>
      </w:r>
      <w:r>
        <w:t>on</w:t>
      </w:r>
      <w:r w:rsidRPr="006134FA">
        <w:t xml:space="preserve"> the reporting of vulnerability data through the AISI program</w:t>
      </w:r>
      <w:r w:rsidRPr="002373E0">
        <w:t xml:space="preserve"> </w:t>
      </w:r>
      <w:r w:rsidRPr="006134FA">
        <w:t xml:space="preserve">has been positive, with the data indicating significant issues exist for industry </w:t>
      </w:r>
      <w:r>
        <w:t xml:space="preserve">in </w:t>
      </w:r>
      <w:r w:rsidRPr="006134FA">
        <w:t>maint</w:t>
      </w:r>
      <w:r>
        <w:t>aining</w:t>
      </w:r>
      <w:r w:rsidRPr="006134FA">
        <w:t xml:space="preserve"> security levels on these services.</w:t>
      </w:r>
    </w:p>
    <w:p w14:paraId="1657C4B0" w14:textId="77777777" w:rsidR="000C526C" w:rsidRPr="002D35E1" w:rsidRDefault="007E46B2" w:rsidP="000C526C">
      <w:pPr>
        <w:rPr>
          <w:rFonts w:cs="Arial"/>
        </w:rPr>
      </w:pPr>
      <w:r>
        <w:rPr>
          <w:rFonts w:cs="Arial"/>
        </w:rPr>
        <w:t xml:space="preserve">On 30 June 2017, the </w:t>
      </w:r>
      <w:r w:rsidRPr="000A2A9B">
        <w:rPr>
          <w:rFonts w:cs="Arial"/>
        </w:rPr>
        <w:t xml:space="preserve">AISI </w:t>
      </w:r>
      <w:r>
        <w:rPr>
          <w:rFonts w:cs="Arial"/>
        </w:rPr>
        <w:t>was</w:t>
      </w:r>
      <w:r w:rsidRPr="000A2A9B">
        <w:rPr>
          <w:rFonts w:cs="Arial"/>
        </w:rPr>
        <w:t xml:space="preserve"> transferred to the AGD</w:t>
      </w:r>
      <w:r>
        <w:rPr>
          <w:rFonts w:cs="Arial"/>
        </w:rPr>
        <w:t xml:space="preserve">, following </w:t>
      </w:r>
      <w:r w:rsidR="000C526C" w:rsidRPr="000A2A9B">
        <w:rPr>
          <w:rFonts w:cs="Arial"/>
        </w:rPr>
        <w:t>recommend</w:t>
      </w:r>
      <w:r>
        <w:rPr>
          <w:rFonts w:cs="Arial"/>
        </w:rPr>
        <w:t xml:space="preserve">ation </w:t>
      </w:r>
      <w:r w:rsidRPr="00CE0E76">
        <w:rPr>
          <w:rFonts w:cs="Arial"/>
        </w:rPr>
        <w:t>two</w:t>
      </w:r>
      <w:r>
        <w:rPr>
          <w:rFonts w:cs="Arial"/>
        </w:rPr>
        <w:t xml:space="preserve"> in the government’</w:t>
      </w:r>
      <w:r w:rsidR="000C526C" w:rsidRPr="000A2A9B">
        <w:rPr>
          <w:rFonts w:cs="Arial"/>
        </w:rPr>
        <w:t>s Review of the ACMA</w:t>
      </w:r>
      <w:r>
        <w:rPr>
          <w:rFonts w:cs="Arial"/>
        </w:rPr>
        <w:t xml:space="preserve">, and </w:t>
      </w:r>
      <w:r w:rsidRPr="000A2A9B">
        <w:rPr>
          <w:rFonts w:cs="Arial"/>
        </w:rPr>
        <w:t>as part of the whole</w:t>
      </w:r>
      <w:r>
        <w:rPr>
          <w:rFonts w:cs="Arial"/>
        </w:rPr>
        <w:t>-</w:t>
      </w:r>
      <w:r w:rsidRPr="000A2A9B">
        <w:rPr>
          <w:rFonts w:cs="Arial"/>
        </w:rPr>
        <w:t>of</w:t>
      </w:r>
      <w:r>
        <w:rPr>
          <w:rFonts w:cs="Arial"/>
        </w:rPr>
        <w:t>-</w:t>
      </w:r>
      <w:r w:rsidRPr="000A2A9B">
        <w:rPr>
          <w:rFonts w:cs="Arial"/>
        </w:rPr>
        <w:t>government cybersecurity strategy</w:t>
      </w:r>
      <w:r>
        <w:rPr>
          <w:rFonts w:cs="Arial"/>
        </w:rPr>
        <w:t>.</w:t>
      </w:r>
      <w:r w:rsidRPr="006920E9">
        <w:rPr>
          <w:rFonts w:cs="Arial"/>
        </w:rPr>
        <w:t xml:space="preserve"> </w:t>
      </w:r>
      <w:r w:rsidR="000C526C" w:rsidRPr="006920E9">
        <w:rPr>
          <w:rFonts w:cs="Arial"/>
        </w:rPr>
        <w:t>Th</w:t>
      </w:r>
      <w:r w:rsidR="000C526C">
        <w:rPr>
          <w:rFonts w:cs="Arial"/>
        </w:rPr>
        <w:t xml:space="preserve">e </w:t>
      </w:r>
      <w:r w:rsidR="000C526C" w:rsidRPr="006920E9">
        <w:rPr>
          <w:rFonts w:cs="Arial"/>
        </w:rPr>
        <w:t>move</w:t>
      </w:r>
      <w:r w:rsidR="000C526C">
        <w:t xml:space="preserve"> </w:t>
      </w:r>
      <w:r w:rsidR="000C526C" w:rsidRPr="00A92060">
        <w:t>will contribute to a coordinated Commonwealth outreach strategy and clear messaging on cybersecurity awareness</w:t>
      </w:r>
      <w:r w:rsidR="000C526C">
        <w:t>.</w:t>
      </w:r>
    </w:p>
    <w:p w14:paraId="40215E57" w14:textId="77777777" w:rsidR="000C526C" w:rsidRPr="009159C2" w:rsidRDefault="000C526C" w:rsidP="000C526C">
      <w:pPr>
        <w:pStyle w:val="Heading2"/>
        <w:numPr>
          <w:ilvl w:val="1"/>
          <w:numId w:val="20"/>
        </w:numPr>
        <w:ind w:hanging="792"/>
      </w:pPr>
      <w:bookmarkStart w:id="1690" w:name="_Toc494799509"/>
      <w:bookmarkStart w:id="1691" w:name="_Toc494805812"/>
      <w:bookmarkStart w:id="1692" w:name="_Toc494806077"/>
      <w:bookmarkStart w:id="1693" w:name="_Toc494816380"/>
      <w:bookmarkStart w:id="1694" w:name="_Toc494819206"/>
      <w:bookmarkStart w:id="1695" w:name="_Toc494808307"/>
      <w:bookmarkStart w:id="1696" w:name="_Toc494808965"/>
      <w:bookmarkStart w:id="1697" w:name="_Toc494818976"/>
      <w:bookmarkStart w:id="1698" w:name="_Toc500320936"/>
      <w:bookmarkEnd w:id="1689"/>
      <w:r w:rsidRPr="009159C2">
        <w:t>Industry compliance with TIO scheme</w:t>
      </w:r>
      <w:bookmarkEnd w:id="1690"/>
      <w:bookmarkEnd w:id="1691"/>
      <w:bookmarkEnd w:id="1692"/>
      <w:bookmarkEnd w:id="1693"/>
      <w:bookmarkEnd w:id="1694"/>
      <w:bookmarkEnd w:id="1695"/>
      <w:bookmarkEnd w:id="1696"/>
      <w:bookmarkEnd w:id="1697"/>
      <w:bookmarkEnd w:id="1698"/>
    </w:p>
    <w:p w14:paraId="5B2D179B" w14:textId="77777777" w:rsidR="000C526C" w:rsidRDefault="000C526C" w:rsidP="00CD3DF0">
      <w:pPr>
        <w:keepLines/>
        <w:spacing w:after="160" w:line="259" w:lineRule="auto"/>
      </w:pPr>
      <w:r w:rsidRPr="006134FA">
        <w:t xml:space="preserve">Section 128 of the </w:t>
      </w:r>
      <w:r w:rsidRPr="00556DFA">
        <w:t>TCPSS Act</w:t>
      </w:r>
      <w:r w:rsidRPr="006134FA">
        <w:t xml:space="preserve"> requires carriers and eligible </w:t>
      </w:r>
      <w:r>
        <w:t>C</w:t>
      </w:r>
      <w:r w:rsidRPr="006134FA">
        <w:t>SPs to join the TIO scheme</w:t>
      </w:r>
      <w:r w:rsidR="00861F78">
        <w:t>, which</w:t>
      </w:r>
      <w:r w:rsidRPr="006134FA">
        <w:t xml:space="preserve"> provides </w:t>
      </w:r>
      <w:r>
        <w:t>alternative dispute</w:t>
      </w:r>
      <w:r w:rsidRPr="006134FA">
        <w:t xml:space="preserve"> resolution of unresolved complaints about carriers or CSPs made by residential and small-business customers</w:t>
      </w:r>
      <w:r>
        <w:t xml:space="preserve"> </w:t>
      </w:r>
      <w:r w:rsidR="00861F78">
        <w:t>about</w:t>
      </w:r>
      <w:r>
        <w:t xml:space="preserve"> telephone and internet services</w:t>
      </w:r>
      <w:r w:rsidRPr="006134FA">
        <w:t xml:space="preserve">. </w:t>
      </w:r>
      <w:r>
        <w:t>The ACMA is responsible for ensuring providers</w:t>
      </w:r>
      <w:r w:rsidRPr="006134FA">
        <w:t xml:space="preserve"> comply with the scheme.</w:t>
      </w:r>
    </w:p>
    <w:p w14:paraId="6BEF73A4" w14:textId="77777777" w:rsidR="000C526C" w:rsidRDefault="00071F65" w:rsidP="000C526C">
      <w:pPr>
        <w:pStyle w:val="Heading3"/>
      </w:pPr>
      <w:r>
        <w:t>Membership of the TIO scheme</w:t>
      </w:r>
    </w:p>
    <w:p w14:paraId="5C344EB7" w14:textId="77777777" w:rsidR="000C526C" w:rsidRDefault="000C526C" w:rsidP="000C526C">
      <w:r>
        <w:t xml:space="preserve">In </w:t>
      </w:r>
      <w:r w:rsidRPr="00472D3B">
        <w:t>2016–17</w:t>
      </w:r>
      <w:r w:rsidRPr="006134FA">
        <w:t xml:space="preserve">, the TIO referred </w:t>
      </w:r>
      <w:r w:rsidRPr="00A25896">
        <w:t>four</w:t>
      </w:r>
      <w:r w:rsidRPr="006134FA">
        <w:t xml:space="preserve"> companies </w:t>
      </w:r>
      <w:r>
        <w:t>to the ACMA for failing to join the</w:t>
      </w:r>
      <w:r w:rsidRPr="006134FA">
        <w:t xml:space="preserve"> </w:t>
      </w:r>
      <w:r>
        <w:t xml:space="preserve">TIO scheme. </w:t>
      </w:r>
      <w:r w:rsidR="00861F78">
        <w:t>In response to our enquiries, t</w:t>
      </w:r>
      <w:r w:rsidRPr="00A25896">
        <w:t>hree</w:t>
      </w:r>
      <w:r>
        <w:t xml:space="preserve"> companies subsequently joined the TIO scheme. </w:t>
      </w:r>
      <w:r w:rsidR="00861F78">
        <w:t>Our</w:t>
      </w:r>
      <w:r>
        <w:t xml:space="preserve"> investigation into one company will continue in 2017–18.</w:t>
      </w:r>
    </w:p>
    <w:p w14:paraId="5DBCB14C" w14:textId="77777777" w:rsidR="000C526C" w:rsidRDefault="000C526C" w:rsidP="000C526C">
      <w:pPr>
        <w:pStyle w:val="Heading3"/>
      </w:pPr>
      <w:bookmarkStart w:id="1699" w:name="_Toc494799511"/>
      <w:bookmarkStart w:id="1700" w:name="_Toc494805814"/>
      <w:bookmarkStart w:id="1701" w:name="_Toc494806079"/>
      <w:bookmarkStart w:id="1702" w:name="_Toc494808309"/>
      <w:bookmarkStart w:id="1703" w:name="_Toc494808967"/>
      <w:bookmarkStart w:id="1704" w:name="_Toc494816382"/>
      <w:bookmarkStart w:id="1705" w:name="_Toc494818978"/>
      <w:bookmarkStart w:id="1706" w:name="_Toc494819208"/>
      <w:r>
        <w:t xml:space="preserve">Compliance with </w:t>
      </w:r>
      <w:r w:rsidRPr="00B81F91">
        <w:t xml:space="preserve">TIO </w:t>
      </w:r>
      <w:r>
        <w:t>membership rules</w:t>
      </w:r>
      <w:bookmarkEnd w:id="1699"/>
      <w:bookmarkEnd w:id="1700"/>
      <w:bookmarkEnd w:id="1701"/>
      <w:bookmarkEnd w:id="1702"/>
      <w:bookmarkEnd w:id="1703"/>
      <w:bookmarkEnd w:id="1704"/>
      <w:bookmarkEnd w:id="1705"/>
      <w:bookmarkEnd w:id="1706"/>
    </w:p>
    <w:p w14:paraId="2AEAA340" w14:textId="77777777" w:rsidR="000C526C" w:rsidRDefault="000C526C" w:rsidP="000C526C">
      <w:r w:rsidRPr="00E32678">
        <w:t xml:space="preserve">Section 132 of the TCPSS Act </w:t>
      </w:r>
      <w:r>
        <w:t xml:space="preserve">requires TIO members </w:t>
      </w:r>
      <w:r w:rsidRPr="00E32678">
        <w:t>to comply with TIO decisions and directions</w:t>
      </w:r>
      <w:r>
        <w:t xml:space="preserve">. The TIO referred </w:t>
      </w:r>
      <w:r w:rsidRPr="00A25896">
        <w:t>two</w:t>
      </w:r>
      <w:r>
        <w:t xml:space="preserve"> providers to the ACMA for failing to comply. </w:t>
      </w:r>
      <w:r w:rsidR="00FD5221">
        <w:t>We</w:t>
      </w:r>
      <w:r w:rsidRPr="00556DFA">
        <w:t xml:space="preserve"> issued a direction to one provider to comply</w:t>
      </w:r>
      <w:r w:rsidR="00FD5221">
        <w:t>, with an</w:t>
      </w:r>
      <w:r w:rsidRPr="00B66A36">
        <w:t xml:space="preserve"> investigation into one </w:t>
      </w:r>
      <w:r>
        <w:t xml:space="preserve">other </w:t>
      </w:r>
      <w:r w:rsidRPr="00B66A36">
        <w:t xml:space="preserve">company </w:t>
      </w:r>
      <w:r w:rsidR="00FD5221">
        <w:t>to</w:t>
      </w:r>
      <w:r w:rsidR="00FD5221" w:rsidRPr="00B66A36">
        <w:t xml:space="preserve"> </w:t>
      </w:r>
      <w:r w:rsidRPr="00B66A36">
        <w:t>continue in 2017</w:t>
      </w:r>
      <w:r>
        <w:t>–</w:t>
      </w:r>
      <w:r w:rsidRPr="00B66A36">
        <w:t>18.</w:t>
      </w:r>
    </w:p>
    <w:p w14:paraId="0685A4A5" w14:textId="77777777" w:rsidR="000C526C" w:rsidRPr="00E32678" w:rsidRDefault="000C526C" w:rsidP="000C526C">
      <w:pPr>
        <w:pStyle w:val="Heading3"/>
      </w:pPr>
      <w:bookmarkStart w:id="1707" w:name="_Toc494799512"/>
      <w:bookmarkStart w:id="1708" w:name="_Toc494805815"/>
      <w:bookmarkStart w:id="1709" w:name="_Toc494806080"/>
      <w:bookmarkStart w:id="1710" w:name="_Toc494808310"/>
      <w:bookmarkStart w:id="1711" w:name="_Toc494808968"/>
      <w:bookmarkStart w:id="1712" w:name="_Toc494816383"/>
      <w:bookmarkStart w:id="1713" w:name="_Toc494818979"/>
      <w:bookmarkStart w:id="1714" w:name="_Toc494819209"/>
      <w:r w:rsidRPr="00E32678">
        <w:t>Exemptions from the TIO scheme</w:t>
      </w:r>
      <w:bookmarkEnd w:id="1707"/>
      <w:bookmarkEnd w:id="1708"/>
      <w:bookmarkEnd w:id="1709"/>
      <w:bookmarkEnd w:id="1710"/>
      <w:bookmarkEnd w:id="1711"/>
      <w:bookmarkEnd w:id="1712"/>
      <w:bookmarkEnd w:id="1713"/>
      <w:bookmarkEnd w:id="1714"/>
    </w:p>
    <w:p w14:paraId="500A11FA" w14:textId="77777777" w:rsidR="000C526C" w:rsidRDefault="000C526C" w:rsidP="000C526C">
      <w:r>
        <w:t xml:space="preserve">Section 129 of the TCPSS Act allows the ACMA to exempt a carrier or eligible CSP from the </w:t>
      </w:r>
      <w:r w:rsidRPr="00E32678">
        <w:t xml:space="preserve">obligation to join the </w:t>
      </w:r>
      <w:r>
        <w:t xml:space="preserve">TIO scheme. </w:t>
      </w:r>
      <w:r w:rsidR="00FD5221">
        <w:t>We</w:t>
      </w:r>
      <w:r>
        <w:t xml:space="preserve"> received </w:t>
      </w:r>
      <w:r w:rsidRPr="00A25896">
        <w:t>three</w:t>
      </w:r>
      <w:r>
        <w:t xml:space="preserve"> applications from suppliers requesting an exemption</w:t>
      </w:r>
      <w:r w:rsidR="00FD5221">
        <w:t>—t</w:t>
      </w:r>
      <w:r>
        <w:t>wo applications were granted in July 2016 and March 2017</w:t>
      </w:r>
      <w:r w:rsidR="00FD5221">
        <w:t>,</w:t>
      </w:r>
      <w:r>
        <w:t xml:space="preserve"> respectively. The third application was not granted and the provider subsequently joined the TIO scheme.</w:t>
      </w:r>
    </w:p>
    <w:p w14:paraId="2D607AF7" w14:textId="3CB3054D" w:rsidR="000C526C" w:rsidRDefault="000C526C" w:rsidP="000C526C">
      <w:r w:rsidRPr="00744827">
        <w:t>Investigations into TIO scheme membership led to one direction to comply with section 132 of the TCPSS</w:t>
      </w:r>
      <w:r w:rsidR="0056483A">
        <w:t> </w:t>
      </w:r>
      <w:r w:rsidRPr="00744827">
        <w:t xml:space="preserve">Act issued to </w:t>
      </w:r>
      <w:r w:rsidRPr="005A6644">
        <w:rPr>
          <w:rFonts w:cs="Arial"/>
          <w:bCs/>
          <w:color w:val="000000"/>
          <w:szCs w:val="20"/>
        </w:rPr>
        <w:t>Digital Technologies &amp; Telecommunications Pty Ltd</w:t>
      </w:r>
      <w:r w:rsidRPr="00744827">
        <w:t>, which subsequently joined the</w:t>
      </w:r>
      <w:r w:rsidR="0056483A">
        <w:t> </w:t>
      </w:r>
      <w:r w:rsidRPr="00744827">
        <w:t>TIO scheme.</w:t>
      </w:r>
    </w:p>
    <w:p w14:paraId="695A12B8" w14:textId="77777777" w:rsidR="000C526C" w:rsidRPr="00744827" w:rsidRDefault="000C526C" w:rsidP="000C526C">
      <w:pPr>
        <w:pStyle w:val="Heading2"/>
        <w:numPr>
          <w:ilvl w:val="1"/>
          <w:numId w:val="20"/>
        </w:numPr>
        <w:ind w:hanging="792"/>
      </w:pPr>
      <w:bookmarkStart w:id="1715" w:name="_Toc462909525"/>
      <w:bookmarkStart w:id="1716" w:name="_Toc494799513"/>
      <w:bookmarkStart w:id="1717" w:name="_Toc494805816"/>
      <w:bookmarkStart w:id="1718" w:name="_Toc494806081"/>
      <w:bookmarkStart w:id="1719" w:name="_Toc494816384"/>
      <w:bookmarkStart w:id="1720" w:name="_Toc494819210"/>
      <w:bookmarkStart w:id="1721" w:name="_Toc494808311"/>
      <w:bookmarkStart w:id="1722" w:name="_Toc494808969"/>
      <w:bookmarkStart w:id="1723" w:name="_Toc494818980"/>
      <w:bookmarkStart w:id="1724" w:name="_Toc500320937"/>
      <w:r w:rsidRPr="00744827">
        <w:t>Complaints to the TIO</w:t>
      </w:r>
      <w:bookmarkEnd w:id="1715"/>
      <w:bookmarkEnd w:id="1716"/>
      <w:bookmarkEnd w:id="1717"/>
      <w:bookmarkEnd w:id="1718"/>
      <w:bookmarkEnd w:id="1719"/>
      <w:bookmarkEnd w:id="1720"/>
      <w:bookmarkEnd w:id="1721"/>
      <w:bookmarkEnd w:id="1722"/>
      <w:bookmarkEnd w:id="1723"/>
      <w:bookmarkEnd w:id="1724"/>
    </w:p>
    <w:p w14:paraId="3F8D1780" w14:textId="77777777" w:rsidR="000C526C" w:rsidRPr="00472D3B" w:rsidRDefault="000C526C" w:rsidP="000C526C">
      <w:r w:rsidRPr="006134FA">
        <w:t xml:space="preserve">There </w:t>
      </w:r>
      <w:r w:rsidRPr="00472D3B">
        <w:t xml:space="preserve">were 158,016 new complaints made to the TIO during 2016–17. </w:t>
      </w:r>
      <w:r w:rsidR="00EB5581">
        <w:t>This</w:t>
      </w:r>
      <w:r w:rsidRPr="00472D3B">
        <w:t xml:space="preserve"> represents an increase of </w:t>
      </w:r>
      <w:r w:rsidR="00534A1D">
        <w:t>41.1</w:t>
      </w:r>
      <w:r w:rsidRPr="00472D3B">
        <w:t xml:space="preserve"> per</w:t>
      </w:r>
      <w:r>
        <w:t xml:space="preserve"> </w:t>
      </w:r>
      <w:r w:rsidRPr="00472D3B">
        <w:t>cent from 2015–16</w:t>
      </w:r>
      <w:r w:rsidR="00803666">
        <w:t>,</w:t>
      </w:r>
      <w:r w:rsidR="00EB5581">
        <w:t xml:space="preserve"> </w:t>
      </w:r>
      <w:r w:rsidR="006F2C71" w:rsidRPr="006F2C71">
        <w:t>with more than 40</w:t>
      </w:r>
      <w:r w:rsidR="006F2C71">
        <w:t xml:space="preserve"> per cent</w:t>
      </w:r>
      <w:r w:rsidR="00EB5581" w:rsidRPr="00803666">
        <w:t xml:space="preserve"> of complaints </w:t>
      </w:r>
      <w:r w:rsidR="00803666">
        <w:t>about</w:t>
      </w:r>
      <w:r w:rsidR="00EB5581" w:rsidRPr="00803666">
        <w:t xml:space="preserve"> internet services.</w:t>
      </w:r>
      <w:r w:rsidR="00EB5581">
        <w:t xml:space="preserve"> </w:t>
      </w:r>
      <w:r w:rsidR="00EB5581" w:rsidRPr="00803666">
        <w:t xml:space="preserve">Despite this increase, </w:t>
      </w:r>
      <w:r w:rsidR="00543D3E">
        <w:t>the number of complaints made to the TIO was significantly lower than in the peak year for complaints in 2011–12</w:t>
      </w:r>
      <w:r w:rsidRPr="00472D3B">
        <w:t xml:space="preserve">. </w:t>
      </w:r>
    </w:p>
    <w:p w14:paraId="22CB709A" w14:textId="77777777" w:rsidR="000C526C" w:rsidRPr="00EE11DD" w:rsidRDefault="00FD5221" w:rsidP="000C526C">
      <w:r>
        <w:t>With over 1.34 million services activated</w:t>
      </w:r>
      <w:r w:rsidRPr="00FD5221">
        <w:t xml:space="preserve"> </w:t>
      </w:r>
      <w:r w:rsidRPr="002B5E2C">
        <w:t>during 2016</w:t>
      </w:r>
      <w:r>
        <w:t>–</w:t>
      </w:r>
      <w:r w:rsidRPr="002B5E2C">
        <w:t>17</w:t>
      </w:r>
      <w:r>
        <w:t xml:space="preserve">, </w:t>
      </w:r>
      <w:r w:rsidR="00D179DD">
        <w:t xml:space="preserve">the migration of </w:t>
      </w:r>
      <w:r w:rsidRPr="002B5E2C">
        <w:t xml:space="preserve">large numbers of consumers to the NBN </w:t>
      </w:r>
      <w:r>
        <w:t xml:space="preserve">was a factor in the </w:t>
      </w:r>
      <w:r w:rsidR="000C526C" w:rsidRPr="00EE11DD">
        <w:t>increase in internet and landline complai</w:t>
      </w:r>
      <w:r w:rsidR="000C526C" w:rsidRPr="002B5E2C">
        <w:t>nts</w:t>
      </w:r>
      <w:r w:rsidR="000C526C" w:rsidRPr="00EE11DD">
        <w:t>.</w:t>
      </w:r>
      <w:r w:rsidR="00D179DD">
        <w:t xml:space="preserve"> The TIO reports that complaint numbers </w:t>
      </w:r>
      <w:r w:rsidR="00803666">
        <w:t xml:space="preserve">about </w:t>
      </w:r>
      <w:r w:rsidR="00D179DD">
        <w:t>services delivered over the NBN rose by 159 per cent in the year to June 2017 to 27,195 complaints. These comprised fault complaints (</w:t>
      </w:r>
      <w:r w:rsidR="00EB5581" w:rsidRPr="00803666">
        <w:t>16,221</w:t>
      </w:r>
      <w:r w:rsidR="00D179DD">
        <w:t>) and connection delays (</w:t>
      </w:r>
      <w:r w:rsidR="00EB5581" w:rsidRPr="00803666">
        <w:t>11,224</w:t>
      </w:r>
      <w:r w:rsidR="00D179DD">
        <w:t>).</w:t>
      </w:r>
      <w:r w:rsidR="00D179DD">
        <w:rPr>
          <w:rStyle w:val="EndnoteReference"/>
        </w:rPr>
        <w:endnoteReference w:id="244"/>
      </w:r>
    </w:p>
    <w:p w14:paraId="71AB9B62" w14:textId="77777777" w:rsidR="000C526C" w:rsidRPr="00472D3B" w:rsidRDefault="000C526C" w:rsidP="00CD3DF0">
      <w:pPr>
        <w:spacing w:after="80"/>
      </w:pPr>
      <w:r>
        <w:t>E</w:t>
      </w:r>
      <w:r w:rsidRPr="00472D3B">
        <w:t>ach new complaint to the TIO can involve multiple complaint issues</w:t>
      </w:r>
      <w:r w:rsidR="00FD5221">
        <w:t>:</w:t>
      </w:r>
    </w:p>
    <w:p w14:paraId="5F74FDD4" w14:textId="77777777" w:rsidR="000C526C" w:rsidRPr="00472D3B" w:rsidRDefault="000C526C" w:rsidP="00F3697E">
      <w:pPr>
        <w:pStyle w:val="ListBullet"/>
      </w:pPr>
      <w:r>
        <w:t xml:space="preserve">Landline </w:t>
      </w:r>
      <w:r w:rsidRPr="00472D3B">
        <w:t>services generated 41,824 complaints</w:t>
      </w:r>
      <w:r w:rsidR="005B646B">
        <w:t xml:space="preserve">, </w:t>
      </w:r>
      <w:r w:rsidRPr="00FF474B">
        <w:t>represent</w:t>
      </w:r>
      <w:r w:rsidR="00FD5221">
        <w:t xml:space="preserve">ing </w:t>
      </w:r>
      <w:r w:rsidRPr="00FF474B">
        <w:t>26</w:t>
      </w:r>
      <w:r w:rsidR="00534A1D">
        <w:t>.5</w:t>
      </w:r>
      <w:r w:rsidRPr="00FF474B">
        <w:t xml:space="preserve"> </w:t>
      </w:r>
      <w:r>
        <w:t>per cent</w:t>
      </w:r>
      <w:r w:rsidRPr="00FF474B">
        <w:t xml:space="preserve"> of total complaints. Fixed</w:t>
      </w:r>
      <w:r w:rsidR="00FD5221">
        <w:t>-</w:t>
      </w:r>
      <w:r w:rsidRPr="00FF474B">
        <w:t>line services include</w:t>
      </w:r>
      <w:r>
        <w:t xml:space="preserve"> </w:t>
      </w:r>
      <w:r w:rsidR="00534A1D">
        <w:t xml:space="preserve">voice </w:t>
      </w:r>
      <w:r>
        <w:t>services delivered over the NBN</w:t>
      </w:r>
      <w:r w:rsidR="00FD5221">
        <w:t>.</w:t>
      </w:r>
    </w:p>
    <w:p w14:paraId="263A9857" w14:textId="77777777" w:rsidR="000C526C" w:rsidRPr="00472D3B" w:rsidRDefault="000C526C" w:rsidP="00DC2B04">
      <w:pPr>
        <w:pStyle w:val="ListBullet"/>
      </w:pPr>
      <w:r w:rsidRPr="00472D3B">
        <w:t xml:space="preserve">Internet services </w:t>
      </w:r>
      <w:r>
        <w:t>generated</w:t>
      </w:r>
      <w:r w:rsidRPr="00472D3B">
        <w:t xml:space="preserve"> 63,892 complaints, </w:t>
      </w:r>
      <w:r w:rsidR="00EB5581">
        <w:t>r</w:t>
      </w:r>
      <w:r>
        <w:t>epresenting 40.4 per cent of total complaints</w:t>
      </w:r>
      <w:r w:rsidR="00803666">
        <w:t>. I</w:t>
      </w:r>
      <w:r>
        <w:t>nternet services include services delivered over the NBN</w:t>
      </w:r>
      <w:r w:rsidR="00577369">
        <w:t>.</w:t>
      </w:r>
    </w:p>
    <w:p w14:paraId="30F311C8" w14:textId="77777777" w:rsidR="000C526C" w:rsidRDefault="000C526C" w:rsidP="00D06E4C">
      <w:pPr>
        <w:pStyle w:val="ListBulletLast"/>
      </w:pPr>
      <w:r>
        <w:t xml:space="preserve">Mobile services complaints </w:t>
      </w:r>
      <w:r w:rsidRPr="00A14BB5">
        <w:t xml:space="preserve">remained consistently high with </w:t>
      </w:r>
      <w:r w:rsidR="00C86E4A">
        <w:t>52,300</w:t>
      </w:r>
      <w:r>
        <w:t xml:space="preserve"> complaints</w:t>
      </w:r>
      <w:r w:rsidR="007008E5">
        <w:t xml:space="preserve">, </w:t>
      </w:r>
      <w:r>
        <w:t>represent</w:t>
      </w:r>
      <w:r w:rsidR="00577369">
        <w:t>ing</w:t>
      </w:r>
      <w:r>
        <w:t xml:space="preserve"> </w:t>
      </w:r>
      <w:r w:rsidR="00C86E4A">
        <w:t>33</w:t>
      </w:r>
      <w:r>
        <w:t xml:space="preserve"> per cent of total complaints. </w:t>
      </w:r>
    </w:p>
    <w:p w14:paraId="77FDE6C4" w14:textId="77777777" w:rsidR="000C526C" w:rsidRDefault="000C526C" w:rsidP="00803666">
      <w:pPr>
        <w:keepNext/>
        <w:spacing w:after="160" w:line="259" w:lineRule="auto"/>
      </w:pPr>
      <w:r w:rsidRPr="006134FA">
        <w:t>Table</w:t>
      </w:r>
      <w:r>
        <w:t xml:space="preserve"> 5.18</w:t>
      </w:r>
      <w:r w:rsidRPr="006134FA">
        <w:t xml:space="preserve"> shows the top TIO new complaint issues</w:t>
      </w:r>
      <w:r w:rsidR="00541C46">
        <w:t xml:space="preserve"> for 2016–17</w:t>
      </w:r>
      <w:r w:rsidRPr="006134FA">
        <w:t xml:space="preserve">. </w:t>
      </w:r>
    </w:p>
    <w:p w14:paraId="628AE77C" w14:textId="77777777" w:rsidR="000C526C" w:rsidRDefault="00541C46" w:rsidP="000C526C">
      <w:pPr>
        <w:keepNext/>
      </w:pPr>
      <w:r>
        <w:t>For the second year in a row</w:t>
      </w:r>
      <w:r w:rsidR="000C526C">
        <w:t>, complaints about connections appear</w:t>
      </w:r>
      <w:r>
        <w:t>ed</w:t>
      </w:r>
      <w:r w:rsidR="000C526C">
        <w:t xml:space="preserve"> in the top six most</w:t>
      </w:r>
      <w:r w:rsidR="00F74E97">
        <w:t>-</w:t>
      </w:r>
      <w:r w:rsidR="000C526C">
        <w:t>complained</w:t>
      </w:r>
      <w:r w:rsidR="00F74E97">
        <w:t>-</w:t>
      </w:r>
      <w:r w:rsidR="000C526C">
        <w:t>about issues.</w:t>
      </w:r>
      <w:r w:rsidR="000C526C" w:rsidRPr="005457EB">
        <w:t xml:space="preserve"> </w:t>
      </w:r>
      <w:r w:rsidR="000C526C">
        <w:t xml:space="preserve">This may be </w:t>
      </w:r>
      <w:r>
        <w:t xml:space="preserve">a reflection of </w:t>
      </w:r>
      <w:r w:rsidR="000C526C">
        <w:t>the large number of customers connecting to the NBN.</w:t>
      </w:r>
    </w:p>
    <w:p w14:paraId="05DF6AAC" w14:textId="77777777" w:rsidR="000C526C" w:rsidRPr="00744827" w:rsidRDefault="000C526C" w:rsidP="00382821">
      <w:pPr>
        <w:pStyle w:val="ACMAFigureHeader"/>
        <w:keepNext/>
      </w:pPr>
      <w:r>
        <w:t xml:space="preserve">Table 5.18: </w:t>
      </w:r>
      <w:r w:rsidRPr="00744827">
        <w:t>Top si</w:t>
      </w:r>
      <w:r w:rsidR="00541C46">
        <w:t>x</w:t>
      </w:r>
      <w:r w:rsidRPr="00744827">
        <w:t xml:space="preserve"> TIO new complaint issues</w:t>
      </w:r>
      <w:r>
        <w:t>, financial year</w:t>
      </w:r>
    </w:p>
    <w:tbl>
      <w:tblPr>
        <w:tblStyle w:val="Commsreport2017"/>
        <w:tblW w:w="9067" w:type="dxa"/>
        <w:tblLayout w:type="fixed"/>
        <w:tblLook w:val="04A0" w:firstRow="1" w:lastRow="0" w:firstColumn="1" w:lastColumn="0" w:noHBand="0" w:noVBand="1"/>
        <w:tblCaption w:val="Table 5.18  Top six new complaint issues"/>
      </w:tblPr>
      <w:tblGrid>
        <w:gridCol w:w="3022"/>
        <w:gridCol w:w="3022"/>
        <w:gridCol w:w="3023"/>
      </w:tblGrid>
      <w:tr w:rsidR="000C526C" w:rsidRPr="005A6644" w14:paraId="0B7378AE" w14:textId="77777777" w:rsidTr="00EC183A">
        <w:trPr>
          <w:cnfStyle w:val="100000000000" w:firstRow="1" w:lastRow="0" w:firstColumn="0" w:lastColumn="0" w:oddVBand="0" w:evenVBand="0" w:oddHBand="0" w:evenHBand="0" w:firstRowFirstColumn="0" w:firstRowLastColumn="0" w:lastRowFirstColumn="0" w:lastRowLastColumn="0"/>
          <w:trHeight w:val="111"/>
          <w:tblHeader/>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670C0E2A" w14:textId="77777777" w:rsidR="000C526C" w:rsidRPr="002406A2" w:rsidRDefault="000C526C" w:rsidP="00382821">
            <w:pPr>
              <w:pStyle w:val="TableHeading"/>
              <w:spacing w:beforeLines="0" w:before="0" w:afterLines="0"/>
              <w:rPr>
                <w:rFonts w:cs="Arial"/>
                <w:b w:val="0"/>
                <w:szCs w:val="18"/>
              </w:rPr>
            </w:pPr>
            <w:r w:rsidRPr="002406A2">
              <w:rPr>
                <w:rFonts w:cs="Arial"/>
                <w:szCs w:val="18"/>
              </w:rPr>
              <w:t>Complaint issue category</w:t>
            </w:r>
          </w:p>
        </w:tc>
        <w:tc>
          <w:tcPr>
            <w:tcW w:w="3022" w:type="dxa"/>
            <w:tcMar>
              <w:top w:w="57" w:type="dxa"/>
              <w:left w:w="57" w:type="dxa"/>
              <w:bottom w:w="57" w:type="dxa"/>
              <w:right w:w="57" w:type="dxa"/>
            </w:tcMar>
          </w:tcPr>
          <w:p w14:paraId="54885E9D" w14:textId="0DA71A2C" w:rsidR="000C526C" w:rsidRPr="00D06E4C" w:rsidRDefault="00E1208C"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szCs w:val="18"/>
              </w:rPr>
            </w:pPr>
            <w:r>
              <w:rPr>
                <w:rFonts w:cs="Arial"/>
                <w:szCs w:val="18"/>
              </w:rPr>
              <w:t>N</w:t>
            </w:r>
            <w:r w:rsidR="006A3E4C">
              <w:rPr>
                <w:rFonts w:cs="Arial"/>
                <w:szCs w:val="18"/>
              </w:rPr>
              <w:t>umber of complaints</w:t>
            </w:r>
            <w:r>
              <w:rPr>
                <w:rFonts w:cs="Arial"/>
                <w:szCs w:val="18"/>
              </w:rPr>
              <w:t xml:space="preserve"> </w:t>
            </w:r>
            <w:r w:rsidRPr="000313D3">
              <w:rPr>
                <w:rFonts w:cs="Arial"/>
                <w:szCs w:val="18"/>
              </w:rPr>
              <w:t>2016–17</w:t>
            </w:r>
            <w:r w:rsidR="006A3E4C">
              <w:rPr>
                <w:rFonts w:cs="Arial"/>
                <w:szCs w:val="18"/>
                <w:vertAlign w:val="superscript"/>
              </w:rPr>
              <w:t>*</w:t>
            </w:r>
          </w:p>
        </w:tc>
        <w:tc>
          <w:tcPr>
            <w:tcW w:w="3023" w:type="dxa"/>
            <w:tcMar>
              <w:top w:w="57" w:type="dxa"/>
              <w:left w:w="57" w:type="dxa"/>
              <w:bottom w:w="57" w:type="dxa"/>
              <w:right w:w="57" w:type="dxa"/>
            </w:tcMar>
            <w:hideMark/>
          </w:tcPr>
          <w:p w14:paraId="0EA28275" w14:textId="0425E0D7" w:rsidR="000C526C" w:rsidRPr="002406A2" w:rsidRDefault="00803666" w:rsidP="00382821">
            <w:pPr>
              <w:pStyle w:val="TableHeading"/>
              <w:spacing w:beforeLines="0" w:before="0" w:afterLines="0"/>
              <w:cnfStyle w:val="100000000000" w:firstRow="1" w:lastRow="0" w:firstColumn="0" w:lastColumn="0" w:oddVBand="0" w:evenVBand="0" w:oddHBand="0" w:evenHBand="0" w:firstRowFirstColumn="0" w:firstRowLastColumn="0" w:lastRowFirstColumn="0" w:lastRowLastColumn="0"/>
              <w:rPr>
                <w:rFonts w:cs="Arial"/>
                <w:b w:val="0"/>
                <w:szCs w:val="18"/>
              </w:rPr>
            </w:pPr>
            <w:r>
              <w:rPr>
                <w:rFonts w:cs="Arial"/>
                <w:szCs w:val="18"/>
              </w:rPr>
              <w:t>P</w:t>
            </w:r>
            <w:r w:rsidR="009614C8">
              <w:rPr>
                <w:rFonts w:cs="Arial"/>
                <w:szCs w:val="18"/>
              </w:rPr>
              <w:t>ercentage of all complaints</w:t>
            </w:r>
            <w:r w:rsidR="006A3E4C">
              <w:rPr>
                <w:rFonts w:cs="Arial"/>
                <w:szCs w:val="18"/>
                <w:vertAlign w:val="superscript"/>
              </w:rPr>
              <w:t>†</w:t>
            </w:r>
            <w:r w:rsidR="009614C8">
              <w:rPr>
                <w:rFonts w:cs="Arial"/>
                <w:szCs w:val="18"/>
              </w:rPr>
              <w:t xml:space="preserve"> </w:t>
            </w:r>
          </w:p>
        </w:tc>
      </w:tr>
      <w:tr w:rsidR="000C526C" w:rsidRPr="005A6644" w14:paraId="218DE6E7" w14:textId="77777777" w:rsidTr="00E1208C">
        <w:trPr>
          <w:trHeight w:val="73"/>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67E96B33" w14:textId="77777777" w:rsidR="000C526C" w:rsidRPr="005E396B" w:rsidRDefault="000C526C" w:rsidP="00382821">
            <w:pPr>
              <w:pStyle w:val="TableBody"/>
              <w:spacing w:before="0"/>
            </w:pPr>
            <w:r w:rsidRPr="005E396B">
              <w:t>Billing and payments</w:t>
            </w:r>
          </w:p>
        </w:tc>
        <w:tc>
          <w:tcPr>
            <w:tcW w:w="3022" w:type="dxa"/>
            <w:tcMar>
              <w:top w:w="57" w:type="dxa"/>
              <w:left w:w="57" w:type="dxa"/>
              <w:bottom w:w="57" w:type="dxa"/>
              <w:right w:w="57" w:type="dxa"/>
            </w:tcMar>
          </w:tcPr>
          <w:p w14:paraId="00C26204" w14:textId="77777777" w:rsidR="000C526C" w:rsidRPr="005A6644"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66,142</w:t>
            </w:r>
          </w:p>
        </w:tc>
        <w:tc>
          <w:tcPr>
            <w:tcW w:w="3023" w:type="dxa"/>
            <w:noWrap/>
            <w:tcMar>
              <w:top w:w="57" w:type="dxa"/>
              <w:left w:w="57" w:type="dxa"/>
              <w:bottom w:w="57" w:type="dxa"/>
              <w:right w:w="57" w:type="dxa"/>
            </w:tcMar>
            <w:hideMark/>
          </w:tcPr>
          <w:p w14:paraId="3C36E8CD" w14:textId="77777777" w:rsidR="000C526C" w:rsidRPr="00744827" w:rsidRDefault="00511273"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41.9</w:t>
            </w:r>
          </w:p>
        </w:tc>
      </w:tr>
      <w:tr w:rsidR="000C526C" w:rsidRPr="00651850" w14:paraId="5C22FF06" w14:textId="77777777" w:rsidTr="00E1208C">
        <w:trPr>
          <w:trHeight w:val="148"/>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5BDFF678" w14:textId="77777777" w:rsidR="000C526C" w:rsidRPr="005E396B" w:rsidRDefault="000C526C" w:rsidP="00382821">
            <w:pPr>
              <w:pStyle w:val="TableBody"/>
              <w:spacing w:before="0"/>
            </w:pPr>
            <w:r w:rsidRPr="005E396B">
              <w:t>Customer service</w:t>
            </w:r>
          </w:p>
        </w:tc>
        <w:tc>
          <w:tcPr>
            <w:tcW w:w="3022" w:type="dxa"/>
            <w:tcMar>
              <w:top w:w="57" w:type="dxa"/>
              <w:left w:w="57" w:type="dxa"/>
              <w:bottom w:w="57" w:type="dxa"/>
              <w:right w:w="57" w:type="dxa"/>
            </w:tcMar>
          </w:tcPr>
          <w:p w14:paraId="39FF4F88" w14:textId="77777777" w:rsidR="000C526C" w:rsidRPr="005A6644"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76,932</w:t>
            </w:r>
          </w:p>
        </w:tc>
        <w:tc>
          <w:tcPr>
            <w:tcW w:w="3023" w:type="dxa"/>
            <w:noWrap/>
            <w:tcMar>
              <w:top w:w="57" w:type="dxa"/>
              <w:left w:w="57" w:type="dxa"/>
              <w:bottom w:w="57" w:type="dxa"/>
              <w:right w:w="57" w:type="dxa"/>
            </w:tcMar>
            <w:hideMark/>
          </w:tcPr>
          <w:p w14:paraId="129AEA81" w14:textId="77777777" w:rsidR="000C526C" w:rsidRPr="00744827"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48.7</w:t>
            </w:r>
          </w:p>
        </w:tc>
      </w:tr>
      <w:tr w:rsidR="000C526C" w:rsidRPr="005A6644" w14:paraId="2799B802" w14:textId="77777777" w:rsidTr="00E1208C">
        <w:trPr>
          <w:trHeight w:val="110"/>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459E70CE" w14:textId="77777777" w:rsidR="000C526C" w:rsidRPr="005E396B" w:rsidRDefault="000C526C" w:rsidP="00382821">
            <w:pPr>
              <w:pStyle w:val="TableBody"/>
              <w:spacing w:before="0"/>
            </w:pPr>
            <w:r w:rsidRPr="005E396B">
              <w:t>Faults</w:t>
            </w:r>
          </w:p>
        </w:tc>
        <w:tc>
          <w:tcPr>
            <w:tcW w:w="3022" w:type="dxa"/>
            <w:tcMar>
              <w:top w:w="57" w:type="dxa"/>
              <w:left w:w="57" w:type="dxa"/>
              <w:bottom w:w="57" w:type="dxa"/>
              <w:right w:w="57" w:type="dxa"/>
            </w:tcMar>
          </w:tcPr>
          <w:p w14:paraId="6A5A70B1" w14:textId="77777777" w:rsidR="000C526C" w:rsidRPr="005A6644"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57,723</w:t>
            </w:r>
          </w:p>
        </w:tc>
        <w:tc>
          <w:tcPr>
            <w:tcW w:w="3023" w:type="dxa"/>
            <w:noWrap/>
            <w:tcMar>
              <w:top w:w="57" w:type="dxa"/>
              <w:left w:w="57" w:type="dxa"/>
              <w:bottom w:w="57" w:type="dxa"/>
              <w:right w:w="57" w:type="dxa"/>
            </w:tcMar>
            <w:hideMark/>
          </w:tcPr>
          <w:p w14:paraId="2AA218AF" w14:textId="77777777" w:rsidR="000C526C" w:rsidRPr="00744827" w:rsidRDefault="00511273"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36.5</w:t>
            </w:r>
          </w:p>
        </w:tc>
      </w:tr>
      <w:tr w:rsidR="000C526C" w:rsidRPr="005A6644" w14:paraId="334121AB" w14:textId="77777777" w:rsidTr="00E1208C">
        <w:trPr>
          <w:trHeight w:val="72"/>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4F34F4AD" w14:textId="77777777" w:rsidR="000C526C" w:rsidRPr="005E396B" w:rsidRDefault="000C526C" w:rsidP="00382821">
            <w:pPr>
              <w:pStyle w:val="TableBody"/>
              <w:spacing w:before="0"/>
            </w:pPr>
            <w:r w:rsidRPr="005E396B">
              <w:t>Complaint-handling</w:t>
            </w:r>
          </w:p>
        </w:tc>
        <w:tc>
          <w:tcPr>
            <w:tcW w:w="3022" w:type="dxa"/>
            <w:tcMar>
              <w:top w:w="57" w:type="dxa"/>
              <w:left w:w="57" w:type="dxa"/>
              <w:bottom w:w="57" w:type="dxa"/>
              <w:right w:w="57" w:type="dxa"/>
            </w:tcMar>
          </w:tcPr>
          <w:p w14:paraId="3D9B636B" w14:textId="77777777" w:rsidR="000C526C" w:rsidRPr="005A6644"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49,268</w:t>
            </w:r>
          </w:p>
        </w:tc>
        <w:tc>
          <w:tcPr>
            <w:tcW w:w="3023" w:type="dxa"/>
            <w:noWrap/>
            <w:tcMar>
              <w:top w:w="57" w:type="dxa"/>
              <w:left w:w="57" w:type="dxa"/>
              <w:bottom w:w="57" w:type="dxa"/>
              <w:right w:w="57" w:type="dxa"/>
            </w:tcMar>
            <w:hideMark/>
          </w:tcPr>
          <w:p w14:paraId="0D41E028" w14:textId="77777777" w:rsidR="000C526C" w:rsidRPr="00744827" w:rsidRDefault="00511273"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31.2</w:t>
            </w:r>
          </w:p>
        </w:tc>
      </w:tr>
      <w:tr w:rsidR="000C526C" w:rsidRPr="005A6644" w14:paraId="0142A474" w14:textId="77777777" w:rsidTr="00E1208C">
        <w:trPr>
          <w:trHeight w:val="26"/>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hideMark/>
          </w:tcPr>
          <w:p w14:paraId="64B56D5E" w14:textId="77777777" w:rsidR="000C526C" w:rsidRPr="005E396B" w:rsidRDefault="000C526C" w:rsidP="00382821">
            <w:pPr>
              <w:pStyle w:val="TableBody"/>
              <w:spacing w:before="0"/>
            </w:pPr>
            <w:r w:rsidRPr="005E396B">
              <w:t>Contracts</w:t>
            </w:r>
          </w:p>
        </w:tc>
        <w:tc>
          <w:tcPr>
            <w:tcW w:w="3022" w:type="dxa"/>
            <w:tcMar>
              <w:top w:w="57" w:type="dxa"/>
              <w:left w:w="57" w:type="dxa"/>
              <w:bottom w:w="57" w:type="dxa"/>
              <w:right w:w="57" w:type="dxa"/>
            </w:tcMar>
          </w:tcPr>
          <w:p w14:paraId="1F319D98" w14:textId="77777777" w:rsidR="000C526C" w:rsidRPr="005A6644" w:rsidRDefault="000C526C"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3</w:t>
            </w:r>
            <w:r w:rsidR="001D1AA0">
              <w:rPr>
                <w:rFonts w:cs="Arial"/>
                <w:color w:val="000000"/>
                <w:szCs w:val="18"/>
              </w:rPr>
              <w:t>0,731</w:t>
            </w:r>
          </w:p>
        </w:tc>
        <w:tc>
          <w:tcPr>
            <w:tcW w:w="3023" w:type="dxa"/>
            <w:noWrap/>
            <w:tcMar>
              <w:top w:w="57" w:type="dxa"/>
              <w:left w:w="57" w:type="dxa"/>
              <w:bottom w:w="57" w:type="dxa"/>
              <w:right w:w="57" w:type="dxa"/>
            </w:tcMar>
            <w:hideMark/>
          </w:tcPr>
          <w:p w14:paraId="4D77A004" w14:textId="77777777" w:rsidR="000C526C" w:rsidRPr="00744827" w:rsidRDefault="00511273"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19.4</w:t>
            </w:r>
          </w:p>
        </w:tc>
      </w:tr>
      <w:tr w:rsidR="000C526C" w:rsidRPr="005A6644" w14:paraId="776D0F95" w14:textId="77777777" w:rsidTr="00E1208C">
        <w:trPr>
          <w:trHeight w:val="110"/>
        </w:trPr>
        <w:tc>
          <w:tcPr>
            <w:cnfStyle w:val="001000000000" w:firstRow="0" w:lastRow="0" w:firstColumn="1" w:lastColumn="0" w:oddVBand="0" w:evenVBand="0" w:oddHBand="0" w:evenHBand="0" w:firstRowFirstColumn="0" w:firstRowLastColumn="0" w:lastRowFirstColumn="0" w:lastRowLastColumn="0"/>
            <w:tcW w:w="3022" w:type="dxa"/>
            <w:noWrap/>
            <w:tcMar>
              <w:top w:w="57" w:type="dxa"/>
              <w:left w:w="57" w:type="dxa"/>
              <w:bottom w:w="57" w:type="dxa"/>
              <w:right w:w="57" w:type="dxa"/>
            </w:tcMar>
          </w:tcPr>
          <w:p w14:paraId="74ABB84D" w14:textId="77777777" w:rsidR="000C526C" w:rsidRPr="005A6644" w:rsidRDefault="000C526C" w:rsidP="00382821">
            <w:pPr>
              <w:pStyle w:val="TableBody"/>
              <w:spacing w:before="0"/>
              <w:rPr>
                <w:rFonts w:cs="Arial"/>
                <w:szCs w:val="18"/>
              </w:rPr>
            </w:pPr>
            <w:r>
              <w:rPr>
                <w:rFonts w:cs="Arial"/>
                <w:szCs w:val="18"/>
              </w:rPr>
              <w:t>Connections</w:t>
            </w:r>
          </w:p>
        </w:tc>
        <w:tc>
          <w:tcPr>
            <w:tcW w:w="3022" w:type="dxa"/>
            <w:tcMar>
              <w:top w:w="57" w:type="dxa"/>
              <w:left w:w="57" w:type="dxa"/>
              <w:bottom w:w="57" w:type="dxa"/>
              <w:right w:w="57" w:type="dxa"/>
            </w:tcMar>
          </w:tcPr>
          <w:p w14:paraId="7ACA4AB8" w14:textId="77777777" w:rsidR="000C526C" w:rsidRDefault="001D1AA0"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25,604</w:t>
            </w:r>
          </w:p>
        </w:tc>
        <w:tc>
          <w:tcPr>
            <w:tcW w:w="3023" w:type="dxa"/>
            <w:noWrap/>
            <w:tcMar>
              <w:top w:w="57" w:type="dxa"/>
              <w:left w:w="57" w:type="dxa"/>
              <w:bottom w:w="57" w:type="dxa"/>
              <w:right w:w="57" w:type="dxa"/>
            </w:tcMar>
          </w:tcPr>
          <w:p w14:paraId="3DA17E0A" w14:textId="77777777" w:rsidR="000C526C" w:rsidRPr="005A6644" w:rsidRDefault="00511273" w:rsidP="00382821">
            <w:pPr>
              <w:spacing w:before="0" w:after="0"/>
              <w:cnfStyle w:val="000000000000" w:firstRow="0" w:lastRow="0" w:firstColumn="0" w:lastColumn="0" w:oddVBand="0" w:evenVBand="0" w:oddHBand="0" w:evenHBand="0" w:firstRowFirstColumn="0" w:firstRowLastColumn="0" w:lastRowFirstColumn="0" w:lastRowLastColumn="0"/>
              <w:rPr>
                <w:rFonts w:cs="Arial"/>
                <w:color w:val="000000"/>
                <w:szCs w:val="18"/>
              </w:rPr>
            </w:pPr>
            <w:r>
              <w:rPr>
                <w:rFonts w:cs="Arial"/>
                <w:color w:val="000000"/>
                <w:szCs w:val="18"/>
              </w:rPr>
              <w:t>16.2</w:t>
            </w:r>
          </w:p>
        </w:tc>
      </w:tr>
    </w:tbl>
    <w:p w14:paraId="2DFBD20C" w14:textId="77777777" w:rsidR="006A3E4C" w:rsidRDefault="006A3E4C" w:rsidP="00382821">
      <w:pPr>
        <w:pStyle w:val="ACMANotes"/>
        <w:spacing w:before="120"/>
      </w:pPr>
      <w:r w:rsidRPr="006134FA">
        <w:t>*</w:t>
      </w:r>
      <w:r>
        <w:t>Number of complaints involving each issue.</w:t>
      </w:r>
    </w:p>
    <w:p w14:paraId="30B5E735" w14:textId="77777777" w:rsidR="006A3E4C" w:rsidRPr="006A3E4C" w:rsidRDefault="006A3E4C" w:rsidP="00D06E4C">
      <w:pPr>
        <w:pStyle w:val="ACMANotes"/>
      </w:pPr>
      <w:r>
        <w:rPr>
          <w:szCs w:val="18"/>
          <w:vertAlign w:val="superscript"/>
        </w:rPr>
        <w:t>†</w:t>
      </w:r>
      <w:r>
        <w:t xml:space="preserve">Percentage of all complaints involving the issue. The percentages in this column to do not add up to 100 because some complaints involve multiple issues. </w:t>
      </w:r>
    </w:p>
    <w:p w14:paraId="3FA62C44" w14:textId="7EE3A978" w:rsidR="006272B2" w:rsidRPr="00FD7E86" w:rsidRDefault="000C526C" w:rsidP="00734EE2">
      <w:pPr>
        <w:pStyle w:val="ACMANotesspaceafter"/>
        <w:spacing w:after="360"/>
        <w:sectPr w:rsidR="006272B2" w:rsidRPr="00FD7E86" w:rsidSect="00604073">
          <w:headerReference w:type="even" r:id="rId112"/>
          <w:headerReference w:type="default" r:id="rId113"/>
          <w:endnotePr>
            <w:numFmt w:val="decimal"/>
            <w:numRestart w:val="eachSect"/>
          </w:endnotePr>
          <w:pgSz w:w="11907" w:h="16839" w:code="9"/>
          <w:pgMar w:top="1985" w:right="1134" w:bottom="1134" w:left="1134" w:header="709" w:footer="119" w:gutter="284"/>
          <w:cols w:space="708"/>
          <w:docGrid w:linePitch="360"/>
        </w:sectPr>
      </w:pPr>
      <w:r w:rsidRPr="00744827">
        <w:t>Source: TIO</w:t>
      </w:r>
      <w:r w:rsidR="00541C46">
        <w:t xml:space="preserve"> </w:t>
      </w:r>
      <w:r w:rsidR="00EF3A40">
        <w:t xml:space="preserve">2016–17 </w:t>
      </w:r>
      <w:r w:rsidR="00541C46">
        <w:t>Annual Report</w:t>
      </w:r>
      <w:r>
        <w:t>.</w:t>
      </w:r>
    </w:p>
    <w:p w14:paraId="64FCF90E" w14:textId="77777777" w:rsidR="006272B2" w:rsidRPr="003823BB" w:rsidRDefault="006272B2" w:rsidP="006272B2">
      <w:pPr>
        <w:pStyle w:val="Heading1"/>
      </w:pPr>
      <w:bookmarkStart w:id="1725" w:name="_Toc494799514"/>
      <w:bookmarkStart w:id="1726" w:name="_Toc494805817"/>
      <w:bookmarkStart w:id="1727" w:name="_Toc494806082"/>
      <w:bookmarkStart w:id="1728" w:name="_Toc494808312"/>
      <w:bookmarkStart w:id="1729" w:name="_Toc494808970"/>
      <w:bookmarkStart w:id="1730" w:name="_Toc494816385"/>
      <w:bookmarkStart w:id="1731" w:name="_Toc494818981"/>
      <w:bookmarkStart w:id="1732" w:name="_Toc494819211"/>
      <w:bookmarkStart w:id="1733" w:name="_Toc500320938"/>
      <w:bookmarkStart w:id="1734" w:name="_Toc413145604"/>
      <w:bookmarkStart w:id="1735" w:name="_Toc414367415"/>
      <w:bookmarkStart w:id="1736" w:name="_Toc414630301"/>
      <w:bookmarkStart w:id="1737" w:name="_Toc415656633"/>
      <w:bookmarkStart w:id="1738" w:name="_Toc417993313"/>
      <w:bookmarkStart w:id="1739" w:name="_Toc419453953"/>
      <w:bookmarkStart w:id="1740" w:name="_Toc421883179"/>
      <w:bookmarkStart w:id="1741" w:name="_Toc462132259"/>
      <w:bookmarkStart w:id="1742" w:name="_Toc462899694"/>
      <w:bookmarkStart w:id="1743" w:name="_Toc433790443"/>
      <w:bookmarkStart w:id="1744" w:name="_Toc463529189"/>
      <w:r w:rsidRPr="003823BB">
        <w:t>Appendix—Research methodology</w:t>
      </w:r>
      <w:bookmarkEnd w:id="1725"/>
      <w:bookmarkEnd w:id="1726"/>
      <w:bookmarkEnd w:id="1727"/>
      <w:bookmarkEnd w:id="1728"/>
      <w:bookmarkEnd w:id="1729"/>
      <w:bookmarkEnd w:id="1730"/>
      <w:bookmarkEnd w:id="1731"/>
      <w:bookmarkEnd w:id="1732"/>
      <w:bookmarkEnd w:id="1733"/>
    </w:p>
    <w:p w14:paraId="57EB6B72" w14:textId="77777777" w:rsidR="006272B2" w:rsidRDefault="006272B2" w:rsidP="006272B2">
      <w:pPr>
        <w:pStyle w:val="ACMAHeading3"/>
      </w:pPr>
      <w:r w:rsidRPr="00240160">
        <w:t>ACMA-commissioned survey</w:t>
      </w:r>
    </w:p>
    <w:p w14:paraId="7D85DAB0" w14:textId="77777777" w:rsidR="006272B2" w:rsidRDefault="006272B2" w:rsidP="006272B2">
      <w:r>
        <w:t>The 2017 ACMA-commissioned survey of consumers was conducted by the Social Research Centre. Data for the survey was collected using the probability</w:t>
      </w:r>
      <w:r w:rsidR="00E62472">
        <w:t>-</w:t>
      </w:r>
      <w:r>
        <w:t>based Life in Australia (LinA) online panel.</w:t>
      </w:r>
      <w:r w:rsidRPr="002D40D2">
        <w:t xml:space="preserve"> </w:t>
      </w:r>
      <w:r>
        <w:t>LinA</w:t>
      </w:r>
      <w:r w:rsidRPr="008D2CDA">
        <w:t xml:space="preserve"> includes people with and without internet access</w:t>
      </w:r>
      <w:r w:rsidRPr="002D40D2">
        <w:rPr>
          <w:rFonts w:cs="Arial"/>
        </w:rPr>
        <w:t>—</w:t>
      </w:r>
      <w:r>
        <w:t>t</w:t>
      </w:r>
      <w:r w:rsidRPr="008D2CDA">
        <w:t xml:space="preserve">hose without internet access or who are not comfortable completing surveys over the internet </w:t>
      </w:r>
      <w:r>
        <w:t>are</w:t>
      </w:r>
      <w:r w:rsidRPr="008D2CDA">
        <w:t xml:space="preserve"> able to complete surveys by telephone</w:t>
      </w:r>
      <w:r>
        <w:t xml:space="preserve"> instead.</w:t>
      </w:r>
    </w:p>
    <w:p w14:paraId="13238FD2" w14:textId="77777777" w:rsidR="006272B2" w:rsidRDefault="006272B2" w:rsidP="006272B2">
      <w:r>
        <w:t xml:space="preserve">The 2017 survey comprised a total of n=2,277 respondents (n=1,965 online interviews with Australian </w:t>
      </w:r>
      <w:r w:rsidR="00FE6E3B">
        <w:t xml:space="preserve">adults </w:t>
      </w:r>
      <w:r>
        <w:t xml:space="preserve">plus n=312 </w:t>
      </w:r>
      <w:r w:rsidRPr="00BA46F4">
        <w:t xml:space="preserve">computer-aided telephone interviews </w:t>
      </w:r>
      <w:r>
        <w:t>(</w:t>
      </w:r>
      <w:r w:rsidRPr="00EA149D">
        <w:t>CATI</w:t>
      </w:r>
      <w:r>
        <w:t>)</w:t>
      </w:r>
      <w:r w:rsidRPr="002D40D2">
        <w:t xml:space="preserve"> </w:t>
      </w:r>
      <w:r w:rsidRPr="0054217A">
        <w:t>to reach the adult population who are not regularly online</w:t>
      </w:r>
      <w:r>
        <w:t>)</w:t>
      </w:r>
      <w:r w:rsidRPr="0054217A">
        <w:t>.</w:t>
      </w:r>
      <w:r>
        <w:t xml:space="preserve"> The survey was representative of the Australian population aged 18 years and over. </w:t>
      </w:r>
    </w:p>
    <w:p w14:paraId="565124C2" w14:textId="77777777" w:rsidR="006272B2" w:rsidRDefault="006272B2" w:rsidP="006272B2">
      <w:r>
        <w:t>Fieldwork was conducted from 15 May to 4 June 2017.</w:t>
      </w:r>
    </w:p>
    <w:p w14:paraId="01FC0C88" w14:textId="77777777" w:rsidR="006272B2" w:rsidRPr="0054217A" w:rsidRDefault="006272B2" w:rsidP="00F01709">
      <w:pPr>
        <w:pStyle w:val="Bodysubheader0"/>
      </w:pPr>
      <w:r w:rsidRPr="0054217A">
        <w:t>Weighting</w:t>
      </w:r>
    </w:p>
    <w:p w14:paraId="3D798005" w14:textId="77777777" w:rsidR="006272B2" w:rsidRPr="0054217A" w:rsidRDefault="006272B2" w:rsidP="006272B2">
      <w:r>
        <w:t>To reflect Australia’s population distribution, the combined online results, together with landline results, were post-weighted and projected to the ABS population data on the highest level of schooling completed, sex by age and by area, plus mobile</w:t>
      </w:r>
      <w:r w:rsidR="00E62472">
        <w:t>-</w:t>
      </w:r>
      <w:r>
        <w:t xml:space="preserve">only and internet usage in the past six months. </w:t>
      </w:r>
    </w:p>
    <w:p w14:paraId="793105A6" w14:textId="77777777" w:rsidR="006272B2" w:rsidRPr="003D7F8F" w:rsidRDefault="006272B2" w:rsidP="006272B2">
      <w:pPr>
        <w:pStyle w:val="ACMAHeading3"/>
      </w:pPr>
      <w:r w:rsidRPr="003D7F8F">
        <w:t>Roy Morgan Single Source</w:t>
      </w:r>
    </w:p>
    <w:p w14:paraId="68B2AD3C" w14:textId="77777777" w:rsidR="006272B2" w:rsidRPr="003D7F8F" w:rsidRDefault="006272B2" w:rsidP="006272B2">
      <w:r w:rsidRPr="003D7F8F">
        <w:t xml:space="preserve">Roy Morgan Research data is taken from the Roy Morgan Single Source product unless otherwise specified. This data covers changes occurring from July </w:t>
      </w:r>
      <w:r w:rsidRPr="00AA4FF2">
        <w:t>201</w:t>
      </w:r>
      <w:r>
        <w:t>6</w:t>
      </w:r>
      <w:r w:rsidRPr="003D7F8F">
        <w:t xml:space="preserve"> to June </w:t>
      </w:r>
      <w:r w:rsidRPr="00AA4FF2">
        <w:t>201</w:t>
      </w:r>
      <w:r>
        <w:t>7</w:t>
      </w:r>
      <w:r w:rsidRPr="003D7F8F">
        <w:t xml:space="preserve"> unless otherwise specified.</w:t>
      </w:r>
    </w:p>
    <w:p w14:paraId="29ACC16C" w14:textId="1382D653" w:rsidR="006272B2" w:rsidRPr="003D7F8F" w:rsidRDefault="006272B2" w:rsidP="006272B2">
      <w:r w:rsidRPr="003D7F8F">
        <w:t xml:space="preserve">The Roy Morgan Single Source research sample sizes for the past five years are provided in </w:t>
      </w:r>
      <w:r w:rsidR="00470388">
        <w:t>the table</w:t>
      </w:r>
      <w:r w:rsidR="00CD44A8">
        <w:t> </w:t>
      </w:r>
      <w:r w:rsidR="00470388">
        <w:t>below.</w:t>
      </w:r>
    </w:p>
    <w:p w14:paraId="638511EA" w14:textId="77777777" w:rsidR="006272B2" w:rsidRDefault="006272B2" w:rsidP="006272B2">
      <w:pPr>
        <w:pStyle w:val="ACMAHeading4"/>
      </w:pPr>
      <w:r>
        <w:t>Changes to Roy Morgan database weighting</w:t>
      </w:r>
    </w:p>
    <w:p w14:paraId="030D3B5E" w14:textId="77777777" w:rsidR="006272B2" w:rsidRDefault="006272B2" w:rsidP="006272B2">
      <w:pPr>
        <w:rPr>
          <w:iCs/>
        </w:rPr>
      </w:pPr>
      <w:r w:rsidRPr="003F6480">
        <w:rPr>
          <w:iCs/>
        </w:rPr>
        <w:t xml:space="preserve">Roy Morgan data for 2014 and 2015 will differ to data reported in previous </w:t>
      </w:r>
      <w:r>
        <w:rPr>
          <w:iCs/>
        </w:rPr>
        <w:t xml:space="preserve">communications </w:t>
      </w:r>
      <w:r w:rsidRPr="003F6480">
        <w:rPr>
          <w:iCs/>
        </w:rPr>
        <w:t xml:space="preserve">reports by one or two percentage points. This is due to </w:t>
      </w:r>
      <w:r>
        <w:rPr>
          <w:iCs/>
        </w:rPr>
        <w:t xml:space="preserve">changes to either weighting or whether the data was sourced from the establishment survey or product poll. </w:t>
      </w:r>
      <w:r w:rsidRPr="003F6480">
        <w:rPr>
          <w:iCs/>
        </w:rPr>
        <w:t>Previously</w:t>
      </w:r>
      <w:r>
        <w:rPr>
          <w:iCs/>
        </w:rPr>
        <w:t>,</w:t>
      </w:r>
      <w:r w:rsidRPr="003F6480">
        <w:rPr>
          <w:iCs/>
        </w:rPr>
        <w:t xml:space="preserve"> Roy Morgan had weighted the data to ABS population estimates on a monthly basis. In 2015</w:t>
      </w:r>
      <w:r>
        <w:rPr>
          <w:iCs/>
        </w:rPr>
        <w:t>,</w:t>
      </w:r>
      <w:r w:rsidRPr="003F6480">
        <w:rPr>
          <w:iCs/>
        </w:rPr>
        <w:t xml:space="preserve"> Roy Morgan changed the frequency of weighting calculations to quarterly and included additional weighting criteria.</w:t>
      </w:r>
    </w:p>
    <w:p w14:paraId="42CC4F6B" w14:textId="77777777" w:rsidR="00E1208C" w:rsidRPr="003D7F8F" w:rsidRDefault="00E1208C" w:rsidP="00E1208C">
      <w:pPr>
        <w:pStyle w:val="ACMAHeading4"/>
        <w:keepLines/>
      </w:pPr>
      <w:r w:rsidRPr="003D7F8F">
        <w:t>Australian population</w:t>
      </w:r>
    </w:p>
    <w:p w14:paraId="7006753B" w14:textId="7A7E9B4D" w:rsidR="00E1208C" w:rsidRPr="00E1208C" w:rsidRDefault="00E1208C" w:rsidP="00E1208C">
      <w:pPr>
        <w:keepNext/>
        <w:keepLines/>
        <w:rPr>
          <w:i/>
        </w:rPr>
      </w:pPr>
      <w:r w:rsidRPr="003D7F8F">
        <w:t xml:space="preserve">For </w:t>
      </w:r>
      <w:r w:rsidRPr="004F59F4">
        <w:t>the 2016 Roy Morgan Single Source data, the total population estimate for Australian adults aged 18</w:t>
      </w:r>
      <w:r>
        <w:t> </w:t>
      </w:r>
      <w:r w:rsidRPr="004F59F4">
        <w:t xml:space="preserve">and over is 18,504,000, based on </w:t>
      </w:r>
      <w:r w:rsidRPr="004F59F4">
        <w:rPr>
          <w:i/>
        </w:rPr>
        <w:t>ABS data table 6202.0 Labour Force, Australia.</w:t>
      </w:r>
    </w:p>
    <w:p w14:paraId="2DAB3434" w14:textId="4C9AC9EF" w:rsidR="006272B2" w:rsidRPr="003D7F8F" w:rsidRDefault="006272B2" w:rsidP="00382821">
      <w:pPr>
        <w:keepNext/>
        <w:keepLines/>
        <w:spacing w:after="160"/>
        <w:rPr>
          <w:b/>
        </w:rPr>
      </w:pPr>
      <w:r w:rsidRPr="003D7F8F">
        <w:rPr>
          <w:b/>
        </w:rPr>
        <w:t>Research sample subsets for Roy Morgan Single Source</w:t>
      </w:r>
    </w:p>
    <w:tbl>
      <w:tblPr>
        <w:tblStyle w:val="TableGrid"/>
        <w:tblW w:w="6959" w:type="dxa"/>
        <w:tblInd w:w="4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57" w:type="dxa"/>
          <w:left w:w="57" w:type="dxa"/>
          <w:bottom w:w="57" w:type="dxa"/>
          <w:right w:w="57" w:type="dxa"/>
        </w:tblCellMar>
        <w:tblLook w:val="04A0" w:firstRow="1" w:lastRow="0" w:firstColumn="1" w:lastColumn="0" w:noHBand="0" w:noVBand="1"/>
        <w:tblCaption w:val="Table A1 Research sample subsets for Roy Morgan Single Source"/>
      </w:tblPr>
      <w:tblGrid>
        <w:gridCol w:w="1388"/>
        <w:gridCol w:w="2736"/>
        <w:gridCol w:w="2835"/>
      </w:tblGrid>
      <w:tr w:rsidR="006272B2" w:rsidRPr="00AA4FF2" w14:paraId="684542FC" w14:textId="77777777" w:rsidTr="00382821">
        <w:trPr>
          <w:trHeight w:val="154"/>
          <w:tblHeader/>
        </w:trPr>
        <w:tc>
          <w:tcPr>
            <w:tcW w:w="1388" w:type="dxa"/>
            <w:tcBorders>
              <w:top w:val="nil"/>
              <w:left w:val="nil"/>
            </w:tcBorders>
            <w:shd w:val="clear" w:color="auto" w:fill="FFFFFF" w:themeFill="background1"/>
          </w:tcPr>
          <w:p w14:paraId="1BFE8B6F" w14:textId="77777777" w:rsidR="006272B2" w:rsidRPr="003D7F8F" w:rsidRDefault="006272B2" w:rsidP="00382821">
            <w:pPr>
              <w:pStyle w:val="TableHeading"/>
              <w:keepNext/>
              <w:keepLines/>
              <w:spacing w:before="0" w:line="240" w:lineRule="auto"/>
              <w:jc w:val="right"/>
            </w:pPr>
          </w:p>
        </w:tc>
        <w:tc>
          <w:tcPr>
            <w:tcW w:w="2736" w:type="dxa"/>
            <w:shd w:val="clear" w:color="auto" w:fill="37897E"/>
          </w:tcPr>
          <w:p w14:paraId="0F37D1F5" w14:textId="77777777" w:rsidR="006272B2" w:rsidRPr="003D7F8F" w:rsidRDefault="006272B2" w:rsidP="00382821">
            <w:pPr>
              <w:pStyle w:val="TableHeading"/>
              <w:keepNext/>
              <w:keepLines/>
              <w:spacing w:before="0" w:line="240" w:lineRule="auto"/>
              <w:jc w:val="right"/>
              <w:rPr>
                <w:color w:val="FFFFFF"/>
              </w:rPr>
            </w:pPr>
            <w:r w:rsidRPr="003D7F8F">
              <w:rPr>
                <w:color w:val="FFFFFF"/>
              </w:rPr>
              <w:t xml:space="preserve">Mobile-only phone </w:t>
            </w:r>
          </w:p>
        </w:tc>
        <w:tc>
          <w:tcPr>
            <w:tcW w:w="2835" w:type="dxa"/>
            <w:shd w:val="clear" w:color="auto" w:fill="37897E"/>
          </w:tcPr>
          <w:p w14:paraId="6B7E530E" w14:textId="77777777" w:rsidR="006272B2" w:rsidRPr="003D7F8F" w:rsidRDefault="006272B2" w:rsidP="00382821">
            <w:pPr>
              <w:pStyle w:val="TableHeading"/>
              <w:keepNext/>
              <w:keepLines/>
              <w:spacing w:before="0" w:line="240" w:lineRule="auto"/>
              <w:jc w:val="right"/>
              <w:rPr>
                <w:color w:val="FFFFFF"/>
              </w:rPr>
            </w:pPr>
            <w:r w:rsidRPr="003D7F8F">
              <w:rPr>
                <w:color w:val="FFFFFF"/>
              </w:rPr>
              <w:t>Australians aged 18 and</w:t>
            </w:r>
            <w:r>
              <w:rPr>
                <w:color w:val="FFFFFF"/>
              </w:rPr>
              <w:t> </w:t>
            </w:r>
            <w:r w:rsidRPr="003D7F8F">
              <w:rPr>
                <w:color w:val="FFFFFF"/>
              </w:rPr>
              <w:t>over</w:t>
            </w:r>
          </w:p>
        </w:tc>
      </w:tr>
      <w:tr w:rsidR="006272B2" w:rsidRPr="00AA4FF2" w14:paraId="2DE62A9A" w14:textId="77777777" w:rsidTr="00382821">
        <w:trPr>
          <w:trHeight w:val="117"/>
        </w:trPr>
        <w:tc>
          <w:tcPr>
            <w:tcW w:w="1388" w:type="dxa"/>
            <w:shd w:val="clear" w:color="auto" w:fill="auto"/>
          </w:tcPr>
          <w:p w14:paraId="4427A3F9" w14:textId="77777777" w:rsidR="006272B2" w:rsidRPr="004F2652" w:rsidRDefault="006272B2" w:rsidP="00382821">
            <w:pPr>
              <w:keepNext/>
              <w:keepLines/>
              <w:spacing w:after="0" w:line="240" w:lineRule="auto"/>
              <w:rPr>
                <w:rFonts w:cs="Arial"/>
                <w:sz w:val="18"/>
                <w:szCs w:val="18"/>
              </w:rPr>
            </w:pPr>
            <w:r w:rsidRPr="004F2652">
              <w:rPr>
                <w:rFonts w:cs="Arial"/>
                <w:sz w:val="18"/>
                <w:szCs w:val="18"/>
              </w:rPr>
              <w:t>Jun 17</w:t>
            </w:r>
          </w:p>
        </w:tc>
        <w:tc>
          <w:tcPr>
            <w:tcW w:w="2736" w:type="dxa"/>
            <w:shd w:val="clear" w:color="auto" w:fill="auto"/>
            <w:vAlign w:val="bottom"/>
          </w:tcPr>
          <w:p w14:paraId="3FCA6CE9" w14:textId="77777777" w:rsidR="006272B2" w:rsidRPr="004F2652" w:rsidRDefault="006272B2" w:rsidP="00382821">
            <w:pPr>
              <w:keepNext/>
              <w:keepLines/>
              <w:spacing w:after="0" w:line="240" w:lineRule="auto"/>
              <w:jc w:val="right"/>
              <w:rPr>
                <w:rFonts w:cs="Arial"/>
                <w:sz w:val="18"/>
                <w:szCs w:val="18"/>
                <w:highlight w:val="yellow"/>
              </w:rPr>
            </w:pPr>
            <w:r w:rsidRPr="004F2652">
              <w:rPr>
                <w:rFonts w:cs="Arial"/>
                <w:sz w:val="18"/>
                <w:szCs w:val="18"/>
              </w:rPr>
              <w:t>3,466</w:t>
            </w:r>
            <w:r>
              <w:rPr>
                <w:rFonts w:cs="Arial"/>
                <w:sz w:val="18"/>
                <w:szCs w:val="18"/>
              </w:rPr>
              <w:t>*</w:t>
            </w:r>
          </w:p>
        </w:tc>
        <w:tc>
          <w:tcPr>
            <w:tcW w:w="2835" w:type="dxa"/>
            <w:shd w:val="clear" w:color="auto" w:fill="auto"/>
            <w:vAlign w:val="center"/>
          </w:tcPr>
          <w:p w14:paraId="53C0FE3C" w14:textId="77777777" w:rsidR="006272B2" w:rsidRPr="004F2652" w:rsidRDefault="006272B2" w:rsidP="00382821">
            <w:pPr>
              <w:keepNext/>
              <w:keepLines/>
              <w:spacing w:after="0" w:line="240" w:lineRule="auto"/>
              <w:jc w:val="right"/>
              <w:rPr>
                <w:rFonts w:cs="Arial"/>
                <w:sz w:val="18"/>
                <w:szCs w:val="18"/>
              </w:rPr>
            </w:pPr>
            <w:r>
              <w:rPr>
                <w:rFonts w:cs="Arial"/>
                <w:sz w:val="18"/>
                <w:szCs w:val="18"/>
              </w:rPr>
              <w:t>13,884</w:t>
            </w:r>
          </w:p>
        </w:tc>
      </w:tr>
      <w:tr w:rsidR="006272B2" w:rsidRPr="00AA4FF2" w14:paraId="77B66059" w14:textId="77777777" w:rsidTr="006272B2">
        <w:trPr>
          <w:trHeight w:val="32"/>
        </w:trPr>
        <w:tc>
          <w:tcPr>
            <w:tcW w:w="1388" w:type="dxa"/>
            <w:shd w:val="clear" w:color="auto" w:fill="auto"/>
          </w:tcPr>
          <w:p w14:paraId="71FD1183" w14:textId="77777777" w:rsidR="006272B2" w:rsidRPr="004F2652" w:rsidRDefault="006272B2" w:rsidP="00382821">
            <w:pPr>
              <w:keepNext/>
              <w:keepLines/>
              <w:spacing w:after="0" w:line="240" w:lineRule="auto"/>
              <w:rPr>
                <w:rFonts w:cs="Arial"/>
                <w:sz w:val="18"/>
                <w:szCs w:val="18"/>
              </w:rPr>
            </w:pPr>
            <w:r w:rsidRPr="004F2652">
              <w:rPr>
                <w:rFonts w:cs="Arial"/>
                <w:sz w:val="18"/>
                <w:szCs w:val="18"/>
              </w:rPr>
              <w:t xml:space="preserve">Jun 16 </w:t>
            </w:r>
          </w:p>
        </w:tc>
        <w:tc>
          <w:tcPr>
            <w:tcW w:w="2736" w:type="dxa"/>
            <w:shd w:val="clear" w:color="auto" w:fill="auto"/>
            <w:vAlign w:val="bottom"/>
          </w:tcPr>
          <w:p w14:paraId="1495B7F1" w14:textId="77777777" w:rsidR="006272B2" w:rsidRPr="004A0773" w:rsidRDefault="006272B2" w:rsidP="00382821">
            <w:pPr>
              <w:keepNext/>
              <w:keepLines/>
              <w:spacing w:after="0" w:line="240" w:lineRule="auto"/>
              <w:jc w:val="right"/>
              <w:rPr>
                <w:rFonts w:cs="Arial"/>
                <w:sz w:val="18"/>
                <w:szCs w:val="18"/>
              </w:rPr>
            </w:pPr>
            <w:r w:rsidRPr="004F2652">
              <w:rPr>
                <w:rFonts w:cs="Arial"/>
                <w:sz w:val="18"/>
                <w:szCs w:val="18"/>
              </w:rPr>
              <w:t>3,247*</w:t>
            </w:r>
          </w:p>
        </w:tc>
        <w:tc>
          <w:tcPr>
            <w:tcW w:w="2835" w:type="dxa"/>
            <w:shd w:val="clear" w:color="auto" w:fill="auto"/>
            <w:vAlign w:val="center"/>
          </w:tcPr>
          <w:p w14:paraId="4EBE5B03" w14:textId="77777777" w:rsidR="006272B2" w:rsidRPr="004A0773" w:rsidRDefault="006272B2" w:rsidP="00382821">
            <w:pPr>
              <w:keepNext/>
              <w:keepLines/>
              <w:spacing w:after="0" w:line="240" w:lineRule="auto"/>
              <w:jc w:val="right"/>
              <w:rPr>
                <w:rFonts w:cs="Arial"/>
                <w:sz w:val="18"/>
                <w:szCs w:val="18"/>
              </w:rPr>
            </w:pPr>
            <w:r w:rsidRPr="004F2652">
              <w:rPr>
                <w:rFonts w:cs="Arial"/>
                <w:sz w:val="18"/>
                <w:szCs w:val="18"/>
              </w:rPr>
              <w:t>14,300</w:t>
            </w:r>
          </w:p>
        </w:tc>
      </w:tr>
      <w:tr w:rsidR="006272B2" w:rsidRPr="00AA4FF2" w14:paraId="754A2AA9" w14:textId="77777777" w:rsidTr="006272B2">
        <w:trPr>
          <w:trHeight w:val="80"/>
        </w:trPr>
        <w:tc>
          <w:tcPr>
            <w:tcW w:w="1388" w:type="dxa"/>
            <w:shd w:val="clear" w:color="auto" w:fill="auto"/>
          </w:tcPr>
          <w:p w14:paraId="2A9B2381" w14:textId="77777777" w:rsidR="006272B2" w:rsidRPr="004F2652" w:rsidRDefault="006272B2" w:rsidP="00382821">
            <w:pPr>
              <w:keepNext/>
              <w:keepLines/>
              <w:spacing w:after="0" w:line="240" w:lineRule="auto"/>
              <w:rPr>
                <w:sz w:val="18"/>
              </w:rPr>
            </w:pPr>
            <w:r w:rsidRPr="004F2652">
              <w:rPr>
                <w:sz w:val="18"/>
              </w:rPr>
              <w:t>Jun 15</w:t>
            </w:r>
          </w:p>
        </w:tc>
        <w:tc>
          <w:tcPr>
            <w:tcW w:w="2736" w:type="dxa"/>
            <w:shd w:val="clear" w:color="auto" w:fill="auto"/>
            <w:vAlign w:val="bottom"/>
          </w:tcPr>
          <w:p w14:paraId="1CADD85E" w14:textId="77777777" w:rsidR="006272B2" w:rsidRPr="004A0773" w:rsidRDefault="006272B2" w:rsidP="00382821">
            <w:pPr>
              <w:keepNext/>
              <w:keepLines/>
              <w:spacing w:after="0" w:line="240" w:lineRule="auto"/>
              <w:jc w:val="right"/>
              <w:rPr>
                <w:sz w:val="18"/>
              </w:rPr>
            </w:pPr>
            <w:r w:rsidRPr="004F2652">
              <w:rPr>
                <w:sz w:val="18"/>
              </w:rPr>
              <w:t>3,392*</w:t>
            </w:r>
          </w:p>
        </w:tc>
        <w:tc>
          <w:tcPr>
            <w:tcW w:w="2835" w:type="dxa"/>
            <w:shd w:val="clear" w:color="auto" w:fill="auto"/>
            <w:vAlign w:val="center"/>
          </w:tcPr>
          <w:p w14:paraId="54525315" w14:textId="77777777" w:rsidR="006272B2" w:rsidRPr="004A0773" w:rsidRDefault="006272B2" w:rsidP="00382821">
            <w:pPr>
              <w:keepNext/>
              <w:keepLines/>
              <w:spacing w:after="0" w:line="240" w:lineRule="auto"/>
              <w:jc w:val="right"/>
              <w:rPr>
                <w:sz w:val="18"/>
              </w:rPr>
            </w:pPr>
            <w:r w:rsidRPr="004F2652">
              <w:rPr>
                <w:sz w:val="18"/>
              </w:rPr>
              <w:t>15,</w:t>
            </w:r>
            <w:r w:rsidRPr="004F2652">
              <w:rPr>
                <w:rFonts w:cs="Arial"/>
                <w:sz w:val="18"/>
                <w:szCs w:val="18"/>
              </w:rPr>
              <w:t>241</w:t>
            </w:r>
          </w:p>
        </w:tc>
      </w:tr>
      <w:tr w:rsidR="006272B2" w:rsidRPr="00AA4FF2" w14:paraId="5213EF1C" w14:textId="77777777" w:rsidTr="006272B2">
        <w:trPr>
          <w:trHeight w:val="128"/>
        </w:trPr>
        <w:tc>
          <w:tcPr>
            <w:tcW w:w="1388" w:type="dxa"/>
            <w:shd w:val="clear" w:color="auto" w:fill="auto"/>
          </w:tcPr>
          <w:p w14:paraId="39539406" w14:textId="77777777" w:rsidR="006272B2" w:rsidRPr="004F2652" w:rsidRDefault="006272B2" w:rsidP="00382821">
            <w:pPr>
              <w:keepNext/>
              <w:keepLines/>
              <w:spacing w:after="0" w:line="240" w:lineRule="auto"/>
              <w:rPr>
                <w:sz w:val="18"/>
              </w:rPr>
            </w:pPr>
            <w:r w:rsidRPr="004F2652">
              <w:rPr>
                <w:sz w:val="18"/>
              </w:rPr>
              <w:t>Jun 14</w:t>
            </w:r>
          </w:p>
        </w:tc>
        <w:tc>
          <w:tcPr>
            <w:tcW w:w="2736" w:type="dxa"/>
            <w:shd w:val="clear" w:color="auto" w:fill="auto"/>
            <w:vAlign w:val="bottom"/>
          </w:tcPr>
          <w:p w14:paraId="5662831E" w14:textId="77777777" w:rsidR="006272B2" w:rsidRPr="004A0773" w:rsidRDefault="006272B2" w:rsidP="00382821">
            <w:pPr>
              <w:keepNext/>
              <w:keepLines/>
              <w:spacing w:after="0" w:line="240" w:lineRule="auto"/>
              <w:jc w:val="right"/>
              <w:rPr>
                <w:sz w:val="18"/>
              </w:rPr>
            </w:pPr>
            <w:r w:rsidRPr="004F2652">
              <w:rPr>
                <w:sz w:val="18"/>
              </w:rPr>
              <w:t>3,619*</w:t>
            </w:r>
          </w:p>
        </w:tc>
        <w:tc>
          <w:tcPr>
            <w:tcW w:w="2835" w:type="dxa"/>
            <w:shd w:val="clear" w:color="auto" w:fill="auto"/>
            <w:vAlign w:val="center"/>
          </w:tcPr>
          <w:p w14:paraId="1C4D070B" w14:textId="77777777" w:rsidR="006272B2" w:rsidRPr="004A0773" w:rsidRDefault="006272B2" w:rsidP="00382821">
            <w:pPr>
              <w:keepNext/>
              <w:keepLines/>
              <w:spacing w:after="0" w:line="240" w:lineRule="auto"/>
              <w:jc w:val="right"/>
              <w:rPr>
                <w:sz w:val="18"/>
              </w:rPr>
            </w:pPr>
            <w:r w:rsidRPr="004F2652">
              <w:rPr>
                <w:sz w:val="18"/>
              </w:rPr>
              <w:t>15,</w:t>
            </w:r>
            <w:r w:rsidRPr="004F2652">
              <w:rPr>
                <w:rFonts w:cs="Arial"/>
                <w:sz w:val="18"/>
                <w:szCs w:val="18"/>
              </w:rPr>
              <w:t>998</w:t>
            </w:r>
          </w:p>
        </w:tc>
      </w:tr>
      <w:tr w:rsidR="006272B2" w:rsidRPr="00AA4FF2" w14:paraId="7455FB07" w14:textId="77777777" w:rsidTr="006272B2">
        <w:trPr>
          <w:trHeight w:val="34"/>
        </w:trPr>
        <w:tc>
          <w:tcPr>
            <w:tcW w:w="1388" w:type="dxa"/>
            <w:shd w:val="clear" w:color="auto" w:fill="auto"/>
          </w:tcPr>
          <w:p w14:paraId="61C8F543" w14:textId="77777777" w:rsidR="006272B2" w:rsidRPr="004F2652" w:rsidRDefault="006272B2" w:rsidP="00382821">
            <w:pPr>
              <w:keepNext/>
              <w:keepLines/>
              <w:spacing w:after="0" w:line="240" w:lineRule="auto"/>
              <w:rPr>
                <w:sz w:val="18"/>
                <w:highlight w:val="yellow"/>
              </w:rPr>
            </w:pPr>
            <w:r w:rsidRPr="004F2652">
              <w:rPr>
                <w:sz w:val="18"/>
              </w:rPr>
              <w:t>Jun 13</w:t>
            </w:r>
          </w:p>
        </w:tc>
        <w:tc>
          <w:tcPr>
            <w:tcW w:w="2736" w:type="dxa"/>
            <w:shd w:val="clear" w:color="auto" w:fill="auto"/>
            <w:vAlign w:val="bottom"/>
          </w:tcPr>
          <w:p w14:paraId="75760159" w14:textId="77777777" w:rsidR="006272B2" w:rsidRPr="004A0773" w:rsidRDefault="006272B2" w:rsidP="00382821">
            <w:pPr>
              <w:keepNext/>
              <w:keepLines/>
              <w:spacing w:after="0" w:line="240" w:lineRule="auto"/>
              <w:jc w:val="right"/>
              <w:rPr>
                <w:sz w:val="18"/>
              </w:rPr>
            </w:pPr>
            <w:r w:rsidRPr="004F2652">
              <w:rPr>
                <w:sz w:val="18"/>
              </w:rPr>
              <w:t>3,783</w:t>
            </w:r>
          </w:p>
        </w:tc>
        <w:tc>
          <w:tcPr>
            <w:tcW w:w="2835" w:type="dxa"/>
            <w:shd w:val="clear" w:color="auto" w:fill="auto"/>
            <w:vAlign w:val="center"/>
          </w:tcPr>
          <w:p w14:paraId="4B1EB6C2" w14:textId="77777777" w:rsidR="006272B2" w:rsidRPr="004A0773" w:rsidRDefault="006272B2" w:rsidP="00382821">
            <w:pPr>
              <w:keepNext/>
              <w:keepLines/>
              <w:spacing w:after="0" w:line="240" w:lineRule="auto"/>
              <w:jc w:val="right"/>
              <w:rPr>
                <w:sz w:val="18"/>
              </w:rPr>
            </w:pPr>
            <w:r w:rsidRPr="004F2652">
              <w:rPr>
                <w:sz w:val="18"/>
              </w:rPr>
              <w:t>19,365</w:t>
            </w:r>
          </w:p>
        </w:tc>
      </w:tr>
    </w:tbl>
    <w:p w14:paraId="218C317B" w14:textId="77777777" w:rsidR="006272B2" w:rsidRPr="003D7F8F" w:rsidRDefault="006272B2" w:rsidP="007A7D12">
      <w:pPr>
        <w:pStyle w:val="ACMANotes"/>
        <w:keepNext/>
        <w:keepLines/>
        <w:spacing w:before="120"/>
      </w:pPr>
      <w:r>
        <w:t>*D</w:t>
      </w:r>
      <w:r w:rsidRPr="003D7F8F">
        <w:t>on’t know/can’t say’ responses are included from June 2014 onwards due to change of survey methodology.</w:t>
      </w:r>
    </w:p>
    <w:p w14:paraId="1A5311EE" w14:textId="77777777" w:rsidR="00E62472" w:rsidRDefault="006272B2" w:rsidP="00382821">
      <w:pPr>
        <w:pStyle w:val="ACMANotesspaceafter"/>
        <w:spacing w:after="360"/>
      </w:pPr>
      <w:r w:rsidRPr="003D7F8F">
        <w:t>Note: 12 months to June for each year.</w:t>
      </w:r>
      <w:bookmarkEnd w:id="1734"/>
      <w:bookmarkEnd w:id="1735"/>
      <w:bookmarkEnd w:id="1736"/>
      <w:bookmarkEnd w:id="1737"/>
      <w:bookmarkEnd w:id="1738"/>
      <w:bookmarkEnd w:id="1739"/>
      <w:bookmarkEnd w:id="1740"/>
      <w:bookmarkEnd w:id="1741"/>
      <w:bookmarkEnd w:id="1742"/>
      <w:bookmarkEnd w:id="1743"/>
      <w:bookmarkEnd w:id="1744"/>
    </w:p>
    <w:p w14:paraId="29C04D90" w14:textId="77777777" w:rsidR="006272B2" w:rsidRPr="003D7F8F" w:rsidRDefault="006272B2" w:rsidP="00197FB7">
      <w:pPr>
        <w:pStyle w:val="ACMAHeading3"/>
      </w:pPr>
      <w:r w:rsidRPr="003D7F8F">
        <w:t>Other sources</w:t>
      </w:r>
    </w:p>
    <w:p w14:paraId="516C4941" w14:textId="77777777" w:rsidR="006272B2" w:rsidRPr="003D7F8F" w:rsidRDefault="006272B2" w:rsidP="00F01709">
      <w:pPr>
        <w:keepNext/>
      </w:pPr>
      <w:r w:rsidRPr="003D7F8F">
        <w:t xml:space="preserve">The endnotes list other information sources used in this publication. </w:t>
      </w:r>
    </w:p>
    <w:p w14:paraId="42432871" w14:textId="77777777" w:rsidR="006272B2" w:rsidRPr="003D7F8F" w:rsidRDefault="006272B2" w:rsidP="006272B2">
      <w:pPr>
        <w:pStyle w:val="ACMAHeading3"/>
      </w:pPr>
      <w:r w:rsidRPr="003D7F8F">
        <w:t xml:space="preserve">Data analysis </w:t>
      </w:r>
    </w:p>
    <w:p w14:paraId="25734B1F" w14:textId="77777777" w:rsidR="006272B2" w:rsidRPr="003D7F8F" w:rsidRDefault="006272B2" w:rsidP="006272B2">
      <w:r w:rsidRPr="003D7F8F">
        <w:t>Results from both data sets were analysed using descriptive analysis techniques, and by socioeconomic and demographic factors, to identify areas with significant patterns or differences.</w:t>
      </w:r>
    </w:p>
    <w:p w14:paraId="5315B675" w14:textId="77777777" w:rsidR="006272B2" w:rsidRDefault="006272B2" w:rsidP="006272B2">
      <w:pPr>
        <w:keepNext/>
      </w:pPr>
      <w:r w:rsidRPr="003D7F8F">
        <w:t>Data presented in tables and figures may not add to 100 per cent (or the appropriate total) due to rounding. Percentage changes are calculated on non-rounded data.</w:t>
      </w:r>
    </w:p>
    <w:p w14:paraId="03058A50" w14:textId="77777777" w:rsidR="006272B2" w:rsidRPr="003823BB" w:rsidRDefault="006272B2" w:rsidP="006272B2">
      <w:pPr>
        <w:pStyle w:val="Heading1"/>
      </w:pPr>
      <w:bookmarkStart w:id="1745" w:name="_Toc494799515"/>
      <w:bookmarkStart w:id="1746" w:name="_Toc494805818"/>
      <w:bookmarkStart w:id="1747" w:name="_Toc494806083"/>
      <w:bookmarkStart w:id="1748" w:name="_Toc494808313"/>
      <w:bookmarkStart w:id="1749" w:name="_Toc494808971"/>
      <w:bookmarkStart w:id="1750" w:name="_Toc494816386"/>
      <w:bookmarkStart w:id="1751" w:name="_Toc494818982"/>
      <w:bookmarkStart w:id="1752" w:name="_Toc494819212"/>
      <w:bookmarkStart w:id="1753" w:name="_Toc500320939"/>
      <w:r w:rsidRPr="003823BB">
        <w:t>Glossary</w:t>
      </w:r>
      <w:bookmarkEnd w:id="1745"/>
      <w:bookmarkEnd w:id="1746"/>
      <w:bookmarkEnd w:id="1747"/>
      <w:bookmarkEnd w:id="1748"/>
      <w:bookmarkEnd w:id="1749"/>
      <w:bookmarkEnd w:id="1750"/>
      <w:bookmarkEnd w:id="1751"/>
      <w:bookmarkEnd w:id="1752"/>
      <w:bookmarkEnd w:id="1753"/>
    </w:p>
    <w:p w14:paraId="0697D072" w14:textId="77777777" w:rsidR="00B7389D" w:rsidRPr="00FD7E86" w:rsidRDefault="00B7389D" w:rsidP="00B7389D">
      <w:pPr>
        <w:spacing w:after="0"/>
        <w:rPr>
          <w:rFonts w:cs="Arial"/>
          <w:b/>
        </w:rPr>
      </w:pPr>
      <w:r w:rsidRPr="00FD7E86">
        <w:rPr>
          <w:rFonts w:cs="Arial"/>
          <w:b/>
        </w:rPr>
        <w:t>2G—second</w:t>
      </w:r>
      <w:r>
        <w:rPr>
          <w:rFonts w:cs="Arial"/>
          <w:b/>
        </w:rPr>
        <w:t>-</w:t>
      </w:r>
      <w:r w:rsidRPr="00FD7E86">
        <w:rPr>
          <w:rFonts w:cs="Arial"/>
          <w:b/>
        </w:rPr>
        <w:t>generation mobile telecommunications</w:t>
      </w:r>
    </w:p>
    <w:p w14:paraId="09244D6F" w14:textId="77777777" w:rsidR="00B7389D" w:rsidRPr="00FD7E86" w:rsidRDefault="00B7389D" w:rsidP="00B7389D">
      <w:r w:rsidRPr="00FD7E86">
        <w:t xml:space="preserve">Mobile telecommunications services that use digital techniques, providing voice communications and a relatively low transmission rate for data. </w:t>
      </w:r>
      <w:r w:rsidRPr="00FD7E86">
        <w:rPr>
          <w:lang w:val="en"/>
        </w:rPr>
        <w:t xml:space="preserve">Denoted by the introduction of the digital encryption of telephone conversations and of mobile data services with SMS text messaging. </w:t>
      </w:r>
      <w:r>
        <w:rPr>
          <w:lang w:val="en"/>
        </w:rPr>
        <w:t xml:space="preserve">2G networks will cease to operate in Australia from 31 March 2018. </w:t>
      </w:r>
      <w:r w:rsidRPr="00FD7E86">
        <w:rPr>
          <w:lang w:val="en"/>
        </w:rPr>
        <w:t xml:space="preserve">See also </w:t>
      </w:r>
      <w:r w:rsidRPr="002A4826">
        <w:rPr>
          <w:i/>
          <w:lang w:val="en"/>
        </w:rPr>
        <w:t>GSM</w:t>
      </w:r>
      <w:r>
        <w:rPr>
          <w:lang w:val="en"/>
        </w:rPr>
        <w:t>.</w:t>
      </w:r>
    </w:p>
    <w:p w14:paraId="50BB3F48" w14:textId="77777777" w:rsidR="00B7389D" w:rsidRPr="00FD7E86" w:rsidRDefault="00B7389D" w:rsidP="00B7389D">
      <w:pPr>
        <w:spacing w:after="0"/>
        <w:rPr>
          <w:rFonts w:cs="Arial"/>
          <w:b/>
        </w:rPr>
      </w:pPr>
      <w:r w:rsidRPr="00FD7E86">
        <w:rPr>
          <w:rFonts w:cs="Arial"/>
          <w:b/>
        </w:rPr>
        <w:t>3G—third</w:t>
      </w:r>
      <w:r>
        <w:rPr>
          <w:rFonts w:cs="Arial"/>
          <w:b/>
        </w:rPr>
        <w:t>-</w:t>
      </w:r>
      <w:r w:rsidRPr="00FD7E86">
        <w:rPr>
          <w:rFonts w:cs="Arial"/>
          <w:b/>
        </w:rPr>
        <w:t>generation mobile telecommunications</w:t>
      </w:r>
    </w:p>
    <w:p w14:paraId="3A777EEF" w14:textId="77777777" w:rsidR="00B7389D" w:rsidRPr="00FD7E86" w:rsidRDefault="00B7389D" w:rsidP="00B7389D">
      <w:r w:rsidRPr="00FD7E86">
        <w:t xml:space="preserve">Broadband mobile telecommunications services </w:t>
      </w:r>
      <w:r w:rsidRPr="00FD7E86">
        <w:rPr>
          <w:lang w:val="en"/>
        </w:rPr>
        <w:t>with improved data rates over their 2G predecessors</w:t>
      </w:r>
      <w:r w:rsidR="00D64558">
        <w:rPr>
          <w:lang w:val="en"/>
        </w:rPr>
        <w:t>,</w:t>
      </w:r>
      <w:r w:rsidRPr="00FD7E86">
        <w:rPr>
          <w:lang w:val="en"/>
        </w:rPr>
        <w:t xml:space="preserve"> providing for applications such as web-browsing, videoconferencing and location-based services.</w:t>
      </w:r>
      <w:r w:rsidRPr="00FD7E86">
        <w:t xml:space="preserve"> </w:t>
      </w:r>
    </w:p>
    <w:p w14:paraId="154D583D" w14:textId="77777777" w:rsidR="00B7389D" w:rsidRPr="00FD7E86" w:rsidRDefault="00B7389D" w:rsidP="00B7389D">
      <w:pPr>
        <w:spacing w:after="0"/>
        <w:rPr>
          <w:rFonts w:cs="Arial"/>
          <w:b/>
        </w:rPr>
      </w:pPr>
      <w:r w:rsidRPr="00FD7E86">
        <w:rPr>
          <w:rFonts w:cs="Arial"/>
          <w:b/>
        </w:rPr>
        <w:t>4G—fourth</w:t>
      </w:r>
      <w:r>
        <w:rPr>
          <w:rFonts w:cs="Arial"/>
          <w:b/>
        </w:rPr>
        <w:t>-</w:t>
      </w:r>
      <w:r w:rsidRPr="00FD7E86">
        <w:rPr>
          <w:rFonts w:cs="Arial"/>
          <w:b/>
        </w:rPr>
        <w:t>generation mobile telecommunications</w:t>
      </w:r>
    </w:p>
    <w:p w14:paraId="533EE597" w14:textId="77777777" w:rsidR="00B7389D" w:rsidRDefault="00B7389D" w:rsidP="00B7389D">
      <w:pPr>
        <w:autoSpaceDE w:val="0"/>
        <w:autoSpaceDN w:val="0"/>
        <w:adjustRightInd w:val="0"/>
        <w:spacing w:line="240" w:lineRule="auto"/>
      </w:pPr>
      <w:r w:rsidRPr="00FD7E86">
        <w:t xml:space="preserve">Enhanced broadband mobile telecommunications services </w:t>
      </w:r>
      <w:r>
        <w:t>that</w:t>
      </w:r>
      <w:r w:rsidRPr="00FD7E86">
        <w:t xml:space="preserve"> </w:t>
      </w:r>
      <w:r w:rsidRPr="00C05F4C">
        <w:t>are expected to provide increased bandwidth to support</w:t>
      </w:r>
      <w:r w:rsidRPr="00FD7E86" w:rsidDel="0017232E">
        <w:t xml:space="preserve"> </w:t>
      </w:r>
      <w:r w:rsidRPr="00FD7E86">
        <w:t xml:space="preserve">voice, video, data and </w:t>
      </w:r>
      <w:r w:rsidRPr="00C05F4C">
        <w:t>high</w:t>
      </w:r>
      <w:r>
        <w:t>-</w:t>
      </w:r>
      <w:r w:rsidRPr="00C05F4C">
        <w:t xml:space="preserve">quality streaming multimedia content </w:t>
      </w:r>
      <w:r w:rsidRPr="00FD7E86">
        <w:t>over an all</w:t>
      </w:r>
      <w:r>
        <w:t>-</w:t>
      </w:r>
      <w:r w:rsidRPr="00FD7E86">
        <w:t>IP network.</w:t>
      </w:r>
      <w:r w:rsidRPr="00C05F4C">
        <w:t xml:space="preserve"> See also </w:t>
      </w:r>
      <w:r w:rsidRPr="002A4826">
        <w:rPr>
          <w:i/>
        </w:rPr>
        <w:t>LTE</w:t>
      </w:r>
      <w:r>
        <w:t>.</w:t>
      </w:r>
    </w:p>
    <w:p w14:paraId="2EFAABFF" w14:textId="77777777" w:rsidR="00B7389D" w:rsidRPr="0054217A" w:rsidRDefault="00B7389D" w:rsidP="00B7389D">
      <w:pPr>
        <w:spacing w:after="0"/>
        <w:rPr>
          <w:rFonts w:cs="Arial"/>
          <w:b/>
        </w:rPr>
      </w:pPr>
      <w:r w:rsidRPr="0054217A">
        <w:rPr>
          <w:rFonts w:cs="Arial"/>
          <w:b/>
        </w:rPr>
        <w:t>5G—fifth</w:t>
      </w:r>
      <w:r>
        <w:rPr>
          <w:rFonts w:cs="Arial"/>
          <w:b/>
        </w:rPr>
        <w:t>-</w:t>
      </w:r>
      <w:r w:rsidRPr="0054217A">
        <w:rPr>
          <w:rFonts w:cs="Arial"/>
          <w:b/>
        </w:rPr>
        <w:t>generation mobile telecommunications</w:t>
      </w:r>
    </w:p>
    <w:p w14:paraId="61A51CD1" w14:textId="77777777" w:rsidR="00B7389D" w:rsidRPr="0032755E" w:rsidRDefault="00B7389D" w:rsidP="00B7389D">
      <w:pPr>
        <w:autoSpaceDE w:val="0"/>
        <w:autoSpaceDN w:val="0"/>
        <w:adjustRightInd w:val="0"/>
        <w:spacing w:line="240" w:lineRule="auto"/>
      </w:pPr>
      <w:r w:rsidRPr="0032755E">
        <w:t xml:space="preserve">The </w:t>
      </w:r>
      <w:r>
        <w:t xml:space="preserve">next iteration of broadband mobile telecommunications services, 5G is expected to provide increased data rates and reduced latency to support greater connectivity and enable machine-to-machine services and the Internet of </w:t>
      </w:r>
      <w:r w:rsidR="00D64558">
        <w:t>T</w:t>
      </w:r>
      <w:r>
        <w:t>hings. While trials of the technology are currently underway, 5G is not anticipated to be commercially available until around 2020.</w:t>
      </w:r>
    </w:p>
    <w:p w14:paraId="164F6D32" w14:textId="77777777" w:rsidR="00B7389D" w:rsidRPr="00FD7E86" w:rsidRDefault="00B7389D" w:rsidP="00B7389D">
      <w:pPr>
        <w:spacing w:after="0"/>
        <w:rPr>
          <w:rFonts w:cs="Arial"/>
          <w:b/>
          <w:color w:val="4D4D4F"/>
        </w:rPr>
      </w:pPr>
      <w:r w:rsidRPr="00FD7E86">
        <w:rPr>
          <w:rFonts w:cs="Arial"/>
          <w:b/>
          <w:bCs/>
        </w:rPr>
        <w:t>ABC</w:t>
      </w:r>
      <w:r w:rsidRPr="00FD7E86">
        <w:rPr>
          <w:rFonts w:cs="Arial"/>
          <w:b/>
          <w:color w:val="4D4D4F"/>
        </w:rPr>
        <w:t>—</w:t>
      </w:r>
      <w:r w:rsidRPr="00FD7E86">
        <w:rPr>
          <w:rFonts w:cs="Arial"/>
          <w:b/>
        </w:rPr>
        <w:t>Australian Broadcasting Corporation</w:t>
      </w:r>
    </w:p>
    <w:p w14:paraId="001CE6E4" w14:textId="77777777" w:rsidR="00B7389D" w:rsidRPr="00FD7E86" w:rsidRDefault="00B7389D" w:rsidP="00B7389D">
      <w:r w:rsidRPr="00FD7E86">
        <w:t xml:space="preserve">Free-to-air national broadcaster of ABC radio and television channels, as well as online services, funded by the Australian </w:t>
      </w:r>
      <w:r w:rsidR="00D64558">
        <w:t>G</w:t>
      </w:r>
      <w:r>
        <w:t>overnment</w:t>
      </w:r>
      <w:r w:rsidRPr="00FD7E86">
        <w:t>.</w:t>
      </w:r>
    </w:p>
    <w:p w14:paraId="6FD2767E" w14:textId="77777777" w:rsidR="00B7389D" w:rsidRPr="00FD7E86" w:rsidRDefault="00B7389D" w:rsidP="00B7389D">
      <w:pPr>
        <w:spacing w:after="0"/>
        <w:rPr>
          <w:rFonts w:cs="Arial"/>
          <w:b/>
          <w:color w:val="4D4D4F"/>
        </w:rPr>
      </w:pPr>
      <w:r w:rsidRPr="00FD7E86">
        <w:rPr>
          <w:rFonts w:cs="Arial"/>
          <w:b/>
        </w:rPr>
        <w:t>ABS—</w:t>
      </w:r>
      <w:r w:rsidRPr="00FD7E86">
        <w:rPr>
          <w:rFonts w:cs="Arial"/>
          <w:b/>
          <w:szCs w:val="20"/>
        </w:rPr>
        <w:t xml:space="preserve">Australian </w:t>
      </w:r>
      <w:r w:rsidRPr="00CE3B0C">
        <w:rPr>
          <w:rFonts w:cs="Arial"/>
          <w:b/>
        </w:rPr>
        <w:t>Bureau</w:t>
      </w:r>
      <w:r w:rsidRPr="00FD7E86">
        <w:rPr>
          <w:rFonts w:cs="Arial"/>
          <w:b/>
          <w:szCs w:val="20"/>
        </w:rPr>
        <w:t xml:space="preserve"> of Statistics</w:t>
      </w:r>
    </w:p>
    <w:p w14:paraId="7818AC6B" w14:textId="77777777" w:rsidR="00B7389D" w:rsidRPr="00FD7E86" w:rsidRDefault="00B7389D" w:rsidP="00B7389D">
      <w:r w:rsidRPr="00FD7E86">
        <w:t>Commonwealth body responsible for collecting, analysing and publishing Australian demographic data.</w:t>
      </w:r>
    </w:p>
    <w:p w14:paraId="659B7BA1" w14:textId="77777777" w:rsidR="00B7389D" w:rsidRPr="00FD7E86" w:rsidRDefault="00B7389D" w:rsidP="00B7389D">
      <w:pPr>
        <w:spacing w:after="0"/>
        <w:rPr>
          <w:rFonts w:cs="Arial"/>
          <w:b/>
        </w:rPr>
      </w:pPr>
      <w:r w:rsidRPr="00FD7E86">
        <w:rPr>
          <w:rFonts w:cs="Arial"/>
          <w:b/>
        </w:rPr>
        <w:t>ACCC—</w:t>
      </w:r>
      <w:r w:rsidRPr="00FD7E86">
        <w:rPr>
          <w:rFonts w:cs="Arial"/>
          <w:b/>
          <w:szCs w:val="20"/>
        </w:rPr>
        <w:t xml:space="preserve">Australian </w:t>
      </w:r>
      <w:r w:rsidRPr="00CE3B0C">
        <w:rPr>
          <w:rFonts w:cs="Arial"/>
          <w:b/>
        </w:rPr>
        <w:t>Competition</w:t>
      </w:r>
      <w:r w:rsidRPr="00FD7E86">
        <w:rPr>
          <w:rFonts w:cs="Arial"/>
          <w:b/>
          <w:szCs w:val="20"/>
        </w:rPr>
        <w:t xml:space="preserve"> and Consumer Commission</w:t>
      </w:r>
    </w:p>
    <w:p w14:paraId="18E2CBF2" w14:textId="77777777" w:rsidR="00B7389D" w:rsidRPr="00FD7E86" w:rsidRDefault="00B7389D" w:rsidP="00B7389D">
      <w:r w:rsidRPr="00FD7E86">
        <w:t xml:space="preserve">Commonwealth regulatory body with responsibilities derived from the </w:t>
      </w:r>
      <w:r w:rsidRPr="00FD7E86">
        <w:rPr>
          <w:i/>
        </w:rPr>
        <w:t>Competition and Consumer Act 2010</w:t>
      </w:r>
      <w:r w:rsidRPr="00FD7E86">
        <w:t xml:space="preserve"> (formerly the </w:t>
      </w:r>
      <w:r w:rsidRPr="00FD7E86">
        <w:rPr>
          <w:i/>
        </w:rPr>
        <w:t>Trade Practices Act 1974</w:t>
      </w:r>
      <w:r w:rsidRPr="00FD7E86">
        <w:t>).</w:t>
      </w:r>
    </w:p>
    <w:p w14:paraId="4FB6D170" w14:textId="77777777" w:rsidR="00B7389D" w:rsidRPr="00FD7E86" w:rsidRDefault="00B7389D" w:rsidP="00B7389D">
      <w:pPr>
        <w:spacing w:after="0"/>
        <w:rPr>
          <w:rFonts w:cs="Arial"/>
          <w:b/>
          <w:color w:val="4D4D4F"/>
          <w:szCs w:val="20"/>
        </w:rPr>
      </w:pPr>
      <w:r w:rsidRPr="00FD7E86">
        <w:rPr>
          <w:rFonts w:cs="Arial"/>
          <w:b/>
        </w:rPr>
        <w:t>ACE—</w:t>
      </w:r>
      <w:r w:rsidRPr="00FD7E86">
        <w:rPr>
          <w:rFonts w:cs="Arial"/>
          <w:b/>
          <w:szCs w:val="20"/>
        </w:rPr>
        <w:t xml:space="preserve">Australian </w:t>
      </w:r>
      <w:r w:rsidRPr="00CE3B0C">
        <w:rPr>
          <w:rFonts w:cs="Arial"/>
          <w:b/>
        </w:rPr>
        <w:t>Communication</w:t>
      </w:r>
      <w:r w:rsidRPr="00FD7E86">
        <w:rPr>
          <w:rFonts w:cs="Arial"/>
          <w:b/>
          <w:szCs w:val="20"/>
        </w:rPr>
        <w:t xml:space="preserve"> Exchange</w:t>
      </w:r>
    </w:p>
    <w:p w14:paraId="338D9D50" w14:textId="77777777" w:rsidR="00B7389D" w:rsidRPr="00FD7E86" w:rsidRDefault="00D64558" w:rsidP="00B7389D">
      <w:r>
        <w:t>N</w:t>
      </w:r>
      <w:r w:rsidR="00B7389D" w:rsidRPr="00FD7E86">
        <w:t>ational no</w:t>
      </w:r>
      <w:r>
        <w:t>t</w:t>
      </w:r>
      <w:r w:rsidR="00B7389D" w:rsidRPr="00FD7E86">
        <w:t xml:space="preserve">-for-profit organisation that currently provides the relay component of the National Relay Service. </w:t>
      </w:r>
    </w:p>
    <w:p w14:paraId="5AD8E7EB" w14:textId="77777777" w:rsidR="00B7389D" w:rsidRPr="00FD7E86" w:rsidRDefault="00B7389D" w:rsidP="00B7389D">
      <w:pPr>
        <w:spacing w:after="0"/>
        <w:rPr>
          <w:rFonts w:cs="Arial"/>
          <w:b/>
          <w:szCs w:val="20"/>
        </w:rPr>
      </w:pPr>
      <w:r w:rsidRPr="00FD7E86">
        <w:rPr>
          <w:rFonts w:cs="Arial"/>
          <w:b/>
          <w:szCs w:val="20"/>
        </w:rPr>
        <w:t>ACMA—Australian Communications and Media Authority</w:t>
      </w:r>
    </w:p>
    <w:p w14:paraId="4E4604C0" w14:textId="7347542E" w:rsidR="00B7389D" w:rsidRPr="00FD7E86" w:rsidRDefault="00B7389D" w:rsidP="00B7389D">
      <w:pPr>
        <w:rPr>
          <w:rFonts w:cs="Arial"/>
          <w:b/>
          <w:bCs/>
          <w:color w:val="4D4D4F"/>
          <w:szCs w:val="20"/>
        </w:rPr>
      </w:pPr>
      <w:r w:rsidRPr="00FD7E86">
        <w:t>Commonwealth regulatory authority for broadcasting, radiocommunications</w:t>
      </w:r>
      <w:r w:rsidR="0063546B">
        <w:t xml:space="preserve">, </w:t>
      </w:r>
      <w:r w:rsidRPr="00FD7E86">
        <w:t>telecommunications</w:t>
      </w:r>
      <w:r w:rsidR="0063546B">
        <w:t xml:space="preserve"> and some online content, </w:t>
      </w:r>
      <w:r w:rsidRPr="00FD7E86">
        <w:t xml:space="preserve">with responsibilities under the </w:t>
      </w:r>
      <w:r w:rsidRPr="00FD7E86">
        <w:rPr>
          <w:i/>
          <w:iCs/>
        </w:rPr>
        <w:t>Broadcasting Services Act 1992</w:t>
      </w:r>
      <w:r w:rsidRPr="00FD7E86">
        <w:t xml:space="preserve">, the </w:t>
      </w:r>
      <w:r w:rsidRPr="00FD7E86">
        <w:rPr>
          <w:i/>
          <w:iCs/>
        </w:rPr>
        <w:t>Radiocommunications Act 1992</w:t>
      </w:r>
      <w:r w:rsidRPr="00FD7E86">
        <w:t xml:space="preserve">, the </w:t>
      </w:r>
      <w:r w:rsidRPr="00FD7E86">
        <w:rPr>
          <w:i/>
          <w:iCs/>
        </w:rPr>
        <w:t>Telecommunications Act 1997</w:t>
      </w:r>
      <w:r w:rsidR="0063546B">
        <w:rPr>
          <w:i/>
          <w:iCs/>
        </w:rPr>
        <w:t xml:space="preserve">, </w:t>
      </w:r>
      <w:r w:rsidR="0063546B">
        <w:rPr>
          <w:iCs/>
        </w:rPr>
        <w:t xml:space="preserve">the </w:t>
      </w:r>
      <w:r w:rsidR="0063546B">
        <w:rPr>
          <w:i/>
          <w:iCs/>
        </w:rPr>
        <w:t xml:space="preserve">Telecommunications (Consumer Protection and Service Standards) Act 1999 </w:t>
      </w:r>
      <w:r w:rsidRPr="00FD7E86">
        <w:t xml:space="preserve">and related Acts. </w:t>
      </w:r>
      <w:r w:rsidR="0063546B">
        <w:t xml:space="preserve">Established on 1 July 2005 following a merger of the Australian Communications Authority and the Australian Broadcasting Authority. </w:t>
      </w:r>
    </w:p>
    <w:p w14:paraId="6F31268B" w14:textId="77777777" w:rsidR="00B7389D" w:rsidRPr="00FD7E86" w:rsidRDefault="00B7389D" w:rsidP="00B7389D">
      <w:pPr>
        <w:spacing w:after="0"/>
        <w:rPr>
          <w:rFonts w:cs="Arial"/>
          <w:b/>
          <w:szCs w:val="20"/>
        </w:rPr>
      </w:pPr>
      <w:r w:rsidRPr="00FD7E86">
        <w:rPr>
          <w:rFonts w:cs="Arial"/>
          <w:b/>
          <w:szCs w:val="20"/>
        </w:rPr>
        <w:t>ADSL—</w:t>
      </w:r>
      <w:r w:rsidRPr="00CE3B0C">
        <w:rPr>
          <w:rFonts w:cs="Arial"/>
          <w:b/>
        </w:rPr>
        <w:t>asymmetric</w:t>
      </w:r>
      <w:r w:rsidRPr="00FD7E86">
        <w:rPr>
          <w:rFonts w:cs="Arial"/>
          <w:b/>
          <w:szCs w:val="20"/>
        </w:rPr>
        <w:t xml:space="preserve"> digital subscriber line</w:t>
      </w:r>
    </w:p>
    <w:p w14:paraId="4BA098CF" w14:textId="77777777" w:rsidR="00B7389D" w:rsidRPr="00FD7E86" w:rsidRDefault="00D64558" w:rsidP="00B7389D">
      <w:r>
        <w:t>T</w:t>
      </w:r>
      <w:r w:rsidR="00B7389D" w:rsidRPr="00FD7E86">
        <w:t>ransmission technology that enables high-speed data services to be delivered over a twisted</w:t>
      </w:r>
      <w:r w:rsidR="00B7389D">
        <w:t>-</w:t>
      </w:r>
      <w:r w:rsidR="00B7389D" w:rsidRPr="00FD7E86">
        <w:t>pair copper line.</w:t>
      </w:r>
      <w:r w:rsidR="009F19ED">
        <w:t xml:space="preserve"> ADSL2+ is an enhanced ADSL technology that adds new features and functionality that may provide higher data rates.</w:t>
      </w:r>
    </w:p>
    <w:p w14:paraId="6B130FD8" w14:textId="77777777" w:rsidR="00B7389D" w:rsidRPr="00FD7E86" w:rsidRDefault="00B7389D" w:rsidP="00B7389D">
      <w:pPr>
        <w:spacing w:after="0"/>
        <w:rPr>
          <w:rFonts w:cs="Arial"/>
          <w:b/>
          <w:szCs w:val="20"/>
        </w:rPr>
      </w:pPr>
      <w:r w:rsidRPr="00FD7E86">
        <w:rPr>
          <w:rFonts w:cs="Arial"/>
          <w:b/>
          <w:szCs w:val="20"/>
        </w:rPr>
        <w:t xml:space="preserve">AFP—Australian </w:t>
      </w:r>
      <w:r w:rsidRPr="00CE3B0C">
        <w:rPr>
          <w:rFonts w:cs="Arial"/>
          <w:b/>
        </w:rPr>
        <w:t>Federal</w:t>
      </w:r>
      <w:r w:rsidRPr="00FD7E86">
        <w:rPr>
          <w:rFonts w:cs="Arial"/>
          <w:b/>
          <w:szCs w:val="20"/>
        </w:rPr>
        <w:t xml:space="preserve"> Police</w:t>
      </w:r>
    </w:p>
    <w:p w14:paraId="5553B8B8" w14:textId="77777777" w:rsidR="00B7389D" w:rsidRPr="00FD7E86" w:rsidRDefault="00B7389D" w:rsidP="00B7389D">
      <w:r w:rsidRPr="00FD7E86">
        <w:t xml:space="preserve">Australia’s national police force. The ACMA </w:t>
      </w:r>
      <w:r>
        <w:t>previously worked</w:t>
      </w:r>
      <w:r w:rsidRPr="00FD7E86">
        <w:t xml:space="preserve"> with the AFP on email spam and illegal internet content such as online child sexual abuse material that is hosted outside Australia.</w:t>
      </w:r>
      <w:r>
        <w:t xml:space="preserve"> </w:t>
      </w:r>
      <w:r w:rsidRPr="001A3C79">
        <w:t>On 1 July 2015, these responsibilities transferred to the Office of the eSafety Commissioner.</w:t>
      </w:r>
    </w:p>
    <w:p w14:paraId="07E25060" w14:textId="77777777" w:rsidR="00B7389D" w:rsidRDefault="00B7389D" w:rsidP="00B7389D">
      <w:pPr>
        <w:spacing w:after="0"/>
        <w:rPr>
          <w:rFonts w:cs="Arial"/>
          <w:b/>
          <w:szCs w:val="20"/>
        </w:rPr>
      </w:pPr>
      <w:r>
        <w:rPr>
          <w:rFonts w:cs="Arial"/>
          <w:b/>
          <w:szCs w:val="20"/>
        </w:rPr>
        <w:t>AGD</w:t>
      </w:r>
    </w:p>
    <w:p w14:paraId="10322B13" w14:textId="35C229E3" w:rsidR="00B7389D" w:rsidRPr="00D1765B" w:rsidRDefault="00470388" w:rsidP="00B7389D">
      <w:pPr>
        <w:autoSpaceDE w:val="0"/>
        <w:autoSpaceDN w:val="0"/>
        <w:adjustRightInd w:val="0"/>
        <w:spacing w:line="240" w:lineRule="auto"/>
      </w:pPr>
      <w:r>
        <w:rPr>
          <w:rFonts w:cs="Arial"/>
          <w:szCs w:val="20"/>
        </w:rPr>
        <w:t>Attorney-</w:t>
      </w:r>
      <w:r w:rsidR="00B7389D">
        <w:rPr>
          <w:rFonts w:cs="Arial"/>
          <w:szCs w:val="20"/>
        </w:rPr>
        <w:t>General’s Department.</w:t>
      </w:r>
    </w:p>
    <w:p w14:paraId="6FAB3438" w14:textId="77777777" w:rsidR="00B7389D" w:rsidRPr="00FD7E86" w:rsidRDefault="00B7389D" w:rsidP="00B7389D">
      <w:pPr>
        <w:spacing w:after="0"/>
        <w:rPr>
          <w:rFonts w:cs="Arial"/>
          <w:b/>
          <w:szCs w:val="20"/>
        </w:rPr>
      </w:pPr>
      <w:r w:rsidRPr="00FD7E86">
        <w:rPr>
          <w:rFonts w:cs="Arial"/>
          <w:b/>
          <w:szCs w:val="20"/>
        </w:rPr>
        <w:t>AISI—</w:t>
      </w:r>
      <w:r w:rsidRPr="00CE3B0C">
        <w:rPr>
          <w:rFonts w:cs="Arial"/>
          <w:b/>
        </w:rPr>
        <w:t>Australian</w:t>
      </w:r>
      <w:r w:rsidRPr="00FD7E86">
        <w:rPr>
          <w:rFonts w:cs="Arial"/>
          <w:b/>
          <w:szCs w:val="20"/>
        </w:rPr>
        <w:t xml:space="preserve"> Internet Security Initiative</w:t>
      </w:r>
    </w:p>
    <w:p w14:paraId="15FF2AA7" w14:textId="77777777" w:rsidR="00D64558" w:rsidRPr="00FD7E86" w:rsidRDefault="00B7389D" w:rsidP="00B7389D">
      <w:pPr>
        <w:autoSpaceDE w:val="0"/>
        <w:autoSpaceDN w:val="0"/>
        <w:adjustRightInd w:val="0"/>
        <w:spacing w:line="240" w:lineRule="auto"/>
      </w:pPr>
      <w:r w:rsidRPr="00FD7E86">
        <w:t xml:space="preserve">Collects data from various sources on compromised computers (sometimes referred to as ‘zombies’, </w:t>
      </w:r>
      <w:r>
        <w:t>‘</w:t>
      </w:r>
      <w:r w:rsidRPr="00FD7E86">
        <w:t>bots</w:t>
      </w:r>
      <w:r>
        <w:t>’</w:t>
      </w:r>
      <w:r w:rsidRPr="00FD7E86">
        <w:t xml:space="preserve"> or ‘drones’). The ACMA analyses this data and provides free daily reports to participating Australian internet service providers (ISPs)</w:t>
      </w:r>
      <w:r w:rsidR="00D64558">
        <w:t>,</w:t>
      </w:r>
      <w:r w:rsidRPr="00FD7E86">
        <w:t xml:space="preserve"> identifying IP addresses operating on their networks that appear to be compromised.</w:t>
      </w:r>
      <w:r w:rsidR="005A303F">
        <w:t xml:space="preserve"> </w:t>
      </w:r>
      <w:r w:rsidR="00D64558">
        <w:t>On 1 July 2017, responsibility for the AISI program shifted from the ACMA to the Attorney-General’s Department.</w:t>
      </w:r>
    </w:p>
    <w:p w14:paraId="79140821" w14:textId="60501701" w:rsidR="00B7389D" w:rsidRPr="00FD7E86" w:rsidRDefault="00B7389D" w:rsidP="00B7389D">
      <w:pPr>
        <w:spacing w:after="0"/>
        <w:rPr>
          <w:rFonts w:cs="Arial"/>
          <w:b/>
          <w:szCs w:val="20"/>
        </w:rPr>
      </w:pPr>
      <w:r w:rsidRPr="00FD7E86">
        <w:rPr>
          <w:rFonts w:cs="Arial"/>
          <w:b/>
          <w:szCs w:val="20"/>
        </w:rPr>
        <w:t xml:space="preserve">auDA—.au Domain </w:t>
      </w:r>
      <w:r w:rsidRPr="00CE3B0C">
        <w:rPr>
          <w:rFonts w:cs="Arial"/>
          <w:b/>
        </w:rPr>
        <w:t>Administration</w:t>
      </w:r>
      <w:r w:rsidR="001C483E">
        <w:rPr>
          <w:rFonts w:cs="Arial"/>
          <w:b/>
        </w:rPr>
        <w:t xml:space="preserve"> Ltd</w:t>
      </w:r>
    </w:p>
    <w:p w14:paraId="1088D46D" w14:textId="77777777" w:rsidR="00B7389D" w:rsidRPr="00FD7E86" w:rsidRDefault="00B7389D" w:rsidP="00B7389D">
      <w:r w:rsidRPr="0014452B">
        <w:t xml:space="preserve">Independent industry self-regulatory body responsible for the </w:t>
      </w:r>
      <w:r>
        <w:t>‘</w:t>
      </w:r>
      <w:r w:rsidRPr="0014452B">
        <w:t>.au</w:t>
      </w:r>
      <w:r>
        <w:t>’</w:t>
      </w:r>
      <w:r w:rsidRPr="0014452B">
        <w:t xml:space="preserve"> domain name space.</w:t>
      </w:r>
    </w:p>
    <w:p w14:paraId="144B7AE1" w14:textId="77777777" w:rsidR="00B7389D" w:rsidRPr="00FD7E86" w:rsidRDefault="00B7389D" w:rsidP="00B7389D">
      <w:pPr>
        <w:spacing w:after="0"/>
        <w:rPr>
          <w:rFonts w:cs="Arial"/>
          <w:b/>
          <w:szCs w:val="20"/>
        </w:rPr>
      </w:pPr>
      <w:r w:rsidRPr="00CE3B0C">
        <w:rPr>
          <w:rFonts w:cs="Arial"/>
          <w:b/>
        </w:rPr>
        <w:t>broadband</w:t>
      </w:r>
      <w:r w:rsidRPr="00FD7E86">
        <w:rPr>
          <w:rFonts w:cs="Arial"/>
          <w:b/>
          <w:szCs w:val="20"/>
        </w:rPr>
        <w:t xml:space="preserve"> </w:t>
      </w:r>
    </w:p>
    <w:p w14:paraId="2EB5C083" w14:textId="4534BB5D" w:rsidR="00B7389D" w:rsidRPr="00FD7E86" w:rsidRDefault="00B72F8E" w:rsidP="00B7389D">
      <w:r>
        <w:rPr>
          <w:lang w:val="en"/>
        </w:rPr>
        <w:t>A</w:t>
      </w:r>
      <w:r w:rsidR="005A303F">
        <w:rPr>
          <w:lang w:val="en"/>
        </w:rPr>
        <w:t xml:space="preserve"> class of high</w:t>
      </w:r>
      <w:r>
        <w:rPr>
          <w:lang w:val="en"/>
        </w:rPr>
        <w:t>-</w:t>
      </w:r>
      <w:r w:rsidR="005A303F">
        <w:rPr>
          <w:lang w:val="en"/>
        </w:rPr>
        <w:t>speed internet access technologies, such as ADSL, ADSL2+, HFC cable and Wi</w:t>
      </w:r>
      <w:r w:rsidR="00520EC6">
        <w:rPr>
          <w:lang w:val="en"/>
        </w:rPr>
        <w:t>-</w:t>
      </w:r>
      <w:r w:rsidR="005A303F">
        <w:rPr>
          <w:lang w:val="en"/>
        </w:rPr>
        <w:t xml:space="preserve">Fi, offering a data rate significantly higher than </w:t>
      </w:r>
      <w:r w:rsidR="00C40923">
        <w:rPr>
          <w:lang w:val="en"/>
        </w:rPr>
        <w:t>dial-up internet services</w:t>
      </w:r>
      <w:r w:rsidR="005117AC">
        <w:rPr>
          <w:lang w:val="en"/>
        </w:rPr>
        <w:t>.</w:t>
      </w:r>
    </w:p>
    <w:p w14:paraId="0DA732F7" w14:textId="77777777" w:rsidR="00B7389D" w:rsidRPr="00FD7E86" w:rsidRDefault="00B7389D" w:rsidP="00B7389D">
      <w:pPr>
        <w:spacing w:after="0"/>
        <w:rPr>
          <w:rFonts w:cs="Arial"/>
          <w:b/>
          <w:szCs w:val="20"/>
        </w:rPr>
      </w:pPr>
      <w:r w:rsidRPr="00FD7E86">
        <w:rPr>
          <w:rFonts w:cs="Arial"/>
          <w:b/>
          <w:szCs w:val="20"/>
        </w:rPr>
        <w:t xml:space="preserve">cable—hybrid </w:t>
      </w:r>
      <w:r w:rsidRPr="00CE3B0C">
        <w:rPr>
          <w:rFonts w:cs="Arial"/>
          <w:b/>
        </w:rPr>
        <w:t>fibre</w:t>
      </w:r>
      <w:r w:rsidRPr="00FD7E86">
        <w:rPr>
          <w:rFonts w:cs="Arial"/>
          <w:b/>
          <w:szCs w:val="20"/>
        </w:rPr>
        <w:t xml:space="preserve"> coaxial (HFC) cable</w:t>
      </w:r>
    </w:p>
    <w:p w14:paraId="625AEB3F" w14:textId="77777777" w:rsidR="00B7389D" w:rsidRPr="00FD7E86" w:rsidRDefault="00B7389D" w:rsidP="00B7389D">
      <w:r w:rsidRPr="00FD7E86">
        <w:t>Transmission links consisting of optical fibre on main routes, supplemented by coaxial cable closer to the end user’s premises.</w:t>
      </w:r>
    </w:p>
    <w:p w14:paraId="54FFAE98" w14:textId="77777777" w:rsidR="00B7389D" w:rsidRPr="00FD7E86" w:rsidRDefault="00B7389D" w:rsidP="00B7389D">
      <w:pPr>
        <w:spacing w:after="0"/>
        <w:rPr>
          <w:rFonts w:cs="Arial"/>
          <w:b/>
          <w:szCs w:val="20"/>
        </w:rPr>
      </w:pPr>
      <w:r w:rsidRPr="00CE3B0C">
        <w:rPr>
          <w:rFonts w:cs="Arial"/>
          <w:b/>
        </w:rPr>
        <w:t>carrier</w:t>
      </w:r>
      <w:r w:rsidRPr="00FD7E86">
        <w:rPr>
          <w:rFonts w:cs="Arial"/>
          <w:b/>
          <w:szCs w:val="20"/>
        </w:rPr>
        <w:t xml:space="preserve"> </w:t>
      </w:r>
    </w:p>
    <w:p w14:paraId="6FD9EDD5" w14:textId="77777777" w:rsidR="00B7389D" w:rsidRPr="00FD7E86" w:rsidRDefault="00B7389D" w:rsidP="00B7389D">
      <w:r w:rsidRPr="00FD7E86">
        <w:t xml:space="preserve">The holder of a telecommunications carrier licence in force under the </w:t>
      </w:r>
      <w:r w:rsidRPr="00FD7E86">
        <w:rPr>
          <w:i/>
          <w:iCs/>
        </w:rPr>
        <w:t>Telecommunications Act 1997</w:t>
      </w:r>
      <w:r w:rsidRPr="00FD7E86">
        <w:t>.</w:t>
      </w:r>
    </w:p>
    <w:p w14:paraId="168604CF" w14:textId="77777777" w:rsidR="00B7389D" w:rsidRPr="00FD7E86" w:rsidRDefault="00B7389D" w:rsidP="00B7389D">
      <w:pPr>
        <w:spacing w:after="0"/>
        <w:rPr>
          <w:rFonts w:cs="Arial"/>
          <w:b/>
          <w:szCs w:val="20"/>
        </w:rPr>
      </w:pPr>
      <w:r w:rsidRPr="00FD7E86">
        <w:rPr>
          <w:rFonts w:cs="Arial"/>
          <w:b/>
          <w:szCs w:val="20"/>
        </w:rPr>
        <w:t>catch-up TV</w:t>
      </w:r>
    </w:p>
    <w:p w14:paraId="2E733990" w14:textId="77777777" w:rsidR="00B7389D" w:rsidRPr="00FD7E86" w:rsidRDefault="00B7389D" w:rsidP="00B7389D">
      <w:pPr>
        <w:rPr>
          <w:bCs/>
        </w:rPr>
      </w:pPr>
      <w:r w:rsidRPr="00FD7E86">
        <w:rPr>
          <w:bCs/>
        </w:rPr>
        <w:t xml:space="preserve">Internet service typically provided on free-to-air and subscription broadcasters’ websites enabling users to watch a recent episode of a television program over the internet for a limited period of time. </w:t>
      </w:r>
    </w:p>
    <w:p w14:paraId="15742447" w14:textId="77777777" w:rsidR="00B7389D" w:rsidRPr="00FD7E86" w:rsidRDefault="00B7389D" w:rsidP="00B7389D">
      <w:pPr>
        <w:spacing w:after="0"/>
        <w:rPr>
          <w:rFonts w:cs="Arial"/>
          <w:b/>
          <w:szCs w:val="20"/>
        </w:rPr>
      </w:pPr>
      <w:r w:rsidRPr="00CE3B0C">
        <w:rPr>
          <w:rFonts w:cs="Arial"/>
          <w:b/>
        </w:rPr>
        <w:t>CEASA</w:t>
      </w:r>
      <w:r w:rsidRPr="00FD7E86">
        <w:rPr>
          <w:rFonts w:cs="Arial"/>
          <w:b/>
          <w:szCs w:val="20"/>
        </w:rPr>
        <w:t>—Commercial Economic Advisory Service of Australia</w:t>
      </w:r>
    </w:p>
    <w:p w14:paraId="23A07EE7" w14:textId="77777777" w:rsidR="00B7389D" w:rsidRPr="00FD7E86" w:rsidRDefault="00B7389D" w:rsidP="00B7389D">
      <w:r w:rsidRPr="00FD7E86">
        <w:t>An information research company specialising in media, economic, marketing and advertising research, surveys and publications.</w:t>
      </w:r>
    </w:p>
    <w:p w14:paraId="5F3125DA" w14:textId="77777777" w:rsidR="00B7389D" w:rsidRPr="00FD7E86" w:rsidRDefault="00B7389D" w:rsidP="00B7389D">
      <w:pPr>
        <w:spacing w:after="0"/>
        <w:rPr>
          <w:rFonts w:cs="Arial"/>
          <w:b/>
          <w:szCs w:val="20"/>
        </w:rPr>
      </w:pPr>
      <w:r w:rsidRPr="00CE3B0C">
        <w:rPr>
          <w:rFonts w:cs="Arial"/>
          <w:b/>
        </w:rPr>
        <w:t>cloud</w:t>
      </w:r>
      <w:r w:rsidRPr="00FD7E86">
        <w:rPr>
          <w:rFonts w:cs="Arial"/>
          <w:b/>
          <w:szCs w:val="20"/>
        </w:rPr>
        <w:t xml:space="preserve"> computing</w:t>
      </w:r>
    </w:p>
    <w:p w14:paraId="7B861666" w14:textId="77777777" w:rsidR="00B7389D" w:rsidRPr="00FD7E86" w:rsidRDefault="00B7389D" w:rsidP="00B7389D">
      <w:r w:rsidRPr="00FD7E86">
        <w:t>Internet-based computing where data and applications are hosted online, stored on remote servers and available to clients on demand through broadband internet-enabled devices.</w:t>
      </w:r>
    </w:p>
    <w:p w14:paraId="62165112" w14:textId="77777777" w:rsidR="00B7389D" w:rsidRPr="00FD7E86" w:rsidRDefault="00B7389D" w:rsidP="00B7389D">
      <w:pPr>
        <w:spacing w:after="0"/>
        <w:rPr>
          <w:rFonts w:cs="Arial"/>
          <w:b/>
          <w:szCs w:val="20"/>
        </w:rPr>
      </w:pPr>
      <w:r w:rsidRPr="00CE3B0C">
        <w:rPr>
          <w:rFonts w:cs="Arial"/>
          <w:b/>
        </w:rPr>
        <w:t>Communications</w:t>
      </w:r>
      <w:r w:rsidRPr="00FD7E86">
        <w:rPr>
          <w:rFonts w:cs="Arial"/>
          <w:b/>
          <w:szCs w:val="20"/>
        </w:rPr>
        <w:t xml:space="preserve"> Alliance (CA)</w:t>
      </w:r>
    </w:p>
    <w:p w14:paraId="0D310FDC" w14:textId="77777777" w:rsidR="00B7389D" w:rsidRPr="00FD7E86" w:rsidRDefault="00B7389D" w:rsidP="00B7389D">
      <w:r w:rsidRPr="00FD7E86">
        <w:t>Telecommunications industry organisation formed on 1 September 2006 from the merger of the Australian Communications Industry Forum (ACIF) and the Service Providers Association Network (SPAN).</w:t>
      </w:r>
    </w:p>
    <w:p w14:paraId="2E3A291D" w14:textId="77777777" w:rsidR="00B7389D" w:rsidRPr="00FD7E86" w:rsidRDefault="00B7389D" w:rsidP="00B7389D">
      <w:pPr>
        <w:spacing w:after="0"/>
        <w:rPr>
          <w:rFonts w:cs="Arial"/>
          <w:b/>
          <w:szCs w:val="20"/>
        </w:rPr>
      </w:pPr>
      <w:r w:rsidRPr="00FD7E86">
        <w:rPr>
          <w:rFonts w:cs="Arial"/>
          <w:b/>
          <w:szCs w:val="20"/>
        </w:rPr>
        <w:t>CSG—</w:t>
      </w:r>
      <w:r w:rsidRPr="00CE3B0C">
        <w:rPr>
          <w:rFonts w:cs="Arial"/>
          <w:b/>
        </w:rPr>
        <w:t>Customer</w:t>
      </w:r>
      <w:r w:rsidRPr="00FD7E86">
        <w:rPr>
          <w:rFonts w:cs="Arial"/>
          <w:b/>
          <w:szCs w:val="20"/>
        </w:rPr>
        <w:t xml:space="preserve"> Service Guarantee</w:t>
      </w:r>
    </w:p>
    <w:p w14:paraId="08480E3D" w14:textId="77777777" w:rsidR="00B7389D" w:rsidRDefault="00B7389D" w:rsidP="00B7389D">
      <w:r w:rsidRPr="00FD7E86">
        <w:t>Standard providing for financial compensation to customers where requirements set out in the CSG Standard are not met.</w:t>
      </w:r>
    </w:p>
    <w:p w14:paraId="4F56DF53" w14:textId="77777777" w:rsidR="00B7389D" w:rsidRDefault="00B7389D" w:rsidP="00B7389D">
      <w:pPr>
        <w:spacing w:after="0"/>
        <w:rPr>
          <w:rFonts w:cs="Arial"/>
          <w:b/>
          <w:szCs w:val="20"/>
        </w:rPr>
      </w:pPr>
      <w:r w:rsidRPr="00FD7E86">
        <w:rPr>
          <w:rFonts w:cs="Arial"/>
          <w:b/>
          <w:szCs w:val="20"/>
        </w:rPr>
        <w:t>CSG</w:t>
      </w:r>
      <w:r>
        <w:rPr>
          <w:rFonts w:cs="Arial"/>
          <w:b/>
          <w:szCs w:val="20"/>
        </w:rPr>
        <w:t xml:space="preserve"> </w:t>
      </w:r>
      <w:r w:rsidRPr="00CE3B0C">
        <w:rPr>
          <w:rFonts w:cs="Arial"/>
          <w:b/>
        </w:rPr>
        <w:t>Standard</w:t>
      </w:r>
      <w:r w:rsidRPr="00FD7E86">
        <w:rPr>
          <w:rFonts w:cs="Arial"/>
          <w:b/>
          <w:szCs w:val="20"/>
        </w:rPr>
        <w:t>—Customer Service Guarantee</w:t>
      </w:r>
      <w:r>
        <w:rPr>
          <w:rFonts w:cs="Arial"/>
          <w:b/>
          <w:szCs w:val="20"/>
        </w:rPr>
        <w:t xml:space="preserve"> Standard</w:t>
      </w:r>
    </w:p>
    <w:p w14:paraId="52C25096" w14:textId="77777777" w:rsidR="00B7389D" w:rsidRPr="00FD7E86" w:rsidRDefault="00B7389D" w:rsidP="00B7389D">
      <w:pPr>
        <w:rPr>
          <w:rFonts w:cs="Arial"/>
          <w:b/>
        </w:rPr>
      </w:pPr>
      <w:r>
        <w:rPr>
          <w:lang w:val="en"/>
        </w:rPr>
        <w:t>The CSG Standard establishes performance standards that telephone service providers must meet or exceed for appointments and the connection and repair of standard telephone services (and certain enhanced call-handling features).</w:t>
      </w:r>
    </w:p>
    <w:p w14:paraId="039A77BE" w14:textId="77777777" w:rsidR="00B7389D" w:rsidRPr="00FD7E86" w:rsidRDefault="00B7389D" w:rsidP="00B72F8E">
      <w:pPr>
        <w:keepNext/>
        <w:spacing w:after="0"/>
        <w:rPr>
          <w:rFonts w:cs="Arial"/>
          <w:b/>
          <w:szCs w:val="20"/>
        </w:rPr>
      </w:pPr>
      <w:r w:rsidRPr="00FD7E86">
        <w:rPr>
          <w:rFonts w:cs="Arial"/>
          <w:b/>
          <w:szCs w:val="20"/>
        </w:rPr>
        <w:t>CSP—</w:t>
      </w:r>
      <w:r w:rsidRPr="00CE3B0C">
        <w:rPr>
          <w:rFonts w:cs="Arial"/>
          <w:b/>
        </w:rPr>
        <w:t>carriage</w:t>
      </w:r>
      <w:r w:rsidRPr="00FD7E86">
        <w:rPr>
          <w:rFonts w:cs="Arial"/>
          <w:b/>
          <w:szCs w:val="20"/>
        </w:rPr>
        <w:t xml:space="preserve"> service provider</w:t>
      </w:r>
    </w:p>
    <w:p w14:paraId="57F0610E" w14:textId="77777777" w:rsidR="00B7389D" w:rsidRPr="00FD7E86" w:rsidRDefault="00B7389D" w:rsidP="00B72F8E">
      <w:pPr>
        <w:keepLines/>
      </w:pPr>
      <w:r w:rsidRPr="00FD7E86">
        <w:t xml:space="preserve">Person supplying or proposing to supply certain carriage services to a customer, including a commercial entity acquiring telecommunications capacity or services from a carrier for resale to a third party. Under the </w:t>
      </w:r>
      <w:r w:rsidRPr="00B72F8E">
        <w:rPr>
          <w:i/>
        </w:rPr>
        <w:t>Telecommunications Act 1997</w:t>
      </w:r>
      <w:r w:rsidRPr="008F39E8">
        <w:t xml:space="preserve">, </w:t>
      </w:r>
      <w:r w:rsidRPr="00FD7E86">
        <w:t>internet and subscription TV service providers fall within the definition of carriage service providers.</w:t>
      </w:r>
    </w:p>
    <w:p w14:paraId="3BC8364B" w14:textId="77777777" w:rsidR="00B7389D" w:rsidRPr="00FD7E86" w:rsidRDefault="00B7389D" w:rsidP="005120ED">
      <w:pPr>
        <w:keepNext/>
        <w:spacing w:after="0"/>
        <w:rPr>
          <w:rFonts w:cs="Arial"/>
          <w:b/>
          <w:szCs w:val="20"/>
        </w:rPr>
      </w:pPr>
      <w:r w:rsidRPr="00FD7E86">
        <w:rPr>
          <w:rFonts w:cs="Arial"/>
          <w:b/>
          <w:szCs w:val="20"/>
        </w:rPr>
        <w:t>CTS—</w:t>
      </w:r>
      <w:r w:rsidRPr="005C2F2C">
        <w:rPr>
          <w:rFonts w:cs="Arial"/>
          <w:b/>
          <w:szCs w:val="20"/>
        </w:rPr>
        <w:t>Children’s</w:t>
      </w:r>
      <w:r w:rsidRPr="00FD7E86">
        <w:rPr>
          <w:rFonts w:cs="Arial"/>
          <w:b/>
          <w:szCs w:val="20"/>
        </w:rPr>
        <w:t xml:space="preserve"> Television Standard</w:t>
      </w:r>
    </w:p>
    <w:p w14:paraId="0AD7BDC8" w14:textId="77777777" w:rsidR="00B7389D" w:rsidRPr="00FD7E86" w:rsidRDefault="00B7389D" w:rsidP="00B7389D">
      <w:r w:rsidRPr="00FD7E86">
        <w:t>A standard designed to provide access for children (aged under 14 years) to quality television programs made specifically for them. The standard regulates timing and scheduling of children’s programs and content of adjacent programming.</w:t>
      </w:r>
    </w:p>
    <w:p w14:paraId="11984FAA" w14:textId="77777777" w:rsidR="00B7389D" w:rsidRPr="00FD7E86" w:rsidRDefault="00B7389D" w:rsidP="00B7389D">
      <w:pPr>
        <w:spacing w:after="0"/>
        <w:rPr>
          <w:rFonts w:cs="Arial"/>
          <w:b/>
          <w:szCs w:val="20"/>
        </w:rPr>
      </w:pPr>
      <w:r w:rsidRPr="00FD7E86">
        <w:rPr>
          <w:rFonts w:cs="Arial"/>
          <w:b/>
          <w:szCs w:val="20"/>
        </w:rPr>
        <w:t>DAB—</w:t>
      </w:r>
      <w:r w:rsidRPr="00CE3B0C">
        <w:rPr>
          <w:rFonts w:cs="Arial"/>
          <w:b/>
        </w:rPr>
        <w:t>Digital</w:t>
      </w:r>
      <w:r w:rsidRPr="00FD7E86">
        <w:rPr>
          <w:rFonts w:cs="Arial"/>
          <w:b/>
          <w:szCs w:val="20"/>
        </w:rPr>
        <w:t xml:space="preserve"> Audio Broadcasting</w:t>
      </w:r>
    </w:p>
    <w:p w14:paraId="1B34F477" w14:textId="77777777" w:rsidR="00B7389D" w:rsidRPr="00FD7E86" w:rsidRDefault="00B7389D" w:rsidP="00B7389D">
      <w:r w:rsidRPr="00FD7E86">
        <w:t xml:space="preserve">A digital radio broadcasting standard. </w:t>
      </w:r>
      <w:r w:rsidRPr="00FD7E86">
        <w:rPr>
          <w:lang w:val="en"/>
        </w:rPr>
        <w:t xml:space="preserve">Australia is using an upgraded version of this standard called DAB+ to broadcast digital radio in Adelaide, Brisbane, Melbourne, Perth and Sydney. DAB+ uses the same spectrum currently used to deliver both analog and digital television services. </w:t>
      </w:r>
    </w:p>
    <w:p w14:paraId="59934C8D" w14:textId="77777777" w:rsidR="00B7389D" w:rsidRPr="00FD7E86" w:rsidRDefault="00B7389D" w:rsidP="00B7389D">
      <w:pPr>
        <w:spacing w:after="0"/>
        <w:rPr>
          <w:rFonts w:cs="Arial"/>
          <w:b/>
          <w:szCs w:val="20"/>
        </w:rPr>
      </w:pPr>
      <w:r w:rsidRPr="00FD7E86">
        <w:rPr>
          <w:rFonts w:cs="Arial"/>
          <w:b/>
          <w:szCs w:val="20"/>
        </w:rPr>
        <w:t xml:space="preserve">data </w:t>
      </w:r>
      <w:r w:rsidRPr="00CE3B0C">
        <w:rPr>
          <w:rFonts w:cs="Arial"/>
          <w:b/>
        </w:rPr>
        <w:t>traffic</w:t>
      </w:r>
      <w:r w:rsidRPr="00FD7E86">
        <w:rPr>
          <w:rFonts w:cs="Arial"/>
          <w:b/>
          <w:szCs w:val="20"/>
        </w:rPr>
        <w:t xml:space="preserve"> </w:t>
      </w:r>
    </w:p>
    <w:p w14:paraId="02EC9677" w14:textId="77777777" w:rsidR="00B7389D" w:rsidRPr="00FD7E86" w:rsidRDefault="00B7389D" w:rsidP="00B7389D">
      <w:r w:rsidRPr="00FD7E86">
        <w:t>Volume of data transferred in both directions between a customer and their ISP. Data traffic is measured in bytes.</w:t>
      </w:r>
    </w:p>
    <w:p w14:paraId="49551385" w14:textId="77777777" w:rsidR="00B7389D" w:rsidRPr="00FD7E86" w:rsidRDefault="00B7389D" w:rsidP="00B7389D">
      <w:pPr>
        <w:spacing w:after="0"/>
        <w:rPr>
          <w:rFonts w:cs="Arial"/>
          <w:b/>
          <w:szCs w:val="20"/>
        </w:rPr>
      </w:pPr>
      <w:r w:rsidRPr="00FD7E86">
        <w:rPr>
          <w:rFonts w:cs="Arial"/>
          <w:b/>
          <w:szCs w:val="20"/>
        </w:rPr>
        <w:t xml:space="preserve">dial-up </w:t>
      </w:r>
      <w:r w:rsidRPr="00CE3B0C">
        <w:rPr>
          <w:rFonts w:cs="Arial"/>
          <w:b/>
        </w:rPr>
        <w:t>internet</w:t>
      </w:r>
      <w:r w:rsidRPr="00FD7E86">
        <w:rPr>
          <w:rFonts w:cs="Arial"/>
          <w:b/>
          <w:szCs w:val="20"/>
        </w:rPr>
        <w:t xml:space="preserve"> service</w:t>
      </w:r>
    </w:p>
    <w:p w14:paraId="5FDAA950" w14:textId="77777777" w:rsidR="00B7389D" w:rsidRPr="00FD7E86" w:rsidRDefault="00B7389D" w:rsidP="00B7389D">
      <w:r w:rsidRPr="00FD7E86">
        <w:t>Service in which subscribers connect to the internet via a modem and dial-up software utilising the PSTN or an ISDN connection</w:t>
      </w:r>
      <w:r>
        <w:t>, with speeds limited to 56 Kbps. Dial-up internet services have largely been replaced by broadband services.</w:t>
      </w:r>
    </w:p>
    <w:p w14:paraId="629E444B" w14:textId="77777777" w:rsidR="00B7389D" w:rsidRPr="00FD7E86" w:rsidRDefault="00B7389D" w:rsidP="00B7389D">
      <w:pPr>
        <w:spacing w:after="0"/>
        <w:rPr>
          <w:rFonts w:cs="Arial"/>
          <w:b/>
          <w:szCs w:val="20"/>
        </w:rPr>
      </w:pPr>
      <w:r w:rsidRPr="00FD7E86">
        <w:rPr>
          <w:rFonts w:cs="Arial"/>
          <w:b/>
          <w:szCs w:val="20"/>
        </w:rPr>
        <w:t xml:space="preserve">digital </w:t>
      </w:r>
      <w:r w:rsidRPr="00CE3B0C">
        <w:rPr>
          <w:rFonts w:cs="Arial"/>
          <w:b/>
        </w:rPr>
        <w:t>radio</w:t>
      </w:r>
    </w:p>
    <w:p w14:paraId="6CAED01A" w14:textId="77777777" w:rsidR="00B7389D" w:rsidRDefault="00B7389D" w:rsidP="00B7389D">
      <w:pPr>
        <w:rPr>
          <w:bCs/>
          <w:lang w:val="en"/>
        </w:rPr>
      </w:pPr>
      <w:r w:rsidRPr="00FD7E86">
        <w:rPr>
          <w:bCs/>
        </w:rPr>
        <w:t xml:space="preserve">Method for the digital transmission of radio signals for digital radio reception. </w:t>
      </w:r>
      <w:r w:rsidRPr="00FD7E86">
        <w:rPr>
          <w:bCs/>
          <w:lang w:val="en"/>
        </w:rPr>
        <w:t>Digital radio services have been operating in Sydney, Melbourne, Brisbane, Adelaide and Perth since July 2009.</w:t>
      </w:r>
    </w:p>
    <w:p w14:paraId="09727401" w14:textId="77777777" w:rsidR="00B7389D" w:rsidRPr="00FD7E86" w:rsidRDefault="00B7389D" w:rsidP="00B7389D">
      <w:pPr>
        <w:spacing w:after="0"/>
        <w:rPr>
          <w:rFonts w:cs="Arial"/>
          <w:b/>
          <w:szCs w:val="20"/>
        </w:rPr>
      </w:pPr>
      <w:r w:rsidRPr="00FD7E86">
        <w:rPr>
          <w:rFonts w:cs="Arial"/>
          <w:b/>
          <w:szCs w:val="20"/>
        </w:rPr>
        <w:t xml:space="preserve">digital </w:t>
      </w:r>
      <w:r w:rsidRPr="00CE3B0C">
        <w:rPr>
          <w:rFonts w:cs="Arial"/>
          <w:b/>
        </w:rPr>
        <w:t>television</w:t>
      </w:r>
    </w:p>
    <w:p w14:paraId="06D8F5E7" w14:textId="77777777" w:rsidR="00B7389D" w:rsidRPr="00FD7E86" w:rsidRDefault="00B7389D" w:rsidP="00B7389D">
      <w:pPr>
        <w:rPr>
          <w:bCs/>
        </w:rPr>
      </w:pPr>
      <w:r w:rsidRPr="00FD7E86">
        <w:rPr>
          <w:bCs/>
        </w:rPr>
        <w:t>The transmission of television (audio and video) via digital signals, serving as a replacement technology for analog services.</w:t>
      </w:r>
    </w:p>
    <w:p w14:paraId="4C5E407C" w14:textId="77777777" w:rsidR="00B7389D" w:rsidRPr="00FD7E86" w:rsidRDefault="00B7389D" w:rsidP="00B7389D">
      <w:pPr>
        <w:spacing w:after="0"/>
        <w:rPr>
          <w:rFonts w:cs="Arial"/>
          <w:b/>
          <w:szCs w:val="20"/>
        </w:rPr>
      </w:pPr>
      <w:r w:rsidRPr="00FD7E86">
        <w:rPr>
          <w:rFonts w:cs="Arial"/>
          <w:b/>
          <w:szCs w:val="20"/>
        </w:rPr>
        <w:t>DNCR—</w:t>
      </w:r>
      <w:r w:rsidRPr="00CE3B0C">
        <w:rPr>
          <w:rFonts w:cs="Arial"/>
          <w:b/>
        </w:rPr>
        <w:t>Do</w:t>
      </w:r>
      <w:r w:rsidRPr="00FD7E86">
        <w:rPr>
          <w:rFonts w:cs="Arial"/>
          <w:b/>
          <w:szCs w:val="20"/>
        </w:rPr>
        <w:t xml:space="preserve"> Not Call Register</w:t>
      </w:r>
    </w:p>
    <w:p w14:paraId="56DCBD45" w14:textId="77777777" w:rsidR="00B7389D" w:rsidRPr="00FD7E86" w:rsidRDefault="00B7389D" w:rsidP="00B7389D">
      <w:r w:rsidRPr="00FD7E86">
        <w:t>Register established by the ACMA that allows individuals to register their home and mobile numbers to opt out of receiving most unsolicited telemarketing calls and faxes, with limited exemptions for public</w:t>
      </w:r>
      <w:r>
        <w:t>-</w:t>
      </w:r>
      <w:r w:rsidRPr="00FD7E86">
        <w:t>interest organisations.</w:t>
      </w:r>
    </w:p>
    <w:p w14:paraId="6D55F34E" w14:textId="77777777" w:rsidR="00B7389D" w:rsidRPr="00FD7E86" w:rsidRDefault="00B7389D" w:rsidP="00B7389D">
      <w:pPr>
        <w:spacing w:after="0"/>
        <w:rPr>
          <w:rFonts w:cs="Arial"/>
          <w:b/>
          <w:szCs w:val="20"/>
        </w:rPr>
      </w:pPr>
      <w:r w:rsidRPr="00FD7E86">
        <w:rPr>
          <w:rFonts w:cs="Arial"/>
          <w:b/>
          <w:szCs w:val="20"/>
        </w:rPr>
        <w:t>DoC—</w:t>
      </w:r>
      <w:r w:rsidRPr="00CE3B0C">
        <w:rPr>
          <w:rFonts w:cs="Arial"/>
          <w:b/>
        </w:rPr>
        <w:t>Department</w:t>
      </w:r>
      <w:r w:rsidRPr="00FD7E86">
        <w:rPr>
          <w:rFonts w:cs="Arial"/>
          <w:b/>
          <w:szCs w:val="20"/>
        </w:rPr>
        <w:t xml:space="preserve"> of Communications</w:t>
      </w:r>
    </w:p>
    <w:p w14:paraId="1563DF1D" w14:textId="77777777" w:rsidR="00B7389D" w:rsidRPr="00FD7E86" w:rsidRDefault="00B7389D" w:rsidP="00B7389D">
      <w:pPr>
        <w:rPr>
          <w:rFonts w:cs="Arial"/>
          <w:b/>
          <w:szCs w:val="20"/>
        </w:rPr>
      </w:pPr>
      <w:r w:rsidRPr="00FD7E86">
        <w:rPr>
          <w:rFonts w:cs="Arial"/>
          <w:szCs w:val="20"/>
        </w:rPr>
        <w:t xml:space="preserve">Former name of </w:t>
      </w:r>
      <w:r w:rsidRPr="00FD7E86">
        <w:t>Commonwealth department responsible for, among other things, communications policy and programs</w:t>
      </w:r>
      <w:r>
        <w:t>.</w:t>
      </w:r>
      <w:r w:rsidRPr="00FD7E86">
        <w:t xml:space="preserve"> </w:t>
      </w:r>
      <w:r>
        <w:t>S</w:t>
      </w:r>
      <w:r w:rsidRPr="00FD7E86">
        <w:t xml:space="preserve">ee </w:t>
      </w:r>
      <w:r w:rsidRPr="00B72F8E">
        <w:rPr>
          <w:i/>
        </w:rPr>
        <w:t>DoCA</w:t>
      </w:r>
      <w:r w:rsidRPr="00FD7E86">
        <w:t>.</w:t>
      </w:r>
      <w:r w:rsidRPr="00FD7E86">
        <w:rPr>
          <w:rFonts w:cs="Arial"/>
          <w:b/>
          <w:szCs w:val="20"/>
        </w:rPr>
        <w:t xml:space="preserve"> </w:t>
      </w:r>
    </w:p>
    <w:p w14:paraId="3373250A" w14:textId="77777777" w:rsidR="00B7389D" w:rsidRPr="00FD7E86" w:rsidRDefault="00B7389D" w:rsidP="00B7389D">
      <w:pPr>
        <w:spacing w:after="0"/>
        <w:rPr>
          <w:rFonts w:cs="Arial"/>
          <w:b/>
          <w:szCs w:val="20"/>
        </w:rPr>
      </w:pPr>
      <w:r w:rsidRPr="00FD7E86">
        <w:rPr>
          <w:rFonts w:cs="Arial"/>
          <w:b/>
          <w:szCs w:val="20"/>
        </w:rPr>
        <w:t>DoCA—Department of Communications and the Arts</w:t>
      </w:r>
    </w:p>
    <w:p w14:paraId="6360D1BD" w14:textId="77777777" w:rsidR="00B7389D" w:rsidRPr="00FD7E86" w:rsidRDefault="00B7389D" w:rsidP="00B7389D">
      <w:r w:rsidRPr="00FD7E86">
        <w:t>Since September 2015, Commonwealth department responsible for, among other things, communications policy and programs</w:t>
      </w:r>
      <w:r>
        <w:t>;</w:t>
      </w:r>
      <w:r w:rsidRPr="00FD7E86">
        <w:t xml:space="preserve"> formerly known as Department of Communications (DoC).</w:t>
      </w:r>
    </w:p>
    <w:p w14:paraId="145B2916" w14:textId="77777777" w:rsidR="00B7389D" w:rsidRPr="00FD7E86" w:rsidRDefault="00B7389D" w:rsidP="00B7389D">
      <w:pPr>
        <w:spacing w:after="0"/>
        <w:rPr>
          <w:rFonts w:cs="Arial"/>
          <w:b/>
          <w:szCs w:val="20"/>
        </w:rPr>
      </w:pPr>
      <w:r w:rsidRPr="00FD7E86">
        <w:rPr>
          <w:rFonts w:cs="Arial"/>
          <w:b/>
          <w:szCs w:val="20"/>
        </w:rPr>
        <w:t>DSI—</w:t>
      </w:r>
      <w:r w:rsidRPr="00CE3B0C">
        <w:rPr>
          <w:rFonts w:cs="Arial"/>
          <w:b/>
        </w:rPr>
        <w:t>domestic</w:t>
      </w:r>
      <w:r w:rsidRPr="00FD7E86">
        <w:rPr>
          <w:rFonts w:cs="Arial"/>
          <w:b/>
          <w:szCs w:val="20"/>
        </w:rPr>
        <w:t xml:space="preserve"> systems interference</w:t>
      </w:r>
    </w:p>
    <w:p w14:paraId="0843FA47" w14:textId="77777777" w:rsidR="00B7389D" w:rsidRPr="00FD7E86" w:rsidRDefault="00B7389D" w:rsidP="00B7389D">
      <w:pPr>
        <w:rPr>
          <w:bCs/>
        </w:rPr>
      </w:pPr>
      <w:r w:rsidRPr="00FD7E86">
        <w:rPr>
          <w:bCs/>
        </w:rPr>
        <w:t>Interference to the reception of radio or television broadcasting, usually in domestic premises.</w:t>
      </w:r>
    </w:p>
    <w:p w14:paraId="32E51BA2" w14:textId="77777777" w:rsidR="00B7389D" w:rsidRPr="00FD7E86" w:rsidRDefault="00B7389D" w:rsidP="00B7389D">
      <w:pPr>
        <w:spacing w:after="0"/>
        <w:rPr>
          <w:rFonts w:cs="Arial"/>
          <w:b/>
          <w:szCs w:val="20"/>
        </w:rPr>
      </w:pPr>
      <w:r w:rsidRPr="00FD7E86">
        <w:rPr>
          <w:rFonts w:cs="Arial"/>
          <w:b/>
          <w:szCs w:val="20"/>
        </w:rPr>
        <w:t>ECP—</w:t>
      </w:r>
      <w:r w:rsidRPr="00CE3B0C">
        <w:rPr>
          <w:rFonts w:cs="Arial"/>
          <w:b/>
        </w:rPr>
        <w:t>emergency</w:t>
      </w:r>
      <w:r w:rsidRPr="00FD7E86">
        <w:rPr>
          <w:rFonts w:cs="Arial"/>
          <w:b/>
          <w:szCs w:val="20"/>
        </w:rPr>
        <w:t xml:space="preserve"> call person</w:t>
      </w:r>
    </w:p>
    <w:p w14:paraId="1A61E547" w14:textId="77777777" w:rsidR="00B7389D" w:rsidRPr="00FD7E86" w:rsidRDefault="00B7389D" w:rsidP="00B7389D">
      <w:r w:rsidRPr="00FD7E86">
        <w:t xml:space="preserve">Nominated organisation responsible for handling emergency calls. For calls made to Triple Zero (the primary emergency call number) and 112 (the international emergency number for GSM and WCDMA mobile phones), the ECP is Telstra. For calls made to the 106 text service (for people who are </w:t>
      </w:r>
      <w:r>
        <w:t>d</w:t>
      </w:r>
      <w:r w:rsidRPr="00FD7E86">
        <w:t>eaf or have a hearing or speech impairment), the ECP is Australian Communication Exchange (ACE).</w:t>
      </w:r>
    </w:p>
    <w:p w14:paraId="38A59CF3" w14:textId="77777777" w:rsidR="00B7389D" w:rsidRPr="00FD7E86" w:rsidRDefault="00B7389D" w:rsidP="00B7389D">
      <w:pPr>
        <w:spacing w:after="0"/>
        <w:rPr>
          <w:rFonts w:cs="Arial"/>
          <w:b/>
          <w:szCs w:val="20"/>
        </w:rPr>
      </w:pPr>
      <w:r w:rsidRPr="00FD7E86">
        <w:rPr>
          <w:rFonts w:cs="Arial"/>
          <w:b/>
          <w:szCs w:val="20"/>
        </w:rPr>
        <w:t>ESO—</w:t>
      </w:r>
      <w:r w:rsidRPr="00CE3B0C">
        <w:rPr>
          <w:rFonts w:cs="Arial"/>
          <w:b/>
        </w:rPr>
        <w:t>emergency</w:t>
      </w:r>
      <w:r w:rsidRPr="00FD7E86">
        <w:rPr>
          <w:rFonts w:cs="Arial"/>
          <w:b/>
          <w:szCs w:val="20"/>
        </w:rPr>
        <w:t xml:space="preserve"> service organisation</w:t>
      </w:r>
    </w:p>
    <w:p w14:paraId="4482ED0B" w14:textId="77777777" w:rsidR="00B7389D" w:rsidRPr="00FD7E86" w:rsidRDefault="00B7389D" w:rsidP="00B7389D">
      <w:r w:rsidRPr="00FD7E86">
        <w:t>Organisation providing an emergency service—police, ambulance or fire service.</w:t>
      </w:r>
    </w:p>
    <w:p w14:paraId="6DCCA5DF" w14:textId="77777777" w:rsidR="00B7389D" w:rsidRDefault="00B7389D" w:rsidP="00B7389D">
      <w:pPr>
        <w:spacing w:after="0"/>
      </w:pPr>
      <w:r>
        <w:rPr>
          <w:rFonts w:cs="Arial"/>
          <w:b/>
          <w:szCs w:val="20"/>
        </w:rPr>
        <w:t>eVULL—</w:t>
      </w:r>
      <w:r w:rsidRPr="00B45EAC">
        <w:rPr>
          <w:b/>
        </w:rPr>
        <w:t>Enhanced Vacant Un</w:t>
      </w:r>
      <w:r>
        <w:rPr>
          <w:b/>
        </w:rPr>
        <w:t>conditioned</w:t>
      </w:r>
      <w:r w:rsidRPr="00B45EAC">
        <w:rPr>
          <w:b/>
        </w:rPr>
        <w:t xml:space="preserve"> Local Loop</w:t>
      </w:r>
    </w:p>
    <w:p w14:paraId="5F0444E9" w14:textId="7F46064F" w:rsidR="00B7389D" w:rsidRPr="009367CC" w:rsidRDefault="00783CF7" w:rsidP="00B7389D">
      <w:r>
        <w:rPr>
          <w:rFonts w:cs="Arial"/>
          <w:szCs w:val="20"/>
        </w:rPr>
        <w:t xml:space="preserve">Provisioning of an </w:t>
      </w:r>
      <w:r w:rsidR="00B7389D" w:rsidRPr="00C01693">
        <w:rPr>
          <w:rFonts w:cs="Arial"/>
          <w:szCs w:val="20"/>
        </w:rPr>
        <w:t xml:space="preserve">Unconditioned Local Loop Service (ULLS) using a vacant </w:t>
      </w:r>
      <w:r w:rsidR="00B7389D">
        <w:rPr>
          <w:rFonts w:cs="Arial"/>
          <w:szCs w:val="20"/>
        </w:rPr>
        <w:t>and intact metallic path</w:t>
      </w:r>
      <w:r w:rsidR="005856EB">
        <w:rPr>
          <w:rFonts w:cs="Arial"/>
          <w:szCs w:val="20"/>
        </w:rPr>
        <w:t>. S</w:t>
      </w:r>
      <w:r w:rsidR="009A2C04">
        <w:rPr>
          <w:rFonts w:cs="Arial"/>
          <w:szCs w:val="20"/>
        </w:rPr>
        <w:t>ee </w:t>
      </w:r>
      <w:r w:rsidR="009A2C04">
        <w:rPr>
          <w:rFonts w:cs="Arial"/>
          <w:i/>
          <w:szCs w:val="20"/>
        </w:rPr>
        <w:t>ULL.</w:t>
      </w:r>
      <w:r w:rsidR="00B7389D">
        <w:rPr>
          <w:rFonts w:cs="Arial"/>
          <w:szCs w:val="20"/>
        </w:rPr>
        <w:t xml:space="preserve"> </w:t>
      </w:r>
    </w:p>
    <w:p w14:paraId="41D483DF" w14:textId="77777777" w:rsidR="00B7389D" w:rsidRPr="00FB6FC9" w:rsidRDefault="003256D6" w:rsidP="00B72F8E">
      <w:pPr>
        <w:keepNext/>
        <w:spacing w:after="0"/>
        <w:rPr>
          <w:rFonts w:cs="Arial"/>
          <w:b/>
          <w:szCs w:val="20"/>
        </w:rPr>
      </w:pPr>
      <w:r>
        <w:rPr>
          <w:rFonts w:cs="Arial"/>
          <w:b/>
          <w:szCs w:val="20"/>
        </w:rPr>
        <w:t>e</w:t>
      </w:r>
      <w:r w:rsidR="00B7389D" w:rsidRPr="00FB6FC9">
        <w:rPr>
          <w:rFonts w:cs="Arial"/>
          <w:b/>
          <w:szCs w:val="20"/>
        </w:rPr>
        <w:t>xabyte</w:t>
      </w:r>
    </w:p>
    <w:p w14:paraId="10D3EB10" w14:textId="77777777" w:rsidR="00B7389D" w:rsidRPr="00E05072" w:rsidRDefault="00B7389D" w:rsidP="00B7389D">
      <w:r>
        <w:t>One quintilli</w:t>
      </w:r>
      <w:r w:rsidR="00701A11">
        <w:t>o</w:t>
      </w:r>
      <w:r>
        <w:t xml:space="preserve">n (one billion billion) bytes </w:t>
      </w:r>
    </w:p>
    <w:p w14:paraId="2CED919E" w14:textId="77777777" w:rsidR="00B7389D" w:rsidRPr="00FD7E86" w:rsidRDefault="00B7389D" w:rsidP="00B7389D">
      <w:pPr>
        <w:spacing w:after="0"/>
        <w:rPr>
          <w:rFonts w:cs="Arial"/>
          <w:b/>
          <w:szCs w:val="20"/>
        </w:rPr>
      </w:pPr>
      <w:r w:rsidRPr="00FD7E86">
        <w:rPr>
          <w:rFonts w:cs="Arial"/>
          <w:b/>
          <w:szCs w:val="20"/>
        </w:rPr>
        <w:t xml:space="preserve">fixed-line </w:t>
      </w:r>
      <w:r w:rsidRPr="00CE3B0C">
        <w:rPr>
          <w:rFonts w:cs="Arial"/>
          <w:b/>
        </w:rPr>
        <w:t>telephone</w:t>
      </w:r>
      <w:r w:rsidRPr="00FD7E86">
        <w:rPr>
          <w:rFonts w:cs="Arial"/>
          <w:b/>
          <w:szCs w:val="20"/>
        </w:rPr>
        <w:t xml:space="preserve"> service</w:t>
      </w:r>
    </w:p>
    <w:p w14:paraId="30F814D8" w14:textId="77777777" w:rsidR="00B7389D" w:rsidRPr="00FD7E86" w:rsidRDefault="00B7389D" w:rsidP="00B7389D">
      <w:r w:rsidRPr="00FD7E86">
        <w:t>Covers the delivery of voice services over a copper pair-based PSTN access network or fixed-line broadband networks.</w:t>
      </w:r>
      <w:r>
        <w:t xml:space="preserve"> Includes fixed VoIP services.</w:t>
      </w:r>
    </w:p>
    <w:p w14:paraId="38447005" w14:textId="77777777" w:rsidR="00B7389D" w:rsidRPr="00FD7E86" w:rsidRDefault="00B7389D" w:rsidP="00B7389D">
      <w:pPr>
        <w:spacing w:after="0"/>
        <w:rPr>
          <w:rFonts w:cs="Arial"/>
          <w:b/>
          <w:szCs w:val="20"/>
        </w:rPr>
      </w:pPr>
      <w:r w:rsidRPr="00FD7E86">
        <w:rPr>
          <w:rFonts w:cs="Arial"/>
          <w:b/>
          <w:szCs w:val="20"/>
        </w:rPr>
        <w:t>FLRN—</w:t>
      </w:r>
      <w:r w:rsidRPr="00CE3B0C">
        <w:rPr>
          <w:rFonts w:cs="Arial"/>
          <w:b/>
        </w:rPr>
        <w:t>freephone</w:t>
      </w:r>
      <w:r w:rsidRPr="00FD7E86">
        <w:rPr>
          <w:rFonts w:cs="Arial"/>
          <w:b/>
          <w:szCs w:val="20"/>
        </w:rPr>
        <w:t xml:space="preserve"> and local rate number</w:t>
      </w:r>
    </w:p>
    <w:p w14:paraId="348A4995" w14:textId="77777777" w:rsidR="00B7389D" w:rsidRPr="00FD7E86" w:rsidRDefault="00B7389D" w:rsidP="00B7389D">
      <w:r w:rsidRPr="00FD7E86">
        <w:t>Telephone numbers commencing with the digits 1800 (freephone) or 13 (local rate).</w:t>
      </w:r>
    </w:p>
    <w:p w14:paraId="3835A3D5" w14:textId="77777777" w:rsidR="00B7389D" w:rsidRPr="00FD7E86" w:rsidRDefault="00B7389D" w:rsidP="00B7389D">
      <w:pPr>
        <w:spacing w:after="0"/>
        <w:rPr>
          <w:rFonts w:cs="Arial"/>
          <w:b/>
          <w:szCs w:val="20"/>
        </w:rPr>
      </w:pPr>
      <w:r w:rsidRPr="00FD7E86">
        <w:rPr>
          <w:rFonts w:cs="Arial"/>
          <w:b/>
          <w:szCs w:val="20"/>
        </w:rPr>
        <w:t xml:space="preserve">Free TV Australia </w:t>
      </w:r>
    </w:p>
    <w:p w14:paraId="7CDAFFE3" w14:textId="77777777" w:rsidR="00B7389D" w:rsidRPr="00FD7E86" w:rsidRDefault="00B7389D" w:rsidP="00B7389D">
      <w:r w:rsidRPr="00FD7E86">
        <w:t>Industry body that represents Australia’s commercial free-to-air television licensees, and is responsible for developing and reviewing the Commercial Television Industry Code of Practice.</w:t>
      </w:r>
    </w:p>
    <w:p w14:paraId="78979BAD" w14:textId="77777777" w:rsidR="00B7389D" w:rsidRPr="00FD7E86" w:rsidRDefault="00B7389D" w:rsidP="00B7389D">
      <w:pPr>
        <w:spacing w:after="0"/>
        <w:rPr>
          <w:rFonts w:cs="Arial"/>
          <w:b/>
          <w:szCs w:val="20"/>
        </w:rPr>
      </w:pPr>
      <w:r w:rsidRPr="00FD7E86">
        <w:rPr>
          <w:rFonts w:cs="Arial"/>
          <w:b/>
          <w:szCs w:val="20"/>
        </w:rPr>
        <w:t>FSA—</w:t>
      </w:r>
      <w:r w:rsidRPr="00CE3B0C">
        <w:rPr>
          <w:rFonts w:cs="Arial"/>
          <w:b/>
        </w:rPr>
        <w:t>field</w:t>
      </w:r>
      <w:r w:rsidRPr="00FD7E86">
        <w:rPr>
          <w:rFonts w:cs="Arial"/>
          <w:b/>
          <w:szCs w:val="20"/>
        </w:rPr>
        <w:t xml:space="preserve"> service area</w:t>
      </w:r>
    </w:p>
    <w:p w14:paraId="6B3C318F" w14:textId="77777777" w:rsidR="00B7389D" w:rsidRPr="00FD7E86" w:rsidRDefault="00B7389D" w:rsidP="00B7389D">
      <w:r w:rsidRPr="00FD7E86">
        <w:t>One of 44 broad geographic regions in Telstra’s fixed telephone network.</w:t>
      </w:r>
    </w:p>
    <w:p w14:paraId="7F462292" w14:textId="77777777" w:rsidR="00B7389D" w:rsidRPr="00FD7E86" w:rsidRDefault="00B7389D" w:rsidP="00B7389D">
      <w:pPr>
        <w:spacing w:after="0"/>
        <w:rPr>
          <w:rFonts w:cs="Arial"/>
          <w:b/>
          <w:szCs w:val="20"/>
        </w:rPr>
      </w:pPr>
      <w:r w:rsidRPr="00FD7E86">
        <w:rPr>
          <w:rFonts w:cs="Arial"/>
          <w:b/>
          <w:szCs w:val="20"/>
        </w:rPr>
        <w:t>FSAM—</w:t>
      </w:r>
      <w:r w:rsidRPr="00CE3B0C">
        <w:rPr>
          <w:rFonts w:cs="Arial"/>
          <w:b/>
        </w:rPr>
        <w:t>Fibre</w:t>
      </w:r>
      <w:r w:rsidRPr="00FD7E86">
        <w:rPr>
          <w:rFonts w:cs="Arial"/>
          <w:b/>
          <w:szCs w:val="20"/>
        </w:rPr>
        <w:t xml:space="preserve"> Serving Area Module</w:t>
      </w:r>
    </w:p>
    <w:p w14:paraId="40A94355" w14:textId="77777777" w:rsidR="00B7389D" w:rsidRPr="00FD7E86" w:rsidRDefault="00B7389D" w:rsidP="00B7389D">
      <w:pPr>
        <w:rPr>
          <w:bCs/>
          <w:szCs w:val="26"/>
        </w:rPr>
      </w:pPr>
      <w:r w:rsidRPr="00FD7E86">
        <w:rPr>
          <w:bCs/>
          <w:szCs w:val="26"/>
        </w:rPr>
        <w:t xml:space="preserve">An area that is passed or intended to be passed by </w:t>
      </w:r>
      <w:r>
        <w:rPr>
          <w:bCs/>
          <w:szCs w:val="26"/>
        </w:rPr>
        <w:t>NBN</w:t>
      </w:r>
      <w:r w:rsidRPr="00FD7E86">
        <w:rPr>
          <w:bCs/>
          <w:szCs w:val="26"/>
        </w:rPr>
        <w:t xml:space="preserve"> fibre.</w:t>
      </w:r>
      <w:r w:rsidRPr="00FD7E86">
        <w:t xml:space="preserve"> From 23 May 2014, the </w:t>
      </w:r>
      <w:r>
        <w:t xml:space="preserve">NBN </w:t>
      </w:r>
      <w:r w:rsidRPr="00FD7E86">
        <w:t xml:space="preserve">began replacing most existing fixed-line telephone links, ADSL internet and Telstra cable internet services (HFC) in the first 15 </w:t>
      </w:r>
      <w:r>
        <w:t>F</w:t>
      </w:r>
      <w:r w:rsidRPr="00FD7E86">
        <w:t>ibre Serving Area Modules (SAMs).</w:t>
      </w:r>
    </w:p>
    <w:p w14:paraId="3888FD4E" w14:textId="77777777" w:rsidR="00B7389D" w:rsidRPr="00FD7E86" w:rsidRDefault="00B7389D" w:rsidP="00B7389D">
      <w:pPr>
        <w:spacing w:after="0"/>
        <w:rPr>
          <w:rFonts w:cs="Arial"/>
          <w:b/>
          <w:szCs w:val="20"/>
        </w:rPr>
      </w:pPr>
      <w:r w:rsidRPr="00FD7E86">
        <w:rPr>
          <w:rFonts w:cs="Arial"/>
          <w:b/>
          <w:szCs w:val="20"/>
        </w:rPr>
        <w:t>FTA TV—free-to-air television</w:t>
      </w:r>
    </w:p>
    <w:p w14:paraId="7A6A629D" w14:textId="77777777" w:rsidR="00B7389D" w:rsidRDefault="00B7389D" w:rsidP="00B7389D">
      <w:r w:rsidRPr="00FD7E86">
        <w:rPr>
          <w:bCs/>
        </w:rPr>
        <w:t>Broadcast t</w:t>
      </w:r>
      <w:hyperlink r:id="rId114" w:tooltip="Television" w:history="1">
        <w:r w:rsidRPr="00FD7E86">
          <w:rPr>
            <w:bCs/>
          </w:rPr>
          <w:t>elevision</w:t>
        </w:r>
      </w:hyperlink>
      <w:r w:rsidRPr="00FD7E86">
        <w:rPr>
          <w:bCs/>
        </w:rPr>
        <w:t xml:space="preserve"> services where the signal is delivered without charge to the viewer.</w:t>
      </w:r>
      <w:r w:rsidRPr="00FD7E86">
        <w:t xml:space="preserve"> </w:t>
      </w:r>
    </w:p>
    <w:p w14:paraId="5E561399" w14:textId="77777777" w:rsidR="00B7389D" w:rsidRDefault="00B7389D" w:rsidP="00B7389D">
      <w:pPr>
        <w:spacing w:after="0"/>
        <w:rPr>
          <w:b/>
          <w:bCs/>
        </w:rPr>
      </w:pPr>
      <w:r w:rsidRPr="0054217A">
        <w:rPr>
          <w:b/>
          <w:bCs/>
        </w:rPr>
        <w:t>FTTB</w:t>
      </w:r>
      <w:r w:rsidRPr="0054217A">
        <w:rPr>
          <w:rFonts w:cs="Arial"/>
          <w:b/>
          <w:szCs w:val="20"/>
        </w:rPr>
        <w:t xml:space="preserve">—fibre to the </w:t>
      </w:r>
      <w:r w:rsidRPr="00CE3B0C">
        <w:rPr>
          <w:rFonts w:cs="Arial"/>
          <w:b/>
        </w:rPr>
        <w:t>building</w:t>
      </w:r>
    </w:p>
    <w:p w14:paraId="273ACA72" w14:textId="77777777" w:rsidR="00B7389D" w:rsidRPr="0032755E" w:rsidRDefault="00B7389D" w:rsidP="00B7389D">
      <w:pPr>
        <w:rPr>
          <w:bCs/>
        </w:rPr>
      </w:pPr>
      <w:r>
        <w:rPr>
          <w:bCs/>
        </w:rPr>
        <w:t>A type of broadband access network deployment</w:t>
      </w:r>
      <w:r w:rsidRPr="0032755E">
        <w:rPr>
          <w:bCs/>
        </w:rPr>
        <w:t xml:space="preserve"> </w:t>
      </w:r>
      <w:r>
        <w:rPr>
          <w:bCs/>
        </w:rPr>
        <w:t>where</w:t>
      </w:r>
      <w:r w:rsidRPr="0032755E">
        <w:rPr>
          <w:bCs/>
        </w:rPr>
        <w:t xml:space="preserve"> optical fibre is deployed to </w:t>
      </w:r>
      <w:r>
        <w:rPr>
          <w:bCs/>
        </w:rPr>
        <w:t xml:space="preserve">a communications cabinet in the basement </w:t>
      </w:r>
      <w:r w:rsidRPr="0032755E">
        <w:rPr>
          <w:bCs/>
        </w:rPr>
        <w:t>of each building</w:t>
      </w:r>
      <w:r>
        <w:rPr>
          <w:bCs/>
        </w:rPr>
        <w:t>, which is typically a multi-dwelling unit. The final connection to each individual premises within the building is made by alternative technologies, typically using the building’s existing copper cabling.</w:t>
      </w:r>
    </w:p>
    <w:p w14:paraId="1575468B" w14:textId="77777777" w:rsidR="00B7389D" w:rsidRDefault="00B7389D" w:rsidP="00B7389D">
      <w:pPr>
        <w:spacing w:after="0"/>
        <w:rPr>
          <w:b/>
          <w:bCs/>
        </w:rPr>
      </w:pPr>
      <w:r w:rsidRPr="0054217A">
        <w:rPr>
          <w:b/>
          <w:bCs/>
        </w:rPr>
        <w:t>FTTDp</w:t>
      </w:r>
      <w:r w:rsidRPr="0054217A">
        <w:rPr>
          <w:rFonts w:cs="Arial"/>
          <w:b/>
          <w:szCs w:val="20"/>
        </w:rPr>
        <w:t xml:space="preserve">—fibre to the </w:t>
      </w:r>
      <w:r w:rsidRPr="00CE3B0C">
        <w:rPr>
          <w:rFonts w:cs="Arial"/>
          <w:b/>
        </w:rPr>
        <w:t>distribution</w:t>
      </w:r>
      <w:r w:rsidRPr="0054217A">
        <w:rPr>
          <w:rFonts w:cs="Arial"/>
          <w:b/>
          <w:szCs w:val="20"/>
        </w:rPr>
        <w:t xml:space="preserve"> point</w:t>
      </w:r>
    </w:p>
    <w:p w14:paraId="4F1FEEC7" w14:textId="77777777" w:rsidR="00B7389D" w:rsidRPr="001741D6" w:rsidRDefault="00B7389D" w:rsidP="00B7389D">
      <w:pPr>
        <w:rPr>
          <w:bCs/>
        </w:rPr>
      </w:pPr>
      <w:r w:rsidRPr="001741D6">
        <w:rPr>
          <w:bCs/>
        </w:rPr>
        <w:t xml:space="preserve">A type of </w:t>
      </w:r>
      <w:r>
        <w:rPr>
          <w:bCs/>
        </w:rPr>
        <w:t>broadband access network deployment</w:t>
      </w:r>
      <w:r w:rsidRPr="001741D6">
        <w:rPr>
          <w:bCs/>
        </w:rPr>
        <w:t xml:space="preserve"> where the optic</w:t>
      </w:r>
      <w:r>
        <w:rPr>
          <w:bCs/>
        </w:rPr>
        <w:t>al</w:t>
      </w:r>
      <w:r w:rsidRPr="001741D6">
        <w:rPr>
          <w:bCs/>
        </w:rPr>
        <w:t xml:space="preserve"> fibre line typically runs to a distribution point </w:t>
      </w:r>
      <w:r>
        <w:rPr>
          <w:bCs/>
        </w:rPr>
        <w:t xml:space="preserve">located </w:t>
      </w:r>
      <w:r w:rsidRPr="001741D6">
        <w:rPr>
          <w:bCs/>
        </w:rPr>
        <w:t xml:space="preserve">at the </w:t>
      </w:r>
      <w:r>
        <w:rPr>
          <w:bCs/>
        </w:rPr>
        <w:t xml:space="preserve">street lead-in pit </w:t>
      </w:r>
      <w:r w:rsidRPr="001741D6">
        <w:rPr>
          <w:bCs/>
        </w:rPr>
        <w:t xml:space="preserve">of </w:t>
      </w:r>
      <w:r>
        <w:rPr>
          <w:bCs/>
        </w:rPr>
        <w:t xml:space="preserve">a small number of </w:t>
      </w:r>
      <w:r w:rsidRPr="001741D6">
        <w:rPr>
          <w:bCs/>
        </w:rPr>
        <w:t>end-user premises</w:t>
      </w:r>
      <w:r>
        <w:rPr>
          <w:bCs/>
        </w:rPr>
        <w:t xml:space="preserve"> (typically four)</w:t>
      </w:r>
      <w:r w:rsidRPr="001741D6">
        <w:rPr>
          <w:bCs/>
        </w:rPr>
        <w:t xml:space="preserve">. </w:t>
      </w:r>
      <w:r>
        <w:rPr>
          <w:bCs/>
        </w:rPr>
        <w:t xml:space="preserve">From this distribution point, the final connection to each of the individual premises is provided by existing copper lead-ins. </w:t>
      </w:r>
    </w:p>
    <w:p w14:paraId="17182F8C" w14:textId="77777777" w:rsidR="00B7389D" w:rsidRDefault="00B7389D" w:rsidP="00B7389D">
      <w:pPr>
        <w:spacing w:after="0"/>
        <w:rPr>
          <w:b/>
          <w:bCs/>
        </w:rPr>
      </w:pPr>
      <w:r w:rsidRPr="0054217A">
        <w:rPr>
          <w:rFonts w:cs="Arial"/>
          <w:b/>
          <w:szCs w:val="20"/>
        </w:rPr>
        <w:t xml:space="preserve">FTTN—fibre to </w:t>
      </w:r>
      <w:r w:rsidRPr="00CE3B0C">
        <w:rPr>
          <w:rFonts w:cs="Arial"/>
          <w:b/>
        </w:rPr>
        <w:t>the</w:t>
      </w:r>
      <w:r w:rsidRPr="0054217A">
        <w:rPr>
          <w:rFonts w:cs="Arial"/>
          <w:b/>
          <w:szCs w:val="20"/>
        </w:rPr>
        <w:t xml:space="preserve"> node</w:t>
      </w:r>
    </w:p>
    <w:p w14:paraId="15E4CCE1" w14:textId="77777777" w:rsidR="00B7389D" w:rsidRDefault="00B7389D" w:rsidP="00B7389D">
      <w:pPr>
        <w:rPr>
          <w:b/>
          <w:bCs/>
        </w:rPr>
      </w:pPr>
      <w:r w:rsidRPr="00681BAE">
        <w:rPr>
          <w:bCs/>
        </w:rPr>
        <w:t>A type</w:t>
      </w:r>
      <w:r>
        <w:rPr>
          <w:bCs/>
        </w:rPr>
        <w:t xml:space="preserve"> of broadband access network deployment where the optical fibre line runs to a node (cabinet) located in the street. From this street cabinet, individual premises are connected via existing copper cabling networks. </w:t>
      </w:r>
    </w:p>
    <w:p w14:paraId="05947E00" w14:textId="77777777" w:rsidR="00B7389D" w:rsidRDefault="00B7389D" w:rsidP="00B7389D">
      <w:pPr>
        <w:spacing w:after="0"/>
        <w:rPr>
          <w:rFonts w:cs="Arial"/>
          <w:b/>
          <w:szCs w:val="20"/>
        </w:rPr>
      </w:pPr>
      <w:r w:rsidRPr="0054217A">
        <w:rPr>
          <w:b/>
          <w:bCs/>
        </w:rPr>
        <w:t>FTTP</w:t>
      </w:r>
      <w:r w:rsidRPr="0054217A">
        <w:rPr>
          <w:rFonts w:cs="Arial"/>
          <w:b/>
          <w:szCs w:val="20"/>
        </w:rPr>
        <w:t>—fibre to the premises</w:t>
      </w:r>
    </w:p>
    <w:p w14:paraId="2CB28A90" w14:textId="77777777" w:rsidR="00B7389D" w:rsidRPr="00B43D37" w:rsidRDefault="00B7389D" w:rsidP="00B7389D">
      <w:pPr>
        <w:rPr>
          <w:bCs/>
        </w:rPr>
      </w:pPr>
      <w:r w:rsidRPr="00B43D37">
        <w:rPr>
          <w:bCs/>
        </w:rPr>
        <w:t xml:space="preserve">A type of </w:t>
      </w:r>
      <w:r>
        <w:rPr>
          <w:bCs/>
        </w:rPr>
        <w:t>broadband access network deployment where the optical fibre line extends</w:t>
      </w:r>
      <w:r w:rsidRPr="00B43D37">
        <w:rPr>
          <w:bCs/>
        </w:rPr>
        <w:t xml:space="preserve"> directly to individual premises. </w:t>
      </w:r>
      <w:r>
        <w:rPr>
          <w:bCs/>
        </w:rPr>
        <w:t xml:space="preserve">Compared to other fibre-optic connections types, this type of connection results in the fibre-optic line running as close as possible to the end-user and subsequently results in the least reliance on existing copper cabling networks. </w:t>
      </w:r>
    </w:p>
    <w:p w14:paraId="587A7181" w14:textId="77777777" w:rsidR="00B7389D" w:rsidRPr="00FD7E86" w:rsidRDefault="00B7389D" w:rsidP="00B7389D">
      <w:pPr>
        <w:spacing w:after="0"/>
        <w:rPr>
          <w:rFonts w:cs="Arial"/>
          <w:b/>
          <w:szCs w:val="20"/>
        </w:rPr>
      </w:pPr>
      <w:r w:rsidRPr="00FD7E86">
        <w:rPr>
          <w:rFonts w:cs="Arial"/>
          <w:b/>
          <w:szCs w:val="20"/>
        </w:rPr>
        <w:t>GB—</w:t>
      </w:r>
      <w:r w:rsidRPr="00CE3B0C">
        <w:rPr>
          <w:rFonts w:cs="Arial"/>
          <w:b/>
        </w:rPr>
        <w:t>gigabyte</w:t>
      </w:r>
    </w:p>
    <w:p w14:paraId="6C614EBB" w14:textId="77777777" w:rsidR="00B7389D" w:rsidRPr="00FD7E86" w:rsidRDefault="00B7389D" w:rsidP="00B7389D">
      <w:r w:rsidRPr="00FD7E86">
        <w:t>One billion bytes. Each byte is eight bits.</w:t>
      </w:r>
    </w:p>
    <w:p w14:paraId="6C165936" w14:textId="2A14D435" w:rsidR="00B7389D" w:rsidRPr="00FD7E86" w:rsidRDefault="005120ED" w:rsidP="00B7389D">
      <w:pPr>
        <w:spacing w:after="0"/>
        <w:rPr>
          <w:rFonts w:cs="Arial"/>
          <w:b/>
          <w:szCs w:val="20"/>
        </w:rPr>
      </w:pPr>
      <w:r>
        <w:rPr>
          <w:rFonts w:cs="Arial"/>
          <w:b/>
          <w:szCs w:val="20"/>
        </w:rPr>
        <w:t>Gbps</w:t>
      </w:r>
      <w:r w:rsidR="00B7389D" w:rsidRPr="00FD7E86">
        <w:rPr>
          <w:rFonts w:cs="Arial"/>
          <w:b/>
          <w:szCs w:val="20"/>
        </w:rPr>
        <w:t>—</w:t>
      </w:r>
      <w:r w:rsidR="00B7389D" w:rsidRPr="00CE3B0C">
        <w:rPr>
          <w:rFonts w:cs="Arial"/>
          <w:b/>
        </w:rPr>
        <w:t>gigabits</w:t>
      </w:r>
      <w:r w:rsidR="00B7389D" w:rsidRPr="00FD7E86">
        <w:rPr>
          <w:rFonts w:cs="Arial"/>
          <w:b/>
          <w:szCs w:val="20"/>
        </w:rPr>
        <w:t xml:space="preserve"> per second</w:t>
      </w:r>
    </w:p>
    <w:p w14:paraId="3069616F" w14:textId="7C1DB517" w:rsidR="00B7389D" w:rsidRPr="00FD7E86" w:rsidRDefault="00B7389D" w:rsidP="00B7389D">
      <w:r w:rsidRPr="00FD7E86">
        <w:t xml:space="preserve">Data transfer rate of a billion bits per second. </w:t>
      </w:r>
    </w:p>
    <w:p w14:paraId="55CB99B1" w14:textId="77777777" w:rsidR="00B7389D" w:rsidRPr="00FD7E86" w:rsidRDefault="00B7389D" w:rsidP="00B7389D">
      <w:pPr>
        <w:spacing w:after="0"/>
        <w:rPr>
          <w:rFonts w:cs="Arial"/>
          <w:b/>
          <w:szCs w:val="20"/>
        </w:rPr>
      </w:pPr>
      <w:r w:rsidRPr="00FD7E86">
        <w:rPr>
          <w:rFonts w:cs="Arial"/>
          <w:b/>
          <w:szCs w:val="20"/>
        </w:rPr>
        <w:t xml:space="preserve">geographic </w:t>
      </w:r>
      <w:r w:rsidRPr="00CE3B0C">
        <w:rPr>
          <w:rFonts w:cs="Arial"/>
          <w:b/>
        </w:rPr>
        <w:t>numbers</w:t>
      </w:r>
    </w:p>
    <w:p w14:paraId="7ED4083E" w14:textId="77777777" w:rsidR="00B7389D" w:rsidRPr="00FD7E86" w:rsidRDefault="00B7389D" w:rsidP="00B7389D">
      <w:r w:rsidRPr="00FD7E86">
        <w:t>Numbers used to provide access to local telephone services</w:t>
      </w:r>
      <w:r>
        <w:t>,</w:t>
      </w:r>
      <w:r w:rsidRPr="00FD7E86">
        <w:t xml:space="preserve"> and related voicemail and facsimile services. Also known as local numbers.</w:t>
      </w:r>
    </w:p>
    <w:p w14:paraId="274D36C6" w14:textId="77777777" w:rsidR="00B7389D" w:rsidRPr="00FD7E86" w:rsidRDefault="00B7389D" w:rsidP="00B7389D">
      <w:pPr>
        <w:spacing w:after="0"/>
        <w:rPr>
          <w:rFonts w:cs="Arial"/>
          <w:b/>
          <w:szCs w:val="20"/>
        </w:rPr>
      </w:pPr>
      <w:r w:rsidRPr="00FD7E86">
        <w:rPr>
          <w:rFonts w:cs="Arial"/>
          <w:b/>
          <w:szCs w:val="20"/>
        </w:rPr>
        <w:t xml:space="preserve">GSM—global </w:t>
      </w:r>
      <w:r w:rsidRPr="00CE3B0C">
        <w:rPr>
          <w:rFonts w:cs="Arial"/>
          <w:b/>
        </w:rPr>
        <w:t>system</w:t>
      </w:r>
      <w:r w:rsidRPr="00FD7E86">
        <w:rPr>
          <w:rFonts w:cs="Arial"/>
          <w:b/>
          <w:szCs w:val="20"/>
        </w:rPr>
        <w:t xml:space="preserve"> for mobile communications</w:t>
      </w:r>
    </w:p>
    <w:p w14:paraId="583B1455" w14:textId="77777777" w:rsidR="00B7389D" w:rsidRPr="00FD7E86" w:rsidRDefault="00B7389D" w:rsidP="00B7389D">
      <w:r w:rsidRPr="00FD7E86">
        <w:t>The second</w:t>
      </w:r>
      <w:r w:rsidR="003256D6">
        <w:t>-</w:t>
      </w:r>
      <w:r w:rsidRPr="00FD7E86">
        <w:t>generation mobile digital technology originally developed for Europe, but now used globally.</w:t>
      </w:r>
      <w:r>
        <w:t xml:space="preserve"> </w:t>
      </w:r>
      <w:r>
        <w:rPr>
          <w:lang w:val="en"/>
        </w:rPr>
        <w:t>The GSM network will cease to operate in Australia from 31 March 2018.</w:t>
      </w:r>
    </w:p>
    <w:p w14:paraId="6D87E8E0" w14:textId="77777777" w:rsidR="00B7389D" w:rsidRPr="00FD7E86" w:rsidRDefault="00B7389D" w:rsidP="00B7389D">
      <w:pPr>
        <w:spacing w:after="0"/>
        <w:rPr>
          <w:rFonts w:cs="Arial"/>
          <w:b/>
          <w:szCs w:val="20"/>
        </w:rPr>
      </w:pPr>
      <w:r w:rsidRPr="00FD7E86">
        <w:rPr>
          <w:rFonts w:cs="Arial"/>
          <w:b/>
          <w:szCs w:val="20"/>
        </w:rPr>
        <w:t xml:space="preserve">interception </w:t>
      </w:r>
    </w:p>
    <w:p w14:paraId="11FDDE13" w14:textId="77777777" w:rsidR="00B7389D" w:rsidRPr="00FD7E86" w:rsidRDefault="00B7389D" w:rsidP="00B7389D">
      <w:r w:rsidRPr="00FD7E86">
        <w:t>The interception of telecommunications services for the purpose of law enforcement and national security.</w:t>
      </w:r>
    </w:p>
    <w:p w14:paraId="533D4CC1" w14:textId="77777777" w:rsidR="00B7389D" w:rsidRPr="00FD7E86" w:rsidRDefault="00B7389D" w:rsidP="00B7389D">
      <w:pPr>
        <w:spacing w:after="0"/>
        <w:rPr>
          <w:rFonts w:cs="Arial"/>
          <w:b/>
          <w:szCs w:val="20"/>
        </w:rPr>
      </w:pPr>
      <w:r w:rsidRPr="00FD7E86">
        <w:rPr>
          <w:rFonts w:cs="Arial"/>
          <w:b/>
          <w:szCs w:val="20"/>
        </w:rPr>
        <w:t xml:space="preserve">internet </w:t>
      </w:r>
      <w:r w:rsidRPr="00CE3B0C">
        <w:rPr>
          <w:rFonts w:cs="Arial"/>
          <w:b/>
        </w:rPr>
        <w:t>telephony</w:t>
      </w:r>
      <w:r w:rsidRPr="00FD7E86">
        <w:rPr>
          <w:rFonts w:cs="Arial"/>
          <w:b/>
          <w:szCs w:val="20"/>
        </w:rPr>
        <w:t xml:space="preserve"> </w:t>
      </w:r>
    </w:p>
    <w:p w14:paraId="71B65762" w14:textId="77777777" w:rsidR="00B7389D" w:rsidRPr="00FD7E86" w:rsidRDefault="00B7389D" w:rsidP="00B7389D">
      <w:pPr>
        <w:rPr>
          <w:bCs/>
        </w:rPr>
      </w:pPr>
      <w:r w:rsidRPr="00FD7E86">
        <w:rPr>
          <w:bCs/>
        </w:rPr>
        <w:t>See</w:t>
      </w:r>
      <w:r w:rsidRPr="00FD7E86">
        <w:rPr>
          <w:b/>
          <w:bCs/>
        </w:rPr>
        <w:t xml:space="preserve"> </w:t>
      </w:r>
      <w:r w:rsidRPr="00B72F8E">
        <w:rPr>
          <w:bCs/>
          <w:i/>
        </w:rPr>
        <w:t>VoIP</w:t>
      </w:r>
      <w:r w:rsidRPr="00FD7E86">
        <w:rPr>
          <w:bCs/>
        </w:rPr>
        <w:t>.</w:t>
      </w:r>
    </w:p>
    <w:p w14:paraId="7B43518B" w14:textId="77777777" w:rsidR="00B7389D" w:rsidRPr="00EA149D" w:rsidRDefault="00B7389D" w:rsidP="00B7389D">
      <w:pPr>
        <w:spacing w:after="0"/>
        <w:rPr>
          <w:rFonts w:cs="Arial"/>
          <w:b/>
          <w:szCs w:val="20"/>
        </w:rPr>
      </w:pPr>
      <w:r w:rsidRPr="008D65AA">
        <w:rPr>
          <w:rFonts w:cs="Arial"/>
          <w:b/>
          <w:szCs w:val="20"/>
        </w:rPr>
        <w:t>IoT</w:t>
      </w:r>
      <w:r w:rsidRPr="00EA149D">
        <w:rPr>
          <w:rFonts w:cs="Arial"/>
          <w:b/>
          <w:szCs w:val="20"/>
        </w:rPr>
        <w:t>—</w:t>
      </w:r>
      <w:r>
        <w:rPr>
          <w:rFonts w:cs="Arial"/>
          <w:b/>
          <w:szCs w:val="20"/>
        </w:rPr>
        <w:t>Internet of things</w:t>
      </w:r>
    </w:p>
    <w:p w14:paraId="609C46F1" w14:textId="77777777" w:rsidR="00B7389D" w:rsidRPr="008D65AA" w:rsidRDefault="00B7389D" w:rsidP="00B7389D">
      <w:pPr>
        <w:rPr>
          <w:rFonts w:cs="Arial"/>
          <w:szCs w:val="20"/>
        </w:rPr>
      </w:pPr>
      <w:r>
        <w:rPr>
          <w:rFonts w:cs="Arial"/>
          <w:szCs w:val="20"/>
        </w:rPr>
        <w:t xml:space="preserve">The </w:t>
      </w:r>
      <w:r w:rsidRPr="00841849">
        <w:t>inter</w:t>
      </w:r>
      <w:r>
        <w:rPr>
          <w:rFonts w:cs="Arial"/>
          <w:szCs w:val="20"/>
        </w:rPr>
        <w:t xml:space="preserve">connection of many devices and objects utilising internet protocols. </w:t>
      </w:r>
    </w:p>
    <w:p w14:paraId="665A78B8" w14:textId="77777777" w:rsidR="00B7389D" w:rsidRPr="00FD7E86" w:rsidRDefault="00B7389D" w:rsidP="00B7389D">
      <w:pPr>
        <w:spacing w:after="0"/>
        <w:rPr>
          <w:rFonts w:cs="Arial"/>
          <w:b/>
          <w:szCs w:val="20"/>
        </w:rPr>
      </w:pPr>
      <w:r w:rsidRPr="00FD7E86">
        <w:rPr>
          <w:rFonts w:cs="Arial"/>
          <w:b/>
          <w:szCs w:val="20"/>
        </w:rPr>
        <w:t xml:space="preserve">IP—internet </w:t>
      </w:r>
      <w:r w:rsidRPr="00CE3B0C">
        <w:rPr>
          <w:rFonts w:cs="Arial"/>
          <w:b/>
        </w:rPr>
        <w:t>protocol</w:t>
      </w:r>
    </w:p>
    <w:p w14:paraId="37D61DA2" w14:textId="77777777" w:rsidR="00B7389D" w:rsidRPr="00FD7E86" w:rsidRDefault="00B7389D" w:rsidP="00B7389D">
      <w:r w:rsidRPr="00FD7E86">
        <w:t xml:space="preserve">The main routing protocol used in the internet—it operates at the logical network layer and is a code used to label packets of data sent across the internet, identifying both the sending and receiving hosts. IP is also used to designate data, traffic, services and equipment supported by or used in the internet. </w:t>
      </w:r>
    </w:p>
    <w:p w14:paraId="2C3BB42F" w14:textId="77777777" w:rsidR="00B7389D" w:rsidRPr="00FD7E86" w:rsidRDefault="00B7389D" w:rsidP="00B7389D">
      <w:pPr>
        <w:spacing w:after="0"/>
        <w:rPr>
          <w:rFonts w:cs="Arial"/>
          <w:b/>
          <w:szCs w:val="20"/>
        </w:rPr>
      </w:pPr>
      <w:r w:rsidRPr="00FD7E86">
        <w:rPr>
          <w:rFonts w:cs="Arial"/>
          <w:b/>
          <w:szCs w:val="20"/>
        </w:rPr>
        <w:t>IPND—</w:t>
      </w:r>
      <w:r w:rsidRPr="00CE3B0C">
        <w:rPr>
          <w:rFonts w:cs="Arial"/>
          <w:b/>
        </w:rPr>
        <w:t>Integrated</w:t>
      </w:r>
      <w:r w:rsidRPr="00FD7E86">
        <w:rPr>
          <w:rFonts w:cs="Arial"/>
          <w:b/>
          <w:szCs w:val="20"/>
        </w:rPr>
        <w:t xml:space="preserve"> Public Number Database</w:t>
      </w:r>
    </w:p>
    <w:p w14:paraId="097C2ADF" w14:textId="77777777" w:rsidR="00B7389D" w:rsidRPr="00FD7E86" w:rsidRDefault="00B7389D" w:rsidP="00B7389D">
      <w:r w:rsidRPr="00FD7E86">
        <w:t>Database of number, name and address information about customers of telecommunications services in Australia, for all carriers and CSPs.</w:t>
      </w:r>
    </w:p>
    <w:p w14:paraId="7B855E89" w14:textId="77777777" w:rsidR="00B7389D" w:rsidRPr="00FD7E86" w:rsidRDefault="00B7389D" w:rsidP="00B7389D">
      <w:pPr>
        <w:spacing w:after="0"/>
        <w:rPr>
          <w:rFonts w:cs="Arial"/>
          <w:b/>
          <w:szCs w:val="20"/>
        </w:rPr>
      </w:pPr>
      <w:r w:rsidRPr="00FD7E86">
        <w:rPr>
          <w:rFonts w:cs="Arial"/>
          <w:b/>
          <w:szCs w:val="20"/>
        </w:rPr>
        <w:t>IPTV—</w:t>
      </w:r>
      <w:r w:rsidRPr="00CE3B0C">
        <w:rPr>
          <w:rFonts w:cs="Arial"/>
          <w:b/>
        </w:rPr>
        <w:t>internet</w:t>
      </w:r>
      <w:r w:rsidRPr="00FD7E86">
        <w:rPr>
          <w:rFonts w:cs="Arial"/>
          <w:b/>
          <w:szCs w:val="20"/>
        </w:rPr>
        <w:t xml:space="preserve"> protocol television</w:t>
      </w:r>
    </w:p>
    <w:p w14:paraId="4688B072" w14:textId="77777777" w:rsidR="00B7389D" w:rsidRPr="00FD7E86" w:rsidRDefault="00B7389D" w:rsidP="00B7389D">
      <w:r w:rsidRPr="00FD7E86">
        <w:t>High-end multimedia services such as television, video and graphics delivered over managed IP-based networks that provide an acceptable level of Quality of Service (QoS)/Quality of Experience (QoE), security, interactivity and reliability.</w:t>
      </w:r>
    </w:p>
    <w:p w14:paraId="04E5D6DD" w14:textId="77777777" w:rsidR="00B7389D" w:rsidRPr="00FD7E86" w:rsidRDefault="00B7389D" w:rsidP="00B7389D">
      <w:pPr>
        <w:spacing w:after="0"/>
        <w:rPr>
          <w:rFonts w:cs="Arial"/>
          <w:b/>
          <w:szCs w:val="20"/>
        </w:rPr>
      </w:pPr>
      <w:r w:rsidRPr="00FD7E86">
        <w:rPr>
          <w:rFonts w:cs="Arial"/>
          <w:b/>
          <w:szCs w:val="20"/>
        </w:rPr>
        <w:t>ISDN—</w:t>
      </w:r>
      <w:r w:rsidRPr="00CE3B0C">
        <w:rPr>
          <w:rFonts w:cs="Arial"/>
          <w:b/>
        </w:rPr>
        <w:t>integrated</w:t>
      </w:r>
      <w:r w:rsidRPr="00FD7E86">
        <w:rPr>
          <w:rFonts w:cs="Arial"/>
          <w:b/>
          <w:szCs w:val="20"/>
        </w:rPr>
        <w:t xml:space="preserve"> services digital network</w:t>
      </w:r>
    </w:p>
    <w:p w14:paraId="0070A0C6" w14:textId="77777777" w:rsidR="00B7389D" w:rsidRPr="00FD7E86" w:rsidRDefault="00B7389D" w:rsidP="00B7389D">
      <w:r w:rsidRPr="00FD7E86">
        <w:t>A high-speed network for carrying voice and data services in digital format over the PSTN. Can be considered an evolutionary step between dial-up and today’s broadband internet services.</w:t>
      </w:r>
    </w:p>
    <w:p w14:paraId="7BD48027" w14:textId="77777777" w:rsidR="00B7389D" w:rsidRPr="00FD7E86" w:rsidRDefault="00B7389D" w:rsidP="00B7389D">
      <w:pPr>
        <w:spacing w:after="0"/>
        <w:rPr>
          <w:rFonts w:cs="Arial"/>
          <w:b/>
          <w:szCs w:val="20"/>
        </w:rPr>
      </w:pPr>
      <w:r w:rsidRPr="00FD7E86">
        <w:rPr>
          <w:rFonts w:cs="Arial"/>
          <w:b/>
          <w:szCs w:val="20"/>
        </w:rPr>
        <w:t xml:space="preserve">ISP—internet </w:t>
      </w:r>
      <w:r w:rsidRPr="00CE3B0C">
        <w:rPr>
          <w:rFonts w:cs="Arial"/>
          <w:b/>
        </w:rPr>
        <w:t>service</w:t>
      </w:r>
      <w:r w:rsidRPr="00FD7E86">
        <w:rPr>
          <w:rFonts w:cs="Arial"/>
          <w:b/>
          <w:szCs w:val="20"/>
        </w:rPr>
        <w:t xml:space="preserve"> provider</w:t>
      </w:r>
    </w:p>
    <w:p w14:paraId="2245492A" w14:textId="77777777" w:rsidR="00B7389D" w:rsidRPr="00FD7E86" w:rsidRDefault="00B7389D" w:rsidP="00B7389D">
      <w:r w:rsidRPr="00FD7E86">
        <w:t xml:space="preserve">A </w:t>
      </w:r>
      <w:r>
        <w:t>carriage service provider</w:t>
      </w:r>
      <w:r w:rsidRPr="00FD7E86">
        <w:t xml:space="preserve"> offering internet access to the public or another service provider.</w:t>
      </w:r>
    </w:p>
    <w:p w14:paraId="31B74775" w14:textId="77777777" w:rsidR="00B7389D" w:rsidRPr="00FD7E86" w:rsidRDefault="00B7389D" w:rsidP="00B7389D">
      <w:pPr>
        <w:spacing w:after="0"/>
        <w:rPr>
          <w:rFonts w:cs="Arial"/>
          <w:b/>
          <w:szCs w:val="20"/>
        </w:rPr>
      </w:pPr>
      <w:r w:rsidRPr="00FD7E86">
        <w:rPr>
          <w:rFonts w:cs="Arial"/>
          <w:b/>
          <w:szCs w:val="20"/>
        </w:rPr>
        <w:t xml:space="preserve">local </w:t>
      </w:r>
      <w:r w:rsidRPr="00CE3B0C">
        <w:rPr>
          <w:rFonts w:cs="Arial"/>
          <w:b/>
        </w:rPr>
        <w:t>numbers</w:t>
      </w:r>
      <w:r w:rsidRPr="00FD7E86">
        <w:rPr>
          <w:rFonts w:cs="Arial"/>
          <w:b/>
          <w:szCs w:val="20"/>
        </w:rPr>
        <w:t xml:space="preserve"> </w:t>
      </w:r>
    </w:p>
    <w:p w14:paraId="5F3D2493" w14:textId="77777777" w:rsidR="00B7389D" w:rsidRPr="00FD7E86" w:rsidRDefault="00B7389D" w:rsidP="00B7389D">
      <w:r w:rsidRPr="00FD7E86">
        <w:t xml:space="preserve">See </w:t>
      </w:r>
      <w:r w:rsidRPr="0028421A">
        <w:rPr>
          <w:i/>
        </w:rPr>
        <w:t>geographic numbers</w:t>
      </w:r>
      <w:r w:rsidRPr="00FD7E86">
        <w:t>.</w:t>
      </w:r>
    </w:p>
    <w:p w14:paraId="47B109C6" w14:textId="77777777" w:rsidR="00B7389D" w:rsidRPr="00FD7E86" w:rsidRDefault="00B7389D" w:rsidP="00B7389D">
      <w:pPr>
        <w:spacing w:after="0"/>
        <w:rPr>
          <w:rFonts w:cs="Arial"/>
          <w:b/>
          <w:szCs w:val="20"/>
        </w:rPr>
      </w:pPr>
      <w:r w:rsidRPr="00FD7E86">
        <w:rPr>
          <w:rFonts w:cs="Arial"/>
          <w:b/>
          <w:szCs w:val="20"/>
        </w:rPr>
        <w:t>low-</w:t>
      </w:r>
      <w:r w:rsidRPr="00CE3B0C">
        <w:rPr>
          <w:rFonts w:cs="Arial"/>
          <w:b/>
        </w:rPr>
        <w:t>impact</w:t>
      </w:r>
      <w:r w:rsidRPr="00FD7E86">
        <w:rPr>
          <w:rFonts w:cs="Arial"/>
          <w:b/>
          <w:szCs w:val="20"/>
        </w:rPr>
        <w:t xml:space="preserve"> facilities </w:t>
      </w:r>
    </w:p>
    <w:p w14:paraId="6DD0B9C2" w14:textId="77777777" w:rsidR="00B7389D" w:rsidRPr="00FD7E86" w:rsidRDefault="00B7389D" w:rsidP="00B7389D">
      <w:r w:rsidRPr="00FD7E86">
        <w:t xml:space="preserve">Communications facilities that are considered to have a low impact on their environment. They include underground cabling, small radiocommunications antennas and dishes, in-building subscriber connections and public payphones. The </w:t>
      </w:r>
      <w:r w:rsidRPr="00FD7E86">
        <w:rPr>
          <w:i/>
          <w:iCs/>
        </w:rPr>
        <w:t xml:space="preserve">Telecommunications Act 1997 </w:t>
      </w:r>
      <w:r w:rsidRPr="00FD7E86">
        <w:t>provides carriers with immunity from state and territory planning laws for the installation of ‘low-impact’ facilities.</w:t>
      </w:r>
    </w:p>
    <w:p w14:paraId="7B733698" w14:textId="77777777" w:rsidR="00B7389D" w:rsidRPr="00FD7E86" w:rsidRDefault="00B7389D" w:rsidP="00B7389D">
      <w:pPr>
        <w:spacing w:after="0"/>
        <w:rPr>
          <w:rFonts w:cs="Arial"/>
          <w:b/>
          <w:szCs w:val="20"/>
        </w:rPr>
      </w:pPr>
      <w:r w:rsidRPr="00FD7E86">
        <w:rPr>
          <w:rFonts w:cs="Arial"/>
          <w:b/>
          <w:szCs w:val="20"/>
        </w:rPr>
        <w:t>LTE—</w:t>
      </w:r>
      <w:r w:rsidRPr="00CE3B0C">
        <w:rPr>
          <w:rFonts w:cs="Arial"/>
          <w:b/>
        </w:rPr>
        <w:t>Long</w:t>
      </w:r>
      <w:r w:rsidRPr="00FD7E86">
        <w:rPr>
          <w:rFonts w:cs="Arial"/>
          <w:b/>
          <w:szCs w:val="20"/>
        </w:rPr>
        <w:t xml:space="preserve"> Term Evolution</w:t>
      </w:r>
    </w:p>
    <w:p w14:paraId="0E024D73" w14:textId="77777777" w:rsidR="00B7389D" w:rsidRDefault="00B7389D" w:rsidP="00B7389D">
      <w:r w:rsidRPr="00FD7E86">
        <w:t xml:space="preserve">A suite of radio and core network specifications for the enhancement of mobile networks beyond 3G capabilities. Generally regarded as </w:t>
      </w:r>
      <w:r w:rsidRPr="0028421A">
        <w:rPr>
          <w:rFonts w:cs="Arial"/>
          <w:i/>
        </w:rPr>
        <w:t>fourth generation mobile telecommunications (4G)</w:t>
      </w:r>
      <w:r w:rsidRPr="0028421A">
        <w:rPr>
          <w:i/>
        </w:rPr>
        <w:t>.</w:t>
      </w:r>
      <w:r w:rsidRPr="00FD7E86">
        <w:t xml:space="preserve"> </w:t>
      </w:r>
    </w:p>
    <w:p w14:paraId="0961DB5E" w14:textId="77777777" w:rsidR="00B7389D" w:rsidRPr="00FD7E86" w:rsidRDefault="00B7389D" w:rsidP="0028421A">
      <w:pPr>
        <w:keepNext/>
        <w:spacing w:after="0"/>
        <w:rPr>
          <w:rFonts w:cs="Arial"/>
          <w:b/>
          <w:szCs w:val="20"/>
        </w:rPr>
      </w:pPr>
      <w:r w:rsidRPr="0054217A">
        <w:rPr>
          <w:rFonts w:cs="Arial"/>
          <w:b/>
          <w:szCs w:val="20"/>
        </w:rPr>
        <w:t>LTE-B—Long Term Evolution Broadcast</w:t>
      </w:r>
    </w:p>
    <w:p w14:paraId="0A296D88" w14:textId="77777777" w:rsidR="00B7389D" w:rsidRPr="00FD7E86" w:rsidRDefault="00B7389D" w:rsidP="00B7389D">
      <w:r>
        <w:t xml:space="preserve">A technique of efficiently distributing the same content over the LTE network to multiple users. Rather than individual users downloading their own stream of data, the technique allows content to be provided to multiple users via a single stream of data, thus reducing data demands on networks. </w:t>
      </w:r>
    </w:p>
    <w:p w14:paraId="725BBFB6" w14:textId="77777777" w:rsidR="00B7389D" w:rsidRPr="00FD7E86" w:rsidRDefault="00B7389D" w:rsidP="0028421A">
      <w:pPr>
        <w:keepNext/>
        <w:spacing w:after="0"/>
        <w:rPr>
          <w:rFonts w:cs="Arial"/>
          <w:b/>
          <w:szCs w:val="20"/>
        </w:rPr>
      </w:pPr>
      <w:r w:rsidRPr="00FD7E86">
        <w:rPr>
          <w:rFonts w:cs="Arial"/>
          <w:b/>
          <w:szCs w:val="20"/>
        </w:rPr>
        <w:t>M2M—</w:t>
      </w:r>
      <w:r w:rsidRPr="00CE3B0C">
        <w:rPr>
          <w:rFonts w:cs="Arial"/>
          <w:b/>
        </w:rPr>
        <w:t>machine</w:t>
      </w:r>
      <w:r w:rsidRPr="00FD7E86">
        <w:rPr>
          <w:rFonts w:cs="Arial"/>
          <w:b/>
          <w:szCs w:val="20"/>
        </w:rPr>
        <w:t>-to-machine</w:t>
      </w:r>
    </w:p>
    <w:p w14:paraId="44D6A9FE" w14:textId="77777777" w:rsidR="00B7389D" w:rsidRPr="00FD7E86" w:rsidRDefault="00B7389D" w:rsidP="00B7389D">
      <w:pPr>
        <w:rPr>
          <w:iCs/>
          <w:szCs w:val="20"/>
        </w:rPr>
      </w:pPr>
      <w:r w:rsidRPr="00FD7E86">
        <w:rPr>
          <w:iCs/>
          <w:szCs w:val="20"/>
        </w:rPr>
        <w:t xml:space="preserve">M2M communications </w:t>
      </w:r>
      <w:r w:rsidR="003256D6">
        <w:rPr>
          <w:iCs/>
          <w:szCs w:val="20"/>
        </w:rPr>
        <w:t>are</w:t>
      </w:r>
      <w:r w:rsidR="003256D6" w:rsidRPr="00FD7E86">
        <w:rPr>
          <w:iCs/>
          <w:szCs w:val="20"/>
        </w:rPr>
        <w:t xml:space="preserve"> </w:t>
      </w:r>
      <w:r w:rsidRPr="00FD7E86">
        <w:rPr>
          <w:iCs/>
          <w:szCs w:val="20"/>
        </w:rPr>
        <w:t xml:space="preserve">used for automated data transmission and measurement between mechanical or electronic devices using wired and wireless networks. Much of the </w:t>
      </w:r>
      <w:r w:rsidRPr="00FC4F68">
        <w:rPr>
          <w:bCs/>
          <w:iCs/>
          <w:szCs w:val="20"/>
        </w:rPr>
        <w:t>M2M</w:t>
      </w:r>
      <w:r w:rsidRPr="00FD7E86">
        <w:rPr>
          <w:iCs/>
          <w:szCs w:val="20"/>
        </w:rPr>
        <w:t xml:space="preserve"> information is delivered in the form of sparse data, which can come from sensors and other non-IT devices.</w:t>
      </w:r>
      <w:r w:rsidRPr="00FD7E86" w:rsidDel="00A334B7">
        <w:rPr>
          <w:iCs/>
          <w:szCs w:val="20"/>
        </w:rPr>
        <w:t xml:space="preserve"> </w:t>
      </w:r>
    </w:p>
    <w:p w14:paraId="7A445F4B" w14:textId="77777777" w:rsidR="00B7389D" w:rsidRPr="00FD7E86" w:rsidRDefault="00B7389D" w:rsidP="00B7389D">
      <w:pPr>
        <w:spacing w:after="0"/>
        <w:rPr>
          <w:rFonts w:cs="Arial"/>
          <w:b/>
          <w:szCs w:val="20"/>
        </w:rPr>
      </w:pPr>
      <w:r w:rsidRPr="00FD7E86">
        <w:rPr>
          <w:rFonts w:cs="Arial"/>
          <w:b/>
          <w:szCs w:val="20"/>
        </w:rPr>
        <w:t>MB—</w:t>
      </w:r>
      <w:r w:rsidRPr="00CE3B0C">
        <w:rPr>
          <w:rFonts w:cs="Arial"/>
          <w:b/>
        </w:rPr>
        <w:t>megabyte</w:t>
      </w:r>
      <w:r w:rsidRPr="00FD7E86">
        <w:rPr>
          <w:rFonts w:cs="Arial"/>
          <w:b/>
          <w:szCs w:val="20"/>
        </w:rPr>
        <w:t>(s)</w:t>
      </w:r>
    </w:p>
    <w:p w14:paraId="2C08C146" w14:textId="77777777" w:rsidR="00B7389D" w:rsidRDefault="00B7389D" w:rsidP="00B7389D">
      <w:r w:rsidRPr="00FD7E86">
        <w:t xml:space="preserve">One million bytes. </w:t>
      </w:r>
    </w:p>
    <w:p w14:paraId="0C501BDD" w14:textId="77777777" w:rsidR="00B7389D" w:rsidRPr="00FD7E86" w:rsidRDefault="00B7389D" w:rsidP="00B7389D">
      <w:pPr>
        <w:spacing w:after="0"/>
        <w:rPr>
          <w:rFonts w:cs="Arial"/>
          <w:b/>
          <w:szCs w:val="20"/>
        </w:rPr>
      </w:pPr>
      <w:r w:rsidRPr="00FD7E86">
        <w:rPr>
          <w:rFonts w:cs="Arial"/>
          <w:b/>
          <w:szCs w:val="20"/>
        </w:rPr>
        <w:t>MHz—</w:t>
      </w:r>
      <w:r w:rsidRPr="00CE3B0C">
        <w:rPr>
          <w:rFonts w:cs="Arial"/>
          <w:b/>
        </w:rPr>
        <w:t>megahertz</w:t>
      </w:r>
    </w:p>
    <w:p w14:paraId="7849931F" w14:textId="77777777" w:rsidR="00B7389D" w:rsidRPr="00FD7E86" w:rsidRDefault="00B7389D" w:rsidP="00B7389D">
      <w:r w:rsidRPr="00FD7E86">
        <w:t xml:space="preserve">One million </w:t>
      </w:r>
      <w:r>
        <w:t>h</w:t>
      </w:r>
      <w:r w:rsidRPr="00FD7E86">
        <w:t xml:space="preserve">ertz. </w:t>
      </w:r>
    </w:p>
    <w:p w14:paraId="399E020D" w14:textId="77777777" w:rsidR="00B7389D" w:rsidRPr="00B7264D" w:rsidRDefault="00B7389D" w:rsidP="00B7389D">
      <w:pPr>
        <w:spacing w:after="0"/>
        <w:rPr>
          <w:b/>
        </w:rPr>
      </w:pPr>
      <w:r w:rsidRPr="00981A3A">
        <w:rPr>
          <w:b/>
        </w:rPr>
        <w:t xml:space="preserve">minister—Minister for </w:t>
      </w:r>
      <w:r w:rsidRPr="00B7264D">
        <w:rPr>
          <w:b/>
        </w:rPr>
        <w:t xml:space="preserve">Communications and </w:t>
      </w:r>
      <w:r w:rsidR="003256D6">
        <w:rPr>
          <w:b/>
        </w:rPr>
        <w:t xml:space="preserve">Minister for </w:t>
      </w:r>
      <w:r w:rsidRPr="00B7264D">
        <w:rPr>
          <w:b/>
        </w:rPr>
        <w:t>the Arts</w:t>
      </w:r>
    </w:p>
    <w:p w14:paraId="7DC174E0" w14:textId="77777777" w:rsidR="00B7389D" w:rsidRPr="00FD7E86" w:rsidRDefault="00B7389D" w:rsidP="00B7389D">
      <w:r w:rsidRPr="00FD7E86">
        <w:t>Minister responsible for the ACMA and its governing legislation, and the legislation that the ACMA administers</w:t>
      </w:r>
      <w:r>
        <w:t>.</w:t>
      </w:r>
    </w:p>
    <w:p w14:paraId="01ADB282" w14:textId="77777777" w:rsidR="00B7389D" w:rsidRPr="00FD7E86" w:rsidRDefault="00B7389D" w:rsidP="00B7389D">
      <w:pPr>
        <w:spacing w:after="0"/>
        <w:rPr>
          <w:rFonts w:cs="Arial"/>
          <w:b/>
          <w:szCs w:val="20"/>
        </w:rPr>
      </w:pPr>
      <w:r w:rsidRPr="00FD7E86">
        <w:rPr>
          <w:rFonts w:cs="Arial"/>
          <w:b/>
          <w:szCs w:val="20"/>
        </w:rPr>
        <w:t xml:space="preserve">MPS—mobile premium </w:t>
      </w:r>
      <w:r w:rsidRPr="00CE3B0C">
        <w:rPr>
          <w:rFonts w:cs="Arial"/>
          <w:b/>
        </w:rPr>
        <w:t>services</w:t>
      </w:r>
    </w:p>
    <w:p w14:paraId="7FA5E5E3" w14:textId="77777777" w:rsidR="00B7389D" w:rsidRDefault="00B7389D" w:rsidP="00B7389D">
      <w:r w:rsidRPr="00FD7E86">
        <w:t>Content information and entertainment services delivered to a mobile phone that includes both premium SMS/</w:t>
      </w:r>
      <w:r w:rsidRPr="00A10050">
        <w:t>MMS and mobile portal services.</w:t>
      </w:r>
    </w:p>
    <w:p w14:paraId="1A712C4E" w14:textId="77777777" w:rsidR="00B7389D" w:rsidRDefault="00B7389D" w:rsidP="00B7389D">
      <w:pPr>
        <w:spacing w:after="0"/>
        <w:rPr>
          <w:rFonts w:cs="Arial"/>
          <w:b/>
          <w:szCs w:val="20"/>
        </w:rPr>
      </w:pPr>
      <w:r w:rsidRPr="006B5870">
        <w:rPr>
          <w:b/>
        </w:rPr>
        <w:t>MVNO</w:t>
      </w:r>
      <w:r w:rsidRPr="008A3E5E">
        <w:rPr>
          <w:rFonts w:cs="Arial"/>
          <w:b/>
          <w:szCs w:val="20"/>
        </w:rPr>
        <w:t>—</w:t>
      </w:r>
      <w:r>
        <w:rPr>
          <w:rFonts w:cs="Arial"/>
          <w:b/>
          <w:szCs w:val="20"/>
        </w:rPr>
        <w:t xml:space="preserve">mobile virtual network operator </w:t>
      </w:r>
    </w:p>
    <w:p w14:paraId="02BD7A0A" w14:textId="77777777" w:rsidR="00B7389D" w:rsidRPr="00252C76" w:rsidRDefault="00B7389D" w:rsidP="00B7389D">
      <w:r>
        <w:t xml:space="preserve">A mobile service operator that does not have its own licensed spectrum and does not </w:t>
      </w:r>
      <w:r w:rsidRPr="0028421A">
        <w:t>own the wireless network infrastructure over which it provides services to its customers</w:t>
      </w:r>
      <w:r w:rsidRPr="00252C76">
        <w:t>.</w:t>
      </w:r>
    </w:p>
    <w:p w14:paraId="39FF92F9" w14:textId="3C6CEF79" w:rsidR="00B7389D" w:rsidRPr="00A10050" w:rsidRDefault="003256D6" w:rsidP="00B7389D">
      <w:pPr>
        <w:spacing w:after="0"/>
        <w:rPr>
          <w:rFonts w:cs="Arial"/>
          <w:b/>
          <w:szCs w:val="20"/>
        </w:rPr>
      </w:pPr>
      <w:r>
        <w:rPr>
          <w:rFonts w:cs="Arial"/>
          <w:b/>
          <w:szCs w:val="20"/>
        </w:rPr>
        <w:t>NBN Co</w:t>
      </w:r>
      <w:r w:rsidR="00B7389D" w:rsidRPr="00A10050">
        <w:rPr>
          <w:rFonts w:cs="Arial"/>
          <w:b/>
          <w:szCs w:val="20"/>
        </w:rPr>
        <w:t xml:space="preserve">—NBN Co </w:t>
      </w:r>
      <w:r w:rsidR="00B7389D" w:rsidRPr="00A10050">
        <w:rPr>
          <w:rFonts w:cs="Arial"/>
          <w:b/>
        </w:rPr>
        <w:t>Limited</w:t>
      </w:r>
    </w:p>
    <w:p w14:paraId="1CB61CEC" w14:textId="67111DD8" w:rsidR="00B7389D" w:rsidRPr="00A10050" w:rsidRDefault="00B7389D" w:rsidP="00B7389D">
      <w:pPr>
        <w:rPr>
          <w:b/>
          <w:bCs/>
          <w:szCs w:val="26"/>
        </w:rPr>
      </w:pPr>
      <w:r w:rsidRPr="00A10050">
        <w:rPr>
          <w:bCs/>
          <w:szCs w:val="26"/>
        </w:rPr>
        <w:t xml:space="preserve">The company </w:t>
      </w:r>
      <w:r w:rsidRPr="00A10050">
        <w:t>established</w:t>
      </w:r>
      <w:r w:rsidRPr="00A10050">
        <w:rPr>
          <w:bCs/>
          <w:szCs w:val="26"/>
        </w:rPr>
        <w:t xml:space="preserve"> to design, build and operate the </w:t>
      </w:r>
      <w:r w:rsidR="00803702">
        <w:rPr>
          <w:bCs/>
          <w:szCs w:val="26"/>
        </w:rPr>
        <w:t>N</w:t>
      </w:r>
      <w:r w:rsidRPr="00A10050">
        <w:rPr>
          <w:bCs/>
          <w:szCs w:val="26"/>
        </w:rPr>
        <w:t xml:space="preserve">ational </w:t>
      </w:r>
      <w:r w:rsidR="00803702">
        <w:rPr>
          <w:bCs/>
          <w:szCs w:val="26"/>
        </w:rPr>
        <w:t>B</w:t>
      </w:r>
      <w:r w:rsidRPr="00A10050">
        <w:rPr>
          <w:bCs/>
          <w:szCs w:val="26"/>
        </w:rPr>
        <w:t xml:space="preserve">roadband </w:t>
      </w:r>
      <w:r w:rsidR="00803702">
        <w:rPr>
          <w:bCs/>
          <w:szCs w:val="26"/>
        </w:rPr>
        <w:t>N</w:t>
      </w:r>
      <w:r w:rsidRPr="00A10050">
        <w:rPr>
          <w:bCs/>
          <w:szCs w:val="26"/>
        </w:rPr>
        <w:t>etwork.</w:t>
      </w:r>
    </w:p>
    <w:p w14:paraId="118058A3" w14:textId="5E2ACB90" w:rsidR="00B7389D" w:rsidRPr="00A10050" w:rsidRDefault="00B7389D" w:rsidP="00B7389D">
      <w:pPr>
        <w:spacing w:after="0"/>
        <w:rPr>
          <w:rFonts w:cs="Arial"/>
          <w:b/>
          <w:szCs w:val="20"/>
        </w:rPr>
      </w:pPr>
      <w:r>
        <w:rPr>
          <w:rFonts w:cs="Arial"/>
          <w:b/>
          <w:szCs w:val="20"/>
        </w:rPr>
        <w:t>NBN</w:t>
      </w:r>
      <w:r w:rsidRPr="00A10050">
        <w:rPr>
          <w:rFonts w:cs="Arial"/>
          <w:b/>
          <w:szCs w:val="20"/>
        </w:rPr>
        <w:t>—</w:t>
      </w:r>
      <w:r w:rsidR="00803702">
        <w:rPr>
          <w:rFonts w:cs="Arial"/>
          <w:b/>
        </w:rPr>
        <w:t>N</w:t>
      </w:r>
      <w:r w:rsidRPr="00A10050">
        <w:rPr>
          <w:rFonts w:cs="Arial"/>
          <w:b/>
        </w:rPr>
        <w:t>ational</w:t>
      </w:r>
      <w:r w:rsidRPr="00A10050">
        <w:rPr>
          <w:rFonts w:cs="Arial"/>
          <w:b/>
          <w:szCs w:val="20"/>
        </w:rPr>
        <w:t xml:space="preserve"> </w:t>
      </w:r>
      <w:r w:rsidR="00803702">
        <w:rPr>
          <w:rFonts w:cs="Arial"/>
          <w:b/>
          <w:szCs w:val="20"/>
        </w:rPr>
        <w:t>B</w:t>
      </w:r>
      <w:r w:rsidRPr="00A10050">
        <w:rPr>
          <w:rFonts w:cs="Arial"/>
          <w:b/>
          <w:szCs w:val="20"/>
        </w:rPr>
        <w:t xml:space="preserve">roadband </w:t>
      </w:r>
      <w:r w:rsidR="00803702">
        <w:rPr>
          <w:rFonts w:cs="Arial"/>
          <w:b/>
          <w:szCs w:val="20"/>
        </w:rPr>
        <w:t>N</w:t>
      </w:r>
      <w:r w:rsidRPr="00A10050">
        <w:rPr>
          <w:rFonts w:cs="Arial"/>
          <w:b/>
          <w:szCs w:val="20"/>
        </w:rPr>
        <w:t>etwork</w:t>
      </w:r>
    </w:p>
    <w:p w14:paraId="03D522F6" w14:textId="3A2BC8A7" w:rsidR="00B7389D" w:rsidRDefault="00B7389D" w:rsidP="00B7389D">
      <w:r w:rsidRPr="00A10050">
        <w:t>The national wholesale-only open access data network in Australia offering high-speed broadband to all Australian premises using a multi-technology mix constructed by NBN Co Limited.</w:t>
      </w:r>
    </w:p>
    <w:p w14:paraId="22AADE42" w14:textId="77777777" w:rsidR="00B7389D" w:rsidRDefault="00B7389D" w:rsidP="00B7389D">
      <w:pPr>
        <w:spacing w:after="0"/>
        <w:rPr>
          <w:rFonts w:cs="Arial"/>
          <w:b/>
          <w:szCs w:val="20"/>
        </w:rPr>
      </w:pPr>
      <w:r w:rsidRPr="0054217A">
        <w:rPr>
          <w:b/>
        </w:rPr>
        <w:t>NB-IOT</w:t>
      </w:r>
      <w:r w:rsidRPr="0054217A">
        <w:rPr>
          <w:rFonts w:cs="Arial"/>
          <w:b/>
          <w:szCs w:val="20"/>
        </w:rPr>
        <w:t>—</w:t>
      </w:r>
      <w:r w:rsidRPr="00CE3B0C">
        <w:rPr>
          <w:rFonts w:cs="Arial"/>
          <w:b/>
        </w:rPr>
        <w:t>Narrowband</w:t>
      </w:r>
      <w:r w:rsidRPr="0054217A">
        <w:rPr>
          <w:rFonts w:cs="Arial"/>
          <w:b/>
          <w:szCs w:val="20"/>
        </w:rPr>
        <w:t xml:space="preserve"> </w:t>
      </w:r>
      <w:r>
        <w:rPr>
          <w:rFonts w:cs="Arial"/>
          <w:b/>
          <w:szCs w:val="20"/>
        </w:rPr>
        <w:t xml:space="preserve">Internet of </w:t>
      </w:r>
      <w:r w:rsidR="003256D6">
        <w:rPr>
          <w:rFonts w:cs="Arial"/>
          <w:b/>
          <w:szCs w:val="20"/>
        </w:rPr>
        <w:t>T</w:t>
      </w:r>
      <w:r>
        <w:rPr>
          <w:rFonts w:cs="Arial"/>
          <w:b/>
          <w:szCs w:val="20"/>
        </w:rPr>
        <w:t>hings</w:t>
      </w:r>
    </w:p>
    <w:p w14:paraId="101D47DF" w14:textId="77777777" w:rsidR="00B7389D" w:rsidRPr="00FD7E86" w:rsidRDefault="00B7389D" w:rsidP="00B7389D">
      <w:r>
        <w:t xml:space="preserve">A narrowband radio technology designed for the Internet of </w:t>
      </w:r>
      <w:r w:rsidR="003256D6">
        <w:t>T</w:t>
      </w:r>
      <w:r>
        <w:t xml:space="preserve">hings. NB-IOT technology is intended for applications that require a large number of devices that are low cost and have a long battery life. </w:t>
      </w:r>
    </w:p>
    <w:p w14:paraId="4E5AEAD6" w14:textId="77777777" w:rsidR="00B7389D" w:rsidRPr="00FD7E86" w:rsidRDefault="00B7389D" w:rsidP="00B7389D">
      <w:pPr>
        <w:spacing w:after="0"/>
        <w:rPr>
          <w:rFonts w:cs="Arial"/>
          <w:b/>
          <w:szCs w:val="20"/>
        </w:rPr>
      </w:pPr>
      <w:r w:rsidRPr="00FD7E86">
        <w:rPr>
          <w:rFonts w:cs="Arial"/>
          <w:b/>
          <w:szCs w:val="20"/>
        </w:rPr>
        <w:t xml:space="preserve">NCD—nominated </w:t>
      </w:r>
      <w:r w:rsidRPr="00CE3B0C">
        <w:rPr>
          <w:rFonts w:cs="Arial"/>
          <w:b/>
        </w:rPr>
        <w:t>carrier</w:t>
      </w:r>
      <w:r w:rsidRPr="00FD7E86">
        <w:rPr>
          <w:rFonts w:cs="Arial"/>
          <w:b/>
          <w:szCs w:val="20"/>
        </w:rPr>
        <w:t xml:space="preserve"> declaration</w:t>
      </w:r>
    </w:p>
    <w:p w14:paraId="10EFEFC2" w14:textId="77777777" w:rsidR="00B7389D" w:rsidRDefault="00B7389D" w:rsidP="00B7389D">
      <w:r w:rsidRPr="00FD7E86">
        <w:t>Declaration made by the owner of a telecommunications network unit (facilities or infrastructure for delivery of telecommunications services) nominating a licensed carrier that will be responsible for the specified network unit.</w:t>
      </w:r>
    </w:p>
    <w:p w14:paraId="5FCD9B0C" w14:textId="77777777" w:rsidR="00B7389D" w:rsidRPr="000507EB" w:rsidRDefault="00B7389D" w:rsidP="00B7389D">
      <w:pPr>
        <w:spacing w:after="0"/>
        <w:rPr>
          <w:rFonts w:cs="Arial"/>
          <w:b/>
          <w:szCs w:val="20"/>
        </w:rPr>
      </w:pPr>
      <w:r w:rsidRPr="000507EB">
        <w:rPr>
          <w:rFonts w:cs="Arial"/>
          <w:b/>
          <w:szCs w:val="20"/>
        </w:rPr>
        <w:t>NQCSP—Not a QCSP</w:t>
      </w:r>
    </w:p>
    <w:p w14:paraId="6DC216B0" w14:textId="77777777" w:rsidR="00B7389D" w:rsidRPr="000507EB" w:rsidRDefault="00B7389D" w:rsidP="00B7389D">
      <w:r>
        <w:t xml:space="preserve">See </w:t>
      </w:r>
      <w:r w:rsidRPr="0028421A">
        <w:rPr>
          <w:i/>
        </w:rPr>
        <w:t>QCSP—</w:t>
      </w:r>
      <w:r w:rsidR="002227EE">
        <w:rPr>
          <w:i/>
        </w:rPr>
        <w:t>q</w:t>
      </w:r>
      <w:r w:rsidRPr="0028421A">
        <w:rPr>
          <w:i/>
        </w:rPr>
        <w:t xml:space="preserve">ualifying </w:t>
      </w:r>
      <w:r w:rsidR="002227EE">
        <w:rPr>
          <w:i/>
        </w:rPr>
        <w:t>c</w:t>
      </w:r>
      <w:r w:rsidRPr="0028421A">
        <w:rPr>
          <w:i/>
        </w:rPr>
        <w:t xml:space="preserve">arriage </w:t>
      </w:r>
      <w:r w:rsidR="002227EE">
        <w:rPr>
          <w:i/>
        </w:rPr>
        <w:t>s</w:t>
      </w:r>
      <w:r w:rsidRPr="0028421A">
        <w:rPr>
          <w:i/>
        </w:rPr>
        <w:t xml:space="preserve">ervice </w:t>
      </w:r>
      <w:r w:rsidR="002227EE">
        <w:rPr>
          <w:i/>
        </w:rPr>
        <w:t>p</w:t>
      </w:r>
      <w:r w:rsidRPr="0028421A">
        <w:rPr>
          <w:i/>
        </w:rPr>
        <w:t>rovider</w:t>
      </w:r>
      <w:r>
        <w:t>.</w:t>
      </w:r>
    </w:p>
    <w:p w14:paraId="49ED5D64" w14:textId="77777777" w:rsidR="00B7389D" w:rsidRPr="00FD7E86" w:rsidRDefault="00B7389D" w:rsidP="00B7389D">
      <w:pPr>
        <w:spacing w:after="0"/>
        <w:rPr>
          <w:rFonts w:cs="Arial"/>
          <w:b/>
          <w:szCs w:val="20"/>
        </w:rPr>
      </w:pPr>
      <w:r w:rsidRPr="00FD7E86">
        <w:rPr>
          <w:rFonts w:cs="Arial"/>
          <w:b/>
          <w:szCs w:val="20"/>
        </w:rPr>
        <w:t xml:space="preserve">NRF—Network </w:t>
      </w:r>
      <w:r w:rsidRPr="00CE3B0C">
        <w:rPr>
          <w:rFonts w:cs="Arial"/>
          <w:b/>
        </w:rPr>
        <w:t>Reliability</w:t>
      </w:r>
      <w:r w:rsidRPr="00FD7E86">
        <w:rPr>
          <w:rFonts w:cs="Arial"/>
          <w:b/>
          <w:szCs w:val="20"/>
        </w:rPr>
        <w:t xml:space="preserve"> Framework</w:t>
      </w:r>
    </w:p>
    <w:p w14:paraId="32249E1F" w14:textId="77777777" w:rsidR="00B7389D" w:rsidRPr="00FD7E86" w:rsidRDefault="00B7389D" w:rsidP="00B7389D">
      <w:r w:rsidRPr="00FD7E86">
        <w:t>Requirement on Telstra (since January 2003) to provide regular reports to the ACMA on the reliability of its fixed-line services, and to remediate the network in areas with particularly poor performance.</w:t>
      </w:r>
    </w:p>
    <w:p w14:paraId="41D2C81B" w14:textId="77777777" w:rsidR="00B7389D" w:rsidRPr="00FD7E86" w:rsidRDefault="00B7389D" w:rsidP="005856EB">
      <w:pPr>
        <w:keepNext/>
        <w:spacing w:after="0"/>
        <w:rPr>
          <w:rFonts w:cs="Arial"/>
          <w:b/>
          <w:szCs w:val="20"/>
        </w:rPr>
      </w:pPr>
      <w:r w:rsidRPr="00FD7E86">
        <w:rPr>
          <w:rFonts w:cs="Arial"/>
          <w:b/>
          <w:szCs w:val="20"/>
        </w:rPr>
        <w:t>NRS—</w:t>
      </w:r>
      <w:r w:rsidRPr="00CE3B0C">
        <w:rPr>
          <w:rFonts w:cs="Arial"/>
          <w:b/>
        </w:rPr>
        <w:t>National</w:t>
      </w:r>
      <w:r w:rsidRPr="00FD7E86">
        <w:rPr>
          <w:rFonts w:cs="Arial"/>
          <w:b/>
          <w:szCs w:val="20"/>
        </w:rPr>
        <w:t xml:space="preserve"> Relay Service</w:t>
      </w:r>
    </w:p>
    <w:p w14:paraId="4E537A2A" w14:textId="77777777" w:rsidR="00B7389D" w:rsidRPr="00FD7E86" w:rsidRDefault="00B7389D" w:rsidP="00B7389D">
      <w:r w:rsidRPr="00FD7E86">
        <w:t xml:space="preserve">Provides access to the standard telephone service for people with a hearing or speech impairment through the relay of voice, modem or TTY communications. Operates as a translation service between voice and non-voice users of the standard telephone service. </w:t>
      </w:r>
    </w:p>
    <w:p w14:paraId="73828C99" w14:textId="77777777" w:rsidR="00B7389D" w:rsidRPr="00FD7E86" w:rsidRDefault="00B7389D" w:rsidP="0028421A">
      <w:pPr>
        <w:keepNext/>
        <w:spacing w:after="0"/>
        <w:rPr>
          <w:rFonts w:cs="Arial"/>
          <w:b/>
          <w:szCs w:val="20"/>
        </w:rPr>
      </w:pPr>
      <w:r w:rsidRPr="00FD7E86">
        <w:rPr>
          <w:rFonts w:cs="Arial"/>
          <w:b/>
          <w:szCs w:val="20"/>
        </w:rPr>
        <w:t xml:space="preserve">number </w:t>
      </w:r>
      <w:r w:rsidRPr="00CE3B0C">
        <w:rPr>
          <w:rFonts w:cs="Arial"/>
          <w:b/>
        </w:rPr>
        <w:t>portability</w:t>
      </w:r>
      <w:r w:rsidRPr="00FD7E86">
        <w:rPr>
          <w:rFonts w:cs="Arial"/>
          <w:b/>
          <w:szCs w:val="20"/>
        </w:rPr>
        <w:t xml:space="preserve"> </w:t>
      </w:r>
    </w:p>
    <w:p w14:paraId="7258C6A2" w14:textId="77777777" w:rsidR="00B7389D" w:rsidRPr="00FD7E86" w:rsidRDefault="00B7389D" w:rsidP="00B7389D">
      <w:r w:rsidRPr="00FD7E86">
        <w:t>Arrangements allowing customers to transfer their telecommunications service from one service provider to another without changing their number. Number portability is available for local numbers, freephone and local rate numbers, and mobile numbers.</w:t>
      </w:r>
    </w:p>
    <w:p w14:paraId="52C93B32" w14:textId="77777777" w:rsidR="00B7389D" w:rsidRPr="00FD7E86" w:rsidRDefault="00B7389D" w:rsidP="0028421A">
      <w:pPr>
        <w:keepNext/>
        <w:spacing w:after="0"/>
        <w:rPr>
          <w:rFonts w:cs="Arial"/>
          <w:b/>
          <w:szCs w:val="20"/>
        </w:rPr>
      </w:pPr>
      <w:r w:rsidRPr="00FD7E86">
        <w:rPr>
          <w:rFonts w:cs="Arial"/>
          <w:b/>
          <w:szCs w:val="20"/>
        </w:rPr>
        <w:t>OTT—over-</w:t>
      </w:r>
      <w:r w:rsidRPr="00CE3B0C">
        <w:rPr>
          <w:rFonts w:cs="Arial"/>
          <w:b/>
        </w:rPr>
        <w:t>the</w:t>
      </w:r>
      <w:r w:rsidRPr="00FD7E86">
        <w:rPr>
          <w:rFonts w:cs="Arial"/>
          <w:b/>
          <w:szCs w:val="20"/>
        </w:rPr>
        <w:t>-top services</w:t>
      </w:r>
    </w:p>
    <w:p w14:paraId="0CF0E13B" w14:textId="77777777" w:rsidR="00B7389D" w:rsidRPr="00FD7E86" w:rsidRDefault="00B7389D" w:rsidP="00B7389D">
      <w:pPr>
        <w:autoSpaceDE w:val="0"/>
        <w:autoSpaceDN w:val="0"/>
        <w:adjustRightInd w:val="0"/>
        <w:spacing w:line="240" w:lineRule="auto"/>
      </w:pPr>
      <w:r w:rsidRPr="00FD7E86">
        <w:t xml:space="preserve">A general term for services delivered over a network that are not offered by that </w:t>
      </w:r>
      <w:r w:rsidRPr="002B4947">
        <w:t>network operator</w:t>
      </w:r>
      <w:r w:rsidRPr="00FD7E86">
        <w:t xml:space="preserve">. These services ride on top of the infrastructure service and are provided independently of the </w:t>
      </w:r>
      <w:r w:rsidRPr="002B4947">
        <w:t>network operator</w:t>
      </w:r>
      <w:r w:rsidRPr="00FD7E86">
        <w:t xml:space="preserve">. </w:t>
      </w:r>
    </w:p>
    <w:p w14:paraId="0FFD55C6" w14:textId="77777777" w:rsidR="00B7389D" w:rsidRPr="00FD7E86" w:rsidRDefault="00B7389D" w:rsidP="00B7389D">
      <w:pPr>
        <w:spacing w:after="0"/>
        <w:rPr>
          <w:rFonts w:cs="Arial"/>
          <w:b/>
          <w:szCs w:val="20"/>
        </w:rPr>
      </w:pPr>
      <w:r w:rsidRPr="00FD7E86">
        <w:rPr>
          <w:rFonts w:cs="Arial"/>
          <w:b/>
          <w:szCs w:val="20"/>
        </w:rPr>
        <w:t xml:space="preserve">pay TV </w:t>
      </w:r>
    </w:p>
    <w:p w14:paraId="04D04F65" w14:textId="77777777" w:rsidR="00B7389D" w:rsidRPr="00FD7E86" w:rsidRDefault="00B7389D" w:rsidP="00B7389D">
      <w:r w:rsidRPr="00FD7E86">
        <w:t xml:space="preserve">See </w:t>
      </w:r>
      <w:r w:rsidRPr="0028421A">
        <w:rPr>
          <w:i/>
        </w:rPr>
        <w:t>subscription television</w:t>
      </w:r>
      <w:r w:rsidRPr="00FD7E86">
        <w:t>.</w:t>
      </w:r>
    </w:p>
    <w:p w14:paraId="46828D96" w14:textId="77777777" w:rsidR="00B7389D" w:rsidRPr="00FD7E86" w:rsidRDefault="00B7389D" w:rsidP="00B7389D">
      <w:pPr>
        <w:spacing w:after="0"/>
        <w:rPr>
          <w:rFonts w:cs="Arial"/>
          <w:b/>
          <w:szCs w:val="20"/>
        </w:rPr>
      </w:pPr>
      <w:r w:rsidRPr="00CE3B0C">
        <w:rPr>
          <w:rFonts w:cs="Arial"/>
          <w:b/>
        </w:rPr>
        <w:t>payphone</w:t>
      </w:r>
      <w:r w:rsidRPr="00FD7E86">
        <w:rPr>
          <w:rFonts w:cs="Arial"/>
          <w:b/>
          <w:szCs w:val="20"/>
        </w:rPr>
        <w:t xml:space="preserve"> </w:t>
      </w:r>
    </w:p>
    <w:p w14:paraId="197EA0AA" w14:textId="122F7704" w:rsidR="00B7389D" w:rsidRPr="00FD7E86" w:rsidRDefault="00B7389D" w:rsidP="00B7389D">
      <w:r w:rsidRPr="00FD7E86">
        <w:t>A public telephone where calls may be paid for with coins, phone cards, credit cards or reverse charge</w:t>
      </w:r>
      <w:r w:rsidR="00470388">
        <w:t> </w:t>
      </w:r>
      <w:r w:rsidRPr="00FD7E86">
        <w:t>facilities.</w:t>
      </w:r>
    </w:p>
    <w:p w14:paraId="29E66630" w14:textId="77777777" w:rsidR="00B7389D" w:rsidRPr="006B78C4" w:rsidRDefault="003256D6" w:rsidP="00B7389D">
      <w:pPr>
        <w:spacing w:after="0"/>
        <w:rPr>
          <w:rFonts w:cs="Arial"/>
          <w:b/>
          <w:szCs w:val="20"/>
        </w:rPr>
      </w:pPr>
      <w:r>
        <w:rPr>
          <w:rFonts w:cs="Arial"/>
          <w:b/>
          <w:szCs w:val="20"/>
        </w:rPr>
        <w:t>p</w:t>
      </w:r>
      <w:r w:rsidR="00B7389D" w:rsidRPr="006B78C4">
        <w:rPr>
          <w:rFonts w:cs="Arial"/>
          <w:b/>
          <w:szCs w:val="20"/>
        </w:rPr>
        <w:t>etabyte</w:t>
      </w:r>
    </w:p>
    <w:p w14:paraId="06EAFD68" w14:textId="77777777" w:rsidR="00B7389D" w:rsidRPr="00342484" w:rsidRDefault="00B7389D" w:rsidP="00B7389D">
      <w:r w:rsidRPr="00342484">
        <w:t>A unit of information equal to one thousand million million bytes</w:t>
      </w:r>
      <w:r w:rsidR="005117AC">
        <w:t>.</w:t>
      </w:r>
    </w:p>
    <w:p w14:paraId="00083A94" w14:textId="77777777" w:rsidR="00B7389D" w:rsidRPr="00FD7E86" w:rsidRDefault="00B7389D" w:rsidP="00B7389D">
      <w:pPr>
        <w:spacing w:after="0"/>
        <w:rPr>
          <w:rFonts w:cs="Arial"/>
          <w:b/>
          <w:szCs w:val="20"/>
        </w:rPr>
      </w:pPr>
      <w:r w:rsidRPr="006B78C4">
        <w:rPr>
          <w:rFonts w:cs="Arial"/>
          <w:b/>
          <w:szCs w:val="20"/>
        </w:rPr>
        <w:t>portability</w:t>
      </w:r>
      <w:r w:rsidRPr="00FD7E86">
        <w:rPr>
          <w:rFonts w:cs="Arial"/>
          <w:b/>
          <w:szCs w:val="20"/>
        </w:rPr>
        <w:t xml:space="preserve"> </w:t>
      </w:r>
    </w:p>
    <w:p w14:paraId="56BBF14B" w14:textId="77777777" w:rsidR="00B7389D" w:rsidRPr="00FD7E86" w:rsidRDefault="00B7389D" w:rsidP="00B7389D">
      <w:r w:rsidRPr="00FD7E86">
        <w:t xml:space="preserve">See </w:t>
      </w:r>
      <w:r w:rsidRPr="0028421A">
        <w:rPr>
          <w:i/>
        </w:rPr>
        <w:t>number portability</w:t>
      </w:r>
      <w:r w:rsidRPr="00FD7E86">
        <w:t>.</w:t>
      </w:r>
    </w:p>
    <w:p w14:paraId="0324A690" w14:textId="77777777" w:rsidR="00B7389D" w:rsidRPr="00FD7E86" w:rsidRDefault="00B7389D" w:rsidP="00B7389D">
      <w:pPr>
        <w:spacing w:after="0"/>
        <w:rPr>
          <w:rFonts w:cs="Arial"/>
          <w:b/>
          <w:szCs w:val="20"/>
        </w:rPr>
      </w:pPr>
      <w:r w:rsidRPr="00FD7E86">
        <w:rPr>
          <w:rFonts w:cs="Arial"/>
          <w:b/>
          <w:szCs w:val="20"/>
        </w:rPr>
        <w:t xml:space="preserve">postpaid </w:t>
      </w:r>
    </w:p>
    <w:p w14:paraId="30169B09" w14:textId="77777777" w:rsidR="00B7389D" w:rsidRPr="00FD7E86" w:rsidRDefault="00B7389D" w:rsidP="00B7389D">
      <w:r w:rsidRPr="00FD7E86">
        <w:t>A contract under which a user is charged on a periodic basis, depending on service usage during the previous billing period.</w:t>
      </w:r>
    </w:p>
    <w:p w14:paraId="6E466F00" w14:textId="77777777" w:rsidR="00B7389D" w:rsidRPr="00FD7E86" w:rsidRDefault="00B7389D" w:rsidP="00B7389D">
      <w:pPr>
        <w:spacing w:after="0"/>
        <w:rPr>
          <w:rFonts w:cs="Arial"/>
          <w:b/>
          <w:szCs w:val="20"/>
        </w:rPr>
      </w:pPr>
      <w:r w:rsidRPr="00CE3B0C">
        <w:rPr>
          <w:rFonts w:cs="Arial"/>
          <w:b/>
        </w:rPr>
        <w:t>prepaid</w:t>
      </w:r>
      <w:r w:rsidRPr="00FD7E86">
        <w:rPr>
          <w:rFonts w:cs="Arial"/>
          <w:b/>
          <w:szCs w:val="20"/>
        </w:rPr>
        <w:t xml:space="preserve"> </w:t>
      </w:r>
    </w:p>
    <w:p w14:paraId="1F1D55D4" w14:textId="77777777" w:rsidR="00B7389D" w:rsidRPr="00FD7E86" w:rsidRDefault="00B7389D" w:rsidP="00B7389D">
      <w:r w:rsidRPr="00FD7E86">
        <w:t xml:space="preserve">A contract system by which users pay an amount upfront to </w:t>
      </w:r>
      <w:r w:rsidR="002227EE">
        <w:t>buy</w:t>
      </w:r>
      <w:r w:rsidR="002227EE" w:rsidRPr="00FD7E86">
        <w:t xml:space="preserve"> </w:t>
      </w:r>
      <w:r w:rsidRPr="00FD7E86">
        <w:t>a certain amount of usage or credit.</w:t>
      </w:r>
    </w:p>
    <w:p w14:paraId="43725F30" w14:textId="77777777" w:rsidR="00B7389D" w:rsidRPr="00FD7E86" w:rsidRDefault="00B7389D" w:rsidP="00B7389D">
      <w:pPr>
        <w:spacing w:after="0"/>
        <w:rPr>
          <w:rFonts w:cs="Arial"/>
          <w:b/>
          <w:szCs w:val="20"/>
        </w:rPr>
      </w:pPr>
      <w:r w:rsidRPr="00FD7E86">
        <w:rPr>
          <w:rFonts w:cs="Arial"/>
          <w:b/>
          <w:szCs w:val="20"/>
        </w:rPr>
        <w:t>PSTN—public switched telecommunications network</w:t>
      </w:r>
    </w:p>
    <w:p w14:paraId="15BA7E9F" w14:textId="77777777" w:rsidR="00B7389D" w:rsidRPr="00FD7E86" w:rsidRDefault="00B7389D" w:rsidP="00B7389D">
      <w:r w:rsidRPr="00FD7E86">
        <w:t>Public telecommunications network to provide telephone services to subscribers.</w:t>
      </w:r>
    </w:p>
    <w:p w14:paraId="2E98467F" w14:textId="77777777" w:rsidR="00B7389D" w:rsidRPr="00FD7E86" w:rsidRDefault="00B7389D" w:rsidP="00B7389D">
      <w:pPr>
        <w:spacing w:after="0"/>
        <w:rPr>
          <w:rFonts w:cs="Arial"/>
          <w:b/>
          <w:szCs w:val="20"/>
        </w:rPr>
      </w:pPr>
      <w:r w:rsidRPr="00CE3B0C">
        <w:rPr>
          <w:rFonts w:cs="Arial"/>
          <w:b/>
        </w:rPr>
        <w:t>PUSP</w:t>
      </w:r>
      <w:r w:rsidRPr="00FD7E86">
        <w:rPr>
          <w:rFonts w:cs="Arial"/>
          <w:b/>
          <w:szCs w:val="20"/>
        </w:rPr>
        <w:t>—primary universal service provider</w:t>
      </w:r>
    </w:p>
    <w:p w14:paraId="22D53A79" w14:textId="77777777" w:rsidR="00B7389D" w:rsidRPr="00FD7E86" w:rsidRDefault="00B7389D" w:rsidP="00B7389D">
      <w:pPr>
        <w:rPr>
          <w:bCs/>
        </w:rPr>
      </w:pPr>
      <w:r w:rsidRPr="00FD7E86">
        <w:t xml:space="preserve">See </w:t>
      </w:r>
      <w:r w:rsidRPr="0028421A">
        <w:rPr>
          <w:bCs/>
          <w:i/>
        </w:rPr>
        <w:t>USP—universal service provider</w:t>
      </w:r>
      <w:r w:rsidRPr="00FD7E86">
        <w:rPr>
          <w:b/>
          <w:bCs/>
        </w:rPr>
        <w:t>.</w:t>
      </w:r>
    </w:p>
    <w:p w14:paraId="6931009B" w14:textId="77777777" w:rsidR="00B7389D" w:rsidRPr="00FD7E86" w:rsidRDefault="00B7389D" w:rsidP="00B7389D">
      <w:pPr>
        <w:spacing w:after="0"/>
        <w:rPr>
          <w:b/>
          <w:szCs w:val="26"/>
        </w:rPr>
      </w:pPr>
      <w:r w:rsidRPr="00FD7E86">
        <w:rPr>
          <w:rFonts w:cs="Arial"/>
          <w:b/>
          <w:szCs w:val="20"/>
        </w:rPr>
        <w:t>QCSP—</w:t>
      </w:r>
      <w:r w:rsidR="002227EE">
        <w:rPr>
          <w:rFonts w:cs="Arial"/>
          <w:b/>
          <w:szCs w:val="20"/>
        </w:rPr>
        <w:t>q</w:t>
      </w:r>
      <w:r w:rsidRPr="00FD7E86">
        <w:rPr>
          <w:rFonts w:cs="Arial"/>
          <w:b/>
          <w:szCs w:val="20"/>
        </w:rPr>
        <w:t xml:space="preserve">ualifying </w:t>
      </w:r>
      <w:r w:rsidR="002227EE">
        <w:rPr>
          <w:rFonts w:cs="Arial"/>
          <w:b/>
          <w:szCs w:val="20"/>
        </w:rPr>
        <w:t>c</w:t>
      </w:r>
      <w:r w:rsidRPr="00FD7E86">
        <w:rPr>
          <w:rFonts w:cs="Arial"/>
          <w:b/>
          <w:szCs w:val="20"/>
        </w:rPr>
        <w:t xml:space="preserve">arriage </w:t>
      </w:r>
      <w:r w:rsidR="002227EE">
        <w:rPr>
          <w:rFonts w:cs="Arial"/>
          <w:b/>
          <w:szCs w:val="20"/>
        </w:rPr>
        <w:t>s</w:t>
      </w:r>
      <w:r w:rsidRPr="00FD7E86">
        <w:rPr>
          <w:rFonts w:cs="Arial"/>
          <w:b/>
          <w:szCs w:val="20"/>
        </w:rPr>
        <w:t xml:space="preserve">ervice </w:t>
      </w:r>
      <w:r w:rsidR="002227EE">
        <w:rPr>
          <w:rFonts w:cs="Arial"/>
          <w:b/>
          <w:szCs w:val="20"/>
        </w:rPr>
        <w:t>p</w:t>
      </w:r>
      <w:r w:rsidRPr="00FD7E86">
        <w:rPr>
          <w:rFonts w:cs="Arial"/>
          <w:b/>
          <w:szCs w:val="20"/>
        </w:rPr>
        <w:t>rovider</w:t>
      </w:r>
    </w:p>
    <w:p w14:paraId="17F1338C" w14:textId="77777777" w:rsidR="00B7389D" w:rsidRPr="00FD7E86" w:rsidRDefault="00B7389D" w:rsidP="00B7389D">
      <w:r w:rsidRPr="00FD7E86">
        <w:t>CSPs that have 100,000 or more services covered by the CSG Standard as at the last day of the preceding financial year.</w:t>
      </w:r>
    </w:p>
    <w:p w14:paraId="1B53314B" w14:textId="77777777" w:rsidR="00B7389D" w:rsidRPr="00FD7E86" w:rsidRDefault="00B7389D" w:rsidP="00B7389D">
      <w:pPr>
        <w:spacing w:after="0"/>
        <w:rPr>
          <w:rFonts w:cs="Arial"/>
          <w:b/>
          <w:szCs w:val="20"/>
        </w:rPr>
      </w:pPr>
      <w:r w:rsidRPr="00FD7E86">
        <w:rPr>
          <w:rFonts w:cs="Arial"/>
          <w:b/>
          <w:szCs w:val="20"/>
        </w:rPr>
        <w:t>RVA—recorded voice announcement</w:t>
      </w:r>
    </w:p>
    <w:p w14:paraId="6196BCE5" w14:textId="77777777" w:rsidR="00B7389D" w:rsidRPr="00FD7E86" w:rsidRDefault="00B7389D" w:rsidP="00B7389D">
      <w:pPr>
        <w:rPr>
          <w:bCs/>
        </w:rPr>
      </w:pPr>
      <w:r w:rsidRPr="00FD7E86">
        <w:rPr>
          <w:bCs/>
        </w:rPr>
        <w:t xml:space="preserve">A pre-recorded audio message played to listeners; for example, the message now played to all callers to the Triple Zero (000) emergency service. </w:t>
      </w:r>
    </w:p>
    <w:p w14:paraId="6ED9954D" w14:textId="77777777" w:rsidR="00B7389D" w:rsidRPr="00FD7E86" w:rsidRDefault="00B7389D" w:rsidP="00B7389D">
      <w:pPr>
        <w:spacing w:after="0"/>
        <w:rPr>
          <w:rFonts w:cs="Arial"/>
          <w:b/>
          <w:szCs w:val="20"/>
        </w:rPr>
      </w:pPr>
      <w:r w:rsidRPr="00FD7E86">
        <w:rPr>
          <w:rFonts w:cs="Arial"/>
          <w:b/>
          <w:szCs w:val="20"/>
        </w:rPr>
        <w:t>SAM—</w:t>
      </w:r>
      <w:r>
        <w:rPr>
          <w:rFonts w:cs="Arial"/>
          <w:b/>
          <w:szCs w:val="20"/>
        </w:rPr>
        <w:t>s</w:t>
      </w:r>
      <w:r w:rsidRPr="00FD7E86">
        <w:rPr>
          <w:rFonts w:cs="Arial"/>
          <w:b/>
          <w:szCs w:val="20"/>
        </w:rPr>
        <w:t>erving area module</w:t>
      </w:r>
    </w:p>
    <w:p w14:paraId="2C418B55" w14:textId="38115B81" w:rsidR="00B7389D" w:rsidRPr="00FD7E86" w:rsidRDefault="009A2C04" w:rsidP="00B7389D">
      <w:pPr>
        <w:rPr>
          <w:rFonts w:cs="Arial"/>
          <w:szCs w:val="20"/>
        </w:rPr>
      </w:pPr>
      <w:r>
        <w:rPr>
          <w:rFonts w:cs="Arial"/>
          <w:szCs w:val="20"/>
        </w:rPr>
        <w:t>A</w:t>
      </w:r>
      <w:r w:rsidRPr="00FD7E86">
        <w:rPr>
          <w:rFonts w:cs="Arial"/>
          <w:szCs w:val="20"/>
        </w:rPr>
        <w:t xml:space="preserve"> geographical subset of premise</w:t>
      </w:r>
      <w:r>
        <w:rPr>
          <w:rFonts w:cs="Arial"/>
          <w:szCs w:val="20"/>
        </w:rPr>
        <w:t>s</w:t>
      </w:r>
      <w:r w:rsidRPr="00FD7E86">
        <w:rPr>
          <w:rFonts w:cs="Arial"/>
          <w:szCs w:val="20"/>
        </w:rPr>
        <w:t xml:space="preserve"> to be served by the NBN</w:t>
      </w:r>
      <w:r>
        <w:rPr>
          <w:rFonts w:cs="Arial"/>
          <w:szCs w:val="20"/>
        </w:rPr>
        <w:t xml:space="preserve">, defined </w:t>
      </w:r>
      <w:r w:rsidR="00B7389D" w:rsidRPr="00FD7E86">
        <w:rPr>
          <w:rFonts w:cs="Arial"/>
          <w:szCs w:val="20"/>
        </w:rPr>
        <w:t xml:space="preserve">as part of </w:t>
      </w:r>
      <w:r w:rsidR="00B7389D">
        <w:rPr>
          <w:rFonts w:cs="Arial"/>
          <w:szCs w:val="20"/>
        </w:rPr>
        <w:t>its</w:t>
      </w:r>
      <w:r w:rsidR="00B7389D" w:rsidRPr="00FD7E86">
        <w:rPr>
          <w:rFonts w:cs="Arial"/>
          <w:szCs w:val="20"/>
        </w:rPr>
        <w:t xml:space="preserve"> network architecture.</w:t>
      </w:r>
    </w:p>
    <w:p w14:paraId="698B0621" w14:textId="77777777" w:rsidR="00B7389D" w:rsidRPr="00FD7E86" w:rsidRDefault="00B7389D" w:rsidP="00B7389D">
      <w:pPr>
        <w:spacing w:after="0"/>
        <w:rPr>
          <w:rFonts w:cs="Arial"/>
          <w:b/>
          <w:szCs w:val="20"/>
        </w:rPr>
      </w:pPr>
      <w:r w:rsidRPr="00FD7E86">
        <w:rPr>
          <w:rFonts w:cs="Arial"/>
          <w:b/>
          <w:szCs w:val="20"/>
        </w:rPr>
        <w:t xml:space="preserve">SBS—Special </w:t>
      </w:r>
      <w:r w:rsidRPr="00CE3B0C">
        <w:rPr>
          <w:rFonts w:cs="Arial"/>
          <w:b/>
        </w:rPr>
        <w:t>Broadcasting</w:t>
      </w:r>
      <w:r w:rsidRPr="00FD7E86">
        <w:rPr>
          <w:rFonts w:cs="Arial"/>
          <w:b/>
          <w:szCs w:val="20"/>
        </w:rPr>
        <w:t xml:space="preserve"> Service</w:t>
      </w:r>
    </w:p>
    <w:p w14:paraId="1577206B" w14:textId="02EE0CD4" w:rsidR="00B7389D" w:rsidRPr="00FD7E86" w:rsidRDefault="00B7389D" w:rsidP="00B7389D">
      <w:pPr>
        <w:keepLines/>
      </w:pPr>
      <w:r w:rsidRPr="00FD7E86">
        <w:t>Free-to-air national radio and television broadcasting service providing multilingual and multicultural programs that inform, educate and entertain all Australians and, in doing so, reflect Australia’s multicultural society. The SBS Online service also provides additional multilingual content through the</w:t>
      </w:r>
      <w:r w:rsidR="00470388">
        <w:t> </w:t>
      </w:r>
      <w:r w:rsidRPr="00FD7E86">
        <w:t>internet.</w:t>
      </w:r>
    </w:p>
    <w:p w14:paraId="16236916" w14:textId="77777777" w:rsidR="00B7389D" w:rsidRPr="00FD7E86" w:rsidRDefault="00B7389D" w:rsidP="00B7389D">
      <w:pPr>
        <w:spacing w:after="0"/>
        <w:rPr>
          <w:rFonts w:cs="Arial"/>
          <w:b/>
          <w:szCs w:val="20"/>
        </w:rPr>
      </w:pPr>
      <w:r w:rsidRPr="00FD7E86">
        <w:rPr>
          <w:rFonts w:cs="Arial"/>
          <w:b/>
          <w:szCs w:val="20"/>
        </w:rPr>
        <w:t>SIO—</w:t>
      </w:r>
      <w:r w:rsidRPr="00CE3B0C">
        <w:rPr>
          <w:rFonts w:cs="Arial"/>
          <w:b/>
        </w:rPr>
        <w:t>services</w:t>
      </w:r>
      <w:r w:rsidRPr="00FD7E86">
        <w:rPr>
          <w:rFonts w:cs="Arial"/>
          <w:b/>
          <w:szCs w:val="20"/>
        </w:rPr>
        <w:t xml:space="preserve"> in operation</w:t>
      </w:r>
    </w:p>
    <w:p w14:paraId="67833E04" w14:textId="77777777" w:rsidR="00B7389D" w:rsidRPr="00FD7E86" w:rsidRDefault="00B7389D" w:rsidP="00B7389D">
      <w:r w:rsidRPr="00FD7E86">
        <w:t>The number of services provided by a telephone company at a particular time. The term is used in the context of both fixed-line and mobile services.</w:t>
      </w:r>
    </w:p>
    <w:p w14:paraId="30EF152B" w14:textId="77777777" w:rsidR="00B7389D" w:rsidRPr="00FD7E86" w:rsidRDefault="00B7389D" w:rsidP="00B7389D">
      <w:pPr>
        <w:spacing w:after="0"/>
        <w:rPr>
          <w:rFonts w:cs="Arial"/>
          <w:b/>
          <w:szCs w:val="20"/>
        </w:rPr>
      </w:pPr>
      <w:r w:rsidRPr="00CE3B0C">
        <w:rPr>
          <w:rFonts w:cs="Arial"/>
          <w:b/>
        </w:rPr>
        <w:t>smartnumbers</w:t>
      </w:r>
      <w:r w:rsidRPr="00FD7E86">
        <w:rPr>
          <w:rFonts w:cs="Arial"/>
          <w:b/>
          <w:szCs w:val="20"/>
        </w:rPr>
        <w:t xml:space="preserve"> </w:t>
      </w:r>
    </w:p>
    <w:p w14:paraId="5F0BD3CF" w14:textId="77777777" w:rsidR="00B7389D" w:rsidRPr="00FD7E86" w:rsidRDefault="00B7389D" w:rsidP="00B7389D">
      <w:r w:rsidRPr="00FD7E86">
        <w:t xml:space="preserve">Specified freephone (1800) or local rate (13 or 1300) numbers </w:t>
      </w:r>
      <w:r>
        <w:t>that are</w:t>
      </w:r>
      <w:r w:rsidRPr="00FD7E86">
        <w:t xml:space="preserve"> considered desirable because they can be translated to a phoneword or they have a memorable pattern.</w:t>
      </w:r>
    </w:p>
    <w:p w14:paraId="63C98716" w14:textId="77777777" w:rsidR="00B7389D" w:rsidRPr="00FD7E86" w:rsidRDefault="00B7389D" w:rsidP="0028421A">
      <w:pPr>
        <w:keepNext/>
        <w:spacing w:after="0"/>
        <w:rPr>
          <w:rFonts w:cs="Arial"/>
          <w:b/>
          <w:szCs w:val="20"/>
        </w:rPr>
      </w:pPr>
      <w:r w:rsidRPr="00CE3B0C">
        <w:rPr>
          <w:rFonts w:cs="Arial"/>
          <w:b/>
        </w:rPr>
        <w:t>smartphone</w:t>
      </w:r>
    </w:p>
    <w:p w14:paraId="45503D7E" w14:textId="77777777" w:rsidR="00B7389D" w:rsidRPr="00FD7E86" w:rsidRDefault="00B7389D" w:rsidP="00B7389D">
      <w:r w:rsidRPr="00FD7E86">
        <w:t xml:space="preserve">A mobile phone built on a mobile operating system, with more advanced computing capability and connectivity. </w:t>
      </w:r>
    </w:p>
    <w:p w14:paraId="3253F732" w14:textId="77777777" w:rsidR="00B7389D" w:rsidRPr="00FD7E86" w:rsidRDefault="00B7389D" w:rsidP="00B7389D">
      <w:pPr>
        <w:spacing w:after="0"/>
        <w:rPr>
          <w:rFonts w:cs="Arial"/>
          <w:b/>
          <w:szCs w:val="20"/>
        </w:rPr>
      </w:pPr>
      <w:r w:rsidRPr="00FD7E86">
        <w:rPr>
          <w:rFonts w:cs="Arial"/>
          <w:b/>
          <w:szCs w:val="20"/>
        </w:rPr>
        <w:t>SMS—</w:t>
      </w:r>
      <w:r w:rsidRPr="00CE3B0C">
        <w:rPr>
          <w:rFonts w:cs="Arial"/>
          <w:b/>
        </w:rPr>
        <w:t>short</w:t>
      </w:r>
      <w:r w:rsidRPr="00FD7E86">
        <w:rPr>
          <w:rFonts w:cs="Arial"/>
          <w:b/>
          <w:szCs w:val="20"/>
        </w:rPr>
        <w:t xml:space="preserve"> message service</w:t>
      </w:r>
    </w:p>
    <w:p w14:paraId="5A3F0CA2" w14:textId="77777777" w:rsidR="00B7389D" w:rsidRPr="00FD7E86" w:rsidRDefault="00B7389D" w:rsidP="00B7389D">
      <w:r w:rsidRPr="00FD7E86">
        <w:t>A mobile telecommunications data transmission service that allows users to send short text messages to each other using a mobile handset.</w:t>
      </w:r>
    </w:p>
    <w:p w14:paraId="3FD48A07" w14:textId="77777777" w:rsidR="00B7389D" w:rsidRDefault="002227EE" w:rsidP="00B23C52">
      <w:pPr>
        <w:keepNext/>
        <w:spacing w:after="0"/>
        <w:rPr>
          <w:rFonts w:cs="Arial"/>
          <w:b/>
          <w:szCs w:val="20"/>
        </w:rPr>
      </w:pPr>
      <w:r>
        <w:rPr>
          <w:rFonts w:cs="Arial"/>
          <w:b/>
        </w:rPr>
        <w:t>s</w:t>
      </w:r>
      <w:r w:rsidR="00B7389D" w:rsidRPr="00CE3B0C">
        <w:rPr>
          <w:rFonts w:cs="Arial"/>
          <w:b/>
        </w:rPr>
        <w:t>oftware</w:t>
      </w:r>
      <w:r w:rsidR="00B7389D" w:rsidRPr="0054217A">
        <w:rPr>
          <w:rFonts w:cs="Arial"/>
          <w:b/>
          <w:szCs w:val="20"/>
        </w:rPr>
        <w:t xml:space="preserve">-defined networking </w:t>
      </w:r>
    </w:p>
    <w:p w14:paraId="57C00CF4" w14:textId="77777777" w:rsidR="00B7389D" w:rsidRPr="0032755E" w:rsidRDefault="00B7389D" w:rsidP="00B7389D">
      <w:pPr>
        <w:rPr>
          <w:rFonts w:cs="Arial"/>
          <w:szCs w:val="20"/>
        </w:rPr>
      </w:pPr>
      <w:r w:rsidRPr="0032755E">
        <w:rPr>
          <w:rFonts w:cs="Arial"/>
          <w:szCs w:val="20"/>
        </w:rPr>
        <w:t xml:space="preserve">An </w:t>
      </w:r>
      <w:r>
        <w:rPr>
          <w:rFonts w:cs="Arial"/>
          <w:szCs w:val="20"/>
        </w:rPr>
        <w:t xml:space="preserve">umbrella term encompassing several kinds of network technology aimed at making the network more flexible and </w:t>
      </w:r>
      <w:r w:rsidRPr="006451F5">
        <w:t>agile</w:t>
      </w:r>
      <w:r>
        <w:rPr>
          <w:rFonts w:cs="Arial"/>
          <w:szCs w:val="20"/>
        </w:rPr>
        <w:t xml:space="preserve"> to support </w:t>
      </w:r>
      <w:r w:rsidRPr="009C2BEB">
        <w:rPr>
          <w:rFonts w:cs="Arial"/>
          <w:szCs w:val="20"/>
        </w:rPr>
        <w:t>the virtuali</w:t>
      </w:r>
      <w:r>
        <w:rPr>
          <w:rFonts w:cs="Arial"/>
          <w:szCs w:val="20"/>
        </w:rPr>
        <w:t>s</w:t>
      </w:r>
      <w:r w:rsidRPr="009C2BEB">
        <w:rPr>
          <w:rFonts w:cs="Arial"/>
          <w:szCs w:val="20"/>
        </w:rPr>
        <w:t>ed server and storage infrastr</w:t>
      </w:r>
      <w:r>
        <w:rPr>
          <w:rFonts w:cs="Arial"/>
          <w:szCs w:val="20"/>
        </w:rPr>
        <w:t xml:space="preserve">ucture of the modern data centre. </w:t>
      </w:r>
    </w:p>
    <w:p w14:paraId="7DBDC162" w14:textId="77777777" w:rsidR="00B7389D" w:rsidRPr="00FD7E86" w:rsidRDefault="00B7389D" w:rsidP="00B7389D">
      <w:pPr>
        <w:keepNext/>
        <w:spacing w:after="0"/>
        <w:rPr>
          <w:rFonts w:cs="Arial"/>
          <w:b/>
          <w:szCs w:val="20"/>
        </w:rPr>
      </w:pPr>
      <w:r w:rsidRPr="00CE3B0C">
        <w:rPr>
          <w:rFonts w:cs="Arial"/>
          <w:b/>
        </w:rPr>
        <w:t>spam</w:t>
      </w:r>
    </w:p>
    <w:p w14:paraId="73B0B726" w14:textId="77777777" w:rsidR="00B7389D" w:rsidRPr="00FD7E86" w:rsidRDefault="00B7389D" w:rsidP="00B7389D">
      <w:r w:rsidRPr="00FD7E86">
        <w:t>Unsolicited commercial electronic messages that are sent by email, SMS, MMS and/or instant messaging.</w:t>
      </w:r>
    </w:p>
    <w:p w14:paraId="5D6F1208" w14:textId="77777777" w:rsidR="00B7389D" w:rsidRPr="00FD7E86" w:rsidRDefault="00B7389D" w:rsidP="00B7389D">
      <w:pPr>
        <w:keepNext/>
        <w:spacing w:after="0"/>
        <w:rPr>
          <w:rFonts w:cs="Arial"/>
          <w:b/>
          <w:szCs w:val="20"/>
        </w:rPr>
      </w:pPr>
      <w:r w:rsidRPr="00FD7E86">
        <w:rPr>
          <w:rFonts w:cs="Arial"/>
          <w:b/>
          <w:szCs w:val="20"/>
        </w:rPr>
        <w:t xml:space="preserve">standard </w:t>
      </w:r>
      <w:r w:rsidRPr="00CE3B0C">
        <w:rPr>
          <w:rFonts w:cs="Arial"/>
          <w:b/>
        </w:rPr>
        <w:t>telephone</w:t>
      </w:r>
      <w:r w:rsidRPr="00FD7E86">
        <w:rPr>
          <w:rFonts w:cs="Arial"/>
          <w:b/>
          <w:szCs w:val="20"/>
        </w:rPr>
        <w:t xml:space="preserve"> service</w:t>
      </w:r>
    </w:p>
    <w:p w14:paraId="0913A609" w14:textId="77777777" w:rsidR="00B7389D" w:rsidRPr="00FD7E86" w:rsidRDefault="00B7389D" w:rsidP="00B7389D">
      <w:r w:rsidRPr="00FD7E86">
        <w:t xml:space="preserve">The telecommunications service defined as a carriage service providing voice telephony or an equivalent service that meets the requirements of the </w:t>
      </w:r>
      <w:r w:rsidRPr="00FD7E86">
        <w:rPr>
          <w:i/>
        </w:rPr>
        <w:t>Telecommunications (Consumer Protection and Service Standards) Act 1999</w:t>
      </w:r>
      <w:r w:rsidRPr="00FD7E86">
        <w:t xml:space="preserve"> and </w:t>
      </w:r>
      <w:r w:rsidRPr="00FD7E86">
        <w:rPr>
          <w:i/>
        </w:rPr>
        <w:t>Disability Discrimination Act 1992</w:t>
      </w:r>
      <w:r w:rsidRPr="00FD7E86">
        <w:t>.</w:t>
      </w:r>
    </w:p>
    <w:p w14:paraId="51D554AD" w14:textId="77777777" w:rsidR="00B7389D" w:rsidRPr="00FD7E86" w:rsidRDefault="00B7389D" w:rsidP="00B7389D">
      <w:pPr>
        <w:spacing w:after="0"/>
        <w:rPr>
          <w:rFonts w:cs="Arial"/>
          <w:b/>
          <w:szCs w:val="20"/>
        </w:rPr>
      </w:pPr>
      <w:r w:rsidRPr="00CE3B0C">
        <w:rPr>
          <w:rFonts w:cs="Arial"/>
          <w:b/>
        </w:rPr>
        <w:t>subscribers</w:t>
      </w:r>
    </w:p>
    <w:p w14:paraId="001E4D8A" w14:textId="77777777" w:rsidR="00B7389D" w:rsidRPr="00FD7E86" w:rsidRDefault="00B7389D" w:rsidP="00F038C6">
      <w:r w:rsidRPr="00FD7E86">
        <w:t>ABS subscriber statistics measure the number of ‘subscriber lines’ rather than the number of ‘users’. Counts of subscribers are not the same as counts of people/organisations with internet access. This is because some subscribers may have accounts with more than one ISP or multiple accounts with a single</w:t>
      </w:r>
      <w:r w:rsidR="00F038C6">
        <w:t> </w:t>
      </w:r>
      <w:r w:rsidRPr="00FD7E86">
        <w:t xml:space="preserve">ISP. </w:t>
      </w:r>
    </w:p>
    <w:p w14:paraId="25914EB2" w14:textId="77777777" w:rsidR="00B7389D" w:rsidRPr="00FD7E86" w:rsidRDefault="00B7389D" w:rsidP="00B7389D">
      <w:pPr>
        <w:spacing w:after="0"/>
        <w:rPr>
          <w:rFonts w:cs="Arial"/>
          <w:b/>
          <w:szCs w:val="20"/>
        </w:rPr>
      </w:pPr>
      <w:r w:rsidRPr="00CE3B0C">
        <w:rPr>
          <w:rFonts w:cs="Arial"/>
          <w:b/>
        </w:rPr>
        <w:t>subscription</w:t>
      </w:r>
      <w:r w:rsidRPr="00FD7E86">
        <w:rPr>
          <w:rFonts w:cs="Arial"/>
          <w:b/>
          <w:szCs w:val="20"/>
        </w:rPr>
        <w:t xml:space="preserve"> television</w:t>
      </w:r>
    </w:p>
    <w:p w14:paraId="5284D8E8" w14:textId="77777777" w:rsidR="00B7389D" w:rsidRPr="00FD7E86" w:rsidRDefault="00B7389D" w:rsidP="00B7389D">
      <w:r w:rsidRPr="00FD7E86">
        <w:t>Service providing access, for a fee, to television channels transmitted using cable, satellite or terrestrial microwave.</w:t>
      </w:r>
    </w:p>
    <w:p w14:paraId="4D822721" w14:textId="77777777" w:rsidR="00B7389D" w:rsidRPr="00821847" w:rsidRDefault="00B7389D" w:rsidP="00B7389D">
      <w:pPr>
        <w:spacing w:after="0"/>
        <w:rPr>
          <w:rFonts w:cs="Arial"/>
          <w:b/>
          <w:szCs w:val="20"/>
        </w:rPr>
      </w:pPr>
      <w:r w:rsidRPr="00821847">
        <w:rPr>
          <w:rFonts w:cs="Arial"/>
          <w:b/>
          <w:szCs w:val="20"/>
        </w:rPr>
        <w:t>SVOD—subscription video on demand</w:t>
      </w:r>
    </w:p>
    <w:p w14:paraId="1523F794" w14:textId="77777777" w:rsidR="00B7389D" w:rsidRPr="00FD7E86" w:rsidRDefault="00B7389D" w:rsidP="00B7389D">
      <w:pPr>
        <w:rPr>
          <w:b/>
        </w:rPr>
      </w:pPr>
      <w:r w:rsidRPr="00FD7E86">
        <w:rPr>
          <w:rStyle w:val="tgc"/>
          <w:color w:val="222222"/>
        </w:rPr>
        <w:t>An internet service that gives users unlimited access to a range of online video content at any time, for a flat monthly fee. Users can start and stop the program they are watching when they choose.</w:t>
      </w:r>
    </w:p>
    <w:p w14:paraId="1FDDB366" w14:textId="77777777" w:rsidR="00B7389D" w:rsidRPr="00FD7E86" w:rsidRDefault="00B7389D" w:rsidP="00B7389D">
      <w:pPr>
        <w:spacing w:after="0"/>
        <w:rPr>
          <w:rFonts w:cs="Arial"/>
          <w:b/>
          <w:szCs w:val="20"/>
        </w:rPr>
      </w:pPr>
      <w:r w:rsidRPr="00CE3B0C">
        <w:rPr>
          <w:rFonts w:cs="Arial"/>
          <w:b/>
        </w:rPr>
        <w:t>take</w:t>
      </w:r>
      <w:r w:rsidRPr="00FD7E86">
        <w:rPr>
          <w:rFonts w:cs="Arial"/>
          <w:b/>
          <w:szCs w:val="20"/>
        </w:rPr>
        <w:t xml:space="preserve">-up </w:t>
      </w:r>
    </w:p>
    <w:p w14:paraId="1738003D" w14:textId="77777777" w:rsidR="00B7389D" w:rsidRPr="00FD7E86" w:rsidRDefault="00B7389D" w:rsidP="00B7389D">
      <w:r w:rsidRPr="00FD7E86">
        <w:t>Adoption of a service or product by users.</w:t>
      </w:r>
    </w:p>
    <w:p w14:paraId="5A6DCFC4" w14:textId="77777777" w:rsidR="00B7389D" w:rsidRPr="00FD7E86" w:rsidRDefault="00B7389D" w:rsidP="00B7389D">
      <w:pPr>
        <w:spacing w:after="0"/>
        <w:rPr>
          <w:rFonts w:cs="Arial"/>
          <w:b/>
          <w:szCs w:val="20"/>
        </w:rPr>
      </w:pPr>
      <w:r w:rsidRPr="00FD7E86">
        <w:rPr>
          <w:rFonts w:cs="Arial"/>
          <w:b/>
          <w:szCs w:val="20"/>
        </w:rPr>
        <w:t>TB—</w:t>
      </w:r>
      <w:r w:rsidRPr="00CE3B0C">
        <w:rPr>
          <w:rFonts w:cs="Arial"/>
          <w:b/>
        </w:rPr>
        <w:t>terabyte</w:t>
      </w:r>
    </w:p>
    <w:p w14:paraId="41C88777" w14:textId="77777777" w:rsidR="00B7389D" w:rsidRPr="00FD7E86" w:rsidRDefault="00B7389D" w:rsidP="00B7389D">
      <w:r w:rsidRPr="00FD7E86">
        <w:t>One thousand gigabytes.</w:t>
      </w:r>
    </w:p>
    <w:p w14:paraId="4501C456" w14:textId="77777777" w:rsidR="00B7389D" w:rsidRPr="00FD7E86" w:rsidRDefault="00B7389D" w:rsidP="00B7389D">
      <w:pPr>
        <w:spacing w:after="0"/>
        <w:rPr>
          <w:rFonts w:cs="Arial"/>
          <w:b/>
          <w:szCs w:val="20"/>
        </w:rPr>
      </w:pPr>
      <w:r w:rsidRPr="00FD7E86">
        <w:rPr>
          <w:rFonts w:cs="Arial"/>
          <w:b/>
          <w:szCs w:val="20"/>
        </w:rPr>
        <w:t>TIO scheme—Telecommunications Industry Ombudsman scheme</w:t>
      </w:r>
    </w:p>
    <w:p w14:paraId="6FD5E47E" w14:textId="77777777" w:rsidR="00B7389D" w:rsidRPr="00FD7E86" w:rsidRDefault="00B7389D" w:rsidP="00B7389D">
      <w:r w:rsidRPr="00FD7E86">
        <w:t>Industry-funded independent dispute resolution service, established in December 1993, for consumers unable to resolve complaints with their telecommunications carrier or CSP (including ISPs).</w:t>
      </w:r>
    </w:p>
    <w:p w14:paraId="7BAB9A06" w14:textId="77777777" w:rsidR="00B7389D" w:rsidRPr="00FD7E86" w:rsidRDefault="00B7389D" w:rsidP="00B7389D">
      <w:pPr>
        <w:spacing w:after="0"/>
        <w:rPr>
          <w:rFonts w:cs="Arial"/>
          <w:b/>
          <w:szCs w:val="20"/>
        </w:rPr>
      </w:pPr>
      <w:r w:rsidRPr="00FD7E86">
        <w:rPr>
          <w:rFonts w:cs="Arial"/>
          <w:b/>
          <w:szCs w:val="20"/>
        </w:rPr>
        <w:t xml:space="preserve">trigger event </w:t>
      </w:r>
    </w:p>
    <w:p w14:paraId="0140D9E2" w14:textId="77777777" w:rsidR="00B7389D" w:rsidRPr="00FD7E86" w:rsidRDefault="00B7389D" w:rsidP="00B7389D">
      <w:r w:rsidRPr="00FD7E86">
        <w:t>Relates to commercial regional radio licences</w:t>
      </w:r>
      <w:r>
        <w:t>. I</w:t>
      </w:r>
      <w:r w:rsidRPr="00FD7E86">
        <w:t>ncludes a transfer of a licence, formation of a new registrable media group that includes a regional commercial radio broadcasting licence, or change of controller of a registrable media group that includes a regional commercial radio broadcasting licence.</w:t>
      </w:r>
    </w:p>
    <w:p w14:paraId="2FF376C3" w14:textId="77777777" w:rsidR="00B7389D" w:rsidRPr="00FD7E86" w:rsidRDefault="00B7389D" w:rsidP="0028421A">
      <w:pPr>
        <w:keepNext/>
        <w:spacing w:after="0"/>
        <w:rPr>
          <w:rFonts w:cs="Arial"/>
          <w:b/>
          <w:szCs w:val="20"/>
        </w:rPr>
      </w:pPr>
      <w:r w:rsidRPr="00FD7E86">
        <w:rPr>
          <w:rFonts w:cs="Arial"/>
          <w:b/>
          <w:szCs w:val="20"/>
        </w:rPr>
        <w:t>TTY—</w:t>
      </w:r>
      <w:r w:rsidRPr="00CE3B0C">
        <w:rPr>
          <w:rFonts w:cs="Arial"/>
          <w:b/>
        </w:rPr>
        <w:t>teletypewriter</w:t>
      </w:r>
    </w:p>
    <w:p w14:paraId="2A1FF182" w14:textId="77777777" w:rsidR="00B7389D" w:rsidRPr="00FD7E86" w:rsidRDefault="00B7389D" w:rsidP="00B7389D">
      <w:r w:rsidRPr="00FD7E86">
        <w:t>Telephone typewriter that allows communication to be typed after a call is connected, enabling people with a hearing or speech impairment to use voice telecommunications. Calls can be connected to another TTY user or relayed and translated to voice by the NRS.</w:t>
      </w:r>
    </w:p>
    <w:p w14:paraId="2680BEF7" w14:textId="77777777" w:rsidR="00B7389D" w:rsidRPr="00C01693" w:rsidRDefault="00B7389D" w:rsidP="0028421A">
      <w:pPr>
        <w:keepNext/>
        <w:spacing w:after="0"/>
        <w:rPr>
          <w:b/>
        </w:rPr>
      </w:pPr>
      <w:r w:rsidRPr="00C01693">
        <w:rPr>
          <w:b/>
        </w:rPr>
        <w:t>ULL—Un</w:t>
      </w:r>
      <w:r>
        <w:rPr>
          <w:b/>
        </w:rPr>
        <w:t>conditioned</w:t>
      </w:r>
      <w:r w:rsidRPr="00C01693">
        <w:rPr>
          <w:b/>
        </w:rPr>
        <w:t xml:space="preserve"> Local Loop</w:t>
      </w:r>
    </w:p>
    <w:p w14:paraId="342AC470" w14:textId="77777777" w:rsidR="00B7389D" w:rsidRPr="00FD7E86" w:rsidRDefault="002227EE" w:rsidP="00B7389D">
      <w:r>
        <w:t>T</w:t>
      </w:r>
      <w:r w:rsidR="00B7389D" w:rsidRPr="00C01693">
        <w:t>he unconditioned communications wire between the boundary of a telecommunications network at an end-user’s premises and a point on a telecommunications network that is a potential Point of Interconnection (POI), located at or associated with a customer access module and located on the end-user’s side of the customer access module.</w:t>
      </w:r>
    </w:p>
    <w:p w14:paraId="67BECF72" w14:textId="77777777" w:rsidR="00B7389D" w:rsidRPr="00FD7E86" w:rsidRDefault="00B7389D" w:rsidP="00B7389D">
      <w:pPr>
        <w:spacing w:after="0"/>
        <w:rPr>
          <w:rFonts w:cs="Arial"/>
          <w:b/>
          <w:szCs w:val="20"/>
        </w:rPr>
      </w:pPr>
      <w:r w:rsidRPr="00FD7E86">
        <w:rPr>
          <w:rFonts w:cs="Arial"/>
          <w:b/>
          <w:szCs w:val="20"/>
        </w:rPr>
        <w:t>URL—uniform resource locator</w:t>
      </w:r>
    </w:p>
    <w:p w14:paraId="1E2926F0" w14:textId="77777777" w:rsidR="00B7389D" w:rsidRPr="00FD7E86" w:rsidRDefault="00B7389D" w:rsidP="00B7389D">
      <w:r w:rsidRPr="00FD7E86">
        <w:t>A unique address for accessing information and services over the internet.</w:t>
      </w:r>
    </w:p>
    <w:p w14:paraId="2BC7912B" w14:textId="77777777" w:rsidR="00B7389D" w:rsidRPr="00FD7E86" w:rsidRDefault="00B7389D" w:rsidP="00B23C52">
      <w:pPr>
        <w:keepNext/>
        <w:spacing w:after="0"/>
        <w:rPr>
          <w:rFonts w:cs="Arial"/>
          <w:b/>
          <w:szCs w:val="20"/>
        </w:rPr>
      </w:pPr>
      <w:r w:rsidRPr="00FD7E86">
        <w:rPr>
          <w:rFonts w:cs="Arial"/>
          <w:b/>
          <w:szCs w:val="20"/>
        </w:rPr>
        <w:t xml:space="preserve">USO—universal service </w:t>
      </w:r>
      <w:r w:rsidRPr="00CE3B0C">
        <w:rPr>
          <w:rFonts w:cs="Arial"/>
          <w:b/>
        </w:rPr>
        <w:t>obligation</w:t>
      </w:r>
    </w:p>
    <w:p w14:paraId="2218D924" w14:textId="77777777" w:rsidR="00B7389D" w:rsidRPr="00FD7E86" w:rsidRDefault="00B7389D" w:rsidP="00B7389D">
      <w:r w:rsidRPr="00FD7E86">
        <w:t xml:space="preserve">Obligation under the </w:t>
      </w:r>
      <w:r w:rsidRPr="00FD7E86">
        <w:rPr>
          <w:i/>
        </w:rPr>
        <w:t>Telecommunications (Consumer Protection and Service Standards) Act 1999</w:t>
      </w:r>
      <w:r w:rsidRPr="00FD7E86">
        <w:rPr>
          <w:i/>
          <w:iCs/>
        </w:rPr>
        <w:t xml:space="preserve"> </w:t>
      </w:r>
      <w:r w:rsidRPr="00FD7E86">
        <w:t>to ensure that standard telephone services, payphones and prescribed carriage services are reasonably accessible to all people in Australia on an equitable basis, wherever they reside or carry on business.</w:t>
      </w:r>
    </w:p>
    <w:p w14:paraId="2E4F0E99" w14:textId="77777777" w:rsidR="00B7389D" w:rsidRPr="00FD7E86" w:rsidRDefault="00B7389D" w:rsidP="00B7389D">
      <w:pPr>
        <w:spacing w:after="0"/>
        <w:rPr>
          <w:rFonts w:cs="Arial"/>
          <w:b/>
          <w:szCs w:val="20"/>
        </w:rPr>
      </w:pPr>
      <w:r w:rsidRPr="00FD7E86">
        <w:rPr>
          <w:rFonts w:cs="Arial"/>
          <w:b/>
          <w:szCs w:val="20"/>
        </w:rPr>
        <w:t>USP—universal service provider</w:t>
      </w:r>
    </w:p>
    <w:p w14:paraId="29EFD93A" w14:textId="77777777" w:rsidR="00B7389D" w:rsidRDefault="00B7389D" w:rsidP="00B7389D">
      <w:r w:rsidRPr="00FD7E86">
        <w:t xml:space="preserve">A nominated provider who receives government subsidies to provide a necessary service. Telstra is the primary USP and is responsible for fulfilling the universal service obligation throughout Australia. </w:t>
      </w:r>
    </w:p>
    <w:p w14:paraId="716D5125" w14:textId="77777777" w:rsidR="00B7389D" w:rsidRDefault="00B7389D" w:rsidP="00B7389D">
      <w:pPr>
        <w:spacing w:after="0"/>
        <w:rPr>
          <w:rFonts w:cs="Arial"/>
          <w:b/>
          <w:szCs w:val="20"/>
        </w:rPr>
      </w:pPr>
      <w:r w:rsidRPr="0054217A">
        <w:rPr>
          <w:b/>
        </w:rPr>
        <w:t>ViLTE</w:t>
      </w:r>
      <w:r w:rsidRPr="0054217A">
        <w:rPr>
          <w:rFonts w:cs="Arial"/>
          <w:b/>
          <w:szCs w:val="20"/>
        </w:rPr>
        <w:t>—</w:t>
      </w:r>
      <w:r w:rsidR="002227EE">
        <w:rPr>
          <w:rFonts w:cs="Arial"/>
          <w:b/>
          <w:szCs w:val="20"/>
        </w:rPr>
        <w:t>v</w:t>
      </w:r>
      <w:r w:rsidRPr="0054217A">
        <w:rPr>
          <w:rFonts w:cs="Arial"/>
          <w:b/>
          <w:szCs w:val="20"/>
        </w:rPr>
        <w:t>ideo over LTE</w:t>
      </w:r>
    </w:p>
    <w:p w14:paraId="09CEF8CC" w14:textId="77777777" w:rsidR="00B7389D" w:rsidRPr="00EF0462" w:rsidRDefault="00B7389D" w:rsidP="00B7389D">
      <w:pPr>
        <w:rPr>
          <w:b/>
        </w:rPr>
      </w:pPr>
      <w:r>
        <w:t xml:space="preserve">An extension of VoLTE, which enhances voice services with a high-quality video channel. </w:t>
      </w:r>
    </w:p>
    <w:p w14:paraId="642B636D" w14:textId="77777777" w:rsidR="00B7389D" w:rsidRPr="00FD7E86" w:rsidRDefault="00B7389D" w:rsidP="00B7389D">
      <w:pPr>
        <w:spacing w:after="0"/>
        <w:rPr>
          <w:rFonts w:cs="Arial"/>
          <w:b/>
          <w:szCs w:val="20"/>
        </w:rPr>
      </w:pPr>
      <w:r w:rsidRPr="00FD7E86">
        <w:rPr>
          <w:rFonts w:cs="Arial"/>
          <w:b/>
          <w:szCs w:val="20"/>
        </w:rPr>
        <w:t>VoIP—voice over internet protocol</w:t>
      </w:r>
    </w:p>
    <w:p w14:paraId="6F924B13" w14:textId="77777777" w:rsidR="00B7389D" w:rsidRPr="00780BD1" w:rsidRDefault="00B7389D" w:rsidP="00B7389D">
      <w:r w:rsidRPr="00FD7E86">
        <w:t>The transport of voice traffic inside data packets over an IP network</w:t>
      </w:r>
      <w:r>
        <w:rPr>
          <w:rFonts w:cs="Arial"/>
        </w:rPr>
        <w:t>―</w:t>
      </w:r>
      <w:r w:rsidRPr="00FD7E86">
        <w:t>used to make telephone calls using a data network (such as the internet) instead of over a fixed-line PSTN service.</w:t>
      </w:r>
    </w:p>
    <w:p w14:paraId="5A57091E" w14:textId="77777777" w:rsidR="00B7389D" w:rsidRDefault="00B7389D" w:rsidP="00B7389D">
      <w:pPr>
        <w:spacing w:after="0"/>
        <w:rPr>
          <w:lang w:val="en-US"/>
        </w:rPr>
      </w:pPr>
      <w:r>
        <w:rPr>
          <w:b/>
          <w:lang w:val="en-US"/>
        </w:rPr>
        <w:t>VoLTE</w:t>
      </w:r>
      <w:r w:rsidRPr="00FD7E86">
        <w:rPr>
          <w:rFonts w:cs="Arial"/>
          <w:b/>
          <w:szCs w:val="20"/>
        </w:rPr>
        <w:t>—</w:t>
      </w:r>
      <w:r w:rsidR="002227EE">
        <w:rPr>
          <w:b/>
          <w:lang w:val="en-US"/>
        </w:rPr>
        <w:t>v</w:t>
      </w:r>
      <w:r>
        <w:rPr>
          <w:b/>
          <w:lang w:val="en-US"/>
        </w:rPr>
        <w:t>oice o</w:t>
      </w:r>
      <w:r w:rsidRPr="00FD7E86">
        <w:rPr>
          <w:b/>
          <w:lang w:val="en-US"/>
        </w:rPr>
        <w:t xml:space="preserve">ver LTE </w:t>
      </w:r>
    </w:p>
    <w:p w14:paraId="5805AF6B" w14:textId="77777777" w:rsidR="00B7389D" w:rsidRDefault="00B7389D" w:rsidP="00B7389D">
      <w:r w:rsidRPr="00FD7E86">
        <w:rPr>
          <w:lang w:val="en-US"/>
        </w:rPr>
        <w:t xml:space="preserve">A standard allowing voice calls to be placed over an LTE </w:t>
      </w:r>
      <w:r w:rsidRPr="00EF0462">
        <w:rPr>
          <w:lang w:val="en-US"/>
        </w:rPr>
        <w:t>(Long Term Evolution)</w:t>
      </w:r>
      <w:r>
        <w:rPr>
          <w:lang w:val="en-US"/>
        </w:rPr>
        <w:t xml:space="preserve"> </w:t>
      </w:r>
      <w:r w:rsidRPr="00FD7E86">
        <w:rPr>
          <w:lang w:val="en-US"/>
        </w:rPr>
        <w:t xml:space="preserve">network. In the absence of VoLTE, </w:t>
      </w:r>
      <w:r w:rsidRPr="00531CD0">
        <w:t>LTE</w:t>
      </w:r>
      <w:r w:rsidRPr="00FD7E86">
        <w:rPr>
          <w:lang w:val="en-US"/>
        </w:rPr>
        <w:t xml:space="preserve"> networks generally only support a data service, with 2G or 3G networks used to support voice and other services such as SMS. </w:t>
      </w:r>
      <w:r w:rsidRPr="00FD7E86">
        <w:rPr>
          <w:bCs/>
        </w:rPr>
        <w:t>With VoLTE, voice calls</w:t>
      </w:r>
      <w:r w:rsidRPr="00FD7E86">
        <w:t xml:space="preserve"> (and SMS text messages) are integrated into the 4G LTE data stream rather than the previous arrangement of reverting back to 3G. VoLTE allows for multitasking, with simultaneous voice calls and 4G data connections. VoLTE also supports improved voice quality (HD Voice).</w:t>
      </w:r>
    </w:p>
    <w:p w14:paraId="6D278ECF" w14:textId="0CF03756" w:rsidR="00B7389D" w:rsidRPr="0054217A" w:rsidRDefault="00B7389D" w:rsidP="00B7389D">
      <w:pPr>
        <w:spacing w:after="0"/>
        <w:rPr>
          <w:rFonts w:cs="Arial"/>
          <w:b/>
          <w:szCs w:val="20"/>
        </w:rPr>
      </w:pPr>
      <w:r w:rsidRPr="0054217A">
        <w:rPr>
          <w:b/>
        </w:rPr>
        <w:t>VoWi</w:t>
      </w:r>
      <w:r w:rsidR="00520EC6">
        <w:rPr>
          <w:b/>
        </w:rPr>
        <w:t>F</w:t>
      </w:r>
      <w:r w:rsidRPr="0054217A">
        <w:rPr>
          <w:b/>
        </w:rPr>
        <w:t>i</w:t>
      </w:r>
      <w:r w:rsidRPr="0054217A">
        <w:rPr>
          <w:rFonts w:cs="Arial"/>
          <w:b/>
          <w:szCs w:val="20"/>
        </w:rPr>
        <w:t>—</w:t>
      </w:r>
      <w:r w:rsidRPr="00531CD0">
        <w:rPr>
          <w:b/>
          <w:lang w:val="en-US"/>
        </w:rPr>
        <w:t>voice</w:t>
      </w:r>
      <w:r w:rsidRPr="0054217A">
        <w:rPr>
          <w:rFonts w:cs="Arial"/>
          <w:b/>
          <w:szCs w:val="20"/>
        </w:rPr>
        <w:t xml:space="preserve"> over Wi</w:t>
      </w:r>
      <w:r>
        <w:rPr>
          <w:rFonts w:cs="Arial"/>
          <w:b/>
          <w:szCs w:val="20"/>
        </w:rPr>
        <w:t>-</w:t>
      </w:r>
      <w:r w:rsidRPr="0054217A">
        <w:rPr>
          <w:rFonts w:cs="Arial"/>
          <w:b/>
          <w:szCs w:val="20"/>
        </w:rPr>
        <w:t>Fi</w:t>
      </w:r>
    </w:p>
    <w:p w14:paraId="219E8D78" w14:textId="77777777" w:rsidR="006272B2" w:rsidRDefault="00B7389D" w:rsidP="0028421A">
      <w:r w:rsidRPr="0032755E">
        <w:t>A</w:t>
      </w:r>
      <w:r>
        <w:t xml:space="preserve"> technology that allows voice calls originating from, or terminating on, mobile handsets to be carried over Wi-Fi networks in environments where mobile network coverage is limited. VoWiFi is fully integrated with modern smartphones and does not require any additional apps to be installed on a device. End</w:t>
      </w:r>
      <w:r w:rsidR="00E51CCB">
        <w:noBreakHyphen/>
      </w:r>
      <w:r>
        <w:t>users are typically unaware when a transition from the mobile network to the Wi-Fi network occurs.</w:t>
      </w:r>
    </w:p>
    <w:p w14:paraId="5AA5E838" w14:textId="77777777" w:rsidR="003E5F1C" w:rsidRDefault="003E5F1C" w:rsidP="00B7389D">
      <w:pPr>
        <w:spacing w:after="0"/>
        <w:rPr>
          <w:rFonts w:cs="Arial"/>
          <w:b/>
          <w:szCs w:val="20"/>
        </w:rPr>
      </w:pPr>
      <w:r w:rsidRPr="0028421A">
        <w:rPr>
          <w:rFonts w:cs="Arial"/>
          <w:b/>
          <w:szCs w:val="20"/>
        </w:rPr>
        <w:t>Wi-Fi</w:t>
      </w:r>
    </w:p>
    <w:p w14:paraId="29CA8BF4" w14:textId="4A070CA5" w:rsidR="007024C9" w:rsidRDefault="007024C9" w:rsidP="007024C9">
      <w:r w:rsidRPr="007024C9">
        <w:t xml:space="preserve">A type of wireless local area network (WLAN) technology that uses radio waves </w:t>
      </w:r>
      <w:r w:rsidR="004533C4">
        <w:t>to provide wireless high</w:t>
      </w:r>
      <w:r w:rsidR="005856EB">
        <w:noBreakHyphen/>
      </w:r>
      <w:r w:rsidR="004533C4">
        <w:t>speed i</w:t>
      </w:r>
      <w:r w:rsidRPr="007024C9">
        <w:t xml:space="preserve">nternet and network connections using specifications </w:t>
      </w:r>
      <w:r>
        <w:t xml:space="preserve">in </w:t>
      </w:r>
      <w:r w:rsidR="004533C4">
        <w:t xml:space="preserve">the </w:t>
      </w:r>
      <w:r w:rsidR="004533C4">
        <w:rPr>
          <w:rFonts w:cs="Arial"/>
        </w:rPr>
        <w:t>IEEE 802.11 series of standards for WLAN</w:t>
      </w:r>
      <w:r w:rsidR="00FA7377">
        <w:t>.</w:t>
      </w:r>
    </w:p>
    <w:p w14:paraId="7612A38A" w14:textId="77777777" w:rsidR="003823BB" w:rsidRDefault="003823BB" w:rsidP="003823BB">
      <w:pPr>
        <w:pStyle w:val="Heading1"/>
        <w:sectPr w:rsidR="003823BB" w:rsidSect="006272B2">
          <w:endnotePr>
            <w:numFmt w:val="decimal"/>
            <w:numRestart w:val="eachSect"/>
          </w:endnotePr>
          <w:pgSz w:w="11906" w:h="16838" w:code="9"/>
          <w:pgMar w:top="1985" w:right="1134" w:bottom="1134" w:left="1134" w:header="709" w:footer="119" w:gutter="284"/>
          <w:cols w:space="708"/>
          <w:docGrid w:linePitch="360"/>
        </w:sectPr>
      </w:pPr>
      <w:bookmarkStart w:id="1754" w:name="_Toc500320940"/>
      <w:r>
        <w:t>Index</w:t>
      </w:r>
      <w:bookmarkEnd w:id="1754"/>
    </w:p>
    <w:p w14:paraId="67E2EDE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2 GHz spectrum  15</w:t>
      </w:r>
    </w:p>
    <w:p w14:paraId="07CC966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2G networks, decommissioned  12, 15</w:t>
      </w:r>
    </w:p>
    <w:p w14:paraId="4EB3843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2.3 GHz spectrum  15</w:t>
      </w:r>
    </w:p>
    <w:p w14:paraId="57E47A7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3.4 GHz spectrum  15</w:t>
      </w:r>
    </w:p>
    <w:p w14:paraId="733BE9F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4G mobile services  15</w:t>
      </w:r>
    </w:p>
    <w:p w14:paraId="5C8ACF4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emerging technologies  3, 25–28</w:t>
      </w:r>
    </w:p>
    <w:p w14:paraId="543E425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4G networks  15</w:t>
      </w:r>
    </w:p>
    <w:p w14:paraId="7383C6E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coverage  15</w:t>
      </w:r>
    </w:p>
    <w:p w14:paraId="2171F70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future investments  15</w:t>
      </w:r>
    </w:p>
    <w:p w14:paraId="2C1E145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4GX network  15, 28</w:t>
      </w:r>
    </w:p>
    <w:p w14:paraId="190031A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4.5G network  27</w:t>
      </w:r>
    </w:p>
    <w:p w14:paraId="377E269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5G mobile network developments  3, 15, 27–8</w:t>
      </w:r>
    </w:p>
    <w:p w14:paraId="7D9B54E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9Now  78</w:t>
      </w:r>
    </w:p>
    <w:p w14:paraId="4B15314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106 TTY (teletypewriter) text service  93, 95–6</w:t>
      </w:r>
    </w:p>
    <w:p w14:paraId="070F76E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112 emergency calls  6, 11, 93–4</w:t>
      </w:r>
    </w:p>
    <w:p w14:paraId="7750A7F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700 MHz spectrum  15</w:t>
      </w:r>
    </w:p>
    <w:p w14:paraId="6C49D10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1800 MHz spectrum  15</w:t>
      </w:r>
    </w:p>
    <w:p w14:paraId="66E5E3D2"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sidRPr="00B511A2">
        <w:rPr>
          <w:rFonts w:cs="Arial"/>
          <w:b/>
          <w:color w:val="37897E"/>
          <w:sz w:val="32"/>
          <w:szCs w:val="32"/>
        </w:rPr>
        <w:t>A</w:t>
      </w:r>
    </w:p>
    <w:p w14:paraId="1C61D21F"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AARNet  21</w:t>
      </w:r>
    </w:p>
    <w:p w14:paraId="6FC6B92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ABC iView  78</w:t>
      </w:r>
    </w:p>
    <w:p w14:paraId="35B977A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Acceleon Pty Ltd  102</w:t>
      </w:r>
    </w:p>
    <w:p w14:paraId="273089A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ACE Radio Broadcasters Pty Ltd  38</w:t>
      </w:r>
    </w:p>
    <w:p w14:paraId="0C1D9DC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acquisitions  24, 34</w:t>
      </w:r>
    </w:p>
    <w:p w14:paraId="673B2B3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ADSL  9, 19, 20, 22, 48</w:t>
      </w:r>
    </w:p>
    <w:p w14:paraId="63F5DF3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advertising</w:t>
      </w:r>
    </w:p>
    <w:p w14:paraId="6A80C24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expenditure  5, 12, 40–2</w:t>
      </w:r>
    </w:p>
    <w:p w14:paraId="68A914D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gambling  68, 69, 90</w:t>
      </w:r>
    </w:p>
    <w:p w14:paraId="3990BAF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5, 12, 40–2</w:t>
      </w:r>
    </w:p>
    <w:p w14:paraId="0062820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radio  40–1, 68</w:t>
      </w:r>
    </w:p>
    <w:p w14:paraId="5E234BF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TCP code  117</w:t>
      </w:r>
    </w:p>
    <w:p w14:paraId="0B27160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television  5, 40–1, 69</w:t>
      </w:r>
    </w:p>
    <w:p w14:paraId="75841E9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Aero Telecom Pty Ltd  119</w:t>
      </w:r>
    </w:p>
    <w:p w14:paraId="6895AAB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Alcatel Submarine Networks (ASN)  21</w:t>
      </w:r>
    </w:p>
    <w:p w14:paraId="50C2389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allocation of numbers  33–4</w:t>
      </w:r>
    </w:p>
    <w:p w14:paraId="4602E9F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AM to FM conversions  88</w:t>
      </w:r>
    </w:p>
    <w:p w14:paraId="78D6065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Amaysim  34</w:t>
      </w:r>
    </w:p>
    <w:p w14:paraId="45BE032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Amazon  16</w:t>
      </w:r>
    </w:p>
    <w:p w14:paraId="258B0CC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Amazon Prime Video  70, 72</w:t>
      </w:r>
    </w:p>
    <w:p w14:paraId="6276684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anti-siphoning provisions  69, 87</w:t>
      </w:r>
    </w:p>
    <w:p w14:paraId="738ACC1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Apple iMessage  57</w:t>
      </w:r>
    </w:p>
    <w:p w14:paraId="2EC4BB4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Apple Music  64, 67</w:t>
      </w:r>
    </w:p>
    <w:p w14:paraId="4C51E86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Apple TV  71, 74</w:t>
      </w:r>
    </w:p>
    <w:p w14:paraId="7D4DFEE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appointments  107, 109–10</w:t>
      </w:r>
    </w:p>
    <w:p w14:paraId="3437C57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apps  </w:t>
      </w:r>
      <w:r w:rsidRPr="00B511A2">
        <w:rPr>
          <w:rFonts w:eastAsiaTheme="minorEastAsia" w:cs="Arial"/>
          <w:i/>
          <w:iCs/>
          <w:sz w:val="18"/>
          <w:szCs w:val="18"/>
        </w:rPr>
        <w:t>see</w:t>
      </w:r>
      <w:r w:rsidRPr="00B511A2">
        <w:rPr>
          <w:rFonts w:eastAsiaTheme="minorEastAsia" w:cs="Arial"/>
          <w:sz w:val="18"/>
          <w:szCs w:val="18"/>
        </w:rPr>
        <w:t xml:space="preserve"> communications apps</w:t>
      </w:r>
    </w:p>
    <w:p w14:paraId="5A9E79C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APX-West  21</w:t>
      </w:r>
    </w:p>
    <w:p w14:paraId="0CB3DA6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Attorney-General’s Department (AGD)  96, 98, 100, 101, 123</w:t>
      </w:r>
    </w:p>
    <w:p w14:paraId="6ACEAA4F" w14:textId="7B8F62C4"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auDA (.au Domain Administration Ltd)  25</w:t>
      </w:r>
    </w:p>
    <w:p w14:paraId="1568936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audiences</w:t>
      </w:r>
    </w:p>
    <w:p w14:paraId="67ECD12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measurement  70</w:t>
      </w:r>
    </w:p>
    <w:p w14:paraId="0321B2F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news sites  81–2</w:t>
      </w:r>
    </w:p>
    <w:p w14:paraId="3EDBA51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audio content  64–8</w:t>
      </w:r>
    </w:p>
    <w:p w14:paraId="0B594AC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accessing  5, 54–5</w:t>
      </w:r>
    </w:p>
    <w:p w14:paraId="7B95D86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audio streaming  5, 67–8</w:t>
      </w:r>
    </w:p>
    <w:p w14:paraId="3E9CD9A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AusIndustry  100</w:t>
      </w:r>
    </w:p>
    <w:p w14:paraId="22562EC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AusRegistry  25</w:t>
      </w:r>
    </w:p>
    <w:p w14:paraId="5F4DB66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Broadband Services  34</w:t>
      </w:r>
    </w:p>
    <w:p w14:paraId="435C528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Communication Exchange (ACE)  93, 95</w:t>
      </w:r>
    </w:p>
    <w:p w14:paraId="47D70A9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Communications and Media Authority (ACMA)</w:t>
      </w:r>
    </w:p>
    <w:p w14:paraId="1FBD2A6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commissioned surveys  6, 126–7</w:t>
      </w:r>
    </w:p>
    <w:p w14:paraId="370F8C9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to  29</w:t>
      </w:r>
    </w:p>
    <w:p w14:paraId="6A90CC3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disclosures of customer information to  97–8</w:t>
      </w:r>
    </w:p>
    <w:p w14:paraId="4FF7AB5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Australian Communications and Media Authority Act 2005</w:t>
      </w:r>
      <w:r w:rsidRPr="00B511A2">
        <w:rPr>
          <w:rFonts w:eastAsiaTheme="minorEastAsia" w:cs="Arial"/>
          <w:sz w:val="18"/>
          <w:szCs w:val="18"/>
        </w:rPr>
        <w:t xml:space="preserve">  2</w:t>
      </w:r>
    </w:p>
    <w:p w14:paraId="6B74A2A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Competition and Consumer Commission (ACCC)  13, 97–8</w:t>
      </w:r>
    </w:p>
    <w:p w14:paraId="7492065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content on television  83–4</w:t>
      </w:r>
    </w:p>
    <w:p w14:paraId="210B021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Federal Police (AFP)  90</w:t>
      </w:r>
    </w:p>
    <w:p w14:paraId="3E5CF4C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Internet Security Initiative (AISI)  104, 123</w:t>
      </w:r>
    </w:p>
    <w:p w14:paraId="0F26E21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Power Control Systems Pty Ltd  118</w:t>
      </w:r>
    </w:p>
    <w:p w14:paraId="61BB580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Radio Network Pty Ltd  37, 38</w:t>
      </w:r>
    </w:p>
    <w:p w14:paraId="6B2BF02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Securities and Investments Commission (ASIC)  32</w:t>
      </w:r>
    </w:p>
    <w:p w14:paraId="0FAA226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Australian Smart Communities Association (ASCA)  26</w:t>
      </w:r>
    </w:p>
    <w:p w14:paraId="0CF68F7B"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B</w:t>
      </w:r>
    </w:p>
    <w:p w14:paraId="69EB0ECA"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banking  54, 59</w:t>
      </w:r>
    </w:p>
    <w:p w14:paraId="79A3428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Beyontel Pty Ltd  118</w:t>
      </w:r>
    </w:p>
    <w:p w14:paraId="073D465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BigPond Movies  72, 78</w:t>
      </w:r>
    </w:p>
    <w:p w14:paraId="54C10C2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billing and payments</w:t>
      </w:r>
    </w:p>
    <w:p w14:paraId="0CFC91C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125</w:t>
      </w:r>
    </w:p>
    <w:p w14:paraId="507270E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61</w:t>
      </w:r>
    </w:p>
    <w:p w14:paraId="51629C1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broadband internet</w:t>
      </w:r>
    </w:p>
    <w:p w14:paraId="4F0C264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downloaded  9, 51–2</w:t>
      </w:r>
    </w:p>
    <w:p w14:paraId="20265E6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home  10, 48</w:t>
      </w:r>
    </w:p>
    <w:p w14:paraId="7B001D4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62</w:t>
      </w:r>
    </w:p>
    <w:p w14:paraId="4E70562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wireless  7, 20</w:t>
      </w:r>
    </w:p>
    <w:p w14:paraId="46A51D4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Broadcast Operations Pty Ltd  37, 38</w:t>
      </w:r>
    </w:p>
    <w:p w14:paraId="47623A1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broadcasting complaints  11, 88–9</w:t>
      </w:r>
    </w:p>
    <w:p w14:paraId="1E5A53E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Broadcasting Legislation Amendment (Broadcasting Reform) Act 2017</w:t>
      </w:r>
      <w:r w:rsidRPr="00B511A2">
        <w:rPr>
          <w:rFonts w:eastAsiaTheme="minorEastAsia" w:cs="Arial"/>
          <w:sz w:val="18"/>
          <w:szCs w:val="18"/>
        </w:rPr>
        <w:t xml:space="preserve">  69</w:t>
      </w:r>
    </w:p>
    <w:p w14:paraId="0A51817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broadcasting licences  </w:t>
      </w:r>
      <w:r w:rsidRPr="00B511A2">
        <w:rPr>
          <w:rFonts w:eastAsiaTheme="minorEastAsia" w:cs="Arial"/>
          <w:i/>
          <w:iCs/>
          <w:sz w:val="18"/>
          <w:szCs w:val="18"/>
        </w:rPr>
        <w:t>see</w:t>
      </w:r>
      <w:r w:rsidRPr="00B511A2">
        <w:rPr>
          <w:rFonts w:eastAsiaTheme="minorEastAsia" w:cs="Arial"/>
          <w:sz w:val="18"/>
          <w:szCs w:val="18"/>
        </w:rPr>
        <w:t xml:space="preserve"> licences</w:t>
      </w:r>
    </w:p>
    <w:p w14:paraId="73E05CB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broadcasting services  35–40</w:t>
      </w:r>
    </w:p>
    <w:p w14:paraId="0151B1F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radio; television</w:t>
      </w:r>
    </w:p>
    <w:p w14:paraId="3624664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 xml:space="preserve">Broadcasting Services Act 1992 </w:t>
      </w:r>
      <w:r w:rsidRPr="00B511A2">
        <w:rPr>
          <w:rFonts w:eastAsiaTheme="minorEastAsia" w:cs="Arial"/>
          <w:sz w:val="18"/>
          <w:szCs w:val="18"/>
        </w:rPr>
        <w:t>(BSA)  37, 83, 85, 87–9</w:t>
      </w:r>
    </w:p>
    <w:p w14:paraId="2D73C78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Broadcasting Services (Australian Content) Standard 2016  83, 84</w:t>
      </w:r>
    </w:p>
    <w:p w14:paraId="4DBB156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Broadcasting Services (Regional Commercial Radio—Material of Local Significance) Licence Condition 2014  86–7</w:t>
      </w:r>
    </w:p>
    <w:p w14:paraId="1D32196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browsing internet  54, 63</w:t>
      </w:r>
    </w:p>
    <w:p w14:paraId="2605EC6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businesses online  25, 60</w:t>
      </w:r>
    </w:p>
    <w:p w14:paraId="4C4AC65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buying online  54, 58–60, 63</w:t>
      </w:r>
    </w:p>
    <w:p w14:paraId="6BA6F34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Bytecard Pty Ltd  118</w:t>
      </w:r>
    </w:p>
    <w:p w14:paraId="7ECFF389"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C</w:t>
      </w:r>
    </w:p>
    <w:p w14:paraId="0ABEBBA5"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cable internet  20, 22</w:t>
      </w:r>
    </w:p>
    <w:p w14:paraId="5231599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cable runs  111, 113</w:t>
      </w:r>
    </w:p>
    <w:p w14:paraId="4A460B7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cablers, registered  119</w:t>
      </w:r>
    </w:p>
    <w:p w14:paraId="7C32640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cabling compliance  120</w:t>
      </w:r>
    </w:p>
    <w:p w14:paraId="3434B9F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cabling regulation  119–20</w:t>
      </w:r>
    </w:p>
    <w:p w14:paraId="65CFD72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call quality, consumer satisfaction  61</w:t>
      </w:r>
    </w:p>
    <w:p w14:paraId="717EE95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call/service costs, consumer satisfaction  61</w:t>
      </w:r>
    </w:p>
    <w:p w14:paraId="2CCB4C9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Canberra Data Centres (CDC)  24</w:t>
      </w:r>
    </w:p>
    <w:p w14:paraId="0E46BC97" w14:textId="77777777" w:rsidR="003823BB" w:rsidRPr="00B511A2" w:rsidRDefault="003823BB" w:rsidP="003823BB">
      <w:pPr>
        <w:keepNext/>
        <w:keepLines/>
        <w:widowControl w:val="0"/>
        <w:autoSpaceDE w:val="0"/>
        <w:autoSpaceDN w:val="0"/>
        <w:adjustRightInd w:val="0"/>
        <w:spacing w:after="0" w:line="240" w:lineRule="auto"/>
        <w:ind w:left="115" w:hanging="113"/>
        <w:rPr>
          <w:rFonts w:eastAsiaTheme="minorEastAsia" w:cs="Arial"/>
          <w:sz w:val="18"/>
          <w:szCs w:val="18"/>
        </w:rPr>
      </w:pPr>
      <w:r w:rsidRPr="00B511A2">
        <w:rPr>
          <w:rFonts w:eastAsiaTheme="minorEastAsia" w:cs="Arial"/>
          <w:sz w:val="18"/>
          <w:szCs w:val="18"/>
        </w:rPr>
        <w:t>captioning television</w:t>
      </w:r>
    </w:p>
    <w:p w14:paraId="4ABD9E02"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breaches  85</w:t>
      </w:r>
    </w:p>
    <w:p w14:paraId="6763928F"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compliance  85–6</w:t>
      </w:r>
    </w:p>
    <w:p w14:paraId="71FA5E00"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exemption orders  86</w:t>
      </w:r>
    </w:p>
    <w:p w14:paraId="2CF50EFA"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legislation review  86</w:t>
      </w:r>
    </w:p>
    <w:p w14:paraId="504C52B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target reduction orders  86</w:t>
      </w:r>
    </w:p>
    <w:p w14:paraId="1B0E957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 of  86</w:t>
      </w:r>
    </w:p>
    <w:p w14:paraId="1988E5A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carriage service providers (CSPs)</w:t>
      </w:r>
    </w:p>
    <w:p w14:paraId="33DEEEF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allocation of numbers  33–4</w:t>
      </w:r>
    </w:p>
    <w:p w14:paraId="0A82558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compliance  29</w:t>
      </w:r>
    </w:p>
    <w:p w14:paraId="4517965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disclosures of customer information  6, 11, 97–8</w:t>
      </w:r>
    </w:p>
    <w:p w14:paraId="34EFB5A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 services  93–4</w:t>
      </w:r>
    </w:p>
    <w:p w14:paraId="6B1912B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suspension  93, 99</w:t>
      </w:r>
    </w:p>
    <w:p w14:paraId="3BF0267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fixed-line telephone services  12–13, 107-10</w:t>
      </w:r>
    </w:p>
    <w:p w14:paraId="070156D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identity checking  101</w:t>
      </w:r>
    </w:p>
    <w:p w14:paraId="596C356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Integrated Public Number Database (IPND)  101–2</w:t>
      </w:r>
    </w:p>
    <w:p w14:paraId="2749104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interception  6, 99</w:t>
      </w:r>
    </w:p>
    <w:p w14:paraId="39022A3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life-threatening calls  102</w:t>
      </w:r>
    </w:p>
    <w:p w14:paraId="23196EB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 portability  116–17</w:t>
      </w:r>
    </w:p>
    <w:p w14:paraId="21B874C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w:t>
      </w:r>
    </w:p>
    <w:p w14:paraId="3C651FD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TIO scheme  124</w:t>
      </w:r>
    </w:p>
    <w:p w14:paraId="0E83F06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TIO scheme members  33</w:t>
      </w:r>
    </w:p>
    <w:p w14:paraId="76AB2D3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Customer Service Guarantee Standard</w:t>
      </w:r>
    </w:p>
    <w:p w14:paraId="1FF3340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carrier licensing  32–3</w:t>
      </w:r>
    </w:p>
    <w:p w14:paraId="501F091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carriers, licensed  8, 32–3</w:t>
      </w:r>
    </w:p>
    <w:p w14:paraId="51ABB0E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cars, smart  26</w:t>
      </w:r>
    </w:p>
    <w:p w14:paraId="42AF9FE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CBS International Television Australia Pty Limited  69</w:t>
      </w:r>
    </w:p>
    <w:p w14:paraId="6696746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Chair's foreword  1</w:t>
      </w:r>
    </w:p>
    <w:p w14:paraId="34FB72B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children's programs  69, 83–4</w:t>
      </w:r>
    </w:p>
    <w:p w14:paraId="2D6BFF1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Children’s Television Standards 2009  84</w:t>
      </w:r>
    </w:p>
    <w:p w14:paraId="2326DD5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City of Wollongong  25–6</w:t>
      </w:r>
    </w:p>
    <w:p w14:paraId="250547D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Clean Energy Finance Corporation (CEFC)  27</w:t>
      </w:r>
    </w:p>
    <w:p w14:paraId="56A1CDA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cloud computing  24</w:t>
      </w:r>
    </w:p>
    <w:p w14:paraId="185B9BF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Cognevo (NZ)  34</w:t>
      </w:r>
    </w:p>
    <w:p w14:paraId="0D7B4F3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Cohda Wireless  26</w:t>
      </w:r>
    </w:p>
    <w:p w14:paraId="4E99B2F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broadcasting services  35–37</w:t>
      </w:r>
    </w:p>
    <w:p w14:paraId="79736EF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Radio Australia  66, 88</w:t>
      </w:r>
    </w:p>
    <w:p w14:paraId="5C75E82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radio broadcasting licences</w:t>
      </w:r>
    </w:p>
    <w:p w14:paraId="32571C8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AM to FM conversions  88</w:t>
      </w:r>
    </w:p>
    <w:p w14:paraId="52EDEEA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cross-media ownership  39</w:t>
      </w:r>
    </w:p>
    <w:p w14:paraId="0CEA9DA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87</w:t>
      </w:r>
    </w:p>
    <w:p w14:paraId="1FAE964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07C7619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10, 35, 39</w:t>
      </w:r>
    </w:p>
    <w:p w14:paraId="06F7516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ownership and control  37–8</w:t>
      </w:r>
    </w:p>
    <w:p w14:paraId="58FB49D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Radio Industry Code of Practice  64</w:t>
      </w:r>
    </w:p>
    <w:p w14:paraId="3B4D94E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television broadcasters</w:t>
      </w:r>
    </w:p>
    <w:p w14:paraId="2A553D4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Australian content  83</w:t>
      </w:r>
    </w:p>
    <w:p w14:paraId="231D8A5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children's programs  69, 84</w:t>
      </w:r>
    </w:p>
    <w:p w14:paraId="3F50FD8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drama expenditure scheme  84–5</w:t>
      </w:r>
    </w:p>
    <w:p w14:paraId="211A05C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commercial television broadcasting licences</w:t>
      </w:r>
    </w:p>
    <w:p w14:paraId="7E5D24F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anti-siphoning events  87</w:t>
      </w:r>
    </w:p>
    <w:p w14:paraId="566031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cross-media ownership  39</w:t>
      </w:r>
    </w:p>
    <w:p w14:paraId="435171C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regional  86</w:t>
      </w:r>
    </w:p>
    <w:p w14:paraId="2687C33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415873C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10, 35</w:t>
      </w:r>
    </w:p>
    <w:p w14:paraId="795ED45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ownership and control  35–6</w:t>
      </w:r>
    </w:p>
    <w:p w14:paraId="4603E94A" w14:textId="342C37CE"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 xml:space="preserve">Commercial </w:t>
      </w:r>
      <w:r w:rsidR="00152650">
        <w:rPr>
          <w:rFonts w:eastAsiaTheme="minorEastAsia" w:cs="Arial"/>
          <w:i/>
          <w:iCs/>
          <w:sz w:val="18"/>
          <w:szCs w:val="18"/>
        </w:rPr>
        <w:t>Broadcasting</w:t>
      </w:r>
      <w:r w:rsidRPr="00B511A2">
        <w:rPr>
          <w:rFonts w:eastAsiaTheme="minorEastAsia" w:cs="Arial"/>
          <w:i/>
          <w:iCs/>
          <w:sz w:val="18"/>
          <w:szCs w:val="18"/>
        </w:rPr>
        <w:t xml:space="preserve"> (Tax) Act 2017</w:t>
      </w:r>
      <w:r w:rsidRPr="00B511A2">
        <w:rPr>
          <w:rFonts w:eastAsiaTheme="minorEastAsia" w:cs="Arial"/>
          <w:sz w:val="18"/>
          <w:szCs w:val="18"/>
        </w:rPr>
        <w:t xml:space="preserve">  69</w:t>
      </w:r>
    </w:p>
    <w:p w14:paraId="1F1988D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Communications Access Co-ordinator (CAC)  99</w:t>
      </w:r>
    </w:p>
    <w:p w14:paraId="31A3422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Communications Alliance  117, 118</w:t>
      </w:r>
    </w:p>
    <w:p w14:paraId="5F2C8AE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communications apps  17, 46, 47, 56–8</w:t>
      </w:r>
    </w:p>
    <w:p w14:paraId="4ADACD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activities undertaken  17, 56–8</w:t>
      </w:r>
    </w:p>
    <w:p w14:paraId="4704464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reasons for preferring  58</w:t>
      </w:r>
    </w:p>
    <w:p w14:paraId="0A08795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 use  17, 57</w:t>
      </w:r>
    </w:p>
    <w:p w14:paraId="0224DCC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 of  4, 17, 56–8</w:t>
      </w:r>
    </w:p>
    <w:p w14:paraId="5B355DC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Communications Compliance (CommCom)  118</w:t>
      </w:r>
    </w:p>
    <w:p w14:paraId="295CA08D" w14:textId="77777777" w:rsidR="003823BB" w:rsidRPr="00B511A2" w:rsidRDefault="003823BB" w:rsidP="003823BB">
      <w:pPr>
        <w:keepNext/>
        <w:widowControl w:val="0"/>
        <w:autoSpaceDE w:val="0"/>
        <w:autoSpaceDN w:val="0"/>
        <w:adjustRightInd w:val="0"/>
        <w:spacing w:after="0" w:line="240" w:lineRule="auto"/>
        <w:ind w:left="113" w:hanging="113"/>
        <w:rPr>
          <w:rFonts w:eastAsiaTheme="minorEastAsia" w:cs="Arial"/>
          <w:sz w:val="18"/>
          <w:szCs w:val="18"/>
        </w:rPr>
      </w:pPr>
      <w:r w:rsidRPr="00B511A2">
        <w:rPr>
          <w:rFonts w:eastAsiaTheme="minorEastAsia" w:cs="Arial"/>
          <w:sz w:val="18"/>
          <w:szCs w:val="18"/>
        </w:rPr>
        <w:t>communications services</w:t>
      </w:r>
    </w:p>
    <w:p w14:paraId="6187FD3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accessing  46–51</w:t>
      </w:r>
    </w:p>
    <w:p w14:paraId="390AF9F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4, 5, 46, 60–1</w:t>
      </w:r>
    </w:p>
    <w:p w14:paraId="7523FBF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industry supply  12–45</w:t>
      </w:r>
    </w:p>
    <w:p w14:paraId="0085923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 of times used  58</w:t>
      </w:r>
    </w:p>
    <w:p w14:paraId="1F47020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preferred  57–8</w:t>
      </w:r>
    </w:p>
    <w:p w14:paraId="02267DC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take-up  46, 48</w:t>
      </w:r>
    </w:p>
    <w:p w14:paraId="19B4CE9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used  46–7</w:t>
      </w:r>
    </w:p>
    <w:p w14:paraId="48675AE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community radio broadcasting licences  39</w:t>
      </w:r>
    </w:p>
    <w:p w14:paraId="401649E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35, 39</w:t>
      </w:r>
    </w:p>
    <w:p w14:paraId="321E3B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temporary  35, 39</w:t>
      </w:r>
    </w:p>
    <w:p w14:paraId="4CDC63E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community television broadcasting licences, numbers  35, 39</w:t>
      </w:r>
    </w:p>
    <w:p w14:paraId="3DF171A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community television services  39</w:t>
      </w:r>
    </w:p>
    <w:p w14:paraId="72A2F51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transition  40</w:t>
      </w:r>
    </w:p>
    <w:p w14:paraId="70A1DEE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trials  40</w:t>
      </w:r>
    </w:p>
    <w:p w14:paraId="0CF22D4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Company85  34</w:t>
      </w:r>
    </w:p>
    <w:p w14:paraId="41C0988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compensation payments, Customer Service Guarantee Standard  5, 110–11</w:t>
      </w:r>
    </w:p>
    <w:p w14:paraId="14A907D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complaint handling  29, 125</w:t>
      </w:r>
    </w:p>
    <w:p w14:paraId="339E291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complaints</w:t>
      </w:r>
    </w:p>
    <w:p w14:paraId="559BC98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to ACMA  5, 11, 29, 120-2</w:t>
      </w:r>
    </w:p>
    <w:p w14:paraId="548EF5E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billing and payments  125</w:t>
      </w:r>
    </w:p>
    <w:p w14:paraId="0B7D02D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broadcasting  11, 88–9</w:t>
      </w:r>
    </w:p>
    <w:p w14:paraId="55E32DC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domestic systems interference (DSI)  30–1</w:t>
      </w:r>
    </w:p>
    <w:p w14:paraId="0760EBB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e-marketing  121–2</w:t>
      </w:r>
    </w:p>
    <w:p w14:paraId="2C3E8D1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facility installation  30</w:t>
      </w:r>
    </w:p>
    <w:p w14:paraId="76B7702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interactive gambling  90</w:t>
      </w:r>
    </w:p>
    <w:p w14:paraId="7655E52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interference  30–1</w:t>
      </w:r>
    </w:p>
    <w:p w14:paraId="5845CFE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phone base stations  29</w:t>
      </w:r>
    </w:p>
    <w:p w14:paraId="0946BC8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National Broadband Network (NBN)  5, 104, 124</w:t>
      </w:r>
    </w:p>
    <w:p w14:paraId="79BC0D9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content  90</w:t>
      </w:r>
    </w:p>
    <w:p w14:paraId="3E6245A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radiocommunications interference  30–1</w:t>
      </w:r>
    </w:p>
    <w:p w14:paraId="5B17E65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spam  11, 121–2</w:t>
      </w:r>
    </w:p>
    <w:p w14:paraId="3EEDB34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to Telecommunications Industry Ombudsman  5, 11, 30, 104, 124–5</w:t>
      </w:r>
    </w:p>
    <w:p w14:paraId="4002E8A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telemarketing  11, 121–2</w:t>
      </w:r>
    </w:p>
    <w:p w14:paraId="4AA359C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Triple Zero calls  95</w:t>
      </w:r>
    </w:p>
    <w:p w14:paraId="77B819B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compliance</w:t>
      </w:r>
    </w:p>
    <w:p w14:paraId="6CBF1C9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cabling  120</w:t>
      </w:r>
    </w:p>
    <w:p w14:paraId="7AB936D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captioning television  85–6</w:t>
      </w:r>
    </w:p>
    <w:p w14:paraId="2E7A5397" w14:textId="397C8674"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 xml:space="preserve">Customer Service Guarantee Standard  104, </w:t>
      </w:r>
      <w:r w:rsidR="00D96228">
        <w:rPr>
          <w:rFonts w:eastAsiaTheme="minorEastAsia" w:cs="Arial"/>
          <w:sz w:val="18"/>
          <w:szCs w:val="18"/>
        </w:rPr>
        <w:br/>
      </w:r>
      <w:r w:rsidRPr="00B511A2">
        <w:rPr>
          <w:rFonts w:eastAsiaTheme="minorEastAsia" w:cs="Arial"/>
          <w:sz w:val="18"/>
          <w:szCs w:val="18"/>
        </w:rPr>
        <w:t>107–11</w:t>
      </w:r>
    </w:p>
    <w:p w14:paraId="25E58E3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retention  100–1</w:t>
      </w:r>
    </w:p>
    <w:p w14:paraId="728D9CF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Integrated Public Number Database (IPND)  101–2</w:t>
      </w:r>
    </w:p>
    <w:p w14:paraId="3DCB600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interception capability plan  99</w:t>
      </w:r>
    </w:p>
    <w:p w14:paraId="3E30FF6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78C412F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Telecommunications Consumer Protection (TCP) Code  117–19</w:t>
      </w:r>
    </w:p>
    <w:p w14:paraId="1517D50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TIO scheme  124</w:t>
      </w:r>
    </w:p>
    <w:p w14:paraId="4E539AB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computers, internet access  4, 49–53</w:t>
      </w:r>
    </w:p>
    <w:p w14:paraId="7864763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Connect Outstanding Industry Code</w:t>
      </w:r>
      <w:r w:rsidRPr="00B511A2">
        <w:rPr>
          <w:rFonts w:eastAsiaTheme="minorEastAsia" w:cs="Arial"/>
          <w:sz w:val="18"/>
          <w:szCs w:val="18"/>
        </w:rPr>
        <w:t xml:space="preserve">  117</w:t>
      </w:r>
    </w:p>
    <w:p w14:paraId="4118EEB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connections  108–9, 110</w:t>
      </w:r>
    </w:p>
    <w:p w14:paraId="748B5D6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125</w:t>
      </w:r>
    </w:p>
    <w:p w14:paraId="218B916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w:t>
      </w:r>
    </w:p>
    <w:p w14:paraId="0256443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consumer engagement with communications  46–63</w:t>
      </w:r>
    </w:p>
    <w:p w14:paraId="42828D2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consumer safeguards  5, 104–25</w:t>
      </w:r>
    </w:p>
    <w:p w14:paraId="256DCEF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consumer satisfaction  4, 5, 46, 60–1</w:t>
      </w:r>
    </w:p>
    <w:p w14:paraId="00AA84C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content regulation, Australian content  83</w:t>
      </w:r>
    </w:p>
    <w:p w14:paraId="28B450A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contracts, complaints  125</w:t>
      </w:r>
    </w:p>
    <w:p w14:paraId="2886333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copper network switch-off  22</w:t>
      </w:r>
    </w:p>
    <w:p w14:paraId="3F688F1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criminal law enforcement agencies  100</w:t>
      </w:r>
    </w:p>
    <w:p w14:paraId="2945C14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Critical Information Summary requirements  117</w:t>
      </w:r>
    </w:p>
    <w:p w14:paraId="74149C3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cross-media ownership  39</w:t>
      </w:r>
    </w:p>
    <w:p w14:paraId="55B967C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Crunch Networks Pty Ltd  118</w:t>
      </w:r>
    </w:p>
    <w:p w14:paraId="44D03FD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customer information disclosures  97–8</w:t>
      </w:r>
    </w:p>
    <w:p w14:paraId="042E44E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customer service, complaints  125</w:t>
      </w:r>
    </w:p>
    <w:p w14:paraId="7E15CF9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Customer Service Guarantee Standard  104, 107</w:t>
      </w:r>
    </w:p>
    <w:p w14:paraId="25C9E23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109–10</w:t>
      </w:r>
    </w:p>
    <w:p w14:paraId="4CF85CA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benchmark performance  5, 107–11</w:t>
      </w:r>
    </w:p>
    <w:p w14:paraId="6F084CF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5, 110–11</w:t>
      </w:r>
    </w:p>
    <w:p w14:paraId="2C7E4E3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compliance  104, 107–11</w:t>
      </w:r>
    </w:p>
    <w:p w14:paraId="048B78C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connections  108–9, 110</w:t>
      </w:r>
    </w:p>
    <w:p w14:paraId="75A4901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exceptions  111</w:t>
      </w:r>
    </w:p>
    <w:p w14:paraId="453834C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108–10</w:t>
      </w:r>
    </w:p>
    <w:p w14:paraId="184E2E6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108–9, 110</w:t>
      </w:r>
    </w:p>
    <w:p w14:paraId="0A5628E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108–9, 110</w:t>
      </w:r>
    </w:p>
    <w:p w14:paraId="266B6AA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qualifying carriage service providers (QCSPs)  107–8</w:t>
      </w:r>
    </w:p>
    <w:p w14:paraId="01E7488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services subject to  107</w:t>
      </w:r>
    </w:p>
    <w:p w14:paraId="20D573C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telephone services covered by  8</w:t>
      </w:r>
    </w:p>
    <w:p w14:paraId="37C756E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time frames  5, 108, 109</w:t>
      </w:r>
    </w:p>
    <w:p w14:paraId="755D18C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waivers  5, 8, 108</w:t>
      </w:r>
    </w:p>
    <w:p w14:paraId="0F8C941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cybersecurity  123</w:t>
      </w:r>
    </w:p>
    <w:p w14:paraId="1F19EB55"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D</w:t>
      </w:r>
    </w:p>
    <w:p w14:paraId="4065DF77"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data allowances  53</w:t>
      </w:r>
    </w:p>
    <w:p w14:paraId="1F3AABE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data downloaded  3, 9, 46, 51–2</w:t>
      </w:r>
    </w:p>
    <w:p w14:paraId="28E278D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video  73</w:t>
      </w:r>
    </w:p>
    <w:p w14:paraId="1341BBF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volumes  9, 52, 73</w:t>
      </w:r>
    </w:p>
    <w:p w14:paraId="5BD5155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data plans  51, 53</w:t>
      </w:r>
    </w:p>
    <w:p w14:paraId="189FF12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data retention  100–1</w:t>
      </w:r>
    </w:p>
    <w:p w14:paraId="4AF2995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Data Retention Industry Grants Programme  100–1</w:t>
      </w:r>
    </w:p>
    <w:p w14:paraId="57F17F5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data speeds, consumer satisfaction  46, 60, 61</w:t>
      </w:r>
    </w:p>
    <w:p w14:paraId="66AEF33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Deezer  67</w:t>
      </w:r>
    </w:p>
    <w:p w14:paraId="60B4565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denial-of-service (DDoS) attacks  123</w:t>
      </w:r>
    </w:p>
    <w:p w14:paraId="0160787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Department of Communications  88</w:t>
      </w:r>
    </w:p>
    <w:p w14:paraId="6CFAE7B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Department of Communications and the Arts  69, 88, 105</w:t>
      </w:r>
    </w:p>
    <w:p w14:paraId="709839E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Department of Prime Minister and Cabinet  25</w:t>
      </w:r>
    </w:p>
    <w:p w14:paraId="1AF3852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desktop computers, internet access  4, 49–53</w:t>
      </w:r>
    </w:p>
    <w:p w14:paraId="0B470DD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dial-up internet  20</w:t>
      </w:r>
    </w:p>
    <w:p w14:paraId="3FEADC8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digital broadcasting  88</w:t>
      </w:r>
    </w:p>
    <w:p w14:paraId="301BF93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digital radio  64–66, 88</w:t>
      </w:r>
    </w:p>
    <w:p w14:paraId="3C33C33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Digital Radio Planning Committee  88</w:t>
      </w:r>
    </w:p>
    <w:p w14:paraId="28D3E1F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Digital Technologies &amp; Telecommunications Pty Ltd  124</w:t>
      </w:r>
    </w:p>
    <w:p w14:paraId="63910FF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digital television  88</w:t>
      </w:r>
    </w:p>
    <w:p w14:paraId="4F1EFA0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Direct Connect Pty Ltd  118</w:t>
      </w:r>
    </w:p>
    <w:p w14:paraId="726BDE2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disclosures of customer information  6, 11, 93, 97–8</w:t>
      </w:r>
    </w:p>
    <w:p w14:paraId="2F373E3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Disney  71</w:t>
      </w:r>
    </w:p>
    <w:p w14:paraId="7559892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Do Not Call Register Act 2006</w:t>
      </w:r>
      <w:r w:rsidRPr="00B511A2">
        <w:rPr>
          <w:rFonts w:eastAsiaTheme="minorEastAsia" w:cs="Arial"/>
          <w:sz w:val="18"/>
          <w:szCs w:val="18"/>
        </w:rPr>
        <w:t xml:space="preserve">  120, 121</w:t>
      </w:r>
    </w:p>
    <w:p w14:paraId="06F0B07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Do Not Call Register (DNCR)  120</w:t>
      </w:r>
    </w:p>
    <w:p w14:paraId="5AAD5C9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added  5, 104, 120</w:t>
      </w:r>
    </w:p>
    <w:p w14:paraId="47C573D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submitted for checking  120</w:t>
      </w:r>
    </w:p>
    <w:p w14:paraId="7CF9729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documentaries, Australian content  83</w:t>
      </w:r>
    </w:p>
    <w:p w14:paraId="08ADFE4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Dodo</w:t>
      </w:r>
    </w:p>
    <w:p w14:paraId="15FF863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 110</w:t>
      </w:r>
    </w:p>
    <w:p w14:paraId="06CD935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110</w:t>
      </w:r>
    </w:p>
    <w:p w14:paraId="179A983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107–10</w:t>
      </w:r>
    </w:p>
    <w:p w14:paraId="20CE82D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109, 110</w:t>
      </w:r>
    </w:p>
    <w:p w14:paraId="2D7E84E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109, 110</w:t>
      </w:r>
    </w:p>
    <w:p w14:paraId="69BCF24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109, 110</w:t>
      </w:r>
    </w:p>
    <w:p w14:paraId="10A834C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as qualifying carriage service providers (QCSPs)  107</w:t>
      </w:r>
    </w:p>
    <w:p w14:paraId="1FFDE16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domain names registered  25</w:t>
      </w:r>
    </w:p>
    <w:p w14:paraId="69BE0DB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domestic systems interference (DSI), complaints  </w:t>
      </w:r>
      <w:r>
        <w:rPr>
          <w:rFonts w:eastAsiaTheme="minorEastAsia" w:cs="Arial"/>
          <w:sz w:val="18"/>
          <w:szCs w:val="18"/>
        </w:rPr>
        <w:br/>
      </w:r>
      <w:r w:rsidRPr="00B511A2">
        <w:rPr>
          <w:rFonts w:eastAsiaTheme="minorEastAsia" w:cs="Arial"/>
          <w:sz w:val="18"/>
          <w:szCs w:val="18"/>
        </w:rPr>
        <w:t>30–1</w:t>
      </w:r>
    </w:p>
    <w:p w14:paraId="3B209CF0" w14:textId="77777777" w:rsidR="003823BB" w:rsidRPr="00B511A2" w:rsidRDefault="003823BB" w:rsidP="003823BB">
      <w:pPr>
        <w:keepNext/>
        <w:keepLines/>
        <w:widowControl w:val="0"/>
        <w:autoSpaceDE w:val="0"/>
        <w:autoSpaceDN w:val="0"/>
        <w:adjustRightInd w:val="0"/>
        <w:spacing w:after="0" w:line="240" w:lineRule="auto"/>
        <w:ind w:left="115" w:hanging="113"/>
        <w:rPr>
          <w:rFonts w:eastAsiaTheme="minorEastAsia" w:cs="Arial"/>
          <w:sz w:val="18"/>
          <w:szCs w:val="18"/>
        </w:rPr>
      </w:pPr>
      <w:r w:rsidRPr="00B511A2">
        <w:rPr>
          <w:rFonts w:eastAsiaTheme="minorEastAsia" w:cs="Arial"/>
          <w:sz w:val="18"/>
          <w:szCs w:val="18"/>
        </w:rPr>
        <w:t>drama</w:t>
      </w:r>
    </w:p>
    <w:p w14:paraId="6D318843"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Australian content  83</w:t>
      </w:r>
    </w:p>
    <w:p w14:paraId="204573D1"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expenditure scheme  84–5</w:t>
      </w:r>
    </w:p>
    <w:p w14:paraId="2378EDF9"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E</w:t>
      </w:r>
    </w:p>
    <w:p w14:paraId="714E2326"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e-commerce  10, 54, 58–60</w:t>
      </w:r>
    </w:p>
    <w:p w14:paraId="5DA763C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e-reader, internet access  49, 50</w:t>
      </w:r>
    </w:p>
    <w:p w14:paraId="79AB0C8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Ecopost Pty Ltd  119</w:t>
      </w:r>
    </w:p>
    <w:p w14:paraId="320C64F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eligible drama expenditure scheme  84–5</w:t>
      </w:r>
    </w:p>
    <w:p w14:paraId="208A545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email  46–7, 54, 63</w:t>
      </w:r>
    </w:p>
    <w:p w14:paraId="75D243B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Emergency Call Persons Determination  95</w:t>
      </w:r>
    </w:p>
    <w:p w14:paraId="1E7C2FC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emergency call services  93–6</w:t>
      </w:r>
    </w:p>
    <w:p w14:paraId="1D41A19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106 TTY (teletypewriter) text service  95–6</w:t>
      </w:r>
    </w:p>
    <w:p w14:paraId="79E1BFF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112 emergency calls  93–4</w:t>
      </w:r>
    </w:p>
    <w:p w14:paraId="648EBFA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disclosures of customer information to  98</w:t>
      </w:r>
    </w:p>
    <w:p w14:paraId="535B177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non-emergency calls  93, 94</w:t>
      </w:r>
    </w:p>
    <w:p w14:paraId="689F6FF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 of calls offered  11, 95</w:t>
      </w:r>
    </w:p>
    <w:p w14:paraId="4796503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percentage of calls answered  11</w:t>
      </w:r>
    </w:p>
    <w:p w14:paraId="6C90E5E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teletypewriters (TTY)  95–6</w:t>
      </w:r>
    </w:p>
    <w:p w14:paraId="0DD10CD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Triple Zero calls  93–4, 95–6</w:t>
      </w:r>
    </w:p>
    <w:p w14:paraId="27E73F7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emergency calls</w:t>
      </w:r>
    </w:p>
    <w:p w14:paraId="6D79C4F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answering  94, 95</w:t>
      </w:r>
    </w:p>
    <w:p w14:paraId="7387102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from fixed-line telephones  94</w:t>
      </w:r>
    </w:p>
    <w:p w14:paraId="1F84685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genuine  93–4</w:t>
      </w:r>
    </w:p>
    <w:p w14:paraId="35A38AE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and Global Positioning System (GPS) information  95</w:t>
      </w:r>
    </w:p>
    <w:p w14:paraId="5E157E3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and mobile location  95</w:t>
      </w:r>
    </w:p>
    <w:p w14:paraId="7997CED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from mobile phones  6, 94, 95</w:t>
      </w:r>
    </w:p>
    <w:p w14:paraId="4FE6ACD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from payphones  94, 95</w:t>
      </w:r>
    </w:p>
    <w:p w14:paraId="5F8106C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transfers  94–5</w:t>
      </w:r>
    </w:p>
    <w:p w14:paraId="73EDB7E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National Relay Service (NRS)  95–6</w:t>
      </w:r>
    </w:p>
    <w:p w14:paraId="01B4772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volumes  93–4, 95</w:t>
      </w:r>
    </w:p>
    <w:p w14:paraId="034AE39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emergency service organisations (ESO)  93</w:t>
      </w:r>
    </w:p>
    <w:p w14:paraId="6B0AC17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calls transferred to  94, 95</w:t>
      </w:r>
    </w:p>
    <w:p w14:paraId="16AD1BB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emergency suspension of carriage services  93, 99</w:t>
      </w:r>
    </w:p>
    <w:p w14:paraId="0A0D08E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Encoo Pty Ltd  119</w:t>
      </w:r>
    </w:p>
    <w:p w14:paraId="311A91E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EON 2CH Pty Ltd  37</w:t>
      </w:r>
    </w:p>
    <w:p w14:paraId="635D2A6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Ericsson  4, 26, 27</w:t>
      </w:r>
    </w:p>
    <w:p w14:paraId="0830B48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Escapenet Pty Ltd  119</w:t>
      </w:r>
    </w:p>
    <w:p w14:paraId="4F8B0D6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exceptions, Customer Service Guarantee Standard  111</w:t>
      </w:r>
    </w:p>
    <w:p w14:paraId="248D877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executive summary  3–6</w:t>
      </w:r>
    </w:p>
    <w:p w14:paraId="6492239D"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F</w:t>
      </w:r>
    </w:p>
    <w:p w14:paraId="556D19E5"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Facebook  17, 46, 55, 71, 81</w:t>
      </w:r>
    </w:p>
    <w:p w14:paraId="55875A8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Facebook Messenger  57</w:t>
      </w:r>
    </w:p>
    <w:p w14:paraId="44A9D6C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FaceTime  17, 46, 57</w:t>
      </w:r>
    </w:p>
    <w:p w14:paraId="42A2287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facility installation complaints  30</w:t>
      </w:r>
    </w:p>
    <w:p w14:paraId="61F6A38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Fairfax Media Ltd  37, 39</w:t>
      </w:r>
    </w:p>
    <w:p w14:paraId="4DEC9DD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FaktorTel Pty Ltd  119</w:t>
      </w:r>
    </w:p>
    <w:p w14:paraId="0970A14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fault repairs</w:t>
      </w:r>
    </w:p>
    <w:p w14:paraId="40E87FB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46, 61</w:t>
      </w:r>
    </w:p>
    <w:p w14:paraId="327804D8" w14:textId="63A32B40"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 xml:space="preserve">Customer Service Guarantee Standard  108, </w:t>
      </w:r>
      <w:r w:rsidR="00D96228">
        <w:rPr>
          <w:rFonts w:eastAsiaTheme="minorEastAsia" w:cs="Arial"/>
          <w:sz w:val="18"/>
          <w:szCs w:val="18"/>
        </w:rPr>
        <w:br/>
      </w:r>
      <w:r w:rsidRPr="00B511A2">
        <w:rPr>
          <w:rFonts w:eastAsiaTheme="minorEastAsia" w:cs="Arial"/>
          <w:sz w:val="18"/>
          <w:szCs w:val="18"/>
        </w:rPr>
        <w:t>109–10</w:t>
      </w:r>
    </w:p>
    <w:p w14:paraId="415E8DE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106–7</w:t>
      </w:r>
    </w:p>
    <w:p w14:paraId="637618E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 116</w:t>
      </w:r>
    </w:p>
    <w:p w14:paraId="44A53A4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faults  112–13, 125</w:t>
      </w:r>
    </w:p>
    <w:p w14:paraId="11BA1ED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fax marketing  121–2</w:t>
      </w:r>
    </w:p>
    <w:p w14:paraId="2C3D346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Fax Marketing Industry Standard 2011  121</w:t>
      </w:r>
    </w:p>
    <w:p w14:paraId="430F622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Fetch Multiroom  5, 64, 70</w:t>
      </w:r>
    </w:p>
    <w:p w14:paraId="40344D4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Fetch TV  70, 72, 74, 78</w:t>
      </w:r>
    </w:p>
    <w:p w14:paraId="3184721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fibre to the distribution point (FttDp)  3, 22</w:t>
      </w:r>
    </w:p>
    <w:p w14:paraId="411A583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fixed-line broadband</w:t>
      </w:r>
    </w:p>
    <w:p w14:paraId="2AB6163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average download per subscriber  9</w:t>
      </w:r>
    </w:p>
    <w:p w14:paraId="267FCB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downloaded  9, 46, 51–2</w:t>
      </w:r>
    </w:p>
    <w:p w14:paraId="0FB830F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fixed-line footprint  23</w:t>
      </w:r>
    </w:p>
    <w:p w14:paraId="283B074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fixed-line telephone services</w:t>
      </w:r>
    </w:p>
    <w:p w14:paraId="7B93650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calls from  46–7</w:t>
      </w:r>
    </w:p>
    <w:p w14:paraId="6097411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124</w:t>
      </w:r>
    </w:p>
    <w:p w14:paraId="25A7F1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5, 60–1</w:t>
      </w:r>
    </w:p>
    <w:p w14:paraId="36E220A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calls from  94</w:t>
      </w:r>
    </w:p>
    <w:p w14:paraId="1C0B40D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Network Reliability Framework (NRF)  111–15</w:t>
      </w:r>
    </w:p>
    <w:p w14:paraId="76C27AD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 operation  7, 12–13, 104</w:t>
      </w:r>
    </w:p>
    <w:p w14:paraId="1DEED5E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replaced by NBN  22</w:t>
      </w:r>
    </w:p>
    <w:p w14:paraId="6E9001D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shift away from  4, 7, 12, 13, 17–18</w:t>
      </w:r>
    </w:p>
    <w:p w14:paraId="25A44F0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Telstra retail only  12–13</w:t>
      </w:r>
    </w:p>
    <w:p w14:paraId="2B79A8E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users  7</w:t>
      </w:r>
    </w:p>
    <w:p w14:paraId="75524198" w14:textId="05BF2081"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fixed-line telephone services network, reliability  </w:t>
      </w:r>
      <w:r>
        <w:rPr>
          <w:rFonts w:eastAsiaTheme="minorEastAsia" w:cs="Arial"/>
          <w:sz w:val="18"/>
          <w:szCs w:val="18"/>
        </w:rPr>
        <w:br/>
      </w:r>
      <w:r w:rsidRPr="00B511A2">
        <w:rPr>
          <w:rFonts w:eastAsiaTheme="minorEastAsia" w:cs="Arial"/>
          <w:sz w:val="18"/>
          <w:szCs w:val="18"/>
        </w:rPr>
        <w:t>111–15</w:t>
      </w:r>
    </w:p>
    <w:p w14:paraId="6FAB589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fixed wireless services  20, 22</w:t>
      </w:r>
    </w:p>
    <w:p w14:paraId="1B72296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Foxtel</w:t>
      </w:r>
    </w:p>
    <w:p w14:paraId="05ABA6E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content  70</w:t>
      </w:r>
    </w:p>
    <w:p w14:paraId="252E5B7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devices used  75</w:t>
      </w:r>
    </w:p>
    <w:p w14:paraId="7E768CA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subscribers  72</w:t>
      </w:r>
    </w:p>
    <w:p w14:paraId="24FF195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time spent viewing  77</w:t>
      </w:r>
    </w:p>
    <w:p w14:paraId="697C18D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used  78</w:t>
      </w:r>
    </w:p>
    <w:p w14:paraId="58D0C73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viewer profile  79</w:t>
      </w:r>
    </w:p>
    <w:p w14:paraId="5C77792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Foxtel Now  70</w:t>
      </w:r>
    </w:p>
    <w:p w14:paraId="6E6F7D6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free-to-air television  </w:t>
      </w:r>
      <w:r w:rsidRPr="00B511A2">
        <w:rPr>
          <w:rFonts w:eastAsiaTheme="minorEastAsia" w:cs="Arial"/>
          <w:i/>
          <w:iCs/>
          <w:sz w:val="18"/>
          <w:szCs w:val="18"/>
        </w:rPr>
        <w:t>see</w:t>
      </w:r>
      <w:r w:rsidRPr="00B511A2">
        <w:rPr>
          <w:rFonts w:eastAsiaTheme="minorEastAsia" w:cs="Arial"/>
          <w:sz w:val="18"/>
          <w:szCs w:val="18"/>
        </w:rPr>
        <w:t xml:space="preserve"> television</w:t>
      </w:r>
    </w:p>
    <w:p w14:paraId="462B712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freephone and local rate numbers (FLRNs)</w:t>
      </w:r>
    </w:p>
    <w:p w14:paraId="0BA1963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allocation of numbers  33–4</w:t>
      </w:r>
    </w:p>
    <w:p w14:paraId="510C0DF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portability  10, 116–17</w:t>
      </w:r>
    </w:p>
    <w:p w14:paraId="5680F56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Freeview Plus  74</w:t>
      </w:r>
    </w:p>
    <w:p w14:paraId="2C544CFC"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G</w:t>
      </w:r>
    </w:p>
    <w:p w14:paraId="391A3916"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gambling</w:t>
      </w:r>
    </w:p>
    <w:p w14:paraId="3E0CDD2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advertising  69</w:t>
      </w:r>
    </w:p>
    <w:p w14:paraId="0E8D0B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interactive  90</w:t>
      </w:r>
    </w:p>
    <w:p w14:paraId="53ED71B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games consoles  74</w:t>
      </w:r>
    </w:p>
    <w:p w14:paraId="5730A0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49, 50</w:t>
      </w:r>
    </w:p>
    <w:p w14:paraId="7F78BE0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games online, playing  63</w:t>
      </w:r>
    </w:p>
    <w:p w14:paraId="561F124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geographic number allocations  33–4</w:t>
      </w:r>
    </w:p>
    <w:p w14:paraId="010DBBE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Globalgig Australia Pty Ltd  119</w:t>
      </w:r>
    </w:p>
    <w:p w14:paraId="06EEAC5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glossary  128–36</w:t>
      </w:r>
    </w:p>
    <w:p w14:paraId="0D575A0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 Kids  69</w:t>
      </w:r>
    </w:p>
    <w:p w14:paraId="6B24C51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Google  21, 81</w:t>
      </w:r>
    </w:p>
    <w:p w14:paraId="7CAB15E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Google Chromecast  74</w:t>
      </w:r>
    </w:p>
    <w:p w14:paraId="4A744D3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Google Home  26</w:t>
      </w:r>
    </w:p>
    <w:p w14:paraId="6AC2C1B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Google Play  67, 72, 78</w:t>
      </w:r>
    </w:p>
    <w:p w14:paraId="4C8DA28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government websites, accessing  54</w:t>
      </w:r>
    </w:p>
    <w:p w14:paraId="70A0FF3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GPK Group Pty Ltd  119</w:t>
      </w:r>
    </w:p>
    <w:p w14:paraId="6B6BC99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Grant Broadcasters Pty Ltd  37, 38</w:t>
      </w:r>
    </w:p>
    <w:p w14:paraId="2121227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Groove  67</w:t>
      </w:r>
    </w:p>
    <w:p w14:paraId="0F34C24C"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H</w:t>
      </w:r>
    </w:p>
    <w:p w14:paraId="760E898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Handling of Life Threatening and Unwelcome Communications Industry Code</w:t>
      </w:r>
      <w:r w:rsidRPr="00B511A2">
        <w:rPr>
          <w:rFonts w:eastAsiaTheme="minorEastAsia" w:cs="Arial"/>
          <w:sz w:val="18"/>
          <w:szCs w:val="18"/>
        </w:rPr>
        <w:t xml:space="preserve">  102, 117</w:t>
      </w:r>
    </w:p>
    <w:p w14:paraId="26BE77B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Harris, Geoffrey Mark  102</w:t>
      </w:r>
    </w:p>
    <w:p w14:paraId="7403EE4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helplines, unwelcome calls  102</w:t>
      </w:r>
    </w:p>
    <w:p w14:paraId="55D87C6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home broadband connections  10, 48, 62</w:t>
      </w:r>
    </w:p>
    <w:p w14:paraId="6D2A0D4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home internet connections  10, 48</w:t>
      </w:r>
    </w:p>
    <w:p w14:paraId="014C5907" w14:textId="77777777" w:rsidR="003823BB" w:rsidRPr="00B511A2" w:rsidRDefault="003823BB" w:rsidP="00D96228">
      <w:pPr>
        <w:keepNext/>
        <w:widowControl w:val="0"/>
        <w:autoSpaceDE w:val="0"/>
        <w:autoSpaceDN w:val="0"/>
        <w:adjustRightInd w:val="0"/>
        <w:spacing w:after="0" w:line="240" w:lineRule="auto"/>
        <w:ind w:left="113" w:hanging="113"/>
        <w:rPr>
          <w:rFonts w:eastAsiaTheme="minorEastAsia" w:cs="Arial"/>
          <w:sz w:val="18"/>
          <w:szCs w:val="18"/>
        </w:rPr>
      </w:pPr>
      <w:r w:rsidRPr="00B511A2">
        <w:rPr>
          <w:rFonts w:eastAsiaTheme="minorEastAsia" w:cs="Arial"/>
          <w:sz w:val="18"/>
          <w:szCs w:val="18"/>
        </w:rPr>
        <w:t>home, smart  26</w:t>
      </w:r>
    </w:p>
    <w:p w14:paraId="69001B4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Hoodlum Entertainment  70</w:t>
      </w:r>
    </w:p>
    <w:p w14:paraId="4424A7A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Huawei  27</w:t>
      </w:r>
    </w:p>
    <w:p w14:paraId="4D3F8914"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I</w:t>
      </w:r>
    </w:p>
    <w:p w14:paraId="197AA9F2"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Pr>
          <w:rFonts w:eastAsiaTheme="minorEastAsia" w:cs="Arial"/>
          <w:sz w:val="18"/>
          <w:szCs w:val="18"/>
        </w:rPr>
        <w:t>identity-</w:t>
      </w:r>
      <w:r w:rsidRPr="00B511A2">
        <w:rPr>
          <w:rFonts w:eastAsiaTheme="minorEastAsia" w:cs="Arial"/>
          <w:sz w:val="18"/>
          <w:szCs w:val="18"/>
        </w:rPr>
        <w:t>checking  101</w:t>
      </w:r>
    </w:p>
    <w:p w14:paraId="11D66F0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iHeart Radio  67</w:t>
      </w:r>
    </w:p>
    <w:p w14:paraId="6A6EF9C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iiNet</w:t>
      </w:r>
    </w:p>
    <w:p w14:paraId="3E71EA2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 110</w:t>
      </w:r>
    </w:p>
    <w:p w14:paraId="33312C0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110</w:t>
      </w:r>
    </w:p>
    <w:p w14:paraId="0073733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107–11</w:t>
      </w:r>
    </w:p>
    <w:p w14:paraId="6818014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exceptions  111</w:t>
      </w:r>
    </w:p>
    <w:p w14:paraId="7BF6347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109, 110</w:t>
      </w:r>
    </w:p>
    <w:p w14:paraId="2F47DAE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services in operation  18–19</w:t>
      </w:r>
    </w:p>
    <w:p w14:paraId="72A68F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109, 110</w:t>
      </w:r>
    </w:p>
    <w:p w14:paraId="7AD5BCE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109, 110</w:t>
      </w:r>
    </w:p>
    <w:p w14:paraId="74BC71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as qualifying carriage service providers (QCSPs)  107</w:t>
      </w:r>
    </w:p>
    <w:p w14:paraId="7C54C97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waivers  108</w:t>
      </w:r>
    </w:p>
    <w:p w14:paraId="5BC25A6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Imparja Television Pty Ltd  36</w:t>
      </w:r>
    </w:p>
    <w:p w14:paraId="4A13492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in-flight Wi-Fi  22, 24</w:t>
      </w:r>
    </w:p>
    <w:p w14:paraId="60EB5E2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in-place connections  108–9, 110</w:t>
      </w:r>
    </w:p>
    <w:p w14:paraId="4087BBF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2750DF">
        <w:rPr>
          <w:rFonts w:eastAsiaTheme="minorEastAsia" w:cs="Arial"/>
          <w:iCs/>
          <w:sz w:val="18"/>
          <w:szCs w:val="18"/>
        </w:rPr>
        <w:t>Inbound Number Portability Code</w:t>
      </w:r>
      <w:r w:rsidRPr="00B511A2">
        <w:rPr>
          <w:rFonts w:eastAsiaTheme="minorEastAsia" w:cs="Arial"/>
          <w:sz w:val="18"/>
          <w:szCs w:val="18"/>
        </w:rPr>
        <w:t xml:space="preserve">  116</w:t>
      </w:r>
    </w:p>
    <w:p w14:paraId="324386C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Indosat Ooredoo  21</w:t>
      </w:r>
    </w:p>
    <w:p w14:paraId="6395ED5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industry codes  </w:t>
      </w:r>
      <w:r w:rsidRPr="00B511A2">
        <w:rPr>
          <w:rFonts w:eastAsiaTheme="minorEastAsia" w:cs="Arial"/>
          <w:i/>
          <w:iCs/>
          <w:sz w:val="18"/>
          <w:szCs w:val="18"/>
        </w:rPr>
        <w:t>see</w:t>
      </w:r>
      <w:r w:rsidRPr="00B511A2">
        <w:rPr>
          <w:rFonts w:eastAsiaTheme="minorEastAsia" w:cs="Arial"/>
          <w:sz w:val="18"/>
          <w:szCs w:val="18"/>
        </w:rPr>
        <w:t xml:space="preserve"> telecommunications codes</w:t>
      </w:r>
    </w:p>
    <w:p w14:paraId="09BED7C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infrastructure as a service (IaaS)  24</w:t>
      </w:r>
    </w:p>
    <w:p w14:paraId="7969D25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infrastructure regulation  28–31</w:t>
      </w:r>
    </w:p>
    <w:p w14:paraId="6BB6A7D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2750DF">
        <w:rPr>
          <w:rFonts w:eastAsiaTheme="minorEastAsia" w:cs="Arial"/>
          <w:iCs/>
          <w:sz w:val="18"/>
          <w:szCs w:val="18"/>
        </w:rPr>
        <w:t>Installation Requirements for Customer Cabling</w:t>
      </w:r>
      <w:r w:rsidRPr="00B511A2">
        <w:rPr>
          <w:rFonts w:eastAsiaTheme="minorEastAsia" w:cs="Arial"/>
          <w:sz w:val="18"/>
          <w:szCs w:val="18"/>
        </w:rPr>
        <w:t xml:space="preserve">  119</w:t>
      </w:r>
    </w:p>
    <w:p w14:paraId="595206A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Integrated Public Number Database (IPND)  101–2</w:t>
      </w:r>
    </w:p>
    <w:p w14:paraId="3AD6E26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compliance  101–2</w:t>
      </w:r>
    </w:p>
    <w:p w14:paraId="60B8752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 of connected records  101</w:t>
      </w:r>
    </w:p>
    <w:p w14:paraId="1F73ADB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role of  101</w:t>
      </w:r>
    </w:p>
    <w:p w14:paraId="33DD119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interactive gambling  90</w:t>
      </w:r>
    </w:p>
    <w:p w14:paraId="42F79C5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Interactive Gambling Act 2001</w:t>
      </w:r>
      <w:r w:rsidRPr="00B511A2">
        <w:rPr>
          <w:rFonts w:eastAsiaTheme="minorEastAsia" w:cs="Arial"/>
          <w:sz w:val="18"/>
          <w:szCs w:val="18"/>
        </w:rPr>
        <w:t xml:space="preserve">  90</w:t>
      </w:r>
    </w:p>
    <w:p w14:paraId="3035F6C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interception  99</w:t>
      </w:r>
    </w:p>
    <w:p w14:paraId="2148C7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capability  93, 99</w:t>
      </w:r>
    </w:p>
    <w:p w14:paraId="0023BE9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capability plan compliance  99</w:t>
      </w:r>
    </w:p>
    <w:p w14:paraId="7654207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providing assistance  99</w:t>
      </w:r>
    </w:p>
    <w:p w14:paraId="146D6A9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interference, complaints  30–1</w:t>
      </w:r>
    </w:p>
    <w:p w14:paraId="449FEFE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international trends  62–3</w:t>
      </w:r>
    </w:p>
    <w:p w14:paraId="46C3A68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62</w:t>
      </w:r>
    </w:p>
    <w:p w14:paraId="5AD907B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devices  62</w:t>
      </w:r>
    </w:p>
    <w:p w14:paraId="530A2D4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use  63</w:t>
      </w:r>
    </w:p>
    <w:p w14:paraId="487709C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mobile-only phone use  17–18</w:t>
      </w:r>
    </w:p>
    <w:p w14:paraId="19BEF81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w:t>
      </w:r>
    </w:p>
    <w:p w14:paraId="4E40CAF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content complaints  90</w:t>
      </w:r>
    </w:p>
    <w:p w14:paraId="26B8726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domain names registered  25</w:t>
      </w:r>
    </w:p>
    <w:p w14:paraId="0D09A42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security  123</w:t>
      </w:r>
    </w:p>
    <w:p w14:paraId="45EA16C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access</w:t>
      </w:r>
    </w:p>
    <w:p w14:paraId="407877C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businesses  60</w:t>
      </w:r>
    </w:p>
    <w:p w14:paraId="689802E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connectivity  3, 46, 48</w:t>
      </w:r>
    </w:p>
    <w:p w14:paraId="2AB545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home  10, 48</w:t>
      </w:r>
    </w:p>
    <w:p w14:paraId="0726960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home broadband  10, 48, 62</w:t>
      </w:r>
    </w:p>
    <w:p w14:paraId="6E558A7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62</w:t>
      </w:r>
    </w:p>
    <w:p w14:paraId="62AECD5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mobile-only  18</w:t>
      </w:r>
    </w:p>
    <w:p w14:paraId="6708DDE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computers  4, 49–53</w:t>
      </w:r>
    </w:p>
    <w:p w14:paraId="5A36739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e-reader  49, 50</w:t>
      </w:r>
    </w:p>
    <w:p w14:paraId="75FE0F7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games consoles  49, 50</w:t>
      </w:r>
    </w:p>
    <w:p w14:paraId="2EA3783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laptop computers  4, 49–53</w:t>
      </w:r>
    </w:p>
    <w:p w14:paraId="5047636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mobile phones  3, 4, 10, 20–1, 48, 49–53, 62</w:t>
      </w:r>
    </w:p>
    <w:p w14:paraId="5DBCE0D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mp3 players  49, 50</w:t>
      </w:r>
    </w:p>
    <w:p w14:paraId="320BBA4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tablets  49–53</w:t>
      </w:r>
    </w:p>
    <w:p w14:paraId="06F62BE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television  3, 49, 50, 51</w:t>
      </w:r>
    </w:p>
    <w:p w14:paraId="2CFE3AC5" w14:textId="77777777" w:rsidR="003823BB" w:rsidRPr="00B511A2" w:rsidRDefault="003823BB" w:rsidP="003823BB">
      <w:pPr>
        <w:keepNext/>
        <w:keepLines/>
        <w:widowControl w:val="0"/>
        <w:autoSpaceDE w:val="0"/>
        <w:autoSpaceDN w:val="0"/>
        <w:adjustRightInd w:val="0"/>
        <w:spacing w:after="0" w:line="240" w:lineRule="auto"/>
        <w:ind w:left="115" w:hanging="113"/>
        <w:rPr>
          <w:rFonts w:eastAsiaTheme="minorEastAsia" w:cs="Arial"/>
          <w:sz w:val="18"/>
          <w:szCs w:val="18"/>
        </w:rPr>
      </w:pPr>
      <w:r w:rsidRPr="00B511A2">
        <w:rPr>
          <w:rFonts w:eastAsiaTheme="minorEastAsia" w:cs="Arial"/>
          <w:sz w:val="18"/>
          <w:szCs w:val="18"/>
        </w:rPr>
        <w:t>internet access devices</w:t>
      </w:r>
    </w:p>
    <w:p w14:paraId="30215DDA"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frequency of use  50</w:t>
      </w:r>
    </w:p>
    <w:p w14:paraId="0B1A3636"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international trends  62</w:t>
      </w:r>
    </w:p>
    <w:p w14:paraId="079E6A12"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number used  49–51</w:t>
      </w:r>
    </w:p>
    <w:p w14:paraId="6357EDB5" w14:textId="77777777" w:rsidR="003823BB" w:rsidRPr="00B511A2" w:rsidRDefault="003823BB" w:rsidP="003823BB">
      <w:pPr>
        <w:keepNext/>
        <w:keepLines/>
        <w:widowControl w:val="0"/>
        <w:autoSpaceDE w:val="0"/>
        <w:autoSpaceDN w:val="0"/>
        <w:adjustRightInd w:val="0"/>
        <w:spacing w:after="0" w:line="240" w:lineRule="auto"/>
        <w:ind w:left="345" w:hanging="113"/>
        <w:rPr>
          <w:rFonts w:eastAsiaTheme="minorEastAsia" w:cs="Arial"/>
          <w:sz w:val="18"/>
          <w:szCs w:val="18"/>
        </w:rPr>
      </w:pPr>
      <w:r w:rsidRPr="00B511A2">
        <w:rPr>
          <w:rFonts w:eastAsiaTheme="minorEastAsia" w:cs="Arial"/>
          <w:sz w:val="18"/>
          <w:szCs w:val="18"/>
        </w:rPr>
        <w:t>type used  4, 49–50</w:t>
      </w:r>
    </w:p>
    <w:p w14:paraId="3F47294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commerce  54, 58–60</w:t>
      </w:r>
    </w:p>
    <w:p w14:paraId="28081BB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value of  10</w:t>
      </w:r>
    </w:p>
    <w:p w14:paraId="5A1BB31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of things (IoT)  4, 25–7</w:t>
      </w:r>
    </w:p>
    <w:p w14:paraId="73B2460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of Things Alliance Australia (IoTAA)  27</w:t>
      </w:r>
    </w:p>
    <w:p w14:paraId="19348D9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Internet of Things Security Guideline</w:t>
      </w:r>
      <w:r w:rsidRPr="00B511A2">
        <w:rPr>
          <w:rFonts w:eastAsiaTheme="minorEastAsia" w:cs="Arial"/>
          <w:sz w:val="18"/>
          <w:szCs w:val="18"/>
        </w:rPr>
        <w:t xml:space="preserve">  27</w:t>
      </w:r>
    </w:p>
    <w:p w14:paraId="1028FC8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security  123</w:t>
      </w:r>
    </w:p>
    <w:p w14:paraId="0F6C87A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service providers (ISPs), numbers  8, 18</w:t>
      </w:r>
    </w:p>
    <w:p w14:paraId="519C1B5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services</w:t>
      </w:r>
    </w:p>
    <w:p w14:paraId="6CD2532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availability  18–25</w:t>
      </w:r>
    </w:p>
    <w:p w14:paraId="5BCD5BA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124</w:t>
      </w:r>
    </w:p>
    <w:p w14:paraId="704311E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61</w:t>
      </w:r>
    </w:p>
    <w:p w14:paraId="5813AAA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 operation  18–19</w:t>
      </w:r>
    </w:p>
    <w:p w14:paraId="0585D44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type  20</w:t>
      </w:r>
    </w:p>
    <w:p w14:paraId="7A2E8AC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subscribers</w:t>
      </w:r>
    </w:p>
    <w:p w14:paraId="668FCBD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phone  7, 20–1</w:t>
      </w:r>
    </w:p>
    <w:p w14:paraId="358BCA3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wireless internet  20</w:t>
      </w:r>
    </w:p>
    <w:p w14:paraId="4ED8F13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20–1</w:t>
      </w:r>
    </w:p>
    <w:p w14:paraId="73AB0AB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by technology type  20</w:t>
      </w:r>
    </w:p>
    <w:p w14:paraId="03C72E1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internet use</w:t>
      </w:r>
    </w:p>
    <w:p w14:paraId="0B3F8B3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activities performed online  54–6, 63</w:t>
      </w:r>
    </w:p>
    <w:p w14:paraId="1FCC573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downloaded  9, 46, 51–2, 73</w:t>
      </w:r>
    </w:p>
    <w:p w14:paraId="7D3A55C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frequency  4, 49</w:t>
      </w:r>
    </w:p>
    <w:p w14:paraId="41F8D49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63</w:t>
      </w:r>
    </w:p>
    <w:p w14:paraId="0200418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mobile-only  18</w:t>
      </w:r>
    </w:p>
    <w:p w14:paraId="5EDFADD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4, 48, 49</w:t>
      </w:r>
    </w:p>
    <w:p w14:paraId="461DE9D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offline  49</w:t>
      </w:r>
    </w:p>
    <w:p w14:paraId="04A136A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internet video  </w:t>
      </w:r>
      <w:r w:rsidRPr="00B511A2">
        <w:rPr>
          <w:rFonts w:eastAsiaTheme="minorEastAsia" w:cs="Arial"/>
          <w:i/>
          <w:iCs/>
          <w:sz w:val="18"/>
          <w:szCs w:val="18"/>
        </w:rPr>
        <w:t>see</w:t>
      </w:r>
      <w:r w:rsidRPr="00B511A2">
        <w:rPr>
          <w:rFonts w:eastAsiaTheme="minorEastAsia" w:cs="Arial"/>
          <w:sz w:val="18"/>
          <w:szCs w:val="18"/>
        </w:rPr>
        <w:t xml:space="preserve"> online video content</w:t>
      </w:r>
    </w:p>
    <w:p w14:paraId="37B9573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 xml:space="preserve">Investigations concepts </w:t>
      </w:r>
      <w:r w:rsidRPr="00B511A2">
        <w:rPr>
          <w:rFonts w:eastAsiaTheme="minorEastAsia" w:cs="Arial"/>
          <w:sz w:val="18"/>
          <w:szCs w:val="18"/>
        </w:rPr>
        <w:t>series  89</w:t>
      </w:r>
    </w:p>
    <w:p w14:paraId="5C53B09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iPrimus</w:t>
      </w:r>
    </w:p>
    <w:p w14:paraId="11A9B7D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110</w:t>
      </w:r>
    </w:p>
    <w:p w14:paraId="36FE950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107–11</w:t>
      </w:r>
    </w:p>
    <w:p w14:paraId="5FA8639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115–16</w:t>
      </w:r>
    </w:p>
    <w:p w14:paraId="5A028D1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IS Telecoms Pty Ltd  119</w:t>
      </w:r>
    </w:p>
    <w:p w14:paraId="2EEAE23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iTunes  67, 72, 78</w:t>
      </w:r>
    </w:p>
    <w:p w14:paraId="03F59A20"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K</w:t>
      </w:r>
    </w:p>
    <w:p w14:paraId="002662F2"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key highlights  3</w:t>
      </w:r>
    </w:p>
    <w:p w14:paraId="5BAE7C8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key indicators  7–11</w:t>
      </w:r>
    </w:p>
    <w:p w14:paraId="4FED5EF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Kloud  24</w:t>
      </w:r>
    </w:p>
    <w:p w14:paraId="6060992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Kobo  74</w:t>
      </w:r>
    </w:p>
    <w:p w14:paraId="74E1015A"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L</w:t>
      </w:r>
    </w:p>
    <w:p w14:paraId="76FDC7C3" w14:textId="77777777" w:rsidR="003823BB" w:rsidRPr="00B511A2" w:rsidRDefault="003823BB" w:rsidP="003823BB">
      <w:pPr>
        <w:widowControl w:val="0"/>
        <w:autoSpaceDE w:val="0"/>
        <w:autoSpaceDN w:val="0"/>
        <w:adjustRightInd w:val="0"/>
        <w:spacing w:after="0" w:line="240" w:lineRule="auto"/>
        <w:rPr>
          <w:rFonts w:eastAsiaTheme="minorEastAsia" w:cs="Arial"/>
          <w:sz w:val="18"/>
          <w:szCs w:val="18"/>
        </w:rPr>
      </w:pPr>
      <w:r w:rsidRPr="00B511A2">
        <w:rPr>
          <w:rFonts w:eastAsiaTheme="minorEastAsia" w:cs="Arial"/>
          <w:sz w:val="18"/>
          <w:szCs w:val="18"/>
        </w:rPr>
        <w:t>laptop computers  74</w:t>
      </w:r>
    </w:p>
    <w:p w14:paraId="00E57D9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4, 49–53</w:t>
      </w:r>
    </w:p>
    <w:p w14:paraId="7F1036D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law enforcement  11, 93, 96–9</w:t>
      </w:r>
    </w:p>
    <w:p w14:paraId="2C15A5C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LB &amp; GL Rodda Pty Ltd  119</w:t>
      </w:r>
    </w:p>
    <w:p w14:paraId="5585EBC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Lebara Mobile  34</w:t>
      </w:r>
    </w:p>
    <w:p w14:paraId="0DB42B3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LED downlights, non-compliant  30–1</w:t>
      </w:r>
    </w:p>
    <w:p w14:paraId="53EB57C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letter of transmittal  iii</w:t>
      </w:r>
    </w:p>
    <w:p w14:paraId="0692D22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levies  104–5</w:t>
      </w:r>
    </w:p>
    <w:p w14:paraId="49959EE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licences</w:t>
      </w:r>
    </w:p>
    <w:p w14:paraId="0BFDD13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broadcasting  10, 35</w:t>
      </w:r>
    </w:p>
    <w:p w14:paraId="235122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cablers  119</w:t>
      </w:r>
    </w:p>
    <w:p w14:paraId="7AAED07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carriers  8, 32–3</w:t>
      </w:r>
    </w:p>
    <w:p w14:paraId="1F7FCE8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commercial radio broadcasting  10, 35, 37–8</w:t>
      </w:r>
    </w:p>
    <w:p w14:paraId="0522E98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commercial television broadcasting  10, 35</w:t>
      </w:r>
    </w:p>
    <w:p w14:paraId="2765F41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community radio broadcasting  39</w:t>
      </w:r>
    </w:p>
    <w:p w14:paraId="0D52604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community television broadcasting licences  35, 39</w:t>
      </w:r>
    </w:p>
    <w:p w14:paraId="2C44BE5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cross-media ownership  39</w:t>
      </w:r>
    </w:p>
    <w:p w14:paraId="6447DA9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3398ABE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subscription television  10, 40</w:t>
      </w:r>
    </w:p>
    <w:p w14:paraId="0308158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temporary community radio broadcasting  35, 39</w:t>
      </w:r>
    </w:p>
    <w:p w14:paraId="682F075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life-threatening calls  102</w:t>
      </w:r>
    </w:p>
    <w:p w14:paraId="6F39043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line rental costs, consumer satisfaction  61</w:t>
      </w:r>
    </w:p>
    <w:p w14:paraId="7962EB7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Local Directories Pty Ltd  102</w:t>
      </w:r>
    </w:p>
    <w:p w14:paraId="62F05DC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local number portability  10, 104, 116–17</w:t>
      </w:r>
    </w:p>
    <w:p w14:paraId="3A4B10A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Local Number Portability Code</w:t>
      </w:r>
      <w:r w:rsidRPr="00B511A2">
        <w:rPr>
          <w:rFonts w:eastAsiaTheme="minorEastAsia" w:cs="Arial"/>
          <w:sz w:val="18"/>
          <w:szCs w:val="18"/>
        </w:rPr>
        <w:t xml:space="preserve">  116, 117</w:t>
      </w:r>
    </w:p>
    <w:p w14:paraId="6CCBDE8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Local Phone Book Company Pty Ltd  102</w:t>
      </w:r>
    </w:p>
    <w:p w14:paraId="6425539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Long Term Evolution broadcast (LTE-B) technology  3, 28</w:t>
      </w:r>
    </w:p>
    <w:p w14:paraId="07047A4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low-impact facilities  28</w:t>
      </w:r>
    </w:p>
    <w:p w14:paraId="51D3FF5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low-power, wide area network (LoRaWAN)  25–6</w:t>
      </w:r>
    </w:p>
    <w:p w14:paraId="4CF85924"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M</w:t>
      </w:r>
    </w:p>
    <w:p w14:paraId="6E80A96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machine-to-machine (M2M) communications  12, </w:t>
      </w:r>
      <w:r>
        <w:rPr>
          <w:rFonts w:eastAsiaTheme="minorEastAsia" w:cs="Arial"/>
          <w:sz w:val="18"/>
          <w:szCs w:val="18"/>
        </w:rPr>
        <w:br/>
      </w:r>
      <w:r w:rsidRPr="00B511A2">
        <w:rPr>
          <w:rFonts w:eastAsiaTheme="minorEastAsia" w:cs="Arial"/>
          <w:sz w:val="18"/>
          <w:szCs w:val="18"/>
        </w:rPr>
        <w:t>13–14, 25</w:t>
      </w:r>
    </w:p>
    <w:p w14:paraId="58F06AE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Macquarie Media Limited  37, 38</w:t>
      </w:r>
    </w:p>
    <w:p w14:paraId="1A42E61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malware  104, 123</w:t>
      </w:r>
    </w:p>
    <w:p w14:paraId="1381814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media laws  69</w:t>
      </w:r>
    </w:p>
    <w:p w14:paraId="6A487B5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media ownership  39</w:t>
      </w:r>
    </w:p>
    <w:p w14:paraId="79B0CBE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mergers and acquisitions  24, 34</w:t>
      </w:r>
    </w:p>
    <w:p w14:paraId="0E8BADE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Meshed Pty Ltd  25</w:t>
      </w:r>
    </w:p>
    <w:p w14:paraId="1F9AF49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messages</w:t>
      </w:r>
    </w:p>
    <w:p w14:paraId="16A6533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SMS  46–7</w:t>
      </w:r>
    </w:p>
    <w:p w14:paraId="05D369A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communications apps  17, 56–8</w:t>
      </w:r>
    </w:p>
    <w:p w14:paraId="1A8A05F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mobile phone credit  17, 57–8</w:t>
      </w:r>
    </w:p>
    <w:p w14:paraId="3C14833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Minister for Communications and Minister for the Arts  2, 88, 105, 106</w:t>
      </w:r>
    </w:p>
    <w:p w14:paraId="79FAB9A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Mirai malware reports  123</w:t>
      </w:r>
    </w:p>
    <w:p w14:paraId="22B24D36" w14:textId="26FBBD8C" w:rsidR="003823BB" w:rsidRPr="00B511A2" w:rsidRDefault="00D96228" w:rsidP="003823BB">
      <w:pPr>
        <w:widowControl w:val="0"/>
        <w:autoSpaceDE w:val="0"/>
        <w:autoSpaceDN w:val="0"/>
        <w:adjustRightInd w:val="0"/>
        <w:spacing w:after="0" w:line="240" w:lineRule="auto"/>
        <w:ind w:left="115" w:hanging="116"/>
        <w:rPr>
          <w:rFonts w:eastAsiaTheme="minorEastAsia" w:cs="Arial"/>
          <w:sz w:val="18"/>
          <w:szCs w:val="18"/>
        </w:rPr>
      </w:pPr>
      <w:r>
        <w:rPr>
          <w:rFonts w:eastAsiaTheme="minorEastAsia" w:cs="Arial"/>
          <w:sz w:val="18"/>
          <w:szCs w:val="18"/>
        </w:rPr>
        <w:t>Mobile Black Spot Program</w:t>
      </w:r>
      <w:r w:rsidR="003823BB" w:rsidRPr="00B511A2">
        <w:rPr>
          <w:rFonts w:eastAsiaTheme="minorEastAsia" w:cs="Arial"/>
          <w:sz w:val="18"/>
          <w:szCs w:val="18"/>
        </w:rPr>
        <w:t xml:space="preserve">  3, 16</w:t>
      </w:r>
    </w:p>
    <w:p w14:paraId="2D48D3F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data allowances  53</w:t>
      </w:r>
    </w:p>
    <w:p w14:paraId="5DF902F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mobile-internet services  20</w:t>
      </w:r>
    </w:p>
    <w:p w14:paraId="34F3EC8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mobile-internet subscribers  20–1</w:t>
      </w:r>
    </w:p>
    <w:p w14:paraId="0CC63B0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network codes  34</w:t>
      </w:r>
    </w:p>
    <w:p w14:paraId="2BD4688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Mobile Number Portability Code</w:t>
      </w:r>
      <w:r w:rsidRPr="00B511A2">
        <w:rPr>
          <w:rFonts w:eastAsiaTheme="minorEastAsia" w:cs="Arial"/>
          <w:sz w:val="18"/>
          <w:szCs w:val="18"/>
        </w:rPr>
        <w:t xml:space="preserve">  117</w:t>
      </w:r>
    </w:p>
    <w:p w14:paraId="0EBA876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numbers</w:t>
      </w:r>
    </w:p>
    <w:p w14:paraId="24E8CF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allocation  34</w:t>
      </w:r>
    </w:p>
    <w:p w14:paraId="1266DF1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portability  10, 104, 116–17</w:t>
      </w:r>
    </w:p>
    <w:p w14:paraId="0F88A4A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2750DF">
        <w:rPr>
          <w:rFonts w:eastAsiaTheme="minorEastAsia" w:cs="Arial"/>
          <w:iCs/>
          <w:sz w:val="18"/>
          <w:szCs w:val="18"/>
        </w:rPr>
        <w:t>Mobile Phone Base Station Deployment Code</w:t>
      </w:r>
      <w:r w:rsidRPr="00B511A2">
        <w:rPr>
          <w:rFonts w:eastAsiaTheme="minorEastAsia" w:cs="Arial"/>
          <w:sz w:val="18"/>
          <w:szCs w:val="18"/>
        </w:rPr>
        <w:t xml:space="preserve">  29</w:t>
      </w:r>
    </w:p>
    <w:p w14:paraId="0821A92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phone base stations  3, 16, 29</w:t>
      </w:r>
    </w:p>
    <w:p w14:paraId="0E6435F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phone internet</w:t>
      </w:r>
    </w:p>
    <w:p w14:paraId="3577CA1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  10, 48, 62</w:t>
      </w:r>
    </w:p>
    <w:p w14:paraId="4F9050A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average download per subscriber  9</w:t>
      </w:r>
    </w:p>
    <w:p w14:paraId="6E74273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allowances  53</w:t>
      </w:r>
    </w:p>
    <w:p w14:paraId="7912049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downloaded  9, 46, 51–2</w:t>
      </w:r>
    </w:p>
    <w:p w14:paraId="4346B59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62</w:t>
      </w:r>
    </w:p>
    <w:p w14:paraId="0AB196F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only use  18</w:t>
      </w:r>
    </w:p>
    <w:p w14:paraId="59F90FD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subscribers  7, 20–1</w:t>
      </w:r>
    </w:p>
    <w:p w14:paraId="42E0A47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 of  3, 4, 16, 49–53</w:t>
      </w:r>
    </w:p>
    <w:p w14:paraId="3F120D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Wi-Fi network  53</w:t>
      </w:r>
    </w:p>
    <w:p w14:paraId="328B587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phone repeaters  31</w:t>
      </w:r>
    </w:p>
    <w:p w14:paraId="26CD44D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phone services</w:t>
      </w:r>
    </w:p>
    <w:p w14:paraId="2BD6B8C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124</w:t>
      </w:r>
    </w:p>
    <w:p w14:paraId="677ABD5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5, 60–1</w:t>
      </w:r>
    </w:p>
    <w:p w14:paraId="6ABED51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identity checking for prepaid  6, 101</w:t>
      </w:r>
    </w:p>
    <w:p w14:paraId="360305A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interference  31</w:t>
      </w:r>
    </w:p>
    <w:p w14:paraId="2CFC365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phones</w:t>
      </w:r>
    </w:p>
    <w:p w14:paraId="62BCEE8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4G subscribers  15</w:t>
      </w:r>
    </w:p>
    <w:p w14:paraId="0516E1B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calls from  17, 46–7, 56–8</w:t>
      </w:r>
    </w:p>
    <w:p w14:paraId="59DD35C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communications apps  4, 17, 56–8</w:t>
      </w:r>
    </w:p>
    <w:p w14:paraId="1665753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consumer satisfaction  4, 5, 60–1</w:t>
      </w:r>
    </w:p>
    <w:p w14:paraId="4D4E182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coverage  15</w:t>
      </w:r>
    </w:p>
    <w:p w14:paraId="4802000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calls from  6, 94, 95</w:t>
      </w:r>
    </w:p>
    <w:p w14:paraId="0FC75D7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location for emergency service organisations  95</w:t>
      </w:r>
    </w:p>
    <w:p w14:paraId="6E5A5B8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and no fixed-line telephone  4, 7, 12, 17–18</w:t>
      </w:r>
    </w:p>
    <w:p w14:paraId="1B77139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send messages from  17, 56–8</w:t>
      </w:r>
    </w:p>
    <w:p w14:paraId="4236E93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smartphones  4, 7, 12, 16–17, 62</w:t>
      </w:r>
    </w:p>
    <w:p w14:paraId="4F9D8B4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SMS messages from  46–7</w:t>
      </w:r>
    </w:p>
    <w:p w14:paraId="69F58B7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 of  16–17</w:t>
      </w:r>
    </w:p>
    <w:p w14:paraId="0BF36E0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video calls  17, 56–8</w:t>
      </w:r>
    </w:p>
    <w:p w14:paraId="14D0E5A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mobile phone internet</w:t>
      </w:r>
    </w:p>
    <w:p w14:paraId="2D07DD3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services</w:t>
      </w:r>
    </w:p>
    <w:p w14:paraId="21BF3A4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4G  15</w:t>
      </w:r>
    </w:p>
    <w:p w14:paraId="402AF2A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availability  13–16</w:t>
      </w:r>
    </w:p>
    <w:p w14:paraId="4AABFA7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emerging technologies  3, 28</w:t>
      </w:r>
    </w:p>
    <w:p w14:paraId="42B45C2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of things (IoT)  26–7</w:t>
      </w:r>
    </w:p>
    <w:p w14:paraId="1C3F40F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market share  14</w:t>
      </w:r>
    </w:p>
    <w:p w14:paraId="41AC41E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and mobile location  95</w:t>
      </w:r>
    </w:p>
    <w:p w14:paraId="08695CF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 in operation  13–14</w:t>
      </w:r>
    </w:p>
    <w:p w14:paraId="4D212B7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7</w:t>
      </w:r>
    </w:p>
    <w:p w14:paraId="0C8DD1C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prepaid  6, 93, 101</w:t>
      </w:r>
    </w:p>
    <w:p w14:paraId="37B636D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products  13–14</w:t>
      </w:r>
    </w:p>
    <w:p w14:paraId="64634EC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virtual network operators (MVNOs)  13–14</w:t>
      </w:r>
    </w:p>
    <w:p w14:paraId="50D2966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wireless broadband  7</w:t>
      </w:r>
    </w:p>
    <w:p w14:paraId="39E1441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mobile wireless internet  20</w:t>
      </w:r>
    </w:p>
    <w:p w14:paraId="11FDE93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mp3 players, internet access  50</w:t>
      </w:r>
    </w:p>
    <w:p w14:paraId="54E7D78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Murdoch, Lachlan  39</w:t>
      </w:r>
    </w:p>
    <w:p w14:paraId="5D44A1B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music streaming  </w:t>
      </w:r>
      <w:r w:rsidRPr="00B511A2">
        <w:rPr>
          <w:rFonts w:eastAsiaTheme="minorEastAsia" w:cs="Arial"/>
          <w:i/>
          <w:iCs/>
          <w:sz w:val="18"/>
          <w:szCs w:val="18"/>
        </w:rPr>
        <w:t>see</w:t>
      </w:r>
      <w:r w:rsidRPr="00B511A2">
        <w:rPr>
          <w:rFonts w:eastAsiaTheme="minorEastAsia" w:cs="Arial"/>
          <w:sz w:val="18"/>
          <w:szCs w:val="18"/>
        </w:rPr>
        <w:t xml:space="preserve"> audio streaming</w:t>
      </w:r>
    </w:p>
    <w:p w14:paraId="2CFC1E5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music streaming services  67</w:t>
      </w:r>
    </w:p>
    <w:p w14:paraId="5F244F3C"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N</w:t>
      </w:r>
    </w:p>
    <w:p w14:paraId="0F009F0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Narrowband Internet of things (NB-IoT) technology  4, 27</w:t>
      </w:r>
    </w:p>
    <w:p w14:paraId="25E13DB6" w14:textId="352BFACF"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National Broadband Network (NBN)  3, 5, 18–19, </w:t>
      </w:r>
      <w:r w:rsidR="00D96228">
        <w:rPr>
          <w:rFonts w:eastAsiaTheme="minorEastAsia" w:cs="Arial"/>
          <w:sz w:val="18"/>
          <w:szCs w:val="18"/>
        </w:rPr>
        <w:br/>
      </w:r>
      <w:r w:rsidRPr="00B511A2">
        <w:rPr>
          <w:rFonts w:eastAsiaTheme="minorEastAsia" w:cs="Arial"/>
          <w:sz w:val="18"/>
          <w:szCs w:val="18"/>
        </w:rPr>
        <w:t>22–3</w:t>
      </w:r>
    </w:p>
    <w:p w14:paraId="4D09401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5, 104, 124</w:t>
      </w:r>
    </w:p>
    <w:p w14:paraId="76ED7FE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premises activated  23</w:t>
      </w:r>
    </w:p>
    <w:p w14:paraId="1051E72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premises serviceable  23</w:t>
      </w:r>
    </w:p>
    <w:p w14:paraId="311D188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national interest issues  6, 93–103</w:t>
      </w:r>
    </w:p>
    <w:p w14:paraId="44430C0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national interest matters  11</w:t>
      </w:r>
    </w:p>
    <w:p w14:paraId="5B31FEC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National Relay Service (NRS)  95–6</w:t>
      </w:r>
    </w:p>
    <w:p w14:paraId="2806F62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106 TTY (teletypewriter) text service  93, 95–6</w:t>
      </w:r>
    </w:p>
    <w:p w14:paraId="2E1DE6F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 services  95–6</w:t>
      </w:r>
    </w:p>
    <w:p w14:paraId="4C31B54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levies and payments  104</w:t>
      </w:r>
    </w:p>
    <w:p w14:paraId="2A03EC5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national security  96–9</w:t>
      </w:r>
    </w:p>
    <w:p w14:paraId="738F6C8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National Site Archive  29</w:t>
      </w:r>
    </w:p>
    <w:p w14:paraId="6043281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2750DF">
        <w:rPr>
          <w:rFonts w:eastAsiaTheme="minorEastAsia" w:cs="Arial"/>
          <w:iCs/>
          <w:sz w:val="18"/>
          <w:szCs w:val="18"/>
        </w:rPr>
        <w:t>NBN Access Transfer Industry Code</w:t>
      </w:r>
      <w:r w:rsidRPr="00B511A2">
        <w:rPr>
          <w:rFonts w:eastAsiaTheme="minorEastAsia" w:cs="Arial"/>
          <w:sz w:val="18"/>
          <w:szCs w:val="18"/>
        </w:rPr>
        <w:t xml:space="preserve">  117</w:t>
      </w:r>
    </w:p>
    <w:p w14:paraId="0B67063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NBN Co Limited  3, 22–3, 110</w:t>
      </w:r>
    </w:p>
    <w:p w14:paraId="0A65C3A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NBN Ltd  86</w:t>
      </w:r>
    </w:p>
    <w:p w14:paraId="7D105B9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Netflix  5, 64, 70, 72, 77–8</w:t>
      </w:r>
    </w:p>
    <w:p w14:paraId="7796ECA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Netgear  27</w:t>
      </w:r>
    </w:p>
    <w:p w14:paraId="7402787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NETSIP Pty Ltd  119</w:t>
      </w:r>
    </w:p>
    <w:p w14:paraId="1DD57D4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Network Reliability Framework (NRF)  111–16</w:t>
      </w:r>
    </w:p>
    <w:p w14:paraId="2233B7E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 service connections  108–9, 110</w:t>
      </w:r>
    </w:p>
    <w:p w14:paraId="3521F73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news</w:t>
      </w:r>
    </w:p>
    <w:p w14:paraId="7316204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70</w:t>
      </w:r>
    </w:p>
    <w:p w14:paraId="32E1CE3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sites  81–2</w:t>
      </w:r>
    </w:p>
    <w:p w14:paraId="1BB1D0B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 social media  81</w:t>
      </w:r>
    </w:p>
    <w:p w14:paraId="0FA05B5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trust in  82–3</w:t>
      </w:r>
    </w:p>
    <w:p w14:paraId="15DDCDB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News and Media Research Centre  81</w:t>
      </w:r>
    </w:p>
    <w:p w14:paraId="792896A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News Corporation  39</w:t>
      </w:r>
    </w:p>
    <w:p w14:paraId="25295E7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news sites</w:t>
      </w:r>
    </w:p>
    <w:p w14:paraId="3F19B93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accessed  9</w:t>
      </w:r>
    </w:p>
    <w:p w14:paraId="58E2955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accessing  63</w:t>
      </w:r>
    </w:p>
    <w:p w14:paraId="078742A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paid for subscription  9</w:t>
      </w:r>
    </w:p>
    <w:p w14:paraId="6B15E98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newspapers  82</w:t>
      </w:r>
    </w:p>
    <w:p w14:paraId="42AC8B2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cross-media ownership  39</w:t>
      </w:r>
    </w:p>
    <w:p w14:paraId="7062358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02AD1D6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Nine Entertainment Co Holdings Ltd  36</w:t>
      </w:r>
    </w:p>
    <w:p w14:paraId="464E588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Nine Network  69, 70, 83, 84, 90</w:t>
      </w:r>
    </w:p>
    <w:p w14:paraId="46A717E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Nokia  16, 27</w:t>
      </w:r>
    </w:p>
    <w:p w14:paraId="134CAFC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nominated carrier declarations (NCDs)  32–3</w:t>
      </w:r>
    </w:p>
    <w:p w14:paraId="7FFFCA8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Notable Imprint Pty Ltd  102</w:t>
      </w:r>
    </w:p>
    <w:p w14:paraId="130A164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notification of changes of control  86</w:t>
      </w:r>
    </w:p>
    <w:p w14:paraId="05049AD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Nova Entertainment Pty Ltd  37, 38, 39</w:t>
      </w:r>
    </w:p>
    <w:p w14:paraId="1CB54B8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Novatel Telecommunications Pty Ltd  118</w:t>
      </w:r>
    </w:p>
    <w:p w14:paraId="721E511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number allocations  33–4</w:t>
      </w:r>
    </w:p>
    <w:p w14:paraId="1019557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number portability  10, 116–17</w:t>
      </w:r>
    </w:p>
    <w:p w14:paraId="36F090F8" w14:textId="7341AC51"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 xml:space="preserve">freephone and local-rate number (FLRN)  10, </w:t>
      </w:r>
      <w:r w:rsidR="00D96228">
        <w:rPr>
          <w:rFonts w:eastAsiaTheme="minorEastAsia" w:cs="Arial"/>
          <w:sz w:val="18"/>
          <w:szCs w:val="18"/>
        </w:rPr>
        <w:br/>
      </w:r>
      <w:r w:rsidRPr="00B511A2">
        <w:rPr>
          <w:rFonts w:eastAsiaTheme="minorEastAsia" w:cs="Arial"/>
          <w:sz w:val="18"/>
          <w:szCs w:val="18"/>
        </w:rPr>
        <w:t>116–17</w:t>
      </w:r>
    </w:p>
    <w:p w14:paraId="45F652A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numbers  10, 104, 116–17</w:t>
      </w:r>
    </w:p>
    <w:p w14:paraId="15CDEBB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numbers  10, 104, 116–17</w:t>
      </w:r>
    </w:p>
    <w:p w14:paraId="17D7DE6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Numbering System  33</w:t>
      </w:r>
    </w:p>
    <w:p w14:paraId="4F7B43D2"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O</w:t>
      </w:r>
    </w:p>
    <w:p w14:paraId="46E5B08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Office of the eSafety Commissioner  97–8</w:t>
      </w:r>
    </w:p>
    <w:p w14:paraId="74B2BBD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offline Australians  49</w:t>
      </w:r>
    </w:p>
    <w:p w14:paraId="07DDA7F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O’Loughlin, Nerida  1</w:t>
      </w:r>
    </w:p>
    <w:p w14:paraId="5D81555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activities  54–5, 63</w:t>
      </w:r>
    </w:p>
    <w:p w14:paraId="45B2F32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advertising  5, 12, 40–42</w:t>
      </w:r>
    </w:p>
    <w:p w14:paraId="7D27A44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audio  5, 54–5, 64, 67–8</w:t>
      </w:r>
    </w:p>
    <w:p w14:paraId="74D6ABC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buying  58–60, 63</w:t>
      </w:r>
    </w:p>
    <w:p w14:paraId="6A881B7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content</w:t>
      </w:r>
    </w:p>
    <w:p w14:paraId="0293D83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90, 121–122</w:t>
      </w:r>
    </w:p>
    <w:p w14:paraId="7CDB74B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prohibited  90</w:t>
      </w:r>
    </w:p>
    <w:p w14:paraId="0A19D1E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music services  67</w:t>
      </w:r>
    </w:p>
    <w:p w14:paraId="1B9541B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news services  9, 81–2</w:t>
      </w:r>
    </w:p>
    <w:p w14:paraId="4807AE7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selling  58–60</w:t>
      </w:r>
    </w:p>
    <w:p w14:paraId="69BC53D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shopping  54, 58–60, 63</w:t>
      </w:r>
    </w:p>
    <w:p w14:paraId="78E9EFD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streaming  66–68, 73</w:t>
      </w:r>
    </w:p>
    <w:p w14:paraId="41A311E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online usage  </w:t>
      </w:r>
      <w:r w:rsidRPr="00B511A2">
        <w:rPr>
          <w:rFonts w:eastAsiaTheme="minorEastAsia" w:cs="Arial"/>
          <w:i/>
          <w:iCs/>
          <w:sz w:val="18"/>
          <w:szCs w:val="18"/>
        </w:rPr>
        <w:t>see</w:t>
      </w:r>
      <w:r w:rsidRPr="00B511A2">
        <w:rPr>
          <w:rFonts w:eastAsiaTheme="minorEastAsia" w:cs="Arial"/>
          <w:sz w:val="18"/>
          <w:szCs w:val="18"/>
        </w:rPr>
        <w:t xml:space="preserve"> internet use</w:t>
      </w:r>
    </w:p>
    <w:p w14:paraId="27F29C1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video content  64</w:t>
      </w:r>
    </w:p>
    <w:p w14:paraId="215A072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accessing  9, 54–5, 73–4</w:t>
      </w:r>
    </w:p>
    <w:p w14:paraId="15D127E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barriers to accessing  75–6</w:t>
      </w:r>
    </w:p>
    <w:p w14:paraId="13F3ABD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concerns about  80</w:t>
      </w:r>
    </w:p>
    <w:p w14:paraId="0615484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devices used  73–5</w:t>
      </w:r>
    </w:p>
    <w:p w14:paraId="7982A37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technical quality of  81</w:t>
      </w:r>
    </w:p>
    <w:p w14:paraId="23C5AD4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time spent viewing  64, 76–9</w:t>
      </w:r>
    </w:p>
    <w:p w14:paraId="7195345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traffic  73</w:t>
      </w:r>
    </w:p>
    <w:p w14:paraId="0404D1C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viewer profile  79</w:t>
      </w:r>
    </w:p>
    <w:p w14:paraId="47EFBA2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viewing  3, 5, 71–9</w:t>
      </w:r>
    </w:p>
    <w:p w14:paraId="52C4FFE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subscription video on demand (SVOD)</w:t>
      </w:r>
    </w:p>
    <w:p w14:paraId="6A99E7F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online video services</w:t>
      </w:r>
    </w:p>
    <w:p w14:paraId="2D646DD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devices used  73–5</w:t>
      </w:r>
    </w:p>
    <w:p w14:paraId="00D6575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technical experience  81</w:t>
      </w:r>
    </w:p>
    <w:p w14:paraId="39E0E7E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use of  77–8</w:t>
      </w:r>
    </w:p>
    <w:p w14:paraId="042DD0E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Open IoT Lab  26</w:t>
      </w:r>
    </w:p>
    <w:p w14:paraId="6CB40B8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Optus</w:t>
      </w:r>
    </w:p>
    <w:p w14:paraId="522A28A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2G networks  15</w:t>
      </w:r>
    </w:p>
    <w:p w14:paraId="36678CB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4G networks  15</w:t>
      </w:r>
    </w:p>
    <w:p w14:paraId="3D8E9C8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5G mobile network developments  27</w:t>
      </w:r>
    </w:p>
    <w:p w14:paraId="2317C28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 110</w:t>
      </w:r>
    </w:p>
    <w:p w14:paraId="618EACE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cloud services  24</w:t>
      </w:r>
    </w:p>
    <w:p w14:paraId="398CF1E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110</w:t>
      </w:r>
    </w:p>
    <w:p w14:paraId="6F2974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107–11</w:t>
      </w:r>
    </w:p>
    <w:p w14:paraId="2466375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exceptions  111</w:t>
      </w:r>
    </w:p>
    <w:p w14:paraId="00653E4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109, 110</w:t>
      </w:r>
    </w:p>
    <w:p w14:paraId="4711E196" w14:textId="228F0F5C" w:rsidR="003823BB" w:rsidRPr="00B511A2" w:rsidRDefault="002750DF" w:rsidP="003823BB">
      <w:pPr>
        <w:widowControl w:val="0"/>
        <w:autoSpaceDE w:val="0"/>
        <w:autoSpaceDN w:val="0"/>
        <w:adjustRightInd w:val="0"/>
        <w:spacing w:after="0" w:line="240" w:lineRule="auto"/>
        <w:ind w:left="345" w:hanging="116"/>
        <w:rPr>
          <w:rFonts w:eastAsiaTheme="minorEastAsia" w:cs="Arial"/>
          <w:sz w:val="18"/>
          <w:szCs w:val="18"/>
        </w:rPr>
      </w:pPr>
      <w:r>
        <w:rPr>
          <w:rFonts w:eastAsiaTheme="minorEastAsia" w:cs="Arial"/>
          <w:sz w:val="18"/>
          <w:szCs w:val="18"/>
        </w:rPr>
        <w:t>Internet of T</w:t>
      </w:r>
      <w:r w:rsidR="003823BB" w:rsidRPr="00B511A2">
        <w:rPr>
          <w:rFonts w:eastAsiaTheme="minorEastAsia" w:cs="Arial"/>
          <w:sz w:val="18"/>
          <w:szCs w:val="18"/>
        </w:rPr>
        <w:t>hings (IoT)  4, 27</w:t>
      </w:r>
    </w:p>
    <w:p w14:paraId="1408042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services in operation  18–19</w:t>
      </w:r>
    </w:p>
    <w:p w14:paraId="1293E0B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109, 110</w:t>
      </w:r>
    </w:p>
    <w:p w14:paraId="4E20040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market share  14</w:t>
      </w:r>
    </w:p>
    <w:p w14:paraId="3D474195" w14:textId="287CDF9F" w:rsidR="003823BB" w:rsidRPr="00B511A2" w:rsidRDefault="00D96228" w:rsidP="003823BB">
      <w:pPr>
        <w:widowControl w:val="0"/>
        <w:autoSpaceDE w:val="0"/>
        <w:autoSpaceDN w:val="0"/>
        <w:adjustRightInd w:val="0"/>
        <w:spacing w:after="0" w:line="240" w:lineRule="auto"/>
        <w:ind w:left="345" w:hanging="116"/>
        <w:rPr>
          <w:rFonts w:eastAsiaTheme="minorEastAsia" w:cs="Arial"/>
          <w:sz w:val="18"/>
          <w:szCs w:val="18"/>
        </w:rPr>
      </w:pPr>
      <w:r>
        <w:rPr>
          <w:rFonts w:eastAsiaTheme="minorEastAsia" w:cs="Arial"/>
          <w:sz w:val="18"/>
          <w:szCs w:val="18"/>
        </w:rPr>
        <w:t>Mobile Black Spot Program</w:t>
      </w:r>
      <w:r w:rsidR="003823BB" w:rsidRPr="00B511A2">
        <w:rPr>
          <w:rFonts w:eastAsiaTheme="minorEastAsia" w:cs="Arial"/>
          <w:sz w:val="18"/>
          <w:szCs w:val="18"/>
        </w:rPr>
        <w:t xml:space="preserve">  16</w:t>
      </w:r>
    </w:p>
    <w:p w14:paraId="71ABBE1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phone base stations  29</w:t>
      </w:r>
    </w:p>
    <w:p w14:paraId="64A7F40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109, 110</w:t>
      </w:r>
    </w:p>
    <w:p w14:paraId="1A48DC8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as qualifying carriage service providers (QCSPs)  107</w:t>
      </w:r>
    </w:p>
    <w:p w14:paraId="7841CF4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television streaming services  64, 70, 72</w:t>
      </w:r>
    </w:p>
    <w:p w14:paraId="0FBAEB7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voice over Wi-Fi (VoWiFi)  28</w:t>
      </w:r>
    </w:p>
    <w:p w14:paraId="10E8A92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Wi-Fi services  24</w:t>
      </w:r>
    </w:p>
    <w:p w14:paraId="48AECE8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Yes TV  5</w:t>
      </w:r>
    </w:p>
    <w:p w14:paraId="75351CA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over-the-top (OTT) services  17</w:t>
      </w:r>
    </w:p>
    <w:p w14:paraId="119A15A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communications apps</w:t>
      </w:r>
    </w:p>
    <w:p w14:paraId="5F3E7F5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OzTAM  70, 71</w:t>
      </w:r>
    </w:p>
    <w:p w14:paraId="7BA8F3BD"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P</w:t>
      </w:r>
    </w:p>
    <w:p w14:paraId="1B9B9B8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Pandora  64, 67</w:t>
      </w:r>
    </w:p>
    <w:p w14:paraId="3BA9C23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pay-per-view online content  72, 76–7, 79</w:t>
      </w:r>
    </w:p>
    <w:p w14:paraId="7A8B7DD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pay TV  </w:t>
      </w:r>
      <w:r w:rsidRPr="00B511A2">
        <w:rPr>
          <w:rFonts w:eastAsiaTheme="minorEastAsia" w:cs="Arial"/>
          <w:i/>
          <w:iCs/>
          <w:sz w:val="18"/>
          <w:szCs w:val="18"/>
        </w:rPr>
        <w:t>see</w:t>
      </w:r>
      <w:r w:rsidRPr="00B511A2">
        <w:rPr>
          <w:rFonts w:eastAsiaTheme="minorEastAsia" w:cs="Arial"/>
          <w:sz w:val="18"/>
          <w:szCs w:val="18"/>
        </w:rPr>
        <w:t xml:space="preserve"> subscription television</w:t>
      </w:r>
    </w:p>
    <w:p w14:paraId="5468334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payphones  8, 104, 105–7</w:t>
      </w:r>
    </w:p>
    <w:p w14:paraId="3C83A98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calls from  94, 95</w:t>
      </w:r>
    </w:p>
    <w:p w14:paraId="220B29C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106–7</w:t>
      </w:r>
    </w:p>
    <w:p w14:paraId="214ECF0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numbers  105–6</w:t>
      </w:r>
    </w:p>
    <w:p w14:paraId="6768EC3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for people with disability  107</w:t>
      </w:r>
    </w:p>
    <w:p w14:paraId="3F3A444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removals  105</w:t>
      </w:r>
    </w:p>
    <w:p w14:paraId="395968C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sites  105</w:t>
      </w:r>
    </w:p>
    <w:p w14:paraId="3614603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teletypewriters  107</w:t>
      </w:r>
    </w:p>
    <w:p w14:paraId="46BD2A3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people with disability, payphones for  107</w:t>
      </w:r>
    </w:p>
    <w:p w14:paraId="6208D42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Perceptive Communications Pty Ltd  102</w:t>
      </w:r>
    </w:p>
    <w:p w14:paraId="07BF85A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performance, Network Reliability Framework (NRF)  111–15</w:t>
      </w:r>
    </w:p>
    <w:p w14:paraId="59782FD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personal video recorder, internet access  50</w:t>
      </w:r>
    </w:p>
    <w:p w14:paraId="72CF22F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phishing  123</w:t>
      </w:r>
    </w:p>
    <w:p w14:paraId="0F7D46D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phishing reports  123</w:t>
      </w:r>
    </w:p>
    <w:p w14:paraId="5414136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playing games  63</w:t>
      </w:r>
    </w:p>
    <w:p w14:paraId="21393A1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Plus7  69, 78</w:t>
      </w:r>
    </w:p>
    <w:p w14:paraId="2B75B4B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podcasts  68</w:t>
      </w:r>
    </w:p>
    <w:p w14:paraId="5DA25A5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police  90, 94, 99, 102</w:t>
      </w:r>
    </w:p>
    <w:p w14:paraId="3871C77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prepaid mobile services  6, 13–14, 93, 101</w:t>
      </w:r>
    </w:p>
    <w:p w14:paraId="7FFD77E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Prime Media Group Ltd  36</w:t>
      </w:r>
    </w:p>
    <w:p w14:paraId="39EE56D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Prime Television  86</w:t>
      </w:r>
    </w:p>
    <w:p w14:paraId="0786B30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priority assistance  115–16</w:t>
      </w:r>
    </w:p>
    <w:p w14:paraId="558DDD9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04609F">
        <w:rPr>
          <w:rFonts w:eastAsiaTheme="minorEastAsia" w:cs="Arial"/>
          <w:iCs/>
          <w:sz w:val="18"/>
          <w:szCs w:val="18"/>
        </w:rPr>
        <w:t>Priority Assistance for Life Threatening Medical Conditions</w:t>
      </w:r>
      <w:r w:rsidRPr="00B511A2">
        <w:rPr>
          <w:rFonts w:eastAsiaTheme="minorEastAsia" w:cs="Arial"/>
          <w:sz w:val="18"/>
          <w:szCs w:val="18"/>
        </w:rPr>
        <w:t xml:space="preserve">  116</w:t>
      </w:r>
    </w:p>
    <w:p w14:paraId="3E7BCF5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privacy  27</w:t>
      </w:r>
    </w:p>
    <w:p w14:paraId="2ECE076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prohibited online content  90</w:t>
      </w:r>
    </w:p>
    <w:p w14:paraId="30FE1F1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public transport  24</w:t>
      </w:r>
    </w:p>
    <w:p w14:paraId="1FFB325C"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Q</w:t>
      </w:r>
    </w:p>
    <w:p w14:paraId="02C7C31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Qantas, Wi-Fi services  22, 24</w:t>
      </w:r>
    </w:p>
    <w:p w14:paraId="4493669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Qualcomm  27</w:t>
      </w:r>
    </w:p>
    <w:p w14:paraId="65D3EC59"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R</w:t>
      </w:r>
    </w:p>
    <w:p w14:paraId="0E1F115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radio</w:t>
      </w:r>
    </w:p>
    <w:p w14:paraId="58E8E58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advertising  40–1, 68</w:t>
      </w:r>
    </w:p>
    <w:p w14:paraId="79B9A13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AM to FM conversions  88</w:t>
      </w:r>
    </w:p>
    <w:p w14:paraId="61699D0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concerns about content  68</w:t>
      </w:r>
    </w:p>
    <w:p w14:paraId="2BBA19A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digital  64, 65, 66, 88</w:t>
      </w:r>
    </w:p>
    <w:p w14:paraId="1D768B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listening to  64, 65–6</w:t>
      </w:r>
    </w:p>
    <w:p w14:paraId="67CC252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regional  87</w:t>
      </w:r>
    </w:p>
    <w:p w14:paraId="1DBA2AE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usage  65–6</w:t>
      </w:r>
    </w:p>
    <w:p w14:paraId="0A0BA7D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ownership and control of commercial  37–8</w:t>
      </w:r>
    </w:p>
    <w:p w14:paraId="7C31F1F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reach of  65</w:t>
      </w:r>
    </w:p>
    <w:p w14:paraId="231C5FE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audio streaming</w:t>
      </w:r>
    </w:p>
    <w:p w14:paraId="1299072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Radio 2CH Pty Ltd  37</w:t>
      </w:r>
    </w:p>
    <w:p w14:paraId="13B426E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radio licences</w:t>
      </w:r>
    </w:p>
    <w:p w14:paraId="01454D8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AM to FM conversions  88</w:t>
      </w:r>
    </w:p>
    <w:p w14:paraId="5ABCE7B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commercial broadcasting  10, 35, 37–8, 87</w:t>
      </w:r>
    </w:p>
    <w:p w14:paraId="1C1190D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community broadcasting  35, 39</w:t>
      </w:r>
    </w:p>
    <w:p w14:paraId="68EDC8F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05429AA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temporary community broadcasting  35, 39</w:t>
      </w:r>
    </w:p>
    <w:p w14:paraId="6734792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Radiocommunications Act 1992</w:t>
      </w:r>
      <w:r w:rsidRPr="00B511A2">
        <w:rPr>
          <w:rFonts w:eastAsiaTheme="minorEastAsia" w:cs="Arial"/>
          <w:sz w:val="18"/>
          <w:szCs w:val="18"/>
        </w:rPr>
        <w:t xml:space="preserve">  30</w:t>
      </w:r>
    </w:p>
    <w:p w14:paraId="6318774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radiocommunications interference  30–1</w:t>
      </w:r>
    </w:p>
    <w:p w14:paraId="3CA4BBC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radiocommunications transmitters  31</w:t>
      </w:r>
    </w:p>
    <w:p w14:paraId="16C4AB1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Readify  24, 34</w:t>
      </w:r>
    </w:p>
    <w:p w14:paraId="11E47D7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Redwave Media Ltd  38</w:t>
      </w:r>
    </w:p>
    <w:p w14:paraId="05AE8F4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regional news  70, 87</w:t>
      </w:r>
    </w:p>
    <w:p w14:paraId="14BB8E7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regional radio</w:t>
      </w:r>
    </w:p>
    <w:p w14:paraId="7A54D5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AM to FM conversions  88</w:t>
      </w:r>
    </w:p>
    <w:p w14:paraId="237E368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87</w:t>
      </w:r>
    </w:p>
    <w:p w14:paraId="3BFFAF8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regional television</w:t>
      </w:r>
    </w:p>
    <w:p w14:paraId="5AFE25A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changes in  70</w:t>
      </w:r>
    </w:p>
    <w:p w14:paraId="62F8A1A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86, 87</w:t>
      </w:r>
    </w:p>
    <w:p w14:paraId="775DB5B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RegionalTAM  70, 71</w:t>
      </w:r>
    </w:p>
    <w:p w14:paraId="6112177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registered cablers  119</w:t>
      </w:r>
    </w:p>
    <w:p w14:paraId="0E1AD0D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reliability, fixed-line telephone services network  </w:t>
      </w:r>
      <w:r>
        <w:rPr>
          <w:rFonts w:eastAsiaTheme="minorEastAsia" w:cs="Arial"/>
          <w:sz w:val="18"/>
          <w:szCs w:val="18"/>
        </w:rPr>
        <w:br/>
      </w:r>
      <w:r w:rsidRPr="00B511A2">
        <w:rPr>
          <w:rFonts w:eastAsiaTheme="minorEastAsia" w:cs="Arial"/>
          <w:sz w:val="18"/>
          <w:szCs w:val="18"/>
        </w:rPr>
        <w:t>111–15</w:t>
      </w:r>
    </w:p>
    <w:p w14:paraId="35CA090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remote areas</w:t>
      </w:r>
    </w:p>
    <w:p w14:paraId="22C8BA8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w:t>
      </w:r>
    </w:p>
    <w:p w14:paraId="09A9230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108–11</w:t>
      </w:r>
    </w:p>
    <w:p w14:paraId="38B2077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108, 109</w:t>
      </w:r>
    </w:p>
    <w:p w14:paraId="20D5D32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108, 109</w:t>
      </w:r>
    </w:p>
    <w:p w14:paraId="46122E0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108, 109</w:t>
      </w:r>
    </w:p>
    <w:p w14:paraId="427B7DA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107</w:t>
      </w:r>
    </w:p>
    <w:p w14:paraId="168F7C3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115–16</w:t>
      </w:r>
    </w:p>
    <w:p w14:paraId="199CB44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research methodology  6, 126–7</w:t>
      </w:r>
    </w:p>
    <w:p w14:paraId="2BBBE18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Resonate Broadcasting Pty Ltd  38</w:t>
      </w:r>
    </w:p>
    <w:p w14:paraId="61C7CF8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Roggle Pty Ltd  119</w:t>
      </w:r>
    </w:p>
    <w:p w14:paraId="497280C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Rojan Australia Pty Ltd  118</w:t>
      </w:r>
    </w:p>
    <w:p w14:paraId="48C35EB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Roy Morgan Research  126–7</w:t>
      </w:r>
    </w:p>
    <w:p w14:paraId="0A152EB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rural areas</w:t>
      </w:r>
    </w:p>
    <w:p w14:paraId="69AE81C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w:t>
      </w:r>
    </w:p>
    <w:p w14:paraId="66B5212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108–11</w:t>
      </w:r>
    </w:p>
    <w:p w14:paraId="4DC4E28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108, 109</w:t>
      </w:r>
    </w:p>
    <w:p w14:paraId="153332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108, 109</w:t>
      </w:r>
    </w:p>
    <w:p w14:paraId="681E9FD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108, 109</w:t>
      </w:r>
    </w:p>
    <w:p w14:paraId="79E63D4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107</w:t>
      </w:r>
    </w:p>
    <w:p w14:paraId="10CA1F5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115–16</w:t>
      </w:r>
    </w:p>
    <w:p w14:paraId="35213655"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S</w:t>
      </w:r>
    </w:p>
    <w:p w14:paraId="562E19A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satellite internet  20</w:t>
      </w:r>
    </w:p>
    <w:p w14:paraId="419B973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satellite services  22</w:t>
      </w:r>
    </w:p>
    <w:p w14:paraId="090476D1" w14:textId="11F9AF97" w:rsidR="003823BB" w:rsidRPr="00B511A2" w:rsidRDefault="00F42692" w:rsidP="003823BB">
      <w:pPr>
        <w:widowControl w:val="0"/>
        <w:autoSpaceDE w:val="0"/>
        <w:autoSpaceDN w:val="0"/>
        <w:adjustRightInd w:val="0"/>
        <w:spacing w:after="0" w:line="240" w:lineRule="auto"/>
        <w:ind w:left="115" w:hanging="116"/>
        <w:rPr>
          <w:rFonts w:eastAsiaTheme="minorEastAsia" w:cs="Arial"/>
          <w:sz w:val="18"/>
          <w:szCs w:val="18"/>
        </w:rPr>
      </w:pPr>
      <w:r>
        <w:rPr>
          <w:rFonts w:eastAsiaTheme="minorEastAsia" w:cs="Arial"/>
          <w:sz w:val="18"/>
          <w:szCs w:val="18"/>
        </w:rPr>
        <w:t xml:space="preserve">SBS On </w:t>
      </w:r>
      <w:r w:rsidR="003823BB" w:rsidRPr="00B511A2">
        <w:rPr>
          <w:rFonts w:eastAsiaTheme="minorEastAsia" w:cs="Arial"/>
          <w:sz w:val="18"/>
          <w:szCs w:val="18"/>
        </w:rPr>
        <w:t>Demand  78</w:t>
      </w:r>
    </w:p>
    <w:p w14:paraId="0B4EEA0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Screen Australia  69, 85</w:t>
      </w:r>
    </w:p>
    <w:p w14:paraId="6D73ACB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security  27</w:t>
      </w:r>
    </w:p>
    <w:p w14:paraId="09B58A2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selling online  58–60</w:t>
      </w:r>
    </w:p>
    <w:p w14:paraId="1480B68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service costs, consumer satisfaction  61</w:t>
      </w:r>
    </w:p>
    <w:p w14:paraId="28E74F2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service reliability, consumer satisfaction  61</w:t>
      </w:r>
    </w:p>
    <w:p w14:paraId="4CD3890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Seven Group Holdings Ltd  36, 39</w:t>
      </w:r>
    </w:p>
    <w:p w14:paraId="6A3C4B1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Seven Network  83, 84</w:t>
      </w:r>
    </w:p>
    <w:p w14:paraId="2619E67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Seven Qld  86</w:t>
      </w:r>
    </w:p>
    <w:p w14:paraId="4AAAF15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Seven West Media  5, 64, 69</w:t>
      </w:r>
    </w:p>
    <w:p w14:paraId="1AF88FF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shopping centres  24</w:t>
      </w:r>
    </w:p>
    <w:p w14:paraId="4CB79A8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shopping online  54, 58–60, 63</w:t>
      </w:r>
    </w:p>
    <w:p w14:paraId="3AB0BFF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Sigfox  27</w:t>
      </w:r>
    </w:p>
    <w:p w14:paraId="29C0DE5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Singtel  21</w:t>
      </w:r>
    </w:p>
    <w:p w14:paraId="671E7C41" w14:textId="70284B29"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Sky Muster I </w:t>
      </w:r>
      <w:r w:rsidR="0004609F">
        <w:rPr>
          <w:rFonts w:eastAsiaTheme="minorEastAsia" w:cs="Arial"/>
          <w:sz w:val="18"/>
          <w:szCs w:val="18"/>
        </w:rPr>
        <w:t xml:space="preserve"> </w:t>
      </w:r>
      <w:r w:rsidRPr="00B511A2">
        <w:rPr>
          <w:rFonts w:eastAsiaTheme="minorEastAsia" w:cs="Arial"/>
          <w:sz w:val="18"/>
          <w:szCs w:val="18"/>
        </w:rPr>
        <w:t>22</w:t>
      </w:r>
    </w:p>
    <w:p w14:paraId="1791C2D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Sky Muster II  22</w:t>
      </w:r>
    </w:p>
    <w:p w14:paraId="4DECD4A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Skype  17, 46, 57</w:t>
      </w:r>
    </w:p>
    <w:p w14:paraId="11A5D72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 cars  26</w:t>
      </w:r>
    </w:p>
    <w:p w14:paraId="223B51D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 cities  25–6</w:t>
      </w:r>
    </w:p>
    <w:p w14:paraId="58BEEC0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 Cities Council Australia and New Zealand (SCCANZ)  26</w:t>
      </w:r>
    </w:p>
    <w:p w14:paraId="2F70F93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 homes  26</w:t>
      </w:r>
    </w:p>
    <w:p w14:paraId="1C14BF4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 televisions  3, 49, 50, 51, 73–4</w:t>
      </w:r>
    </w:p>
    <w:p w14:paraId="62FB68B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smartnumbers  33</w:t>
      </w:r>
    </w:p>
    <w:p w14:paraId="61EC8DA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smartphones  4, 12, 16–17</w:t>
      </w:r>
    </w:p>
    <w:p w14:paraId="4B03AF8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62</w:t>
      </w:r>
    </w:p>
    <w:p w14:paraId="67711EF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ownership  7, 62</w:t>
      </w:r>
    </w:p>
    <w:p w14:paraId="79BEA70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mobile phone internet</w:t>
      </w:r>
    </w:p>
    <w:p w14:paraId="221B811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SMS messages  46–7</w:t>
      </w:r>
    </w:p>
    <w:p w14:paraId="1433B0B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Snapchat  17, 46</w:t>
      </w:r>
    </w:p>
    <w:p w14:paraId="1E0F04C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social media</w:t>
      </w:r>
    </w:p>
    <w:p w14:paraId="4137AEF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activities  55</w:t>
      </w:r>
    </w:p>
    <w:p w14:paraId="103F538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businesses on  60</w:t>
      </w:r>
    </w:p>
    <w:p w14:paraId="6874452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as source of news  81</w:t>
      </w:r>
    </w:p>
    <w:p w14:paraId="4F8E8EB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social networking  54, 63</w:t>
      </w:r>
    </w:p>
    <w:p w14:paraId="2B06B5C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Social Research Centre  126</w:t>
      </w:r>
    </w:p>
    <w:p w14:paraId="3B77D02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Soundcloud  64</w:t>
      </w:r>
    </w:p>
    <w:p w14:paraId="7E7971F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South Australian Government  26</w:t>
      </w:r>
    </w:p>
    <w:p w14:paraId="1415C5A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Southern Cross  37, 38, 39, 86</w:t>
      </w:r>
    </w:p>
    <w:p w14:paraId="224B949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Southern Cross Austereo  70</w:t>
      </w:r>
    </w:p>
    <w:p w14:paraId="4891572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spam  11, 121–2</w:t>
      </w:r>
    </w:p>
    <w:p w14:paraId="0AC9404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Spam Act 2003</w:t>
      </w:r>
      <w:r w:rsidRPr="00B511A2">
        <w:rPr>
          <w:rFonts w:eastAsiaTheme="minorEastAsia" w:cs="Arial"/>
          <w:sz w:val="18"/>
          <w:szCs w:val="18"/>
        </w:rPr>
        <w:t xml:space="preserve">  121</w:t>
      </w:r>
    </w:p>
    <w:p w14:paraId="65B36D6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spectrum auctions  15</w:t>
      </w:r>
    </w:p>
    <w:p w14:paraId="2F782C0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Spotify  64, 67</w:t>
      </w:r>
    </w:p>
    <w:p w14:paraId="303E0A2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Sprint Telco Group Pty Ltd  119</w:t>
      </w:r>
    </w:p>
    <w:p w14:paraId="5718F69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Stan  70, 72, 78</w:t>
      </w:r>
    </w:p>
    <w:p w14:paraId="73B949C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streaming devices  70, 73–5</w:t>
      </w:r>
    </w:p>
    <w:p w14:paraId="264F932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streaming music services  </w:t>
      </w:r>
      <w:r w:rsidRPr="00B511A2">
        <w:rPr>
          <w:rFonts w:eastAsiaTheme="minorEastAsia" w:cs="Arial"/>
          <w:i/>
          <w:iCs/>
          <w:sz w:val="18"/>
          <w:szCs w:val="18"/>
        </w:rPr>
        <w:t>see</w:t>
      </w:r>
      <w:r w:rsidRPr="00B511A2">
        <w:rPr>
          <w:rFonts w:eastAsiaTheme="minorEastAsia" w:cs="Arial"/>
          <w:sz w:val="18"/>
          <w:szCs w:val="18"/>
        </w:rPr>
        <w:t xml:space="preserve"> audio streaming</w:t>
      </w:r>
    </w:p>
    <w:p w14:paraId="55CE47B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streaming radio services  64, 67</w:t>
      </w:r>
    </w:p>
    <w:p w14:paraId="65A228E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streaming television services  71</w:t>
      </w:r>
    </w:p>
    <w:p w14:paraId="1908BFB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streaming video content  </w:t>
      </w:r>
      <w:r w:rsidRPr="00B511A2">
        <w:rPr>
          <w:rFonts w:eastAsiaTheme="minorEastAsia" w:cs="Arial"/>
          <w:i/>
          <w:iCs/>
          <w:sz w:val="18"/>
          <w:szCs w:val="18"/>
        </w:rPr>
        <w:t>see</w:t>
      </w:r>
      <w:r w:rsidRPr="00B511A2">
        <w:rPr>
          <w:rFonts w:eastAsiaTheme="minorEastAsia" w:cs="Arial"/>
          <w:sz w:val="18"/>
          <w:szCs w:val="18"/>
        </w:rPr>
        <w:t xml:space="preserve"> online video content</w:t>
      </w:r>
    </w:p>
    <w:p w14:paraId="7FAFFBD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submarine cables  3, 21</w:t>
      </w:r>
    </w:p>
    <w:p w14:paraId="1D5C521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SubPartners  21</w:t>
      </w:r>
    </w:p>
    <w:p w14:paraId="79C571F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subscription television  40, 64, 72</w:t>
      </w:r>
    </w:p>
    <w:p w14:paraId="26B1695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captioning  85–6</w:t>
      </w:r>
    </w:p>
    <w:p w14:paraId="7F2233F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concerns about content  80</w:t>
      </w:r>
    </w:p>
    <w:p w14:paraId="5E2FBDD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developments  70</w:t>
      </w:r>
    </w:p>
    <w:p w14:paraId="6893469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drama expenditure scheme  84–5</w:t>
      </w:r>
    </w:p>
    <w:p w14:paraId="7508B68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time spent viewing  76–9</w:t>
      </w:r>
    </w:p>
    <w:p w14:paraId="6A4F031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subscription television licences, numbers  10, 35</w:t>
      </w:r>
    </w:p>
    <w:p w14:paraId="7435EC5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subscription video on demand (SVOD)  5, 64, 72, 73</w:t>
      </w:r>
    </w:p>
    <w:p w14:paraId="53B953F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barriers to accessing  75–6</w:t>
      </w:r>
    </w:p>
    <w:p w14:paraId="07D6528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developments  70</w:t>
      </w:r>
    </w:p>
    <w:p w14:paraId="442959F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subscribers  72</w:t>
      </w:r>
    </w:p>
    <w:p w14:paraId="016E214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Super Radio Network  37, 38</w:t>
      </w:r>
    </w:p>
    <w:p w14:paraId="790000A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surveys, ACMA-commissioned  6, 126–7</w:t>
      </w:r>
    </w:p>
    <w:p w14:paraId="1026E32A"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T</w:t>
      </w:r>
    </w:p>
    <w:p w14:paraId="3EE57A1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tablets</w:t>
      </w:r>
    </w:p>
    <w:p w14:paraId="048937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international trends  62</w:t>
      </w:r>
    </w:p>
    <w:p w14:paraId="1F21C72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49–53</w:t>
      </w:r>
    </w:p>
    <w:p w14:paraId="6DE1940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ownership  62</w:t>
      </w:r>
    </w:p>
    <w:p w14:paraId="01F8DC9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technical support, consumer satisfaction  61</w:t>
      </w:r>
    </w:p>
    <w:p w14:paraId="43332CB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 services  7–10</w:t>
      </w:r>
    </w:p>
    <w:p w14:paraId="1D46B07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Telecommunications Act 1997</w:t>
      </w:r>
      <w:r w:rsidRPr="00B511A2">
        <w:rPr>
          <w:rFonts w:eastAsiaTheme="minorEastAsia" w:cs="Arial"/>
          <w:sz w:val="18"/>
          <w:szCs w:val="18"/>
        </w:rPr>
        <w:t xml:space="preserve">  2, 6, 12, 28, 29, 30, 46, 64, 93, 96, 97, 99, 100, 102, 104, 117, 120</w:t>
      </w:r>
    </w:p>
    <w:p w14:paraId="3BEB884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Cabling Provider Rules 2014  119, 120</w:t>
      </w:r>
    </w:p>
    <w:p w14:paraId="55D7486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Code of Practice 1997  28, 29, 30</w:t>
      </w:r>
    </w:p>
    <w:p w14:paraId="3F0298D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codes</w:t>
      </w:r>
    </w:p>
    <w:p w14:paraId="61AEA47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development and review  117</w:t>
      </w:r>
    </w:p>
    <w:p w14:paraId="03E7FE5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enquiries and objections  29</w:t>
      </w:r>
    </w:p>
    <w:p w14:paraId="7615F1C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w:t>
      </w:r>
      <w:r w:rsidRPr="00B511A2">
        <w:rPr>
          <w:rFonts w:eastAsiaTheme="minorEastAsia" w:cs="Arial"/>
          <w:i/>
          <w:iCs/>
          <w:sz w:val="18"/>
          <w:szCs w:val="18"/>
        </w:rPr>
        <w:t xml:space="preserve">specific codes such as </w:t>
      </w:r>
      <w:r w:rsidRPr="0004609F">
        <w:rPr>
          <w:rFonts w:eastAsiaTheme="minorEastAsia" w:cs="Arial"/>
          <w:iCs/>
          <w:sz w:val="18"/>
          <w:szCs w:val="18"/>
        </w:rPr>
        <w:t>Local Number Portability Code</w:t>
      </w:r>
    </w:p>
    <w:p w14:paraId="42EA324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Telecommunications (Consumer Protection and Service Standards) Act 1999</w:t>
      </w:r>
      <w:r w:rsidRPr="00B511A2">
        <w:rPr>
          <w:rFonts w:eastAsiaTheme="minorEastAsia" w:cs="Arial"/>
          <w:sz w:val="18"/>
          <w:szCs w:val="18"/>
        </w:rPr>
        <w:t xml:space="preserve">  105, 124</w:t>
      </w:r>
    </w:p>
    <w:p w14:paraId="2D97510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Consumer Protection (TCP) Code</w:t>
      </w:r>
    </w:p>
    <w:p w14:paraId="210BD90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advertising  117</w:t>
      </w:r>
    </w:p>
    <w:p w14:paraId="5E919B7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compliance  117–19</w:t>
      </w:r>
    </w:p>
    <w:p w14:paraId="1305E75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industry compliance  117–19</w:t>
      </w:r>
    </w:p>
    <w:p w14:paraId="6489D16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(Customer Service Guarantee–Retail Performance Benchmarks) Instrument (No. 1) 2011  107</w:t>
      </w:r>
    </w:p>
    <w:p w14:paraId="1632FE2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(Customer Service Guarantee) Standard 2011  107</w:t>
      </w:r>
    </w:p>
    <w:p w14:paraId="3D4C548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Customer Service Guarantee Standard</w:t>
      </w:r>
    </w:p>
    <w:p w14:paraId="3453109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(Emergency Call Service) Determination 2009  93</w:t>
      </w:r>
    </w:p>
    <w:p w14:paraId="71B0330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industry levy (TIL)  104–5</w:t>
      </w:r>
    </w:p>
    <w:p w14:paraId="0FA2093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Industry Ombudsman (TIO)</w:t>
      </w:r>
    </w:p>
    <w:p w14:paraId="5647E7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to  5, 11, 30, 104, 124–5</w:t>
      </w:r>
    </w:p>
    <w:p w14:paraId="1F8280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disclosures of customer information to  97–8</w:t>
      </w:r>
    </w:p>
    <w:p w14:paraId="6C91E33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facility installation  30</w:t>
      </w:r>
    </w:p>
    <w:p w14:paraId="33C5DDC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handling of life-threatening and unwelcome calls  102</w:t>
      </w:r>
    </w:p>
    <w:p w14:paraId="48D9718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Industry Ombudsman scheme</w:t>
      </w:r>
    </w:p>
    <w:p w14:paraId="58E64E1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compliance  124</w:t>
      </w:r>
    </w:p>
    <w:p w14:paraId="164FC69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exemptions  124</w:t>
      </w:r>
    </w:p>
    <w:p w14:paraId="0D81713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members  8, 33, 124</w:t>
      </w:r>
    </w:p>
    <w:p w14:paraId="39E0D18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Integrated Public Number Database Scheme 2017  102</w:t>
      </w:r>
    </w:p>
    <w:p w14:paraId="00D1EDC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i/>
          <w:iCs/>
          <w:sz w:val="18"/>
          <w:szCs w:val="18"/>
        </w:rPr>
        <w:t>Telecommunications (Interception and Access) Act 1979</w:t>
      </w:r>
      <w:r w:rsidRPr="00B511A2">
        <w:rPr>
          <w:rFonts w:eastAsiaTheme="minorEastAsia" w:cs="Arial"/>
          <w:sz w:val="18"/>
          <w:szCs w:val="18"/>
        </w:rPr>
        <w:t xml:space="preserve">  93, 97, 98, 99, 100</w:t>
      </w:r>
    </w:p>
    <w:p w14:paraId="109B895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licences, cablers  119</w:t>
      </w:r>
    </w:p>
    <w:p w14:paraId="39F0A23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(Low-impact Facilities) Determination 1997  28</w:t>
      </w:r>
    </w:p>
    <w:p w14:paraId="5F8C655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(Service Provider – Identity Checks for Prepaid Mobile Carriage Services) Determination 2017  101</w:t>
      </w:r>
    </w:p>
    <w:p w14:paraId="2817DFA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telecommunications services  </w:t>
      </w:r>
      <w:r w:rsidRPr="00B511A2">
        <w:rPr>
          <w:rFonts w:eastAsiaTheme="minorEastAsia" w:cs="Arial"/>
          <w:i/>
          <w:iCs/>
          <w:sz w:val="18"/>
          <w:szCs w:val="18"/>
        </w:rPr>
        <w:t>see</w:t>
      </w:r>
      <w:r w:rsidRPr="00B511A2">
        <w:rPr>
          <w:rFonts w:eastAsiaTheme="minorEastAsia" w:cs="Arial"/>
          <w:sz w:val="18"/>
          <w:szCs w:val="18"/>
        </w:rPr>
        <w:t xml:space="preserve"> communications services</w:t>
      </w:r>
    </w:p>
    <w:p w14:paraId="36EB832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(Telemarketing and Research Calls) Industry Standard 2017  120, 121</w:t>
      </w:r>
    </w:p>
    <w:p w14:paraId="04132A3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Telecommunications Universal Service Obligation (Payphone Performance Benchmarks) Instrument (No. 1) 2011  106</w:t>
      </w:r>
    </w:p>
    <w:p w14:paraId="6E47388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Teleforce Pty Ltd  118</w:t>
      </w:r>
    </w:p>
    <w:p w14:paraId="3D51586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telemarketing, complaints  11, 121–2</w:t>
      </w:r>
    </w:p>
    <w:p w14:paraId="74B8757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Telemarketing and Research Industry Standard 2007  120</w:t>
      </w:r>
    </w:p>
    <w:p w14:paraId="637EB26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telephone number allocations  33–4</w:t>
      </w:r>
    </w:p>
    <w:p w14:paraId="0E8F6D3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teletypewriters (TTY)</w:t>
      </w:r>
    </w:p>
    <w:p w14:paraId="2F5EAA1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 service numbers  95–6</w:t>
      </w:r>
    </w:p>
    <w:p w14:paraId="5DB0ABB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107</w:t>
      </w:r>
    </w:p>
    <w:p w14:paraId="5DB795F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television</w:t>
      </w:r>
    </w:p>
    <w:p w14:paraId="6702124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advertising  5, 40–1, 69</w:t>
      </w:r>
    </w:p>
    <w:p w14:paraId="55851CC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anti-siphoning events  87</w:t>
      </w:r>
    </w:p>
    <w:p w14:paraId="6EAE652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audience measurement  70</w:t>
      </w:r>
    </w:p>
    <w:p w14:paraId="336B2EA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Australian content on  83</w:t>
      </w:r>
    </w:p>
    <w:p w14:paraId="31E8CFC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captioning  85–6</w:t>
      </w:r>
    </w:p>
    <w:p w14:paraId="4B78A1D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catch-up services  4, 5, 64, 69, 73, 75, 77, 78</w:t>
      </w:r>
    </w:p>
    <w:p w14:paraId="6DE6BCE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children's programs  84</w:t>
      </w:r>
    </w:p>
    <w:p w14:paraId="47E9E26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concerns about content  80</w:t>
      </w:r>
    </w:p>
    <w:p w14:paraId="729F664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digital  88</w:t>
      </w:r>
    </w:p>
    <w:p w14:paraId="6822A7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drama expenditure scheme  84–5</w:t>
      </w:r>
    </w:p>
    <w:p w14:paraId="147FC1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free-to-air viewing  3, 5, 64, 71, 75, 77, 79</w:t>
      </w:r>
    </w:p>
    <w:p w14:paraId="042E03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access  3, 50, 51</w:t>
      </w:r>
    </w:p>
    <w:p w14:paraId="7452601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live streaming  5</w:t>
      </w:r>
    </w:p>
    <w:p w14:paraId="173E65C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local information on regional  86</w:t>
      </w:r>
    </w:p>
    <w:p w14:paraId="4FD30E9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streaming  73</w:t>
      </w:r>
    </w:p>
    <w:p w14:paraId="6EE43A8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online usage  73–4</w:t>
      </w:r>
    </w:p>
    <w:p w14:paraId="44A7492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regional  70</w:t>
      </w:r>
    </w:p>
    <w:p w14:paraId="60AE48D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streaming services  71</w:t>
      </w:r>
    </w:p>
    <w:p w14:paraId="192D3A9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time spent viewing  64, 76–9</w:t>
      </w:r>
    </w:p>
    <w:p w14:paraId="772EA96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viewing  4, 64, 71–9</w:t>
      </w:r>
    </w:p>
    <w:p w14:paraId="54266EE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online video content; smart televisions; subscription television; subscription video on demand (SVOD)</w:t>
      </w:r>
    </w:p>
    <w:p w14:paraId="61793F4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television licences</w:t>
      </w:r>
    </w:p>
    <w:p w14:paraId="037E4D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commercial broadcasting  10, 35, 39</w:t>
      </w:r>
    </w:p>
    <w:p w14:paraId="1F697FF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community broadcasting  35, 39</w:t>
      </w:r>
    </w:p>
    <w:p w14:paraId="2D5FB2A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notification of changes of control  86</w:t>
      </w:r>
    </w:p>
    <w:p w14:paraId="4B565F4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subscription  10, 40</w:t>
      </w:r>
    </w:p>
    <w:p w14:paraId="4B92FF9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television masthead amplifiers  31</w:t>
      </w:r>
    </w:p>
    <w:p w14:paraId="6165006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television sets  74–5</w:t>
      </w:r>
    </w:p>
    <w:p w14:paraId="7ACE3FF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television streaming devices  73</w:t>
      </w:r>
    </w:p>
    <w:p w14:paraId="5579F0C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Telstra</w:t>
      </w:r>
    </w:p>
    <w:p w14:paraId="4216E5B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4G networks  15</w:t>
      </w:r>
    </w:p>
    <w:p w14:paraId="0377C5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5G mobile network developments  27</w:t>
      </w:r>
    </w:p>
    <w:p w14:paraId="24DF6F9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 110</w:t>
      </w:r>
    </w:p>
    <w:p w14:paraId="2AC8323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cable runs  113</w:t>
      </w:r>
    </w:p>
    <w:p w14:paraId="5D3B63B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cloud services  24</w:t>
      </w:r>
    </w:p>
    <w:p w14:paraId="4A6C2C8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compensation payments  110</w:t>
      </w:r>
    </w:p>
    <w:p w14:paraId="32F43B5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107–11</w:t>
      </w:r>
    </w:p>
    <w:p w14:paraId="5E95305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 services  93</w:t>
      </w:r>
    </w:p>
    <w:p w14:paraId="1C6CCBE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emergency calls  93, 94</w:t>
      </w:r>
    </w:p>
    <w:p w14:paraId="14D83E2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exceptions  111</w:t>
      </w:r>
    </w:p>
    <w:p w14:paraId="46D45B91"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109, 110</w:t>
      </w:r>
    </w:p>
    <w:p w14:paraId="5BC9B2E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faults  111–15</w:t>
      </w:r>
    </w:p>
    <w:p w14:paraId="63E0161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fixed-line telephone services  12–13</w:t>
      </w:r>
    </w:p>
    <w:p w14:paraId="26BD2F1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fixed-voice product revenue  12–13</w:t>
      </w:r>
    </w:p>
    <w:p w14:paraId="42C4C6B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Integrated Public Number Database (IPND)  101</w:t>
      </w:r>
    </w:p>
    <w:p w14:paraId="1209601C" w14:textId="6585DDEC" w:rsidR="003823BB" w:rsidRPr="00B511A2" w:rsidRDefault="0004609F" w:rsidP="003823BB">
      <w:pPr>
        <w:widowControl w:val="0"/>
        <w:autoSpaceDE w:val="0"/>
        <w:autoSpaceDN w:val="0"/>
        <w:adjustRightInd w:val="0"/>
        <w:spacing w:after="0" w:line="240" w:lineRule="auto"/>
        <w:ind w:left="345" w:hanging="116"/>
        <w:rPr>
          <w:rFonts w:eastAsiaTheme="minorEastAsia" w:cs="Arial"/>
          <w:sz w:val="18"/>
          <w:szCs w:val="18"/>
        </w:rPr>
      </w:pPr>
      <w:r>
        <w:rPr>
          <w:rFonts w:eastAsiaTheme="minorEastAsia" w:cs="Arial"/>
          <w:sz w:val="18"/>
          <w:szCs w:val="18"/>
        </w:rPr>
        <w:t>Internet of T</w:t>
      </w:r>
      <w:r w:rsidR="003823BB" w:rsidRPr="00B511A2">
        <w:rPr>
          <w:rFonts w:eastAsiaTheme="minorEastAsia" w:cs="Arial"/>
          <w:sz w:val="18"/>
          <w:szCs w:val="18"/>
        </w:rPr>
        <w:t>hings (IoT)  4, 26</w:t>
      </w:r>
    </w:p>
    <w:p w14:paraId="0CB8DA0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services in operation  18–19</w:t>
      </w:r>
    </w:p>
    <w:p w14:paraId="2A911FC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109, 110</w:t>
      </w:r>
    </w:p>
    <w:p w14:paraId="1C7DCC7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Long Term Evolution broadcast (LTE-B) technology  28</w:t>
      </w:r>
    </w:p>
    <w:p w14:paraId="2119FEF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M2M services  13</w:t>
      </w:r>
    </w:p>
    <w:p w14:paraId="7D58499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market share  14</w:t>
      </w:r>
    </w:p>
    <w:p w14:paraId="3F0BEE3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mergers and acquisitions  24, 34</w:t>
      </w:r>
    </w:p>
    <w:p w14:paraId="47BF5F9E" w14:textId="72DB2790" w:rsidR="003823BB" w:rsidRPr="00B511A2" w:rsidRDefault="00D96228" w:rsidP="003823BB">
      <w:pPr>
        <w:widowControl w:val="0"/>
        <w:autoSpaceDE w:val="0"/>
        <w:autoSpaceDN w:val="0"/>
        <w:adjustRightInd w:val="0"/>
        <w:spacing w:after="0" w:line="240" w:lineRule="auto"/>
        <w:ind w:left="345" w:hanging="116"/>
        <w:rPr>
          <w:rFonts w:eastAsiaTheme="minorEastAsia" w:cs="Arial"/>
          <w:sz w:val="18"/>
          <w:szCs w:val="18"/>
        </w:rPr>
      </w:pPr>
      <w:r>
        <w:rPr>
          <w:rFonts w:eastAsiaTheme="minorEastAsia" w:cs="Arial"/>
          <w:sz w:val="18"/>
          <w:szCs w:val="18"/>
        </w:rPr>
        <w:t>Mobile Black Spot Program</w:t>
      </w:r>
      <w:r w:rsidR="003823BB" w:rsidRPr="00B511A2">
        <w:rPr>
          <w:rFonts w:eastAsiaTheme="minorEastAsia" w:cs="Arial"/>
          <w:sz w:val="18"/>
          <w:szCs w:val="18"/>
        </w:rPr>
        <w:t xml:space="preserve">  16</w:t>
      </w:r>
    </w:p>
    <w:p w14:paraId="13C418D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phone base stations  29</w:t>
      </w:r>
    </w:p>
    <w:p w14:paraId="64FA1E9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Network Reliability Framework (NRF)  111–15</w:t>
      </w:r>
    </w:p>
    <w:p w14:paraId="6A75487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109, 110</w:t>
      </w:r>
    </w:p>
    <w:p w14:paraId="30692E5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105–7</w:t>
      </w:r>
    </w:p>
    <w:p w14:paraId="4E23427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115–16</w:t>
      </w:r>
    </w:p>
    <w:p w14:paraId="39B9323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as qualifying carriage service providers (QCSPs)  107</w:t>
      </w:r>
    </w:p>
    <w:p w14:paraId="10C8F65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submarine cables  21</w:t>
      </w:r>
    </w:p>
    <w:p w14:paraId="089E8F6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subscription video on demand (SVOD)  72</w:t>
      </w:r>
    </w:p>
    <w:p w14:paraId="45F0B75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video over LTE (ViLTE)  28</w:t>
      </w:r>
    </w:p>
    <w:p w14:paraId="3EB74D2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voice over Wi-Fi (VoWiFi)  28</w:t>
      </w:r>
    </w:p>
    <w:p w14:paraId="1918310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Wi-Fi hotspots  23</w:t>
      </w:r>
    </w:p>
    <w:p w14:paraId="501EB60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Telstra TV  74</w:t>
      </w:r>
    </w:p>
    <w:p w14:paraId="453A49D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temporary community radio broadcasting licences  35</w:t>
      </w:r>
    </w:p>
    <w:p w14:paraId="682F9D6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Ten Network  83, 84</w:t>
      </w:r>
    </w:p>
    <w:p w14:paraId="05B5C87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Ten Network Holdings Ltd  36, 69</w:t>
      </w:r>
    </w:p>
    <w:p w14:paraId="29D84D7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Ten Play  78</w:t>
      </w:r>
    </w:p>
    <w:p w14:paraId="6A212FC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text messages (SMS)  46–7</w:t>
      </w:r>
    </w:p>
    <w:p w14:paraId="1632420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The Things Network  25</w:t>
      </w:r>
    </w:p>
    <w:p w14:paraId="211AE50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Thinxtra  27</w:t>
      </w:r>
    </w:p>
    <w:p w14:paraId="1FCFF32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time frames  5, 108, 109</w:t>
      </w:r>
    </w:p>
    <w:p w14:paraId="07B054A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TIO  </w:t>
      </w:r>
      <w:r w:rsidRPr="00B511A2">
        <w:rPr>
          <w:rFonts w:eastAsiaTheme="minorEastAsia" w:cs="Arial"/>
          <w:i/>
          <w:iCs/>
          <w:sz w:val="18"/>
          <w:szCs w:val="18"/>
        </w:rPr>
        <w:t>see</w:t>
      </w:r>
      <w:r w:rsidRPr="00B511A2">
        <w:rPr>
          <w:rFonts w:eastAsiaTheme="minorEastAsia" w:cs="Arial"/>
          <w:sz w:val="18"/>
          <w:szCs w:val="18"/>
        </w:rPr>
        <w:t xml:space="preserve"> Telecommunications Industry Ombudsman (TIO)</w:t>
      </w:r>
    </w:p>
    <w:p w14:paraId="12AC153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TiVo  74</w:t>
      </w:r>
    </w:p>
    <w:p w14:paraId="6EB769B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Total Group Pty Ltd  118</w:t>
      </w:r>
    </w:p>
    <w:p w14:paraId="0D5FD0A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TPG Internet Pty Ltd  15</w:t>
      </w:r>
    </w:p>
    <w:p w14:paraId="2FD34BB0"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TPG Telecom</w:t>
      </w:r>
    </w:p>
    <w:p w14:paraId="580B764E"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internet services in operation  18–19</w:t>
      </w:r>
    </w:p>
    <w:p w14:paraId="4AC6603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waivers  5, 108</w:t>
      </w:r>
    </w:p>
    <w:p w14:paraId="3766A5B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Triple Zero calls  6, 11, 93–4, 95–6</w:t>
      </w:r>
    </w:p>
    <w:p w14:paraId="77F0B8C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complaints  95</w:t>
      </w:r>
    </w:p>
    <w:p w14:paraId="68EE36F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non-emergency calls  93, 94</w:t>
      </w:r>
    </w:p>
    <w:p w14:paraId="15C0497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via National Relay Service (NRS)  95–6</w:t>
      </w:r>
    </w:p>
    <w:p w14:paraId="0CCF7E54"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U</w:t>
      </w:r>
    </w:p>
    <w:p w14:paraId="0F2E080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United Kingdom  18, 62–3</w:t>
      </w:r>
    </w:p>
    <w:p w14:paraId="73F7A2A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United States  62</w:t>
      </w:r>
    </w:p>
    <w:p w14:paraId="7E27C8E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universal service obligation (USO), levies and payments  104–5</w:t>
      </w:r>
    </w:p>
    <w:p w14:paraId="5752C62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unsolicited communications  121–2</w:t>
      </w:r>
    </w:p>
    <w:p w14:paraId="1D8841E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unwelcome calls  102</w:t>
      </w:r>
    </w:p>
    <w:p w14:paraId="0F54E0D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urban areas</w:t>
      </w:r>
    </w:p>
    <w:p w14:paraId="464221C5"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appointments  109</w:t>
      </w:r>
    </w:p>
    <w:p w14:paraId="72166CF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Customer Service Guarantee Standard  108–11</w:t>
      </w:r>
    </w:p>
    <w:p w14:paraId="615F16D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fault repairs  108, 109</w:t>
      </w:r>
    </w:p>
    <w:p w14:paraId="17FD4C72"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in-place connections  108, 109</w:t>
      </w:r>
    </w:p>
    <w:p w14:paraId="6B6A665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new service connections  108, 109</w:t>
      </w:r>
    </w:p>
    <w:p w14:paraId="6BE3EE0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payphones  107</w:t>
      </w:r>
    </w:p>
    <w:p w14:paraId="222FF3E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priority assistance  115–16</w:t>
      </w:r>
    </w:p>
    <w:p w14:paraId="24AC27DA"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V</w:t>
      </w:r>
    </w:p>
    <w:p w14:paraId="7B81AE9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 Telecom Pty Ltd  118</w:t>
      </w:r>
    </w:p>
    <w:p w14:paraId="39147D6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V4 Telecom Pty Ltd  119</w:t>
      </w:r>
    </w:p>
    <w:p w14:paraId="621B8D17"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Veda Advantage Limited  102</w:t>
      </w:r>
    </w:p>
    <w:p w14:paraId="56009FCB"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Vehicle-to-Pedestrian technology  26</w:t>
      </w:r>
    </w:p>
    <w:p w14:paraId="70FF12EC"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VeloCloud Networks  24</w:t>
      </w:r>
    </w:p>
    <w:p w14:paraId="0485E25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video calls</w:t>
      </w:r>
    </w:p>
    <w:p w14:paraId="1F481D9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communications apps  17, 56–8</w:t>
      </w:r>
    </w:p>
    <w:p w14:paraId="2CA2D28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mobile phone credit  17, 57–8</w:t>
      </w:r>
    </w:p>
    <w:p w14:paraId="7D72C41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voice over LTE (VoLTE)  28</w:t>
      </w:r>
    </w:p>
    <w:p w14:paraId="36D920F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video content  3, 5, 54–5</w:t>
      </w:r>
    </w:p>
    <w:p w14:paraId="42D25436"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access  69–76</w:t>
      </w:r>
    </w:p>
    <w:p w14:paraId="19F5631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engagement  76–81</w:t>
      </w:r>
    </w:p>
    <w:p w14:paraId="75E79AD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i/>
          <w:iCs/>
          <w:sz w:val="18"/>
          <w:szCs w:val="18"/>
        </w:rPr>
        <w:t>see also</w:t>
      </w:r>
      <w:r w:rsidRPr="00B511A2">
        <w:rPr>
          <w:rFonts w:eastAsiaTheme="minorEastAsia" w:cs="Arial"/>
          <w:sz w:val="18"/>
          <w:szCs w:val="18"/>
        </w:rPr>
        <w:t xml:space="preserve"> online video content</w:t>
      </w:r>
    </w:p>
    <w:p w14:paraId="512CCF8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video on demand  </w:t>
      </w:r>
      <w:r w:rsidRPr="00B511A2">
        <w:rPr>
          <w:rFonts w:eastAsiaTheme="minorEastAsia" w:cs="Arial"/>
          <w:i/>
          <w:iCs/>
          <w:sz w:val="18"/>
          <w:szCs w:val="18"/>
        </w:rPr>
        <w:t>see</w:t>
      </w:r>
      <w:r w:rsidRPr="00B511A2">
        <w:rPr>
          <w:rFonts w:eastAsiaTheme="minorEastAsia" w:cs="Arial"/>
          <w:sz w:val="18"/>
          <w:szCs w:val="18"/>
        </w:rPr>
        <w:t xml:space="preserve"> subscription video on demand (SVOD)</w:t>
      </w:r>
    </w:p>
    <w:p w14:paraId="3F222D3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video over LTE (ViLTE)  28</w:t>
      </w:r>
    </w:p>
    <w:p w14:paraId="1D2D28D1"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 xml:space="preserve">video streaming services  </w:t>
      </w:r>
      <w:r w:rsidRPr="00B511A2">
        <w:rPr>
          <w:rFonts w:eastAsiaTheme="minorEastAsia" w:cs="Arial"/>
          <w:i/>
          <w:iCs/>
          <w:sz w:val="18"/>
          <w:szCs w:val="18"/>
        </w:rPr>
        <w:t>see</w:t>
      </w:r>
      <w:r w:rsidRPr="00B511A2">
        <w:rPr>
          <w:rFonts w:eastAsiaTheme="minorEastAsia" w:cs="Arial"/>
          <w:sz w:val="18"/>
          <w:szCs w:val="18"/>
        </w:rPr>
        <w:t xml:space="preserve"> subscription video on demand (SVOD)</w:t>
      </w:r>
    </w:p>
    <w:p w14:paraId="6883963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videoconferencing calls  28</w:t>
      </w:r>
    </w:p>
    <w:p w14:paraId="1B27AAD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Virgin Australia  24</w:t>
      </w:r>
    </w:p>
    <w:p w14:paraId="5BD16CD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Vocus Communications  18–19</w:t>
      </w:r>
    </w:p>
    <w:p w14:paraId="0C496E8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exceptions  111</w:t>
      </w:r>
    </w:p>
    <w:p w14:paraId="7822765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Vocus Group, submarine cables  21</w:t>
      </w:r>
    </w:p>
    <w:p w14:paraId="5D22585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Vodafone</w:t>
      </w:r>
    </w:p>
    <w:p w14:paraId="09A3198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2G networks  12, 15</w:t>
      </w:r>
    </w:p>
    <w:p w14:paraId="511744C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4G networks  15</w:t>
      </w:r>
    </w:p>
    <w:p w14:paraId="04B6865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5G mobile network developments  27</w:t>
      </w:r>
    </w:p>
    <w:p w14:paraId="694CC811" w14:textId="4C24D857" w:rsidR="003823BB" w:rsidRPr="00B511A2" w:rsidRDefault="00A7359C" w:rsidP="003823BB">
      <w:pPr>
        <w:widowControl w:val="0"/>
        <w:autoSpaceDE w:val="0"/>
        <w:autoSpaceDN w:val="0"/>
        <w:adjustRightInd w:val="0"/>
        <w:spacing w:after="0" w:line="240" w:lineRule="auto"/>
        <w:ind w:left="345" w:hanging="116"/>
        <w:rPr>
          <w:rFonts w:eastAsiaTheme="minorEastAsia" w:cs="Arial"/>
          <w:sz w:val="18"/>
          <w:szCs w:val="18"/>
        </w:rPr>
      </w:pPr>
      <w:r>
        <w:rPr>
          <w:rFonts w:eastAsiaTheme="minorEastAsia" w:cs="Arial"/>
          <w:sz w:val="18"/>
          <w:szCs w:val="18"/>
        </w:rPr>
        <w:t>Internet of T</w:t>
      </w:r>
      <w:r w:rsidR="003823BB" w:rsidRPr="00B511A2">
        <w:rPr>
          <w:rFonts w:eastAsiaTheme="minorEastAsia" w:cs="Arial"/>
          <w:sz w:val="18"/>
          <w:szCs w:val="18"/>
        </w:rPr>
        <w:t>hings (IoT)  4, 27</w:t>
      </w:r>
    </w:p>
    <w:p w14:paraId="41A415CF"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market share  14</w:t>
      </w:r>
    </w:p>
    <w:p w14:paraId="4EE573A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mergers and acquisitions  34</w:t>
      </w:r>
    </w:p>
    <w:p w14:paraId="539386A4" w14:textId="4012EC53"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 xml:space="preserve">Mobile </w:t>
      </w:r>
      <w:r w:rsidR="00D96228">
        <w:rPr>
          <w:rFonts w:eastAsiaTheme="minorEastAsia" w:cs="Arial"/>
          <w:sz w:val="18"/>
          <w:szCs w:val="18"/>
        </w:rPr>
        <w:t>Black Spot Program</w:t>
      </w:r>
      <w:r w:rsidRPr="00B511A2">
        <w:rPr>
          <w:rFonts w:eastAsiaTheme="minorEastAsia" w:cs="Arial"/>
          <w:sz w:val="18"/>
          <w:szCs w:val="18"/>
        </w:rPr>
        <w:t xml:space="preserve">  16</w:t>
      </w:r>
    </w:p>
    <w:p w14:paraId="5DA136C4"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phone base stations  29</w:t>
      </w:r>
    </w:p>
    <w:p w14:paraId="0CBEDA58"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virtual network operators (MVNOs)  13</w:t>
      </w:r>
    </w:p>
    <w:p w14:paraId="10CB0CFB"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voice over Wi-Fi (VoWiFi)  28</w:t>
      </w:r>
    </w:p>
    <w:p w14:paraId="58BDB6B3"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Vodafone Hutchison Australia Pty Ltd  15</w:t>
      </w:r>
    </w:p>
    <w:p w14:paraId="0116CFBE"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voice calls</w:t>
      </w:r>
    </w:p>
    <w:p w14:paraId="632C4FEA"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communications apps  17, 56–8</w:t>
      </w:r>
    </w:p>
    <w:p w14:paraId="36029E13"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using mobile phone credit  17, 57–8</w:t>
      </w:r>
    </w:p>
    <w:p w14:paraId="1D770A9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voice over LTE (VoLTE)  28</w:t>
      </w:r>
    </w:p>
    <w:p w14:paraId="7ADDBB2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voice over Wi-Fi (VoWiFi)  3, 28</w:t>
      </w:r>
    </w:p>
    <w:p w14:paraId="276112B8"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W</w:t>
      </w:r>
    </w:p>
    <w:p w14:paraId="5217F0F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waivers, Customer Service Guarantee Standard  5, 8, 108</w:t>
      </w:r>
    </w:p>
    <w:p w14:paraId="7B84F312"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WhatsApp  17, 46, 57</w:t>
      </w:r>
    </w:p>
    <w:p w14:paraId="366DFF9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Wi-Fi calling  3, 28</w:t>
      </w:r>
    </w:p>
    <w:p w14:paraId="34F2F5AF"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Wi-Fi hotspots  23–4</w:t>
      </w:r>
    </w:p>
    <w:p w14:paraId="67C80C6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Wi-Fi network, use of  53</w:t>
      </w:r>
    </w:p>
    <w:p w14:paraId="00906606"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Wi-Fi services  23–4</w:t>
      </w:r>
    </w:p>
    <w:p w14:paraId="3EA693CD"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WIN Corporation Pty Ltd  36, 39</w:t>
      </w:r>
    </w:p>
    <w:p w14:paraId="1780EBF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WIN TV  86</w:t>
      </w:r>
    </w:p>
    <w:p w14:paraId="47E9A638"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wireless broadband</w:t>
      </w:r>
    </w:p>
    <w:p w14:paraId="699A885C"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data downloaded  9, 51–2</w:t>
      </w:r>
    </w:p>
    <w:p w14:paraId="686E1F57"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7</w:t>
      </w:r>
    </w:p>
    <w:p w14:paraId="63B5385A"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wireless internet</w:t>
      </w:r>
    </w:p>
    <w:p w14:paraId="3A3FB62D"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mobile  20–21</w:t>
      </w:r>
    </w:p>
    <w:p w14:paraId="393CC240"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publicly accessible  23–4</w:t>
      </w:r>
    </w:p>
    <w:p w14:paraId="6AF4EC49" w14:textId="77777777" w:rsidR="003823BB" w:rsidRPr="00B511A2" w:rsidRDefault="003823BB" w:rsidP="003823BB">
      <w:pPr>
        <w:widowControl w:val="0"/>
        <w:autoSpaceDE w:val="0"/>
        <w:autoSpaceDN w:val="0"/>
        <w:adjustRightInd w:val="0"/>
        <w:spacing w:after="0" w:line="240" w:lineRule="auto"/>
        <w:ind w:left="345" w:hanging="116"/>
        <w:rPr>
          <w:rFonts w:eastAsiaTheme="minorEastAsia" w:cs="Arial"/>
          <w:sz w:val="18"/>
          <w:szCs w:val="18"/>
        </w:rPr>
      </w:pPr>
      <w:r w:rsidRPr="00B511A2">
        <w:rPr>
          <w:rFonts w:eastAsiaTheme="minorEastAsia" w:cs="Arial"/>
          <w:sz w:val="18"/>
          <w:szCs w:val="18"/>
        </w:rPr>
        <w:t>subscribers  20–21</w:t>
      </w:r>
    </w:p>
    <w:p w14:paraId="5119A0F5"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working from home  54</w:t>
      </w:r>
    </w:p>
    <w:p w14:paraId="5F40BB55" w14:textId="77777777" w:rsidR="003823BB" w:rsidRPr="00B511A2" w:rsidRDefault="003823BB" w:rsidP="003823BB">
      <w:pPr>
        <w:keepNext/>
        <w:keepLines/>
        <w:pBdr>
          <w:bottom w:val="single" w:sz="4" w:space="1" w:color="auto"/>
        </w:pBdr>
        <w:spacing w:before="360" w:after="120"/>
        <w:rPr>
          <w:rFonts w:cs="Arial"/>
          <w:b/>
          <w:color w:val="37897E"/>
          <w:sz w:val="32"/>
          <w:szCs w:val="32"/>
        </w:rPr>
      </w:pPr>
      <w:r>
        <w:rPr>
          <w:rFonts w:cs="Arial"/>
          <w:b/>
          <w:color w:val="37897E"/>
          <w:sz w:val="32"/>
          <w:szCs w:val="32"/>
        </w:rPr>
        <w:t>Y</w:t>
      </w:r>
    </w:p>
    <w:p w14:paraId="515F8E0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Yahoo7  69, 82</w:t>
      </w:r>
    </w:p>
    <w:p w14:paraId="59D8C729"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Yomojo Pty Ltd  119</w:t>
      </w:r>
    </w:p>
    <w:p w14:paraId="6C5D4C34" w14:textId="77777777" w:rsidR="003823BB" w:rsidRPr="00B511A2"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YouTube  78</w:t>
      </w:r>
    </w:p>
    <w:p w14:paraId="52415EB3" w14:textId="77777777" w:rsidR="003823BB" w:rsidRPr="00876FAF" w:rsidRDefault="003823BB" w:rsidP="003823BB">
      <w:pPr>
        <w:widowControl w:val="0"/>
        <w:autoSpaceDE w:val="0"/>
        <w:autoSpaceDN w:val="0"/>
        <w:adjustRightInd w:val="0"/>
        <w:spacing w:after="0" w:line="240" w:lineRule="auto"/>
        <w:ind w:left="115" w:hanging="116"/>
        <w:rPr>
          <w:rFonts w:eastAsiaTheme="minorEastAsia" w:cs="Arial"/>
          <w:sz w:val="18"/>
          <w:szCs w:val="18"/>
        </w:rPr>
      </w:pPr>
      <w:r w:rsidRPr="00B511A2">
        <w:rPr>
          <w:rFonts w:eastAsiaTheme="minorEastAsia" w:cs="Arial"/>
          <w:sz w:val="18"/>
          <w:szCs w:val="18"/>
        </w:rPr>
        <w:t>YouTube Red  71, 72</w:t>
      </w:r>
    </w:p>
    <w:bookmarkEnd w:id="1426"/>
    <w:bookmarkEnd w:id="1427"/>
    <w:bookmarkEnd w:id="1428"/>
    <w:p w14:paraId="404E526F" w14:textId="77777777" w:rsidR="003823BB" w:rsidRDefault="003823BB" w:rsidP="003823BB">
      <w:pPr>
        <w:pStyle w:val="Heading2"/>
        <w:sectPr w:rsidR="003823BB" w:rsidSect="003823BB">
          <w:endnotePr>
            <w:numFmt w:val="decimal"/>
            <w:numRestart w:val="eachSect"/>
          </w:endnotePr>
          <w:type w:val="continuous"/>
          <w:pgSz w:w="11906" w:h="16838" w:code="9"/>
          <w:pgMar w:top="1985" w:right="1134" w:bottom="1134" w:left="1134" w:header="709" w:footer="119" w:gutter="284"/>
          <w:cols w:num="2" w:space="708"/>
          <w:docGrid w:linePitch="360"/>
        </w:sectPr>
      </w:pPr>
    </w:p>
    <w:p w14:paraId="66FA6DF1" w14:textId="38C13A36" w:rsidR="00B511A2" w:rsidRPr="00B511A2" w:rsidRDefault="00B511A2" w:rsidP="00D96228"/>
    <w:sectPr w:rsidR="00B511A2" w:rsidRPr="00B511A2" w:rsidSect="00B511A2">
      <w:endnotePr>
        <w:numFmt w:val="decimal"/>
        <w:numRestart w:val="eachSect"/>
      </w:endnotePr>
      <w:pgSz w:w="11906" w:h="16838" w:code="9"/>
      <w:pgMar w:top="1985" w:right="1134" w:bottom="1134" w:left="1134" w:header="709" w:footer="119" w:gutter="284"/>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FAC52" w14:textId="77777777" w:rsidR="00015FAC" w:rsidRDefault="00015FAC" w:rsidP="00531CD0">
      <w:r>
        <w:separator/>
      </w:r>
    </w:p>
  </w:endnote>
  <w:endnote w:type="continuationSeparator" w:id="0">
    <w:p w14:paraId="41BDADDD" w14:textId="77777777" w:rsidR="00015FAC" w:rsidRDefault="00015FAC" w:rsidP="00531CD0">
      <w:r>
        <w:separator/>
      </w:r>
    </w:p>
  </w:endnote>
  <w:endnote w:type="continuationNotice" w:id="1">
    <w:p w14:paraId="04634B05" w14:textId="77777777" w:rsidR="00015FAC" w:rsidRDefault="00015FAC">
      <w:pPr>
        <w:spacing w:after="0" w:line="240" w:lineRule="auto"/>
      </w:pPr>
    </w:p>
  </w:endnote>
  <w:endnote w:id="2">
    <w:p w14:paraId="6A42884E" w14:textId="77777777" w:rsidR="00015FAC" w:rsidRDefault="00015FAC" w:rsidP="00601755">
      <w:pPr>
        <w:spacing w:after="80"/>
        <w:rPr>
          <w:b/>
        </w:rPr>
      </w:pPr>
      <w:r w:rsidRPr="001B5D0B">
        <w:rPr>
          <w:b/>
        </w:rPr>
        <w:t>Endnotes</w:t>
      </w:r>
    </w:p>
    <w:p w14:paraId="1573F687" w14:textId="77777777" w:rsidR="00015FAC" w:rsidRDefault="00015FAC" w:rsidP="00601755">
      <w:pPr>
        <w:pStyle w:val="EndnoteText"/>
      </w:pPr>
      <w:r>
        <w:rPr>
          <w:rStyle w:val="EndnoteReference"/>
        </w:rPr>
        <w:endnoteRef/>
      </w:r>
      <w:r>
        <w:t xml:space="preserve"> Telstra, </w:t>
      </w:r>
      <w:hyperlink r:id="rId1" w:history="1">
        <w:r w:rsidRPr="00575541">
          <w:rPr>
            <w:rStyle w:val="Hyperlink"/>
            <w:i/>
          </w:rPr>
          <w:t>Financial results for the year ended 30 June 2017</w:t>
        </w:r>
      </w:hyperlink>
      <w:r w:rsidRPr="009C2A8D">
        <w:t>,</w:t>
      </w:r>
      <w:r>
        <w:t xml:space="preserve"> 17 August 2017. </w:t>
      </w:r>
    </w:p>
  </w:endnote>
  <w:endnote w:id="3">
    <w:p w14:paraId="1CC54986" w14:textId="77777777" w:rsidR="00015FAC" w:rsidRDefault="00015FAC" w:rsidP="005E7721">
      <w:pPr>
        <w:pStyle w:val="EndnoteText"/>
      </w:pPr>
      <w:r>
        <w:rPr>
          <w:rStyle w:val="EndnoteReference"/>
        </w:rPr>
        <w:endnoteRef/>
      </w:r>
      <w:r>
        <w:t xml:space="preserve"> i</w:t>
      </w:r>
      <w:r w:rsidRPr="004154BC">
        <w:t>bid.</w:t>
      </w:r>
    </w:p>
  </w:endnote>
  <w:endnote w:id="4">
    <w:p w14:paraId="57A26129" w14:textId="77777777" w:rsidR="00015FAC" w:rsidRDefault="00015FAC" w:rsidP="005E7721">
      <w:pPr>
        <w:pStyle w:val="EndnoteText"/>
      </w:pPr>
      <w:r>
        <w:rPr>
          <w:rStyle w:val="EndnoteReference"/>
        </w:rPr>
        <w:endnoteRef/>
      </w:r>
      <w:r>
        <w:t xml:space="preserve"> Hutchison Telecoms, ‘</w:t>
      </w:r>
      <w:hyperlink r:id="rId2" w:history="1">
        <w:r w:rsidRPr="002A27D9">
          <w:rPr>
            <w:rStyle w:val="Hyperlink"/>
          </w:rPr>
          <w:t>Hutchison Telecommunications (Australia) Limited ASX Half Year Information 30 June 2017’</w:t>
        </w:r>
      </w:hyperlink>
      <w:r>
        <w:t>, 1 August 2017.</w:t>
      </w:r>
    </w:p>
  </w:endnote>
  <w:endnote w:id="5">
    <w:p w14:paraId="0B7646AD" w14:textId="77777777" w:rsidR="00015FAC" w:rsidRDefault="00015FAC" w:rsidP="005E7721">
      <w:pPr>
        <w:pStyle w:val="EndnoteText"/>
      </w:pPr>
      <w:r>
        <w:rPr>
          <w:rStyle w:val="EndnoteReference"/>
        </w:rPr>
        <w:endnoteRef/>
      </w:r>
      <w:r>
        <w:t xml:space="preserve"> </w:t>
      </w:r>
      <w:r w:rsidRPr="00847377">
        <w:rPr>
          <w:i/>
        </w:rPr>
        <w:t>WA</w:t>
      </w:r>
      <w:r>
        <w:t xml:space="preserve"> </w:t>
      </w:r>
      <w:r w:rsidRPr="00DC0D64">
        <w:rPr>
          <w:i/>
        </w:rPr>
        <w:t>Business News,</w:t>
      </w:r>
      <w:r>
        <w:t xml:space="preserve"> </w:t>
      </w:r>
      <w:hyperlink r:id="rId3" w:history="1">
        <w:r w:rsidRPr="00C36E04">
          <w:rPr>
            <w:rStyle w:val="Hyperlink"/>
          </w:rPr>
          <w:t>‘Telstra grows 4G reach’</w:t>
        </w:r>
      </w:hyperlink>
      <w:r>
        <w:t xml:space="preserve">, 1 August 2017. </w:t>
      </w:r>
    </w:p>
  </w:endnote>
  <w:endnote w:id="6">
    <w:p w14:paraId="53821A16" w14:textId="77777777" w:rsidR="00015FAC" w:rsidRDefault="00015FAC" w:rsidP="005E7721">
      <w:pPr>
        <w:pStyle w:val="EndnoteText"/>
      </w:pPr>
      <w:r>
        <w:rPr>
          <w:rStyle w:val="EndnoteReference"/>
        </w:rPr>
        <w:endnoteRef/>
      </w:r>
      <w:r>
        <w:t xml:space="preserve"> S. Fenech, ‘</w:t>
      </w:r>
      <w:hyperlink r:id="rId4" w:history="1">
        <w:r w:rsidRPr="006573A5">
          <w:rPr>
            <w:rStyle w:val="Hyperlink"/>
          </w:rPr>
          <w:t>Telstra expands 4G coverage and activates its new smart network’</w:t>
        </w:r>
      </w:hyperlink>
      <w:r>
        <w:t xml:space="preserve">, </w:t>
      </w:r>
      <w:r w:rsidRPr="006573A5">
        <w:rPr>
          <w:i/>
        </w:rPr>
        <w:t>Tech Guide</w:t>
      </w:r>
      <w:r>
        <w:t xml:space="preserve">, accessed 3 August 2017. </w:t>
      </w:r>
    </w:p>
  </w:endnote>
  <w:endnote w:id="7">
    <w:p w14:paraId="412FA385" w14:textId="77777777" w:rsidR="00015FAC" w:rsidRDefault="00015FAC" w:rsidP="005E7721">
      <w:pPr>
        <w:pStyle w:val="EndnoteText"/>
      </w:pPr>
      <w:r>
        <w:rPr>
          <w:rStyle w:val="EndnoteReference"/>
        </w:rPr>
        <w:endnoteRef/>
      </w:r>
      <w:r>
        <w:t xml:space="preserve"> Singtel, ‘</w:t>
      </w:r>
      <w:hyperlink r:id="rId5" w:history="1">
        <w:r w:rsidRPr="002A27D9">
          <w:rPr>
            <w:rStyle w:val="Hyperlink"/>
          </w:rPr>
          <w:t xml:space="preserve">Management discussion and analysis of financial condition, results of operations and cash </w:t>
        </w:r>
        <w:r>
          <w:rPr>
            <w:rStyle w:val="Hyperlink"/>
          </w:rPr>
          <w:t>f</w:t>
        </w:r>
        <w:r w:rsidRPr="002A27D9">
          <w:rPr>
            <w:rStyle w:val="Hyperlink"/>
          </w:rPr>
          <w:t>lows for the fourth quarter and year ended 31 March 2017’</w:t>
        </w:r>
      </w:hyperlink>
      <w:r>
        <w:t xml:space="preserve">, accessed 11 July 2017. </w:t>
      </w:r>
    </w:p>
  </w:endnote>
  <w:endnote w:id="8">
    <w:p w14:paraId="5BA103E0" w14:textId="77777777" w:rsidR="00015FAC" w:rsidRDefault="00015FAC" w:rsidP="005E7721">
      <w:pPr>
        <w:pStyle w:val="EndnoteText"/>
      </w:pPr>
      <w:r>
        <w:rPr>
          <w:rStyle w:val="EndnoteReference"/>
        </w:rPr>
        <w:endnoteRef/>
      </w:r>
      <w:r>
        <w:t xml:space="preserve"> i</w:t>
      </w:r>
      <w:r w:rsidRPr="003D67C0">
        <w:t>bid</w:t>
      </w:r>
      <w:r w:rsidRPr="00665EE9">
        <w:t>.</w:t>
      </w:r>
    </w:p>
  </w:endnote>
  <w:endnote w:id="9">
    <w:p w14:paraId="4B1E8B0E" w14:textId="77777777" w:rsidR="00015FAC" w:rsidRDefault="00015FAC" w:rsidP="005E7721">
      <w:pPr>
        <w:pStyle w:val="EndnoteText"/>
      </w:pPr>
      <w:r>
        <w:rPr>
          <w:rStyle w:val="EndnoteReference"/>
        </w:rPr>
        <w:endnoteRef/>
      </w:r>
      <w:r>
        <w:t xml:space="preserve"> Hutchison Telecoms, ‘</w:t>
      </w:r>
      <w:hyperlink r:id="rId6" w:history="1">
        <w:r w:rsidRPr="005B1638">
          <w:rPr>
            <w:rStyle w:val="Hyperlink"/>
          </w:rPr>
          <w:t>2016 Annual Report’</w:t>
        </w:r>
      </w:hyperlink>
      <w:r>
        <w:t xml:space="preserve">, 23 March 2017. </w:t>
      </w:r>
    </w:p>
  </w:endnote>
  <w:endnote w:id="10">
    <w:p w14:paraId="6DC97A64" w14:textId="77777777" w:rsidR="00015FAC" w:rsidRDefault="00015FAC" w:rsidP="005E7721">
      <w:pPr>
        <w:pStyle w:val="EndnoteText"/>
      </w:pPr>
      <w:r>
        <w:rPr>
          <w:rStyle w:val="EndnoteReference"/>
        </w:rPr>
        <w:endnoteRef/>
      </w:r>
      <w:r>
        <w:t xml:space="preserve"> Vodafone, </w:t>
      </w:r>
      <w:hyperlink r:id="rId7" w:history="1">
        <w:r w:rsidRPr="00D775CB">
          <w:rPr>
            <w:rStyle w:val="Hyperlink"/>
          </w:rPr>
          <w:t>How to say goodbye to 2G</w:t>
        </w:r>
      </w:hyperlink>
      <w:r>
        <w:t>, accessed 26 September 2017.</w:t>
      </w:r>
    </w:p>
  </w:endnote>
  <w:endnote w:id="11">
    <w:p w14:paraId="65693427" w14:textId="77777777" w:rsidR="00015FAC" w:rsidRDefault="00015FAC" w:rsidP="005E7721">
      <w:pPr>
        <w:pStyle w:val="EndnoteText"/>
      </w:pPr>
      <w:r>
        <w:rPr>
          <w:rStyle w:val="EndnoteReference"/>
        </w:rPr>
        <w:endnoteRef/>
      </w:r>
      <w:r>
        <w:t xml:space="preserve"> Telstra, ‘</w:t>
      </w:r>
      <w:r>
        <w:rPr>
          <w:rStyle w:val="Hyperlink"/>
        </w:rPr>
        <w:t>Telstra Half Year FY17 Results’</w:t>
      </w:r>
      <w:r>
        <w:t xml:space="preserve">, 16 February 2017. </w:t>
      </w:r>
    </w:p>
  </w:endnote>
  <w:endnote w:id="12">
    <w:p w14:paraId="1002B6AE" w14:textId="77777777" w:rsidR="00015FAC" w:rsidRDefault="00015FAC" w:rsidP="005E7721">
      <w:pPr>
        <w:pStyle w:val="EndnoteText"/>
      </w:pPr>
      <w:r>
        <w:rPr>
          <w:rStyle w:val="EndnoteReference"/>
        </w:rPr>
        <w:endnoteRef/>
      </w:r>
      <w:r>
        <w:t xml:space="preserve"> Optus, </w:t>
      </w:r>
      <w:hyperlink r:id="rId8" w:history="1">
        <w:r w:rsidRPr="002F7237">
          <w:rPr>
            <w:rStyle w:val="Hyperlink"/>
          </w:rPr>
          <w:t>‘Optus to invest $1 billion to improve regional mobile coverage’</w:t>
        </w:r>
        <w:r w:rsidRPr="00841506">
          <w:t>,</w:t>
        </w:r>
      </w:hyperlink>
      <w:r>
        <w:t xml:space="preserve"> 21 July 2017. </w:t>
      </w:r>
    </w:p>
  </w:endnote>
  <w:endnote w:id="13">
    <w:p w14:paraId="5326E403" w14:textId="77777777" w:rsidR="00015FAC" w:rsidRDefault="00015FAC" w:rsidP="005E7721">
      <w:pPr>
        <w:pStyle w:val="EndnoteText"/>
      </w:pPr>
      <w:r>
        <w:rPr>
          <w:rStyle w:val="EndnoteReference"/>
        </w:rPr>
        <w:endnoteRef/>
      </w:r>
      <w:r>
        <w:t xml:space="preserve"> I. Elliott, ‘</w:t>
      </w:r>
      <w:hyperlink r:id="rId9" w:history="1">
        <w:r w:rsidRPr="00F26D87">
          <w:rPr>
            <w:rStyle w:val="Hyperlink"/>
          </w:rPr>
          <w:t>Optus announce $17.5m for improved 4G coverage’</w:t>
        </w:r>
      </w:hyperlink>
      <w:r>
        <w:t xml:space="preserve">, </w:t>
      </w:r>
      <w:r>
        <w:rPr>
          <w:i/>
        </w:rPr>
        <w:t xml:space="preserve">The Advocate, </w:t>
      </w:r>
      <w:r>
        <w:t xml:space="preserve">6 July 2017. </w:t>
      </w:r>
    </w:p>
  </w:endnote>
  <w:endnote w:id="14">
    <w:p w14:paraId="160626C7" w14:textId="77777777" w:rsidR="00015FAC" w:rsidRDefault="00015FAC" w:rsidP="005E7721">
      <w:pPr>
        <w:pStyle w:val="EndnoteText"/>
      </w:pPr>
      <w:r>
        <w:rPr>
          <w:rStyle w:val="EndnoteReference"/>
        </w:rPr>
        <w:endnoteRef/>
      </w:r>
      <w:r>
        <w:t xml:space="preserve"> Optus, </w:t>
      </w:r>
      <w:hyperlink r:id="rId10" w:history="1">
        <w:r w:rsidRPr="0046344A">
          <w:rPr>
            <w:rStyle w:val="Hyperlink"/>
          </w:rPr>
          <w:t>‘Optus invests $20M in Gold Coast mobile network’</w:t>
        </w:r>
      </w:hyperlink>
      <w:r>
        <w:t xml:space="preserve">, 2 August 2017. </w:t>
      </w:r>
    </w:p>
  </w:endnote>
  <w:endnote w:id="15">
    <w:p w14:paraId="050A520D" w14:textId="77777777" w:rsidR="00015FAC" w:rsidRDefault="00015FAC" w:rsidP="005E7721">
      <w:pPr>
        <w:pStyle w:val="EndnoteText"/>
      </w:pPr>
      <w:r>
        <w:rPr>
          <w:rStyle w:val="EndnoteReference"/>
        </w:rPr>
        <w:endnoteRef/>
      </w:r>
      <w:r>
        <w:t xml:space="preserve"> Hutchison Telecoms, ‘</w:t>
      </w:r>
      <w:hyperlink r:id="rId11" w:history="1">
        <w:r w:rsidRPr="005B1638">
          <w:rPr>
            <w:rStyle w:val="Hyperlink"/>
          </w:rPr>
          <w:t>Hutchison Telecommunications (Australia) Limited ASX Half Year Information 30 June 2017’</w:t>
        </w:r>
      </w:hyperlink>
      <w:r>
        <w:t xml:space="preserve">, 1 August 2017. </w:t>
      </w:r>
    </w:p>
  </w:endnote>
  <w:endnote w:id="16">
    <w:p w14:paraId="77FA6136" w14:textId="77777777" w:rsidR="00015FAC" w:rsidRDefault="00015FAC" w:rsidP="005E7721">
      <w:pPr>
        <w:pStyle w:val="EndnoteText"/>
      </w:pPr>
      <w:r>
        <w:rPr>
          <w:rStyle w:val="EndnoteReference"/>
        </w:rPr>
        <w:endnoteRef/>
      </w:r>
      <w:r>
        <w:t xml:space="preserve"> Vodafone Media Centre, </w:t>
      </w:r>
      <w:hyperlink r:id="rId12" w:history="1">
        <w:r w:rsidRPr="008C55F6">
          <w:rPr>
            <w:rStyle w:val="Hyperlink"/>
          </w:rPr>
          <w:t>‘Vodafone reveals almost $2 billion mobile technology spend for 2017’</w:t>
        </w:r>
      </w:hyperlink>
      <w:r>
        <w:t>, 1 August 2017.</w:t>
      </w:r>
    </w:p>
  </w:endnote>
  <w:endnote w:id="17">
    <w:p w14:paraId="5B704010" w14:textId="77777777" w:rsidR="00015FAC" w:rsidRDefault="00015FAC" w:rsidP="005E7721">
      <w:pPr>
        <w:pStyle w:val="EndnoteText"/>
      </w:pPr>
      <w:r>
        <w:rPr>
          <w:rStyle w:val="EndnoteReference"/>
        </w:rPr>
        <w:endnoteRef/>
      </w:r>
      <w:r>
        <w:t xml:space="preserve"> ACMA, </w:t>
      </w:r>
      <w:hyperlink r:id="rId13" w:history="1">
        <w:r w:rsidRPr="000F3055">
          <w:rPr>
            <w:rStyle w:val="Hyperlink"/>
          </w:rPr>
          <w:t>‘Applications open for 700 MHz spectrum – unsold lots auction’</w:t>
        </w:r>
      </w:hyperlink>
      <w:r>
        <w:t xml:space="preserve">, 16 January 2017. </w:t>
      </w:r>
    </w:p>
  </w:endnote>
  <w:endnote w:id="18">
    <w:p w14:paraId="7C5691EE" w14:textId="77777777" w:rsidR="00015FAC" w:rsidRDefault="00015FAC" w:rsidP="005E7721">
      <w:pPr>
        <w:pStyle w:val="EndnoteText"/>
      </w:pPr>
      <w:r>
        <w:rPr>
          <w:rStyle w:val="EndnoteReference"/>
        </w:rPr>
        <w:endnoteRef/>
      </w:r>
      <w:r>
        <w:t xml:space="preserve"> ACMA, </w:t>
      </w:r>
      <w:hyperlink r:id="rId14" w:history="1">
        <w:r w:rsidRPr="002E1850">
          <w:rPr>
            <w:rStyle w:val="Hyperlink"/>
          </w:rPr>
          <w:t>‘Sold! ACMA completes high-value spectrum auction’</w:t>
        </w:r>
      </w:hyperlink>
      <w:r>
        <w:t>, 12 April 2017.</w:t>
      </w:r>
    </w:p>
  </w:endnote>
  <w:endnote w:id="19">
    <w:p w14:paraId="20295BC9" w14:textId="2455FD15" w:rsidR="00015FAC" w:rsidRPr="00F50A53" w:rsidRDefault="00015FAC" w:rsidP="005E7721">
      <w:pPr>
        <w:pStyle w:val="EndnoteText"/>
      </w:pPr>
      <w:r>
        <w:rPr>
          <w:rStyle w:val="EndnoteReference"/>
        </w:rPr>
        <w:endnoteRef/>
      </w:r>
      <w:r>
        <w:t xml:space="preserve"> </w:t>
      </w:r>
      <w:r w:rsidRPr="00F50A53">
        <w:t xml:space="preserve">ACMA, </w:t>
      </w:r>
      <w:r>
        <w:t>‘</w:t>
      </w:r>
      <w:hyperlink r:id="rId15" w:history="1">
        <w:r w:rsidRPr="00F50A53">
          <w:rPr>
            <w:rStyle w:val="Hyperlink"/>
          </w:rPr>
          <w:t>Applicant information package: Multiband residual lots auction</w:t>
        </w:r>
      </w:hyperlink>
      <w:r>
        <w:t>’</w:t>
      </w:r>
      <w:r w:rsidRPr="00F50A53">
        <w:t xml:space="preserve">, 17 October 2017. </w:t>
      </w:r>
    </w:p>
  </w:endnote>
  <w:endnote w:id="20">
    <w:p w14:paraId="6DB2FF77" w14:textId="77777777" w:rsidR="00015FAC" w:rsidRDefault="00015FAC" w:rsidP="005E7721">
      <w:pPr>
        <w:pStyle w:val="EndnoteText"/>
      </w:pPr>
      <w:r>
        <w:rPr>
          <w:rStyle w:val="EndnoteReference"/>
        </w:rPr>
        <w:endnoteRef/>
      </w:r>
      <w:r>
        <w:t xml:space="preserve"> Department of Communications and the Arts, ‘</w:t>
      </w:r>
      <w:hyperlink r:id="rId16" w:history="1">
        <w:r w:rsidRPr="009213D4">
          <w:rPr>
            <w:rStyle w:val="Hyperlink"/>
          </w:rPr>
          <w:t>Mobile Black Spot Program’</w:t>
        </w:r>
      </w:hyperlink>
      <w:r>
        <w:t>, accessed 12 July 2017.</w:t>
      </w:r>
    </w:p>
  </w:endnote>
  <w:endnote w:id="21">
    <w:p w14:paraId="06FF6315" w14:textId="77777777" w:rsidR="00015FAC" w:rsidRDefault="00015FAC" w:rsidP="005E7721">
      <w:pPr>
        <w:pStyle w:val="EndnoteText"/>
      </w:pPr>
      <w:r>
        <w:rPr>
          <w:rStyle w:val="EndnoteReference"/>
        </w:rPr>
        <w:endnoteRef/>
      </w:r>
      <w:r>
        <w:t xml:space="preserve"> i</w:t>
      </w:r>
      <w:r w:rsidRPr="004154BC">
        <w:t>bid.</w:t>
      </w:r>
    </w:p>
  </w:endnote>
  <w:endnote w:id="22">
    <w:p w14:paraId="0E88D102" w14:textId="77777777" w:rsidR="00015FAC" w:rsidRDefault="00015FAC" w:rsidP="005E7721">
      <w:pPr>
        <w:pStyle w:val="EndnoteText"/>
      </w:pPr>
      <w:r>
        <w:rPr>
          <w:rStyle w:val="EndnoteReference"/>
        </w:rPr>
        <w:endnoteRef/>
      </w:r>
      <w:r>
        <w:t xml:space="preserve"> Hutchison Telecoms, ‘</w:t>
      </w:r>
      <w:hyperlink r:id="rId17" w:history="1">
        <w:r w:rsidRPr="005B1638">
          <w:rPr>
            <w:rStyle w:val="Hyperlink"/>
          </w:rPr>
          <w:t>2016 Annual Report’</w:t>
        </w:r>
      </w:hyperlink>
      <w:r>
        <w:t>, 23 March 2017.</w:t>
      </w:r>
    </w:p>
  </w:endnote>
  <w:endnote w:id="23">
    <w:p w14:paraId="31C6EBEE" w14:textId="77777777" w:rsidR="00015FAC" w:rsidRDefault="00015FAC" w:rsidP="005E7721">
      <w:pPr>
        <w:pStyle w:val="EndnoteText"/>
      </w:pPr>
      <w:r>
        <w:rPr>
          <w:rStyle w:val="EndnoteReference"/>
        </w:rPr>
        <w:endnoteRef/>
      </w:r>
      <w:r>
        <w:t xml:space="preserve"> </w:t>
      </w:r>
      <w:r w:rsidRPr="00A13F59">
        <w:t>Singtel, ‘</w:t>
      </w:r>
      <w:hyperlink r:id="rId18" w:history="1">
        <w:r w:rsidRPr="00C05E2A">
          <w:rPr>
            <w:rStyle w:val="Hyperlink"/>
          </w:rPr>
          <w:t>Connecting your world</w:t>
        </w:r>
        <w:r w:rsidRPr="004154BC">
          <w:rPr>
            <w:rStyle w:val="Hyperlink"/>
          </w:rPr>
          <w:t>:</w:t>
        </w:r>
        <w:r w:rsidRPr="00C05E2A">
          <w:rPr>
            <w:rStyle w:val="Hyperlink"/>
          </w:rPr>
          <w:t xml:space="preserve"> Annual Report 2017’</w:t>
        </w:r>
      </w:hyperlink>
      <w:r w:rsidRPr="00A13F59">
        <w:t>, 28 June 2017.</w:t>
      </w:r>
    </w:p>
  </w:endnote>
  <w:endnote w:id="24">
    <w:p w14:paraId="3755D7C3" w14:textId="77777777" w:rsidR="00015FAC" w:rsidRDefault="00015FAC" w:rsidP="005E7721">
      <w:pPr>
        <w:pStyle w:val="EndnoteText"/>
      </w:pPr>
      <w:r>
        <w:rPr>
          <w:rStyle w:val="EndnoteReference"/>
        </w:rPr>
        <w:endnoteRef/>
      </w:r>
      <w:r>
        <w:t xml:space="preserve"> Optus, </w:t>
      </w:r>
      <w:hyperlink r:id="rId19" w:history="1">
        <w:r w:rsidRPr="002F7237">
          <w:rPr>
            <w:rStyle w:val="Hyperlink"/>
          </w:rPr>
          <w:t>‘Optus to invest $1 billion to improve regional mobile coverage’,</w:t>
        </w:r>
      </w:hyperlink>
      <w:r>
        <w:t xml:space="preserve"> 21 July 2017. </w:t>
      </w:r>
    </w:p>
  </w:endnote>
  <w:endnote w:id="25">
    <w:p w14:paraId="7343268F" w14:textId="77777777" w:rsidR="00015FAC" w:rsidRDefault="00015FAC" w:rsidP="005E7721">
      <w:pPr>
        <w:pStyle w:val="EndnoteText"/>
      </w:pPr>
      <w:r>
        <w:rPr>
          <w:rStyle w:val="EndnoteReference"/>
        </w:rPr>
        <w:endnoteRef/>
      </w:r>
      <w:r>
        <w:t xml:space="preserve"> Telstra, </w:t>
      </w:r>
      <w:hyperlink r:id="rId20" w:history="1">
        <w:r w:rsidRPr="00575541">
          <w:rPr>
            <w:rStyle w:val="Hyperlink"/>
            <w:i/>
          </w:rPr>
          <w:t>Financial results for the year ended 30 June 2017</w:t>
        </w:r>
      </w:hyperlink>
      <w:r w:rsidRPr="009C2A8D">
        <w:t>,</w:t>
      </w:r>
      <w:r>
        <w:t xml:space="preserve"> 17 August 2017.</w:t>
      </w:r>
    </w:p>
  </w:endnote>
  <w:endnote w:id="26">
    <w:p w14:paraId="722B2A2A" w14:textId="77777777" w:rsidR="00015FAC" w:rsidRDefault="00015FAC" w:rsidP="005E7721">
      <w:pPr>
        <w:pStyle w:val="EndnoteText"/>
      </w:pPr>
      <w:r>
        <w:rPr>
          <w:rStyle w:val="EndnoteReference"/>
        </w:rPr>
        <w:endnoteRef/>
      </w:r>
      <w:r>
        <w:t xml:space="preserve"> Telstra, </w:t>
      </w:r>
      <w:hyperlink r:id="rId21" w:history="1">
        <w:r w:rsidRPr="00DC5235">
          <w:rPr>
            <w:rStyle w:val="Hyperlink"/>
            <w:i/>
          </w:rPr>
          <w:t>Market release – Financial results for FY17</w:t>
        </w:r>
      </w:hyperlink>
      <w:r>
        <w:t xml:space="preserve">, 17 August 2017. </w:t>
      </w:r>
    </w:p>
  </w:endnote>
  <w:endnote w:id="27">
    <w:p w14:paraId="7CFD94F3" w14:textId="77777777" w:rsidR="00015FAC" w:rsidRDefault="00015FAC" w:rsidP="00973DFE">
      <w:pPr>
        <w:pStyle w:val="EndnoteText"/>
      </w:pPr>
      <w:r>
        <w:rPr>
          <w:rStyle w:val="EndnoteReference"/>
        </w:rPr>
        <w:endnoteRef/>
      </w:r>
      <w:r>
        <w:t xml:space="preserve"> B. Javed, ‘</w:t>
      </w:r>
      <w:hyperlink r:id="rId22" w:history="1">
        <w:r w:rsidRPr="00EF37BE">
          <w:rPr>
            <w:rStyle w:val="Hyperlink"/>
          </w:rPr>
          <w:t>Android device launches drive 18.4% growth in 2017 Q2 in Australia exceeding market expectations’</w:t>
        </w:r>
      </w:hyperlink>
      <w:r>
        <w:t xml:space="preserve">, IDC, 27 August 2017. </w:t>
      </w:r>
    </w:p>
  </w:endnote>
  <w:endnote w:id="28">
    <w:p w14:paraId="27482CAF" w14:textId="77777777" w:rsidR="00015FAC" w:rsidRDefault="00015FAC" w:rsidP="00973DFE">
      <w:pPr>
        <w:pStyle w:val="EndnoteText"/>
      </w:pPr>
      <w:r>
        <w:rPr>
          <w:rStyle w:val="EndnoteReference"/>
        </w:rPr>
        <w:endnoteRef/>
      </w:r>
      <w:r>
        <w:t xml:space="preserve"> ibid. </w:t>
      </w:r>
    </w:p>
  </w:endnote>
  <w:endnote w:id="29">
    <w:p w14:paraId="16E6F989" w14:textId="6F6C1848" w:rsidR="00015FAC" w:rsidRDefault="00015FAC" w:rsidP="00450452">
      <w:pPr>
        <w:pStyle w:val="EndnoteText"/>
      </w:pPr>
      <w:r>
        <w:rPr>
          <w:rStyle w:val="EndnoteReference"/>
        </w:rPr>
        <w:endnoteRef/>
      </w:r>
      <w:r>
        <w:t xml:space="preserve"> International Telecommunication Union (ITU), ‘</w:t>
      </w:r>
      <w:hyperlink r:id="rId23" w:history="1">
        <w:r w:rsidRPr="00066601">
          <w:rPr>
            <w:rStyle w:val="Hyperlink"/>
          </w:rPr>
          <w:t>No longer over the top: communications regulation in the brave new world of the app economy’</w:t>
        </w:r>
      </w:hyperlink>
      <w:r>
        <w:t xml:space="preserve">, </w:t>
      </w:r>
      <w:r w:rsidRPr="00887EE3">
        <w:t>Asia-Pacific Telecommunity</w:t>
      </w:r>
      <w:r>
        <w:t xml:space="preserve">, </w:t>
      </w:r>
      <w:r w:rsidRPr="00C6689D">
        <w:rPr>
          <w:i/>
        </w:rPr>
        <w:t>10</w:t>
      </w:r>
      <w:r w:rsidRPr="007D46D6">
        <w:rPr>
          <w:i/>
          <w:vertAlign w:val="superscript"/>
        </w:rPr>
        <w:t>th</w:t>
      </w:r>
      <w:r w:rsidRPr="007D46D6">
        <w:rPr>
          <w:i/>
        </w:rPr>
        <w:t xml:space="preserve"> APT Policy and Regulation Forum for Pacific</w:t>
      </w:r>
      <w:r>
        <w:t>, 25–27 April 2017.</w:t>
      </w:r>
    </w:p>
  </w:endnote>
  <w:endnote w:id="30">
    <w:p w14:paraId="35FFCCF2" w14:textId="77777777" w:rsidR="00015FAC" w:rsidRDefault="00015FAC" w:rsidP="00450452">
      <w:pPr>
        <w:pStyle w:val="EndnoteText"/>
      </w:pPr>
      <w:r>
        <w:rPr>
          <w:rStyle w:val="EndnoteReference"/>
        </w:rPr>
        <w:endnoteRef/>
      </w:r>
      <w:r>
        <w:t xml:space="preserve"> ACMA-commissioned survey, June 2017.</w:t>
      </w:r>
    </w:p>
  </w:endnote>
  <w:endnote w:id="31">
    <w:p w14:paraId="31662107" w14:textId="77777777" w:rsidR="00015FAC" w:rsidRDefault="00015FAC" w:rsidP="00450452">
      <w:pPr>
        <w:pStyle w:val="EndnoteText"/>
      </w:pPr>
      <w:r>
        <w:rPr>
          <w:rStyle w:val="EndnoteReference"/>
        </w:rPr>
        <w:endnoteRef/>
      </w:r>
      <w:r>
        <w:t xml:space="preserve"> P. Dinham, </w:t>
      </w:r>
      <w:hyperlink r:id="rId24" w:history="1">
        <w:r w:rsidRPr="0081351C">
          <w:rPr>
            <w:rStyle w:val="Hyperlink"/>
          </w:rPr>
          <w:t>‘Australians still hang on to their landlines’</w:t>
        </w:r>
      </w:hyperlink>
      <w:r>
        <w:t xml:space="preserve">, </w:t>
      </w:r>
      <w:r>
        <w:rPr>
          <w:i/>
        </w:rPr>
        <w:t>IT</w:t>
      </w:r>
      <w:r w:rsidRPr="00996B9D">
        <w:rPr>
          <w:i/>
        </w:rPr>
        <w:t>Wire</w:t>
      </w:r>
      <w:r>
        <w:t xml:space="preserve">, 31 July 2017. </w:t>
      </w:r>
    </w:p>
  </w:endnote>
  <w:endnote w:id="32">
    <w:p w14:paraId="360DDD77" w14:textId="77777777" w:rsidR="00015FAC" w:rsidRDefault="00015FAC" w:rsidP="00450452">
      <w:pPr>
        <w:pStyle w:val="EndnoteText"/>
      </w:pPr>
      <w:r>
        <w:rPr>
          <w:rStyle w:val="EndnoteReference"/>
        </w:rPr>
        <w:endnoteRef/>
      </w:r>
      <w:r>
        <w:t xml:space="preserve"> National Centre for Health Statistics, ‘</w:t>
      </w:r>
      <w:hyperlink r:id="rId25" w:anchor="wireless" w:history="1">
        <w:r w:rsidRPr="005B1638">
          <w:rPr>
            <w:rStyle w:val="Hyperlink"/>
          </w:rPr>
          <w:t>Wireless substitution: early release of estimates from the National Health Interview survey, July–December 2016’</w:t>
        </w:r>
      </w:hyperlink>
      <w:r>
        <w:t>, US Department of Health and Human Services, May 2017.</w:t>
      </w:r>
    </w:p>
  </w:endnote>
  <w:endnote w:id="33">
    <w:p w14:paraId="4CF5E27D" w14:textId="77777777" w:rsidR="00015FAC" w:rsidRDefault="00015FAC" w:rsidP="0023641E">
      <w:pPr>
        <w:pStyle w:val="EndnoteText"/>
      </w:pPr>
      <w:r>
        <w:rPr>
          <w:rStyle w:val="EndnoteReference"/>
        </w:rPr>
        <w:endnoteRef/>
      </w:r>
      <w:r>
        <w:t xml:space="preserve"> OfCom, </w:t>
      </w:r>
      <w:hyperlink r:id="rId26" w:history="1">
        <w:r w:rsidRPr="00C25B7C">
          <w:rPr>
            <w:rStyle w:val="Hyperlink"/>
          </w:rPr>
          <w:t>‘Communications Market Report 2017’</w:t>
        </w:r>
      </w:hyperlink>
      <w:r>
        <w:t>, 3 August 2017.</w:t>
      </w:r>
    </w:p>
  </w:endnote>
  <w:endnote w:id="34">
    <w:p w14:paraId="0FFEC176" w14:textId="77777777" w:rsidR="00015FAC" w:rsidRDefault="00015FAC" w:rsidP="00DC6757">
      <w:pPr>
        <w:pStyle w:val="EndnoteText"/>
      </w:pPr>
      <w:r>
        <w:rPr>
          <w:rStyle w:val="EndnoteReference"/>
        </w:rPr>
        <w:endnoteRef/>
      </w:r>
      <w:r>
        <w:t xml:space="preserve"> </w:t>
      </w:r>
      <w:r w:rsidRPr="003271B7">
        <w:t>Roy Morgan Single Source</w:t>
      </w:r>
      <w:r>
        <w:t>, June 2017.</w:t>
      </w:r>
    </w:p>
  </w:endnote>
  <w:endnote w:id="35">
    <w:p w14:paraId="3B507C7F" w14:textId="77777777" w:rsidR="00015FAC" w:rsidRPr="000317E5" w:rsidRDefault="00015FAC" w:rsidP="00DC6757">
      <w:pPr>
        <w:pStyle w:val="EndnoteText"/>
        <w:rPr>
          <w:rFonts w:cs="Arial"/>
          <w:szCs w:val="16"/>
        </w:rPr>
      </w:pPr>
      <w:r w:rsidRPr="002C3191">
        <w:rPr>
          <w:rStyle w:val="EndnoteReference"/>
        </w:rPr>
        <w:endnoteRef/>
      </w:r>
      <w:r w:rsidRPr="000317E5">
        <w:rPr>
          <w:rFonts w:cs="Arial"/>
          <w:szCs w:val="16"/>
        </w:rPr>
        <w:t xml:space="preserve"> ABS, </w:t>
      </w:r>
      <w:hyperlink r:id="rId27" w:history="1">
        <w:r w:rsidRPr="00163039">
          <w:rPr>
            <w:rStyle w:val="Hyperlink"/>
            <w:i/>
            <w:szCs w:val="16"/>
          </w:rPr>
          <w:t>8153.0—Internet activity</w:t>
        </w:r>
      </w:hyperlink>
      <w:r w:rsidRPr="00163039">
        <w:rPr>
          <w:rStyle w:val="Hyperlink"/>
          <w:i/>
        </w:rPr>
        <w:t>, Australia</w:t>
      </w:r>
      <w:r w:rsidRPr="000317E5">
        <w:rPr>
          <w:rFonts w:cs="Arial"/>
          <w:szCs w:val="16"/>
        </w:rPr>
        <w:t>, June 201</w:t>
      </w:r>
      <w:r>
        <w:rPr>
          <w:rFonts w:cs="Arial"/>
          <w:szCs w:val="16"/>
        </w:rPr>
        <w:t>7</w:t>
      </w:r>
      <w:r w:rsidRPr="000317E5">
        <w:rPr>
          <w:rFonts w:cs="Arial"/>
          <w:szCs w:val="16"/>
        </w:rPr>
        <w:t xml:space="preserve">. </w:t>
      </w:r>
    </w:p>
  </w:endnote>
  <w:endnote w:id="36">
    <w:p w14:paraId="19C4E98F" w14:textId="77777777" w:rsidR="00015FAC" w:rsidRDefault="00015FAC" w:rsidP="004D33D2">
      <w:pPr>
        <w:pStyle w:val="EndnoteText"/>
      </w:pPr>
      <w:r>
        <w:rPr>
          <w:rStyle w:val="EndnoteReference"/>
        </w:rPr>
        <w:endnoteRef/>
      </w:r>
      <w:r>
        <w:t xml:space="preserve"> K. Clark, </w:t>
      </w:r>
      <w:hyperlink r:id="rId28" w:history="1">
        <w:r w:rsidRPr="00F24BA1">
          <w:rPr>
            <w:rStyle w:val="Hyperlink"/>
          </w:rPr>
          <w:t>‘</w:t>
        </w:r>
        <w:r w:rsidRPr="00C6689D">
          <w:rPr>
            <w:rStyle w:val="Hyperlink"/>
          </w:rPr>
          <w:t>Global Capacity Outlook</w:t>
        </w:r>
        <w:r w:rsidRPr="00F24BA1">
          <w:rPr>
            <w:rStyle w:val="Hyperlink"/>
          </w:rPr>
          <w:t>’</w:t>
        </w:r>
      </w:hyperlink>
      <w:r>
        <w:t xml:space="preserve">, </w:t>
      </w:r>
      <w:r w:rsidRPr="00C6689D">
        <w:rPr>
          <w:i/>
        </w:rPr>
        <w:t>Submarine Telecoms Forum</w:t>
      </w:r>
      <w:r>
        <w:t>, issue 94, p. 11.</w:t>
      </w:r>
    </w:p>
  </w:endnote>
  <w:endnote w:id="37">
    <w:p w14:paraId="3240C920" w14:textId="77777777" w:rsidR="00015FAC" w:rsidRDefault="00015FAC" w:rsidP="004D33D2">
      <w:pPr>
        <w:pStyle w:val="EndnoteText"/>
      </w:pPr>
      <w:r>
        <w:rPr>
          <w:rStyle w:val="EndnoteReference"/>
        </w:rPr>
        <w:endnoteRef/>
      </w:r>
      <w:r>
        <w:t xml:space="preserve"> SubPartners, </w:t>
      </w:r>
      <w:hyperlink r:id="rId29" w:history="1">
        <w:r w:rsidRPr="00887EE3">
          <w:rPr>
            <w:rStyle w:val="Hyperlink"/>
          </w:rPr>
          <w:t>The Indigo Project</w:t>
        </w:r>
      </w:hyperlink>
      <w:r>
        <w:t xml:space="preserve">, accessed 19 September 2017. </w:t>
      </w:r>
    </w:p>
  </w:endnote>
  <w:endnote w:id="38">
    <w:p w14:paraId="7A70909C" w14:textId="77777777" w:rsidR="00015FAC" w:rsidRDefault="00015FAC" w:rsidP="004D33D2">
      <w:pPr>
        <w:pStyle w:val="EndnoteText"/>
      </w:pPr>
      <w:r>
        <w:rPr>
          <w:rStyle w:val="EndnoteReference"/>
        </w:rPr>
        <w:endnoteRef/>
      </w:r>
      <w:r>
        <w:t xml:space="preserve"> Vocus Communications, ‘</w:t>
      </w:r>
      <w:hyperlink r:id="rId30" w:history="1">
        <w:r>
          <w:rPr>
            <w:rStyle w:val="Hyperlink"/>
          </w:rPr>
          <w:t>Australia submarine cable on target, final design lockdown agreed with Alcatel Submarine Networks</w:t>
        </w:r>
      </w:hyperlink>
      <w:r w:rsidRPr="00841506">
        <w:t>’,</w:t>
      </w:r>
      <w:r>
        <w:rPr>
          <w:rStyle w:val="Hyperlink"/>
        </w:rPr>
        <w:t xml:space="preserve"> </w:t>
      </w:r>
      <w:r w:rsidRPr="00163039">
        <w:t>me</w:t>
      </w:r>
      <w:r>
        <w:t>dia release, 6 April 2017.</w:t>
      </w:r>
    </w:p>
  </w:endnote>
  <w:endnote w:id="39">
    <w:p w14:paraId="4B68B585" w14:textId="77777777" w:rsidR="00015FAC" w:rsidRDefault="00015FAC" w:rsidP="004D33D2">
      <w:pPr>
        <w:pStyle w:val="EndnoteText"/>
      </w:pPr>
      <w:r>
        <w:rPr>
          <w:rStyle w:val="EndnoteReference"/>
        </w:rPr>
        <w:endnoteRef/>
      </w:r>
      <w:r>
        <w:t xml:space="preserve"> Trident, ‘</w:t>
      </w:r>
      <w:hyperlink r:id="rId31" w:history="1">
        <w:r w:rsidRPr="000573FC">
          <w:rPr>
            <w:rStyle w:val="Hyperlink"/>
          </w:rPr>
          <w:t>Trident selects Equinix for PoPs in Australia, Singapore and Jakarta’</w:t>
        </w:r>
      </w:hyperlink>
      <w:r>
        <w:t>, media release, 28 July 2016.</w:t>
      </w:r>
    </w:p>
  </w:endnote>
  <w:endnote w:id="40">
    <w:p w14:paraId="0B088B1B" w14:textId="77777777" w:rsidR="00015FAC" w:rsidRDefault="00015FAC" w:rsidP="004D33D2">
      <w:pPr>
        <w:pStyle w:val="EndnoteText"/>
      </w:pPr>
      <w:r w:rsidRPr="00AF2125">
        <w:rPr>
          <w:rStyle w:val="EndnoteReference"/>
        </w:rPr>
        <w:endnoteRef/>
      </w:r>
      <w:r w:rsidRPr="00AF2125">
        <w:t xml:space="preserve"> NBN Co, ‘</w:t>
      </w:r>
      <w:hyperlink r:id="rId32" w:history="1">
        <w:r w:rsidRPr="00AF2125">
          <w:rPr>
            <w:rStyle w:val="Hyperlink"/>
          </w:rPr>
          <w:t>One of two Australians now able to connect to the nbn™ network</w:t>
        </w:r>
      </w:hyperlink>
      <w:r w:rsidRPr="00AF2125">
        <w:t xml:space="preserve">’, 10 July 2017. </w:t>
      </w:r>
    </w:p>
  </w:endnote>
  <w:endnote w:id="41">
    <w:p w14:paraId="61CD51D7" w14:textId="77777777" w:rsidR="00015FAC" w:rsidRDefault="00015FAC">
      <w:pPr>
        <w:pStyle w:val="EndnoteText"/>
      </w:pPr>
      <w:r>
        <w:rPr>
          <w:rStyle w:val="EndnoteReference"/>
        </w:rPr>
        <w:endnoteRef/>
      </w:r>
      <w:r>
        <w:t xml:space="preserve"> NBN Co, </w:t>
      </w:r>
      <w:hyperlink r:id="rId33" w:history="1">
        <w:r w:rsidRPr="0082711E">
          <w:rPr>
            <w:rStyle w:val="Hyperlink"/>
          </w:rPr>
          <w:t>nbn Weekly Progress Report</w:t>
        </w:r>
      </w:hyperlink>
      <w:r>
        <w:t>, 26 October 2017.</w:t>
      </w:r>
    </w:p>
  </w:endnote>
  <w:endnote w:id="42">
    <w:p w14:paraId="1CC98671" w14:textId="77777777" w:rsidR="00015FAC" w:rsidRPr="00450C9F" w:rsidRDefault="00015FAC" w:rsidP="004D33D2">
      <w:pPr>
        <w:pStyle w:val="EndnoteText"/>
        <w:rPr>
          <w:rFonts w:cs="Arial"/>
          <w:szCs w:val="16"/>
        </w:rPr>
      </w:pPr>
      <w:r w:rsidRPr="002C3191">
        <w:rPr>
          <w:rStyle w:val="EndnoteReference"/>
        </w:rPr>
        <w:endnoteRef/>
      </w:r>
      <w:r>
        <w:rPr>
          <w:rFonts w:cs="Arial"/>
          <w:szCs w:val="16"/>
        </w:rPr>
        <w:t xml:space="preserve"> </w:t>
      </w:r>
      <w:r w:rsidRPr="00450C9F">
        <w:rPr>
          <w:rFonts w:cs="Arial"/>
          <w:szCs w:val="16"/>
        </w:rPr>
        <w:t xml:space="preserve">NBN Co, </w:t>
      </w:r>
      <w:hyperlink r:id="rId34" w:history="1">
        <w:r w:rsidRPr="00450C9F">
          <w:rPr>
            <w:rStyle w:val="Hyperlink"/>
            <w:szCs w:val="16"/>
          </w:rPr>
          <w:t>Explore the nbn™ network rollout map</w:t>
        </w:r>
      </w:hyperlink>
      <w:r w:rsidRPr="00450C9F">
        <w:rPr>
          <w:rFonts w:cs="Arial"/>
          <w:szCs w:val="16"/>
        </w:rPr>
        <w:t>, accessed 19 July 2017.</w:t>
      </w:r>
    </w:p>
  </w:endnote>
  <w:endnote w:id="43">
    <w:p w14:paraId="7A374EA6" w14:textId="77777777" w:rsidR="00015FAC" w:rsidRDefault="00015FAC" w:rsidP="004D33D2">
      <w:pPr>
        <w:pStyle w:val="EndnoteText"/>
      </w:pPr>
      <w:r w:rsidRPr="00450C9F">
        <w:rPr>
          <w:rStyle w:val="EndnoteReference"/>
        </w:rPr>
        <w:endnoteRef/>
      </w:r>
      <w:r w:rsidRPr="00450C9F">
        <w:t xml:space="preserve"> NBN</w:t>
      </w:r>
      <w:r w:rsidRPr="00AF2125">
        <w:t xml:space="preserve"> Co, ‘</w:t>
      </w:r>
      <w:hyperlink r:id="rId35" w:history="1">
        <w:r w:rsidRPr="00450C9F">
          <w:rPr>
            <w:rStyle w:val="Hyperlink"/>
          </w:rPr>
          <w:t xml:space="preserve">nbn pushes </w:t>
        </w:r>
        <w:r>
          <w:rPr>
            <w:rStyle w:val="Hyperlink"/>
          </w:rPr>
          <w:t>f</w:t>
        </w:r>
        <w:r w:rsidRPr="00450C9F">
          <w:rPr>
            <w:rStyle w:val="Hyperlink"/>
          </w:rPr>
          <w:t>ibre to the curb for up to 700,000 homes and businesses</w:t>
        </w:r>
      </w:hyperlink>
      <w:r>
        <w:t xml:space="preserve">’, 28 September 2016. </w:t>
      </w:r>
    </w:p>
  </w:endnote>
  <w:endnote w:id="44">
    <w:p w14:paraId="36D13FF3" w14:textId="77777777" w:rsidR="00015FAC" w:rsidRDefault="00015FAC" w:rsidP="004D33D2">
      <w:pPr>
        <w:pStyle w:val="EndnoteText"/>
      </w:pPr>
      <w:r>
        <w:rPr>
          <w:rStyle w:val="EndnoteReference"/>
        </w:rPr>
        <w:endnoteRef/>
      </w:r>
      <w:r>
        <w:t xml:space="preserve"> A. Coyne, </w:t>
      </w:r>
      <w:hyperlink r:id="rId36" w:history="1">
        <w:r w:rsidRPr="00501C02">
          <w:rPr>
            <w:rStyle w:val="Hyperlink"/>
          </w:rPr>
          <w:t>‘NBN C</w:t>
        </w:r>
        <w:r>
          <w:rPr>
            <w:rStyle w:val="Hyperlink"/>
          </w:rPr>
          <w:t>o</w:t>
        </w:r>
        <w:r w:rsidRPr="00501C02">
          <w:rPr>
            <w:rStyle w:val="Hyperlink"/>
          </w:rPr>
          <w:t xml:space="preserve"> leaves door open for FTTdp in SAU’</w:t>
        </w:r>
      </w:hyperlink>
      <w:r>
        <w:t xml:space="preserve">, </w:t>
      </w:r>
      <w:r w:rsidRPr="00FA7DD4">
        <w:rPr>
          <w:i/>
        </w:rPr>
        <w:t>iTnews</w:t>
      </w:r>
      <w:r>
        <w:t>, 31 May 2016.</w:t>
      </w:r>
    </w:p>
  </w:endnote>
  <w:endnote w:id="45">
    <w:p w14:paraId="148F1AAE" w14:textId="77777777" w:rsidR="00015FAC" w:rsidRPr="00BD2AEF" w:rsidRDefault="00015FAC" w:rsidP="004D33D2">
      <w:pPr>
        <w:pStyle w:val="EndnoteText"/>
      </w:pPr>
      <w:r w:rsidRPr="00BD2AEF">
        <w:rPr>
          <w:rStyle w:val="EndnoteReference"/>
        </w:rPr>
        <w:endnoteRef/>
      </w:r>
      <w:r w:rsidRPr="00BD2AEF">
        <w:t xml:space="preserve"> </w:t>
      </w:r>
      <w:r>
        <w:t xml:space="preserve">R. </w:t>
      </w:r>
      <w:r w:rsidRPr="00BD2AEF">
        <w:t xml:space="preserve">Sarumpaet, </w:t>
      </w:r>
      <w:hyperlink r:id="rId37" w:history="1">
        <w:r w:rsidRPr="00BD2AEF">
          <w:rPr>
            <w:rStyle w:val="Hyperlink"/>
          </w:rPr>
          <w:t>‘New technology up to 10 times faster than existing technology’ says nbn co,</w:t>
        </w:r>
      </w:hyperlink>
      <w:r w:rsidRPr="00BD2AEF">
        <w:t xml:space="preserve"> </w:t>
      </w:r>
      <w:r w:rsidRPr="00BD2AEF">
        <w:rPr>
          <w:i/>
        </w:rPr>
        <w:t>SBS News</w:t>
      </w:r>
      <w:r w:rsidRPr="00BD2AEF">
        <w:t xml:space="preserve">, 12 April 2016. </w:t>
      </w:r>
    </w:p>
  </w:endnote>
  <w:endnote w:id="46">
    <w:p w14:paraId="50FF510A" w14:textId="77777777" w:rsidR="00015FAC" w:rsidRDefault="00015FAC" w:rsidP="004D33D2">
      <w:pPr>
        <w:pStyle w:val="EndnoteText"/>
      </w:pPr>
      <w:r w:rsidRPr="00BD2AEF">
        <w:rPr>
          <w:rStyle w:val="EndnoteReference"/>
        </w:rPr>
        <w:endnoteRef/>
      </w:r>
      <w:r>
        <w:t xml:space="preserve"> C. Reichert,</w:t>
      </w:r>
      <w:r w:rsidRPr="00BD2AEF">
        <w:t xml:space="preserve"> ‘</w:t>
      </w:r>
      <w:hyperlink r:id="rId38" w:history="1">
        <w:r w:rsidRPr="00BD2AEF">
          <w:rPr>
            <w:rStyle w:val="Hyperlink"/>
          </w:rPr>
          <w:t>NBN begins FttDP network construction</w:t>
        </w:r>
      </w:hyperlink>
      <w:r w:rsidRPr="00BD2AEF">
        <w:t xml:space="preserve">’, </w:t>
      </w:r>
      <w:r w:rsidRPr="00C6689D">
        <w:rPr>
          <w:i/>
        </w:rPr>
        <w:t>ZDNet</w:t>
      </w:r>
      <w:r>
        <w:t>,</w:t>
      </w:r>
      <w:r w:rsidRPr="00BD2AEF">
        <w:t xml:space="preserve"> 16 June 2017. </w:t>
      </w:r>
    </w:p>
  </w:endnote>
  <w:endnote w:id="47">
    <w:p w14:paraId="6DD4BF93" w14:textId="77777777" w:rsidR="00015FAC" w:rsidRDefault="00015FAC" w:rsidP="004D33D2">
      <w:pPr>
        <w:pStyle w:val="EndnoteText"/>
      </w:pPr>
      <w:r>
        <w:rPr>
          <w:rStyle w:val="EndnoteReference"/>
        </w:rPr>
        <w:endnoteRef/>
      </w:r>
      <w:r>
        <w:t xml:space="preserve"> NBN Co, ‘</w:t>
      </w:r>
      <w:hyperlink r:id="rId39" w:history="1">
        <w:r w:rsidRPr="00B219A4">
          <w:rPr>
            <w:rStyle w:val="Hyperlink"/>
          </w:rPr>
          <w:t>The countdown is on: nbn announces second satellite launch’</w:t>
        </w:r>
      </w:hyperlink>
      <w:r>
        <w:t>, 25 July 2016.</w:t>
      </w:r>
    </w:p>
  </w:endnote>
  <w:endnote w:id="48">
    <w:p w14:paraId="15C66D88" w14:textId="77777777" w:rsidR="00015FAC" w:rsidRPr="00BD2AEF" w:rsidRDefault="00015FAC" w:rsidP="004D33D2">
      <w:pPr>
        <w:pStyle w:val="EndnoteText"/>
      </w:pPr>
      <w:r>
        <w:rPr>
          <w:rStyle w:val="EndnoteReference"/>
        </w:rPr>
        <w:endnoteRef/>
      </w:r>
      <w:r>
        <w:t xml:space="preserve"> NBN Co, ‘</w:t>
      </w:r>
      <w:hyperlink r:id="rId40" w:history="1">
        <w:r w:rsidRPr="00BD2AEF">
          <w:rPr>
            <w:rStyle w:val="Hyperlink"/>
          </w:rPr>
          <w:t>We have lift off! nbn™ SkyMaster™ II launches into space’</w:t>
        </w:r>
      </w:hyperlink>
      <w:r w:rsidRPr="00BD2AEF">
        <w:t>, 6 October 2016.</w:t>
      </w:r>
    </w:p>
  </w:endnote>
  <w:endnote w:id="49">
    <w:p w14:paraId="7864A915" w14:textId="7962AD14" w:rsidR="00015FAC" w:rsidRPr="00BD2AEF" w:rsidRDefault="00015FAC" w:rsidP="004D33D2">
      <w:pPr>
        <w:pStyle w:val="EndnoteText"/>
      </w:pPr>
      <w:r w:rsidRPr="00BD2AEF">
        <w:rPr>
          <w:rStyle w:val="EndnoteReference"/>
        </w:rPr>
        <w:endnoteRef/>
      </w:r>
      <w:r>
        <w:t xml:space="preserve"> R. Crozier,</w:t>
      </w:r>
      <w:r w:rsidRPr="00BD2AEF">
        <w:t xml:space="preserve"> ‘</w:t>
      </w:r>
      <w:hyperlink r:id="rId41" w:history="1">
        <w:r w:rsidRPr="00BD2AEF">
          <w:rPr>
            <w:rStyle w:val="Hyperlink"/>
          </w:rPr>
          <w:t>NBN Co boosts Sky Muster data usage limits</w:t>
        </w:r>
      </w:hyperlink>
      <w:r w:rsidRPr="00BD2AEF">
        <w:t xml:space="preserve">’, </w:t>
      </w:r>
      <w:r>
        <w:rPr>
          <w:i/>
        </w:rPr>
        <w:t>iT</w:t>
      </w:r>
      <w:r w:rsidRPr="00C6689D">
        <w:rPr>
          <w:i/>
        </w:rPr>
        <w:t>news</w:t>
      </w:r>
      <w:r>
        <w:t>,</w:t>
      </w:r>
      <w:r w:rsidRPr="00BD2AEF">
        <w:t xml:space="preserve"> 27 June 2017.</w:t>
      </w:r>
    </w:p>
  </w:endnote>
  <w:endnote w:id="50">
    <w:p w14:paraId="48B7910D" w14:textId="77777777" w:rsidR="00015FAC" w:rsidRPr="00BD2AEF" w:rsidRDefault="00015FAC" w:rsidP="004D33D2">
      <w:pPr>
        <w:pStyle w:val="EndnoteText"/>
      </w:pPr>
      <w:r w:rsidRPr="00BD2AEF">
        <w:rPr>
          <w:rStyle w:val="EndnoteReference"/>
        </w:rPr>
        <w:endnoteRef/>
      </w:r>
      <w:r w:rsidRPr="00BD2AEF">
        <w:t xml:space="preserve"> ABC News, ‘</w:t>
      </w:r>
      <w:hyperlink r:id="rId42" w:history="1">
        <w:r w:rsidRPr="00BD2AEF">
          <w:rPr>
            <w:rStyle w:val="Hyperlink"/>
          </w:rPr>
          <w:t>Regional communities concerned about plan to share NBN satellite with air travellers</w:t>
        </w:r>
      </w:hyperlink>
      <w:r w:rsidRPr="00BD2AEF">
        <w:t xml:space="preserve">’, 1 March 2017. </w:t>
      </w:r>
    </w:p>
  </w:endnote>
  <w:endnote w:id="51">
    <w:p w14:paraId="45447477" w14:textId="77777777" w:rsidR="00015FAC" w:rsidRPr="00FA7DD4" w:rsidRDefault="00015FAC" w:rsidP="004D33D2">
      <w:pPr>
        <w:pStyle w:val="EndnoteText"/>
        <w:rPr>
          <w:u w:val="single"/>
        </w:rPr>
      </w:pPr>
      <w:r w:rsidRPr="00BD2AEF">
        <w:rPr>
          <w:rStyle w:val="EndnoteReference"/>
        </w:rPr>
        <w:endnoteRef/>
      </w:r>
      <w:r w:rsidRPr="00BD2AEF">
        <w:t xml:space="preserve"> NBN C</w:t>
      </w:r>
      <w:r>
        <w:t xml:space="preserve">o, </w:t>
      </w:r>
      <w:hyperlink r:id="rId43" w:history="1">
        <w:r w:rsidRPr="00604073">
          <w:rPr>
            <w:rStyle w:val="Hyperlink"/>
            <w:i/>
          </w:rPr>
          <w:t>Full Year Results 2016</w:t>
        </w:r>
      </w:hyperlink>
      <w:r w:rsidRPr="00F2524A">
        <w:rPr>
          <w:rStyle w:val="Hyperlink"/>
          <w:color w:val="auto"/>
          <w:u w:val="none"/>
        </w:rPr>
        <w:t>,</w:t>
      </w:r>
      <w:r w:rsidRPr="00F2524A">
        <w:rPr>
          <w:rStyle w:val="Hyperlink"/>
          <w:u w:val="none"/>
        </w:rPr>
        <w:t xml:space="preserve"> </w:t>
      </w:r>
      <w:r w:rsidRPr="00FA7DD4">
        <w:t>16 August 2016</w:t>
      </w:r>
      <w:r w:rsidRPr="00F2524A">
        <w:rPr>
          <w:rStyle w:val="Hyperlink"/>
          <w:color w:val="auto"/>
          <w:u w:val="none"/>
        </w:rPr>
        <w:t>.</w:t>
      </w:r>
    </w:p>
  </w:endnote>
  <w:endnote w:id="52">
    <w:p w14:paraId="6E34E3C7" w14:textId="77777777" w:rsidR="00015FAC" w:rsidRDefault="00015FAC" w:rsidP="004D33D2">
      <w:pPr>
        <w:pStyle w:val="EndnoteText"/>
      </w:pPr>
      <w:r>
        <w:rPr>
          <w:rStyle w:val="EndnoteReference"/>
        </w:rPr>
        <w:endnoteRef/>
      </w:r>
      <w:r>
        <w:t xml:space="preserve"> Internode, </w:t>
      </w:r>
      <w:hyperlink r:id="rId44" w:history="1">
        <w:r w:rsidRPr="00626345">
          <w:rPr>
            <w:rStyle w:val="Hyperlink"/>
          </w:rPr>
          <w:t>‘AdelaideFreeWiFi’</w:t>
        </w:r>
      </w:hyperlink>
      <w:r>
        <w:t>, accessed 26 July 2017.</w:t>
      </w:r>
    </w:p>
  </w:endnote>
  <w:endnote w:id="53">
    <w:p w14:paraId="7E132E5E" w14:textId="77777777" w:rsidR="00015FAC" w:rsidRDefault="00015FAC" w:rsidP="004D33D2">
      <w:pPr>
        <w:pStyle w:val="EndnoteText"/>
      </w:pPr>
      <w:r>
        <w:rPr>
          <w:rStyle w:val="EndnoteReference"/>
        </w:rPr>
        <w:endnoteRef/>
      </w:r>
      <w:r>
        <w:t xml:space="preserve"> ACT Government, </w:t>
      </w:r>
      <w:hyperlink r:id="rId45" w:history="1">
        <w:r w:rsidRPr="00C20BB3">
          <w:rPr>
            <w:rStyle w:val="Hyperlink"/>
          </w:rPr>
          <w:t>‘CBRfree Public Wi-Fi’</w:t>
        </w:r>
      </w:hyperlink>
      <w:r>
        <w:t>, accessed 8 August 2017.</w:t>
      </w:r>
    </w:p>
  </w:endnote>
  <w:endnote w:id="54">
    <w:p w14:paraId="40E6CDB3" w14:textId="77777777" w:rsidR="00015FAC" w:rsidRDefault="00015FAC" w:rsidP="004D33D2">
      <w:pPr>
        <w:pStyle w:val="EndnoteText"/>
      </w:pPr>
      <w:r>
        <w:rPr>
          <w:rStyle w:val="EndnoteReference"/>
        </w:rPr>
        <w:endnoteRef/>
      </w:r>
      <w:r>
        <w:t xml:space="preserve"> State Government of Victoria, </w:t>
      </w:r>
      <w:hyperlink r:id="rId46" w:history="1">
        <w:r w:rsidRPr="00A144AC">
          <w:rPr>
            <w:rStyle w:val="Hyperlink"/>
          </w:rPr>
          <w:t>‘Victorian free public Wi-Fi pilot’</w:t>
        </w:r>
      </w:hyperlink>
      <w:r>
        <w:t>, accessed 26 July 2017.</w:t>
      </w:r>
    </w:p>
  </w:endnote>
  <w:endnote w:id="55">
    <w:p w14:paraId="716E281D" w14:textId="77777777" w:rsidR="00015FAC" w:rsidRDefault="00015FAC" w:rsidP="004D33D2">
      <w:pPr>
        <w:pStyle w:val="EndnoteText"/>
      </w:pPr>
      <w:r>
        <w:rPr>
          <w:rStyle w:val="EndnoteReference"/>
        </w:rPr>
        <w:endnoteRef/>
      </w:r>
      <w:r>
        <w:t xml:space="preserve"> Brisbane City Council, </w:t>
      </w:r>
      <w:hyperlink r:id="rId47" w:history="1">
        <w:r w:rsidRPr="00626345">
          <w:rPr>
            <w:rStyle w:val="Hyperlink"/>
          </w:rPr>
          <w:t>‘Wi-Fi in Brisbane’</w:t>
        </w:r>
      </w:hyperlink>
      <w:r>
        <w:t>, accessed 26 July 2017.</w:t>
      </w:r>
    </w:p>
  </w:endnote>
  <w:endnote w:id="56">
    <w:p w14:paraId="2A05C371" w14:textId="77777777" w:rsidR="00015FAC" w:rsidRDefault="00015FAC" w:rsidP="004D33D2">
      <w:pPr>
        <w:pStyle w:val="EndnoteText"/>
      </w:pPr>
      <w:r>
        <w:rPr>
          <w:rStyle w:val="EndnoteReference"/>
        </w:rPr>
        <w:endnoteRef/>
      </w:r>
      <w:r>
        <w:t xml:space="preserve"> City of Perth, </w:t>
      </w:r>
      <w:hyperlink r:id="rId48" w:history="1">
        <w:r w:rsidRPr="00C43C1D">
          <w:rPr>
            <w:rStyle w:val="Hyperlink"/>
          </w:rPr>
          <w:t>‘Free City WiFi’</w:t>
        </w:r>
      </w:hyperlink>
      <w:r>
        <w:t>, accessed 8 August 2017.</w:t>
      </w:r>
    </w:p>
  </w:endnote>
  <w:endnote w:id="57">
    <w:p w14:paraId="3A2796E6" w14:textId="77777777" w:rsidR="00015FAC" w:rsidRDefault="00015FAC" w:rsidP="004D33D2">
      <w:pPr>
        <w:pStyle w:val="EndnoteText"/>
      </w:pPr>
      <w:r>
        <w:rPr>
          <w:rStyle w:val="EndnoteReference"/>
        </w:rPr>
        <w:endnoteRef/>
      </w:r>
      <w:r>
        <w:t xml:space="preserve"> State Government of Victoria, </w:t>
      </w:r>
      <w:hyperlink r:id="rId49" w:history="1">
        <w:r w:rsidRPr="00A144AC">
          <w:rPr>
            <w:rStyle w:val="Hyperlink"/>
          </w:rPr>
          <w:t>‘Victorian free public Wi-Fi pilot’</w:t>
        </w:r>
      </w:hyperlink>
      <w:r>
        <w:t>, accessed 26 July 2017.</w:t>
      </w:r>
    </w:p>
  </w:endnote>
  <w:endnote w:id="58">
    <w:p w14:paraId="1BD4CF06" w14:textId="77777777" w:rsidR="00015FAC" w:rsidRDefault="00015FAC" w:rsidP="004D33D2">
      <w:pPr>
        <w:pStyle w:val="EndnoteText"/>
      </w:pPr>
      <w:r>
        <w:rPr>
          <w:rStyle w:val="EndnoteReference"/>
        </w:rPr>
        <w:endnoteRef/>
      </w:r>
      <w:r>
        <w:t xml:space="preserve"> Premier of Victoria, </w:t>
      </w:r>
      <w:hyperlink r:id="rId50" w:history="1">
        <w:r w:rsidRPr="00D01A22">
          <w:rPr>
            <w:rStyle w:val="Hyperlink"/>
          </w:rPr>
          <w:t>‘Melbourne Launches World-Class Free Wi-Fi Network’</w:t>
        </w:r>
      </w:hyperlink>
      <w:r>
        <w:t>, 29 September 2016.</w:t>
      </w:r>
    </w:p>
  </w:endnote>
  <w:endnote w:id="59">
    <w:p w14:paraId="4E16C802" w14:textId="77777777" w:rsidR="00015FAC" w:rsidRDefault="00015FAC" w:rsidP="004D33D2">
      <w:pPr>
        <w:pStyle w:val="EndnoteText"/>
      </w:pPr>
      <w:r>
        <w:rPr>
          <w:rStyle w:val="EndnoteReference"/>
        </w:rPr>
        <w:endnoteRef/>
      </w:r>
      <w:r>
        <w:t xml:space="preserve"> </w:t>
      </w:r>
      <w:hyperlink r:id="rId51" w:history="1">
        <w:r w:rsidRPr="00CE4112">
          <w:rPr>
            <w:rStyle w:val="Hyperlink"/>
          </w:rPr>
          <w:t>World WiFi Day</w:t>
        </w:r>
      </w:hyperlink>
      <w:r>
        <w:t>, accessed 8 August 2017.</w:t>
      </w:r>
    </w:p>
  </w:endnote>
  <w:endnote w:id="60">
    <w:p w14:paraId="5B03E2B8" w14:textId="77777777" w:rsidR="00015FAC" w:rsidRDefault="00015FAC" w:rsidP="004D33D2">
      <w:pPr>
        <w:pStyle w:val="EndnoteText"/>
      </w:pPr>
      <w:r>
        <w:rPr>
          <w:rStyle w:val="EndnoteReference"/>
        </w:rPr>
        <w:endnoteRef/>
      </w:r>
      <w:r>
        <w:t xml:space="preserve"> Telstra, </w:t>
      </w:r>
      <w:hyperlink r:id="rId52" w:history="1">
        <w:r w:rsidRPr="003266A2">
          <w:rPr>
            <w:rStyle w:val="Hyperlink"/>
          </w:rPr>
          <w:t>‘</w:t>
        </w:r>
        <w:r>
          <w:rPr>
            <w:rStyle w:val="Hyperlink"/>
          </w:rPr>
          <w:t>How t</w:t>
        </w:r>
        <w:r w:rsidRPr="003266A2">
          <w:rPr>
            <w:rStyle w:val="Hyperlink"/>
          </w:rPr>
          <w:t>o Access Free Data on World Wi-Fi Day’</w:t>
        </w:r>
      </w:hyperlink>
      <w:r>
        <w:t>, 15 June 2006.</w:t>
      </w:r>
    </w:p>
  </w:endnote>
  <w:endnote w:id="61">
    <w:p w14:paraId="3F1D9F8F" w14:textId="77777777" w:rsidR="00015FAC" w:rsidRDefault="00015FAC" w:rsidP="004D33D2">
      <w:pPr>
        <w:pStyle w:val="EndnoteText"/>
      </w:pPr>
      <w:r>
        <w:rPr>
          <w:rStyle w:val="EndnoteReference"/>
        </w:rPr>
        <w:endnoteRef/>
      </w:r>
      <w:r>
        <w:t xml:space="preserve"> Telstra, </w:t>
      </w:r>
      <w:hyperlink r:id="rId53" w:history="1">
        <w:r w:rsidRPr="002F164C">
          <w:rPr>
            <w:rStyle w:val="Hyperlink"/>
          </w:rPr>
          <w:t>‘Connected in Cairns’</w:t>
        </w:r>
      </w:hyperlink>
      <w:r>
        <w:t>, 1 June 2017.</w:t>
      </w:r>
    </w:p>
  </w:endnote>
  <w:endnote w:id="62">
    <w:p w14:paraId="6E7F0E4F" w14:textId="77777777" w:rsidR="00015FAC" w:rsidRDefault="00015FAC" w:rsidP="004D33D2">
      <w:pPr>
        <w:pStyle w:val="EndnoteText"/>
      </w:pPr>
      <w:r>
        <w:rPr>
          <w:rStyle w:val="EndnoteReference"/>
        </w:rPr>
        <w:endnoteRef/>
      </w:r>
      <w:r>
        <w:t xml:space="preserve"> Premier of South Australia, </w:t>
      </w:r>
      <w:hyperlink r:id="rId54" w:history="1">
        <w:r w:rsidRPr="007A6E0E">
          <w:rPr>
            <w:rStyle w:val="Hyperlink"/>
          </w:rPr>
          <w:t>‘Expression of interest called for free Wi-Fi on Adelaide Metro network’</w:t>
        </w:r>
      </w:hyperlink>
      <w:r>
        <w:t>, media release, 19 July 2017.</w:t>
      </w:r>
    </w:p>
  </w:endnote>
  <w:endnote w:id="63">
    <w:p w14:paraId="1B54D2FB" w14:textId="77777777" w:rsidR="00015FAC" w:rsidRDefault="00015FAC" w:rsidP="004D33D2">
      <w:pPr>
        <w:pStyle w:val="EndnoteText"/>
      </w:pPr>
      <w:r>
        <w:rPr>
          <w:rStyle w:val="EndnoteReference"/>
        </w:rPr>
        <w:endnoteRef/>
      </w:r>
      <w:r>
        <w:t xml:space="preserve"> NSW Government, </w:t>
      </w:r>
      <w:hyperlink r:id="rId55" w:history="1">
        <w:r w:rsidRPr="00882E70">
          <w:rPr>
            <w:rStyle w:val="Hyperlink"/>
          </w:rPr>
          <w:t>‘Catch free Wi-Fi on Sydney buses’</w:t>
        </w:r>
      </w:hyperlink>
      <w:r>
        <w:t>, 10 January 2017.</w:t>
      </w:r>
    </w:p>
  </w:endnote>
  <w:endnote w:id="64">
    <w:p w14:paraId="202E986A" w14:textId="77777777" w:rsidR="00015FAC" w:rsidRDefault="00015FAC" w:rsidP="004D33D2">
      <w:pPr>
        <w:pStyle w:val="EndnoteText"/>
      </w:pPr>
      <w:r>
        <w:rPr>
          <w:rStyle w:val="EndnoteReference"/>
        </w:rPr>
        <w:endnoteRef/>
      </w:r>
      <w:r>
        <w:t xml:space="preserve"> ACT Government, Transport ACT, </w:t>
      </w:r>
      <w:hyperlink r:id="rId56" w:history="1">
        <w:r w:rsidRPr="006813CC">
          <w:rPr>
            <w:rStyle w:val="Hyperlink"/>
          </w:rPr>
          <w:t>‘Wifi on buses’</w:t>
        </w:r>
      </w:hyperlink>
      <w:r>
        <w:t>, accessed 20 July 2016.</w:t>
      </w:r>
    </w:p>
  </w:endnote>
  <w:endnote w:id="65">
    <w:p w14:paraId="3699DAF2" w14:textId="77777777" w:rsidR="00015FAC" w:rsidRDefault="00015FAC" w:rsidP="004D33D2">
      <w:pPr>
        <w:pStyle w:val="EndnoteText"/>
      </w:pPr>
      <w:r>
        <w:rPr>
          <w:rStyle w:val="EndnoteReference"/>
        </w:rPr>
        <w:endnoteRef/>
      </w:r>
      <w:r>
        <w:t xml:space="preserve"> Optus, </w:t>
      </w:r>
      <w:hyperlink r:id="rId57" w:history="1">
        <w:r w:rsidRPr="006C29CA">
          <w:rPr>
            <w:rStyle w:val="Hyperlink"/>
          </w:rPr>
          <w:t xml:space="preserve">‘Optus business to roll-out public </w:t>
        </w:r>
        <w:r>
          <w:rPr>
            <w:rStyle w:val="Hyperlink"/>
          </w:rPr>
          <w:t>WiFi</w:t>
        </w:r>
        <w:r w:rsidRPr="006C29CA">
          <w:rPr>
            <w:rStyle w:val="Hyperlink"/>
          </w:rPr>
          <w:t xml:space="preserve"> across Vicinity Centres’</w:t>
        </w:r>
      </w:hyperlink>
      <w:r>
        <w:t>, media release, 17 August 2016.</w:t>
      </w:r>
    </w:p>
  </w:endnote>
  <w:endnote w:id="66">
    <w:p w14:paraId="477157D8" w14:textId="77777777" w:rsidR="00015FAC" w:rsidRDefault="00015FAC" w:rsidP="004D33D2">
      <w:pPr>
        <w:pStyle w:val="EndnoteText"/>
        <w:tabs>
          <w:tab w:val="left" w:pos="6561"/>
        </w:tabs>
      </w:pPr>
      <w:r>
        <w:rPr>
          <w:rStyle w:val="EndnoteReference"/>
        </w:rPr>
        <w:endnoteRef/>
      </w:r>
      <w:r>
        <w:t xml:space="preserve"> Qantas News Room, </w:t>
      </w:r>
      <w:hyperlink r:id="rId58" w:history="1">
        <w:r w:rsidRPr="0097783B">
          <w:rPr>
            <w:rStyle w:val="Hyperlink"/>
          </w:rPr>
          <w:t>‘A big milestone for Qantas Wi-Fi’</w:t>
        </w:r>
      </w:hyperlink>
      <w:r>
        <w:t>, 21 February 2017.</w:t>
      </w:r>
    </w:p>
  </w:endnote>
  <w:endnote w:id="67">
    <w:p w14:paraId="6243E2D1" w14:textId="77777777" w:rsidR="00015FAC" w:rsidRDefault="00015FAC" w:rsidP="004D33D2">
      <w:pPr>
        <w:pStyle w:val="EndnoteText"/>
      </w:pPr>
      <w:r>
        <w:rPr>
          <w:rStyle w:val="EndnoteReference"/>
        </w:rPr>
        <w:endnoteRef/>
      </w:r>
      <w:r>
        <w:t xml:space="preserve"> Qantas News Room, </w:t>
      </w:r>
      <w:hyperlink r:id="rId59" w:history="1">
        <w:r w:rsidRPr="009B15C1">
          <w:rPr>
            <w:rStyle w:val="Hyperlink"/>
          </w:rPr>
          <w:t>‘Qantas switches on fast, free inflight wifi’</w:t>
        </w:r>
      </w:hyperlink>
      <w:r>
        <w:t>, 7 April 2017.</w:t>
      </w:r>
    </w:p>
  </w:endnote>
  <w:endnote w:id="68">
    <w:p w14:paraId="61615499" w14:textId="6F5692F1" w:rsidR="00015FAC" w:rsidRPr="00E7726C" w:rsidRDefault="00015FAC" w:rsidP="004D33D2">
      <w:pPr>
        <w:pStyle w:val="EndnoteText"/>
      </w:pPr>
      <w:r>
        <w:rPr>
          <w:rStyle w:val="EndnoteReference"/>
        </w:rPr>
        <w:endnoteRef/>
      </w:r>
      <w:r>
        <w:t xml:space="preserve"> R. Crozier, </w:t>
      </w:r>
      <w:hyperlink r:id="rId60" w:history="1">
        <w:r w:rsidRPr="00C1406E">
          <w:rPr>
            <w:rStyle w:val="Hyperlink"/>
            <w:rFonts w:cs="Arial"/>
          </w:rPr>
          <w:t>Qantas prepares to move in-flight wi-fi out of trial</w:t>
        </w:r>
      </w:hyperlink>
      <w:r>
        <w:rPr>
          <w:rFonts w:cs="Arial"/>
        </w:rPr>
        <w:t xml:space="preserve">, </w:t>
      </w:r>
      <w:r>
        <w:rPr>
          <w:rFonts w:cs="Arial"/>
          <w:i/>
        </w:rPr>
        <w:t>iTnews</w:t>
      </w:r>
      <w:r>
        <w:rPr>
          <w:rFonts w:cs="Arial"/>
        </w:rPr>
        <w:t>,</w:t>
      </w:r>
      <w:r>
        <w:rPr>
          <w:rFonts w:cs="Arial"/>
          <w:i/>
        </w:rPr>
        <w:t xml:space="preserve"> </w:t>
      </w:r>
      <w:r>
        <w:rPr>
          <w:rFonts w:cs="Arial"/>
        </w:rPr>
        <w:t>1 September 2017.</w:t>
      </w:r>
    </w:p>
  </w:endnote>
  <w:endnote w:id="69">
    <w:p w14:paraId="6DF76844" w14:textId="77777777" w:rsidR="00015FAC" w:rsidRDefault="00015FAC" w:rsidP="004D33D2">
      <w:pPr>
        <w:pStyle w:val="EndnoteText"/>
      </w:pPr>
      <w:r>
        <w:rPr>
          <w:rStyle w:val="EndnoteReference"/>
        </w:rPr>
        <w:endnoteRef/>
      </w:r>
      <w:r>
        <w:t xml:space="preserve"> i</w:t>
      </w:r>
      <w:r w:rsidRPr="00841506">
        <w:t>bid</w:t>
      </w:r>
      <w:r w:rsidRPr="00F24BA1">
        <w:rPr>
          <w:i/>
        </w:rPr>
        <w:t>.</w:t>
      </w:r>
    </w:p>
  </w:endnote>
  <w:endnote w:id="70">
    <w:p w14:paraId="4767EE1E" w14:textId="77777777" w:rsidR="00015FAC" w:rsidRDefault="00015FAC" w:rsidP="004D33D2">
      <w:pPr>
        <w:pStyle w:val="EndnoteText"/>
      </w:pPr>
      <w:r>
        <w:rPr>
          <w:rStyle w:val="EndnoteReference"/>
        </w:rPr>
        <w:endnoteRef/>
      </w:r>
      <w:r>
        <w:t xml:space="preserve"> Virgin Australia, </w:t>
      </w:r>
      <w:hyperlink r:id="rId61" w:history="1">
        <w:r w:rsidRPr="006010CB">
          <w:rPr>
            <w:rStyle w:val="Hyperlink"/>
          </w:rPr>
          <w:t>‘Virgin Australia turns on inflight wifi’</w:t>
        </w:r>
      </w:hyperlink>
      <w:r>
        <w:t>, media release, 20 April 2017.</w:t>
      </w:r>
    </w:p>
  </w:endnote>
  <w:endnote w:id="71">
    <w:p w14:paraId="7926C0A6" w14:textId="77777777" w:rsidR="00015FAC" w:rsidRDefault="00015FAC">
      <w:pPr>
        <w:pStyle w:val="EndnoteText"/>
      </w:pPr>
      <w:r>
        <w:rPr>
          <w:rStyle w:val="EndnoteReference"/>
        </w:rPr>
        <w:endnoteRef/>
      </w:r>
      <w:r>
        <w:t xml:space="preserve"> </w:t>
      </w:r>
      <w:r w:rsidRPr="00FD7E86">
        <w:t>Internet-based computing where data and applications are hosted online, stored on remote servers and available to clients on demand through broadband internet-enabled devices</w:t>
      </w:r>
      <w:r>
        <w:t>.</w:t>
      </w:r>
    </w:p>
  </w:endnote>
  <w:endnote w:id="72">
    <w:p w14:paraId="5EB992A5" w14:textId="77777777" w:rsidR="00015FAC" w:rsidRDefault="00015FAC" w:rsidP="004D33D2">
      <w:pPr>
        <w:pStyle w:val="EndnoteText"/>
      </w:pPr>
      <w:r>
        <w:rPr>
          <w:rStyle w:val="EndnoteReference"/>
        </w:rPr>
        <w:endnoteRef/>
      </w:r>
      <w:r>
        <w:t xml:space="preserve"> Telstra, </w:t>
      </w:r>
      <w:hyperlink r:id="rId62" w:history="1">
        <w:r w:rsidRPr="00F909DD">
          <w:rPr>
            <w:rStyle w:val="Hyperlink"/>
          </w:rPr>
          <w:t>‘</w:t>
        </w:r>
        <w:r>
          <w:rPr>
            <w:rStyle w:val="Hyperlink"/>
          </w:rPr>
          <w:t>Full Year 2017 results – Analyst Presentation</w:t>
        </w:r>
        <w:r w:rsidRPr="00F909DD">
          <w:rPr>
            <w:rStyle w:val="Hyperlink"/>
          </w:rPr>
          <w:t>’</w:t>
        </w:r>
      </w:hyperlink>
      <w:r>
        <w:t>, 17 August 2017.</w:t>
      </w:r>
    </w:p>
  </w:endnote>
  <w:endnote w:id="73">
    <w:p w14:paraId="103BA4FA" w14:textId="77777777" w:rsidR="00015FAC" w:rsidRDefault="00015FAC" w:rsidP="004D33D2">
      <w:pPr>
        <w:pStyle w:val="EndnoteText"/>
      </w:pPr>
      <w:r>
        <w:rPr>
          <w:rStyle w:val="EndnoteReference"/>
        </w:rPr>
        <w:endnoteRef/>
      </w:r>
      <w:r>
        <w:t xml:space="preserve"> G. Long, ‘Telstra invests in US SD-WAN provider VeloCloud Networks’, </w:t>
      </w:r>
      <w:r w:rsidRPr="00C6689D">
        <w:rPr>
          <w:i/>
        </w:rPr>
        <w:t>Communications Day</w:t>
      </w:r>
      <w:r>
        <w:t>, 6 March 2017.</w:t>
      </w:r>
    </w:p>
  </w:endnote>
  <w:endnote w:id="74">
    <w:p w14:paraId="5B34C6E9" w14:textId="77777777" w:rsidR="00015FAC" w:rsidRDefault="00015FAC" w:rsidP="004D33D2">
      <w:pPr>
        <w:pStyle w:val="EndnoteText"/>
      </w:pPr>
      <w:r>
        <w:rPr>
          <w:rStyle w:val="EndnoteReference"/>
        </w:rPr>
        <w:endnoteRef/>
      </w:r>
      <w:r>
        <w:t xml:space="preserve"> Telstra, </w:t>
      </w:r>
      <w:hyperlink r:id="rId63" w:history="1">
        <w:r w:rsidRPr="00201F61">
          <w:rPr>
            <w:rStyle w:val="Hyperlink"/>
          </w:rPr>
          <w:t>‘Telstra manages hybrid cloud’</w:t>
        </w:r>
      </w:hyperlink>
      <w:r>
        <w:t>, media release, 26 July 2017.</w:t>
      </w:r>
    </w:p>
  </w:endnote>
  <w:endnote w:id="75">
    <w:p w14:paraId="12BFCC69" w14:textId="77777777" w:rsidR="00015FAC" w:rsidRDefault="00015FAC" w:rsidP="004D33D2">
      <w:pPr>
        <w:pStyle w:val="EndnoteText"/>
      </w:pPr>
      <w:r>
        <w:rPr>
          <w:rStyle w:val="EndnoteReference"/>
        </w:rPr>
        <w:endnoteRef/>
      </w:r>
      <w:r>
        <w:t xml:space="preserve"> Optus, </w:t>
      </w:r>
      <w:hyperlink r:id="rId64" w:history="1">
        <w:r w:rsidRPr="004A0065">
          <w:rPr>
            <w:rStyle w:val="Hyperlink"/>
          </w:rPr>
          <w:t>‘Optus Business and Cisco co-create workplace of the future’</w:t>
        </w:r>
      </w:hyperlink>
      <w:r>
        <w:t>, media release, 7 March 2017.</w:t>
      </w:r>
    </w:p>
  </w:endnote>
  <w:endnote w:id="76">
    <w:p w14:paraId="6311A3F8" w14:textId="77777777" w:rsidR="00015FAC" w:rsidRDefault="00015FAC" w:rsidP="004D33D2">
      <w:pPr>
        <w:pStyle w:val="EndnoteText"/>
      </w:pPr>
      <w:r>
        <w:rPr>
          <w:rStyle w:val="EndnoteReference"/>
        </w:rPr>
        <w:endnoteRef/>
      </w:r>
      <w:r>
        <w:t xml:space="preserve"> Optus, </w:t>
      </w:r>
      <w:hyperlink r:id="rId65" w:history="1">
        <w:r w:rsidRPr="00BF4E7D">
          <w:rPr>
            <w:rStyle w:val="Hyperlink"/>
          </w:rPr>
          <w:t>‘Optus Business teams with Pure Storage to launch All-Flash cloud platform’</w:t>
        </w:r>
      </w:hyperlink>
      <w:r>
        <w:t>, media release, 28 February 2017.</w:t>
      </w:r>
    </w:p>
  </w:endnote>
  <w:endnote w:id="77">
    <w:p w14:paraId="36CC5A67" w14:textId="77777777" w:rsidR="00015FAC" w:rsidRDefault="00015FAC" w:rsidP="004D33D2">
      <w:pPr>
        <w:pStyle w:val="EndnoteText"/>
      </w:pPr>
      <w:r>
        <w:rPr>
          <w:rStyle w:val="EndnoteReference"/>
        </w:rPr>
        <w:endnoteRef/>
      </w:r>
      <w:r>
        <w:t xml:space="preserve"> Optus, </w:t>
      </w:r>
      <w:hyperlink r:id="rId66" w:history="1">
        <w:r w:rsidRPr="00AD32F5">
          <w:rPr>
            <w:rStyle w:val="Hyperlink"/>
          </w:rPr>
          <w:t>‘Optus business announced Canberra data centres (CDC) partnership’</w:t>
        </w:r>
      </w:hyperlink>
      <w:r>
        <w:t>, media release, 15 June 2017.</w:t>
      </w:r>
    </w:p>
  </w:endnote>
  <w:endnote w:id="78">
    <w:p w14:paraId="58B4FE2E" w14:textId="77777777" w:rsidR="00015FAC" w:rsidRDefault="00015FAC" w:rsidP="004D33D2">
      <w:pPr>
        <w:pStyle w:val="EndnoteText"/>
      </w:pPr>
      <w:r>
        <w:rPr>
          <w:rStyle w:val="EndnoteReference"/>
        </w:rPr>
        <w:endnoteRef/>
      </w:r>
      <w:r>
        <w:t xml:space="preserve"> ABS, </w:t>
      </w:r>
      <w:hyperlink r:id="rId67" w:history="1">
        <w:r w:rsidRPr="00841506">
          <w:rPr>
            <w:rStyle w:val="Hyperlink"/>
            <w:i/>
          </w:rPr>
          <w:t>8129.0 Business Use of Information Technology 2015–16</w:t>
        </w:r>
      </w:hyperlink>
      <w:r>
        <w:t>, 20 August 2017.</w:t>
      </w:r>
    </w:p>
  </w:endnote>
  <w:endnote w:id="79">
    <w:p w14:paraId="3287FF9B" w14:textId="77777777" w:rsidR="00015FAC" w:rsidRDefault="00015FAC" w:rsidP="004D33D2">
      <w:pPr>
        <w:pStyle w:val="EndnoteText"/>
      </w:pPr>
      <w:r>
        <w:rPr>
          <w:rStyle w:val="EndnoteReference"/>
        </w:rPr>
        <w:endnoteRef/>
      </w:r>
      <w:r>
        <w:t xml:space="preserve"> i</w:t>
      </w:r>
      <w:r w:rsidRPr="00841506">
        <w:t>bid</w:t>
      </w:r>
      <w:r w:rsidRPr="00887EE3">
        <w:rPr>
          <w:i/>
        </w:rPr>
        <w:t>.</w:t>
      </w:r>
    </w:p>
  </w:endnote>
  <w:endnote w:id="80">
    <w:p w14:paraId="2665AF6F" w14:textId="77777777" w:rsidR="00015FAC" w:rsidRDefault="00015FAC" w:rsidP="004D33D2">
      <w:pPr>
        <w:pStyle w:val="EndnoteText"/>
      </w:pPr>
      <w:r>
        <w:rPr>
          <w:rStyle w:val="EndnoteReference"/>
        </w:rPr>
        <w:endnoteRef/>
      </w:r>
      <w:r>
        <w:t xml:space="preserve"> S. Lui, </w:t>
      </w:r>
      <w:hyperlink r:id="rId68" w:history="1">
        <w:r w:rsidRPr="00893052">
          <w:rPr>
            <w:rStyle w:val="Hyperlink"/>
          </w:rPr>
          <w:t>‘Australia's Public Cloud Market Is Set To Hit $5.6 Billion This Year’</w:t>
        </w:r>
      </w:hyperlink>
      <w:r>
        <w:t xml:space="preserve">, </w:t>
      </w:r>
      <w:r w:rsidRPr="00893052">
        <w:rPr>
          <w:i/>
        </w:rPr>
        <w:t>Lifehacker,</w:t>
      </w:r>
      <w:r>
        <w:rPr>
          <w:i/>
        </w:rPr>
        <w:t xml:space="preserve"> </w:t>
      </w:r>
      <w:r w:rsidRPr="00893052">
        <w:t>20 September 2017.</w:t>
      </w:r>
      <w:r>
        <w:t xml:space="preserve"> </w:t>
      </w:r>
    </w:p>
  </w:endnote>
  <w:endnote w:id="81">
    <w:p w14:paraId="2607EBCD" w14:textId="77777777" w:rsidR="00015FAC" w:rsidRDefault="00015FAC" w:rsidP="004D33D2">
      <w:pPr>
        <w:pStyle w:val="EndnoteText"/>
      </w:pPr>
      <w:r>
        <w:rPr>
          <w:rStyle w:val="EndnoteReference"/>
        </w:rPr>
        <w:endnoteRef/>
      </w:r>
      <w:r>
        <w:t xml:space="preserve"> Gartner, </w:t>
      </w:r>
      <w:hyperlink r:id="rId69" w:history="1">
        <w:r w:rsidRPr="006F6D45">
          <w:rPr>
            <w:rStyle w:val="Hyperlink"/>
          </w:rPr>
          <w:t>‘Gartner Says Worldwide Public Cloud Services Market to Grow 18 Percent in 2017’</w:t>
        </w:r>
      </w:hyperlink>
      <w:r>
        <w:t>, media release, 22 February 2017.</w:t>
      </w:r>
    </w:p>
  </w:endnote>
  <w:endnote w:id="82">
    <w:p w14:paraId="18EDCCF9" w14:textId="77777777" w:rsidR="00015FAC" w:rsidRDefault="00015FAC" w:rsidP="004D33D2">
      <w:pPr>
        <w:pStyle w:val="EndnoteText"/>
      </w:pPr>
      <w:r>
        <w:rPr>
          <w:rStyle w:val="EndnoteReference"/>
        </w:rPr>
        <w:endnoteRef/>
      </w:r>
      <w:r>
        <w:t xml:space="preserve"> Telsyte, </w:t>
      </w:r>
      <w:r w:rsidRPr="00C6689D">
        <w:t>‘</w:t>
      </w:r>
      <w:hyperlink r:id="rId70" w:history="1">
        <w:r w:rsidRPr="00D105C8">
          <w:rPr>
            <w:rStyle w:val="Hyperlink"/>
          </w:rPr>
          <w:t>Cloud uptake in Australia soars with IaaS spending set to reach $1 billion by 2020’</w:t>
        </w:r>
      </w:hyperlink>
      <w:r>
        <w:rPr>
          <w:rStyle w:val="Hyperlink"/>
          <w:color w:val="000000" w:themeColor="text1"/>
          <w:u w:val="none"/>
        </w:rPr>
        <w:t xml:space="preserve">, </w:t>
      </w:r>
      <w:r w:rsidRPr="00C6689D">
        <w:rPr>
          <w:rStyle w:val="Hyperlink"/>
          <w:color w:val="000000" w:themeColor="text1"/>
          <w:u w:val="none"/>
        </w:rPr>
        <w:t>media release</w:t>
      </w:r>
      <w:r>
        <w:t>, 22 November 2016.</w:t>
      </w:r>
    </w:p>
  </w:endnote>
  <w:endnote w:id="83">
    <w:p w14:paraId="75DD3A74" w14:textId="414C53BC" w:rsidR="00015FAC" w:rsidRDefault="00015FAC" w:rsidP="004D33D2">
      <w:pPr>
        <w:pStyle w:val="EndnoteText"/>
      </w:pPr>
      <w:r>
        <w:rPr>
          <w:rStyle w:val="EndnoteReference"/>
        </w:rPr>
        <w:endnoteRef/>
      </w:r>
      <w:r>
        <w:t xml:space="preserve"> auDA, ACMA 2016–17 annual information request, August 2017. </w:t>
      </w:r>
    </w:p>
  </w:endnote>
  <w:endnote w:id="84">
    <w:p w14:paraId="431877B7" w14:textId="77777777" w:rsidR="00015FAC" w:rsidRDefault="00015FAC" w:rsidP="004D33D2">
      <w:pPr>
        <w:pStyle w:val="EndnoteText"/>
      </w:pPr>
      <w:r>
        <w:rPr>
          <w:rStyle w:val="EndnoteReference"/>
        </w:rPr>
        <w:endnoteRef/>
      </w:r>
      <w:r>
        <w:t xml:space="preserve"> i</w:t>
      </w:r>
      <w:r w:rsidRPr="00841506">
        <w:t>bid</w:t>
      </w:r>
      <w:r>
        <w:t xml:space="preserve">. </w:t>
      </w:r>
    </w:p>
  </w:endnote>
  <w:endnote w:id="85">
    <w:p w14:paraId="1CB57FD3" w14:textId="77777777" w:rsidR="00015FAC" w:rsidRPr="008C20E6" w:rsidRDefault="00015FAC" w:rsidP="004D33D2">
      <w:pPr>
        <w:pStyle w:val="EndnoteText"/>
        <w:rPr>
          <w:rFonts w:cs="Arial"/>
          <w:szCs w:val="16"/>
        </w:rPr>
      </w:pPr>
      <w:r w:rsidRPr="002C3191">
        <w:rPr>
          <w:rStyle w:val="EndnoteReference"/>
        </w:rPr>
        <w:endnoteRef/>
      </w:r>
      <w:r w:rsidRPr="000317E5">
        <w:rPr>
          <w:rFonts w:cs="Arial"/>
          <w:szCs w:val="16"/>
        </w:rPr>
        <w:t xml:space="preserve"> </w:t>
      </w:r>
      <w:r>
        <w:rPr>
          <w:rFonts w:cs="Arial"/>
          <w:szCs w:val="16"/>
        </w:rPr>
        <w:t>.</w:t>
      </w:r>
      <w:r w:rsidRPr="00FA7DD4">
        <w:rPr>
          <w:lang w:eastAsia="en-US"/>
        </w:rPr>
        <w:t>gov.au Domain Name Administratio</w:t>
      </w:r>
      <w:r>
        <w:rPr>
          <w:lang w:eastAsia="en-US"/>
        </w:rPr>
        <w:t>n, Digital Transformation Agency, July 2017</w:t>
      </w:r>
      <w:r w:rsidRPr="008C20E6">
        <w:rPr>
          <w:rFonts w:cs="Arial"/>
          <w:szCs w:val="16"/>
        </w:rPr>
        <w:t xml:space="preserve">. </w:t>
      </w:r>
    </w:p>
  </w:endnote>
  <w:endnote w:id="86">
    <w:p w14:paraId="79F57B0B" w14:textId="0D6D30D1" w:rsidR="00015FAC" w:rsidRDefault="00015FAC" w:rsidP="004D33D2">
      <w:pPr>
        <w:pStyle w:val="EndnoteText"/>
      </w:pPr>
      <w:r>
        <w:rPr>
          <w:rStyle w:val="EndnoteReference"/>
        </w:rPr>
        <w:endnoteRef/>
      </w:r>
      <w:r>
        <w:t xml:space="preserve"> P. Smith, </w:t>
      </w:r>
      <w:hyperlink r:id="rId71" w:history="1">
        <w:r w:rsidRPr="00C6631C">
          <w:rPr>
            <w:rStyle w:val="Hyperlink"/>
          </w:rPr>
          <w:t>‘1000 Australian websites taken down after China-based criminal plot revealed’</w:t>
        </w:r>
      </w:hyperlink>
      <w:r>
        <w:t xml:space="preserve">, </w:t>
      </w:r>
      <w:r w:rsidRPr="001C483E">
        <w:rPr>
          <w:i/>
        </w:rPr>
        <w:t>The</w:t>
      </w:r>
      <w:r>
        <w:t xml:space="preserve"> </w:t>
      </w:r>
      <w:r w:rsidRPr="00C6689D">
        <w:rPr>
          <w:i/>
        </w:rPr>
        <w:t>Australian Financial Review</w:t>
      </w:r>
      <w:r>
        <w:t xml:space="preserve">, 7 October 2016. </w:t>
      </w:r>
    </w:p>
  </w:endnote>
  <w:endnote w:id="87">
    <w:p w14:paraId="597E5A71" w14:textId="77777777" w:rsidR="00015FAC" w:rsidRDefault="00015FAC" w:rsidP="004D33D2">
      <w:pPr>
        <w:pStyle w:val="EndnoteText"/>
      </w:pPr>
      <w:r>
        <w:rPr>
          <w:rStyle w:val="EndnoteReference"/>
        </w:rPr>
        <w:endnoteRef/>
      </w:r>
      <w:r>
        <w:t xml:space="preserve"> G. Long, ‘auDA CEO cites national security concerns in domain name space’, </w:t>
      </w:r>
      <w:r w:rsidRPr="0060480B">
        <w:rPr>
          <w:i/>
        </w:rPr>
        <w:t>Communications Day</w:t>
      </w:r>
      <w:r>
        <w:t xml:space="preserve">, 1 August 2017. </w:t>
      </w:r>
    </w:p>
  </w:endnote>
  <w:endnote w:id="88">
    <w:p w14:paraId="5F608E38" w14:textId="1A4B1250" w:rsidR="00015FAC" w:rsidRDefault="00015FAC" w:rsidP="004D33D2">
      <w:pPr>
        <w:pStyle w:val="EndnoteText"/>
      </w:pPr>
      <w:r>
        <w:rPr>
          <w:rStyle w:val="EndnoteReference"/>
        </w:rPr>
        <w:endnoteRef/>
      </w:r>
      <w:r>
        <w:t xml:space="preserve"> auDA, </w:t>
      </w:r>
      <w:hyperlink r:id="rId72" w:history="1">
        <w:r w:rsidRPr="0060480B">
          <w:rPr>
            <w:rStyle w:val="Hyperlink"/>
          </w:rPr>
          <w:t>Registry Transformation Project (2017)</w:t>
        </w:r>
      </w:hyperlink>
      <w:r>
        <w:t xml:space="preserve">, accessed 14 August 2017. </w:t>
      </w:r>
    </w:p>
  </w:endnote>
  <w:endnote w:id="89">
    <w:p w14:paraId="163CED23" w14:textId="77777777" w:rsidR="00015FAC" w:rsidRDefault="00015FAC" w:rsidP="004D33D2">
      <w:pPr>
        <w:pStyle w:val="EndnoteText"/>
      </w:pPr>
      <w:r>
        <w:rPr>
          <w:rStyle w:val="EndnoteReference"/>
        </w:rPr>
        <w:endnoteRef/>
      </w:r>
      <w:r>
        <w:t xml:space="preserve"> Telstra, </w:t>
      </w:r>
      <w:hyperlink r:id="rId73" w:history="1">
        <w:r w:rsidRPr="001F622B">
          <w:rPr>
            <w:rStyle w:val="Hyperlink"/>
          </w:rPr>
          <w:t>‘Powering Australian business towards a connected future’</w:t>
        </w:r>
      </w:hyperlink>
      <w:r>
        <w:t>, accessed 20 July 2017.</w:t>
      </w:r>
    </w:p>
  </w:endnote>
  <w:endnote w:id="90">
    <w:p w14:paraId="3A6215AE" w14:textId="77777777" w:rsidR="00015FAC" w:rsidRDefault="00015FAC" w:rsidP="004D33D2">
      <w:pPr>
        <w:pStyle w:val="EndnoteText"/>
      </w:pPr>
      <w:r>
        <w:rPr>
          <w:rStyle w:val="EndnoteReference"/>
        </w:rPr>
        <w:endnoteRef/>
      </w:r>
      <w:r>
        <w:t xml:space="preserve"> P. Gutierrez, ‘</w:t>
      </w:r>
      <w:hyperlink r:id="rId74" w:history="1">
        <w:r w:rsidRPr="00482088">
          <w:rPr>
            <w:rStyle w:val="Hyperlink"/>
          </w:rPr>
          <w:t>Council introduces smart bins to Bondi’</w:t>
        </w:r>
      </w:hyperlink>
      <w:r>
        <w:t xml:space="preserve">, </w:t>
      </w:r>
      <w:r w:rsidRPr="00C6689D">
        <w:rPr>
          <w:i/>
        </w:rPr>
        <w:t>IoT Hub</w:t>
      </w:r>
      <w:r>
        <w:t>, 6 June 2017.</w:t>
      </w:r>
    </w:p>
  </w:endnote>
  <w:endnote w:id="91">
    <w:p w14:paraId="5FE6965E" w14:textId="77777777" w:rsidR="00015FAC" w:rsidRDefault="00015FAC" w:rsidP="004D33D2">
      <w:pPr>
        <w:pStyle w:val="EndnoteText"/>
      </w:pPr>
      <w:r>
        <w:rPr>
          <w:rStyle w:val="EndnoteReference"/>
        </w:rPr>
        <w:endnoteRef/>
      </w:r>
      <w:r>
        <w:t xml:space="preserve"> S. Corner, </w:t>
      </w:r>
      <w:hyperlink r:id="rId75" w:history="1">
        <w:r w:rsidRPr="00C524DB">
          <w:rPr>
            <w:rStyle w:val="Hyperlink"/>
          </w:rPr>
          <w:t>‘Aussie startup monitors remote water tanks via satellite’</w:t>
        </w:r>
      </w:hyperlink>
      <w:r>
        <w:t xml:space="preserve">, </w:t>
      </w:r>
      <w:r w:rsidRPr="00C6689D">
        <w:rPr>
          <w:i/>
        </w:rPr>
        <w:t>IoT Hub</w:t>
      </w:r>
      <w:r>
        <w:t xml:space="preserve">, 23 June 2017. </w:t>
      </w:r>
    </w:p>
  </w:endnote>
  <w:endnote w:id="92">
    <w:p w14:paraId="2C236C0A" w14:textId="77777777" w:rsidR="00015FAC" w:rsidRDefault="00015FAC" w:rsidP="004D33D2">
      <w:pPr>
        <w:pStyle w:val="EndnoteText"/>
      </w:pPr>
      <w:r>
        <w:rPr>
          <w:rStyle w:val="EndnoteReference"/>
        </w:rPr>
        <w:endnoteRef/>
      </w:r>
      <w:r>
        <w:t xml:space="preserve"> Z.D. Williams, ‘</w:t>
      </w:r>
      <w:hyperlink r:id="rId76" w:history="1">
        <w:r w:rsidRPr="00153706">
          <w:rPr>
            <w:rStyle w:val="Hyperlink"/>
          </w:rPr>
          <w:t>450 global IoT platform vendors marks a new record’</w:t>
        </w:r>
      </w:hyperlink>
      <w:r>
        <w:t xml:space="preserve">, </w:t>
      </w:r>
      <w:r w:rsidRPr="00C6689D">
        <w:rPr>
          <w:i/>
        </w:rPr>
        <w:t>IoT Analytics</w:t>
      </w:r>
      <w:r>
        <w:t>, 27 June 2017.</w:t>
      </w:r>
    </w:p>
  </w:endnote>
  <w:endnote w:id="93">
    <w:p w14:paraId="65F497F1" w14:textId="77777777" w:rsidR="00015FAC" w:rsidRDefault="00015FAC" w:rsidP="004D33D2">
      <w:pPr>
        <w:pStyle w:val="EndnoteText"/>
      </w:pPr>
      <w:r>
        <w:rPr>
          <w:rStyle w:val="EndnoteReference"/>
        </w:rPr>
        <w:endnoteRef/>
      </w:r>
      <w:r>
        <w:t xml:space="preserve"> Vodafone, </w:t>
      </w:r>
      <w:hyperlink r:id="rId77" w:history="1">
        <w:r w:rsidRPr="00183048">
          <w:rPr>
            <w:rStyle w:val="Hyperlink"/>
            <w:i/>
          </w:rPr>
          <w:t>Vodafone IoT Barometer 2016</w:t>
        </w:r>
      </w:hyperlink>
      <w:r>
        <w:t>, July 2016.</w:t>
      </w:r>
    </w:p>
  </w:endnote>
  <w:endnote w:id="94">
    <w:p w14:paraId="7375F05C" w14:textId="77777777" w:rsidR="00015FAC" w:rsidRDefault="00015FAC" w:rsidP="004D33D2">
      <w:pPr>
        <w:pStyle w:val="EndnoteText"/>
      </w:pPr>
      <w:r>
        <w:rPr>
          <w:rStyle w:val="EndnoteReference"/>
        </w:rPr>
        <w:endnoteRef/>
      </w:r>
      <w:r>
        <w:t xml:space="preserve"> Ericsson, </w:t>
      </w:r>
      <w:hyperlink r:id="rId78" w:history="1">
        <w:r w:rsidRPr="00183048">
          <w:rPr>
            <w:rStyle w:val="Hyperlink"/>
            <w:i/>
          </w:rPr>
          <w:t>Ericsson Mobility Report</w:t>
        </w:r>
        <w:r w:rsidRPr="00183048">
          <w:rPr>
            <w:rStyle w:val="Hyperlink"/>
          </w:rPr>
          <w:t>,</w:t>
        </w:r>
      </w:hyperlink>
      <w:r>
        <w:t xml:space="preserve"> June 2017. </w:t>
      </w:r>
    </w:p>
  </w:endnote>
  <w:endnote w:id="95">
    <w:p w14:paraId="0E92E446" w14:textId="77777777" w:rsidR="00015FAC" w:rsidRDefault="00015FAC" w:rsidP="004D33D2">
      <w:pPr>
        <w:pStyle w:val="EndnoteText"/>
      </w:pPr>
      <w:r>
        <w:rPr>
          <w:rStyle w:val="EndnoteReference"/>
        </w:rPr>
        <w:endnoteRef/>
      </w:r>
      <w:r>
        <w:t xml:space="preserve"> Department of the Prime Minister and Cabinet, ‘</w:t>
      </w:r>
      <w:hyperlink r:id="rId79" w:history="1">
        <w:r w:rsidRPr="00FA67FC">
          <w:rPr>
            <w:rStyle w:val="Hyperlink"/>
          </w:rPr>
          <w:t>Smart Cities Plan’</w:t>
        </w:r>
      </w:hyperlink>
      <w:r>
        <w:t>, accessed 26 July 2017.</w:t>
      </w:r>
    </w:p>
  </w:endnote>
  <w:endnote w:id="96">
    <w:p w14:paraId="344C05CE" w14:textId="77777777" w:rsidR="00015FAC" w:rsidRDefault="00015FAC" w:rsidP="004D33D2">
      <w:pPr>
        <w:pStyle w:val="EndnoteText"/>
      </w:pPr>
      <w:r>
        <w:rPr>
          <w:rStyle w:val="EndnoteReference"/>
        </w:rPr>
        <w:endnoteRef/>
      </w:r>
      <w:r>
        <w:t xml:space="preserve"> P. Gutierrez, ‘</w:t>
      </w:r>
      <w:hyperlink r:id="rId80" w:history="1">
        <w:r w:rsidRPr="00DE5CF7">
          <w:rPr>
            <w:rStyle w:val="Hyperlink"/>
          </w:rPr>
          <w:t>Wollongong to get city-wide LoRaWAN network’</w:t>
        </w:r>
      </w:hyperlink>
      <w:r>
        <w:t xml:space="preserve">, </w:t>
      </w:r>
      <w:r w:rsidRPr="00C6689D">
        <w:rPr>
          <w:i/>
        </w:rPr>
        <w:t>IoT Hub</w:t>
      </w:r>
      <w:r>
        <w:t>, 25 May 2017.</w:t>
      </w:r>
    </w:p>
  </w:endnote>
  <w:endnote w:id="97">
    <w:p w14:paraId="63878866" w14:textId="77777777" w:rsidR="00015FAC" w:rsidRPr="001136C6" w:rsidRDefault="00015FAC" w:rsidP="004D33D2">
      <w:pPr>
        <w:pStyle w:val="EndnoteText"/>
      </w:pPr>
      <w:r w:rsidRPr="001136C6">
        <w:rPr>
          <w:rStyle w:val="EndnoteReference"/>
        </w:rPr>
        <w:endnoteRef/>
      </w:r>
      <w:r w:rsidRPr="001136C6">
        <w:t xml:space="preserve"> </w:t>
      </w:r>
      <w:hyperlink r:id="rId81" w:history="1">
        <w:r w:rsidRPr="001136C6">
          <w:rPr>
            <w:rStyle w:val="Hyperlink"/>
          </w:rPr>
          <w:t>The Things Network</w:t>
        </w:r>
      </w:hyperlink>
      <w:r w:rsidRPr="001136C6">
        <w:t xml:space="preserve">, accessed 18 July 2017. </w:t>
      </w:r>
    </w:p>
  </w:endnote>
  <w:endnote w:id="98">
    <w:p w14:paraId="6188A5B7" w14:textId="77777777" w:rsidR="00015FAC" w:rsidRDefault="00015FAC" w:rsidP="004D33D2">
      <w:pPr>
        <w:pStyle w:val="EndnoteText"/>
      </w:pPr>
      <w:r w:rsidRPr="001136C6">
        <w:rPr>
          <w:rStyle w:val="EndnoteReference"/>
        </w:rPr>
        <w:endnoteRef/>
      </w:r>
      <w:r w:rsidRPr="001136C6">
        <w:t xml:space="preserve"> </w:t>
      </w:r>
      <w:r>
        <w:t>ibid</w:t>
      </w:r>
      <w:r w:rsidRPr="00AE2841">
        <w:t>.</w:t>
      </w:r>
      <w:r>
        <w:t xml:space="preserve"> </w:t>
      </w:r>
    </w:p>
  </w:endnote>
  <w:endnote w:id="99">
    <w:p w14:paraId="524A5690" w14:textId="20EC7B3E" w:rsidR="00015FAC" w:rsidRDefault="00015FAC" w:rsidP="004D33D2">
      <w:pPr>
        <w:pStyle w:val="EndnoteText"/>
      </w:pPr>
      <w:r>
        <w:rPr>
          <w:rStyle w:val="EndnoteReference"/>
        </w:rPr>
        <w:endnoteRef/>
      </w:r>
      <w:r>
        <w:t xml:space="preserve"> S. Powell, ‘</w:t>
      </w:r>
      <w:hyperlink r:id="rId82" w:history="1">
        <w:r w:rsidRPr="003C775B">
          <w:rPr>
            <w:rStyle w:val="Hyperlink"/>
          </w:rPr>
          <w:t>Hi-tech Google Home and Alexa not smart enough to be error-free’</w:t>
        </w:r>
      </w:hyperlink>
      <w:r>
        <w:t xml:space="preserve">, </w:t>
      </w:r>
      <w:r w:rsidRPr="003C775B">
        <w:rPr>
          <w:i/>
        </w:rPr>
        <w:t>The Australian</w:t>
      </w:r>
      <w:r>
        <w:t xml:space="preserve">, 23 July 2017. </w:t>
      </w:r>
    </w:p>
  </w:endnote>
  <w:endnote w:id="100">
    <w:p w14:paraId="08E7C089" w14:textId="77777777" w:rsidR="00015FAC" w:rsidRDefault="00015FAC" w:rsidP="004D33D2">
      <w:pPr>
        <w:pStyle w:val="EndnoteText"/>
      </w:pPr>
      <w:r>
        <w:rPr>
          <w:rStyle w:val="EndnoteReference"/>
        </w:rPr>
        <w:endnoteRef/>
      </w:r>
      <w:r>
        <w:t xml:space="preserve"> A. Meola, </w:t>
      </w:r>
      <w:hyperlink r:id="rId83" w:history="1">
        <w:r w:rsidRPr="00FE0262">
          <w:rPr>
            <w:rStyle w:val="Hyperlink"/>
          </w:rPr>
          <w:t>‘What is the Internet of Things (IoT)?</w:t>
        </w:r>
      </w:hyperlink>
      <w:r>
        <w:t xml:space="preserve">’, </w:t>
      </w:r>
      <w:r w:rsidRPr="00FE0262">
        <w:rPr>
          <w:i/>
        </w:rPr>
        <w:t>Business Insider</w:t>
      </w:r>
      <w:r>
        <w:t xml:space="preserve">, 19 December 2016. </w:t>
      </w:r>
    </w:p>
  </w:endnote>
  <w:endnote w:id="101">
    <w:p w14:paraId="3DD202AA" w14:textId="77777777" w:rsidR="00015FAC" w:rsidRDefault="00015FAC" w:rsidP="004D33D2">
      <w:pPr>
        <w:pStyle w:val="EndnoteText"/>
      </w:pPr>
      <w:r>
        <w:rPr>
          <w:rStyle w:val="EndnoteReference"/>
        </w:rPr>
        <w:endnoteRef/>
      </w:r>
      <w:r>
        <w:t xml:space="preserve"> This excludes computers, tablets and mobile phones.</w:t>
      </w:r>
    </w:p>
  </w:endnote>
  <w:endnote w:id="102">
    <w:p w14:paraId="3CBD04C1" w14:textId="77777777" w:rsidR="00015FAC" w:rsidRDefault="00015FAC" w:rsidP="004D33D2">
      <w:pPr>
        <w:pStyle w:val="EndnoteText"/>
      </w:pPr>
      <w:r>
        <w:rPr>
          <w:rStyle w:val="EndnoteReference"/>
        </w:rPr>
        <w:endnoteRef/>
      </w:r>
      <w:r>
        <w:t xml:space="preserve"> Telstra, </w:t>
      </w:r>
      <w:hyperlink r:id="rId84" w:history="1">
        <w:r w:rsidRPr="00887EE3">
          <w:rPr>
            <w:rStyle w:val="Hyperlink"/>
          </w:rPr>
          <w:t>Smart Home devices: Google Home</w:t>
        </w:r>
      </w:hyperlink>
      <w:r>
        <w:t>, accessed 1 August 2017.</w:t>
      </w:r>
    </w:p>
  </w:endnote>
  <w:endnote w:id="103">
    <w:p w14:paraId="3A6C4784" w14:textId="77777777" w:rsidR="00015FAC" w:rsidRDefault="00015FAC" w:rsidP="004D33D2">
      <w:pPr>
        <w:pStyle w:val="EndnoteText"/>
      </w:pPr>
      <w:r>
        <w:rPr>
          <w:rStyle w:val="EndnoteReference"/>
        </w:rPr>
        <w:endnoteRef/>
      </w:r>
      <w:r>
        <w:t xml:space="preserve"> ibid.</w:t>
      </w:r>
    </w:p>
  </w:endnote>
  <w:endnote w:id="104">
    <w:p w14:paraId="67005FE7" w14:textId="77777777" w:rsidR="00015FAC" w:rsidRDefault="00015FAC" w:rsidP="00CD02A6">
      <w:pPr>
        <w:pStyle w:val="EndnoteText"/>
        <w:keepNext/>
        <w:keepLines/>
      </w:pPr>
      <w:r>
        <w:rPr>
          <w:rStyle w:val="EndnoteReference"/>
        </w:rPr>
        <w:endnoteRef/>
      </w:r>
      <w:r>
        <w:t xml:space="preserve"> Ericsson, </w:t>
      </w:r>
      <w:hyperlink r:id="rId85" w:history="1">
        <w:r w:rsidRPr="00183048">
          <w:rPr>
            <w:rStyle w:val="Hyperlink"/>
            <w:i/>
          </w:rPr>
          <w:t>Ericsson Mobility Report</w:t>
        </w:r>
        <w:r w:rsidRPr="00183048">
          <w:rPr>
            <w:rStyle w:val="Hyperlink"/>
          </w:rPr>
          <w:t>,</w:t>
        </w:r>
      </w:hyperlink>
      <w:r>
        <w:t xml:space="preserve"> June 2017.</w:t>
      </w:r>
    </w:p>
  </w:endnote>
  <w:endnote w:id="105">
    <w:p w14:paraId="146C0FAA" w14:textId="77777777" w:rsidR="00015FAC" w:rsidRDefault="00015FAC" w:rsidP="00CD02A6">
      <w:pPr>
        <w:pStyle w:val="EndnoteText"/>
        <w:keepNext/>
        <w:keepLines/>
      </w:pPr>
      <w:r>
        <w:rPr>
          <w:rStyle w:val="EndnoteReference"/>
        </w:rPr>
        <w:endnoteRef/>
      </w:r>
      <w:r>
        <w:t xml:space="preserve"> H. Eriksson, </w:t>
      </w:r>
      <w:hyperlink r:id="rId86" w:history="1">
        <w:r w:rsidRPr="00D766BD">
          <w:rPr>
            <w:rStyle w:val="Hyperlink"/>
          </w:rPr>
          <w:t>‘Smart Cars: How this technology will make roads safer’</w:t>
        </w:r>
      </w:hyperlink>
      <w:r>
        <w:t xml:space="preserve">, </w:t>
      </w:r>
      <w:r w:rsidRPr="00C6689D">
        <w:rPr>
          <w:i/>
        </w:rPr>
        <w:t>Telstra Exchange</w:t>
      </w:r>
      <w:r>
        <w:rPr>
          <w:i/>
        </w:rPr>
        <w:t>,</w:t>
      </w:r>
      <w:r w:rsidRPr="00C6689D">
        <w:rPr>
          <w:i/>
        </w:rPr>
        <w:t xml:space="preserve"> </w:t>
      </w:r>
      <w:r>
        <w:t>26 July 2017.</w:t>
      </w:r>
    </w:p>
  </w:endnote>
  <w:endnote w:id="106">
    <w:p w14:paraId="10A1B212" w14:textId="77777777" w:rsidR="00015FAC" w:rsidRDefault="00015FAC" w:rsidP="00CD02A6">
      <w:pPr>
        <w:pStyle w:val="EndnoteText"/>
        <w:keepNext/>
        <w:keepLines/>
      </w:pPr>
      <w:r>
        <w:rPr>
          <w:rStyle w:val="EndnoteReference"/>
        </w:rPr>
        <w:endnoteRef/>
      </w:r>
      <w:r>
        <w:t xml:space="preserve"> B. Foye, </w:t>
      </w:r>
      <w:hyperlink r:id="rId87" w:history="1">
        <w:r w:rsidRPr="00A87322">
          <w:rPr>
            <w:rStyle w:val="Hyperlink"/>
          </w:rPr>
          <w:t>‘Telstra to build Australia’s first national internet of things network’</w:t>
        </w:r>
      </w:hyperlink>
      <w:r>
        <w:t xml:space="preserve">, </w:t>
      </w:r>
      <w:r w:rsidRPr="00C6689D">
        <w:rPr>
          <w:i/>
        </w:rPr>
        <w:t>CRN Australia</w:t>
      </w:r>
      <w:r>
        <w:t>, 27 February 2017.</w:t>
      </w:r>
    </w:p>
  </w:endnote>
  <w:endnote w:id="107">
    <w:p w14:paraId="263910B1" w14:textId="77777777" w:rsidR="00015FAC" w:rsidRPr="00521CF7" w:rsidRDefault="00015FAC" w:rsidP="00CD02A6">
      <w:pPr>
        <w:pStyle w:val="EndnoteText"/>
        <w:keepNext/>
        <w:keepLines/>
      </w:pPr>
      <w:r>
        <w:rPr>
          <w:rStyle w:val="EndnoteReference"/>
        </w:rPr>
        <w:endnoteRef/>
      </w:r>
      <w:r>
        <w:t xml:space="preserve"> B. Foye, </w:t>
      </w:r>
      <w:hyperlink r:id="rId88" w:history="1">
        <w:r w:rsidRPr="00521CF7">
          <w:rPr>
            <w:rStyle w:val="Hyperlink"/>
          </w:rPr>
          <w:t>‘Telstra quietly switches on internet of things network’</w:t>
        </w:r>
      </w:hyperlink>
      <w:r>
        <w:t xml:space="preserve">, </w:t>
      </w:r>
      <w:r>
        <w:rPr>
          <w:i/>
        </w:rPr>
        <w:t xml:space="preserve">CRN, </w:t>
      </w:r>
      <w:r>
        <w:t>20 September 2017.</w:t>
      </w:r>
    </w:p>
  </w:endnote>
  <w:endnote w:id="108">
    <w:p w14:paraId="764219F5" w14:textId="77777777" w:rsidR="00015FAC" w:rsidRPr="00521CF7" w:rsidRDefault="00015FAC" w:rsidP="00CD02A6">
      <w:pPr>
        <w:pStyle w:val="EndnoteText"/>
        <w:keepNext/>
        <w:keepLines/>
      </w:pPr>
      <w:r>
        <w:rPr>
          <w:rStyle w:val="EndnoteReference"/>
        </w:rPr>
        <w:endnoteRef/>
      </w:r>
      <w:r>
        <w:t xml:space="preserve"> ibid.</w:t>
      </w:r>
    </w:p>
  </w:endnote>
  <w:endnote w:id="109">
    <w:p w14:paraId="60EACD07" w14:textId="77777777" w:rsidR="00015FAC" w:rsidRDefault="00015FAC" w:rsidP="00CD02A6">
      <w:pPr>
        <w:pStyle w:val="EndnoteText"/>
        <w:keepNext/>
        <w:keepLines/>
      </w:pPr>
      <w:r>
        <w:rPr>
          <w:rStyle w:val="EndnoteReference"/>
        </w:rPr>
        <w:endnoteRef/>
      </w:r>
      <w:r>
        <w:t xml:space="preserve"> Telstra, </w:t>
      </w:r>
      <w:hyperlink r:id="rId89" w:history="1">
        <w:r w:rsidRPr="00575541">
          <w:rPr>
            <w:rStyle w:val="Hyperlink"/>
            <w:i/>
          </w:rPr>
          <w:t>Financial results for the year ended 30 June 2017</w:t>
        </w:r>
      </w:hyperlink>
      <w:r w:rsidRPr="009C2A8D">
        <w:t>,</w:t>
      </w:r>
      <w:r>
        <w:t xml:space="preserve"> 17 August 2017.</w:t>
      </w:r>
    </w:p>
  </w:endnote>
  <w:endnote w:id="110">
    <w:p w14:paraId="2AC87DA8" w14:textId="0BC19C58" w:rsidR="00015FAC" w:rsidRPr="00521CF7" w:rsidRDefault="00015FAC" w:rsidP="00CD02A6">
      <w:pPr>
        <w:pStyle w:val="EndnoteText"/>
        <w:keepNext/>
        <w:keepLines/>
      </w:pPr>
      <w:r>
        <w:rPr>
          <w:rStyle w:val="EndnoteReference"/>
        </w:rPr>
        <w:endnoteRef/>
      </w:r>
      <w:r>
        <w:t xml:space="preserve"> R. Crozier, ‘</w:t>
      </w:r>
      <w:hyperlink r:id="rId90" w:history="1">
        <w:r w:rsidRPr="00521CF7">
          <w:rPr>
            <w:rStyle w:val="Hyperlink"/>
          </w:rPr>
          <w:t>Vodafone switches on NB-IoT network</w:t>
        </w:r>
      </w:hyperlink>
      <w:r>
        <w:t xml:space="preserve">’, </w:t>
      </w:r>
      <w:r>
        <w:rPr>
          <w:i/>
        </w:rPr>
        <w:t>iTnews</w:t>
      </w:r>
      <w:r>
        <w:t>, 11 October 2017.</w:t>
      </w:r>
    </w:p>
  </w:endnote>
  <w:endnote w:id="111">
    <w:p w14:paraId="68895006" w14:textId="77777777" w:rsidR="00015FAC" w:rsidRPr="00182B5A" w:rsidRDefault="00015FAC" w:rsidP="00CD02A6">
      <w:pPr>
        <w:pStyle w:val="EndnoteText"/>
        <w:keepNext/>
        <w:keepLines/>
      </w:pPr>
      <w:r>
        <w:rPr>
          <w:rStyle w:val="EndnoteReference"/>
        </w:rPr>
        <w:endnoteRef/>
      </w:r>
      <w:r>
        <w:t xml:space="preserve"> Hutchison Telecoms, ‘</w:t>
      </w:r>
      <w:hyperlink r:id="rId91" w:history="1">
        <w:r w:rsidRPr="005B1638">
          <w:rPr>
            <w:rStyle w:val="Hyperlink"/>
          </w:rPr>
          <w:t>Hutchison Telecommunications (Australia) Limited ASX Half Year Information 30 June 2017’</w:t>
        </w:r>
      </w:hyperlink>
      <w:r>
        <w:t>, 1 August </w:t>
      </w:r>
      <w:r w:rsidRPr="00182B5A">
        <w:t>2017.</w:t>
      </w:r>
    </w:p>
  </w:endnote>
  <w:endnote w:id="112">
    <w:p w14:paraId="76CFE6A5" w14:textId="77777777" w:rsidR="00015FAC" w:rsidRDefault="00015FAC" w:rsidP="00CD02A6">
      <w:pPr>
        <w:pStyle w:val="EndnoteText"/>
        <w:keepNext/>
        <w:keepLines/>
      </w:pPr>
      <w:r>
        <w:rPr>
          <w:rStyle w:val="EndnoteReference"/>
        </w:rPr>
        <w:endnoteRef/>
      </w:r>
      <w:r>
        <w:t xml:space="preserve"> Vodafone Red Wire, </w:t>
      </w:r>
      <w:hyperlink r:id="rId92" w:history="1">
        <w:r w:rsidRPr="006B5A77">
          <w:rPr>
            <w:rStyle w:val="Hyperlink"/>
          </w:rPr>
          <w:t>‘How Vodafone is changing business with Narrowband-IoT’</w:t>
        </w:r>
      </w:hyperlink>
      <w:r>
        <w:t>, accessed 18 August 2017.</w:t>
      </w:r>
    </w:p>
  </w:endnote>
  <w:endnote w:id="113">
    <w:p w14:paraId="20D03A6F" w14:textId="77777777" w:rsidR="00015FAC" w:rsidRDefault="00015FAC" w:rsidP="00CD02A6">
      <w:pPr>
        <w:pStyle w:val="EndnoteText"/>
        <w:keepNext/>
        <w:keepLines/>
      </w:pPr>
      <w:r>
        <w:rPr>
          <w:rStyle w:val="EndnoteReference"/>
        </w:rPr>
        <w:endnoteRef/>
      </w:r>
      <w:r>
        <w:t xml:space="preserve"> C. Reichert, </w:t>
      </w:r>
      <w:hyperlink r:id="rId93" w:history="1">
        <w:r w:rsidRPr="006C7012">
          <w:rPr>
            <w:rStyle w:val="Hyperlink"/>
          </w:rPr>
          <w:t>‘Optus and Cisco complete NB-IoT trials’</w:t>
        </w:r>
      </w:hyperlink>
      <w:r>
        <w:t xml:space="preserve">, </w:t>
      </w:r>
      <w:r w:rsidRPr="004154BC">
        <w:rPr>
          <w:i/>
        </w:rPr>
        <w:t>ZDNet</w:t>
      </w:r>
      <w:r>
        <w:t>, 28 February 2017.</w:t>
      </w:r>
    </w:p>
  </w:endnote>
  <w:endnote w:id="114">
    <w:p w14:paraId="6F5E7CC7" w14:textId="77777777" w:rsidR="00015FAC" w:rsidRDefault="00015FAC" w:rsidP="00CD02A6">
      <w:pPr>
        <w:pStyle w:val="EndnoteText"/>
        <w:keepNext/>
        <w:keepLines/>
      </w:pPr>
      <w:r>
        <w:rPr>
          <w:rStyle w:val="EndnoteReference"/>
        </w:rPr>
        <w:endnoteRef/>
      </w:r>
      <w:r>
        <w:t xml:space="preserve"> R. Gallis, </w:t>
      </w:r>
      <w:hyperlink r:id="rId94" w:history="1">
        <w:r w:rsidRPr="009C0B6B">
          <w:rPr>
            <w:rStyle w:val="Hyperlink"/>
          </w:rPr>
          <w:t>‘Cornerstone investment by CEFC to complete Thinxtra’s first nationwide network dedicated to IoT’</w:t>
        </w:r>
      </w:hyperlink>
      <w:r>
        <w:t>, Thinxtra, 17 August 2017.</w:t>
      </w:r>
    </w:p>
  </w:endnote>
  <w:endnote w:id="115">
    <w:p w14:paraId="16E5D0F0" w14:textId="77777777" w:rsidR="00015FAC" w:rsidRDefault="00015FAC">
      <w:pPr>
        <w:pStyle w:val="EndnoteText"/>
      </w:pPr>
      <w:r>
        <w:rPr>
          <w:rStyle w:val="EndnoteReference"/>
        </w:rPr>
        <w:endnoteRef/>
      </w:r>
      <w:r>
        <w:t xml:space="preserve"> </w:t>
      </w:r>
      <w:hyperlink r:id="rId95" w:history="1">
        <w:r w:rsidRPr="00983EFC">
          <w:rPr>
            <w:rStyle w:val="Hyperlink"/>
          </w:rPr>
          <w:t>Sigfox website</w:t>
        </w:r>
      </w:hyperlink>
      <w:r>
        <w:t xml:space="preserve">, accessed 18 October 2017. </w:t>
      </w:r>
    </w:p>
  </w:endnote>
  <w:endnote w:id="116">
    <w:p w14:paraId="098D375F" w14:textId="30F669DD" w:rsidR="00015FAC" w:rsidRDefault="00015FAC">
      <w:pPr>
        <w:pStyle w:val="EndnoteText"/>
      </w:pPr>
      <w:r>
        <w:rPr>
          <w:rStyle w:val="EndnoteReference"/>
        </w:rPr>
        <w:endnoteRef/>
      </w:r>
      <w:r>
        <w:t xml:space="preserve"> Y. Redrup, </w:t>
      </w:r>
      <w:hyperlink r:id="rId96" w:history="1">
        <w:r w:rsidRPr="006C02F7">
          <w:rPr>
            <w:rStyle w:val="Hyperlink"/>
          </w:rPr>
          <w:t>‘Start-up Thinxtra is raising $20m to take on Telstra with national IoT network’</w:t>
        </w:r>
      </w:hyperlink>
      <w:r>
        <w:t xml:space="preserve">, </w:t>
      </w:r>
      <w:r w:rsidRPr="001C483E">
        <w:rPr>
          <w:i/>
        </w:rPr>
        <w:t>The</w:t>
      </w:r>
      <w:r>
        <w:t xml:space="preserve"> </w:t>
      </w:r>
      <w:r w:rsidRPr="00A7359C">
        <w:rPr>
          <w:i/>
        </w:rPr>
        <w:t>Australian Financial Review</w:t>
      </w:r>
      <w:r>
        <w:t>, 20 February 2017.</w:t>
      </w:r>
    </w:p>
  </w:endnote>
  <w:endnote w:id="117">
    <w:p w14:paraId="0991E320" w14:textId="77777777" w:rsidR="00015FAC" w:rsidRDefault="00015FAC" w:rsidP="004D33D2">
      <w:pPr>
        <w:pStyle w:val="EndnoteText"/>
      </w:pPr>
      <w:r>
        <w:rPr>
          <w:rStyle w:val="EndnoteReference"/>
        </w:rPr>
        <w:endnoteRef/>
      </w:r>
      <w:r>
        <w:t xml:space="preserve"> </w:t>
      </w:r>
      <w:hyperlink r:id="rId97" w:history="1">
        <w:r w:rsidRPr="00A479DE">
          <w:rPr>
            <w:rStyle w:val="Hyperlink"/>
          </w:rPr>
          <w:t>IoT Alliance Australia</w:t>
        </w:r>
      </w:hyperlink>
      <w:r>
        <w:t xml:space="preserve"> (IoTAA).</w:t>
      </w:r>
    </w:p>
  </w:endnote>
  <w:endnote w:id="118">
    <w:p w14:paraId="3CC2EB29" w14:textId="77777777" w:rsidR="00015FAC" w:rsidRDefault="00015FAC" w:rsidP="004D33D2">
      <w:pPr>
        <w:pStyle w:val="EndnoteText"/>
      </w:pPr>
      <w:r>
        <w:rPr>
          <w:rStyle w:val="EndnoteReference"/>
        </w:rPr>
        <w:endnoteRef/>
      </w:r>
      <w:r>
        <w:t xml:space="preserve"> N. Whigham, </w:t>
      </w:r>
      <w:hyperlink r:id="rId98" w:history="1">
        <w:r w:rsidRPr="007D2E3B">
          <w:rPr>
            <w:rStyle w:val="Hyperlink"/>
          </w:rPr>
          <w:t>‘Telstra bulks up its network, readying for futuristic applications of 5G and the Internet of Things’</w:t>
        </w:r>
      </w:hyperlink>
      <w:r>
        <w:t xml:space="preserve">, </w:t>
      </w:r>
      <w:r w:rsidRPr="00C6689D">
        <w:rPr>
          <w:i/>
        </w:rPr>
        <w:t>news.com.au</w:t>
      </w:r>
      <w:r>
        <w:t xml:space="preserve">, 3 March 2017. </w:t>
      </w:r>
    </w:p>
  </w:endnote>
  <w:endnote w:id="119">
    <w:p w14:paraId="1CC46800" w14:textId="77777777" w:rsidR="00015FAC" w:rsidRDefault="00015FAC" w:rsidP="004D33D2">
      <w:pPr>
        <w:pStyle w:val="EndnoteText"/>
      </w:pPr>
      <w:r>
        <w:rPr>
          <w:rStyle w:val="EndnoteReference"/>
        </w:rPr>
        <w:endnoteRef/>
      </w:r>
      <w:r>
        <w:t xml:space="preserve"> ACMA, </w:t>
      </w:r>
      <w:hyperlink r:id="rId99" w:history="1">
        <w:r w:rsidRPr="00852C7A">
          <w:rPr>
            <w:rStyle w:val="Hyperlink"/>
          </w:rPr>
          <w:t>‘Acting Chairman’s speech to Unwired Revolution’</w:t>
        </w:r>
      </w:hyperlink>
      <w:r>
        <w:t xml:space="preserve">, 20 July 2017. </w:t>
      </w:r>
    </w:p>
  </w:endnote>
  <w:endnote w:id="120">
    <w:p w14:paraId="35D69541" w14:textId="77777777" w:rsidR="00015FAC" w:rsidRDefault="00015FAC" w:rsidP="004D33D2">
      <w:pPr>
        <w:pStyle w:val="EndnoteText"/>
      </w:pPr>
      <w:r>
        <w:rPr>
          <w:rStyle w:val="EndnoteReference"/>
        </w:rPr>
        <w:endnoteRef/>
      </w:r>
      <w:r>
        <w:t xml:space="preserve"> Telstra, </w:t>
      </w:r>
      <w:hyperlink r:id="rId100" w:history="1">
        <w:r w:rsidRPr="00575541">
          <w:rPr>
            <w:rStyle w:val="Hyperlink"/>
            <w:i/>
          </w:rPr>
          <w:t>Financial results for the year ended 30 June 2017</w:t>
        </w:r>
      </w:hyperlink>
      <w:r w:rsidRPr="009C2A8D">
        <w:t>,</w:t>
      </w:r>
      <w:r>
        <w:t xml:space="preserve"> 17 August 2017.</w:t>
      </w:r>
    </w:p>
  </w:endnote>
  <w:endnote w:id="121">
    <w:p w14:paraId="04289C82" w14:textId="77777777" w:rsidR="00015FAC" w:rsidRDefault="00015FAC" w:rsidP="004D33D2">
      <w:pPr>
        <w:pStyle w:val="EndnoteText"/>
      </w:pPr>
      <w:r>
        <w:rPr>
          <w:rStyle w:val="EndnoteReference"/>
        </w:rPr>
        <w:endnoteRef/>
      </w:r>
      <w:r>
        <w:t xml:space="preserve"> Singtel, ‘</w:t>
      </w:r>
      <w:hyperlink r:id="rId101" w:history="1">
        <w:r w:rsidRPr="002A27D9">
          <w:rPr>
            <w:rStyle w:val="Hyperlink"/>
          </w:rPr>
          <w:t>Management discussion and analysis of financial condition, results of operations and cash flows for the fourth quarter and year ended 31 March 2017’</w:t>
        </w:r>
      </w:hyperlink>
      <w:r>
        <w:t>, accessed 11 July 2017.</w:t>
      </w:r>
    </w:p>
  </w:endnote>
  <w:endnote w:id="122">
    <w:p w14:paraId="2508DC0E" w14:textId="77777777" w:rsidR="00015FAC" w:rsidRDefault="00015FAC" w:rsidP="004D33D2">
      <w:pPr>
        <w:pStyle w:val="EndnoteText"/>
      </w:pPr>
      <w:r>
        <w:rPr>
          <w:rStyle w:val="EndnoteReference"/>
        </w:rPr>
        <w:endnoteRef/>
      </w:r>
      <w:r>
        <w:t xml:space="preserve"> Optus, </w:t>
      </w:r>
      <w:hyperlink r:id="rId102" w:history="1">
        <w:r w:rsidRPr="00FF494C">
          <w:rPr>
            <w:rStyle w:val="Hyperlink"/>
          </w:rPr>
          <w:t>‘Optus and Nokia sign MOU to collaborate on 5G’</w:t>
        </w:r>
      </w:hyperlink>
      <w:r>
        <w:t xml:space="preserve">, 6 October 2016. </w:t>
      </w:r>
    </w:p>
  </w:endnote>
  <w:endnote w:id="123">
    <w:p w14:paraId="5FEEBABC" w14:textId="77777777" w:rsidR="00015FAC" w:rsidRDefault="00015FAC" w:rsidP="004D33D2">
      <w:pPr>
        <w:pStyle w:val="EndnoteText"/>
      </w:pPr>
      <w:r>
        <w:rPr>
          <w:rStyle w:val="EndnoteReference"/>
        </w:rPr>
        <w:endnoteRef/>
      </w:r>
      <w:r>
        <w:t xml:space="preserve"> Optus, </w:t>
      </w:r>
      <w:hyperlink r:id="rId103" w:history="1">
        <w:r w:rsidRPr="00867F7E">
          <w:rPr>
            <w:rStyle w:val="Hyperlink"/>
          </w:rPr>
          <w:t>‘Optus laying the foundation for 5G’</w:t>
        </w:r>
      </w:hyperlink>
      <w:r>
        <w:t xml:space="preserve">, 22 February 2017. </w:t>
      </w:r>
    </w:p>
  </w:endnote>
  <w:endnote w:id="124">
    <w:p w14:paraId="647E9A3B" w14:textId="77777777" w:rsidR="00015FAC" w:rsidRDefault="00015FAC" w:rsidP="004D33D2">
      <w:pPr>
        <w:pStyle w:val="EndnoteText"/>
      </w:pPr>
      <w:r>
        <w:rPr>
          <w:rStyle w:val="EndnoteReference"/>
        </w:rPr>
        <w:endnoteRef/>
      </w:r>
      <w:r>
        <w:t xml:space="preserve"> Hutchison Telecoms, </w:t>
      </w:r>
      <w:hyperlink r:id="rId104" w:history="1">
        <w:r w:rsidRPr="00841506">
          <w:rPr>
            <w:rStyle w:val="Hyperlink"/>
            <w:i/>
          </w:rPr>
          <w:t>2016 Annual Repor</w:t>
        </w:r>
      </w:hyperlink>
      <w:r w:rsidRPr="00841506">
        <w:rPr>
          <w:rStyle w:val="Hyperlink"/>
          <w:i/>
        </w:rPr>
        <w:t>t</w:t>
      </w:r>
      <w:r>
        <w:t>, 23 March 2017.</w:t>
      </w:r>
    </w:p>
  </w:endnote>
  <w:endnote w:id="125">
    <w:p w14:paraId="67EFC4C3" w14:textId="77777777" w:rsidR="00015FAC" w:rsidRPr="00386A7E" w:rsidRDefault="00015FAC" w:rsidP="004D33D2">
      <w:pPr>
        <w:pStyle w:val="EndnoteText"/>
      </w:pPr>
      <w:r>
        <w:rPr>
          <w:rStyle w:val="EndnoteReference"/>
        </w:rPr>
        <w:endnoteRef/>
      </w:r>
      <w:r>
        <w:t xml:space="preserve"> Hutchison Telecoms, ‘</w:t>
      </w:r>
      <w:hyperlink r:id="rId105" w:history="1">
        <w:r w:rsidRPr="005B1638">
          <w:rPr>
            <w:rStyle w:val="Hyperlink"/>
          </w:rPr>
          <w:t>Hutchison Telecommunications (Australia) Limited ASX Half Year Information 30 June 2017’</w:t>
        </w:r>
      </w:hyperlink>
      <w:r>
        <w:t>, 1 </w:t>
      </w:r>
      <w:r w:rsidRPr="00386A7E">
        <w:t>August 2017.</w:t>
      </w:r>
    </w:p>
  </w:endnote>
  <w:endnote w:id="126">
    <w:p w14:paraId="745C6C4A" w14:textId="4757BB12" w:rsidR="00015FAC" w:rsidRPr="00386A7E" w:rsidRDefault="00015FAC" w:rsidP="004D33D2">
      <w:pPr>
        <w:pStyle w:val="EndnoteText"/>
      </w:pPr>
      <w:r w:rsidRPr="00386A7E">
        <w:rPr>
          <w:rStyle w:val="EndnoteReference"/>
        </w:rPr>
        <w:endnoteRef/>
      </w:r>
      <w:r w:rsidRPr="00386A7E">
        <w:t xml:space="preserve"> P. </w:t>
      </w:r>
      <w:r>
        <w:t>Dinham</w:t>
      </w:r>
      <w:r w:rsidRPr="00386A7E">
        <w:t xml:space="preserve">, </w:t>
      </w:r>
      <w:hyperlink r:id="rId106" w:history="1">
        <w:r w:rsidRPr="00386A7E">
          <w:rPr>
            <w:rStyle w:val="Hyperlink"/>
          </w:rPr>
          <w:t>‘Telcos willing to pay more for 5G: Gartner’</w:t>
        </w:r>
      </w:hyperlink>
      <w:r w:rsidRPr="00386A7E">
        <w:t xml:space="preserve">, </w:t>
      </w:r>
      <w:r w:rsidRPr="00386A7E">
        <w:rPr>
          <w:i/>
        </w:rPr>
        <w:t>ITWire,</w:t>
      </w:r>
      <w:r w:rsidRPr="00386A7E">
        <w:t xml:space="preserve"> 10 August 2017.</w:t>
      </w:r>
    </w:p>
  </w:endnote>
  <w:endnote w:id="127">
    <w:p w14:paraId="18B351F7" w14:textId="77777777" w:rsidR="00015FAC" w:rsidRPr="00386A7E" w:rsidRDefault="00015FAC" w:rsidP="004D33D2">
      <w:pPr>
        <w:pStyle w:val="EndnoteText"/>
      </w:pPr>
      <w:r w:rsidRPr="00386A7E">
        <w:rPr>
          <w:rStyle w:val="EndnoteReference"/>
        </w:rPr>
        <w:endnoteRef/>
      </w:r>
      <w:r w:rsidRPr="00386A7E">
        <w:t xml:space="preserve"> M. Wright, </w:t>
      </w:r>
      <w:hyperlink r:id="rId107" w:history="1">
        <w:r w:rsidRPr="00386A7E">
          <w:rPr>
            <w:rStyle w:val="Hyperlink"/>
          </w:rPr>
          <w:t>‘Leading the way to provide brilliant voice and video calling experiences’</w:t>
        </w:r>
      </w:hyperlink>
      <w:r w:rsidRPr="00386A7E">
        <w:t xml:space="preserve">, </w:t>
      </w:r>
      <w:r w:rsidRPr="00386A7E">
        <w:rPr>
          <w:i/>
        </w:rPr>
        <w:t xml:space="preserve">Telstra Exchange, </w:t>
      </w:r>
      <w:r w:rsidRPr="00386A7E">
        <w:t xml:space="preserve">9 December 2016. </w:t>
      </w:r>
    </w:p>
  </w:endnote>
  <w:endnote w:id="128">
    <w:p w14:paraId="325C269B" w14:textId="77777777" w:rsidR="00015FAC" w:rsidRPr="00386A7E" w:rsidRDefault="00015FAC" w:rsidP="004D33D2">
      <w:pPr>
        <w:pStyle w:val="EndnoteText"/>
      </w:pPr>
      <w:r w:rsidRPr="00386A7E">
        <w:rPr>
          <w:rStyle w:val="EndnoteReference"/>
        </w:rPr>
        <w:endnoteRef/>
      </w:r>
      <w:r w:rsidRPr="00386A7E">
        <w:t xml:space="preserve"> Telstra, </w:t>
      </w:r>
      <w:hyperlink r:id="rId108" w:history="1">
        <w:r w:rsidRPr="00386A7E">
          <w:rPr>
            <w:rStyle w:val="Hyperlink"/>
          </w:rPr>
          <w:t>‘Telstra coverage and networks – mobile technology’</w:t>
        </w:r>
      </w:hyperlink>
      <w:r w:rsidRPr="00386A7E">
        <w:t>, accessed 25 July 2017.</w:t>
      </w:r>
    </w:p>
  </w:endnote>
  <w:endnote w:id="129">
    <w:p w14:paraId="1441D2CA" w14:textId="77777777" w:rsidR="00015FAC" w:rsidRPr="00386A7E" w:rsidRDefault="00015FAC" w:rsidP="004D33D2">
      <w:pPr>
        <w:pStyle w:val="EndnoteText"/>
      </w:pPr>
      <w:r w:rsidRPr="00386A7E">
        <w:rPr>
          <w:rStyle w:val="EndnoteReference"/>
        </w:rPr>
        <w:endnoteRef/>
      </w:r>
      <w:r w:rsidRPr="00386A7E">
        <w:t xml:space="preserve"> A. Sadauskas, </w:t>
      </w:r>
      <w:hyperlink r:id="rId109" w:history="1">
        <w:r w:rsidRPr="00386A7E">
          <w:rPr>
            <w:rStyle w:val="Hyperlink"/>
          </w:rPr>
          <w:t>‘Optus pushes ahead with voice over wi-fi’</w:t>
        </w:r>
      </w:hyperlink>
      <w:r w:rsidRPr="00386A7E">
        <w:t xml:space="preserve">, </w:t>
      </w:r>
      <w:r w:rsidRPr="00386A7E">
        <w:rPr>
          <w:i/>
        </w:rPr>
        <w:t>iTnews</w:t>
      </w:r>
      <w:r w:rsidRPr="00386A7E">
        <w:t xml:space="preserve">, 27 January 2017. </w:t>
      </w:r>
    </w:p>
  </w:endnote>
  <w:endnote w:id="130">
    <w:p w14:paraId="3C4057FD" w14:textId="77777777" w:rsidR="00015FAC" w:rsidRPr="00386A7E" w:rsidRDefault="00015FAC" w:rsidP="004D33D2">
      <w:pPr>
        <w:pStyle w:val="EndnoteText"/>
      </w:pPr>
      <w:r w:rsidRPr="00386A7E">
        <w:rPr>
          <w:rStyle w:val="EndnoteReference"/>
        </w:rPr>
        <w:endnoteRef/>
      </w:r>
      <w:r w:rsidRPr="00386A7E">
        <w:t xml:space="preserve"> Hutchison Telecoms, ‘</w:t>
      </w:r>
      <w:hyperlink r:id="rId110" w:history="1">
        <w:r w:rsidRPr="00386A7E">
          <w:rPr>
            <w:rStyle w:val="Hyperlink"/>
          </w:rPr>
          <w:t>Hutchison Telecommunications (Australia) Limited ASX Half Year Information 30 June 2017’</w:t>
        </w:r>
      </w:hyperlink>
      <w:r w:rsidRPr="00386A7E">
        <w:t>, 1 August 2017.</w:t>
      </w:r>
    </w:p>
  </w:endnote>
  <w:endnote w:id="131">
    <w:p w14:paraId="0B7C5F21" w14:textId="77777777" w:rsidR="00015FAC" w:rsidRDefault="00015FAC" w:rsidP="004D33D2">
      <w:pPr>
        <w:pStyle w:val="EndnoteText"/>
      </w:pPr>
      <w:r w:rsidRPr="00386A7E">
        <w:rPr>
          <w:rStyle w:val="EndnoteReference"/>
        </w:rPr>
        <w:endnoteRef/>
      </w:r>
      <w:r w:rsidRPr="00386A7E">
        <w:t xml:space="preserve"> C. Simpson, </w:t>
      </w:r>
      <w:hyperlink r:id="rId111" w:history="1">
        <w:r w:rsidRPr="00386A7E">
          <w:rPr>
            <w:rStyle w:val="Hyperlink"/>
          </w:rPr>
          <w:t>‘Telstra will switch on LTE-Broadcast in Australia next year’</w:t>
        </w:r>
      </w:hyperlink>
      <w:r>
        <w:t xml:space="preserve">, </w:t>
      </w:r>
      <w:r w:rsidRPr="00C6689D">
        <w:rPr>
          <w:i/>
        </w:rPr>
        <w:t>Gizmodo Australia,</w:t>
      </w:r>
      <w:r>
        <w:t xml:space="preserve"> 28 February 2017. </w:t>
      </w:r>
    </w:p>
  </w:endnote>
  <w:endnote w:id="132">
    <w:p w14:paraId="3D5A1CC7" w14:textId="77777777" w:rsidR="00015FAC" w:rsidRDefault="00015FAC" w:rsidP="004D33D2">
      <w:pPr>
        <w:pStyle w:val="EndnoteText"/>
      </w:pPr>
      <w:r>
        <w:rPr>
          <w:rStyle w:val="EndnoteReference"/>
        </w:rPr>
        <w:endnoteRef/>
      </w:r>
      <w:r>
        <w:t xml:space="preserve"> TPG announced it is to build its own mobile network following its purchase of 4G spectrum</w:t>
      </w:r>
      <w:r w:rsidRPr="00D27F5F">
        <w:t xml:space="preserve"> </w:t>
      </w:r>
      <w:r>
        <w:t>in April 2017.</w:t>
      </w:r>
    </w:p>
  </w:endnote>
  <w:endnote w:id="133">
    <w:p w14:paraId="450EC314" w14:textId="77777777" w:rsidR="00015FAC" w:rsidRDefault="00015FAC" w:rsidP="004D33D2">
      <w:pPr>
        <w:pStyle w:val="EndnoteText"/>
      </w:pPr>
      <w:r>
        <w:rPr>
          <w:rStyle w:val="EndnoteReference"/>
        </w:rPr>
        <w:endnoteRef/>
      </w:r>
      <w:r>
        <w:t xml:space="preserve"> </w:t>
      </w:r>
      <w:r w:rsidRPr="003A3932">
        <w:t xml:space="preserve">Enquiries to the ACMA may include requests for information about a site or carrier obligations under the industry code. Objections contain allegation(s) of an industry code breach and, as a result of an objection, the ACMA may undertake a Preliminary Assessment to determine whether a formal investigation under Part 26 of the </w:t>
      </w:r>
      <w:r w:rsidRPr="002B79B3">
        <w:rPr>
          <w:i/>
        </w:rPr>
        <w:t>Telecommunications Act 1997</w:t>
      </w:r>
      <w:r w:rsidRPr="003A3932">
        <w:t xml:space="preserve"> is required.</w:t>
      </w:r>
    </w:p>
  </w:endnote>
  <w:endnote w:id="134">
    <w:p w14:paraId="625EA65D" w14:textId="77777777" w:rsidR="00015FAC" w:rsidRDefault="00015FAC">
      <w:pPr>
        <w:pStyle w:val="EndnoteText"/>
      </w:pPr>
      <w:r>
        <w:rPr>
          <w:rStyle w:val="EndnoteReference"/>
        </w:rPr>
        <w:endnoteRef/>
      </w:r>
      <w:r>
        <w:t xml:space="preserve"> One objection was referred in 2015–16 and finalised in 2016–17.</w:t>
      </w:r>
    </w:p>
  </w:endnote>
  <w:endnote w:id="135">
    <w:p w14:paraId="64211E4A" w14:textId="77777777" w:rsidR="00015FAC" w:rsidRPr="00B76B99" w:rsidRDefault="00015FAC">
      <w:pPr>
        <w:pStyle w:val="EndnoteText"/>
        <w:rPr>
          <w:i/>
        </w:rPr>
      </w:pPr>
      <w:r>
        <w:rPr>
          <w:rStyle w:val="EndnoteReference"/>
        </w:rPr>
        <w:endnoteRef/>
      </w:r>
      <w:r>
        <w:t xml:space="preserve"> See </w:t>
      </w:r>
      <w:hyperlink r:id="rId112" w:history="1">
        <w:r w:rsidRPr="00F2524A">
          <w:rPr>
            <w:rStyle w:val="Hyperlink"/>
          </w:rPr>
          <w:t>Radiocommunications Regulations 1993</w:t>
        </w:r>
      </w:hyperlink>
      <w:r>
        <w:rPr>
          <w:i/>
        </w:rPr>
        <w:t>.</w:t>
      </w:r>
    </w:p>
  </w:endnote>
  <w:endnote w:id="136">
    <w:p w14:paraId="6593FB49" w14:textId="77777777" w:rsidR="00015FAC" w:rsidRPr="000317E5" w:rsidRDefault="00015FAC" w:rsidP="00A70A6C">
      <w:pPr>
        <w:pStyle w:val="EndnoteText"/>
        <w:rPr>
          <w:rFonts w:cs="Arial"/>
          <w:szCs w:val="16"/>
        </w:rPr>
      </w:pPr>
      <w:r w:rsidRPr="002C3191">
        <w:rPr>
          <w:rStyle w:val="EndnoteReference"/>
        </w:rPr>
        <w:endnoteRef/>
      </w:r>
      <w:r w:rsidRPr="000317E5">
        <w:rPr>
          <w:rFonts w:cs="Arial"/>
          <w:szCs w:val="16"/>
        </w:rPr>
        <w:t xml:space="preserve"> A nominated carrier declaration permits the owner(s) of one or more network units to nominate a carrier to supply carriage services over those units to the public, subject to the carrier satisfying the ACMA that it would be in a position to comply with carrier-related obligations </w:t>
      </w:r>
      <w:r>
        <w:rPr>
          <w:rFonts w:cs="Arial"/>
          <w:szCs w:val="16"/>
        </w:rPr>
        <w:t>for</w:t>
      </w:r>
      <w:r w:rsidRPr="000317E5">
        <w:rPr>
          <w:rFonts w:cs="Arial"/>
          <w:szCs w:val="16"/>
        </w:rPr>
        <w:t xml:space="preserve"> those network units.</w:t>
      </w:r>
    </w:p>
  </w:endnote>
  <w:endnote w:id="137">
    <w:p w14:paraId="791C09C4" w14:textId="77777777" w:rsidR="00015FAC" w:rsidRPr="000317E5" w:rsidRDefault="00015FAC" w:rsidP="00A70A6C">
      <w:pPr>
        <w:pStyle w:val="EndnoteText"/>
        <w:rPr>
          <w:rFonts w:cs="Arial"/>
          <w:szCs w:val="16"/>
        </w:rPr>
      </w:pPr>
      <w:r w:rsidRPr="002C3191">
        <w:rPr>
          <w:rStyle w:val="EndnoteReference"/>
        </w:rPr>
        <w:endnoteRef/>
      </w:r>
      <w:r w:rsidRPr="000317E5">
        <w:rPr>
          <w:rFonts w:cs="Arial"/>
          <w:szCs w:val="16"/>
        </w:rPr>
        <w:t xml:space="preserve"> A trial certificate permits the owner of one or more network units to trial new network units and services without the need for a carrier licence. A trial certificate may be issued for a period up to six months.</w:t>
      </w:r>
    </w:p>
  </w:endnote>
  <w:endnote w:id="138">
    <w:p w14:paraId="43AF93C5" w14:textId="5E66746E" w:rsidR="00015FAC" w:rsidRDefault="00015FAC">
      <w:pPr>
        <w:pStyle w:val="EndnoteText"/>
      </w:pPr>
      <w:r>
        <w:rPr>
          <w:rStyle w:val="EndnoteReference"/>
        </w:rPr>
        <w:endnoteRef/>
      </w:r>
      <w:r>
        <w:t xml:space="preserve"> See </w:t>
      </w:r>
      <w:hyperlink r:id="rId113" w:history="1">
        <w:r w:rsidRPr="00756EE3">
          <w:rPr>
            <w:rStyle w:val="Hyperlink"/>
          </w:rPr>
          <w:t>www.acma.gov.au/theACMA/changes-to-media-control-and-diversity-rules</w:t>
        </w:r>
      </w:hyperlink>
      <w:r w:rsidRPr="00CC0BFA">
        <w:rPr>
          <w:rFonts w:cs="Arial"/>
          <w:szCs w:val="16"/>
        </w:rPr>
        <w:t>.</w:t>
      </w:r>
    </w:p>
  </w:endnote>
  <w:endnote w:id="139">
    <w:p w14:paraId="41C4D83D" w14:textId="77777777" w:rsidR="00015FAC" w:rsidRPr="000317E5" w:rsidRDefault="00015FAC" w:rsidP="00F85983">
      <w:pPr>
        <w:pStyle w:val="EndnoteText"/>
        <w:rPr>
          <w:rFonts w:cs="Arial"/>
          <w:szCs w:val="16"/>
        </w:rPr>
      </w:pPr>
      <w:r w:rsidRPr="002C3191">
        <w:rPr>
          <w:rStyle w:val="EndnoteReference"/>
        </w:rPr>
        <w:endnoteRef/>
      </w:r>
      <w:r w:rsidRPr="000317E5">
        <w:rPr>
          <w:rFonts w:cs="Arial"/>
          <w:szCs w:val="16"/>
        </w:rPr>
        <w:t xml:space="preserve"> Imparja Television Pty Ltd and Southern Cross jointly control digital-only television licences, one in each of the remote central and eastern Australian television licence areas and the Mt Isa television licence area.</w:t>
      </w:r>
    </w:p>
  </w:endnote>
  <w:endnote w:id="140">
    <w:p w14:paraId="37A876AD" w14:textId="77777777" w:rsidR="00015FAC" w:rsidRDefault="00015FAC">
      <w:pPr>
        <w:pStyle w:val="EndnoteText"/>
      </w:pPr>
      <w:r>
        <w:rPr>
          <w:rStyle w:val="EndnoteReference"/>
        </w:rPr>
        <w:endnoteRef/>
      </w:r>
      <w:r>
        <w:t xml:space="preserve"> On 23 October 2017, the ASX announced the Deed of Company Arrangement was entered into by Ten Network Holdings Ltd (Ten) and CBS International Television Australia Pty Ltd (CBS), and provides for the transfer of the shares in Ten to CBS or its nominee. </w:t>
      </w:r>
    </w:p>
  </w:endnote>
  <w:endnote w:id="141">
    <w:p w14:paraId="54DD8E82" w14:textId="4F7BE0A8" w:rsidR="00015FAC" w:rsidRDefault="00015FAC">
      <w:pPr>
        <w:pStyle w:val="EndnoteText"/>
      </w:pPr>
      <w:r>
        <w:rPr>
          <w:rStyle w:val="EndnoteReference"/>
        </w:rPr>
        <w:endnoteRef/>
      </w:r>
      <w:r w:rsidRPr="007E67A9">
        <w:rPr>
          <w:rStyle w:val="EndnoteReference"/>
        </w:rPr>
        <w:t xml:space="preserve"> </w:t>
      </w:r>
      <w:r>
        <w:t xml:space="preserve">Senator the Hon. Mitchell Fifield, </w:t>
      </w:r>
      <w:hyperlink r:id="rId114" w:history="1">
        <w:r w:rsidRPr="007E67A9">
          <w:rPr>
            <w:rStyle w:val="Hyperlink"/>
            <w:rFonts w:cs="Arial"/>
            <w:szCs w:val="16"/>
          </w:rPr>
          <w:t>Turnbull Government working with Senate crossbench to secure passage of vital Media Reforms</w:t>
        </w:r>
      </w:hyperlink>
      <w:r>
        <w:rPr>
          <w:rFonts w:cs="Arial"/>
          <w:szCs w:val="16"/>
        </w:rPr>
        <w:t>, 17 August 2017.</w:t>
      </w:r>
      <w:r>
        <w:t xml:space="preserve"> </w:t>
      </w:r>
    </w:p>
  </w:endnote>
  <w:endnote w:id="142">
    <w:p w14:paraId="52B0EBE4" w14:textId="77777777" w:rsidR="00015FAC" w:rsidRDefault="00015FAC" w:rsidP="005747A1">
      <w:pPr>
        <w:pStyle w:val="EndnoteText"/>
      </w:pPr>
      <w:r>
        <w:rPr>
          <w:rStyle w:val="EndnoteReference"/>
        </w:rPr>
        <w:endnoteRef/>
      </w:r>
      <w:r>
        <w:t xml:space="preserve"> </w:t>
      </w:r>
      <w:r w:rsidRPr="009028E4">
        <w:rPr>
          <w:rFonts w:cs="Arial"/>
        </w:rPr>
        <w:t xml:space="preserve">Commercial Economic Advisory Service of Australia (CEASA), </w:t>
      </w:r>
      <w:r w:rsidRPr="00FA7DD4">
        <w:rPr>
          <w:rFonts w:cs="Arial"/>
          <w:i/>
        </w:rPr>
        <w:t>Advertising expenditure in main medi</w:t>
      </w:r>
      <w:r>
        <w:rPr>
          <w:rFonts w:cs="Arial"/>
          <w:i/>
        </w:rPr>
        <w:t>a: Year ended 31st December 2016</w:t>
      </w:r>
      <w:r>
        <w:rPr>
          <w:rFonts w:cs="Arial"/>
        </w:rPr>
        <w:t xml:space="preserve">, April 2017. </w:t>
      </w:r>
    </w:p>
  </w:endnote>
  <w:endnote w:id="143">
    <w:p w14:paraId="68565B6C" w14:textId="77777777" w:rsidR="00015FAC" w:rsidRDefault="00015FAC" w:rsidP="00A54053">
      <w:pPr>
        <w:spacing w:after="80"/>
        <w:rPr>
          <w:b/>
        </w:rPr>
      </w:pPr>
      <w:r w:rsidRPr="001B5D0B">
        <w:rPr>
          <w:b/>
        </w:rPr>
        <w:t>Endnotes</w:t>
      </w:r>
    </w:p>
    <w:p w14:paraId="53FE3705" w14:textId="77777777" w:rsidR="00015FAC" w:rsidRDefault="00015FAC" w:rsidP="00A54053">
      <w:pPr>
        <w:pStyle w:val="EndnoteText"/>
      </w:pPr>
      <w:r>
        <w:rPr>
          <w:rStyle w:val="EndnoteReference"/>
        </w:rPr>
        <w:endnoteRef/>
      </w:r>
      <w:r>
        <w:t xml:space="preserve"> </w:t>
      </w:r>
      <w:r w:rsidRPr="006177DE">
        <w:rPr>
          <w:rFonts w:cs="Arial"/>
          <w:szCs w:val="16"/>
        </w:rPr>
        <w:t xml:space="preserve">ACMA-commissioned survey, </w:t>
      </w:r>
      <w:r>
        <w:rPr>
          <w:rFonts w:cs="Arial"/>
          <w:szCs w:val="16"/>
        </w:rPr>
        <w:t>June</w:t>
      </w:r>
      <w:r w:rsidRPr="006177DE">
        <w:rPr>
          <w:rFonts w:cs="Arial"/>
          <w:szCs w:val="16"/>
        </w:rPr>
        <w:t xml:space="preserve"> 2017</w:t>
      </w:r>
      <w:r>
        <w:rPr>
          <w:rFonts w:cs="Arial"/>
          <w:szCs w:val="16"/>
        </w:rPr>
        <w:t>.</w:t>
      </w:r>
    </w:p>
  </w:endnote>
  <w:endnote w:id="144">
    <w:p w14:paraId="5A918D29" w14:textId="77777777" w:rsidR="00015FAC" w:rsidRDefault="00015FAC" w:rsidP="00A54053">
      <w:pPr>
        <w:pStyle w:val="EndnoteText"/>
      </w:pPr>
      <w:r>
        <w:rPr>
          <w:rStyle w:val="EndnoteReference"/>
        </w:rPr>
        <w:endnoteRef/>
      </w:r>
      <w:r>
        <w:t xml:space="preserve"> </w:t>
      </w:r>
      <w:r>
        <w:rPr>
          <w:rFonts w:cs="Arial"/>
          <w:szCs w:val="16"/>
        </w:rPr>
        <w:t>ibid</w:t>
      </w:r>
      <w:r w:rsidRPr="006177DE">
        <w:rPr>
          <w:rFonts w:cs="Arial"/>
          <w:szCs w:val="16"/>
        </w:rPr>
        <w:t>.</w:t>
      </w:r>
    </w:p>
  </w:endnote>
  <w:endnote w:id="145">
    <w:p w14:paraId="1CE14FA3" w14:textId="77777777" w:rsidR="00015FAC" w:rsidRPr="006177DE" w:rsidRDefault="00015FAC" w:rsidP="00A54053">
      <w:pPr>
        <w:pStyle w:val="EndnoteText"/>
        <w:rPr>
          <w:rFonts w:cs="Arial"/>
          <w:szCs w:val="16"/>
        </w:rPr>
      </w:pPr>
      <w:r w:rsidRPr="006177DE">
        <w:rPr>
          <w:rStyle w:val="EndnoteReference"/>
          <w:rFonts w:cs="Arial"/>
          <w:szCs w:val="16"/>
        </w:rPr>
        <w:endnoteRef/>
      </w:r>
      <w:r w:rsidRPr="006177DE">
        <w:rPr>
          <w:rFonts w:cs="Arial"/>
          <w:szCs w:val="16"/>
        </w:rPr>
        <w:t xml:space="preserve"> </w:t>
      </w:r>
      <w:r>
        <w:rPr>
          <w:rFonts w:cs="Arial"/>
          <w:szCs w:val="16"/>
        </w:rPr>
        <w:t>ibid</w:t>
      </w:r>
      <w:r w:rsidRPr="006177DE">
        <w:rPr>
          <w:rFonts w:cs="Arial"/>
          <w:szCs w:val="16"/>
        </w:rPr>
        <w:t>.</w:t>
      </w:r>
    </w:p>
  </w:endnote>
  <w:endnote w:id="146">
    <w:p w14:paraId="0AB8EFB8" w14:textId="77777777" w:rsidR="00015FAC" w:rsidRPr="006177DE" w:rsidRDefault="00015FAC" w:rsidP="00D67323">
      <w:pPr>
        <w:pStyle w:val="EndnoteText"/>
        <w:rPr>
          <w:rFonts w:cs="Arial"/>
          <w:szCs w:val="16"/>
        </w:rPr>
      </w:pPr>
      <w:r w:rsidRPr="006177DE">
        <w:rPr>
          <w:rStyle w:val="EndnoteReference"/>
          <w:rFonts w:cs="Arial"/>
          <w:szCs w:val="16"/>
        </w:rPr>
        <w:endnoteRef/>
      </w:r>
      <w:r w:rsidRPr="006177DE">
        <w:rPr>
          <w:rFonts w:cs="Arial"/>
          <w:szCs w:val="16"/>
        </w:rPr>
        <w:t xml:space="preserve"> ACMA-commissioned survey, </w:t>
      </w:r>
      <w:r>
        <w:rPr>
          <w:rFonts w:cs="Arial"/>
          <w:szCs w:val="16"/>
        </w:rPr>
        <w:t>June</w:t>
      </w:r>
      <w:r w:rsidRPr="006177DE">
        <w:rPr>
          <w:rFonts w:cs="Arial"/>
          <w:szCs w:val="16"/>
        </w:rPr>
        <w:t xml:space="preserve"> </w:t>
      </w:r>
      <w:r>
        <w:rPr>
          <w:rFonts w:cs="Arial"/>
          <w:szCs w:val="16"/>
        </w:rPr>
        <w:t xml:space="preserve">2016 and </w:t>
      </w:r>
      <w:r w:rsidRPr="006177DE">
        <w:rPr>
          <w:rFonts w:cs="Arial"/>
          <w:szCs w:val="16"/>
        </w:rPr>
        <w:t>2017.</w:t>
      </w:r>
    </w:p>
  </w:endnote>
  <w:endnote w:id="147">
    <w:p w14:paraId="73D10E9A" w14:textId="77777777" w:rsidR="00015FAC" w:rsidRDefault="00015FAC">
      <w:pPr>
        <w:pStyle w:val="EndnoteText"/>
      </w:pPr>
      <w:r>
        <w:rPr>
          <w:rStyle w:val="EndnoteReference"/>
        </w:rPr>
        <w:endnoteRef/>
      </w:r>
      <w:r>
        <w:t xml:space="preserve"> Wireless broadband subscribers include an estimated 116,000 satellite internet subscribers, based on ABS figures.</w:t>
      </w:r>
    </w:p>
  </w:endnote>
  <w:endnote w:id="148">
    <w:p w14:paraId="362A22F5" w14:textId="77777777" w:rsidR="00015FAC" w:rsidRPr="006177DE" w:rsidRDefault="00015FAC" w:rsidP="00D67323">
      <w:pPr>
        <w:pStyle w:val="EndnoteText"/>
        <w:rPr>
          <w:rFonts w:cs="Arial"/>
          <w:szCs w:val="16"/>
        </w:rPr>
      </w:pPr>
      <w:r w:rsidRPr="006177DE">
        <w:rPr>
          <w:rStyle w:val="EndnoteReference"/>
          <w:rFonts w:cs="Arial"/>
          <w:szCs w:val="16"/>
        </w:rPr>
        <w:endnoteRef/>
      </w:r>
      <w:r w:rsidRPr="006177DE">
        <w:rPr>
          <w:rFonts w:cs="Arial"/>
          <w:szCs w:val="16"/>
        </w:rPr>
        <w:t xml:space="preserve"> ACMA-commissioned survey, </w:t>
      </w:r>
      <w:r>
        <w:rPr>
          <w:rFonts w:cs="Arial"/>
          <w:szCs w:val="16"/>
        </w:rPr>
        <w:t>June</w:t>
      </w:r>
      <w:r w:rsidRPr="006177DE">
        <w:rPr>
          <w:rFonts w:cs="Arial"/>
          <w:szCs w:val="16"/>
        </w:rPr>
        <w:t xml:space="preserve"> 2017.</w:t>
      </w:r>
    </w:p>
  </w:endnote>
  <w:endnote w:id="149">
    <w:p w14:paraId="098BD1F8" w14:textId="77777777" w:rsidR="00015FAC" w:rsidRDefault="00015FAC" w:rsidP="00EB1D5F">
      <w:pPr>
        <w:pStyle w:val="EndnoteText"/>
      </w:pPr>
      <w:r w:rsidRPr="006177DE">
        <w:rPr>
          <w:rStyle w:val="EndnoteReference"/>
        </w:rPr>
        <w:endnoteRef/>
      </w:r>
      <w:r w:rsidRPr="006177DE">
        <w:t xml:space="preserve"> </w:t>
      </w:r>
      <w:r>
        <w:t>i</w:t>
      </w:r>
      <w:r w:rsidRPr="006177DE">
        <w:t>bid</w:t>
      </w:r>
      <w:r>
        <w:t>.</w:t>
      </w:r>
    </w:p>
  </w:endnote>
  <w:endnote w:id="150">
    <w:p w14:paraId="5402DD13" w14:textId="77777777" w:rsidR="00015FAC" w:rsidRDefault="00015FAC" w:rsidP="00EB1D5F">
      <w:pPr>
        <w:pStyle w:val="EndnoteText"/>
      </w:pPr>
      <w:r>
        <w:rPr>
          <w:rStyle w:val="EndnoteReference"/>
        </w:rPr>
        <w:endnoteRef/>
      </w:r>
      <w:r>
        <w:t xml:space="preserve"> ibid.</w:t>
      </w:r>
    </w:p>
  </w:endnote>
  <w:endnote w:id="151">
    <w:p w14:paraId="0CE814C5" w14:textId="77777777" w:rsidR="00015FAC" w:rsidRDefault="00015FAC" w:rsidP="00EB1D5F">
      <w:pPr>
        <w:pStyle w:val="EndnoteText"/>
      </w:pPr>
      <w:r>
        <w:rPr>
          <w:rStyle w:val="EndnoteReference"/>
        </w:rPr>
        <w:endnoteRef/>
      </w:r>
      <w:r>
        <w:t xml:space="preserve"> ibid.</w:t>
      </w:r>
    </w:p>
  </w:endnote>
  <w:endnote w:id="152">
    <w:p w14:paraId="3E718E80" w14:textId="77777777" w:rsidR="00015FAC" w:rsidRPr="00EE5BAE" w:rsidRDefault="00015FAC" w:rsidP="00154FB0">
      <w:pPr>
        <w:pStyle w:val="EndnoteText"/>
        <w:rPr>
          <w:rFonts w:cs="Arial"/>
          <w:szCs w:val="16"/>
          <w:highlight w:val="yellow"/>
        </w:rPr>
      </w:pPr>
      <w:r w:rsidRPr="00870099">
        <w:rPr>
          <w:rStyle w:val="EndnoteReference"/>
          <w:rFonts w:cs="Arial"/>
          <w:szCs w:val="16"/>
        </w:rPr>
        <w:endnoteRef/>
      </w:r>
      <w:r w:rsidRPr="00870099">
        <w:rPr>
          <w:rFonts w:cs="Arial"/>
          <w:szCs w:val="16"/>
        </w:rPr>
        <w:t xml:space="preserve"> </w:t>
      </w:r>
      <w:r>
        <w:rPr>
          <w:rFonts w:cs="Arial"/>
          <w:szCs w:val="16"/>
        </w:rPr>
        <w:t>i</w:t>
      </w:r>
      <w:r w:rsidRPr="00870099">
        <w:rPr>
          <w:rFonts w:cs="Arial"/>
          <w:szCs w:val="16"/>
        </w:rPr>
        <w:t>bid.</w:t>
      </w:r>
    </w:p>
  </w:endnote>
  <w:endnote w:id="153">
    <w:p w14:paraId="2574A289" w14:textId="77777777" w:rsidR="00015FAC" w:rsidRPr="00C04D9C" w:rsidRDefault="00015FAC" w:rsidP="001540A0">
      <w:pPr>
        <w:pStyle w:val="EndnoteText"/>
        <w:rPr>
          <w:rFonts w:cs="Arial"/>
          <w:szCs w:val="16"/>
        </w:rPr>
      </w:pPr>
      <w:r w:rsidRPr="00C04D9C">
        <w:rPr>
          <w:rStyle w:val="EndnoteReference"/>
          <w:rFonts w:cs="Arial"/>
          <w:szCs w:val="16"/>
        </w:rPr>
        <w:endnoteRef/>
      </w:r>
      <w:r w:rsidRPr="00C04D9C">
        <w:rPr>
          <w:rFonts w:cs="Arial"/>
          <w:szCs w:val="16"/>
        </w:rPr>
        <w:t xml:space="preserve"> ACMA-commissioned survey, June 2017.</w:t>
      </w:r>
    </w:p>
  </w:endnote>
  <w:endnote w:id="154">
    <w:p w14:paraId="068C3A0A" w14:textId="77777777" w:rsidR="00015FAC" w:rsidRPr="003077ED" w:rsidRDefault="00015FAC" w:rsidP="001540A0">
      <w:pPr>
        <w:pStyle w:val="EndnoteText"/>
        <w:rPr>
          <w:rFonts w:cs="Arial"/>
          <w:szCs w:val="16"/>
          <w:lang w:val="en-US"/>
        </w:rPr>
      </w:pPr>
      <w:r w:rsidRPr="003077ED">
        <w:rPr>
          <w:rStyle w:val="EndnoteReference"/>
          <w:rFonts w:cs="Arial"/>
          <w:szCs w:val="16"/>
        </w:rPr>
        <w:endnoteRef/>
      </w:r>
      <w:r w:rsidRPr="003077ED">
        <w:rPr>
          <w:rFonts w:cs="Arial"/>
          <w:szCs w:val="16"/>
        </w:rPr>
        <w:t xml:space="preserve"> ABS, </w:t>
      </w:r>
      <w:hyperlink r:id="rId115" w:history="1">
        <w:r w:rsidRPr="003077ED">
          <w:rPr>
            <w:rStyle w:val="Hyperlink"/>
            <w:rFonts w:cs="Arial"/>
            <w:i/>
            <w:szCs w:val="16"/>
          </w:rPr>
          <w:t>Business Use of Information Technology</w:t>
        </w:r>
      </w:hyperlink>
      <w:r>
        <w:rPr>
          <w:rFonts w:cs="Arial"/>
          <w:szCs w:val="16"/>
        </w:rPr>
        <w:t>, 15 June 2017</w:t>
      </w:r>
      <w:r w:rsidRPr="003077ED">
        <w:rPr>
          <w:rFonts w:cs="Arial"/>
          <w:szCs w:val="16"/>
        </w:rPr>
        <w:t>.</w:t>
      </w:r>
    </w:p>
  </w:endnote>
  <w:endnote w:id="155">
    <w:p w14:paraId="4C9B440F" w14:textId="77777777" w:rsidR="00015FAC" w:rsidRPr="00C04D9C" w:rsidRDefault="00015FAC" w:rsidP="001540A0">
      <w:pPr>
        <w:pStyle w:val="EndnoteText"/>
      </w:pPr>
      <w:r w:rsidRPr="00C04D9C">
        <w:rPr>
          <w:rStyle w:val="EndnoteReference"/>
        </w:rPr>
        <w:endnoteRef/>
      </w:r>
      <w:r w:rsidRPr="00C04D9C">
        <w:t xml:space="preserve"> </w:t>
      </w:r>
      <w:r>
        <w:rPr>
          <w:rFonts w:cs="Arial"/>
          <w:szCs w:val="16"/>
        </w:rPr>
        <w:t>ibid</w:t>
      </w:r>
      <w:r w:rsidRPr="00C04D9C">
        <w:rPr>
          <w:rFonts w:cs="Arial"/>
          <w:szCs w:val="16"/>
        </w:rPr>
        <w:t>.</w:t>
      </w:r>
    </w:p>
  </w:endnote>
  <w:endnote w:id="156">
    <w:p w14:paraId="7B8ED6A7" w14:textId="77777777" w:rsidR="00015FAC" w:rsidRPr="00EE5BAE" w:rsidRDefault="00015FAC" w:rsidP="001540A0">
      <w:pPr>
        <w:pStyle w:val="EndnoteText"/>
        <w:rPr>
          <w:rFonts w:cs="Arial"/>
          <w:szCs w:val="16"/>
          <w:highlight w:val="yellow"/>
          <w:lang w:val="en-US"/>
        </w:rPr>
      </w:pPr>
      <w:r w:rsidRPr="00C04D9C">
        <w:rPr>
          <w:rStyle w:val="EndnoteReference"/>
          <w:rFonts w:cs="Arial"/>
          <w:szCs w:val="16"/>
        </w:rPr>
        <w:endnoteRef/>
      </w:r>
      <w:r w:rsidRPr="00C04D9C">
        <w:rPr>
          <w:rFonts w:cs="Arial"/>
          <w:szCs w:val="16"/>
        </w:rPr>
        <w:t xml:space="preserve"> </w:t>
      </w:r>
      <w:r>
        <w:rPr>
          <w:rFonts w:cs="Arial"/>
          <w:szCs w:val="16"/>
        </w:rPr>
        <w:t>i</w:t>
      </w:r>
      <w:r w:rsidRPr="00C04D9C">
        <w:rPr>
          <w:rFonts w:cs="Arial"/>
          <w:szCs w:val="16"/>
        </w:rPr>
        <w:t>bid.</w:t>
      </w:r>
    </w:p>
  </w:endnote>
  <w:endnote w:id="157">
    <w:p w14:paraId="31CDB164" w14:textId="77777777" w:rsidR="00015FAC" w:rsidRPr="00EE5BAE" w:rsidRDefault="00015FAC" w:rsidP="001540A0">
      <w:pPr>
        <w:pStyle w:val="EndnoteText"/>
        <w:rPr>
          <w:rFonts w:cs="Arial"/>
          <w:szCs w:val="16"/>
          <w:highlight w:val="yellow"/>
          <w:lang w:val="en-US"/>
        </w:rPr>
      </w:pPr>
      <w:r w:rsidRPr="00C04D9C">
        <w:rPr>
          <w:rStyle w:val="EndnoteReference"/>
          <w:rFonts w:cs="Arial"/>
          <w:szCs w:val="16"/>
        </w:rPr>
        <w:endnoteRef/>
      </w:r>
      <w:r>
        <w:rPr>
          <w:rFonts w:cs="Arial"/>
          <w:szCs w:val="16"/>
        </w:rPr>
        <w:t xml:space="preserve"> ABS, </w:t>
      </w:r>
      <w:hyperlink r:id="rId116" w:history="1">
        <w:r w:rsidRPr="00994DFE">
          <w:rPr>
            <w:rStyle w:val="Hyperlink"/>
            <w:rFonts w:cs="Arial"/>
            <w:i/>
            <w:szCs w:val="16"/>
          </w:rPr>
          <w:t>Business Use of Information Technology Statistics</w:t>
        </w:r>
      </w:hyperlink>
      <w:r>
        <w:rPr>
          <w:rFonts w:cs="Arial"/>
          <w:szCs w:val="16"/>
        </w:rPr>
        <w:t>, 20 July 2017</w:t>
      </w:r>
      <w:r w:rsidRPr="00C04D9C">
        <w:rPr>
          <w:rFonts w:cs="Arial"/>
          <w:szCs w:val="16"/>
        </w:rPr>
        <w:t>.</w:t>
      </w:r>
    </w:p>
  </w:endnote>
  <w:endnote w:id="158">
    <w:p w14:paraId="3B1B1262" w14:textId="77777777" w:rsidR="00015FAC" w:rsidRPr="00EE5BAE" w:rsidRDefault="00015FAC" w:rsidP="001540A0">
      <w:pPr>
        <w:pStyle w:val="EndnoteText"/>
        <w:rPr>
          <w:rFonts w:cs="Arial"/>
          <w:szCs w:val="16"/>
          <w:highlight w:val="yellow"/>
          <w:lang w:val="en-US"/>
        </w:rPr>
      </w:pPr>
      <w:r w:rsidRPr="00C04D9C">
        <w:rPr>
          <w:rStyle w:val="EndnoteReference"/>
          <w:rFonts w:cs="Arial"/>
          <w:szCs w:val="16"/>
        </w:rPr>
        <w:endnoteRef/>
      </w:r>
      <w:r>
        <w:rPr>
          <w:rFonts w:cs="Arial"/>
          <w:szCs w:val="16"/>
        </w:rPr>
        <w:t xml:space="preserve"> ibid.</w:t>
      </w:r>
    </w:p>
  </w:endnote>
  <w:endnote w:id="159">
    <w:p w14:paraId="189D1744" w14:textId="77777777" w:rsidR="00015FAC" w:rsidRPr="00EE5BAE" w:rsidRDefault="00015FAC" w:rsidP="001D4E2D">
      <w:pPr>
        <w:pStyle w:val="EndnoteText"/>
        <w:rPr>
          <w:rFonts w:cs="Arial"/>
          <w:szCs w:val="16"/>
          <w:highlight w:val="yellow"/>
        </w:rPr>
      </w:pPr>
      <w:r w:rsidRPr="00CC1746">
        <w:rPr>
          <w:rStyle w:val="EndnoteReference"/>
          <w:rFonts w:cs="Arial"/>
          <w:szCs w:val="16"/>
        </w:rPr>
        <w:endnoteRef/>
      </w:r>
      <w:r w:rsidRPr="00CC1746">
        <w:rPr>
          <w:rFonts w:cs="Arial"/>
          <w:szCs w:val="16"/>
        </w:rPr>
        <w:t xml:space="preserve"> Ofcom</w:t>
      </w:r>
      <w:r w:rsidRPr="002F7FEF">
        <w:rPr>
          <w:rFonts w:cs="Arial"/>
          <w:szCs w:val="16"/>
        </w:rPr>
        <w:t xml:space="preserve">, </w:t>
      </w:r>
      <w:hyperlink r:id="rId117" w:history="1">
        <w:r w:rsidRPr="002F7FEF">
          <w:rPr>
            <w:rStyle w:val="Hyperlink"/>
            <w:rFonts w:cs="Arial"/>
            <w:i/>
            <w:szCs w:val="16"/>
          </w:rPr>
          <w:t>The Communications Market Report</w:t>
        </w:r>
      </w:hyperlink>
      <w:r w:rsidRPr="002F7FEF">
        <w:rPr>
          <w:rFonts w:cs="Arial"/>
          <w:szCs w:val="16"/>
        </w:rPr>
        <w:t>, 3 August 2017</w:t>
      </w:r>
      <w:r>
        <w:rPr>
          <w:rFonts w:cs="Arial"/>
          <w:szCs w:val="16"/>
        </w:rPr>
        <w:t>.</w:t>
      </w:r>
    </w:p>
  </w:endnote>
  <w:endnote w:id="160">
    <w:p w14:paraId="5D924120" w14:textId="77777777" w:rsidR="00015FAC" w:rsidRPr="008C326E" w:rsidRDefault="00015FAC" w:rsidP="00602045">
      <w:pPr>
        <w:pStyle w:val="EndnoteText"/>
        <w:rPr>
          <w:rFonts w:cs="Arial"/>
          <w:szCs w:val="16"/>
        </w:rPr>
      </w:pPr>
      <w:r w:rsidRPr="008C326E">
        <w:rPr>
          <w:rStyle w:val="EndnoteReference"/>
          <w:rFonts w:cs="Arial"/>
          <w:szCs w:val="16"/>
        </w:rPr>
        <w:endnoteRef/>
      </w:r>
      <w:r w:rsidRPr="008C326E">
        <w:rPr>
          <w:rFonts w:cs="Arial"/>
          <w:szCs w:val="16"/>
        </w:rPr>
        <w:t xml:space="preserve"> Pew Research Center, </w:t>
      </w:r>
      <w:hyperlink r:id="rId118" w:history="1">
        <w:r w:rsidRPr="008C326E">
          <w:rPr>
            <w:rStyle w:val="Hyperlink"/>
            <w:rFonts w:cs="Arial"/>
            <w:szCs w:val="16"/>
          </w:rPr>
          <w:t>Mobile Fact Sheet</w:t>
        </w:r>
      </w:hyperlink>
      <w:r w:rsidRPr="008C326E">
        <w:rPr>
          <w:rFonts w:cs="Arial"/>
          <w:szCs w:val="16"/>
        </w:rPr>
        <w:t xml:space="preserve">, 12 January 2017. </w:t>
      </w:r>
    </w:p>
  </w:endnote>
  <w:endnote w:id="161">
    <w:p w14:paraId="4ED95605" w14:textId="77777777" w:rsidR="00015FAC" w:rsidRPr="00613396" w:rsidRDefault="00015FAC" w:rsidP="00602045">
      <w:pPr>
        <w:pStyle w:val="EndnoteText"/>
        <w:rPr>
          <w:rFonts w:cs="Arial"/>
          <w:szCs w:val="16"/>
        </w:rPr>
      </w:pPr>
      <w:r w:rsidRPr="00613396">
        <w:rPr>
          <w:rStyle w:val="EndnoteReference"/>
          <w:rFonts w:cs="Arial"/>
          <w:szCs w:val="16"/>
        </w:rPr>
        <w:endnoteRef/>
      </w:r>
      <w:r w:rsidRPr="00613396">
        <w:rPr>
          <w:rFonts w:cs="Arial"/>
          <w:szCs w:val="16"/>
        </w:rPr>
        <w:t xml:space="preserve"> Pew Research Center, </w:t>
      </w:r>
      <w:hyperlink r:id="rId119" w:history="1">
        <w:r w:rsidRPr="00613396">
          <w:rPr>
            <w:rStyle w:val="Hyperlink"/>
            <w:rFonts w:cs="Arial"/>
            <w:szCs w:val="16"/>
          </w:rPr>
          <w:t>10 facts about smartphones as the iPhone turns 10</w:t>
        </w:r>
      </w:hyperlink>
      <w:r w:rsidRPr="00613396">
        <w:rPr>
          <w:rFonts w:cs="Arial"/>
          <w:szCs w:val="16"/>
        </w:rPr>
        <w:t>, 28 June 2017.</w:t>
      </w:r>
    </w:p>
  </w:endnote>
  <w:endnote w:id="162">
    <w:p w14:paraId="02C5DF27" w14:textId="620504D7" w:rsidR="00015FAC" w:rsidRPr="004D5D05" w:rsidRDefault="00015FAC" w:rsidP="00602045">
      <w:pPr>
        <w:pStyle w:val="EndnoteText"/>
        <w:rPr>
          <w:rFonts w:cs="Arial"/>
          <w:szCs w:val="16"/>
        </w:rPr>
      </w:pPr>
      <w:r w:rsidRPr="004D5D05">
        <w:rPr>
          <w:rStyle w:val="EndnoteReference"/>
          <w:rFonts w:cs="Arial"/>
          <w:szCs w:val="16"/>
        </w:rPr>
        <w:endnoteRef/>
      </w:r>
      <w:r w:rsidRPr="004D5D05">
        <w:rPr>
          <w:rFonts w:cs="Arial"/>
          <w:szCs w:val="16"/>
        </w:rPr>
        <w:t xml:space="preserve"> Ofcom,</w:t>
      </w:r>
      <w:r w:rsidRPr="004D5D05">
        <w:rPr>
          <w:rFonts w:cs="Arial"/>
          <w:i/>
          <w:szCs w:val="16"/>
        </w:rPr>
        <w:t xml:space="preserve"> </w:t>
      </w:r>
      <w:hyperlink r:id="rId120" w:history="1">
        <w:r>
          <w:rPr>
            <w:rStyle w:val="Hyperlink"/>
            <w:rFonts w:cs="Arial"/>
            <w:i/>
            <w:szCs w:val="16"/>
          </w:rPr>
          <w:t>Adults’ media use and attitudes, Report 2017</w:t>
        </w:r>
      </w:hyperlink>
      <w:r w:rsidRPr="004D5D05">
        <w:rPr>
          <w:rFonts w:cs="Arial"/>
          <w:szCs w:val="16"/>
        </w:rPr>
        <w:t>, June 2017.</w:t>
      </w:r>
    </w:p>
  </w:endnote>
  <w:endnote w:id="163">
    <w:p w14:paraId="7C0E8CC4" w14:textId="77777777" w:rsidR="00015FAC" w:rsidRPr="00212C50" w:rsidRDefault="00015FAC" w:rsidP="00602045">
      <w:pPr>
        <w:pStyle w:val="EndnoteText"/>
        <w:rPr>
          <w:rFonts w:cs="Arial"/>
          <w:szCs w:val="16"/>
        </w:rPr>
      </w:pPr>
      <w:r w:rsidRPr="002F7FEF">
        <w:rPr>
          <w:rStyle w:val="EndnoteReference"/>
          <w:rFonts w:cs="Arial"/>
          <w:szCs w:val="16"/>
        </w:rPr>
        <w:endnoteRef/>
      </w:r>
      <w:r w:rsidRPr="002F7FEF">
        <w:rPr>
          <w:rFonts w:cs="Arial"/>
          <w:szCs w:val="16"/>
        </w:rPr>
        <w:t xml:space="preserve"> Ofcom, </w:t>
      </w:r>
      <w:hyperlink r:id="rId121" w:history="1">
        <w:r w:rsidRPr="00212C50">
          <w:rPr>
            <w:rStyle w:val="Hyperlink"/>
            <w:rFonts w:cs="Arial"/>
            <w:i/>
            <w:szCs w:val="16"/>
          </w:rPr>
          <w:t>The Communications Market Report</w:t>
        </w:r>
      </w:hyperlink>
      <w:r w:rsidRPr="00212C50">
        <w:rPr>
          <w:rFonts w:cs="Arial"/>
          <w:szCs w:val="16"/>
        </w:rPr>
        <w:t>, 3 August 2017.</w:t>
      </w:r>
    </w:p>
  </w:endnote>
  <w:endnote w:id="164">
    <w:p w14:paraId="553B44D9" w14:textId="6F24DB32" w:rsidR="00015FAC" w:rsidRPr="00B21C5B" w:rsidRDefault="00015FAC" w:rsidP="00602045">
      <w:pPr>
        <w:pStyle w:val="EndnoteText"/>
        <w:rPr>
          <w:rFonts w:cs="Arial"/>
          <w:szCs w:val="16"/>
        </w:rPr>
      </w:pPr>
      <w:r w:rsidRPr="00212C50">
        <w:rPr>
          <w:rStyle w:val="EndnoteReference"/>
          <w:rFonts w:cs="Arial"/>
          <w:szCs w:val="16"/>
        </w:rPr>
        <w:endnoteRef/>
      </w:r>
      <w:r w:rsidRPr="00212C50">
        <w:rPr>
          <w:rFonts w:cs="Arial"/>
          <w:szCs w:val="16"/>
        </w:rPr>
        <w:t xml:space="preserve"> Ofcom,</w:t>
      </w:r>
      <w:r w:rsidRPr="00212C50">
        <w:rPr>
          <w:rFonts w:cs="Arial"/>
          <w:i/>
          <w:szCs w:val="16"/>
        </w:rPr>
        <w:t xml:space="preserve"> </w:t>
      </w:r>
      <w:hyperlink r:id="rId122" w:history="1">
        <w:r w:rsidRPr="00212C50">
          <w:rPr>
            <w:rStyle w:val="Hyperlink"/>
            <w:rFonts w:cs="Arial"/>
            <w:i/>
            <w:szCs w:val="16"/>
          </w:rPr>
          <w:t>Adults’ media use and attitudes</w:t>
        </w:r>
        <w:r>
          <w:rPr>
            <w:rStyle w:val="Hyperlink"/>
            <w:rFonts w:cs="Arial"/>
            <w:i/>
            <w:szCs w:val="16"/>
          </w:rPr>
          <w:t>, R</w:t>
        </w:r>
        <w:r w:rsidRPr="00212C50">
          <w:rPr>
            <w:rStyle w:val="Hyperlink"/>
            <w:rFonts w:cs="Arial"/>
            <w:i/>
            <w:szCs w:val="16"/>
          </w:rPr>
          <w:t>eport 201</w:t>
        </w:r>
      </w:hyperlink>
      <w:r w:rsidRPr="00212C50">
        <w:rPr>
          <w:rStyle w:val="Hyperlink"/>
          <w:rFonts w:cs="Arial"/>
          <w:i/>
          <w:szCs w:val="16"/>
        </w:rPr>
        <w:t>7</w:t>
      </w:r>
      <w:r w:rsidRPr="00212C50">
        <w:rPr>
          <w:rFonts w:cs="Arial"/>
          <w:szCs w:val="16"/>
        </w:rPr>
        <w:t>, June</w:t>
      </w:r>
      <w:r w:rsidRPr="00B21C5B">
        <w:rPr>
          <w:rFonts w:cs="Arial"/>
          <w:szCs w:val="16"/>
        </w:rPr>
        <w:t xml:space="preserve"> 2017. </w:t>
      </w:r>
    </w:p>
  </w:endnote>
  <w:endnote w:id="165">
    <w:p w14:paraId="5DCD1D29" w14:textId="77777777" w:rsidR="00015FAC" w:rsidRPr="00D02C7B" w:rsidRDefault="00015FAC" w:rsidP="00477223">
      <w:pPr>
        <w:pStyle w:val="EndnoteText"/>
        <w:rPr>
          <w:rFonts w:cs="Arial"/>
          <w:szCs w:val="16"/>
        </w:rPr>
      </w:pPr>
      <w:r w:rsidRPr="00B21C5B">
        <w:rPr>
          <w:rStyle w:val="EndnoteReference"/>
          <w:rFonts w:cs="Arial"/>
          <w:szCs w:val="16"/>
        </w:rPr>
        <w:endnoteRef/>
      </w:r>
      <w:r w:rsidRPr="00B21C5B">
        <w:rPr>
          <w:rFonts w:cs="Arial"/>
          <w:szCs w:val="16"/>
        </w:rPr>
        <w:t xml:space="preserve"> </w:t>
      </w:r>
      <w:r>
        <w:rPr>
          <w:rFonts w:cs="Arial"/>
          <w:szCs w:val="16"/>
        </w:rPr>
        <w:t>i</w:t>
      </w:r>
      <w:r w:rsidRPr="00B21C5B">
        <w:rPr>
          <w:rFonts w:cs="Arial"/>
          <w:szCs w:val="16"/>
        </w:rPr>
        <w:t>bid.</w:t>
      </w:r>
    </w:p>
  </w:endnote>
  <w:endnote w:id="166">
    <w:p w14:paraId="66B985D4" w14:textId="77777777" w:rsidR="00015FAC" w:rsidRDefault="00015FAC" w:rsidP="0019480E">
      <w:pPr>
        <w:spacing w:after="80"/>
        <w:rPr>
          <w:b/>
        </w:rPr>
      </w:pPr>
      <w:r w:rsidRPr="001B5D0B">
        <w:rPr>
          <w:b/>
        </w:rPr>
        <w:t>Endnotes</w:t>
      </w:r>
    </w:p>
    <w:p w14:paraId="20E4900E" w14:textId="77777777" w:rsidR="00015FAC" w:rsidRPr="00A6545E" w:rsidRDefault="00015FAC" w:rsidP="00C9027D">
      <w:pPr>
        <w:pStyle w:val="EndnoteText"/>
        <w:rPr>
          <w:szCs w:val="16"/>
        </w:rPr>
      </w:pPr>
      <w:r>
        <w:rPr>
          <w:rStyle w:val="EndnoteReference"/>
        </w:rPr>
        <w:endnoteRef/>
      </w:r>
      <w:r>
        <w:t xml:space="preserve"> </w:t>
      </w:r>
      <w:r w:rsidRPr="00EE11DD">
        <w:t>The Music.com.a</w:t>
      </w:r>
      <w:r>
        <w:t xml:space="preserve">u, </w:t>
      </w:r>
      <w:r w:rsidRPr="00A6545E">
        <w:rPr>
          <w:rStyle w:val="Hyperlink"/>
          <w:rFonts w:cs="Arial"/>
          <w:szCs w:val="16"/>
        </w:rPr>
        <w:t>‘</w:t>
      </w:r>
      <w:hyperlink r:id="rId123" w:history="1">
        <w:r w:rsidRPr="00A6545E">
          <w:rPr>
            <w:rStyle w:val="Hyperlink"/>
            <w:rFonts w:cs="Arial"/>
            <w:szCs w:val="16"/>
          </w:rPr>
          <w:t>ARIA 2016 sales figures show revenue is up &amp; streaming booming’</w:t>
        </w:r>
      </w:hyperlink>
      <w:r w:rsidRPr="00A6545E">
        <w:rPr>
          <w:szCs w:val="16"/>
        </w:rPr>
        <w:t xml:space="preserve">, 29 March 2017. </w:t>
      </w:r>
    </w:p>
  </w:endnote>
  <w:endnote w:id="167">
    <w:p w14:paraId="7B771A9C" w14:textId="77777777" w:rsidR="00015FAC" w:rsidRPr="00A6545E" w:rsidRDefault="00015FAC" w:rsidP="00C9027D">
      <w:pPr>
        <w:pStyle w:val="EndnoteText"/>
        <w:rPr>
          <w:szCs w:val="16"/>
        </w:rPr>
      </w:pPr>
      <w:r>
        <w:rPr>
          <w:rStyle w:val="EndnoteReference"/>
        </w:rPr>
        <w:endnoteRef/>
      </w:r>
      <w:r>
        <w:t xml:space="preserve"> ibid.</w:t>
      </w:r>
      <w:r w:rsidRPr="00A6545E">
        <w:rPr>
          <w:szCs w:val="16"/>
        </w:rPr>
        <w:t xml:space="preserve"> </w:t>
      </w:r>
    </w:p>
  </w:endnote>
  <w:endnote w:id="168">
    <w:p w14:paraId="2344D559" w14:textId="77777777" w:rsidR="00015FAC" w:rsidRPr="00A6545E" w:rsidRDefault="00015FAC" w:rsidP="00C9027D">
      <w:pPr>
        <w:pStyle w:val="EndnoteText"/>
        <w:rPr>
          <w:rFonts w:cs="Arial"/>
          <w:szCs w:val="16"/>
        </w:rPr>
      </w:pPr>
      <w:r w:rsidRPr="00BF5EB5">
        <w:rPr>
          <w:rStyle w:val="EndnoteReference"/>
          <w:sz w:val="18"/>
          <w:szCs w:val="18"/>
        </w:rPr>
        <w:endnoteRef/>
      </w:r>
      <w:r w:rsidRPr="002C648D">
        <w:rPr>
          <w:rFonts w:cs="Arial"/>
          <w:szCs w:val="16"/>
        </w:rPr>
        <w:t xml:space="preserve"> L</w:t>
      </w:r>
      <w:r>
        <w:rPr>
          <w:sz w:val="18"/>
          <w:szCs w:val="18"/>
        </w:rPr>
        <w:t xml:space="preserve">. </w:t>
      </w:r>
      <w:r w:rsidRPr="00EE11DD">
        <w:rPr>
          <w:rFonts w:cs="Arial"/>
          <w:szCs w:val="16"/>
        </w:rPr>
        <w:t>Cormack, ‘</w:t>
      </w:r>
      <w:hyperlink r:id="rId124" w:history="1">
        <w:r w:rsidRPr="00EE11DD">
          <w:rPr>
            <w:rStyle w:val="Hyperlink"/>
            <w:rFonts w:cs="Arial"/>
            <w:szCs w:val="16"/>
          </w:rPr>
          <w:t>Music streaming in Australia growing rapidly, but vinyl sales still keeping up</w:t>
        </w:r>
      </w:hyperlink>
      <w:r w:rsidRPr="00A6545E">
        <w:rPr>
          <w:rStyle w:val="Hyperlink"/>
          <w:rFonts w:cs="Arial"/>
          <w:szCs w:val="16"/>
        </w:rPr>
        <w:t>’</w:t>
      </w:r>
      <w:r w:rsidRPr="007071E3">
        <w:rPr>
          <w:rStyle w:val="Hyperlink"/>
          <w:color w:val="auto"/>
          <w:u w:val="none"/>
        </w:rPr>
        <w:t>, SMH.com.au, 26 March 2017.</w:t>
      </w:r>
    </w:p>
  </w:endnote>
  <w:endnote w:id="169">
    <w:p w14:paraId="22B988C8" w14:textId="77777777" w:rsidR="00015FAC" w:rsidRPr="00A6545E" w:rsidRDefault="00015FAC" w:rsidP="0023007A">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ACMA, ‘</w:t>
      </w:r>
      <w:hyperlink r:id="rId125" w:history="1">
        <w:r w:rsidRPr="00EE11DD">
          <w:rPr>
            <w:rStyle w:val="Hyperlink"/>
            <w:rFonts w:cs="Arial"/>
            <w:szCs w:val="16"/>
          </w:rPr>
          <w:t>ACMA registers new Commercial Radio Industry Code of Practice</w:t>
        </w:r>
      </w:hyperlink>
      <w:r>
        <w:rPr>
          <w:rStyle w:val="Hyperlink"/>
          <w:rFonts w:cs="Arial"/>
          <w:szCs w:val="16"/>
        </w:rPr>
        <w:t>’</w:t>
      </w:r>
      <w:r w:rsidRPr="00471E25">
        <w:t>, 9 March 2017.</w:t>
      </w:r>
    </w:p>
  </w:endnote>
  <w:endnote w:id="170">
    <w:p w14:paraId="42C12524"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171">
    <w:p w14:paraId="06BAB0AC"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ACMA</w:t>
      </w:r>
      <w:r w:rsidRPr="00A6545E">
        <w:rPr>
          <w:rFonts w:cs="Arial"/>
          <w:szCs w:val="16"/>
        </w:rPr>
        <w:t>-commissioned survey, June 2017. Comparable to industry data from GfK</w:t>
      </w:r>
      <w:r>
        <w:rPr>
          <w:rFonts w:cs="Arial"/>
          <w:szCs w:val="16"/>
        </w:rPr>
        <w:t>,</w:t>
      </w:r>
      <w:r w:rsidRPr="00A6545E">
        <w:rPr>
          <w:rFonts w:cs="Arial"/>
          <w:szCs w:val="16"/>
        </w:rPr>
        <w:t xml:space="preserve"> </w:t>
      </w:r>
      <w:hyperlink r:id="rId126" w:history="1">
        <w:r w:rsidRPr="00EE11DD">
          <w:rPr>
            <w:rStyle w:val="Hyperlink"/>
            <w:rFonts w:cs="Arial"/>
            <w:szCs w:val="16"/>
          </w:rPr>
          <w:t>DAB+ Digital Radio Report 4</w:t>
        </w:r>
        <w:r>
          <w:rPr>
            <w:rStyle w:val="Hyperlink"/>
            <w:rFonts w:cs="Arial"/>
            <w:szCs w:val="16"/>
          </w:rPr>
          <w:t>,</w:t>
        </w:r>
        <w:r w:rsidRPr="00EE11DD">
          <w:rPr>
            <w:rStyle w:val="Hyperlink"/>
            <w:rFonts w:cs="Arial"/>
            <w:szCs w:val="16"/>
          </w:rPr>
          <w:t xml:space="preserve"> 2016</w:t>
        </w:r>
      </w:hyperlink>
      <w:r w:rsidRPr="00A6545E">
        <w:rPr>
          <w:rFonts w:cs="Arial"/>
          <w:szCs w:val="16"/>
        </w:rPr>
        <w:t>.</w:t>
      </w:r>
    </w:p>
  </w:endnote>
  <w:endnote w:id="172">
    <w:p w14:paraId="43185AC0"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Digital Radio, ‘</w:t>
      </w:r>
      <w:hyperlink r:id="rId127" w:history="1">
        <w:r w:rsidRPr="00EE11DD">
          <w:rPr>
            <w:rStyle w:val="Hyperlink"/>
            <w:rFonts w:cs="Arial"/>
            <w:szCs w:val="16"/>
          </w:rPr>
          <w:t>DAB+ in vehicles’</w:t>
        </w:r>
      </w:hyperlink>
      <w:r w:rsidRPr="00A6545E">
        <w:rPr>
          <w:rFonts w:cs="Arial"/>
          <w:szCs w:val="16"/>
        </w:rPr>
        <w:t>, media release, accessed 23 August 2017.</w:t>
      </w:r>
    </w:p>
  </w:endnote>
  <w:endnote w:id="173">
    <w:p w14:paraId="185E4E4C"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Fonts w:cs="Arial"/>
          <w:szCs w:val="16"/>
        </w:rPr>
        <w:t xml:space="preserve"> ACMA</w:t>
      </w:r>
      <w:r w:rsidRPr="00A6545E">
        <w:rPr>
          <w:rFonts w:cs="Arial"/>
          <w:szCs w:val="16"/>
        </w:rPr>
        <w:t>-commissioned survey, June 2017.</w:t>
      </w:r>
    </w:p>
  </w:endnote>
  <w:endnote w:id="174">
    <w:p w14:paraId="74EE6537"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Fonts w:cs="Arial"/>
          <w:szCs w:val="16"/>
        </w:rPr>
        <w:t xml:space="preserve"> Edison Research, ‘</w:t>
      </w:r>
      <w:hyperlink r:id="rId128" w:history="1">
        <w:r w:rsidRPr="00EE11DD">
          <w:rPr>
            <w:rStyle w:val="Hyperlink"/>
            <w:rFonts w:cs="Arial"/>
            <w:szCs w:val="16"/>
          </w:rPr>
          <w:t>The Infinite Dial Australia study</w:t>
        </w:r>
      </w:hyperlink>
      <w:r w:rsidRPr="00A6545E">
        <w:rPr>
          <w:rStyle w:val="Hyperlink"/>
          <w:rFonts w:cs="Arial"/>
          <w:szCs w:val="16"/>
        </w:rPr>
        <w:t>’</w:t>
      </w:r>
      <w:r w:rsidRPr="00A6545E">
        <w:rPr>
          <w:rFonts w:cs="Arial"/>
          <w:szCs w:val="16"/>
        </w:rPr>
        <w:t xml:space="preserve">, </w:t>
      </w:r>
      <w:r w:rsidRPr="00A6545E">
        <w:rPr>
          <w:rFonts w:cs="Arial"/>
          <w:i/>
          <w:szCs w:val="16"/>
        </w:rPr>
        <w:t>Commercial Radio Australia,</w:t>
      </w:r>
      <w:r w:rsidRPr="00A6545E">
        <w:rPr>
          <w:rFonts w:cs="Arial"/>
          <w:szCs w:val="16"/>
        </w:rPr>
        <w:t xml:space="preserve"> accessed 23 August 2017.</w:t>
      </w:r>
    </w:p>
  </w:endnote>
  <w:endnote w:id="175">
    <w:p w14:paraId="78ADE43D" w14:textId="77777777" w:rsidR="00015FAC" w:rsidRPr="00A6545E" w:rsidRDefault="00015FAC" w:rsidP="00C9027D">
      <w:pPr>
        <w:pStyle w:val="EndnoteText"/>
        <w:rPr>
          <w:rFonts w:cs="Arial"/>
          <w:szCs w:val="16"/>
        </w:rPr>
      </w:pPr>
      <w:r w:rsidRPr="00A6545E">
        <w:rPr>
          <w:rStyle w:val="EndnoteReference"/>
          <w:sz w:val="18"/>
          <w:szCs w:val="18"/>
        </w:rPr>
        <w:endnoteRef/>
      </w:r>
      <w:r w:rsidRPr="00EE11DD">
        <w:rPr>
          <w:rFonts w:cs="Arial"/>
          <w:szCs w:val="16"/>
        </w:rPr>
        <w:t xml:space="preserve"> Edison Research, ‘</w:t>
      </w:r>
      <w:hyperlink r:id="rId129" w:history="1">
        <w:r w:rsidRPr="00EE11DD">
          <w:rPr>
            <w:rStyle w:val="Hyperlink"/>
            <w:rFonts w:cs="Arial"/>
            <w:szCs w:val="16"/>
          </w:rPr>
          <w:t>The Infinite Dial Australia study</w:t>
        </w:r>
      </w:hyperlink>
      <w:r>
        <w:rPr>
          <w:rStyle w:val="Hyperlink"/>
          <w:rFonts w:cs="Arial"/>
          <w:szCs w:val="16"/>
        </w:rPr>
        <w:t>—Presentation</w:t>
      </w:r>
      <w:r w:rsidRPr="00A6545E">
        <w:rPr>
          <w:rStyle w:val="Hyperlink"/>
          <w:rFonts w:cs="Arial"/>
          <w:szCs w:val="16"/>
        </w:rPr>
        <w:t>’</w:t>
      </w:r>
      <w:r w:rsidRPr="00A6545E">
        <w:rPr>
          <w:rFonts w:cs="Arial"/>
          <w:szCs w:val="16"/>
        </w:rPr>
        <w:t xml:space="preserve">, </w:t>
      </w:r>
      <w:r w:rsidRPr="00A6545E">
        <w:rPr>
          <w:rFonts w:cs="Arial"/>
          <w:i/>
          <w:szCs w:val="16"/>
        </w:rPr>
        <w:t>Commercial Radio Australia,</w:t>
      </w:r>
      <w:r w:rsidRPr="00A6545E">
        <w:rPr>
          <w:rFonts w:cs="Arial"/>
          <w:szCs w:val="16"/>
        </w:rPr>
        <w:t xml:space="preserve"> accessed 23 August 2017.</w:t>
      </w:r>
    </w:p>
  </w:endnote>
  <w:endnote w:id="176">
    <w:p w14:paraId="421A02B4" w14:textId="77777777" w:rsidR="00015FAC" w:rsidRDefault="00015FAC" w:rsidP="00B76D18">
      <w:pPr>
        <w:pStyle w:val="EndnoteText"/>
      </w:pPr>
      <w:r w:rsidRPr="007D36B4">
        <w:rPr>
          <w:rStyle w:val="EndnoteReference"/>
          <w:sz w:val="18"/>
          <w:szCs w:val="18"/>
        </w:rPr>
        <w:endnoteRef/>
      </w:r>
      <w:r>
        <w:t xml:space="preserve"> Deloitte, </w:t>
      </w:r>
      <w:hyperlink r:id="rId130" w:history="1">
        <w:r w:rsidRPr="00183048">
          <w:rPr>
            <w:rStyle w:val="Hyperlink"/>
            <w:i/>
          </w:rPr>
          <w:t>Media Consumer Survey 2017, Australian media and digital preferences</w:t>
        </w:r>
        <w:r>
          <w:rPr>
            <w:rStyle w:val="Hyperlink"/>
            <w:i/>
          </w:rPr>
          <w:t>,</w:t>
        </w:r>
        <w:r w:rsidRPr="00183048">
          <w:rPr>
            <w:rStyle w:val="Hyperlink"/>
            <w:i/>
          </w:rPr>
          <w:t xml:space="preserve"> </w:t>
        </w:r>
        <w:r>
          <w:rPr>
            <w:rStyle w:val="Hyperlink"/>
            <w:i/>
          </w:rPr>
          <w:t>sixth</w:t>
        </w:r>
        <w:r w:rsidRPr="00183048">
          <w:rPr>
            <w:rStyle w:val="Hyperlink"/>
            <w:i/>
          </w:rPr>
          <w:t xml:space="preserve"> edition</w:t>
        </w:r>
      </w:hyperlink>
      <w:r>
        <w:rPr>
          <w:i/>
        </w:rPr>
        <w:t>.</w:t>
      </w:r>
    </w:p>
  </w:endnote>
  <w:endnote w:id="177">
    <w:p w14:paraId="7AE687AF" w14:textId="77777777" w:rsidR="00015FAC" w:rsidRDefault="00015FAC" w:rsidP="003A069D">
      <w:pPr>
        <w:pStyle w:val="EndnoteText"/>
      </w:pPr>
      <w:r>
        <w:rPr>
          <w:rStyle w:val="EndnoteReference"/>
        </w:rPr>
        <w:endnoteRef/>
      </w:r>
      <w:r>
        <w:t xml:space="preserve"> ACMA, </w:t>
      </w:r>
      <w:hyperlink r:id="rId131" w:history="1">
        <w:r w:rsidRPr="00624C4B">
          <w:rPr>
            <w:rStyle w:val="Hyperlink"/>
          </w:rPr>
          <w:t>Changes to media control and diversity rules</w:t>
        </w:r>
      </w:hyperlink>
      <w:r>
        <w:t>, 18 October 2017.</w:t>
      </w:r>
    </w:p>
  </w:endnote>
  <w:endnote w:id="178">
    <w:p w14:paraId="78F02BAC" w14:textId="77777777" w:rsidR="00015FAC" w:rsidRPr="00A6545E" w:rsidRDefault="00015FAC" w:rsidP="003A069D">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A6545E">
        <w:rPr>
          <w:rFonts w:cs="Arial"/>
          <w:szCs w:val="16"/>
        </w:rPr>
        <w:t>Department of Communications and the Arts</w:t>
      </w:r>
      <w:r>
        <w:rPr>
          <w:rFonts w:cs="Arial"/>
          <w:szCs w:val="16"/>
        </w:rPr>
        <w:t>,</w:t>
      </w:r>
      <w:r>
        <w:t xml:space="preserve"> </w:t>
      </w:r>
      <w:hyperlink r:id="rId132" w:history="1">
        <w:r w:rsidRPr="00EE11DD">
          <w:rPr>
            <w:rStyle w:val="Hyperlink"/>
            <w:rFonts w:cs="Arial"/>
            <w:szCs w:val="16"/>
          </w:rPr>
          <w:t>Broadcast and Content Reform Package</w:t>
        </w:r>
      </w:hyperlink>
      <w:r w:rsidRPr="00A6545E">
        <w:rPr>
          <w:rFonts w:cs="Arial"/>
          <w:szCs w:val="16"/>
        </w:rPr>
        <w:t>, accessed 24 August 2017.</w:t>
      </w:r>
    </w:p>
  </w:endnote>
  <w:endnote w:id="179">
    <w:p w14:paraId="30C8634A" w14:textId="72B2BF75" w:rsidR="00015FAC" w:rsidRPr="00A6545E" w:rsidRDefault="00015FAC" w:rsidP="00611D6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D073B">
        <w:rPr>
          <w:rFonts w:cs="Arial"/>
          <w:szCs w:val="16"/>
        </w:rPr>
        <w:t>A</w:t>
      </w:r>
      <w:r>
        <w:rPr>
          <w:rStyle w:val="EndnoteReference"/>
          <w:sz w:val="18"/>
        </w:rPr>
        <w:t xml:space="preserve">. </w:t>
      </w:r>
      <w:r w:rsidRPr="00EE11DD">
        <w:rPr>
          <w:rFonts w:cs="Arial"/>
          <w:szCs w:val="16"/>
        </w:rPr>
        <w:t>Tillett, ‘</w:t>
      </w:r>
      <w:hyperlink r:id="rId133" w:anchor="ixzz4ntQtKWMw" w:history="1">
        <w:r w:rsidRPr="00EE11DD">
          <w:rPr>
            <w:rStyle w:val="Hyperlink"/>
            <w:rFonts w:cs="Arial"/>
            <w:szCs w:val="16"/>
          </w:rPr>
          <w:t>Shares up after TV, radio licence fees waived because of media reform delay</w:t>
        </w:r>
      </w:hyperlink>
      <w:r w:rsidRPr="00A6545E">
        <w:rPr>
          <w:rStyle w:val="Hyperlink"/>
          <w:rFonts w:cs="Arial"/>
          <w:color w:val="auto"/>
          <w:szCs w:val="16"/>
        </w:rPr>
        <w:t>’</w:t>
      </w:r>
      <w:r w:rsidRPr="007071E3">
        <w:rPr>
          <w:rStyle w:val="Hyperlink"/>
          <w:color w:val="auto"/>
          <w:u w:val="none"/>
        </w:rPr>
        <w:t xml:space="preserve">, </w:t>
      </w:r>
      <w:r w:rsidRPr="001C483E">
        <w:rPr>
          <w:rStyle w:val="Hyperlink"/>
          <w:i/>
          <w:color w:val="auto"/>
          <w:u w:val="none"/>
        </w:rPr>
        <w:t>The Australian</w:t>
      </w:r>
      <w:r>
        <w:rPr>
          <w:rStyle w:val="Hyperlink"/>
          <w:color w:val="auto"/>
          <w:u w:val="none"/>
        </w:rPr>
        <w:t xml:space="preserve"> </w:t>
      </w:r>
      <w:r w:rsidRPr="00A6545E">
        <w:rPr>
          <w:rFonts w:cs="Arial"/>
          <w:i/>
          <w:szCs w:val="16"/>
        </w:rPr>
        <w:t>Financial Review</w:t>
      </w:r>
      <w:r w:rsidRPr="00A6545E">
        <w:rPr>
          <w:rFonts w:cs="Arial"/>
          <w:szCs w:val="16"/>
        </w:rPr>
        <w:t>, 28</w:t>
      </w:r>
      <w:r>
        <w:rPr>
          <w:rFonts w:cs="Arial"/>
          <w:szCs w:val="16"/>
        </w:rPr>
        <w:t> </w:t>
      </w:r>
      <w:r w:rsidRPr="00A6545E">
        <w:rPr>
          <w:rFonts w:cs="Arial"/>
          <w:szCs w:val="16"/>
        </w:rPr>
        <w:t>June 2017.</w:t>
      </w:r>
    </w:p>
  </w:endnote>
  <w:endnote w:id="180">
    <w:p w14:paraId="1295E6D3" w14:textId="77777777" w:rsidR="00015FAC" w:rsidRPr="00EE11DD"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471E25">
        <w:rPr>
          <w:rFonts w:cs="Arial"/>
          <w:szCs w:val="16"/>
        </w:rPr>
        <w:t>TV tonight,</w:t>
      </w:r>
      <w:r w:rsidRPr="00C05C79">
        <w:rPr>
          <w:sz w:val="18"/>
        </w:rPr>
        <w:t xml:space="preserve"> </w:t>
      </w:r>
      <w:hyperlink r:id="rId134" w:history="1">
        <w:r>
          <w:rPr>
            <w:rStyle w:val="Hyperlink"/>
            <w:rFonts w:cs="Arial"/>
            <w:szCs w:val="16"/>
          </w:rPr>
          <w:t>Programming Guides 2017,</w:t>
        </w:r>
      </w:hyperlink>
      <w:r w:rsidRPr="00C05C79">
        <w:rPr>
          <w:rFonts w:cs="Arial"/>
          <w:szCs w:val="16"/>
        </w:rPr>
        <w:t xml:space="preserve"> accessed 23 August 2017.</w:t>
      </w:r>
      <w:r w:rsidRPr="00EE11DD">
        <w:rPr>
          <w:rFonts w:cs="Arial"/>
          <w:szCs w:val="16"/>
        </w:rPr>
        <w:t xml:space="preserve"> </w:t>
      </w:r>
    </w:p>
  </w:endnote>
  <w:endnote w:id="181">
    <w:p w14:paraId="1BC4F76F"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M</w:t>
      </w:r>
      <w:r>
        <w:rPr>
          <w:sz w:val="18"/>
        </w:rPr>
        <w:t xml:space="preserve">. </w:t>
      </w:r>
      <w:r w:rsidRPr="00EE11DD">
        <w:rPr>
          <w:rFonts w:cs="Arial"/>
          <w:szCs w:val="16"/>
        </w:rPr>
        <w:t xml:space="preserve">Bingemann, </w:t>
      </w:r>
      <w:hyperlink r:id="rId135" w:history="1">
        <w:r>
          <w:rPr>
            <w:rStyle w:val="Hyperlink"/>
            <w:rFonts w:cs="Arial"/>
            <w:szCs w:val="16"/>
          </w:rPr>
          <w:t>‘</w:t>
        </w:r>
        <w:r w:rsidRPr="00EE11DD">
          <w:rPr>
            <w:rStyle w:val="Hyperlink"/>
            <w:rFonts w:cs="Arial"/>
            <w:szCs w:val="16"/>
          </w:rPr>
          <w:t xml:space="preserve">Seven to launch new catch-up TV service after </w:t>
        </w:r>
        <w:r>
          <w:rPr>
            <w:rStyle w:val="Hyperlink"/>
            <w:rFonts w:cs="Arial"/>
            <w:szCs w:val="16"/>
          </w:rPr>
          <w:t>Y</w:t>
        </w:r>
        <w:r w:rsidRPr="00EE11DD">
          <w:rPr>
            <w:rStyle w:val="Hyperlink"/>
            <w:rFonts w:cs="Arial"/>
            <w:szCs w:val="16"/>
          </w:rPr>
          <w:t xml:space="preserve">ahoo </w:t>
        </w:r>
        <w:r>
          <w:rPr>
            <w:rStyle w:val="Hyperlink"/>
            <w:rFonts w:cs="Arial"/>
            <w:szCs w:val="16"/>
          </w:rPr>
          <w:t xml:space="preserve">[sic] </w:t>
        </w:r>
        <w:r w:rsidRPr="00EE11DD">
          <w:rPr>
            <w:rStyle w:val="Hyperlink"/>
            <w:rFonts w:cs="Arial"/>
            <w:szCs w:val="16"/>
          </w:rPr>
          <w:t>tweak’</w:t>
        </w:r>
      </w:hyperlink>
      <w:r w:rsidRPr="00A6545E">
        <w:rPr>
          <w:rFonts w:cs="Arial"/>
          <w:szCs w:val="16"/>
        </w:rPr>
        <w:t xml:space="preserve">, </w:t>
      </w:r>
      <w:r w:rsidRPr="001C483E">
        <w:rPr>
          <w:rFonts w:cs="Arial"/>
          <w:i/>
          <w:szCs w:val="16"/>
        </w:rPr>
        <w:t>The Australian</w:t>
      </w:r>
      <w:r w:rsidRPr="00A6545E">
        <w:rPr>
          <w:rFonts w:cs="Arial"/>
          <w:szCs w:val="16"/>
        </w:rPr>
        <w:t>, 14 June 2017.</w:t>
      </w:r>
    </w:p>
  </w:endnote>
  <w:endnote w:id="182">
    <w:p w14:paraId="6E551B70"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 xml:space="preserve">L. </w:t>
      </w:r>
      <w:r w:rsidRPr="00EE11DD">
        <w:rPr>
          <w:rFonts w:cs="Arial"/>
          <w:szCs w:val="16"/>
        </w:rPr>
        <w:t xml:space="preserve">Bennett, </w:t>
      </w:r>
      <w:hyperlink r:id="rId136" w:anchor="ccadBos60J5UQGfc.99" w:history="1">
        <w:r>
          <w:rPr>
            <w:rStyle w:val="Hyperlink"/>
            <w:rFonts w:cs="Arial"/>
            <w:szCs w:val="16"/>
          </w:rPr>
          <w:t>‘</w:t>
        </w:r>
        <w:r w:rsidRPr="00EE11DD">
          <w:rPr>
            <w:rStyle w:val="Hyperlink"/>
            <w:rFonts w:cs="Arial"/>
            <w:szCs w:val="16"/>
          </w:rPr>
          <w:t>Digital ad spend to overtake TV in 2017, studies find’</w:t>
        </w:r>
      </w:hyperlink>
      <w:r w:rsidRPr="00A6545E">
        <w:rPr>
          <w:rFonts w:cs="Arial"/>
          <w:szCs w:val="16"/>
        </w:rPr>
        <w:t xml:space="preserve">, </w:t>
      </w:r>
      <w:r w:rsidRPr="00A6545E">
        <w:rPr>
          <w:rFonts w:cs="Arial"/>
          <w:i/>
          <w:szCs w:val="16"/>
        </w:rPr>
        <w:t>AdNews</w:t>
      </w:r>
      <w:r w:rsidRPr="00A6545E">
        <w:rPr>
          <w:rFonts w:cs="Arial"/>
          <w:szCs w:val="16"/>
        </w:rPr>
        <w:t>, 28 March 2017.</w:t>
      </w:r>
    </w:p>
  </w:endnote>
  <w:endnote w:id="183">
    <w:p w14:paraId="520A87C8" w14:textId="77777777" w:rsidR="00015FAC" w:rsidRPr="00A6545E" w:rsidRDefault="00015FAC" w:rsidP="00B864DA">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1771C6">
        <w:rPr>
          <w:rFonts w:cs="Arial"/>
          <w:szCs w:val="16"/>
        </w:rPr>
        <w:t>S.</w:t>
      </w:r>
      <w:r>
        <w:rPr>
          <w:rStyle w:val="EndnoteReference"/>
          <w:sz w:val="18"/>
        </w:rPr>
        <w:t xml:space="preserve"> </w:t>
      </w:r>
      <w:r w:rsidRPr="00EE11DD">
        <w:rPr>
          <w:rFonts w:cs="Arial"/>
          <w:szCs w:val="16"/>
        </w:rPr>
        <w:t>Lennin, ‘</w:t>
      </w:r>
      <w:hyperlink r:id="rId137" w:history="1">
        <w:r w:rsidRPr="00EE11DD">
          <w:rPr>
            <w:rStyle w:val="Hyperlink"/>
            <w:rFonts w:cs="Arial"/>
            <w:szCs w:val="16"/>
          </w:rPr>
          <w:t>Ten Network may yet be saved from receivership, with administrator confident of recapitalisation</w:t>
        </w:r>
      </w:hyperlink>
      <w:r w:rsidRPr="00A6545E">
        <w:rPr>
          <w:rStyle w:val="Hyperlink"/>
          <w:rFonts w:cs="Arial"/>
          <w:szCs w:val="16"/>
        </w:rPr>
        <w:t>’</w:t>
      </w:r>
      <w:r w:rsidRPr="00A6545E">
        <w:rPr>
          <w:rFonts w:cs="Arial"/>
          <w:szCs w:val="16"/>
        </w:rPr>
        <w:t>, abc.net.au, 26</w:t>
      </w:r>
      <w:r>
        <w:rPr>
          <w:rFonts w:cs="Arial"/>
          <w:szCs w:val="16"/>
        </w:rPr>
        <w:t> </w:t>
      </w:r>
      <w:r w:rsidRPr="00A6545E">
        <w:rPr>
          <w:rFonts w:cs="Arial"/>
          <w:szCs w:val="16"/>
        </w:rPr>
        <w:t>June</w:t>
      </w:r>
      <w:r>
        <w:rPr>
          <w:rFonts w:cs="Arial"/>
          <w:szCs w:val="16"/>
        </w:rPr>
        <w:t> </w:t>
      </w:r>
      <w:r w:rsidRPr="00A6545E">
        <w:rPr>
          <w:rFonts w:cs="Arial"/>
          <w:szCs w:val="16"/>
        </w:rPr>
        <w:t>2017.</w:t>
      </w:r>
    </w:p>
  </w:endnote>
  <w:endnote w:id="184">
    <w:p w14:paraId="7907D34D" w14:textId="77777777" w:rsidR="00015FAC" w:rsidRPr="003129BE" w:rsidRDefault="00015FAC" w:rsidP="00B864DA">
      <w:pPr>
        <w:pStyle w:val="EndnoteText"/>
      </w:pPr>
      <w:r>
        <w:rPr>
          <w:rStyle w:val="EndnoteReference"/>
        </w:rPr>
        <w:endnoteRef/>
      </w:r>
      <w:r>
        <w:t xml:space="preserve"> M. Bingemann and D. Davidson, ‘</w:t>
      </w:r>
      <w:hyperlink r:id="rId138" w:history="1">
        <w:r w:rsidRPr="003129BE">
          <w:rPr>
            <w:rStyle w:val="Hyperlink"/>
          </w:rPr>
          <w:t>Ten Network placed in voluntary administratio</w:t>
        </w:r>
        <w:r>
          <w:rPr>
            <w:rStyle w:val="Hyperlink"/>
          </w:rPr>
          <w:t>n’</w:t>
        </w:r>
      </w:hyperlink>
      <w:r>
        <w:t xml:space="preserve">, </w:t>
      </w:r>
      <w:r>
        <w:rPr>
          <w:i/>
        </w:rPr>
        <w:t>The Australian,</w:t>
      </w:r>
      <w:r>
        <w:t xml:space="preserve"> 14 June 2017.</w:t>
      </w:r>
    </w:p>
  </w:endnote>
  <w:endnote w:id="185">
    <w:p w14:paraId="3C423466" w14:textId="367D3347" w:rsidR="00015FAC" w:rsidRDefault="00015FAC">
      <w:pPr>
        <w:pStyle w:val="EndnoteText"/>
      </w:pPr>
      <w:r>
        <w:rPr>
          <w:rStyle w:val="EndnoteReference"/>
        </w:rPr>
        <w:endnoteRef/>
      </w:r>
      <w:r>
        <w:t xml:space="preserve"> Network Ten, </w:t>
      </w:r>
      <w:hyperlink r:id="rId139" w:history="1">
        <w:r>
          <w:rPr>
            <w:rStyle w:val="Hyperlink"/>
          </w:rPr>
          <w:t>Outcome of The Second</w:t>
        </w:r>
        <w:r w:rsidRPr="00C01B7E">
          <w:rPr>
            <w:rStyle w:val="Hyperlink"/>
          </w:rPr>
          <w:t xml:space="preserve"> Creditors’ Meeting</w:t>
        </w:r>
      </w:hyperlink>
      <w:r>
        <w:t xml:space="preserve">. </w:t>
      </w:r>
    </w:p>
  </w:endnote>
  <w:endnote w:id="186">
    <w:p w14:paraId="52E0F79C" w14:textId="77777777" w:rsidR="00015FAC" w:rsidRPr="00820E9C" w:rsidRDefault="00015FAC" w:rsidP="00B76D18">
      <w:pPr>
        <w:pStyle w:val="EndnoteText"/>
      </w:pPr>
      <w:r>
        <w:rPr>
          <w:rStyle w:val="EndnoteReference"/>
        </w:rPr>
        <w:endnoteRef/>
      </w:r>
      <w:r>
        <w:t xml:space="preserve"> S. Brook, ‘</w:t>
      </w:r>
      <w:hyperlink r:id="rId140" w:history="1">
        <w:r w:rsidRPr="00820E9C">
          <w:rPr>
            <w:rStyle w:val="Hyperlink"/>
          </w:rPr>
          <w:t>Nine-Southern Cross roll out the local news</w:t>
        </w:r>
      </w:hyperlink>
      <w:r>
        <w:t xml:space="preserve">’, </w:t>
      </w:r>
      <w:r>
        <w:rPr>
          <w:i/>
        </w:rPr>
        <w:t>The Australian</w:t>
      </w:r>
      <w:r>
        <w:t>, 3 September 2017.</w:t>
      </w:r>
    </w:p>
  </w:endnote>
  <w:endnote w:id="187">
    <w:p w14:paraId="1B87EB40"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 xml:space="preserve">Southern Cross Austereo, </w:t>
      </w:r>
      <w:r>
        <w:rPr>
          <w:rFonts w:cs="Arial"/>
          <w:szCs w:val="16"/>
        </w:rPr>
        <w:t>‘</w:t>
      </w:r>
      <w:hyperlink r:id="rId141" w:history="1">
        <w:r w:rsidRPr="00EE11DD">
          <w:rPr>
            <w:rStyle w:val="Hyperlink"/>
            <w:rFonts w:cs="Arial"/>
            <w:szCs w:val="16"/>
          </w:rPr>
          <w:t>Nine News to Launch 15 Regional News Bulletins</w:t>
        </w:r>
      </w:hyperlink>
      <w:r>
        <w:rPr>
          <w:rStyle w:val="Hyperlink"/>
          <w:rFonts w:cs="Arial"/>
          <w:szCs w:val="16"/>
        </w:rPr>
        <w:t>’</w:t>
      </w:r>
      <w:r w:rsidRPr="00A6545E">
        <w:rPr>
          <w:rStyle w:val="Hyperlink"/>
          <w:rFonts w:cs="Arial"/>
          <w:szCs w:val="16"/>
        </w:rPr>
        <w:t>,</w:t>
      </w:r>
      <w:r w:rsidRPr="00A6545E">
        <w:rPr>
          <w:rFonts w:cs="Arial"/>
          <w:szCs w:val="16"/>
        </w:rPr>
        <w:t xml:space="preserve"> media release, 7 November 2016.</w:t>
      </w:r>
    </w:p>
  </w:endnote>
  <w:endnote w:id="188">
    <w:p w14:paraId="4858A5FB"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A.</w:t>
      </w:r>
      <w:r>
        <w:rPr>
          <w:rStyle w:val="EndnoteReference"/>
          <w:sz w:val="18"/>
        </w:rPr>
        <w:t xml:space="preserve"> </w:t>
      </w:r>
      <w:r w:rsidRPr="00EE11DD">
        <w:rPr>
          <w:rFonts w:cs="Arial"/>
          <w:szCs w:val="16"/>
        </w:rPr>
        <w:t xml:space="preserve">Akiman and </w:t>
      </w:r>
      <w:r>
        <w:rPr>
          <w:rFonts w:cs="Arial"/>
          <w:szCs w:val="16"/>
        </w:rPr>
        <w:t xml:space="preserve">S. </w:t>
      </w:r>
      <w:r w:rsidRPr="00EE11DD">
        <w:rPr>
          <w:rFonts w:cs="Arial"/>
          <w:szCs w:val="16"/>
        </w:rPr>
        <w:t>Brook, ‘</w:t>
      </w:r>
      <w:hyperlink r:id="rId142" w:history="1">
        <w:r w:rsidRPr="00EE11DD">
          <w:rPr>
            <w:rStyle w:val="Hyperlink"/>
            <w:rFonts w:cs="Arial"/>
            <w:szCs w:val="16"/>
          </w:rPr>
          <w:t xml:space="preserve">Nine axes Darwin news despite licence fee </w:t>
        </w:r>
        <w:r w:rsidRPr="00F41258">
          <w:rPr>
            <w:rStyle w:val="Hyperlink"/>
            <w:rFonts w:cs="Arial"/>
            <w:szCs w:val="16"/>
          </w:rPr>
          <w:t>holiday’</w:t>
        </w:r>
      </w:hyperlink>
      <w:r w:rsidRPr="00A6545E">
        <w:rPr>
          <w:rFonts w:cs="Arial"/>
          <w:szCs w:val="16"/>
        </w:rPr>
        <w:t xml:space="preserve">, </w:t>
      </w:r>
      <w:r w:rsidRPr="00A6545E">
        <w:rPr>
          <w:rFonts w:cs="Arial"/>
          <w:i/>
          <w:szCs w:val="16"/>
        </w:rPr>
        <w:t>The Australian</w:t>
      </w:r>
      <w:r w:rsidRPr="00A6545E">
        <w:rPr>
          <w:rFonts w:cs="Arial"/>
          <w:szCs w:val="16"/>
        </w:rPr>
        <w:t>, 12 July 2017.</w:t>
      </w:r>
    </w:p>
  </w:endnote>
  <w:endnote w:id="189">
    <w:p w14:paraId="0BE45CB6"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Nielsen, ‘</w:t>
      </w:r>
      <w:hyperlink r:id="rId143" w:history="1">
        <w:r w:rsidRPr="00F76715">
          <w:rPr>
            <w:rStyle w:val="Hyperlink"/>
            <w:rFonts w:cs="Arial"/>
            <w:szCs w:val="16"/>
          </w:rPr>
          <w:t>OzTAM television ratings panels to increase by 50% with Nielsen contract extension’</w:t>
        </w:r>
      </w:hyperlink>
      <w:r>
        <w:rPr>
          <w:rFonts w:cs="Arial"/>
          <w:szCs w:val="16"/>
        </w:rPr>
        <w:t>, media release, 20 July 2017</w:t>
      </w:r>
      <w:r w:rsidRPr="00ED1F6B">
        <w:rPr>
          <w:rStyle w:val="Hyperlink"/>
          <w:rFonts w:cs="Arial"/>
          <w:color w:val="auto"/>
          <w:szCs w:val="16"/>
          <w:u w:val="none"/>
        </w:rPr>
        <w:t>.</w:t>
      </w:r>
    </w:p>
  </w:endnote>
  <w:endnote w:id="190">
    <w:p w14:paraId="52C57361" w14:textId="77777777" w:rsidR="00015FAC" w:rsidRPr="00A6545E" w:rsidRDefault="00015FAC" w:rsidP="00B76D18">
      <w:pPr>
        <w:pStyle w:val="EndnoteText"/>
        <w:rPr>
          <w:rFonts w:cs="Arial"/>
          <w:szCs w:val="16"/>
        </w:rPr>
      </w:pPr>
      <w:r w:rsidRPr="00A6545E">
        <w:rPr>
          <w:rStyle w:val="EndnoteReference"/>
          <w:sz w:val="18"/>
          <w:szCs w:val="18"/>
        </w:rPr>
        <w:endnoteRef/>
      </w:r>
      <w:r w:rsidRPr="00A6545E">
        <w:rPr>
          <w:rFonts w:cs="Arial"/>
          <w:szCs w:val="16"/>
        </w:rPr>
        <w:t xml:space="preserve"> Regional TAM </w:t>
      </w:r>
      <w:hyperlink r:id="rId144" w:history="1">
        <w:r w:rsidRPr="00EE11DD">
          <w:rPr>
            <w:rStyle w:val="Hyperlink"/>
            <w:rFonts w:cs="Arial"/>
            <w:szCs w:val="16"/>
          </w:rPr>
          <w:t>‘Regional</w:t>
        </w:r>
        <w:r w:rsidRPr="00A6545E">
          <w:rPr>
            <w:rStyle w:val="Hyperlink"/>
            <w:rFonts w:cs="Arial"/>
            <w:szCs w:val="16"/>
          </w:rPr>
          <w:t xml:space="preserve"> TAM 50% panel expansion </w:t>
        </w:r>
      </w:hyperlink>
      <w:r w:rsidRPr="00A6545E">
        <w:rPr>
          <w:rStyle w:val="Hyperlink"/>
          <w:rFonts w:cs="Arial"/>
          <w:szCs w:val="16"/>
        </w:rPr>
        <w:t>complete</w:t>
      </w:r>
      <w:r w:rsidRPr="00EE11DD">
        <w:rPr>
          <w:rStyle w:val="Hyperlink"/>
          <w:rFonts w:cs="Arial"/>
          <w:szCs w:val="16"/>
        </w:rPr>
        <w:t>’</w:t>
      </w:r>
      <w:r w:rsidRPr="00A6545E">
        <w:rPr>
          <w:rFonts w:cs="Arial"/>
          <w:szCs w:val="16"/>
        </w:rPr>
        <w:t>, media release, 19 June 2017.</w:t>
      </w:r>
    </w:p>
  </w:endnote>
  <w:endnote w:id="191">
    <w:p w14:paraId="7BE83217" w14:textId="4E67E9D5"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M.</w:t>
      </w:r>
      <w:r>
        <w:rPr>
          <w:rStyle w:val="EndnoteReference"/>
          <w:sz w:val="18"/>
        </w:rPr>
        <w:t xml:space="preserve"> </w:t>
      </w:r>
      <w:r w:rsidRPr="00EE11DD">
        <w:rPr>
          <w:rFonts w:cs="Arial"/>
          <w:szCs w:val="16"/>
        </w:rPr>
        <w:t>Mason, ‘</w:t>
      </w:r>
      <w:hyperlink r:id="rId145" w:history="1">
        <w:r w:rsidRPr="00EE11DD">
          <w:rPr>
            <w:rStyle w:val="Hyperlink"/>
            <w:rFonts w:cs="Arial"/>
            <w:szCs w:val="16"/>
          </w:rPr>
          <w:t>Turnbull government speeds up Netflix rating process</w:t>
        </w:r>
      </w:hyperlink>
      <w:r w:rsidRPr="00A6545E">
        <w:rPr>
          <w:rStyle w:val="Hyperlink"/>
          <w:rFonts w:cs="Arial"/>
          <w:szCs w:val="16"/>
        </w:rPr>
        <w:t>’</w:t>
      </w:r>
      <w:r w:rsidRPr="007071E3">
        <w:rPr>
          <w:rStyle w:val="Hyperlink"/>
          <w:color w:val="auto"/>
          <w:u w:val="none"/>
        </w:rPr>
        <w:t xml:space="preserve">, </w:t>
      </w:r>
      <w:r w:rsidRPr="001C483E">
        <w:rPr>
          <w:rStyle w:val="Hyperlink"/>
          <w:i/>
          <w:color w:val="auto"/>
          <w:u w:val="none"/>
        </w:rPr>
        <w:t>The Australian</w:t>
      </w:r>
      <w:r>
        <w:rPr>
          <w:rStyle w:val="Hyperlink"/>
          <w:color w:val="auto"/>
          <w:u w:val="none"/>
        </w:rPr>
        <w:t xml:space="preserve"> </w:t>
      </w:r>
      <w:r w:rsidRPr="00DB440C">
        <w:rPr>
          <w:rStyle w:val="Hyperlink"/>
          <w:i/>
          <w:color w:val="auto"/>
          <w:u w:val="none"/>
        </w:rPr>
        <w:t xml:space="preserve">Financial Review, </w:t>
      </w:r>
      <w:r w:rsidRPr="00DB440C">
        <w:rPr>
          <w:rStyle w:val="Hyperlink"/>
          <w:color w:val="auto"/>
          <w:u w:val="none"/>
        </w:rPr>
        <w:t>6 December 2016</w:t>
      </w:r>
      <w:r w:rsidRPr="00E6146A">
        <w:rPr>
          <w:rStyle w:val="Hyperlink"/>
          <w:u w:val="none"/>
        </w:rPr>
        <w:t>.</w:t>
      </w:r>
    </w:p>
  </w:endnote>
  <w:endnote w:id="192">
    <w:p w14:paraId="15D6A51A"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Pr>
          <w:rFonts w:cs="Arial"/>
          <w:szCs w:val="16"/>
        </w:rPr>
        <w:t>N. W</w:t>
      </w:r>
      <w:r w:rsidRPr="00EE11DD">
        <w:rPr>
          <w:rFonts w:cs="Arial"/>
          <w:szCs w:val="16"/>
        </w:rPr>
        <w:t xml:space="preserve">higham, </w:t>
      </w:r>
      <w:r w:rsidRPr="00A6545E">
        <w:rPr>
          <w:rFonts w:cs="Arial"/>
          <w:szCs w:val="16"/>
        </w:rPr>
        <w:t>‘</w:t>
      </w:r>
      <w:hyperlink r:id="rId146" w:history="1">
        <w:r w:rsidRPr="00EE11DD">
          <w:rPr>
            <w:rStyle w:val="Hyperlink"/>
            <w:rFonts w:cs="Arial"/>
            <w:szCs w:val="16"/>
          </w:rPr>
          <w:t>New animal and nature streaming app ‘Love Nature’ launches</w:t>
        </w:r>
      </w:hyperlink>
      <w:r w:rsidRPr="00A6545E">
        <w:rPr>
          <w:rStyle w:val="Hyperlink"/>
          <w:rFonts w:cs="Arial"/>
          <w:szCs w:val="16"/>
        </w:rPr>
        <w:t>’</w:t>
      </w:r>
      <w:r w:rsidRPr="007071E3">
        <w:rPr>
          <w:rStyle w:val="Hyperlink"/>
          <w:color w:val="auto"/>
          <w:u w:val="none"/>
        </w:rPr>
        <w:t>, news.com.au, 13 April 2017.</w:t>
      </w:r>
    </w:p>
  </w:endnote>
  <w:endnote w:id="193">
    <w:p w14:paraId="66889CF3"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 xml:space="preserve">N. </w:t>
      </w:r>
      <w:r w:rsidRPr="00EE11DD">
        <w:rPr>
          <w:rFonts w:cs="Arial"/>
          <w:szCs w:val="16"/>
        </w:rPr>
        <w:t>Whigham, ‘</w:t>
      </w:r>
      <w:hyperlink r:id="rId147" w:history="1">
        <w:r w:rsidRPr="00EE11DD">
          <w:rPr>
            <w:rStyle w:val="Hyperlink"/>
            <w:rFonts w:cs="Arial"/>
            <w:szCs w:val="16"/>
          </w:rPr>
          <w:t>Streaming war heats up as Amazon pours billions into boosting its library’</w:t>
        </w:r>
      </w:hyperlink>
      <w:r w:rsidRPr="00A6545E">
        <w:rPr>
          <w:rFonts w:cs="Arial"/>
          <w:szCs w:val="16"/>
        </w:rPr>
        <w:t>, news.com.au, 13 April 2017.</w:t>
      </w:r>
    </w:p>
  </w:endnote>
  <w:endnote w:id="194">
    <w:p w14:paraId="21FA138F"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Foxtel, </w:t>
      </w:r>
      <w:r>
        <w:rPr>
          <w:rFonts w:cs="Arial"/>
          <w:szCs w:val="16"/>
        </w:rPr>
        <w:t>‘</w:t>
      </w:r>
      <w:hyperlink r:id="rId148" w:history="1">
        <w:r w:rsidRPr="00EE11DD">
          <w:rPr>
            <w:rStyle w:val="Hyperlink"/>
            <w:rFonts w:cs="Arial"/>
            <w:szCs w:val="16"/>
          </w:rPr>
          <w:t>Introducing Foxtel Now: Foxtel for everyone</w:t>
        </w:r>
      </w:hyperlink>
      <w:r>
        <w:rPr>
          <w:rStyle w:val="Hyperlink"/>
          <w:rFonts w:cs="Arial"/>
          <w:szCs w:val="16"/>
        </w:rPr>
        <w:t>’</w:t>
      </w:r>
      <w:r w:rsidRPr="007071E3">
        <w:rPr>
          <w:rStyle w:val="Hyperlink"/>
          <w:color w:val="auto"/>
          <w:u w:val="none"/>
        </w:rPr>
        <w:t xml:space="preserve">, media release, </w:t>
      </w:r>
      <w:r w:rsidRPr="00E6146A">
        <w:rPr>
          <w:rStyle w:val="Hyperlink"/>
          <w:color w:val="auto"/>
          <w:u w:val="none"/>
        </w:rPr>
        <w:t>7 June 2017.</w:t>
      </w:r>
      <w:r w:rsidRPr="00A6545E">
        <w:rPr>
          <w:rStyle w:val="Hyperlink"/>
          <w:rFonts w:cs="Arial"/>
          <w:color w:val="auto"/>
          <w:szCs w:val="16"/>
        </w:rPr>
        <w:t xml:space="preserve"> </w:t>
      </w:r>
    </w:p>
  </w:endnote>
  <w:endnote w:id="195">
    <w:p w14:paraId="11CD2367"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P.</w:t>
      </w:r>
      <w:r>
        <w:rPr>
          <w:rStyle w:val="EndnoteReference"/>
          <w:sz w:val="18"/>
        </w:rPr>
        <w:t xml:space="preserve"> </w:t>
      </w:r>
      <w:r w:rsidRPr="00A6545E">
        <w:rPr>
          <w:rFonts w:cs="Arial"/>
          <w:szCs w:val="16"/>
        </w:rPr>
        <w:t xml:space="preserve">Dinham, ‘Optus launches YES TV, Fetch multiroom plans’, </w:t>
      </w:r>
      <w:r w:rsidRPr="00A6545E">
        <w:rPr>
          <w:rFonts w:cs="Arial"/>
          <w:i/>
          <w:szCs w:val="16"/>
        </w:rPr>
        <w:t>CommsWire Daily</w:t>
      </w:r>
      <w:r w:rsidRPr="00A6545E">
        <w:rPr>
          <w:rFonts w:cs="Arial"/>
          <w:szCs w:val="16"/>
        </w:rPr>
        <w:t>, 4 April 2017.</w:t>
      </w:r>
    </w:p>
  </w:endnote>
  <w:endnote w:id="196">
    <w:p w14:paraId="05D3E0B7"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J.</w:t>
      </w:r>
      <w:r>
        <w:rPr>
          <w:sz w:val="18"/>
        </w:rPr>
        <w:t xml:space="preserve"> </w:t>
      </w:r>
      <w:r w:rsidRPr="00EE11DD">
        <w:rPr>
          <w:rFonts w:cs="Arial"/>
          <w:szCs w:val="16"/>
        </w:rPr>
        <w:t>Manning, ‘</w:t>
      </w:r>
      <w:hyperlink r:id="rId149" w:history="1">
        <w:r w:rsidRPr="00EE11DD">
          <w:rPr>
            <w:rStyle w:val="Hyperlink"/>
            <w:rFonts w:cs="Arial"/>
            <w:szCs w:val="16"/>
          </w:rPr>
          <w:t>CEO Scott Lorson on Fetch TV changes’</w:t>
        </w:r>
      </w:hyperlink>
      <w:r w:rsidRPr="00A6545E">
        <w:rPr>
          <w:rFonts w:cs="Arial"/>
          <w:szCs w:val="16"/>
        </w:rPr>
        <w:t xml:space="preserve">, </w:t>
      </w:r>
      <w:r w:rsidRPr="00A6545E">
        <w:rPr>
          <w:rFonts w:cs="Arial"/>
          <w:i/>
          <w:szCs w:val="16"/>
        </w:rPr>
        <w:t>Mediaweek</w:t>
      </w:r>
      <w:r w:rsidRPr="00A6545E">
        <w:rPr>
          <w:rFonts w:cs="Arial"/>
          <w:szCs w:val="16"/>
        </w:rPr>
        <w:t>, 9 March 2017.</w:t>
      </w:r>
    </w:p>
  </w:endnote>
  <w:endnote w:id="197">
    <w:p w14:paraId="2C608C19" w14:textId="03827F34" w:rsidR="00015FAC" w:rsidRPr="00920397" w:rsidRDefault="00015FAC" w:rsidP="00B76D18">
      <w:pPr>
        <w:pStyle w:val="EndnoteText"/>
      </w:pPr>
      <w:r>
        <w:rPr>
          <w:rStyle w:val="EndnoteReference"/>
        </w:rPr>
        <w:endnoteRef/>
      </w:r>
      <w:r>
        <w:t xml:space="preserve"> M. Mason, </w:t>
      </w:r>
      <w:hyperlink r:id="rId150" w:history="1">
        <w:r w:rsidRPr="00920397">
          <w:rPr>
            <w:rStyle w:val="Hyperlink"/>
          </w:rPr>
          <w:t>Foxtel CEO says local content key to pay-TV long-term ambition</w:t>
        </w:r>
      </w:hyperlink>
      <w:r>
        <w:t xml:space="preserve">, </w:t>
      </w:r>
      <w:r w:rsidRPr="001C483E">
        <w:rPr>
          <w:i/>
        </w:rPr>
        <w:t>The</w:t>
      </w:r>
      <w:r>
        <w:t xml:space="preserve"> </w:t>
      </w:r>
      <w:r>
        <w:rPr>
          <w:i/>
        </w:rPr>
        <w:t xml:space="preserve">Australian Financial Review, </w:t>
      </w:r>
      <w:r>
        <w:t>16 November 2016.</w:t>
      </w:r>
    </w:p>
  </w:endnote>
  <w:endnote w:id="198">
    <w:p w14:paraId="0EEB56BA" w14:textId="1254C779" w:rsidR="00015FAC" w:rsidRPr="00A6545E" w:rsidRDefault="00015FAC" w:rsidP="00B76D18">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2C648D">
        <w:rPr>
          <w:rFonts w:cs="Arial"/>
          <w:szCs w:val="16"/>
        </w:rPr>
        <w:t>M.</w:t>
      </w:r>
      <w:r>
        <w:rPr>
          <w:sz w:val="18"/>
        </w:rPr>
        <w:t xml:space="preserve"> </w:t>
      </w:r>
      <w:r w:rsidRPr="00EE11DD">
        <w:rPr>
          <w:rFonts w:cs="Arial"/>
          <w:szCs w:val="16"/>
        </w:rPr>
        <w:t>Mason, ‘</w:t>
      </w:r>
      <w:hyperlink r:id="rId151" w:history="1">
        <w:r w:rsidRPr="00EE11DD">
          <w:rPr>
            <w:rStyle w:val="Hyperlink"/>
            <w:rFonts w:cs="Arial"/>
            <w:szCs w:val="16"/>
          </w:rPr>
          <w:t>Netflix commissions its first Australian original series, Tideland</w:t>
        </w:r>
        <w:r>
          <w:rPr>
            <w:rStyle w:val="Hyperlink"/>
            <w:rFonts w:cs="Arial"/>
            <w:szCs w:val="16"/>
          </w:rPr>
          <w:t>s’</w:t>
        </w:r>
      </w:hyperlink>
      <w:r w:rsidRPr="00DB440C">
        <w:rPr>
          <w:rStyle w:val="Hyperlink"/>
          <w:color w:val="auto"/>
          <w:u w:val="none"/>
        </w:rPr>
        <w:t xml:space="preserve">, </w:t>
      </w:r>
      <w:r w:rsidRPr="001C483E">
        <w:rPr>
          <w:i/>
        </w:rPr>
        <w:t>The</w:t>
      </w:r>
      <w:r>
        <w:t xml:space="preserve"> </w:t>
      </w:r>
      <w:r>
        <w:rPr>
          <w:i/>
        </w:rPr>
        <w:t xml:space="preserve">Australian </w:t>
      </w:r>
      <w:r w:rsidRPr="00DB440C">
        <w:rPr>
          <w:rStyle w:val="Hyperlink"/>
          <w:i/>
          <w:color w:val="auto"/>
          <w:u w:val="none"/>
        </w:rPr>
        <w:t>Financial Review,</w:t>
      </w:r>
      <w:r>
        <w:rPr>
          <w:rStyle w:val="Hyperlink"/>
          <w:i/>
          <w:color w:val="auto"/>
          <w:u w:val="none"/>
        </w:rPr>
        <w:t xml:space="preserve"> </w:t>
      </w:r>
      <w:r w:rsidRPr="00E6146A">
        <w:rPr>
          <w:rStyle w:val="Hyperlink"/>
          <w:color w:val="auto"/>
          <w:u w:val="none"/>
        </w:rPr>
        <w:t>16 March 2017.</w:t>
      </w:r>
    </w:p>
  </w:endnote>
  <w:endnote w:id="199">
    <w:p w14:paraId="756AE786" w14:textId="77777777" w:rsidR="00015FAC" w:rsidRDefault="00015FAC" w:rsidP="00B76D18">
      <w:pPr>
        <w:pStyle w:val="EndnoteText"/>
      </w:pPr>
      <w:r>
        <w:rPr>
          <w:rStyle w:val="EndnoteReference"/>
        </w:rPr>
        <w:endnoteRef/>
      </w:r>
      <w:r>
        <w:t xml:space="preserve"> N. Granados, </w:t>
      </w:r>
      <w:hyperlink r:id="rId152" w:anchor="2395184a13df" w:history="1">
        <w:r w:rsidRPr="00920397">
          <w:rPr>
            <w:rStyle w:val="Hyperlink"/>
          </w:rPr>
          <w:t>Apple, Facebook and Disney to Shake Up Video Streaming with Original Content,</w:t>
        </w:r>
      </w:hyperlink>
      <w:r>
        <w:t xml:space="preserve"> </w:t>
      </w:r>
      <w:r>
        <w:rPr>
          <w:i/>
        </w:rPr>
        <w:t>Forbes</w:t>
      </w:r>
      <w:r>
        <w:t xml:space="preserve">, 11 September 2017. </w:t>
      </w:r>
    </w:p>
  </w:endnote>
  <w:endnote w:id="200">
    <w:p w14:paraId="2140E43C"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 xml:space="preserve">Y. </w:t>
      </w:r>
      <w:r w:rsidRPr="00EE11DD">
        <w:rPr>
          <w:rFonts w:cs="Arial"/>
          <w:szCs w:val="16"/>
        </w:rPr>
        <w:t>Villarreal, ‘</w:t>
      </w:r>
      <w:hyperlink r:id="rId153" w:history="1">
        <w:r w:rsidRPr="00EE11DD">
          <w:rPr>
            <w:rStyle w:val="Hyperlink"/>
            <w:rFonts w:cs="Arial"/>
            <w:szCs w:val="16"/>
          </w:rPr>
          <w:t>YouTube Red launches slate of original children's programming</w:t>
        </w:r>
      </w:hyperlink>
      <w:r w:rsidRPr="007071E3">
        <w:rPr>
          <w:rStyle w:val="Hyperlink"/>
          <w:color w:val="auto"/>
          <w:u w:val="none"/>
        </w:rPr>
        <w:t xml:space="preserve">’, </w:t>
      </w:r>
      <w:r w:rsidRPr="00DB440C">
        <w:rPr>
          <w:rStyle w:val="Hyperlink"/>
          <w:i/>
          <w:color w:val="auto"/>
          <w:u w:val="none"/>
        </w:rPr>
        <w:t>LA Times</w:t>
      </w:r>
      <w:r w:rsidRPr="00DB440C">
        <w:rPr>
          <w:rStyle w:val="Hyperlink"/>
          <w:color w:val="auto"/>
          <w:u w:val="none"/>
        </w:rPr>
        <w:t>, 13 February 20</w:t>
      </w:r>
      <w:r w:rsidRPr="00E6146A">
        <w:rPr>
          <w:rStyle w:val="Hyperlink"/>
          <w:color w:val="auto"/>
          <w:u w:val="none"/>
        </w:rPr>
        <w:t>17.</w:t>
      </w:r>
    </w:p>
  </w:endnote>
  <w:endnote w:id="201">
    <w:p w14:paraId="5180A2A5" w14:textId="0CF80EC9" w:rsidR="00015FAC" w:rsidRDefault="00015FAC" w:rsidP="00B76D18">
      <w:pPr>
        <w:pStyle w:val="EndnoteText"/>
      </w:pPr>
      <w:r>
        <w:rPr>
          <w:rStyle w:val="EndnoteReference"/>
        </w:rPr>
        <w:endnoteRef/>
      </w:r>
      <w:r>
        <w:t xml:space="preserve"> YouTube Kids was launched in Australia in 2015. J. </w:t>
      </w:r>
      <w:r w:rsidRPr="00EE11DD">
        <w:rPr>
          <w:rFonts w:cs="Arial"/>
          <w:szCs w:val="16"/>
        </w:rPr>
        <w:t xml:space="preserve">Dudley-Nicholson, </w:t>
      </w:r>
      <w:r w:rsidRPr="00A6545E">
        <w:rPr>
          <w:rFonts w:cs="Arial"/>
          <w:szCs w:val="16"/>
        </w:rPr>
        <w:t>‘</w:t>
      </w:r>
      <w:hyperlink r:id="rId154" w:history="1">
        <w:r w:rsidRPr="00EE11DD">
          <w:rPr>
            <w:rStyle w:val="Hyperlink"/>
            <w:rFonts w:cs="Arial"/>
            <w:szCs w:val="16"/>
          </w:rPr>
          <w:t>Google launches YouTube app for Australia’s tech-savvy two-year-olds</w:t>
        </w:r>
      </w:hyperlink>
      <w:r w:rsidRPr="00F42692">
        <w:rPr>
          <w:rStyle w:val="Hyperlink"/>
          <w:rFonts w:cs="Arial"/>
          <w:color w:val="auto"/>
          <w:szCs w:val="16"/>
          <w:u w:val="none"/>
        </w:rPr>
        <w:t>’,</w:t>
      </w:r>
      <w:r>
        <w:rPr>
          <w:rStyle w:val="Hyperlink"/>
          <w:rFonts w:cs="Arial"/>
          <w:color w:val="auto"/>
          <w:szCs w:val="16"/>
          <w:u w:val="none"/>
        </w:rPr>
        <w:t xml:space="preserve"> </w:t>
      </w:r>
      <w:r w:rsidRPr="00F42692">
        <w:rPr>
          <w:rStyle w:val="Hyperlink"/>
          <w:rFonts w:cs="Arial"/>
          <w:color w:val="auto"/>
          <w:szCs w:val="16"/>
          <w:u w:val="none"/>
        </w:rPr>
        <w:t>news.com.au</w:t>
      </w:r>
      <w:r w:rsidRPr="00471E25">
        <w:t>, 18 November 2015</w:t>
      </w:r>
      <w:r>
        <w:t>.</w:t>
      </w:r>
    </w:p>
  </w:endnote>
  <w:endnote w:id="202">
    <w:p w14:paraId="4EEC6D68" w14:textId="77777777" w:rsidR="00015FAC" w:rsidRPr="00A6545E" w:rsidRDefault="00015FAC" w:rsidP="00B76D18">
      <w:pPr>
        <w:pStyle w:val="EndnoteText"/>
        <w:rPr>
          <w:rFonts w:cs="Arial"/>
          <w:szCs w:val="16"/>
        </w:rPr>
      </w:pPr>
      <w:r w:rsidRPr="00A6545E">
        <w:rPr>
          <w:rStyle w:val="EndnoteReference"/>
          <w:sz w:val="18"/>
          <w:szCs w:val="18"/>
        </w:rPr>
        <w:endnoteRef/>
      </w:r>
      <w:r w:rsidRPr="00EE11DD">
        <w:rPr>
          <w:rFonts w:cs="Arial"/>
          <w:szCs w:val="16"/>
        </w:rPr>
        <w:t xml:space="preserve"> OzTAM</w:t>
      </w:r>
      <w:r w:rsidRPr="00A6545E">
        <w:rPr>
          <w:rFonts w:cs="Arial"/>
          <w:szCs w:val="16"/>
        </w:rPr>
        <w:t xml:space="preserve">, Regional TAM &amp; Nielsen, </w:t>
      </w:r>
      <w:hyperlink r:id="rId155" w:history="1">
        <w:r w:rsidRPr="00A6545E">
          <w:rPr>
            <w:rStyle w:val="Hyperlink"/>
            <w:rFonts w:cs="Arial"/>
            <w:i/>
            <w:szCs w:val="16"/>
          </w:rPr>
          <w:t>Australian Video Viewing report Q1 2017</w:t>
        </w:r>
      </w:hyperlink>
      <w:r w:rsidRPr="00A6545E">
        <w:rPr>
          <w:rFonts w:cs="Arial"/>
          <w:szCs w:val="16"/>
        </w:rPr>
        <w:t>, August 2017.</w:t>
      </w:r>
    </w:p>
  </w:endnote>
  <w:endnote w:id="203">
    <w:p w14:paraId="035B5575"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Telsyte</w:t>
      </w:r>
      <w:r w:rsidRPr="00A6545E">
        <w:rPr>
          <w:rFonts w:cs="Arial"/>
          <w:szCs w:val="16"/>
        </w:rPr>
        <w:t>, ‘</w:t>
      </w:r>
      <w:hyperlink r:id="rId156" w:history="1">
        <w:r w:rsidRPr="00EE11DD">
          <w:rPr>
            <w:rStyle w:val="Hyperlink"/>
            <w:rFonts w:cs="Arial"/>
            <w:szCs w:val="16"/>
          </w:rPr>
          <w:t>Streaming video on demand a hit in Australia: Subscribers up 30 per cent</w:t>
        </w:r>
      </w:hyperlink>
      <w:r w:rsidRPr="00A6545E">
        <w:rPr>
          <w:rStyle w:val="Hyperlink"/>
          <w:rFonts w:cs="Arial"/>
          <w:szCs w:val="16"/>
        </w:rPr>
        <w:t>’</w:t>
      </w:r>
      <w:r w:rsidRPr="00471E25">
        <w:t xml:space="preserve">, </w:t>
      </w:r>
      <w:r w:rsidRPr="00A6545E">
        <w:rPr>
          <w:rFonts w:cs="Arial"/>
          <w:szCs w:val="16"/>
        </w:rPr>
        <w:t>media release, 8 August 2017.</w:t>
      </w:r>
    </w:p>
  </w:endnote>
  <w:endnote w:id="204">
    <w:p w14:paraId="61EA0F7E"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205">
    <w:p w14:paraId="6B613222"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206">
    <w:p w14:paraId="7B9C8013" w14:textId="77777777" w:rsidR="00015FAC" w:rsidRPr="00A6545E" w:rsidRDefault="00015FAC" w:rsidP="003A3838">
      <w:pPr>
        <w:pStyle w:val="EndnoteText"/>
        <w:rPr>
          <w:rFonts w:cs="Arial"/>
          <w:szCs w:val="16"/>
        </w:rPr>
      </w:pPr>
      <w:r w:rsidRPr="00A6545E">
        <w:rPr>
          <w:rStyle w:val="EndnoteReference"/>
          <w:sz w:val="18"/>
          <w:szCs w:val="18"/>
        </w:rPr>
        <w:endnoteRef/>
      </w:r>
      <w:r w:rsidRPr="00EE11DD">
        <w:rPr>
          <w:rFonts w:cs="Arial"/>
          <w:szCs w:val="16"/>
        </w:rPr>
        <w:t xml:space="preserve"> Telstra</w:t>
      </w:r>
      <w:r w:rsidRPr="00A6545E">
        <w:rPr>
          <w:rFonts w:cs="Arial"/>
          <w:szCs w:val="16"/>
        </w:rPr>
        <w:t>, ‘</w:t>
      </w:r>
      <w:hyperlink r:id="rId157" w:history="1">
        <w:r w:rsidRPr="00EE11DD">
          <w:rPr>
            <w:rStyle w:val="Hyperlink"/>
            <w:rFonts w:cs="Arial"/>
            <w:szCs w:val="16"/>
          </w:rPr>
          <w:t>Full year 2017 results’</w:t>
        </w:r>
      </w:hyperlink>
      <w:r w:rsidRPr="00A6545E">
        <w:rPr>
          <w:rFonts w:cs="Arial"/>
          <w:szCs w:val="16"/>
        </w:rPr>
        <w:t>, 17 August 2017.</w:t>
      </w:r>
    </w:p>
  </w:endnote>
  <w:endnote w:id="207">
    <w:p w14:paraId="3DEA6611"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B and T online, ‘</w:t>
      </w:r>
      <w:hyperlink r:id="rId158" w:history="1">
        <w:r w:rsidRPr="00EE11DD">
          <w:rPr>
            <w:rStyle w:val="Hyperlink"/>
            <w:rFonts w:cs="Arial"/>
            <w:szCs w:val="16"/>
          </w:rPr>
          <w:t>Aussie TV Streaming Grows 25% In Four Months: OzTAM</w:t>
        </w:r>
      </w:hyperlink>
      <w:r w:rsidRPr="007071E3">
        <w:rPr>
          <w:rStyle w:val="Hyperlink"/>
          <w:color w:val="auto"/>
          <w:u w:val="none"/>
        </w:rPr>
        <w:t>’, 11 August 2017.</w:t>
      </w:r>
    </w:p>
  </w:endnote>
  <w:endnote w:id="208">
    <w:p w14:paraId="645A7C1B"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Nielsen, ‘</w:t>
      </w:r>
      <w:hyperlink r:id="rId159" w:history="1">
        <w:r w:rsidRPr="00EE11DD">
          <w:rPr>
            <w:rStyle w:val="Hyperlink"/>
            <w:rFonts w:cs="Arial"/>
            <w:szCs w:val="16"/>
          </w:rPr>
          <w:t>Australians’ voracious video viewing behaviours’</w:t>
        </w:r>
      </w:hyperlink>
      <w:r w:rsidRPr="00A6545E">
        <w:rPr>
          <w:rFonts w:cs="Arial"/>
          <w:szCs w:val="16"/>
        </w:rPr>
        <w:t>, media release, 10 July 2017.</w:t>
      </w:r>
    </w:p>
  </w:endnote>
  <w:endnote w:id="209">
    <w:p w14:paraId="7E580127"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Cisco, </w:t>
      </w:r>
      <w:hyperlink r:id="rId160" w:history="1">
        <w:r w:rsidRPr="00EE11DD">
          <w:rPr>
            <w:rStyle w:val="Hyperlink"/>
            <w:rFonts w:cs="Arial"/>
            <w:i/>
            <w:szCs w:val="16"/>
          </w:rPr>
          <w:t>Cisco Visual Networking Index: Forecast and Methodology, 2015–2020</w:t>
        </w:r>
      </w:hyperlink>
      <w:r w:rsidRPr="00A6545E">
        <w:rPr>
          <w:rFonts w:cs="Arial"/>
          <w:szCs w:val="16"/>
        </w:rPr>
        <w:t>, accessed 23 August 2017.</w:t>
      </w:r>
    </w:p>
  </w:endnote>
  <w:endnote w:id="210">
    <w:p w14:paraId="11314436"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211">
    <w:p w14:paraId="2A1275A7" w14:textId="77777777" w:rsidR="00015FAC" w:rsidRPr="00A6545E" w:rsidRDefault="00015FAC" w:rsidP="001F2D82">
      <w:pPr>
        <w:pStyle w:val="EndnoteText"/>
        <w:rPr>
          <w:rFonts w:cs="Arial"/>
          <w:szCs w:val="16"/>
        </w:rPr>
      </w:pPr>
      <w:r w:rsidRPr="00A6545E">
        <w:rPr>
          <w:rStyle w:val="EndnoteReference"/>
          <w:sz w:val="18"/>
          <w:szCs w:val="18"/>
        </w:rPr>
        <w:endnoteRef/>
      </w:r>
      <w:r w:rsidRPr="00EE11DD">
        <w:rPr>
          <w:rFonts w:cs="Arial"/>
          <w:szCs w:val="16"/>
        </w:rPr>
        <w:t xml:space="preserve"> Nielsen, ‘</w:t>
      </w:r>
      <w:hyperlink r:id="rId161" w:history="1">
        <w:r w:rsidRPr="00EE11DD">
          <w:rPr>
            <w:rStyle w:val="Hyperlink"/>
            <w:rFonts w:cs="Arial"/>
            <w:szCs w:val="16"/>
          </w:rPr>
          <w:t>Australians’ voracious video viewing behaviours’</w:t>
        </w:r>
      </w:hyperlink>
      <w:r w:rsidRPr="00A6545E">
        <w:rPr>
          <w:rFonts w:cs="Arial"/>
          <w:szCs w:val="16"/>
        </w:rPr>
        <w:t>, media release, 10 July 2017.</w:t>
      </w:r>
    </w:p>
  </w:endnote>
  <w:endnote w:id="212">
    <w:p w14:paraId="21385DB0" w14:textId="77777777" w:rsidR="00015FAC" w:rsidRPr="00EE11DD"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ACMA-commissioned survey, June 2017.</w:t>
      </w:r>
    </w:p>
  </w:endnote>
  <w:endnote w:id="213">
    <w:p w14:paraId="0A6EF07F"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News &amp; Media Research Centre, ‘</w:t>
      </w:r>
      <w:hyperlink r:id="rId162" w:history="1">
        <w:r>
          <w:rPr>
            <w:rStyle w:val="Hyperlink"/>
            <w:rFonts w:cs="Arial"/>
            <w:i/>
            <w:szCs w:val="16"/>
          </w:rPr>
          <w:t>Digital news report: Australia 2017</w:t>
        </w:r>
      </w:hyperlink>
      <w:r>
        <w:rPr>
          <w:rFonts w:cs="Arial"/>
          <w:i/>
          <w:szCs w:val="16"/>
        </w:rPr>
        <w:t>’,</w:t>
      </w:r>
      <w:r w:rsidRPr="00A6545E">
        <w:rPr>
          <w:rFonts w:cs="Arial"/>
          <w:i/>
          <w:szCs w:val="16"/>
        </w:rPr>
        <w:t xml:space="preserve"> </w:t>
      </w:r>
      <w:r w:rsidRPr="00A6545E">
        <w:rPr>
          <w:rFonts w:cs="Arial"/>
          <w:szCs w:val="16"/>
        </w:rPr>
        <w:t>University of Canberra, accessed 23 August 2017.</w:t>
      </w:r>
    </w:p>
  </w:endnote>
  <w:endnote w:id="214">
    <w:p w14:paraId="5D0CFD85"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215">
    <w:p w14:paraId="5666B8CC"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p>
  </w:endnote>
  <w:endnote w:id="216">
    <w:p w14:paraId="3DCC5003"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Style w:val="EndnoteReference"/>
          <w:sz w:val="18"/>
        </w:rPr>
        <w:t xml:space="preserve"> </w:t>
      </w:r>
      <w:r>
        <w:rPr>
          <w:rFonts w:cs="Arial"/>
          <w:szCs w:val="16"/>
        </w:rPr>
        <w:t>ibid.</w:t>
      </w:r>
      <w:r w:rsidRPr="00A6545E">
        <w:rPr>
          <w:rFonts w:cs="Arial"/>
          <w:szCs w:val="16"/>
        </w:rPr>
        <w:t xml:space="preserve"> </w:t>
      </w:r>
    </w:p>
  </w:endnote>
  <w:endnote w:id="217">
    <w:p w14:paraId="62265E20" w14:textId="77777777" w:rsidR="00015FAC" w:rsidRDefault="00015FAC">
      <w:pPr>
        <w:pStyle w:val="EndnoteText"/>
      </w:pPr>
      <w:r>
        <w:rPr>
          <w:rStyle w:val="EndnoteReference"/>
        </w:rPr>
        <w:endnoteRef/>
      </w:r>
      <w:r>
        <w:t xml:space="preserve"> An internet referral is similar to a recommendation from one website to another, typically as the result of a search, advertisement or sharing on social media.</w:t>
      </w:r>
    </w:p>
  </w:endnote>
  <w:endnote w:id="218">
    <w:p w14:paraId="74F5E610"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 xml:space="preserve">K. </w:t>
      </w:r>
      <w:r w:rsidRPr="00EE11DD">
        <w:rPr>
          <w:rFonts w:cs="Arial"/>
          <w:szCs w:val="16"/>
        </w:rPr>
        <w:t>Doctor, ‘</w:t>
      </w:r>
      <w:hyperlink r:id="rId163" w:history="1">
        <w:r w:rsidRPr="00EE11DD">
          <w:rPr>
            <w:rStyle w:val="Hyperlink"/>
            <w:rFonts w:cs="Arial"/>
            <w:szCs w:val="16"/>
          </w:rPr>
          <w:t>Facing the new Facebook reality: The numbers behind the fright</w:t>
        </w:r>
      </w:hyperlink>
      <w:r w:rsidRPr="00A6545E">
        <w:rPr>
          <w:rStyle w:val="Hyperlink"/>
          <w:rFonts w:cs="Arial"/>
          <w:color w:val="auto"/>
          <w:szCs w:val="16"/>
        </w:rPr>
        <w:t>’</w:t>
      </w:r>
      <w:r w:rsidRPr="007071E3">
        <w:rPr>
          <w:rStyle w:val="Hyperlink"/>
          <w:color w:val="auto"/>
          <w:u w:val="none"/>
        </w:rPr>
        <w:t xml:space="preserve">, </w:t>
      </w:r>
      <w:r w:rsidRPr="00E93CCE">
        <w:rPr>
          <w:rStyle w:val="Hyperlink"/>
          <w:i/>
          <w:color w:val="auto"/>
          <w:u w:val="none"/>
        </w:rPr>
        <w:t>Politico Media</w:t>
      </w:r>
      <w:r w:rsidRPr="00DB440C">
        <w:rPr>
          <w:rStyle w:val="Hyperlink"/>
          <w:color w:val="auto"/>
          <w:u w:val="none"/>
        </w:rPr>
        <w:t>, 7 November 2016.</w:t>
      </w:r>
    </w:p>
  </w:endnote>
  <w:endnote w:id="219">
    <w:p w14:paraId="1887D7FF"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ibid</w:t>
      </w:r>
      <w:r w:rsidRPr="00DB440C">
        <w:rPr>
          <w:rStyle w:val="Hyperlink"/>
          <w:color w:val="auto"/>
          <w:u w:val="none"/>
        </w:rPr>
        <w:t>.</w:t>
      </w:r>
    </w:p>
  </w:endnote>
  <w:endnote w:id="220">
    <w:p w14:paraId="2E75FF92"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PwC, </w:t>
      </w:r>
      <w:hyperlink r:id="rId164" w:history="1">
        <w:r w:rsidRPr="00EE11DD">
          <w:rPr>
            <w:rStyle w:val="Hyperlink"/>
            <w:rFonts w:cs="Arial"/>
            <w:i/>
            <w:szCs w:val="16"/>
          </w:rPr>
          <w:t>Entertainment and Media Outlook 2017-2021</w:t>
        </w:r>
      </w:hyperlink>
      <w:r w:rsidRPr="00A6545E">
        <w:rPr>
          <w:rFonts w:cs="Arial"/>
          <w:szCs w:val="16"/>
        </w:rPr>
        <w:t>.</w:t>
      </w:r>
    </w:p>
  </w:endnote>
  <w:endnote w:id="221">
    <w:p w14:paraId="7FDA44C6"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 xml:space="preserve">A. </w:t>
      </w:r>
      <w:r w:rsidRPr="00EE11DD">
        <w:rPr>
          <w:rFonts w:cs="Arial"/>
          <w:szCs w:val="16"/>
        </w:rPr>
        <w:t>Dawson, ‘</w:t>
      </w:r>
      <w:hyperlink r:id="rId165" w:history="1">
        <w:r w:rsidRPr="00EE11DD">
          <w:rPr>
            <w:rStyle w:val="Hyperlink"/>
            <w:rFonts w:cs="Arial"/>
            <w:szCs w:val="16"/>
          </w:rPr>
          <w:t>Public trust in Australian media falls to all-time low</w:t>
        </w:r>
      </w:hyperlink>
      <w:r w:rsidRPr="00A6545E">
        <w:rPr>
          <w:rStyle w:val="Hyperlink"/>
          <w:rFonts w:cs="Arial"/>
          <w:szCs w:val="16"/>
        </w:rPr>
        <w:t>’</w:t>
      </w:r>
      <w:r w:rsidRPr="00A6545E">
        <w:rPr>
          <w:rFonts w:cs="Arial"/>
          <w:szCs w:val="16"/>
        </w:rPr>
        <w:t xml:space="preserve">, </w:t>
      </w:r>
      <w:r w:rsidRPr="00A6545E">
        <w:rPr>
          <w:rFonts w:cs="Arial"/>
          <w:i/>
          <w:szCs w:val="16"/>
        </w:rPr>
        <w:t>Mumbrella</w:t>
      </w:r>
      <w:r w:rsidRPr="00A6545E">
        <w:rPr>
          <w:rFonts w:cs="Arial"/>
          <w:szCs w:val="16"/>
        </w:rPr>
        <w:t>, 17 March 2017.</w:t>
      </w:r>
    </w:p>
  </w:endnote>
  <w:endnote w:id="222">
    <w:p w14:paraId="738D5DBB" w14:textId="77777777" w:rsidR="00015FAC" w:rsidRPr="00A6545E" w:rsidRDefault="00015FAC" w:rsidP="00776ACF">
      <w:pPr>
        <w:pStyle w:val="EndnoteText"/>
        <w:rPr>
          <w:rFonts w:cs="Arial"/>
          <w:i/>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 xml:space="preserve">Deloitte, </w:t>
      </w:r>
      <w:hyperlink r:id="rId166" w:history="1">
        <w:r w:rsidRPr="004E05B2">
          <w:rPr>
            <w:rStyle w:val="Hyperlink"/>
            <w:rFonts w:cs="Arial"/>
            <w:i/>
            <w:szCs w:val="16"/>
          </w:rPr>
          <w:t>Media Consumer Survey 201</w:t>
        </w:r>
        <w:r w:rsidRPr="00471E25">
          <w:rPr>
            <w:rStyle w:val="Hyperlink"/>
          </w:rPr>
          <w:t>7—</w:t>
        </w:r>
        <w:r w:rsidRPr="002C648D">
          <w:rPr>
            <w:rStyle w:val="Hyperlink"/>
            <w:i/>
          </w:rPr>
          <w:t>Australian media and digital preference</w:t>
        </w:r>
        <w:r w:rsidRPr="00471E25">
          <w:rPr>
            <w:rStyle w:val="Hyperlink"/>
          </w:rPr>
          <w:t>, sixth</w:t>
        </w:r>
        <w:r w:rsidRPr="00471E25">
          <w:rPr>
            <w:rStyle w:val="Hyperlink"/>
            <w:i/>
          </w:rPr>
          <w:t xml:space="preserve"> </w:t>
        </w:r>
        <w:r w:rsidRPr="002C648D">
          <w:rPr>
            <w:rStyle w:val="Hyperlink"/>
          </w:rPr>
          <w:t>edition</w:t>
        </w:r>
      </w:hyperlink>
      <w:r w:rsidRPr="00A6545E">
        <w:rPr>
          <w:rFonts w:cs="Arial"/>
          <w:szCs w:val="16"/>
        </w:rPr>
        <w:t>.</w:t>
      </w:r>
    </w:p>
  </w:endnote>
  <w:endnote w:id="223">
    <w:p w14:paraId="1151CE3D" w14:textId="77777777" w:rsidR="00015FAC" w:rsidRDefault="00015FAC" w:rsidP="00776ACF">
      <w:pPr>
        <w:pStyle w:val="EndnoteText"/>
      </w:pPr>
      <w:r>
        <w:rPr>
          <w:rStyle w:val="EndnoteReference"/>
        </w:rPr>
        <w:endnoteRef/>
      </w:r>
      <w:r>
        <w:t xml:space="preserve"> ‘Outdoor’ refers to advertising that is seen outdoors, such as billboards, etc.</w:t>
      </w:r>
    </w:p>
  </w:endnote>
  <w:endnote w:id="224">
    <w:p w14:paraId="0A61C504" w14:textId="77777777" w:rsidR="00015FAC" w:rsidRPr="00A6545E" w:rsidRDefault="00015FAC" w:rsidP="00776ACF">
      <w:pPr>
        <w:pStyle w:val="EndnoteText"/>
        <w:rPr>
          <w:rFonts w:cs="Arial"/>
          <w:szCs w:val="16"/>
        </w:rPr>
      </w:pPr>
      <w:r w:rsidRPr="00A6545E">
        <w:rPr>
          <w:rStyle w:val="EndnoteReference"/>
          <w:sz w:val="18"/>
          <w:szCs w:val="18"/>
        </w:rPr>
        <w:endnoteRef/>
      </w:r>
      <w:r w:rsidRPr="00EE11DD">
        <w:rPr>
          <w:rFonts w:cs="Arial"/>
          <w:szCs w:val="16"/>
        </w:rPr>
        <w:t xml:space="preserve"> </w:t>
      </w:r>
      <w:r>
        <w:rPr>
          <w:rFonts w:cs="Arial"/>
          <w:szCs w:val="16"/>
        </w:rPr>
        <w:t>GfK,</w:t>
      </w:r>
      <w:r w:rsidRPr="00EE11DD">
        <w:rPr>
          <w:rFonts w:cs="Arial"/>
          <w:szCs w:val="16"/>
        </w:rPr>
        <w:t xml:space="preserve"> </w:t>
      </w:r>
      <w:hyperlink r:id="rId167" w:history="1">
        <w:r w:rsidRPr="002C648D">
          <w:rPr>
            <w:rStyle w:val="Hyperlink"/>
            <w:rFonts w:cs="Arial"/>
            <w:i/>
            <w:szCs w:val="16"/>
          </w:rPr>
          <w:t>Radio Insights Report 2 - Trust and Authenticity</w:t>
        </w:r>
      </w:hyperlink>
      <w:r w:rsidRPr="00A6545E">
        <w:rPr>
          <w:rFonts w:cs="Arial"/>
          <w:szCs w:val="16"/>
        </w:rPr>
        <w:t>, 2017.</w:t>
      </w:r>
    </w:p>
  </w:endnote>
  <w:endnote w:id="225">
    <w:p w14:paraId="63CFEF89" w14:textId="77777777" w:rsidR="00015FAC" w:rsidRPr="00EE11DD" w:rsidRDefault="00015FAC" w:rsidP="00017DB8">
      <w:pPr>
        <w:pStyle w:val="EndnoteText"/>
        <w:rPr>
          <w:rFonts w:cs="Arial"/>
          <w:szCs w:val="16"/>
          <w:lang w:val="en-US"/>
        </w:rPr>
      </w:pPr>
      <w:r w:rsidRPr="00A6545E">
        <w:rPr>
          <w:rStyle w:val="EndnoteReference"/>
          <w:sz w:val="18"/>
          <w:szCs w:val="18"/>
        </w:rPr>
        <w:endnoteRef/>
      </w:r>
      <w:r w:rsidRPr="00EE11DD">
        <w:rPr>
          <w:rFonts w:cs="Arial"/>
          <w:szCs w:val="16"/>
          <w:lang w:val="en-US"/>
        </w:rPr>
        <w:t xml:space="preserve"> The scheme imposes a spending obligation on subscription television broadcasting licensees and channel providers on Australian and New Zealand programs, but there is no requirement to broadcast such programs.</w:t>
      </w:r>
    </w:p>
  </w:endnote>
  <w:endnote w:id="226">
    <w:p w14:paraId="3B2546BE" w14:textId="77777777" w:rsidR="00015FAC" w:rsidRPr="00EE11DD" w:rsidRDefault="00015FAC" w:rsidP="00017DB8">
      <w:pPr>
        <w:pStyle w:val="EndnoteText"/>
        <w:rPr>
          <w:rFonts w:cs="Arial"/>
          <w:szCs w:val="16"/>
          <w:lang w:val="en-US"/>
        </w:rPr>
      </w:pPr>
      <w:r w:rsidRPr="00A6545E">
        <w:rPr>
          <w:rStyle w:val="EndnoteReference"/>
          <w:sz w:val="18"/>
          <w:szCs w:val="18"/>
        </w:rPr>
        <w:endnoteRef/>
      </w:r>
      <w:r w:rsidRPr="00EE11DD">
        <w:rPr>
          <w:rFonts w:cs="Arial"/>
          <w:szCs w:val="16"/>
          <w:lang w:val="en-US"/>
        </w:rPr>
        <w:t xml:space="preserve"> This is the most recent available data at time of publication.</w:t>
      </w:r>
    </w:p>
  </w:endnote>
  <w:endnote w:id="227">
    <w:p w14:paraId="2017B70D" w14:textId="7A0D79A4" w:rsidR="00015FAC" w:rsidRDefault="00015FAC">
      <w:pPr>
        <w:pStyle w:val="EndnoteText"/>
      </w:pPr>
      <w:r>
        <w:rPr>
          <w:rStyle w:val="EndnoteReference"/>
        </w:rPr>
        <w:endnoteRef/>
      </w:r>
      <w:r>
        <w:t xml:space="preserve"> Free TV Australia, ‘</w:t>
      </w:r>
      <w:hyperlink r:id="rId168" w:history="1">
        <w:r w:rsidRPr="005E2699">
          <w:rPr>
            <w:rStyle w:val="Hyperlink"/>
          </w:rPr>
          <w:t>Commercial TV is again the home of local drama</w:t>
        </w:r>
      </w:hyperlink>
      <w:r>
        <w:t>’, m</w:t>
      </w:r>
      <w:r w:rsidRPr="00651AAF">
        <w:t>edia release</w:t>
      </w:r>
      <w:r>
        <w:t>,</w:t>
      </w:r>
      <w:r>
        <w:rPr>
          <w:i/>
        </w:rPr>
        <w:t xml:space="preserve"> </w:t>
      </w:r>
      <w:r>
        <w:t xml:space="preserve">31 October 2017. </w:t>
      </w:r>
    </w:p>
  </w:endnote>
  <w:endnote w:id="228">
    <w:p w14:paraId="48D620E6" w14:textId="77777777" w:rsidR="00015FAC" w:rsidRPr="00EE11DD" w:rsidRDefault="00015FAC" w:rsidP="00DA599E">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ACMA-commissioned survey, June 2016.</w:t>
      </w:r>
    </w:p>
  </w:endnote>
  <w:endnote w:id="229">
    <w:p w14:paraId="59B8F3B7" w14:textId="77777777" w:rsidR="00015FAC" w:rsidRPr="00A6545E" w:rsidRDefault="00015FAC" w:rsidP="00DA599E">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The following services are exempt</w:t>
      </w:r>
      <w:r w:rsidRPr="00A6545E">
        <w:rPr>
          <w:rFonts w:cs="Arial"/>
          <w:szCs w:val="16"/>
        </w:rPr>
        <w:t xml:space="preserve"> from local content obligation—regional commercial radio broadcasting services licensed under section 40 of the BSA, regional racing services and remote licences.</w:t>
      </w:r>
    </w:p>
  </w:endnote>
  <w:endnote w:id="230">
    <w:p w14:paraId="276A9D5B" w14:textId="77777777" w:rsidR="00015FAC" w:rsidRPr="00A6545E" w:rsidRDefault="00015FAC" w:rsidP="00DA599E">
      <w:pPr>
        <w:pStyle w:val="EndnoteText"/>
        <w:rPr>
          <w:rFonts w:cs="Arial"/>
          <w:szCs w:val="16"/>
          <w:lang w:val="en-US"/>
        </w:rPr>
      </w:pPr>
      <w:r w:rsidRPr="00A6545E">
        <w:rPr>
          <w:rStyle w:val="EndnoteReference"/>
          <w:sz w:val="18"/>
          <w:szCs w:val="18"/>
        </w:rPr>
        <w:endnoteRef/>
      </w:r>
      <w:r w:rsidRPr="00EE11DD">
        <w:rPr>
          <w:rFonts w:cs="Arial"/>
          <w:szCs w:val="16"/>
        </w:rPr>
        <w:t xml:space="preserve"> S</w:t>
      </w:r>
      <w:r w:rsidRPr="00EE11DD">
        <w:rPr>
          <w:rFonts w:cs="Arial"/>
          <w:szCs w:val="16"/>
          <w:lang w:val="en-US"/>
        </w:rPr>
        <w:t xml:space="preserve">ubject to certain exceptions, a ‘trigger event’ is defined as: (a) a change in control of </w:t>
      </w:r>
      <w:r w:rsidRPr="00A6545E">
        <w:rPr>
          <w:rFonts w:cs="Arial"/>
          <w:szCs w:val="16"/>
          <w:lang w:val="en-US"/>
        </w:rPr>
        <w:t>a regional commercial radio licence, (b) the formation of a new registrable media group where a regional commercial radio broadcasting licence is in the group or (c) a change in controller of a registrable media group where a regional commercial radio broadcasting licence is in the group.</w:t>
      </w:r>
    </w:p>
  </w:endnote>
  <w:endnote w:id="231">
    <w:p w14:paraId="402378C9" w14:textId="77777777" w:rsidR="00015FAC" w:rsidRPr="00A6545E" w:rsidRDefault="00015FAC" w:rsidP="00DA599E">
      <w:pPr>
        <w:pStyle w:val="EndnoteText"/>
        <w:rPr>
          <w:rFonts w:cs="Arial"/>
          <w:szCs w:val="16"/>
        </w:rPr>
      </w:pPr>
      <w:r w:rsidRPr="00A6545E">
        <w:rPr>
          <w:rStyle w:val="EndnoteReference"/>
          <w:sz w:val="18"/>
          <w:szCs w:val="18"/>
        </w:rPr>
        <w:endnoteRef/>
      </w:r>
      <w:r w:rsidRPr="00EE11DD">
        <w:rPr>
          <w:rStyle w:val="EndnoteReference"/>
          <w:sz w:val="18"/>
        </w:rPr>
        <w:t xml:space="preserve"> </w:t>
      </w:r>
      <w:r w:rsidRPr="00EE11DD">
        <w:rPr>
          <w:rFonts w:cs="Arial"/>
          <w:szCs w:val="16"/>
        </w:rPr>
        <w:t>The following services are exempt from minimum service standards and local presence obligations—regional commercial radio broadcasting services licensed under section 40 of the BSA, regional racing services and remote li</w:t>
      </w:r>
      <w:r w:rsidRPr="00A6545E">
        <w:rPr>
          <w:rFonts w:cs="Arial"/>
          <w:szCs w:val="16"/>
        </w:rPr>
        <w:t>cences.</w:t>
      </w:r>
    </w:p>
  </w:endnote>
  <w:endnote w:id="232">
    <w:p w14:paraId="2BDD90DC" w14:textId="77777777" w:rsidR="00015FAC" w:rsidRPr="00EE11DD" w:rsidRDefault="00015FAC" w:rsidP="00DA599E">
      <w:pPr>
        <w:pStyle w:val="EndnoteText"/>
        <w:rPr>
          <w:rFonts w:cs="Arial"/>
          <w:szCs w:val="16"/>
        </w:rPr>
      </w:pPr>
      <w:r w:rsidRPr="00A6545E">
        <w:rPr>
          <w:rStyle w:val="EndnoteReference"/>
          <w:sz w:val="18"/>
          <w:szCs w:val="18"/>
        </w:rPr>
        <w:endnoteRef/>
      </w:r>
      <w:r w:rsidRPr="00EE11DD">
        <w:rPr>
          <w:rFonts w:cs="Arial"/>
          <w:szCs w:val="16"/>
        </w:rPr>
        <w:t xml:space="preserve"> Department of Communications, </w:t>
      </w:r>
      <w:hyperlink r:id="rId169" w:history="1">
        <w:r w:rsidRPr="00EE11DD">
          <w:rPr>
            <w:rStyle w:val="Hyperlink"/>
            <w:rFonts w:cs="Arial"/>
            <w:i/>
            <w:szCs w:val="16"/>
          </w:rPr>
          <w:t>Digital Radio Report</w:t>
        </w:r>
      </w:hyperlink>
      <w:r w:rsidRPr="00EE11DD">
        <w:rPr>
          <w:rFonts w:cs="Arial"/>
          <w:szCs w:val="16"/>
        </w:rPr>
        <w:t>, July 2015.</w:t>
      </w:r>
    </w:p>
  </w:endnote>
  <w:endnote w:id="233">
    <w:p w14:paraId="6E0B1997" w14:textId="77777777" w:rsidR="00015FAC" w:rsidRPr="00EE11DD" w:rsidRDefault="00015FAC" w:rsidP="00DA599E">
      <w:pPr>
        <w:pStyle w:val="EndnoteText"/>
        <w:rPr>
          <w:rFonts w:cs="Arial"/>
          <w:szCs w:val="16"/>
        </w:rPr>
      </w:pPr>
      <w:r w:rsidRPr="00A6545E">
        <w:rPr>
          <w:rStyle w:val="EndnoteReference"/>
          <w:sz w:val="18"/>
          <w:szCs w:val="18"/>
        </w:rPr>
        <w:endnoteRef/>
      </w:r>
      <w:r w:rsidRPr="00EE11DD">
        <w:rPr>
          <w:rFonts w:cs="Arial"/>
          <w:szCs w:val="16"/>
        </w:rPr>
        <w:t xml:space="preserve"> Areas with less than 30 per cent overlap with another licence area. </w:t>
      </w:r>
    </w:p>
  </w:endnote>
  <w:endnote w:id="234">
    <w:p w14:paraId="3AE1B59C" w14:textId="77777777" w:rsidR="00015FAC" w:rsidRDefault="00015FAC" w:rsidP="004220FB">
      <w:pPr>
        <w:spacing w:after="80"/>
        <w:rPr>
          <w:b/>
        </w:rPr>
      </w:pPr>
      <w:r w:rsidRPr="001B5D0B">
        <w:rPr>
          <w:b/>
        </w:rPr>
        <w:t>Endnotes</w:t>
      </w:r>
    </w:p>
    <w:p w14:paraId="0000EFFA" w14:textId="77777777" w:rsidR="00015FAC" w:rsidRDefault="00015FAC" w:rsidP="004220FB">
      <w:pPr>
        <w:pStyle w:val="EndnoteText"/>
      </w:pPr>
      <w:r>
        <w:rPr>
          <w:rStyle w:val="EndnoteReference"/>
        </w:rPr>
        <w:endnoteRef/>
      </w:r>
      <w:r>
        <w:t xml:space="preserve"> The total of emergency call percentages does not equate to 100 per cent. Public payphones are a subset of fixed calls. </w:t>
      </w:r>
    </w:p>
  </w:endnote>
  <w:endnote w:id="235">
    <w:p w14:paraId="3F02F62E" w14:textId="77777777" w:rsidR="00015FAC" w:rsidRDefault="00015FAC">
      <w:pPr>
        <w:pStyle w:val="EndnoteText"/>
      </w:pPr>
      <w:r>
        <w:rPr>
          <w:rStyle w:val="EndnoteReference"/>
        </w:rPr>
        <w:endnoteRef/>
      </w:r>
      <w:r>
        <w:t xml:space="preserve"> In July 2017, DoCA published </w:t>
      </w:r>
      <w:hyperlink r:id="rId170" w:history="1">
        <w:r w:rsidRPr="005E2699">
          <w:rPr>
            <w:rStyle w:val="Hyperlink"/>
            <w:i/>
          </w:rPr>
          <w:t>Guidelines for the use of section 313(3) of the T</w:t>
        </w:r>
        <w:r w:rsidRPr="00114A34">
          <w:rPr>
            <w:rStyle w:val="Hyperlink"/>
          </w:rPr>
          <w:t>elecommunications Act 1997</w:t>
        </w:r>
        <w:r w:rsidRPr="005E2699">
          <w:rPr>
            <w:rStyle w:val="Hyperlink"/>
            <w:i/>
          </w:rPr>
          <w:t xml:space="preserve"> by government agencies for the lawful disruption of access to online services</w:t>
        </w:r>
      </w:hyperlink>
      <w:r w:rsidRPr="009946A4">
        <w:t>.</w:t>
      </w:r>
    </w:p>
  </w:endnote>
  <w:endnote w:id="236">
    <w:p w14:paraId="6FAB0A91" w14:textId="77777777" w:rsidR="00015FAC" w:rsidRPr="0032755E" w:rsidRDefault="00015FAC" w:rsidP="00243409">
      <w:pPr>
        <w:pStyle w:val="EndnoteText"/>
        <w:rPr>
          <w:rFonts w:cs="Arial"/>
          <w:szCs w:val="16"/>
        </w:rPr>
      </w:pPr>
      <w:r w:rsidRPr="0032755E">
        <w:rPr>
          <w:rStyle w:val="EndnoteReference"/>
          <w:rFonts w:cs="Arial"/>
          <w:szCs w:val="16"/>
        </w:rPr>
        <w:endnoteRef/>
      </w:r>
      <w:r w:rsidRPr="0032755E">
        <w:rPr>
          <w:rFonts w:cs="Arial"/>
          <w:szCs w:val="16"/>
        </w:rPr>
        <w:t xml:space="preserve"> The definition of a carrier under section 5 of the TIA Act includes CSPs for these provisions.</w:t>
      </w:r>
    </w:p>
  </w:endnote>
  <w:endnote w:id="237">
    <w:p w14:paraId="0FC14BB9" w14:textId="77777777" w:rsidR="00015FAC" w:rsidRPr="00FF5649" w:rsidRDefault="00015FAC" w:rsidP="00243409">
      <w:pPr>
        <w:pStyle w:val="EndnoteText"/>
        <w:rPr>
          <w:rFonts w:cs="Arial"/>
          <w:b/>
          <w:szCs w:val="16"/>
        </w:rPr>
      </w:pPr>
      <w:r w:rsidRPr="0032755E">
        <w:rPr>
          <w:rStyle w:val="EndnoteReference"/>
          <w:rFonts w:cs="Arial"/>
          <w:szCs w:val="16"/>
        </w:rPr>
        <w:endnoteRef/>
      </w:r>
      <w:r w:rsidRPr="0032755E">
        <w:rPr>
          <w:rFonts w:cs="Arial"/>
          <w:szCs w:val="16"/>
        </w:rPr>
        <w:t xml:space="preserve"> Nominated CSPs are CSPs covered by a declaration in force under subsection 197(4) of the TIA Act.</w:t>
      </w:r>
      <w:r w:rsidDel="00725F15">
        <w:rPr>
          <w:rFonts w:cs="Arial"/>
          <w:szCs w:val="16"/>
        </w:rPr>
        <w:t xml:space="preserve"> </w:t>
      </w:r>
    </w:p>
  </w:endnote>
  <w:endnote w:id="238">
    <w:p w14:paraId="0582B32E" w14:textId="77777777" w:rsidR="00015FAC" w:rsidRDefault="00015FAC" w:rsidP="004E4BC8">
      <w:pPr>
        <w:pStyle w:val="EndnoteText"/>
      </w:pPr>
      <w:r>
        <w:rPr>
          <w:rStyle w:val="EndnoteReference"/>
        </w:rPr>
        <w:endnoteRef/>
      </w:r>
      <w:r>
        <w:t xml:space="preserve"> </w:t>
      </w:r>
      <w:r w:rsidRPr="009E4E6A">
        <w:rPr>
          <w:szCs w:val="16"/>
        </w:rPr>
        <w:t xml:space="preserve">The costs </w:t>
      </w:r>
      <w:r>
        <w:rPr>
          <w:szCs w:val="16"/>
        </w:rPr>
        <w:t xml:space="preserve">advised </w:t>
      </w:r>
      <w:r w:rsidRPr="009E4E6A">
        <w:rPr>
          <w:szCs w:val="16"/>
        </w:rPr>
        <w:t>by AGD were exclusive of GST</w:t>
      </w:r>
      <w:r>
        <w:rPr>
          <w:szCs w:val="16"/>
        </w:rPr>
        <w:t>.</w:t>
      </w:r>
    </w:p>
  </w:endnote>
  <w:endnote w:id="239">
    <w:p w14:paraId="02209D51" w14:textId="77777777" w:rsidR="00015FAC" w:rsidRPr="00125AF3" w:rsidRDefault="00015FAC" w:rsidP="004E4BC8">
      <w:pPr>
        <w:pStyle w:val="EndnoteText"/>
        <w:rPr>
          <w:rStyle w:val="EndnoteReference"/>
        </w:rPr>
      </w:pPr>
      <w:r>
        <w:rPr>
          <w:rStyle w:val="EndnoteReference"/>
        </w:rPr>
        <w:endnoteRef/>
      </w:r>
      <w:r>
        <w:t xml:space="preserve"> </w:t>
      </w:r>
      <w:r w:rsidRPr="00125AF3">
        <w:rPr>
          <w:szCs w:val="16"/>
        </w:rPr>
        <w:t xml:space="preserve">Administrative costs are incurred by regulated entities primarily to demonstrate </w:t>
      </w:r>
      <w:r>
        <w:rPr>
          <w:szCs w:val="16"/>
        </w:rPr>
        <w:t>compliance with regulation</w:t>
      </w:r>
      <w:r w:rsidRPr="00700340">
        <w:rPr>
          <w:rFonts w:cs="Arial"/>
        </w:rPr>
        <w:t>. Some exam</w:t>
      </w:r>
      <w:r w:rsidRPr="00666715">
        <w:rPr>
          <w:rFonts w:cs="Arial"/>
        </w:rPr>
        <w:t xml:space="preserve">ples of administrative costs </w:t>
      </w:r>
      <w:r>
        <w:rPr>
          <w:rFonts w:cs="Arial"/>
        </w:rPr>
        <w:t xml:space="preserve">include the </w:t>
      </w:r>
      <w:r w:rsidRPr="00700340">
        <w:rPr>
          <w:rFonts w:cs="Arial"/>
        </w:rPr>
        <w:t>costs of</w:t>
      </w:r>
      <w:r>
        <w:rPr>
          <w:szCs w:val="16"/>
        </w:rPr>
        <w:t xml:space="preserve"> making, keeping and providing records</w:t>
      </w:r>
      <w:r w:rsidRPr="00700340">
        <w:rPr>
          <w:rFonts w:cs="Arial"/>
        </w:rPr>
        <w:t>.</w:t>
      </w:r>
    </w:p>
  </w:endnote>
  <w:endnote w:id="240">
    <w:p w14:paraId="383FE958" w14:textId="77777777" w:rsidR="00015FAC" w:rsidRPr="00125AF3" w:rsidRDefault="00015FAC" w:rsidP="004E4BC8">
      <w:pPr>
        <w:pStyle w:val="EndnoteText"/>
        <w:rPr>
          <w:szCs w:val="16"/>
        </w:rPr>
      </w:pPr>
      <w:r w:rsidRPr="00125AF3">
        <w:rPr>
          <w:rStyle w:val="EndnoteReference"/>
        </w:rPr>
        <w:endnoteRef/>
      </w:r>
      <w:r w:rsidRPr="00125AF3">
        <w:rPr>
          <w:szCs w:val="16"/>
        </w:rPr>
        <w:t xml:space="preserve"> </w:t>
      </w:r>
      <w:r w:rsidRPr="00700340">
        <w:rPr>
          <w:rFonts w:cs="Arial"/>
        </w:rPr>
        <w:t>Some examples of substantive compliance costs are</w:t>
      </w:r>
      <w:r>
        <w:rPr>
          <w:rFonts w:cs="Arial"/>
        </w:rPr>
        <w:t xml:space="preserve"> the</w:t>
      </w:r>
      <w:r w:rsidRPr="00700340">
        <w:rPr>
          <w:rFonts w:cs="Arial"/>
        </w:rPr>
        <w:t xml:space="preserve"> costs of providing training to employees to meet regulatory requirements</w:t>
      </w:r>
      <w:r>
        <w:rPr>
          <w:rFonts w:cs="Arial"/>
        </w:rPr>
        <w:t>,</w:t>
      </w:r>
      <w:r w:rsidRPr="00700340">
        <w:rPr>
          <w:rFonts w:cs="Arial"/>
        </w:rPr>
        <w:t xml:space="preserve"> purchasing and maintaining plant and equipment</w:t>
      </w:r>
      <w:r>
        <w:rPr>
          <w:rFonts w:cs="Arial"/>
        </w:rPr>
        <w:t>, and</w:t>
      </w:r>
      <w:r w:rsidRPr="00700340">
        <w:rPr>
          <w:rFonts w:cs="Arial"/>
        </w:rPr>
        <w:t xml:space="preserve"> professional services incurred to meet the data retention requirements.</w:t>
      </w:r>
    </w:p>
  </w:endnote>
  <w:endnote w:id="241">
    <w:p w14:paraId="06E7A24D" w14:textId="77777777" w:rsidR="00015FAC" w:rsidRDefault="00015FAC">
      <w:pPr>
        <w:pStyle w:val="EndnoteText"/>
      </w:pPr>
      <w:r>
        <w:rPr>
          <w:rStyle w:val="EndnoteReference"/>
        </w:rPr>
        <w:endnoteRef/>
      </w:r>
      <w:r>
        <w:t xml:space="preserve"> </w:t>
      </w:r>
      <w:r w:rsidRPr="00700340">
        <w:rPr>
          <w:rFonts w:cs="Arial"/>
        </w:rPr>
        <w:t xml:space="preserve">When providing necessary assistance to </w:t>
      </w:r>
      <w:r w:rsidRPr="000C24C8">
        <w:rPr>
          <w:rFonts w:cs="Arial"/>
        </w:rPr>
        <w:t>CLEAs</w:t>
      </w:r>
      <w:r w:rsidRPr="00700340">
        <w:rPr>
          <w:rFonts w:cs="Arial"/>
        </w:rPr>
        <w:t xml:space="preserve">, carriers and </w:t>
      </w:r>
      <w:r>
        <w:rPr>
          <w:rFonts w:cs="Arial"/>
        </w:rPr>
        <w:t>service providers</w:t>
      </w:r>
      <w:r w:rsidRPr="00700340">
        <w:rPr>
          <w:rFonts w:cs="Arial"/>
        </w:rPr>
        <w:t xml:space="preserve"> </w:t>
      </w:r>
      <w:r>
        <w:rPr>
          <w:rFonts w:cs="Arial"/>
        </w:rPr>
        <w:t>do so</w:t>
      </w:r>
      <w:r w:rsidRPr="00700340">
        <w:rPr>
          <w:rFonts w:cs="Arial"/>
        </w:rPr>
        <w:t xml:space="preserve"> on the basis that the </w:t>
      </w:r>
      <w:r>
        <w:rPr>
          <w:rFonts w:cs="Arial"/>
        </w:rPr>
        <w:t xml:space="preserve">carrier or service provider </w:t>
      </w:r>
      <w:r w:rsidRPr="00700340">
        <w:rPr>
          <w:rFonts w:cs="Arial"/>
        </w:rPr>
        <w:t xml:space="preserve">neither benefits from, nor </w:t>
      </w:r>
      <w:r>
        <w:rPr>
          <w:rFonts w:cs="Arial"/>
        </w:rPr>
        <w:t>absorbs</w:t>
      </w:r>
      <w:r w:rsidRPr="00700340">
        <w:rPr>
          <w:rFonts w:cs="Arial"/>
        </w:rPr>
        <w:t xml:space="preserve"> the costs of, giving that assistance and can therefore recover costs in accordance with agreed terms and conditions.</w:t>
      </w:r>
      <w:r>
        <w:rPr>
          <w:rFonts w:cs="Arial"/>
        </w:rPr>
        <w:t xml:space="preserve"> </w:t>
      </w:r>
    </w:p>
  </w:endnote>
  <w:endnote w:id="242">
    <w:p w14:paraId="7F4A1978" w14:textId="77777777" w:rsidR="00015FAC" w:rsidRPr="001317A5" w:rsidRDefault="00015FAC" w:rsidP="007575E8">
      <w:pPr>
        <w:spacing w:after="80"/>
        <w:rPr>
          <w:b/>
        </w:rPr>
      </w:pPr>
      <w:r w:rsidRPr="001B5D0B">
        <w:rPr>
          <w:b/>
        </w:rPr>
        <w:t>Endnotes</w:t>
      </w:r>
    </w:p>
    <w:p w14:paraId="58C004F5" w14:textId="77777777" w:rsidR="00015FAC" w:rsidRPr="005D0EC0" w:rsidRDefault="00015FAC">
      <w:pPr>
        <w:pStyle w:val="EndnoteText"/>
        <w:rPr>
          <w:i/>
        </w:rPr>
      </w:pPr>
      <w:r>
        <w:rPr>
          <w:rStyle w:val="EndnoteReference"/>
        </w:rPr>
        <w:endnoteRef/>
      </w:r>
      <w:r>
        <w:t xml:space="preserve"> The TIL is imposed under the </w:t>
      </w:r>
      <w:r>
        <w:rPr>
          <w:i/>
        </w:rPr>
        <w:t>Telecommunications (Industry Levy) Act 2012.</w:t>
      </w:r>
    </w:p>
  </w:endnote>
  <w:endnote w:id="243">
    <w:p w14:paraId="598B084A" w14:textId="4C34D2EA" w:rsidR="00015FAC" w:rsidRDefault="00015FAC" w:rsidP="000C526C">
      <w:pPr>
        <w:pStyle w:val="EndnoteText"/>
      </w:pPr>
      <w:r>
        <w:rPr>
          <w:rStyle w:val="EndnoteReference"/>
        </w:rPr>
        <w:endnoteRef/>
      </w:r>
      <w:r>
        <w:t xml:space="preserve"> This is a correction of the </w:t>
      </w:r>
      <w:r w:rsidRPr="001317A5">
        <w:rPr>
          <w:i/>
        </w:rPr>
        <w:t>Communications report 2015–16</w:t>
      </w:r>
      <w:r>
        <w:t>, which reported total investigations concluded as 14.</w:t>
      </w:r>
    </w:p>
  </w:endnote>
  <w:endnote w:id="244">
    <w:p w14:paraId="45C9DE31" w14:textId="77777777" w:rsidR="00015FAC" w:rsidRDefault="00015FAC">
      <w:pPr>
        <w:pStyle w:val="EndnoteText"/>
      </w:pPr>
      <w:r>
        <w:rPr>
          <w:rStyle w:val="EndnoteReference"/>
        </w:rPr>
        <w:endnoteRef/>
      </w:r>
      <w:r>
        <w:t xml:space="preserve"> Telecommunications Industry Ombudsman, </w:t>
      </w:r>
      <w:r w:rsidRPr="005D0EC0">
        <w:rPr>
          <w:i/>
        </w:rPr>
        <w:t>2016–17 Annual Report,</w:t>
      </w:r>
      <w:r>
        <w:t xml:space="preserve"> 18 October 2017.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Regular">
    <w:panose1 w:val="00000000000000000000"/>
    <w:charset w:val="00"/>
    <w:family w:val="auto"/>
    <w:notTrueType/>
    <w:pitch w:val="default"/>
    <w:sig w:usb0="00000003" w:usb1="00000000" w:usb2="00000000" w:usb3="00000000" w:csb0="00000001" w:csb1="00000000"/>
  </w:font>
  <w:font w:name="Source Sans Pro Light">
    <w:charset w:val="00"/>
    <w:family w:val="swiss"/>
    <w:pitch w:val="variable"/>
    <w:sig w:usb0="600002F7" w:usb1="02000001" w:usb2="00000000" w:usb3="00000000" w:csb0="0000019F" w:csb1="00000000"/>
  </w:font>
  <w:font w:name="Helvetica 45 Light">
    <w:altName w:val="Arial"/>
    <w:panose1 w:val="00000000000000000000"/>
    <w:charset w:val="00"/>
    <w:family w:val="swiss"/>
    <w:notTrueType/>
    <w:pitch w:val="default"/>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HelveticaNeueW01-45Ligh">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DB579E" w14:textId="77777777" w:rsidR="00B37639" w:rsidRDefault="00B376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FC2BA0" w14:textId="77777777" w:rsidR="00B37639" w:rsidRDefault="00B376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5D4790" w14:textId="77777777" w:rsidR="00B37639" w:rsidRDefault="00B3763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C5BD4" w14:textId="77777777" w:rsidR="00015FAC" w:rsidRDefault="00015FA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60D678" w14:textId="77777777" w:rsidR="00015FAC" w:rsidRDefault="00015FA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C736CE" w14:textId="6854A8A6" w:rsidR="00015FAC" w:rsidRPr="00B56BD5" w:rsidRDefault="00015FAC" w:rsidP="00B56BD5">
    <w:pPr>
      <w:framePr w:w="1334" w:h="357" w:hRule="exact" w:vSpace="425" w:wrap="around" w:vAnchor="page" w:hAnchor="page" w:x="1156" w:y="16166"/>
      <w:pBdr>
        <w:top w:val="single" w:sz="4" w:space="1" w:color="auto"/>
      </w:pBdr>
      <w:tabs>
        <w:tab w:val="left" w:pos="284"/>
      </w:tabs>
      <w:spacing w:line="240" w:lineRule="auto"/>
      <w:rPr>
        <w:rFonts w:cs="Arial"/>
        <w:color w:val="323232"/>
        <w:sz w:val="16"/>
      </w:rPr>
    </w:pPr>
    <w:r w:rsidRPr="00B56BD5">
      <w:rPr>
        <w:color w:val="505050"/>
        <w:sz w:val="16"/>
      </w:rPr>
      <w:fldChar w:fldCharType="begin"/>
    </w:r>
    <w:r w:rsidRPr="00B56BD5">
      <w:rPr>
        <w:color w:val="505050"/>
        <w:sz w:val="16"/>
      </w:rPr>
      <w:instrText xml:space="preserve"> PAGE  \* roman  \* MERGEFORMAT </w:instrText>
    </w:r>
    <w:r w:rsidRPr="00B56BD5">
      <w:rPr>
        <w:color w:val="505050"/>
        <w:sz w:val="16"/>
      </w:rPr>
      <w:fldChar w:fldCharType="separate"/>
    </w:r>
    <w:r w:rsidR="00172A5F">
      <w:rPr>
        <w:noProof/>
        <w:color w:val="505050"/>
        <w:sz w:val="16"/>
      </w:rPr>
      <w:t>vi</w:t>
    </w:r>
    <w:r w:rsidRPr="00B56BD5">
      <w:rPr>
        <w:color w:val="505050"/>
        <w:sz w:val="16"/>
      </w:rPr>
      <w:fldChar w:fldCharType="end"/>
    </w:r>
    <w:r w:rsidRPr="00B56BD5">
      <w:rPr>
        <w:rFonts w:cs="Arial"/>
        <w:color w:val="323232"/>
        <w:sz w:val="16"/>
      </w:rPr>
      <w:tab/>
      <w:t xml:space="preserve"> |</w:t>
    </w:r>
    <w:r w:rsidRPr="00B56BD5">
      <w:rPr>
        <w:color w:val="323232"/>
        <w:sz w:val="16"/>
      </w:rPr>
      <w:tab/>
    </w:r>
    <w:r w:rsidRPr="00B56BD5">
      <w:rPr>
        <w:rFonts w:cs="Arial"/>
        <w:b/>
        <w:noProof/>
        <w:color w:val="323232"/>
        <w:spacing w:val="-16"/>
        <w:szCs w:val="20"/>
      </w:rPr>
      <w:t>a</w:t>
    </w:r>
    <w:r w:rsidRPr="00B56BD5">
      <w:rPr>
        <w:rFonts w:cs="Arial"/>
        <w:b/>
        <w:noProof/>
        <w:color w:val="323232"/>
        <w:spacing w:val="-15"/>
        <w:szCs w:val="20"/>
      </w:rPr>
      <w:t>c</w:t>
    </w:r>
    <w:r w:rsidRPr="00B56BD5">
      <w:rPr>
        <w:rFonts w:cs="Arial"/>
        <w:b/>
        <w:noProof/>
        <w:color w:val="323232"/>
        <w:spacing w:val="-16"/>
        <w:szCs w:val="20"/>
      </w:rPr>
      <w:t>m</w:t>
    </w:r>
    <w:r w:rsidRPr="00B56BD5">
      <w:rPr>
        <w:rFonts w:cs="Arial"/>
        <w:b/>
        <w:noProof/>
        <w:color w:val="323232"/>
        <w:spacing w:val="-14"/>
        <w:szCs w:val="20"/>
      </w:rPr>
      <w:t>a</w:t>
    </w:r>
  </w:p>
  <w:p w14:paraId="1B861840" w14:textId="4BC8ECE8" w:rsidR="00015FAC" w:rsidRPr="00A5474E" w:rsidRDefault="00015FA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020B2" w14:textId="41D4BD4C" w:rsidR="00015FAC" w:rsidRPr="00622A3B" w:rsidRDefault="00015FAC" w:rsidP="006554F4">
    <w:pPr>
      <w:pStyle w:val="Footer"/>
      <w:framePr w:w="2865" w:h="357" w:hRule="exact" w:vSpace="425" w:wrap="around" w:vAnchor="page" w:hAnchor="page" w:x="7335" w:y="16166"/>
      <w:pBdr>
        <w:top w:val="single" w:sz="4" w:space="1" w:color="auto"/>
      </w:pBdr>
      <w:tabs>
        <w:tab w:val="clear" w:pos="113"/>
        <w:tab w:val="left" w:pos="284"/>
      </w:tabs>
      <w:ind w:left="1560"/>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84411C">
      <w:rPr>
        <w:rFonts w:cs="Arial"/>
        <w:color w:val="auto"/>
      </w:rPr>
      <w:t>|</w:t>
    </w:r>
    <w:r w:rsidRPr="0084411C">
      <w:rPr>
        <w:color w:val="auto"/>
      </w:rPr>
      <w:tab/>
    </w:r>
    <w:r w:rsidRPr="0084411C">
      <w:rPr>
        <w:color w:val="auto"/>
      </w:rPr>
      <w:fldChar w:fldCharType="begin"/>
    </w:r>
    <w:r w:rsidRPr="0084411C">
      <w:rPr>
        <w:color w:val="auto"/>
      </w:rPr>
      <w:instrText xml:space="preserve"> PAGE  \* roman  \* MERGEFORMAT </w:instrText>
    </w:r>
    <w:r w:rsidRPr="0084411C">
      <w:rPr>
        <w:color w:val="auto"/>
      </w:rPr>
      <w:fldChar w:fldCharType="separate"/>
    </w:r>
    <w:r w:rsidR="00172A5F">
      <w:rPr>
        <w:noProof/>
        <w:color w:val="auto"/>
      </w:rPr>
      <w:t>vii</w:t>
    </w:r>
    <w:r w:rsidRPr="0084411C">
      <w:rPr>
        <w:color w:val="auto"/>
      </w:rPr>
      <w:fldChar w:fldCharType="end"/>
    </w:r>
  </w:p>
  <w:p w14:paraId="3F2318F2" w14:textId="77777777" w:rsidR="00015FAC" w:rsidRPr="00A5474E" w:rsidRDefault="00015FAC"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39F3F" w14:textId="3F6146F9" w:rsidR="00015FAC" w:rsidRPr="00622A3B" w:rsidRDefault="00015FAC" w:rsidP="006554F4">
    <w:pPr>
      <w:pStyle w:val="Footer"/>
      <w:framePr w:w="2865" w:h="357" w:hRule="exact" w:vSpace="425" w:wrap="around" w:vAnchor="page" w:hAnchor="page" w:x="7335" w:y="16166"/>
      <w:pBdr>
        <w:top w:val="single" w:sz="4" w:space="1" w:color="auto"/>
      </w:pBdr>
      <w:tabs>
        <w:tab w:val="clear" w:pos="113"/>
        <w:tab w:val="left" w:pos="284"/>
      </w:tabs>
      <w:ind w:left="1560"/>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172A5F">
      <w:rPr>
        <w:noProof/>
        <w:color w:val="505050"/>
      </w:rPr>
      <w:t>v</w:t>
    </w:r>
    <w:r w:rsidRPr="002E4DDC">
      <w:rPr>
        <w:color w:val="505050"/>
      </w:rPr>
      <w:fldChar w:fldCharType="end"/>
    </w:r>
  </w:p>
  <w:p w14:paraId="39C10BDA" w14:textId="77777777" w:rsidR="00015FAC" w:rsidRPr="00A5474E" w:rsidRDefault="00015FAC"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D7E24" w14:textId="77777777" w:rsidR="00015FAC" w:rsidRPr="00A5474E" w:rsidRDefault="00015FAC"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57B49" w14:textId="0B55A91A" w:rsidR="00015FAC" w:rsidRPr="00622A3B" w:rsidRDefault="00015FAC" w:rsidP="00E97CF6">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172A5F">
      <w:rPr>
        <w:noProof/>
      </w:rPr>
      <w:t>14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5907A45E" w14:textId="77777777" w:rsidR="00015FAC" w:rsidRPr="00A5474E" w:rsidRDefault="00015FAC" w:rsidP="00A5474E">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40F38" w14:textId="29FD365F" w:rsidR="00015FAC" w:rsidRPr="00E97CF6" w:rsidRDefault="00015FAC" w:rsidP="00E97CF6">
    <w:pPr>
      <w:framePr w:w="2863" w:h="357" w:hRule="exact" w:vSpace="425" w:wrap="around" w:vAnchor="page" w:hAnchor="page" w:x="7939" w:y="16166"/>
      <w:pBdr>
        <w:top w:val="single" w:sz="4" w:space="1" w:color="auto"/>
      </w:pBdr>
      <w:tabs>
        <w:tab w:val="left" w:pos="397"/>
      </w:tabs>
      <w:spacing w:line="240" w:lineRule="auto"/>
      <w:ind w:left="1560"/>
      <w:jc w:val="right"/>
      <w:rPr>
        <w:rFonts w:cs="Arial"/>
        <w:color w:val="323232"/>
        <w:sz w:val="16"/>
      </w:rPr>
    </w:pPr>
    <w:r w:rsidRPr="00E97CF6">
      <w:rPr>
        <w:rFonts w:cs="Arial"/>
        <w:b/>
        <w:noProof/>
        <w:color w:val="323232"/>
        <w:spacing w:val="-16"/>
      </w:rPr>
      <w:t>a</w:t>
    </w:r>
    <w:r w:rsidRPr="00E97CF6">
      <w:rPr>
        <w:rFonts w:cs="Arial"/>
        <w:b/>
        <w:noProof/>
        <w:color w:val="323232"/>
        <w:spacing w:val="-15"/>
      </w:rPr>
      <w:t>c</w:t>
    </w:r>
    <w:r w:rsidRPr="00E97CF6">
      <w:rPr>
        <w:rFonts w:cs="Arial"/>
        <w:b/>
        <w:noProof/>
        <w:color w:val="323232"/>
        <w:spacing w:val="-16"/>
      </w:rPr>
      <w:t>m</w:t>
    </w:r>
    <w:r w:rsidRPr="00E97CF6">
      <w:rPr>
        <w:rFonts w:cs="Arial"/>
        <w:b/>
        <w:noProof/>
        <w:color w:val="323232"/>
        <w:spacing w:val="-14"/>
      </w:rPr>
      <w:t>a</w:t>
    </w:r>
    <w:r w:rsidRPr="00E97CF6">
      <w:rPr>
        <w:rFonts w:cs="Arial"/>
        <w:color w:val="323232"/>
        <w:sz w:val="16"/>
      </w:rPr>
      <w:tab/>
      <w:t xml:space="preserve"> |</w:t>
    </w:r>
    <w:r w:rsidRPr="00E97CF6">
      <w:rPr>
        <w:color w:val="323232"/>
        <w:sz w:val="16"/>
      </w:rPr>
      <w:tab/>
    </w:r>
    <w:r w:rsidRPr="00E97CF6">
      <w:rPr>
        <w:color w:val="505050"/>
        <w:sz w:val="16"/>
      </w:rPr>
      <w:fldChar w:fldCharType="begin"/>
    </w:r>
    <w:r w:rsidRPr="00E97CF6">
      <w:rPr>
        <w:color w:val="505050"/>
        <w:sz w:val="16"/>
      </w:rPr>
      <w:instrText xml:space="preserve"> PAGE  \* Arabic  \* MERGEFORMAT </w:instrText>
    </w:r>
    <w:r w:rsidRPr="00E97CF6">
      <w:rPr>
        <w:color w:val="505050"/>
        <w:sz w:val="16"/>
      </w:rPr>
      <w:fldChar w:fldCharType="separate"/>
    </w:r>
    <w:r w:rsidR="00172A5F">
      <w:rPr>
        <w:noProof/>
        <w:color w:val="505050"/>
        <w:sz w:val="16"/>
      </w:rPr>
      <w:t>13</w:t>
    </w:r>
    <w:r w:rsidRPr="00E97CF6">
      <w:rPr>
        <w:color w:val="505050"/>
        <w:sz w:val="16"/>
      </w:rPr>
      <w:fldChar w:fldCharType="end"/>
    </w:r>
  </w:p>
  <w:p w14:paraId="1458B8AE" w14:textId="77777777" w:rsidR="00015FAC" w:rsidRPr="00A5474E" w:rsidRDefault="00015FA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772942" w14:textId="77777777" w:rsidR="00015FAC" w:rsidRDefault="00015FAC" w:rsidP="00531CD0">
      <w:r>
        <w:separator/>
      </w:r>
    </w:p>
  </w:footnote>
  <w:footnote w:type="continuationSeparator" w:id="0">
    <w:p w14:paraId="6876307B" w14:textId="77777777" w:rsidR="00015FAC" w:rsidRDefault="00015FAC" w:rsidP="00531CD0">
      <w:r>
        <w:continuationSeparator/>
      </w:r>
    </w:p>
  </w:footnote>
  <w:footnote w:type="continuationNotice" w:id="1">
    <w:p w14:paraId="31A31042" w14:textId="77777777" w:rsidR="00015FAC" w:rsidRDefault="00015FAC">
      <w:pPr>
        <w:spacing w:after="0" w:line="240" w:lineRule="auto"/>
      </w:pPr>
    </w:p>
  </w:footnote>
  <w:footnote w:id="2">
    <w:p w14:paraId="7474C504" w14:textId="77777777" w:rsidR="00015FAC" w:rsidRPr="00060772" w:rsidRDefault="00015FAC" w:rsidP="00060772">
      <w:pPr>
        <w:spacing w:after="0"/>
        <w:rPr>
          <w:b/>
        </w:rPr>
      </w:pPr>
      <w:r w:rsidRPr="00060772">
        <w:rPr>
          <w:rStyle w:val="FootnoteReference"/>
          <w:b/>
          <w:color w:val="FFFFFF" w:themeColor="background1"/>
          <w:sz w:val="2"/>
          <w:szCs w:val="2"/>
        </w:rPr>
        <w:footnoteRef/>
      </w:r>
      <w:r w:rsidRPr="00060772">
        <w:rPr>
          <w:b/>
          <w:color w:val="FFFFFF" w:themeColor="background1"/>
          <w:sz w:val="2"/>
          <w:szCs w:val="2"/>
        </w:rPr>
        <w:t xml:space="preserve"> </w:t>
      </w:r>
      <w:r w:rsidRPr="00060772">
        <w:rPr>
          <w:b/>
        </w:rPr>
        <w:t>Note on ACMA consumer survey methodology</w:t>
      </w:r>
    </w:p>
    <w:p w14:paraId="3EB7197F" w14:textId="77777777" w:rsidR="00015FAC" w:rsidRPr="00576C53" w:rsidRDefault="00015FAC" w:rsidP="00060772">
      <w:r w:rsidRPr="00576C53">
        <w:t>In 2016, the ACMA-commissioned survey used a different methodology from previous ACMA-commissioned surveys. In 2017</w:t>
      </w:r>
      <w:r>
        <w:t>,</w:t>
      </w:r>
      <w:r w:rsidRPr="00576C53">
        <w:t xml:space="preserve"> the methodology was refined to ensure a more representative sample could be obtained by shifting to a probability-based sample. This means that some difference</w:t>
      </w:r>
      <w:r>
        <w:t>s</w:t>
      </w:r>
      <w:r w:rsidRPr="00576C53">
        <w:t xml:space="preserve"> between 2016 and 2017 may be explained by the methodology rather than any significant change. </w:t>
      </w:r>
    </w:p>
    <w:p w14:paraId="1159FE79" w14:textId="77777777" w:rsidR="00015FAC" w:rsidRDefault="00015FAC" w:rsidP="00060772">
      <w:r w:rsidRPr="00576C53">
        <w:t>Care should therefore be taken when comparing 2017 consumer survey data with figures from previous years. Where this is the case, the tables and charts in the report show a dotted line between the 2016 and 2017 figures, as show</w:t>
      </w:r>
      <w:r>
        <w:t>n</w:t>
      </w:r>
      <w:r w:rsidRPr="00576C53">
        <w:t xml:space="preserve"> in the example below.</w:t>
      </w:r>
    </w:p>
    <w:p w14:paraId="4484198F" w14:textId="77777777" w:rsidR="00015FAC" w:rsidRDefault="00015FAC" w:rsidP="00060772">
      <w:r>
        <w:rPr>
          <w:noProof/>
        </w:rPr>
        <w:drawing>
          <wp:inline distT="0" distB="0" distL="0" distR="0" wp14:anchorId="07BFB2C3" wp14:editId="04D135BC">
            <wp:extent cx="5731510" cy="1207770"/>
            <wp:effectExtent l="0" t="0" r="2540" b="0"/>
            <wp:docPr id="65" name="Picture 65" descr="Sample of how a change in methodology is reflected in the report's charts." title="Sample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ummy Figure - Methodology change-01.png"/>
                    <pic:cNvPicPr/>
                  </pic:nvPicPr>
                  <pic:blipFill rotWithShape="1">
                    <a:blip r:embed="rId1" cstate="print">
                      <a:extLst>
                        <a:ext uri="{28A0092B-C50C-407E-A947-70E740481C1C}">
                          <a14:useLocalDpi xmlns:a14="http://schemas.microsoft.com/office/drawing/2010/main" val="0"/>
                        </a:ext>
                      </a:extLst>
                    </a:blip>
                    <a:srcRect t="9906" b="8182"/>
                    <a:stretch/>
                  </pic:blipFill>
                  <pic:spPr bwMode="auto">
                    <a:xfrm>
                      <a:off x="0" y="0"/>
                      <a:ext cx="5731510" cy="1207770"/>
                    </a:xfrm>
                    <a:prstGeom prst="rect">
                      <a:avLst/>
                    </a:prstGeom>
                    <a:ln>
                      <a:noFill/>
                    </a:ln>
                    <a:extLst>
                      <a:ext uri="{53640926-AAD7-44D8-BBD7-CCE9431645EC}">
                        <a14:shadowObscured xmlns:a14="http://schemas.microsoft.com/office/drawing/2010/main"/>
                      </a:ext>
                    </a:extLst>
                  </pic:spPr>
                </pic:pic>
              </a:graphicData>
            </a:graphic>
          </wp:inline>
        </w:drawing>
      </w:r>
    </w:p>
    <w:p w14:paraId="75F93406" w14:textId="2BC13736" w:rsidR="00015FAC" w:rsidRDefault="00015FAC" w:rsidP="00060772">
      <w:pPr>
        <w:keepNext/>
        <w:keepLines/>
        <w:spacing w:before="120"/>
      </w:pPr>
      <w:r>
        <w:t>The change in methodology is further explained in the appendix to this Communications report.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57118F" w14:textId="77777777" w:rsidR="00B37639" w:rsidRDefault="00B376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ECE40" w14:textId="77777777" w:rsidR="00B37639" w:rsidRDefault="00B376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9A83C" w14:textId="77777777" w:rsidR="00015FAC" w:rsidRPr="00A5474E" w:rsidRDefault="00015FAC"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968B75" w14:textId="77777777" w:rsidR="00015FAC" w:rsidRDefault="00015FA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25C2C7" w14:textId="77777777" w:rsidR="00015FAC" w:rsidRDefault="00015FA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015FAC" w14:paraId="4A2F3260" w14:textId="77777777" w:rsidTr="00976253">
      <w:trPr>
        <w:trHeight w:hRule="exact" w:val="988"/>
      </w:trPr>
      <w:tc>
        <w:tcPr>
          <w:tcW w:w="7678" w:type="dxa"/>
          <w:shd w:val="clear" w:color="auto" w:fill="auto"/>
        </w:tcPr>
        <w:p w14:paraId="5663B54D" w14:textId="77777777" w:rsidR="00015FAC" w:rsidRDefault="00015FAC" w:rsidP="000B07B3">
          <w:pPr>
            <w:pStyle w:val="Header"/>
          </w:pPr>
        </w:p>
      </w:tc>
    </w:tr>
    <w:tr w:rsidR="00015FAC" w14:paraId="61FEE265" w14:textId="77777777" w:rsidTr="00976253">
      <w:tc>
        <w:tcPr>
          <w:tcW w:w="7678" w:type="dxa"/>
          <w:shd w:val="clear" w:color="auto" w:fill="auto"/>
        </w:tcPr>
        <w:p w14:paraId="0FAC59D4" w14:textId="77777777" w:rsidR="00015FAC" w:rsidRDefault="00015FAC" w:rsidP="000B07B3">
          <w:pPr>
            <w:pStyle w:val="GridTable31"/>
          </w:pPr>
          <w:r>
            <w:t xml:space="preserve">Contents </w:t>
          </w:r>
          <w:r w:rsidRPr="00915B1C">
            <w:rPr>
              <w:b w:val="0"/>
              <w:spacing w:val="0"/>
              <w:sz w:val="28"/>
              <w:szCs w:val="28"/>
            </w:rPr>
            <w:t>(Continued)</w:t>
          </w:r>
        </w:p>
      </w:tc>
    </w:tr>
    <w:tr w:rsidR="00015FAC" w14:paraId="5A59524C" w14:textId="77777777" w:rsidTr="00976253">
      <w:trPr>
        <w:trHeight w:val="1220"/>
      </w:trPr>
      <w:tc>
        <w:tcPr>
          <w:tcW w:w="7678" w:type="dxa"/>
          <w:shd w:val="clear" w:color="auto" w:fill="auto"/>
        </w:tcPr>
        <w:p w14:paraId="0A40285E" w14:textId="77777777" w:rsidR="00015FAC" w:rsidRDefault="00015FAC" w:rsidP="000B07B3"/>
      </w:tc>
    </w:tr>
  </w:tbl>
  <w:p w14:paraId="646A7B81" w14:textId="77777777" w:rsidR="00015FAC" w:rsidRPr="00A5474E" w:rsidRDefault="00015FAC"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015FAC" w14:paraId="5BACFD60" w14:textId="77777777" w:rsidTr="00244C97">
      <w:trPr>
        <w:trHeight w:hRule="exact" w:val="988"/>
      </w:trPr>
      <w:tc>
        <w:tcPr>
          <w:tcW w:w="7678" w:type="dxa"/>
          <w:shd w:val="clear" w:color="auto" w:fill="auto"/>
        </w:tcPr>
        <w:p w14:paraId="767AAF88" w14:textId="77777777" w:rsidR="00015FAC" w:rsidRDefault="00015FAC" w:rsidP="0078252F">
          <w:pPr>
            <w:pStyle w:val="Header"/>
          </w:pPr>
        </w:p>
      </w:tc>
    </w:tr>
    <w:tr w:rsidR="00015FAC" w14:paraId="73CA2C90" w14:textId="77777777" w:rsidTr="00244C97">
      <w:tc>
        <w:tcPr>
          <w:tcW w:w="7678" w:type="dxa"/>
          <w:shd w:val="clear" w:color="auto" w:fill="auto"/>
        </w:tcPr>
        <w:p w14:paraId="16812737" w14:textId="77777777" w:rsidR="00015FAC" w:rsidRDefault="00015FAC" w:rsidP="0078252F">
          <w:pPr>
            <w:pStyle w:val="GridTable31"/>
          </w:pPr>
          <w:r>
            <w:t xml:space="preserve">Contents </w:t>
          </w:r>
          <w:r w:rsidRPr="00915B1C">
            <w:rPr>
              <w:b w:val="0"/>
              <w:spacing w:val="0"/>
              <w:sz w:val="28"/>
              <w:szCs w:val="28"/>
            </w:rPr>
            <w:t>(Continued)</w:t>
          </w:r>
        </w:p>
      </w:tc>
    </w:tr>
    <w:tr w:rsidR="00015FAC" w14:paraId="17F5344F" w14:textId="77777777" w:rsidTr="00244C97">
      <w:trPr>
        <w:trHeight w:val="1220"/>
      </w:trPr>
      <w:tc>
        <w:tcPr>
          <w:tcW w:w="7678" w:type="dxa"/>
          <w:shd w:val="clear" w:color="auto" w:fill="auto"/>
        </w:tcPr>
        <w:p w14:paraId="2E1C8A5F" w14:textId="77777777" w:rsidR="00015FAC" w:rsidRDefault="00015FAC" w:rsidP="0078252F"/>
      </w:tc>
    </w:tr>
  </w:tbl>
  <w:p w14:paraId="34E46D5A" w14:textId="77777777" w:rsidR="00015FAC" w:rsidRPr="00A5474E" w:rsidRDefault="00015FAC"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015FAC" w14:paraId="734B7C6F" w14:textId="77777777" w:rsidTr="00244C97">
      <w:trPr>
        <w:trHeight w:hRule="exact" w:val="988"/>
      </w:trPr>
      <w:tc>
        <w:tcPr>
          <w:tcW w:w="7678" w:type="dxa"/>
          <w:shd w:val="clear" w:color="auto" w:fill="auto"/>
        </w:tcPr>
        <w:p w14:paraId="0160A2A0" w14:textId="77777777" w:rsidR="00015FAC" w:rsidRDefault="00015FAC" w:rsidP="0078252F">
          <w:pPr>
            <w:pStyle w:val="Header"/>
          </w:pPr>
        </w:p>
      </w:tc>
    </w:tr>
    <w:tr w:rsidR="00015FAC" w14:paraId="1E2920B2" w14:textId="77777777" w:rsidTr="00244C97">
      <w:tc>
        <w:tcPr>
          <w:tcW w:w="7678" w:type="dxa"/>
          <w:shd w:val="clear" w:color="auto" w:fill="auto"/>
        </w:tcPr>
        <w:p w14:paraId="31F1A3E4" w14:textId="77777777" w:rsidR="00015FAC" w:rsidRDefault="00015FAC" w:rsidP="0078252F">
          <w:pPr>
            <w:pStyle w:val="GridTable31"/>
          </w:pPr>
          <w:r>
            <w:t xml:space="preserve">Contents </w:t>
          </w:r>
          <w:r w:rsidRPr="00915B1C">
            <w:rPr>
              <w:b w:val="0"/>
              <w:spacing w:val="0"/>
              <w:sz w:val="28"/>
              <w:szCs w:val="28"/>
            </w:rPr>
            <w:t>(Continued)</w:t>
          </w:r>
        </w:p>
      </w:tc>
    </w:tr>
    <w:tr w:rsidR="00015FAC" w14:paraId="3DD1BC7F" w14:textId="77777777" w:rsidTr="00244C97">
      <w:trPr>
        <w:trHeight w:val="1220"/>
      </w:trPr>
      <w:tc>
        <w:tcPr>
          <w:tcW w:w="7678" w:type="dxa"/>
          <w:shd w:val="clear" w:color="auto" w:fill="auto"/>
        </w:tcPr>
        <w:p w14:paraId="2AD80F5A" w14:textId="77777777" w:rsidR="00015FAC" w:rsidRDefault="00015FAC" w:rsidP="0078252F"/>
      </w:tc>
    </w:tr>
  </w:tbl>
  <w:p w14:paraId="323934F2" w14:textId="77777777" w:rsidR="00015FAC" w:rsidRPr="00A5474E" w:rsidRDefault="00015FAC" w:rsidP="00A54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CE7B7" w14:textId="28923F8F" w:rsidR="00015FAC" w:rsidRPr="000B07B3" w:rsidRDefault="00015FAC" w:rsidP="00594E9C">
    <w:pPr>
      <w:pStyle w:val="TOCHeading"/>
      <w:rPr>
        <w:sz w:val="16"/>
        <w:szCs w:val="16"/>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704EA5" w14:textId="77777777" w:rsidR="00015FAC" w:rsidRDefault="00015F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15153" w14:textId="77777777" w:rsidR="00015FAC" w:rsidRDefault="00015FAC" w:rsidP="00531CD0">
    <w:pPr>
      <w:pStyle w:val="Header"/>
      <w:tabs>
        <w:tab w:val="clear" w:pos="4153"/>
        <w:tab w:val="clear" w:pos="8306"/>
        <w:tab w:val="left" w:pos="3465"/>
      </w:tabs>
    </w:pPr>
    <w: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9BAD7" w14:textId="77777777" w:rsidR="00015FAC" w:rsidRDefault="00015F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AFFF8" w14:textId="77777777" w:rsidR="00015FAC" w:rsidRDefault="00015F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89548" w14:textId="77777777" w:rsidR="00015FAC" w:rsidRDefault="00015F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F57EA3" w14:textId="77777777" w:rsidR="00015FAC" w:rsidRDefault="00015FA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6A8EF" w14:textId="77777777" w:rsidR="00015FAC" w:rsidRDefault="00015FA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25E4C3" w14:textId="77777777" w:rsidR="00015FAC" w:rsidRDefault="00015F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3"/>
    <w:multiLevelType w:val="singleLevel"/>
    <w:tmpl w:val="C72C9C50"/>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BD749C16"/>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40B4DF0"/>
    <w:multiLevelType w:val="hybridMultilevel"/>
    <w:tmpl w:val="5B0AED42"/>
    <w:lvl w:ilvl="0" w:tplc="49A24744">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485900"/>
    <w:multiLevelType w:val="multilevel"/>
    <w:tmpl w:val="55004B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2A20CBD"/>
    <w:multiLevelType w:val="hybridMultilevel"/>
    <w:tmpl w:val="37D8D018"/>
    <w:lvl w:ilvl="0" w:tplc="E2B00858">
      <w:start w:val="1"/>
      <w:numFmt w:val="bullet"/>
      <w:pStyle w:val="List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5837F97"/>
    <w:multiLevelType w:val="multilevel"/>
    <w:tmpl w:val="1C7E50E0"/>
    <w:lvl w:ilvl="0">
      <w:start w:val="2"/>
      <w:numFmt w:val="decimal"/>
      <w:lvlText w:val="%1."/>
      <w:lvlJc w:val="left"/>
      <w:pPr>
        <w:ind w:left="360" w:hanging="360"/>
      </w:pPr>
      <w:rPr>
        <w:rFonts w:hint="default"/>
      </w:rPr>
    </w:lvl>
    <w:lvl w:ilvl="1">
      <w:start w:val="1"/>
      <w:numFmt w:val="decimal"/>
      <w:lvlText w:val="3.%2."/>
      <w:lvlJc w:val="left"/>
      <w:pPr>
        <w:ind w:left="792" w:hanging="79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8AA7817"/>
    <w:multiLevelType w:val="hybridMultilevel"/>
    <w:tmpl w:val="9DDEE10E"/>
    <w:lvl w:ilvl="0" w:tplc="F0AEEA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5864EBB"/>
    <w:multiLevelType w:val="hybridMultilevel"/>
    <w:tmpl w:val="363AD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CC00CFC"/>
    <w:multiLevelType w:val="multilevel"/>
    <w:tmpl w:val="A55E80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2FE778BD"/>
    <w:multiLevelType w:val="multilevel"/>
    <w:tmpl w:val="9C10B8E8"/>
    <w:lvl w:ilvl="0">
      <w:start w:val="1"/>
      <w:numFmt w:val="decimal"/>
      <w:lvlText w:val="%1."/>
      <w:lvlJc w:val="left"/>
      <w:pPr>
        <w:ind w:left="360" w:hanging="36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48219C"/>
    <w:multiLevelType w:val="multilevel"/>
    <w:tmpl w:val="F68AC68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F2C473D"/>
    <w:multiLevelType w:val="multilevel"/>
    <w:tmpl w:val="202C9158"/>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2B845F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5AA21F0"/>
    <w:multiLevelType w:val="hybridMultilevel"/>
    <w:tmpl w:val="1A021FE2"/>
    <w:lvl w:ilvl="0" w:tplc="3AFC284A">
      <w:start w:val="1"/>
      <w:numFmt w:val="decimal"/>
      <w:pStyle w:val="ACMATableHeader"/>
      <w:lvlText w:val="Table 1.%1"/>
      <w:lvlJc w:val="left"/>
      <w:pPr>
        <w:tabs>
          <w:tab w:val="num" w:pos="1532"/>
        </w:tabs>
        <w:ind w:left="1532"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5B514F"/>
    <w:multiLevelType w:val="multilevel"/>
    <w:tmpl w:val="4C4426C0"/>
    <w:lvl w:ilvl="0">
      <w:start w:val="1"/>
      <w:numFmt w:val="decimal"/>
      <w:lvlText w:val="%1."/>
      <w:lvlJc w:val="left"/>
      <w:pPr>
        <w:ind w:left="360" w:hanging="36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9EC03B8"/>
    <w:multiLevelType w:val="multilevel"/>
    <w:tmpl w:val="129C41B4"/>
    <w:lvl w:ilvl="0">
      <w:start w:val="1"/>
      <w:numFmt w:val="decimal"/>
      <w:pStyle w:val="Heading2Commsreportwithnumbers"/>
      <w:lvlText w:val="%1."/>
      <w:lvlJc w:val="left"/>
      <w:pPr>
        <w:ind w:left="360" w:hanging="360"/>
      </w:pPr>
      <w:rPr>
        <w:rFonts w:hint="default"/>
      </w:rPr>
    </w:lvl>
    <w:lvl w:ilvl="1">
      <w:start w:val="1"/>
      <w:numFmt w:val="decimal"/>
      <w:pStyle w:val="Heading2Commsreportwithnumbers"/>
      <w:lvlText w:val="%1.%2."/>
      <w:lvlJc w:val="left"/>
      <w:pPr>
        <w:ind w:left="792" w:hanging="432"/>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5BD426BD"/>
    <w:multiLevelType w:val="hybridMultilevel"/>
    <w:tmpl w:val="C672B630"/>
    <w:lvl w:ilvl="0" w:tplc="CFBCF618">
      <w:start w:val="1"/>
      <w:numFmt w:val="bullet"/>
      <w:pStyle w:val="Bulletedlis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2" w15:restartNumberingAfterBreak="0">
    <w:nsid w:val="62040E1B"/>
    <w:multiLevelType w:val="hybridMultilevel"/>
    <w:tmpl w:val="B0E83476"/>
    <w:lvl w:ilvl="0" w:tplc="17CC491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2DD7223"/>
    <w:multiLevelType w:val="hybridMultilevel"/>
    <w:tmpl w:val="3EC67DA6"/>
    <w:lvl w:ilvl="0" w:tplc="E37A4E3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071478"/>
    <w:multiLevelType w:val="hybridMultilevel"/>
    <w:tmpl w:val="8DBAA4A6"/>
    <w:lvl w:ilvl="0" w:tplc="43BAA0F6">
      <w:start w:val="1"/>
      <w:numFmt w:val="decimal"/>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2FE4AC5"/>
    <w:multiLevelType w:val="multilevel"/>
    <w:tmpl w:val="4A82C7E8"/>
    <w:lvl w:ilvl="0">
      <w:start w:val="2"/>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1"/>
  </w:num>
  <w:num w:numId="3">
    <w:abstractNumId w:val="2"/>
  </w:num>
  <w:num w:numId="4">
    <w:abstractNumId w:val="0"/>
  </w:num>
  <w:num w:numId="5">
    <w:abstractNumId w:val="12"/>
  </w:num>
  <w:num w:numId="6">
    <w:abstractNumId w:val="18"/>
  </w:num>
  <w:num w:numId="7">
    <w:abstractNumId w:val="24"/>
  </w:num>
  <w:num w:numId="8">
    <w:abstractNumId w:val="26"/>
  </w:num>
  <w:num w:numId="9">
    <w:abstractNumId w:val="13"/>
  </w:num>
  <w:num w:numId="10">
    <w:abstractNumId w:val="10"/>
  </w:num>
  <w:num w:numId="11">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num>
  <w:num w:numId="13">
    <w:abstractNumId w:val="8"/>
  </w:num>
  <w:num w:numId="14">
    <w:abstractNumId w:val="19"/>
  </w:num>
  <w:num w:numId="15">
    <w:abstractNumId w:val="20"/>
  </w:num>
  <w:num w:numId="16">
    <w:abstractNumId w:val="27"/>
  </w:num>
  <w:num w:numId="17">
    <w:abstractNumId w:val="25"/>
  </w:num>
  <w:num w:numId="18">
    <w:abstractNumId w:val="7"/>
  </w:num>
  <w:num w:numId="19">
    <w:abstractNumId w:val="16"/>
  </w:num>
  <w:num w:numId="20">
    <w:abstractNumId w:val="15"/>
  </w:num>
  <w:num w:numId="21">
    <w:abstractNumId w:val="14"/>
  </w:num>
  <w:num w:numId="22">
    <w:abstractNumId w:val="18"/>
    <w:lvlOverride w:ilvl="0">
      <w:startOverride w:val="1"/>
    </w:lvlOverride>
  </w:num>
  <w:num w:numId="23">
    <w:abstractNumId w:val="18"/>
    <w:lvlOverride w:ilvl="0">
      <w:startOverride w:val="1"/>
    </w:lvlOverride>
  </w:num>
  <w:num w:numId="24">
    <w:abstractNumId w:val="18"/>
    <w:lvlOverride w:ilvl="0">
      <w:startOverride w:val="1"/>
    </w:lvlOverride>
  </w:num>
  <w:num w:numId="25">
    <w:abstractNumId w:val="3"/>
  </w:num>
  <w:num w:numId="26">
    <w:abstractNumId w:val="3"/>
  </w:num>
  <w:num w:numId="27">
    <w:abstractNumId w:val="3"/>
  </w:num>
  <w:num w:numId="28">
    <w:abstractNumId w:val="11"/>
  </w:num>
  <w:num w:numId="29">
    <w:abstractNumId w:val="4"/>
  </w:num>
  <w:num w:numId="30">
    <w:abstractNumId w:val="5"/>
  </w:num>
  <w:num w:numId="31">
    <w:abstractNumId w:val="23"/>
  </w:num>
  <w:num w:numId="32">
    <w:abstractNumId w:val="9"/>
  </w:num>
  <w:num w:numId="33">
    <w:abstractNumId w:val="23"/>
  </w:num>
  <w:num w:numId="34">
    <w:abstractNumId w:val="23"/>
  </w:num>
  <w:num w:numId="35">
    <w:abstractNumId w:val="23"/>
  </w:num>
  <w:num w:numId="36">
    <w:abstractNumId w:val="23"/>
  </w:num>
  <w:num w:numId="37">
    <w:abstractNumId w:val="23"/>
  </w:num>
  <w:num w:numId="38">
    <w:abstractNumId w:val="23"/>
  </w:num>
  <w:num w:numId="39">
    <w:abstractNumId w:val="23"/>
  </w:num>
  <w:num w:numId="40">
    <w:abstractNumId w:val="23"/>
  </w:num>
  <w:num w:numId="41">
    <w:abstractNumId w:val="23"/>
  </w:num>
  <w:num w:numId="42">
    <w:abstractNumId w:val="23"/>
  </w:num>
  <w:num w:numId="43">
    <w:abstractNumId w:val="23"/>
  </w:num>
  <w:num w:numId="44">
    <w:abstractNumId w:val="23"/>
  </w:num>
  <w:num w:numId="45">
    <w:abstractNumId w:val="23"/>
  </w:num>
  <w:num w:numId="46">
    <w:abstractNumId w:val="23"/>
  </w:num>
  <w:num w:numId="47">
    <w:abstractNumId w:val="23"/>
  </w:num>
  <w:num w:numId="48">
    <w:abstractNumId w:val="23"/>
  </w:num>
  <w:num w:numId="49">
    <w:abstractNumId w:val="23"/>
  </w:num>
  <w:num w:numId="50">
    <w:abstractNumId w:val="23"/>
  </w:num>
  <w:num w:numId="51">
    <w:abstractNumId w:val="23"/>
  </w:num>
  <w:num w:numId="52">
    <w:abstractNumId w:val="23"/>
  </w:num>
  <w:num w:numId="53">
    <w:abstractNumId w:val="23"/>
  </w:num>
  <w:num w:numId="54">
    <w:abstractNumId w:val="23"/>
  </w:num>
  <w:num w:numId="55">
    <w:abstractNumId w:val="6"/>
  </w:num>
  <w:num w:numId="56">
    <w:abstractNumId w:val="1"/>
  </w:num>
  <w:num w:numId="57">
    <w:abstractNumId w:val="1"/>
  </w:num>
  <w:num w:numId="58">
    <w:abstractNumId w:val="6"/>
  </w:num>
  <w:num w:numId="59">
    <w:abstractNumId w:val="2"/>
  </w:num>
  <w:num w:numId="60">
    <w:abstractNumId w:val="0"/>
  </w:num>
  <w:num w:numId="61">
    <w:abstractNumId w:val="0"/>
  </w:num>
  <w:num w:numId="62">
    <w:abstractNumId w:val="2"/>
  </w:num>
  <w:num w:numId="63">
    <w:abstractNumId w:val="22"/>
  </w:num>
  <w:num w:numId="64">
    <w:abstractNumId w:val="6"/>
  </w:num>
  <w:num w:numId="65">
    <w:abstractNumId w:val="6"/>
  </w:num>
  <w:num w:numId="66">
    <w:abstractNumId w:val="6"/>
  </w:num>
  <w:num w:numId="67">
    <w:abstractNumId w:val="6"/>
  </w:num>
  <w:num w:numId="68">
    <w:abstractNumId w:val="6"/>
  </w:num>
  <w:num w:numId="69">
    <w:abstractNumId w:val="6"/>
  </w:num>
  <w:num w:numId="70">
    <w:abstractNumId w:val="6"/>
  </w:num>
  <w:num w:numId="71">
    <w:abstractNumId w:val="6"/>
  </w:num>
  <w:num w:numId="72">
    <w:abstractNumId w:val="6"/>
  </w:num>
  <w:num w:numId="73">
    <w:abstractNumId w:val="6"/>
  </w:num>
  <w:num w:numId="74">
    <w:abstractNumId w:val="6"/>
  </w:num>
  <w:num w:numId="75">
    <w:abstractNumId w:val="6"/>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mirrorMargin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284"/>
  <w:defaultTableStyle w:val="Commsreport2014-15TABLE"/>
  <w:evenAndOddHeaders/>
  <w:drawingGridHorizontalSpacing w:val="100"/>
  <w:displayHorizontalDrawingGridEvery w:val="2"/>
  <w:characterSpacingControl w:val="doNotCompress"/>
  <w:hdrShapeDefaults>
    <o:shapedefaults v:ext="edit" spidmax="46081">
      <o:colormru v:ext="edit" colors="red,#4d4d4f"/>
    </o:shapedefaults>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021F"/>
    <w:rsid w:val="00000E9F"/>
    <w:rsid w:val="000019C7"/>
    <w:rsid w:val="00001FDA"/>
    <w:rsid w:val="00002148"/>
    <w:rsid w:val="0000253D"/>
    <w:rsid w:val="00002B99"/>
    <w:rsid w:val="00003199"/>
    <w:rsid w:val="00003B55"/>
    <w:rsid w:val="00004C1A"/>
    <w:rsid w:val="00005481"/>
    <w:rsid w:val="00005A09"/>
    <w:rsid w:val="00005E72"/>
    <w:rsid w:val="00005EB8"/>
    <w:rsid w:val="000060A0"/>
    <w:rsid w:val="00006977"/>
    <w:rsid w:val="00007A30"/>
    <w:rsid w:val="00007B58"/>
    <w:rsid w:val="00010667"/>
    <w:rsid w:val="0001067C"/>
    <w:rsid w:val="0001077C"/>
    <w:rsid w:val="000107BE"/>
    <w:rsid w:val="0001102D"/>
    <w:rsid w:val="00012289"/>
    <w:rsid w:val="000122FD"/>
    <w:rsid w:val="000123DF"/>
    <w:rsid w:val="00012450"/>
    <w:rsid w:val="000128C7"/>
    <w:rsid w:val="000129D5"/>
    <w:rsid w:val="00012BBA"/>
    <w:rsid w:val="00012C17"/>
    <w:rsid w:val="00012E30"/>
    <w:rsid w:val="00012F52"/>
    <w:rsid w:val="00014B4D"/>
    <w:rsid w:val="00014E67"/>
    <w:rsid w:val="00015AE7"/>
    <w:rsid w:val="00015B71"/>
    <w:rsid w:val="00015F09"/>
    <w:rsid w:val="00015FAC"/>
    <w:rsid w:val="00016AC7"/>
    <w:rsid w:val="00016B6B"/>
    <w:rsid w:val="00016C1D"/>
    <w:rsid w:val="00016E21"/>
    <w:rsid w:val="0001719C"/>
    <w:rsid w:val="00017DB8"/>
    <w:rsid w:val="00020C15"/>
    <w:rsid w:val="000216D5"/>
    <w:rsid w:val="000216FC"/>
    <w:rsid w:val="000220D7"/>
    <w:rsid w:val="00022380"/>
    <w:rsid w:val="0002280E"/>
    <w:rsid w:val="00022ACD"/>
    <w:rsid w:val="0002306C"/>
    <w:rsid w:val="0002386D"/>
    <w:rsid w:val="00024729"/>
    <w:rsid w:val="000247F5"/>
    <w:rsid w:val="00024AF1"/>
    <w:rsid w:val="00025090"/>
    <w:rsid w:val="00025557"/>
    <w:rsid w:val="00026166"/>
    <w:rsid w:val="00026641"/>
    <w:rsid w:val="000268B5"/>
    <w:rsid w:val="00026ABF"/>
    <w:rsid w:val="00026B0B"/>
    <w:rsid w:val="00026F91"/>
    <w:rsid w:val="000271C4"/>
    <w:rsid w:val="000273F4"/>
    <w:rsid w:val="000276D0"/>
    <w:rsid w:val="00027E3D"/>
    <w:rsid w:val="000300B9"/>
    <w:rsid w:val="000309CE"/>
    <w:rsid w:val="00030BA1"/>
    <w:rsid w:val="00030FEB"/>
    <w:rsid w:val="000311DA"/>
    <w:rsid w:val="000317E5"/>
    <w:rsid w:val="00031959"/>
    <w:rsid w:val="000319E1"/>
    <w:rsid w:val="00032760"/>
    <w:rsid w:val="00032935"/>
    <w:rsid w:val="00032B03"/>
    <w:rsid w:val="00033422"/>
    <w:rsid w:val="000342F2"/>
    <w:rsid w:val="0003449A"/>
    <w:rsid w:val="0003491E"/>
    <w:rsid w:val="00034B6F"/>
    <w:rsid w:val="00035630"/>
    <w:rsid w:val="000358B1"/>
    <w:rsid w:val="00036240"/>
    <w:rsid w:val="000362D8"/>
    <w:rsid w:val="00036342"/>
    <w:rsid w:val="00036F8A"/>
    <w:rsid w:val="00040280"/>
    <w:rsid w:val="00040FE7"/>
    <w:rsid w:val="00041283"/>
    <w:rsid w:val="000412D4"/>
    <w:rsid w:val="0004185D"/>
    <w:rsid w:val="00041D18"/>
    <w:rsid w:val="00041D23"/>
    <w:rsid w:val="00042AAF"/>
    <w:rsid w:val="00042B53"/>
    <w:rsid w:val="00043077"/>
    <w:rsid w:val="00043AE1"/>
    <w:rsid w:val="000445AE"/>
    <w:rsid w:val="00044B4B"/>
    <w:rsid w:val="000454AE"/>
    <w:rsid w:val="00045BDA"/>
    <w:rsid w:val="00046044"/>
    <w:rsid w:val="0004609F"/>
    <w:rsid w:val="00046C50"/>
    <w:rsid w:val="0005011A"/>
    <w:rsid w:val="000501A2"/>
    <w:rsid w:val="0005032B"/>
    <w:rsid w:val="000503E8"/>
    <w:rsid w:val="00050448"/>
    <w:rsid w:val="0005045A"/>
    <w:rsid w:val="000507EB"/>
    <w:rsid w:val="0005133E"/>
    <w:rsid w:val="00051C1E"/>
    <w:rsid w:val="00051CBD"/>
    <w:rsid w:val="00051F70"/>
    <w:rsid w:val="00052298"/>
    <w:rsid w:val="00052657"/>
    <w:rsid w:val="00052A5F"/>
    <w:rsid w:val="00052E57"/>
    <w:rsid w:val="0005369C"/>
    <w:rsid w:val="000537B7"/>
    <w:rsid w:val="00053979"/>
    <w:rsid w:val="000539F9"/>
    <w:rsid w:val="000545C8"/>
    <w:rsid w:val="00054C27"/>
    <w:rsid w:val="00054D26"/>
    <w:rsid w:val="00054D61"/>
    <w:rsid w:val="000550FE"/>
    <w:rsid w:val="00055EC3"/>
    <w:rsid w:val="00055FD3"/>
    <w:rsid w:val="000563CE"/>
    <w:rsid w:val="00057944"/>
    <w:rsid w:val="00057E19"/>
    <w:rsid w:val="0006071F"/>
    <w:rsid w:val="00060772"/>
    <w:rsid w:val="000609CE"/>
    <w:rsid w:val="00060DF3"/>
    <w:rsid w:val="00061238"/>
    <w:rsid w:val="0006141E"/>
    <w:rsid w:val="0006242D"/>
    <w:rsid w:val="00062A4C"/>
    <w:rsid w:val="00062DAF"/>
    <w:rsid w:val="00063470"/>
    <w:rsid w:val="00064F2F"/>
    <w:rsid w:val="000653E1"/>
    <w:rsid w:val="000659B6"/>
    <w:rsid w:val="00065BD1"/>
    <w:rsid w:val="000662CC"/>
    <w:rsid w:val="000664F7"/>
    <w:rsid w:val="0006669E"/>
    <w:rsid w:val="00066D7F"/>
    <w:rsid w:val="00066E0D"/>
    <w:rsid w:val="0006722A"/>
    <w:rsid w:val="0006774B"/>
    <w:rsid w:val="00070361"/>
    <w:rsid w:val="00070CC5"/>
    <w:rsid w:val="00071167"/>
    <w:rsid w:val="000713CF"/>
    <w:rsid w:val="00071C63"/>
    <w:rsid w:val="00071CE6"/>
    <w:rsid w:val="00071F65"/>
    <w:rsid w:val="000732CF"/>
    <w:rsid w:val="0007352C"/>
    <w:rsid w:val="0007421E"/>
    <w:rsid w:val="00074320"/>
    <w:rsid w:val="00074558"/>
    <w:rsid w:val="000745F5"/>
    <w:rsid w:val="00075B96"/>
    <w:rsid w:val="00076857"/>
    <w:rsid w:val="00076D36"/>
    <w:rsid w:val="0007750D"/>
    <w:rsid w:val="00080461"/>
    <w:rsid w:val="000812D2"/>
    <w:rsid w:val="00081625"/>
    <w:rsid w:val="0008196A"/>
    <w:rsid w:val="00081A08"/>
    <w:rsid w:val="00081EDC"/>
    <w:rsid w:val="000824C1"/>
    <w:rsid w:val="000827E9"/>
    <w:rsid w:val="0008280B"/>
    <w:rsid w:val="0008354E"/>
    <w:rsid w:val="000859C0"/>
    <w:rsid w:val="00085A84"/>
    <w:rsid w:val="0008600E"/>
    <w:rsid w:val="0008669F"/>
    <w:rsid w:val="000870BC"/>
    <w:rsid w:val="00087B93"/>
    <w:rsid w:val="00087D06"/>
    <w:rsid w:val="00087D74"/>
    <w:rsid w:val="00090244"/>
    <w:rsid w:val="000908DB"/>
    <w:rsid w:val="00090FB9"/>
    <w:rsid w:val="000915ED"/>
    <w:rsid w:val="00091864"/>
    <w:rsid w:val="00091C7A"/>
    <w:rsid w:val="0009209D"/>
    <w:rsid w:val="00092109"/>
    <w:rsid w:val="00092336"/>
    <w:rsid w:val="0009247E"/>
    <w:rsid w:val="0009259A"/>
    <w:rsid w:val="000926B9"/>
    <w:rsid w:val="00092A6F"/>
    <w:rsid w:val="00092CF5"/>
    <w:rsid w:val="000936AE"/>
    <w:rsid w:val="00093D83"/>
    <w:rsid w:val="00093F4D"/>
    <w:rsid w:val="00094829"/>
    <w:rsid w:val="000949D4"/>
    <w:rsid w:val="00094D8B"/>
    <w:rsid w:val="00095C15"/>
    <w:rsid w:val="00095FF3"/>
    <w:rsid w:val="00096197"/>
    <w:rsid w:val="00096832"/>
    <w:rsid w:val="000969BD"/>
    <w:rsid w:val="000969BF"/>
    <w:rsid w:val="000969FC"/>
    <w:rsid w:val="00096AA1"/>
    <w:rsid w:val="00096AAD"/>
    <w:rsid w:val="000977BB"/>
    <w:rsid w:val="000977D7"/>
    <w:rsid w:val="00097DE1"/>
    <w:rsid w:val="000A0348"/>
    <w:rsid w:val="000A0399"/>
    <w:rsid w:val="000A0648"/>
    <w:rsid w:val="000A0C22"/>
    <w:rsid w:val="000A0F41"/>
    <w:rsid w:val="000A1611"/>
    <w:rsid w:val="000A1CD9"/>
    <w:rsid w:val="000A2898"/>
    <w:rsid w:val="000A2B25"/>
    <w:rsid w:val="000A2FE2"/>
    <w:rsid w:val="000A3298"/>
    <w:rsid w:val="000A3341"/>
    <w:rsid w:val="000A38CC"/>
    <w:rsid w:val="000A3993"/>
    <w:rsid w:val="000A3B0A"/>
    <w:rsid w:val="000A3BB2"/>
    <w:rsid w:val="000A3C43"/>
    <w:rsid w:val="000A3FC5"/>
    <w:rsid w:val="000A4A51"/>
    <w:rsid w:val="000A4D48"/>
    <w:rsid w:val="000A5323"/>
    <w:rsid w:val="000A5367"/>
    <w:rsid w:val="000A57D9"/>
    <w:rsid w:val="000A5AF2"/>
    <w:rsid w:val="000A5D2B"/>
    <w:rsid w:val="000A6E8C"/>
    <w:rsid w:val="000A743E"/>
    <w:rsid w:val="000A7842"/>
    <w:rsid w:val="000A7AE7"/>
    <w:rsid w:val="000A7CDF"/>
    <w:rsid w:val="000B07B3"/>
    <w:rsid w:val="000B07CD"/>
    <w:rsid w:val="000B0CE4"/>
    <w:rsid w:val="000B1962"/>
    <w:rsid w:val="000B1B06"/>
    <w:rsid w:val="000B2BBA"/>
    <w:rsid w:val="000B2DFF"/>
    <w:rsid w:val="000B343C"/>
    <w:rsid w:val="000B3AFF"/>
    <w:rsid w:val="000B3BDC"/>
    <w:rsid w:val="000B4057"/>
    <w:rsid w:val="000B52D7"/>
    <w:rsid w:val="000B541C"/>
    <w:rsid w:val="000B57C9"/>
    <w:rsid w:val="000B5D42"/>
    <w:rsid w:val="000B5DE3"/>
    <w:rsid w:val="000B5FF4"/>
    <w:rsid w:val="000B6EB7"/>
    <w:rsid w:val="000B7653"/>
    <w:rsid w:val="000B7994"/>
    <w:rsid w:val="000B7DDF"/>
    <w:rsid w:val="000C087B"/>
    <w:rsid w:val="000C0A57"/>
    <w:rsid w:val="000C230C"/>
    <w:rsid w:val="000C243C"/>
    <w:rsid w:val="000C2713"/>
    <w:rsid w:val="000C28E3"/>
    <w:rsid w:val="000C297D"/>
    <w:rsid w:val="000C3DBE"/>
    <w:rsid w:val="000C4870"/>
    <w:rsid w:val="000C4E7C"/>
    <w:rsid w:val="000C4E97"/>
    <w:rsid w:val="000C526C"/>
    <w:rsid w:val="000C55C8"/>
    <w:rsid w:val="000C6AD3"/>
    <w:rsid w:val="000C6D4F"/>
    <w:rsid w:val="000D007F"/>
    <w:rsid w:val="000D0BC6"/>
    <w:rsid w:val="000D132F"/>
    <w:rsid w:val="000D1B02"/>
    <w:rsid w:val="000D1C6F"/>
    <w:rsid w:val="000D3636"/>
    <w:rsid w:val="000D37AD"/>
    <w:rsid w:val="000D56B2"/>
    <w:rsid w:val="000D64EF"/>
    <w:rsid w:val="000D71D9"/>
    <w:rsid w:val="000D7361"/>
    <w:rsid w:val="000D76E0"/>
    <w:rsid w:val="000D7A51"/>
    <w:rsid w:val="000D7BA5"/>
    <w:rsid w:val="000D7E8B"/>
    <w:rsid w:val="000E02E0"/>
    <w:rsid w:val="000E0473"/>
    <w:rsid w:val="000E06DA"/>
    <w:rsid w:val="000E0B8D"/>
    <w:rsid w:val="000E0EDD"/>
    <w:rsid w:val="000E120C"/>
    <w:rsid w:val="000E2462"/>
    <w:rsid w:val="000E2EA3"/>
    <w:rsid w:val="000E2EE8"/>
    <w:rsid w:val="000E37CF"/>
    <w:rsid w:val="000E39B8"/>
    <w:rsid w:val="000E3AEA"/>
    <w:rsid w:val="000E3AF0"/>
    <w:rsid w:val="000E3CC7"/>
    <w:rsid w:val="000E424B"/>
    <w:rsid w:val="000E4449"/>
    <w:rsid w:val="000E46C9"/>
    <w:rsid w:val="000E4D8E"/>
    <w:rsid w:val="000E4F20"/>
    <w:rsid w:val="000E5162"/>
    <w:rsid w:val="000E5901"/>
    <w:rsid w:val="000E5B52"/>
    <w:rsid w:val="000E6097"/>
    <w:rsid w:val="000E7AF0"/>
    <w:rsid w:val="000E7BB2"/>
    <w:rsid w:val="000F0832"/>
    <w:rsid w:val="000F09AC"/>
    <w:rsid w:val="000F1350"/>
    <w:rsid w:val="000F14AC"/>
    <w:rsid w:val="000F1B4C"/>
    <w:rsid w:val="000F2637"/>
    <w:rsid w:val="000F29DF"/>
    <w:rsid w:val="000F3C4E"/>
    <w:rsid w:val="000F3E58"/>
    <w:rsid w:val="000F4AF0"/>
    <w:rsid w:val="000F4FB4"/>
    <w:rsid w:val="000F509D"/>
    <w:rsid w:val="000F5643"/>
    <w:rsid w:val="000F5736"/>
    <w:rsid w:val="000F5766"/>
    <w:rsid w:val="000F6127"/>
    <w:rsid w:val="000F61FE"/>
    <w:rsid w:val="000F677A"/>
    <w:rsid w:val="000F748F"/>
    <w:rsid w:val="000F787F"/>
    <w:rsid w:val="0010028A"/>
    <w:rsid w:val="00101FF5"/>
    <w:rsid w:val="0010217F"/>
    <w:rsid w:val="00103829"/>
    <w:rsid w:val="00104422"/>
    <w:rsid w:val="00104698"/>
    <w:rsid w:val="00104BC4"/>
    <w:rsid w:val="0010532F"/>
    <w:rsid w:val="00105ECC"/>
    <w:rsid w:val="00106549"/>
    <w:rsid w:val="001066B6"/>
    <w:rsid w:val="00106E35"/>
    <w:rsid w:val="001070E0"/>
    <w:rsid w:val="00107351"/>
    <w:rsid w:val="00110086"/>
    <w:rsid w:val="00110A6D"/>
    <w:rsid w:val="00110E17"/>
    <w:rsid w:val="0011151A"/>
    <w:rsid w:val="00111CAC"/>
    <w:rsid w:val="00111FCE"/>
    <w:rsid w:val="001127BB"/>
    <w:rsid w:val="00112929"/>
    <w:rsid w:val="00112A1F"/>
    <w:rsid w:val="00113255"/>
    <w:rsid w:val="00113D21"/>
    <w:rsid w:val="0011426C"/>
    <w:rsid w:val="0011432E"/>
    <w:rsid w:val="00114A34"/>
    <w:rsid w:val="001158DF"/>
    <w:rsid w:val="00115E24"/>
    <w:rsid w:val="0011612B"/>
    <w:rsid w:val="00116751"/>
    <w:rsid w:val="001175F6"/>
    <w:rsid w:val="0011783C"/>
    <w:rsid w:val="00117A76"/>
    <w:rsid w:val="00120C79"/>
    <w:rsid w:val="00121AFB"/>
    <w:rsid w:val="00121D93"/>
    <w:rsid w:val="00121E9B"/>
    <w:rsid w:val="001229A5"/>
    <w:rsid w:val="00122AB4"/>
    <w:rsid w:val="001231AD"/>
    <w:rsid w:val="001231DC"/>
    <w:rsid w:val="0012350D"/>
    <w:rsid w:val="00123586"/>
    <w:rsid w:val="001235D3"/>
    <w:rsid w:val="0012387E"/>
    <w:rsid w:val="00123B33"/>
    <w:rsid w:val="001243B9"/>
    <w:rsid w:val="0012489B"/>
    <w:rsid w:val="00125086"/>
    <w:rsid w:val="00126693"/>
    <w:rsid w:val="00126B97"/>
    <w:rsid w:val="00126C83"/>
    <w:rsid w:val="001276AF"/>
    <w:rsid w:val="00130017"/>
    <w:rsid w:val="00130282"/>
    <w:rsid w:val="00130497"/>
    <w:rsid w:val="00130EE5"/>
    <w:rsid w:val="00130F91"/>
    <w:rsid w:val="001314BB"/>
    <w:rsid w:val="001317A5"/>
    <w:rsid w:val="00131B6E"/>
    <w:rsid w:val="00131B91"/>
    <w:rsid w:val="00132332"/>
    <w:rsid w:val="0013238F"/>
    <w:rsid w:val="00133157"/>
    <w:rsid w:val="00133C76"/>
    <w:rsid w:val="00133D82"/>
    <w:rsid w:val="00135B97"/>
    <w:rsid w:val="00135E21"/>
    <w:rsid w:val="0013625C"/>
    <w:rsid w:val="001364CE"/>
    <w:rsid w:val="00137424"/>
    <w:rsid w:val="001374C9"/>
    <w:rsid w:val="00137F85"/>
    <w:rsid w:val="001400CF"/>
    <w:rsid w:val="00140318"/>
    <w:rsid w:val="0014044F"/>
    <w:rsid w:val="001415A8"/>
    <w:rsid w:val="001416E9"/>
    <w:rsid w:val="00141AD9"/>
    <w:rsid w:val="00141C93"/>
    <w:rsid w:val="001423E8"/>
    <w:rsid w:val="00142F3C"/>
    <w:rsid w:val="00144349"/>
    <w:rsid w:val="00144D96"/>
    <w:rsid w:val="00145347"/>
    <w:rsid w:val="00145BA2"/>
    <w:rsid w:val="00146133"/>
    <w:rsid w:val="00146364"/>
    <w:rsid w:val="00146452"/>
    <w:rsid w:val="0014646F"/>
    <w:rsid w:val="00146623"/>
    <w:rsid w:val="00146A0F"/>
    <w:rsid w:val="00146CE6"/>
    <w:rsid w:val="00147015"/>
    <w:rsid w:val="00147729"/>
    <w:rsid w:val="001502EB"/>
    <w:rsid w:val="001511D5"/>
    <w:rsid w:val="001515F0"/>
    <w:rsid w:val="00151649"/>
    <w:rsid w:val="001523C2"/>
    <w:rsid w:val="00152499"/>
    <w:rsid w:val="00152650"/>
    <w:rsid w:val="00152903"/>
    <w:rsid w:val="00152E98"/>
    <w:rsid w:val="00152EB4"/>
    <w:rsid w:val="0015315C"/>
    <w:rsid w:val="0015347F"/>
    <w:rsid w:val="00153AE6"/>
    <w:rsid w:val="001540A0"/>
    <w:rsid w:val="00154941"/>
    <w:rsid w:val="00154DCD"/>
    <w:rsid w:val="00154E97"/>
    <w:rsid w:val="00154F86"/>
    <w:rsid w:val="00154FB0"/>
    <w:rsid w:val="0015557C"/>
    <w:rsid w:val="00155612"/>
    <w:rsid w:val="001556B6"/>
    <w:rsid w:val="001558B7"/>
    <w:rsid w:val="00155BCF"/>
    <w:rsid w:val="00155BF5"/>
    <w:rsid w:val="0015614F"/>
    <w:rsid w:val="001567E2"/>
    <w:rsid w:val="0015709E"/>
    <w:rsid w:val="001573B7"/>
    <w:rsid w:val="001577C2"/>
    <w:rsid w:val="00157C97"/>
    <w:rsid w:val="00160EDE"/>
    <w:rsid w:val="001614D9"/>
    <w:rsid w:val="0016246B"/>
    <w:rsid w:val="001627D7"/>
    <w:rsid w:val="001629D6"/>
    <w:rsid w:val="00162F31"/>
    <w:rsid w:val="00162FD8"/>
    <w:rsid w:val="00163039"/>
    <w:rsid w:val="001630DE"/>
    <w:rsid w:val="001633C4"/>
    <w:rsid w:val="0016371D"/>
    <w:rsid w:val="00164127"/>
    <w:rsid w:val="0016548B"/>
    <w:rsid w:val="001657EE"/>
    <w:rsid w:val="00165805"/>
    <w:rsid w:val="00165DB5"/>
    <w:rsid w:val="001662A3"/>
    <w:rsid w:val="00166542"/>
    <w:rsid w:val="00166EB0"/>
    <w:rsid w:val="0016710A"/>
    <w:rsid w:val="0016785B"/>
    <w:rsid w:val="0016792F"/>
    <w:rsid w:val="00170406"/>
    <w:rsid w:val="00170E0E"/>
    <w:rsid w:val="00171591"/>
    <w:rsid w:val="00171DD0"/>
    <w:rsid w:val="00171FB6"/>
    <w:rsid w:val="001720E4"/>
    <w:rsid w:val="00172377"/>
    <w:rsid w:val="00172A5F"/>
    <w:rsid w:val="00172A9C"/>
    <w:rsid w:val="00172DA9"/>
    <w:rsid w:val="00173981"/>
    <w:rsid w:val="001739E5"/>
    <w:rsid w:val="00173A9E"/>
    <w:rsid w:val="00173C78"/>
    <w:rsid w:val="0017542A"/>
    <w:rsid w:val="00175C11"/>
    <w:rsid w:val="00175EB6"/>
    <w:rsid w:val="00175F03"/>
    <w:rsid w:val="0017681E"/>
    <w:rsid w:val="0017692D"/>
    <w:rsid w:val="0017719D"/>
    <w:rsid w:val="00177A35"/>
    <w:rsid w:val="00177EB0"/>
    <w:rsid w:val="00180FE4"/>
    <w:rsid w:val="001821F9"/>
    <w:rsid w:val="00182B5A"/>
    <w:rsid w:val="001838B4"/>
    <w:rsid w:val="00183DE6"/>
    <w:rsid w:val="00184F09"/>
    <w:rsid w:val="00185CAB"/>
    <w:rsid w:val="00186C8C"/>
    <w:rsid w:val="00186F6B"/>
    <w:rsid w:val="00187066"/>
    <w:rsid w:val="001870AD"/>
    <w:rsid w:val="001875B7"/>
    <w:rsid w:val="00187CB3"/>
    <w:rsid w:val="00187DB1"/>
    <w:rsid w:val="00190316"/>
    <w:rsid w:val="0019050A"/>
    <w:rsid w:val="00190AC5"/>
    <w:rsid w:val="00190B12"/>
    <w:rsid w:val="00190B46"/>
    <w:rsid w:val="00190E7E"/>
    <w:rsid w:val="001910D4"/>
    <w:rsid w:val="0019127F"/>
    <w:rsid w:val="00191561"/>
    <w:rsid w:val="001916BC"/>
    <w:rsid w:val="00192039"/>
    <w:rsid w:val="001921D1"/>
    <w:rsid w:val="00192CA2"/>
    <w:rsid w:val="001932B2"/>
    <w:rsid w:val="0019393B"/>
    <w:rsid w:val="001940B4"/>
    <w:rsid w:val="00194198"/>
    <w:rsid w:val="00194623"/>
    <w:rsid w:val="0019480E"/>
    <w:rsid w:val="0019500E"/>
    <w:rsid w:val="0019508A"/>
    <w:rsid w:val="001950FE"/>
    <w:rsid w:val="001952CF"/>
    <w:rsid w:val="00195313"/>
    <w:rsid w:val="001954EE"/>
    <w:rsid w:val="0019621C"/>
    <w:rsid w:val="001969DC"/>
    <w:rsid w:val="001976E3"/>
    <w:rsid w:val="00197FB7"/>
    <w:rsid w:val="001A0A4A"/>
    <w:rsid w:val="001A0E9A"/>
    <w:rsid w:val="001A1655"/>
    <w:rsid w:val="001A18C4"/>
    <w:rsid w:val="001A2A07"/>
    <w:rsid w:val="001A2B80"/>
    <w:rsid w:val="001A38CC"/>
    <w:rsid w:val="001A3E85"/>
    <w:rsid w:val="001A44EC"/>
    <w:rsid w:val="001A4B23"/>
    <w:rsid w:val="001A4C98"/>
    <w:rsid w:val="001A5164"/>
    <w:rsid w:val="001A5634"/>
    <w:rsid w:val="001A634E"/>
    <w:rsid w:val="001A64D4"/>
    <w:rsid w:val="001A6834"/>
    <w:rsid w:val="001A721C"/>
    <w:rsid w:val="001A72FF"/>
    <w:rsid w:val="001A7455"/>
    <w:rsid w:val="001A768B"/>
    <w:rsid w:val="001A7B94"/>
    <w:rsid w:val="001A7E20"/>
    <w:rsid w:val="001B0016"/>
    <w:rsid w:val="001B0087"/>
    <w:rsid w:val="001B0637"/>
    <w:rsid w:val="001B0E99"/>
    <w:rsid w:val="001B105C"/>
    <w:rsid w:val="001B1108"/>
    <w:rsid w:val="001B236F"/>
    <w:rsid w:val="001B3AFA"/>
    <w:rsid w:val="001B44B8"/>
    <w:rsid w:val="001B47F8"/>
    <w:rsid w:val="001B5002"/>
    <w:rsid w:val="001B58AA"/>
    <w:rsid w:val="001B5F6F"/>
    <w:rsid w:val="001B68D5"/>
    <w:rsid w:val="001B7940"/>
    <w:rsid w:val="001B7E48"/>
    <w:rsid w:val="001C07D8"/>
    <w:rsid w:val="001C0F45"/>
    <w:rsid w:val="001C0F5C"/>
    <w:rsid w:val="001C17CE"/>
    <w:rsid w:val="001C1805"/>
    <w:rsid w:val="001C1D0F"/>
    <w:rsid w:val="001C24A4"/>
    <w:rsid w:val="001C2603"/>
    <w:rsid w:val="001C2C99"/>
    <w:rsid w:val="001C2DB0"/>
    <w:rsid w:val="001C3441"/>
    <w:rsid w:val="001C36CA"/>
    <w:rsid w:val="001C3E7C"/>
    <w:rsid w:val="001C4427"/>
    <w:rsid w:val="001C44D1"/>
    <w:rsid w:val="001C450D"/>
    <w:rsid w:val="001C483E"/>
    <w:rsid w:val="001C4B1A"/>
    <w:rsid w:val="001C538B"/>
    <w:rsid w:val="001C5B72"/>
    <w:rsid w:val="001C5CCD"/>
    <w:rsid w:val="001C61B9"/>
    <w:rsid w:val="001C66E8"/>
    <w:rsid w:val="001C6AEE"/>
    <w:rsid w:val="001C7176"/>
    <w:rsid w:val="001C730C"/>
    <w:rsid w:val="001C7450"/>
    <w:rsid w:val="001C74C0"/>
    <w:rsid w:val="001C7630"/>
    <w:rsid w:val="001C76D9"/>
    <w:rsid w:val="001C792E"/>
    <w:rsid w:val="001C7C3C"/>
    <w:rsid w:val="001C7D2A"/>
    <w:rsid w:val="001D088B"/>
    <w:rsid w:val="001D0E67"/>
    <w:rsid w:val="001D17FF"/>
    <w:rsid w:val="001D1968"/>
    <w:rsid w:val="001D1AA0"/>
    <w:rsid w:val="001D1EC3"/>
    <w:rsid w:val="001D2D55"/>
    <w:rsid w:val="001D2F67"/>
    <w:rsid w:val="001D36C2"/>
    <w:rsid w:val="001D3D4F"/>
    <w:rsid w:val="001D3E22"/>
    <w:rsid w:val="001D4229"/>
    <w:rsid w:val="001D4E2D"/>
    <w:rsid w:val="001D4E81"/>
    <w:rsid w:val="001D4EAA"/>
    <w:rsid w:val="001D6351"/>
    <w:rsid w:val="001D656F"/>
    <w:rsid w:val="001D6633"/>
    <w:rsid w:val="001D6D15"/>
    <w:rsid w:val="001D70F6"/>
    <w:rsid w:val="001D7822"/>
    <w:rsid w:val="001D79EC"/>
    <w:rsid w:val="001E01E9"/>
    <w:rsid w:val="001E05FB"/>
    <w:rsid w:val="001E07AF"/>
    <w:rsid w:val="001E1DFC"/>
    <w:rsid w:val="001E3210"/>
    <w:rsid w:val="001E37F8"/>
    <w:rsid w:val="001E3EC1"/>
    <w:rsid w:val="001E49B5"/>
    <w:rsid w:val="001E6177"/>
    <w:rsid w:val="001E6445"/>
    <w:rsid w:val="001E69FC"/>
    <w:rsid w:val="001E6A89"/>
    <w:rsid w:val="001E6FE0"/>
    <w:rsid w:val="001E7514"/>
    <w:rsid w:val="001E7B03"/>
    <w:rsid w:val="001F002D"/>
    <w:rsid w:val="001F0646"/>
    <w:rsid w:val="001F09E6"/>
    <w:rsid w:val="001F0F94"/>
    <w:rsid w:val="001F2AC5"/>
    <w:rsid w:val="001F2D82"/>
    <w:rsid w:val="001F2DB5"/>
    <w:rsid w:val="001F380B"/>
    <w:rsid w:val="001F3EC2"/>
    <w:rsid w:val="001F415A"/>
    <w:rsid w:val="001F52B5"/>
    <w:rsid w:val="001F6210"/>
    <w:rsid w:val="001F6B08"/>
    <w:rsid w:val="001F6BFE"/>
    <w:rsid w:val="001F6C2C"/>
    <w:rsid w:val="001F72F5"/>
    <w:rsid w:val="001F7558"/>
    <w:rsid w:val="00200325"/>
    <w:rsid w:val="002005EC"/>
    <w:rsid w:val="002006FB"/>
    <w:rsid w:val="00200E77"/>
    <w:rsid w:val="00200FA6"/>
    <w:rsid w:val="002010C5"/>
    <w:rsid w:val="00201102"/>
    <w:rsid w:val="00201C83"/>
    <w:rsid w:val="00202A9D"/>
    <w:rsid w:val="00202BD4"/>
    <w:rsid w:val="00202E07"/>
    <w:rsid w:val="002034B4"/>
    <w:rsid w:val="0020356B"/>
    <w:rsid w:val="00203B48"/>
    <w:rsid w:val="00204070"/>
    <w:rsid w:val="002044D7"/>
    <w:rsid w:val="0020476B"/>
    <w:rsid w:val="00204D06"/>
    <w:rsid w:val="00204F94"/>
    <w:rsid w:val="00205B57"/>
    <w:rsid w:val="002060CC"/>
    <w:rsid w:val="002061AA"/>
    <w:rsid w:val="00206955"/>
    <w:rsid w:val="002069E6"/>
    <w:rsid w:val="00206E49"/>
    <w:rsid w:val="0020706D"/>
    <w:rsid w:val="0020744B"/>
    <w:rsid w:val="00207649"/>
    <w:rsid w:val="002100BD"/>
    <w:rsid w:val="0021038D"/>
    <w:rsid w:val="002109E3"/>
    <w:rsid w:val="00210CC8"/>
    <w:rsid w:val="00210FFB"/>
    <w:rsid w:val="002117F3"/>
    <w:rsid w:val="00211DC5"/>
    <w:rsid w:val="00211F98"/>
    <w:rsid w:val="00212484"/>
    <w:rsid w:val="00212C50"/>
    <w:rsid w:val="0021374C"/>
    <w:rsid w:val="00213BF6"/>
    <w:rsid w:val="0021419E"/>
    <w:rsid w:val="00214703"/>
    <w:rsid w:val="00214F1C"/>
    <w:rsid w:val="0021573C"/>
    <w:rsid w:val="002157E0"/>
    <w:rsid w:val="00215A0F"/>
    <w:rsid w:val="00215C22"/>
    <w:rsid w:val="00215F07"/>
    <w:rsid w:val="00216070"/>
    <w:rsid w:val="002165FF"/>
    <w:rsid w:val="00216A57"/>
    <w:rsid w:val="00216D7B"/>
    <w:rsid w:val="00216D8C"/>
    <w:rsid w:val="00216F0E"/>
    <w:rsid w:val="00217CBF"/>
    <w:rsid w:val="00217CED"/>
    <w:rsid w:val="00220CAA"/>
    <w:rsid w:val="002210F1"/>
    <w:rsid w:val="002213D5"/>
    <w:rsid w:val="002214B8"/>
    <w:rsid w:val="00221754"/>
    <w:rsid w:val="002217B5"/>
    <w:rsid w:val="002219EC"/>
    <w:rsid w:val="0022210A"/>
    <w:rsid w:val="0022218E"/>
    <w:rsid w:val="00222235"/>
    <w:rsid w:val="002223E9"/>
    <w:rsid w:val="002227EE"/>
    <w:rsid w:val="00222A4C"/>
    <w:rsid w:val="0022334F"/>
    <w:rsid w:val="0022351A"/>
    <w:rsid w:val="0022352E"/>
    <w:rsid w:val="0022463D"/>
    <w:rsid w:val="002247F8"/>
    <w:rsid w:val="00225044"/>
    <w:rsid w:val="00225BCD"/>
    <w:rsid w:val="0022630E"/>
    <w:rsid w:val="00226819"/>
    <w:rsid w:val="00226BCA"/>
    <w:rsid w:val="0023004F"/>
    <w:rsid w:val="0023007A"/>
    <w:rsid w:val="00230446"/>
    <w:rsid w:val="002312D6"/>
    <w:rsid w:val="00231854"/>
    <w:rsid w:val="0023192D"/>
    <w:rsid w:val="00231AFB"/>
    <w:rsid w:val="002325E2"/>
    <w:rsid w:val="00232A12"/>
    <w:rsid w:val="00232FC0"/>
    <w:rsid w:val="002330A2"/>
    <w:rsid w:val="00233101"/>
    <w:rsid w:val="0023353A"/>
    <w:rsid w:val="00233817"/>
    <w:rsid w:val="0023389E"/>
    <w:rsid w:val="00233BF4"/>
    <w:rsid w:val="00234840"/>
    <w:rsid w:val="00235976"/>
    <w:rsid w:val="0023641E"/>
    <w:rsid w:val="00236664"/>
    <w:rsid w:val="002367FF"/>
    <w:rsid w:val="0023686D"/>
    <w:rsid w:val="00236D2A"/>
    <w:rsid w:val="00236F29"/>
    <w:rsid w:val="00236F6C"/>
    <w:rsid w:val="002370E6"/>
    <w:rsid w:val="002373E0"/>
    <w:rsid w:val="00240010"/>
    <w:rsid w:val="00240160"/>
    <w:rsid w:val="00240551"/>
    <w:rsid w:val="00240641"/>
    <w:rsid w:val="002407F0"/>
    <w:rsid w:val="00240CE9"/>
    <w:rsid w:val="002410B4"/>
    <w:rsid w:val="00241618"/>
    <w:rsid w:val="00242503"/>
    <w:rsid w:val="00242A74"/>
    <w:rsid w:val="00242A9A"/>
    <w:rsid w:val="0024312A"/>
    <w:rsid w:val="00243409"/>
    <w:rsid w:val="002434BA"/>
    <w:rsid w:val="002443C4"/>
    <w:rsid w:val="002448FB"/>
    <w:rsid w:val="00244C97"/>
    <w:rsid w:val="00246089"/>
    <w:rsid w:val="00246093"/>
    <w:rsid w:val="0024643D"/>
    <w:rsid w:val="0024648E"/>
    <w:rsid w:val="002466EC"/>
    <w:rsid w:val="00246702"/>
    <w:rsid w:val="00247337"/>
    <w:rsid w:val="00247678"/>
    <w:rsid w:val="00247C59"/>
    <w:rsid w:val="00247C5E"/>
    <w:rsid w:val="00247E25"/>
    <w:rsid w:val="00247F2E"/>
    <w:rsid w:val="00250A6D"/>
    <w:rsid w:val="00250ADC"/>
    <w:rsid w:val="00250B07"/>
    <w:rsid w:val="00251271"/>
    <w:rsid w:val="00251A3E"/>
    <w:rsid w:val="00251DA6"/>
    <w:rsid w:val="00252751"/>
    <w:rsid w:val="002537A2"/>
    <w:rsid w:val="00253EA1"/>
    <w:rsid w:val="0025418B"/>
    <w:rsid w:val="002541D3"/>
    <w:rsid w:val="002543F8"/>
    <w:rsid w:val="002545AE"/>
    <w:rsid w:val="00254C11"/>
    <w:rsid w:val="00254D23"/>
    <w:rsid w:val="00254DF1"/>
    <w:rsid w:val="00255BB2"/>
    <w:rsid w:val="00255EEB"/>
    <w:rsid w:val="002560FC"/>
    <w:rsid w:val="002561AD"/>
    <w:rsid w:val="00256312"/>
    <w:rsid w:val="00256B2E"/>
    <w:rsid w:val="00256D66"/>
    <w:rsid w:val="00257197"/>
    <w:rsid w:val="00257241"/>
    <w:rsid w:val="00257553"/>
    <w:rsid w:val="00260A09"/>
    <w:rsid w:val="00260F00"/>
    <w:rsid w:val="00260FB2"/>
    <w:rsid w:val="002613ED"/>
    <w:rsid w:val="00261B7F"/>
    <w:rsid w:val="00262128"/>
    <w:rsid w:val="002621A4"/>
    <w:rsid w:val="00262448"/>
    <w:rsid w:val="0026295A"/>
    <w:rsid w:val="00262B3E"/>
    <w:rsid w:val="00262B5B"/>
    <w:rsid w:val="0026367A"/>
    <w:rsid w:val="00263723"/>
    <w:rsid w:val="0026412F"/>
    <w:rsid w:val="00265967"/>
    <w:rsid w:val="00265EFE"/>
    <w:rsid w:val="002671FE"/>
    <w:rsid w:val="0026787A"/>
    <w:rsid w:val="00267923"/>
    <w:rsid w:val="00267DBA"/>
    <w:rsid w:val="00270835"/>
    <w:rsid w:val="00270D21"/>
    <w:rsid w:val="0027165D"/>
    <w:rsid w:val="00271ADF"/>
    <w:rsid w:val="00271D23"/>
    <w:rsid w:val="00272779"/>
    <w:rsid w:val="00272987"/>
    <w:rsid w:val="002732D7"/>
    <w:rsid w:val="0027356A"/>
    <w:rsid w:val="00273823"/>
    <w:rsid w:val="00273AB0"/>
    <w:rsid w:val="00273CEB"/>
    <w:rsid w:val="0027444A"/>
    <w:rsid w:val="00274A43"/>
    <w:rsid w:val="00274A94"/>
    <w:rsid w:val="002750DF"/>
    <w:rsid w:val="0027519A"/>
    <w:rsid w:val="0027596E"/>
    <w:rsid w:val="00276218"/>
    <w:rsid w:val="002762B2"/>
    <w:rsid w:val="002763AB"/>
    <w:rsid w:val="002765EE"/>
    <w:rsid w:val="00276BC7"/>
    <w:rsid w:val="002771F4"/>
    <w:rsid w:val="00277915"/>
    <w:rsid w:val="00277C4F"/>
    <w:rsid w:val="00277CBA"/>
    <w:rsid w:val="00277D56"/>
    <w:rsid w:val="002803C4"/>
    <w:rsid w:val="00280474"/>
    <w:rsid w:val="00280508"/>
    <w:rsid w:val="002807DC"/>
    <w:rsid w:val="00280866"/>
    <w:rsid w:val="00280909"/>
    <w:rsid w:val="0028129D"/>
    <w:rsid w:val="00281AFE"/>
    <w:rsid w:val="00281C89"/>
    <w:rsid w:val="0028282F"/>
    <w:rsid w:val="00282C73"/>
    <w:rsid w:val="0028302C"/>
    <w:rsid w:val="00283494"/>
    <w:rsid w:val="00283DE8"/>
    <w:rsid w:val="0028421A"/>
    <w:rsid w:val="00284BAF"/>
    <w:rsid w:val="00284BB6"/>
    <w:rsid w:val="00285292"/>
    <w:rsid w:val="002873AA"/>
    <w:rsid w:val="00287564"/>
    <w:rsid w:val="00287A5A"/>
    <w:rsid w:val="00287D6D"/>
    <w:rsid w:val="002903EB"/>
    <w:rsid w:val="00290911"/>
    <w:rsid w:val="00290D3C"/>
    <w:rsid w:val="002911D3"/>
    <w:rsid w:val="00291E7E"/>
    <w:rsid w:val="00292159"/>
    <w:rsid w:val="002924F4"/>
    <w:rsid w:val="002927BE"/>
    <w:rsid w:val="00293496"/>
    <w:rsid w:val="00293807"/>
    <w:rsid w:val="002945A2"/>
    <w:rsid w:val="00294659"/>
    <w:rsid w:val="00294709"/>
    <w:rsid w:val="0029593B"/>
    <w:rsid w:val="00295AD6"/>
    <w:rsid w:val="00295C88"/>
    <w:rsid w:val="00295D11"/>
    <w:rsid w:val="00297A0A"/>
    <w:rsid w:val="00297FC5"/>
    <w:rsid w:val="002A0417"/>
    <w:rsid w:val="002A158C"/>
    <w:rsid w:val="002A16D8"/>
    <w:rsid w:val="002A18EC"/>
    <w:rsid w:val="002A1BC8"/>
    <w:rsid w:val="002A1E95"/>
    <w:rsid w:val="002A2406"/>
    <w:rsid w:val="002A244F"/>
    <w:rsid w:val="002A2AD5"/>
    <w:rsid w:val="002A2D47"/>
    <w:rsid w:val="002A2EA7"/>
    <w:rsid w:val="002A36D9"/>
    <w:rsid w:val="002A3873"/>
    <w:rsid w:val="002A3E6C"/>
    <w:rsid w:val="002A3EF2"/>
    <w:rsid w:val="002A4073"/>
    <w:rsid w:val="002A46EC"/>
    <w:rsid w:val="002A4826"/>
    <w:rsid w:val="002A4874"/>
    <w:rsid w:val="002A5A65"/>
    <w:rsid w:val="002A6105"/>
    <w:rsid w:val="002A661E"/>
    <w:rsid w:val="002A6E91"/>
    <w:rsid w:val="002A74F6"/>
    <w:rsid w:val="002B0CA7"/>
    <w:rsid w:val="002B0DED"/>
    <w:rsid w:val="002B182B"/>
    <w:rsid w:val="002B19A2"/>
    <w:rsid w:val="002B1C59"/>
    <w:rsid w:val="002B1D5E"/>
    <w:rsid w:val="002B3058"/>
    <w:rsid w:val="002B3296"/>
    <w:rsid w:val="002B381A"/>
    <w:rsid w:val="002B3861"/>
    <w:rsid w:val="002B4947"/>
    <w:rsid w:val="002B4AC6"/>
    <w:rsid w:val="002B4CCF"/>
    <w:rsid w:val="002B4DBD"/>
    <w:rsid w:val="002B4FCC"/>
    <w:rsid w:val="002B6620"/>
    <w:rsid w:val="002B6EDE"/>
    <w:rsid w:val="002B6F51"/>
    <w:rsid w:val="002B6F85"/>
    <w:rsid w:val="002B7408"/>
    <w:rsid w:val="002B7CC3"/>
    <w:rsid w:val="002B7CFD"/>
    <w:rsid w:val="002B7D36"/>
    <w:rsid w:val="002C133D"/>
    <w:rsid w:val="002C1647"/>
    <w:rsid w:val="002C189B"/>
    <w:rsid w:val="002C210F"/>
    <w:rsid w:val="002C223A"/>
    <w:rsid w:val="002C27C5"/>
    <w:rsid w:val="002C27D4"/>
    <w:rsid w:val="002C2A91"/>
    <w:rsid w:val="002C2C93"/>
    <w:rsid w:val="002C3191"/>
    <w:rsid w:val="002C3469"/>
    <w:rsid w:val="002C3AEF"/>
    <w:rsid w:val="002C4513"/>
    <w:rsid w:val="002C46E4"/>
    <w:rsid w:val="002C5170"/>
    <w:rsid w:val="002C5375"/>
    <w:rsid w:val="002C592F"/>
    <w:rsid w:val="002C5A5E"/>
    <w:rsid w:val="002C648D"/>
    <w:rsid w:val="002C79A5"/>
    <w:rsid w:val="002D0105"/>
    <w:rsid w:val="002D1107"/>
    <w:rsid w:val="002D1DD5"/>
    <w:rsid w:val="002D1E37"/>
    <w:rsid w:val="002D1E8D"/>
    <w:rsid w:val="002D2E4A"/>
    <w:rsid w:val="002D3600"/>
    <w:rsid w:val="002D3837"/>
    <w:rsid w:val="002D3975"/>
    <w:rsid w:val="002D41DD"/>
    <w:rsid w:val="002D4846"/>
    <w:rsid w:val="002D4F2B"/>
    <w:rsid w:val="002D5A69"/>
    <w:rsid w:val="002D5F5C"/>
    <w:rsid w:val="002D5FA9"/>
    <w:rsid w:val="002D6233"/>
    <w:rsid w:val="002D6486"/>
    <w:rsid w:val="002D7082"/>
    <w:rsid w:val="002E03CE"/>
    <w:rsid w:val="002E09C6"/>
    <w:rsid w:val="002E0DE0"/>
    <w:rsid w:val="002E1CD5"/>
    <w:rsid w:val="002E282D"/>
    <w:rsid w:val="002E2EC5"/>
    <w:rsid w:val="002E3AB0"/>
    <w:rsid w:val="002E4239"/>
    <w:rsid w:val="002E44DE"/>
    <w:rsid w:val="002E4A82"/>
    <w:rsid w:val="002E4DDC"/>
    <w:rsid w:val="002E6015"/>
    <w:rsid w:val="002E63C6"/>
    <w:rsid w:val="002E7A84"/>
    <w:rsid w:val="002E7CAF"/>
    <w:rsid w:val="002F0A09"/>
    <w:rsid w:val="002F108F"/>
    <w:rsid w:val="002F1F36"/>
    <w:rsid w:val="002F23BE"/>
    <w:rsid w:val="002F2E60"/>
    <w:rsid w:val="002F4C67"/>
    <w:rsid w:val="002F4DB3"/>
    <w:rsid w:val="002F4EB9"/>
    <w:rsid w:val="002F54A2"/>
    <w:rsid w:val="002F609C"/>
    <w:rsid w:val="002F65ED"/>
    <w:rsid w:val="002F7A0E"/>
    <w:rsid w:val="00300087"/>
    <w:rsid w:val="003005F0"/>
    <w:rsid w:val="00300809"/>
    <w:rsid w:val="00301B66"/>
    <w:rsid w:val="00302480"/>
    <w:rsid w:val="0030353B"/>
    <w:rsid w:val="00303CF7"/>
    <w:rsid w:val="00303E44"/>
    <w:rsid w:val="003048BC"/>
    <w:rsid w:val="0030495D"/>
    <w:rsid w:val="00304C1A"/>
    <w:rsid w:val="00304D9B"/>
    <w:rsid w:val="00304F12"/>
    <w:rsid w:val="00305650"/>
    <w:rsid w:val="00305C3D"/>
    <w:rsid w:val="00305E39"/>
    <w:rsid w:val="00306835"/>
    <w:rsid w:val="00306A5A"/>
    <w:rsid w:val="00306B1D"/>
    <w:rsid w:val="00306EC1"/>
    <w:rsid w:val="00306FE1"/>
    <w:rsid w:val="00307755"/>
    <w:rsid w:val="003079D2"/>
    <w:rsid w:val="003106AF"/>
    <w:rsid w:val="00311186"/>
    <w:rsid w:val="003112D1"/>
    <w:rsid w:val="00311544"/>
    <w:rsid w:val="00311858"/>
    <w:rsid w:val="00311862"/>
    <w:rsid w:val="00313675"/>
    <w:rsid w:val="0031374A"/>
    <w:rsid w:val="00313AEA"/>
    <w:rsid w:val="0031402D"/>
    <w:rsid w:val="00314325"/>
    <w:rsid w:val="003149C9"/>
    <w:rsid w:val="00314B55"/>
    <w:rsid w:val="00314EBE"/>
    <w:rsid w:val="00314FB5"/>
    <w:rsid w:val="00315208"/>
    <w:rsid w:val="003156FB"/>
    <w:rsid w:val="00315CD1"/>
    <w:rsid w:val="00316323"/>
    <w:rsid w:val="003165E6"/>
    <w:rsid w:val="00320AA9"/>
    <w:rsid w:val="00320F35"/>
    <w:rsid w:val="003212C4"/>
    <w:rsid w:val="00321612"/>
    <w:rsid w:val="00321943"/>
    <w:rsid w:val="00321970"/>
    <w:rsid w:val="00321EE9"/>
    <w:rsid w:val="003221CF"/>
    <w:rsid w:val="00322567"/>
    <w:rsid w:val="0032299D"/>
    <w:rsid w:val="003233ED"/>
    <w:rsid w:val="00323A3D"/>
    <w:rsid w:val="00323D38"/>
    <w:rsid w:val="00324D9F"/>
    <w:rsid w:val="00325042"/>
    <w:rsid w:val="00325220"/>
    <w:rsid w:val="003252A9"/>
    <w:rsid w:val="003256D6"/>
    <w:rsid w:val="0032594D"/>
    <w:rsid w:val="00326600"/>
    <w:rsid w:val="0032706C"/>
    <w:rsid w:val="00327948"/>
    <w:rsid w:val="00327B66"/>
    <w:rsid w:val="00327C99"/>
    <w:rsid w:val="0033000F"/>
    <w:rsid w:val="003304F1"/>
    <w:rsid w:val="003309FE"/>
    <w:rsid w:val="00330E4E"/>
    <w:rsid w:val="00332011"/>
    <w:rsid w:val="00332518"/>
    <w:rsid w:val="003328EE"/>
    <w:rsid w:val="00332925"/>
    <w:rsid w:val="00332CFC"/>
    <w:rsid w:val="003332ED"/>
    <w:rsid w:val="003333EA"/>
    <w:rsid w:val="00333446"/>
    <w:rsid w:val="00333FA7"/>
    <w:rsid w:val="00334081"/>
    <w:rsid w:val="00334B39"/>
    <w:rsid w:val="00335BCB"/>
    <w:rsid w:val="00335D23"/>
    <w:rsid w:val="0033679C"/>
    <w:rsid w:val="003368DC"/>
    <w:rsid w:val="00337465"/>
    <w:rsid w:val="0033761E"/>
    <w:rsid w:val="0034061F"/>
    <w:rsid w:val="00340A64"/>
    <w:rsid w:val="00341568"/>
    <w:rsid w:val="00341D84"/>
    <w:rsid w:val="0034293D"/>
    <w:rsid w:val="00342A8A"/>
    <w:rsid w:val="00342C5E"/>
    <w:rsid w:val="003430C5"/>
    <w:rsid w:val="00343537"/>
    <w:rsid w:val="003436EC"/>
    <w:rsid w:val="00343D30"/>
    <w:rsid w:val="0034422B"/>
    <w:rsid w:val="003447AA"/>
    <w:rsid w:val="003447FE"/>
    <w:rsid w:val="00344D90"/>
    <w:rsid w:val="00344DB0"/>
    <w:rsid w:val="00345792"/>
    <w:rsid w:val="00345821"/>
    <w:rsid w:val="00345927"/>
    <w:rsid w:val="0034595A"/>
    <w:rsid w:val="003459CB"/>
    <w:rsid w:val="003460F4"/>
    <w:rsid w:val="003465B7"/>
    <w:rsid w:val="00346819"/>
    <w:rsid w:val="00346D72"/>
    <w:rsid w:val="00346D82"/>
    <w:rsid w:val="00347B23"/>
    <w:rsid w:val="0035043A"/>
    <w:rsid w:val="00350584"/>
    <w:rsid w:val="003507F4"/>
    <w:rsid w:val="00350D57"/>
    <w:rsid w:val="00350FE6"/>
    <w:rsid w:val="00351094"/>
    <w:rsid w:val="0035136A"/>
    <w:rsid w:val="00351857"/>
    <w:rsid w:val="00351859"/>
    <w:rsid w:val="0035207F"/>
    <w:rsid w:val="003520FD"/>
    <w:rsid w:val="0035265C"/>
    <w:rsid w:val="00352880"/>
    <w:rsid w:val="003532EE"/>
    <w:rsid w:val="00353E16"/>
    <w:rsid w:val="00353FFB"/>
    <w:rsid w:val="003543EA"/>
    <w:rsid w:val="003547F7"/>
    <w:rsid w:val="003577F8"/>
    <w:rsid w:val="00357D8F"/>
    <w:rsid w:val="00360266"/>
    <w:rsid w:val="00360571"/>
    <w:rsid w:val="003606B3"/>
    <w:rsid w:val="003610C8"/>
    <w:rsid w:val="003610E1"/>
    <w:rsid w:val="0036165D"/>
    <w:rsid w:val="003617D6"/>
    <w:rsid w:val="00361974"/>
    <w:rsid w:val="00361BA9"/>
    <w:rsid w:val="00361D48"/>
    <w:rsid w:val="00362924"/>
    <w:rsid w:val="00363F41"/>
    <w:rsid w:val="00364AAB"/>
    <w:rsid w:val="003656C5"/>
    <w:rsid w:val="00365AE8"/>
    <w:rsid w:val="00365B81"/>
    <w:rsid w:val="0036604D"/>
    <w:rsid w:val="00366913"/>
    <w:rsid w:val="003669B8"/>
    <w:rsid w:val="00366EBC"/>
    <w:rsid w:val="003670FD"/>
    <w:rsid w:val="003671BE"/>
    <w:rsid w:val="00367292"/>
    <w:rsid w:val="00367B6C"/>
    <w:rsid w:val="00370699"/>
    <w:rsid w:val="003708BA"/>
    <w:rsid w:val="00370B30"/>
    <w:rsid w:val="00370D5B"/>
    <w:rsid w:val="00370F4E"/>
    <w:rsid w:val="00371179"/>
    <w:rsid w:val="003718C8"/>
    <w:rsid w:val="00371E1E"/>
    <w:rsid w:val="00372485"/>
    <w:rsid w:val="00372917"/>
    <w:rsid w:val="00372D19"/>
    <w:rsid w:val="00373200"/>
    <w:rsid w:val="0037342E"/>
    <w:rsid w:val="0037381D"/>
    <w:rsid w:val="003738C3"/>
    <w:rsid w:val="003740CA"/>
    <w:rsid w:val="00375EF5"/>
    <w:rsid w:val="00375F28"/>
    <w:rsid w:val="003767A5"/>
    <w:rsid w:val="003767C3"/>
    <w:rsid w:val="00376B6D"/>
    <w:rsid w:val="00380071"/>
    <w:rsid w:val="00380CCB"/>
    <w:rsid w:val="00381A01"/>
    <w:rsid w:val="00381C18"/>
    <w:rsid w:val="00381C43"/>
    <w:rsid w:val="00381CB2"/>
    <w:rsid w:val="00381CC2"/>
    <w:rsid w:val="003823BB"/>
    <w:rsid w:val="00382821"/>
    <w:rsid w:val="00382A86"/>
    <w:rsid w:val="00383144"/>
    <w:rsid w:val="00383971"/>
    <w:rsid w:val="0038417A"/>
    <w:rsid w:val="003843A9"/>
    <w:rsid w:val="00385254"/>
    <w:rsid w:val="00385DFE"/>
    <w:rsid w:val="00385E16"/>
    <w:rsid w:val="003864DA"/>
    <w:rsid w:val="003865E5"/>
    <w:rsid w:val="00386880"/>
    <w:rsid w:val="00386A7E"/>
    <w:rsid w:val="00386D39"/>
    <w:rsid w:val="00386D99"/>
    <w:rsid w:val="003875A6"/>
    <w:rsid w:val="003918F4"/>
    <w:rsid w:val="00391F5C"/>
    <w:rsid w:val="00392300"/>
    <w:rsid w:val="003927ED"/>
    <w:rsid w:val="00392A40"/>
    <w:rsid w:val="00392AA9"/>
    <w:rsid w:val="003934B4"/>
    <w:rsid w:val="003934E7"/>
    <w:rsid w:val="003938C8"/>
    <w:rsid w:val="0039445C"/>
    <w:rsid w:val="003947FD"/>
    <w:rsid w:val="00394A3B"/>
    <w:rsid w:val="00394C4A"/>
    <w:rsid w:val="0039538F"/>
    <w:rsid w:val="00395CAD"/>
    <w:rsid w:val="0039624C"/>
    <w:rsid w:val="0039675C"/>
    <w:rsid w:val="003A03C2"/>
    <w:rsid w:val="003A069D"/>
    <w:rsid w:val="003A0BB0"/>
    <w:rsid w:val="003A109B"/>
    <w:rsid w:val="003A1729"/>
    <w:rsid w:val="003A17A6"/>
    <w:rsid w:val="003A1A99"/>
    <w:rsid w:val="003A1C16"/>
    <w:rsid w:val="003A2192"/>
    <w:rsid w:val="003A2BB1"/>
    <w:rsid w:val="003A2BD4"/>
    <w:rsid w:val="003A2F3A"/>
    <w:rsid w:val="003A3347"/>
    <w:rsid w:val="003A3838"/>
    <w:rsid w:val="003A395A"/>
    <w:rsid w:val="003A44E5"/>
    <w:rsid w:val="003A49FC"/>
    <w:rsid w:val="003A56B9"/>
    <w:rsid w:val="003A5F5B"/>
    <w:rsid w:val="003A5FD7"/>
    <w:rsid w:val="003A6717"/>
    <w:rsid w:val="003A6DC4"/>
    <w:rsid w:val="003A7014"/>
    <w:rsid w:val="003A7338"/>
    <w:rsid w:val="003A789A"/>
    <w:rsid w:val="003A7AE0"/>
    <w:rsid w:val="003A7C25"/>
    <w:rsid w:val="003B08AA"/>
    <w:rsid w:val="003B1120"/>
    <w:rsid w:val="003B12EC"/>
    <w:rsid w:val="003B1E02"/>
    <w:rsid w:val="003B1E4E"/>
    <w:rsid w:val="003B1F86"/>
    <w:rsid w:val="003B2EE0"/>
    <w:rsid w:val="003B2EEE"/>
    <w:rsid w:val="003B30F1"/>
    <w:rsid w:val="003B32F3"/>
    <w:rsid w:val="003B355B"/>
    <w:rsid w:val="003B3912"/>
    <w:rsid w:val="003B429C"/>
    <w:rsid w:val="003B4455"/>
    <w:rsid w:val="003B4DDD"/>
    <w:rsid w:val="003B4E5E"/>
    <w:rsid w:val="003B50FC"/>
    <w:rsid w:val="003B55ED"/>
    <w:rsid w:val="003B610E"/>
    <w:rsid w:val="003B6746"/>
    <w:rsid w:val="003B6D18"/>
    <w:rsid w:val="003B7A11"/>
    <w:rsid w:val="003B7CED"/>
    <w:rsid w:val="003B7F7B"/>
    <w:rsid w:val="003C12AA"/>
    <w:rsid w:val="003C19A2"/>
    <w:rsid w:val="003C1CDC"/>
    <w:rsid w:val="003C334F"/>
    <w:rsid w:val="003C33F9"/>
    <w:rsid w:val="003C3571"/>
    <w:rsid w:val="003C35D8"/>
    <w:rsid w:val="003C3A8A"/>
    <w:rsid w:val="003C3B37"/>
    <w:rsid w:val="003C4349"/>
    <w:rsid w:val="003C4883"/>
    <w:rsid w:val="003C49C6"/>
    <w:rsid w:val="003C4AC3"/>
    <w:rsid w:val="003C55B0"/>
    <w:rsid w:val="003C590F"/>
    <w:rsid w:val="003C6834"/>
    <w:rsid w:val="003C6BE6"/>
    <w:rsid w:val="003C77E0"/>
    <w:rsid w:val="003C7C70"/>
    <w:rsid w:val="003C7F4F"/>
    <w:rsid w:val="003D011F"/>
    <w:rsid w:val="003D04B6"/>
    <w:rsid w:val="003D0687"/>
    <w:rsid w:val="003D0A1B"/>
    <w:rsid w:val="003D16FC"/>
    <w:rsid w:val="003D17D7"/>
    <w:rsid w:val="003D2082"/>
    <w:rsid w:val="003D2197"/>
    <w:rsid w:val="003D2678"/>
    <w:rsid w:val="003D2759"/>
    <w:rsid w:val="003D2DC0"/>
    <w:rsid w:val="003D329B"/>
    <w:rsid w:val="003D34D5"/>
    <w:rsid w:val="003D358C"/>
    <w:rsid w:val="003D387B"/>
    <w:rsid w:val="003D3962"/>
    <w:rsid w:val="003D46F3"/>
    <w:rsid w:val="003D4BA6"/>
    <w:rsid w:val="003D5087"/>
    <w:rsid w:val="003D55D5"/>
    <w:rsid w:val="003D5984"/>
    <w:rsid w:val="003D59C1"/>
    <w:rsid w:val="003D5A93"/>
    <w:rsid w:val="003D67C0"/>
    <w:rsid w:val="003D70BB"/>
    <w:rsid w:val="003D7131"/>
    <w:rsid w:val="003D71A3"/>
    <w:rsid w:val="003D7358"/>
    <w:rsid w:val="003D7B78"/>
    <w:rsid w:val="003D7F8F"/>
    <w:rsid w:val="003E0856"/>
    <w:rsid w:val="003E106F"/>
    <w:rsid w:val="003E12DA"/>
    <w:rsid w:val="003E16AD"/>
    <w:rsid w:val="003E17CE"/>
    <w:rsid w:val="003E1BA7"/>
    <w:rsid w:val="003E1C51"/>
    <w:rsid w:val="003E2716"/>
    <w:rsid w:val="003E2B8A"/>
    <w:rsid w:val="003E2C43"/>
    <w:rsid w:val="003E44AC"/>
    <w:rsid w:val="003E4B58"/>
    <w:rsid w:val="003E5F1C"/>
    <w:rsid w:val="003E6300"/>
    <w:rsid w:val="003E67C2"/>
    <w:rsid w:val="003F00C8"/>
    <w:rsid w:val="003F0613"/>
    <w:rsid w:val="003F0983"/>
    <w:rsid w:val="003F0F8E"/>
    <w:rsid w:val="003F10C8"/>
    <w:rsid w:val="003F10EE"/>
    <w:rsid w:val="003F13DB"/>
    <w:rsid w:val="003F16F6"/>
    <w:rsid w:val="003F2304"/>
    <w:rsid w:val="003F259B"/>
    <w:rsid w:val="003F277E"/>
    <w:rsid w:val="003F2BD3"/>
    <w:rsid w:val="003F2D66"/>
    <w:rsid w:val="003F41B4"/>
    <w:rsid w:val="003F4698"/>
    <w:rsid w:val="003F4708"/>
    <w:rsid w:val="003F4DC7"/>
    <w:rsid w:val="003F5235"/>
    <w:rsid w:val="003F5CE2"/>
    <w:rsid w:val="003F646E"/>
    <w:rsid w:val="003F6480"/>
    <w:rsid w:val="003F6993"/>
    <w:rsid w:val="003F72A4"/>
    <w:rsid w:val="003F7842"/>
    <w:rsid w:val="003F7C01"/>
    <w:rsid w:val="00400488"/>
    <w:rsid w:val="00400A00"/>
    <w:rsid w:val="00400CDC"/>
    <w:rsid w:val="004015FE"/>
    <w:rsid w:val="00401BA0"/>
    <w:rsid w:val="004022A6"/>
    <w:rsid w:val="0040263C"/>
    <w:rsid w:val="004027E4"/>
    <w:rsid w:val="004036B2"/>
    <w:rsid w:val="004037C7"/>
    <w:rsid w:val="004045DC"/>
    <w:rsid w:val="00404E46"/>
    <w:rsid w:val="00405471"/>
    <w:rsid w:val="004061F1"/>
    <w:rsid w:val="00406635"/>
    <w:rsid w:val="00406ABA"/>
    <w:rsid w:val="0040781A"/>
    <w:rsid w:val="004105A9"/>
    <w:rsid w:val="0041071D"/>
    <w:rsid w:val="00410AD0"/>
    <w:rsid w:val="0041143B"/>
    <w:rsid w:val="00411794"/>
    <w:rsid w:val="00411FBD"/>
    <w:rsid w:val="004124E7"/>
    <w:rsid w:val="004130D5"/>
    <w:rsid w:val="00413EC5"/>
    <w:rsid w:val="00414AFC"/>
    <w:rsid w:val="00415041"/>
    <w:rsid w:val="004150CB"/>
    <w:rsid w:val="004151A7"/>
    <w:rsid w:val="00415310"/>
    <w:rsid w:val="00416320"/>
    <w:rsid w:val="004165F7"/>
    <w:rsid w:val="00416C0F"/>
    <w:rsid w:val="00417292"/>
    <w:rsid w:val="00417346"/>
    <w:rsid w:val="00417AC5"/>
    <w:rsid w:val="00417B1B"/>
    <w:rsid w:val="004200C4"/>
    <w:rsid w:val="00420C8E"/>
    <w:rsid w:val="00421232"/>
    <w:rsid w:val="00421709"/>
    <w:rsid w:val="004220FB"/>
    <w:rsid w:val="004221A0"/>
    <w:rsid w:val="004224A7"/>
    <w:rsid w:val="00422727"/>
    <w:rsid w:val="00423379"/>
    <w:rsid w:val="00423763"/>
    <w:rsid w:val="00423914"/>
    <w:rsid w:val="00423C63"/>
    <w:rsid w:val="00424BE1"/>
    <w:rsid w:val="0042565F"/>
    <w:rsid w:val="004257D3"/>
    <w:rsid w:val="00425942"/>
    <w:rsid w:val="00425B7D"/>
    <w:rsid w:val="004272E1"/>
    <w:rsid w:val="0042762F"/>
    <w:rsid w:val="00427DC7"/>
    <w:rsid w:val="004302F1"/>
    <w:rsid w:val="00430B68"/>
    <w:rsid w:val="00430CCA"/>
    <w:rsid w:val="0043118F"/>
    <w:rsid w:val="00431613"/>
    <w:rsid w:val="00431735"/>
    <w:rsid w:val="00431792"/>
    <w:rsid w:val="00431910"/>
    <w:rsid w:val="00431CF7"/>
    <w:rsid w:val="004320FF"/>
    <w:rsid w:val="0043264B"/>
    <w:rsid w:val="00432657"/>
    <w:rsid w:val="004326FE"/>
    <w:rsid w:val="0043297A"/>
    <w:rsid w:val="00432A95"/>
    <w:rsid w:val="00432EB2"/>
    <w:rsid w:val="00432EBB"/>
    <w:rsid w:val="0043301B"/>
    <w:rsid w:val="00433A7C"/>
    <w:rsid w:val="00433DCD"/>
    <w:rsid w:val="00434012"/>
    <w:rsid w:val="004345FC"/>
    <w:rsid w:val="0043478D"/>
    <w:rsid w:val="00434A74"/>
    <w:rsid w:val="0043535E"/>
    <w:rsid w:val="00435B01"/>
    <w:rsid w:val="00435C43"/>
    <w:rsid w:val="00436673"/>
    <w:rsid w:val="00436754"/>
    <w:rsid w:val="004370F0"/>
    <w:rsid w:val="0043714F"/>
    <w:rsid w:val="00437296"/>
    <w:rsid w:val="00437878"/>
    <w:rsid w:val="00437B34"/>
    <w:rsid w:val="00437FBD"/>
    <w:rsid w:val="0044056A"/>
    <w:rsid w:val="00440830"/>
    <w:rsid w:val="004408DF"/>
    <w:rsid w:val="00440B48"/>
    <w:rsid w:val="00440F03"/>
    <w:rsid w:val="00442602"/>
    <w:rsid w:val="004438B5"/>
    <w:rsid w:val="0044404C"/>
    <w:rsid w:val="004441BF"/>
    <w:rsid w:val="004447D3"/>
    <w:rsid w:val="004456E1"/>
    <w:rsid w:val="00446598"/>
    <w:rsid w:val="00446F50"/>
    <w:rsid w:val="00447037"/>
    <w:rsid w:val="00447F26"/>
    <w:rsid w:val="00450452"/>
    <w:rsid w:val="004507AB"/>
    <w:rsid w:val="0045124D"/>
    <w:rsid w:val="004517B9"/>
    <w:rsid w:val="00451947"/>
    <w:rsid w:val="00451C3B"/>
    <w:rsid w:val="00452672"/>
    <w:rsid w:val="00453247"/>
    <w:rsid w:val="004533C4"/>
    <w:rsid w:val="004533EA"/>
    <w:rsid w:val="00453A29"/>
    <w:rsid w:val="00453B40"/>
    <w:rsid w:val="004544DB"/>
    <w:rsid w:val="00454596"/>
    <w:rsid w:val="0045492D"/>
    <w:rsid w:val="00454962"/>
    <w:rsid w:val="00455649"/>
    <w:rsid w:val="0045605D"/>
    <w:rsid w:val="004562EE"/>
    <w:rsid w:val="00456357"/>
    <w:rsid w:val="00456622"/>
    <w:rsid w:val="00456E65"/>
    <w:rsid w:val="0045769F"/>
    <w:rsid w:val="00461006"/>
    <w:rsid w:val="004612C2"/>
    <w:rsid w:val="0046135B"/>
    <w:rsid w:val="00461AD1"/>
    <w:rsid w:val="00462BD1"/>
    <w:rsid w:val="00463C67"/>
    <w:rsid w:val="004645C1"/>
    <w:rsid w:val="00464C99"/>
    <w:rsid w:val="00464D59"/>
    <w:rsid w:val="00465337"/>
    <w:rsid w:val="00465A75"/>
    <w:rsid w:val="0046604C"/>
    <w:rsid w:val="004662EF"/>
    <w:rsid w:val="0046698B"/>
    <w:rsid w:val="00466ACC"/>
    <w:rsid w:val="00466B3B"/>
    <w:rsid w:val="004671DD"/>
    <w:rsid w:val="00470388"/>
    <w:rsid w:val="0047043D"/>
    <w:rsid w:val="00470A0D"/>
    <w:rsid w:val="00470B9D"/>
    <w:rsid w:val="00471218"/>
    <w:rsid w:val="00471811"/>
    <w:rsid w:val="004718CC"/>
    <w:rsid w:val="00471AE8"/>
    <w:rsid w:val="00472041"/>
    <w:rsid w:val="004723DE"/>
    <w:rsid w:val="00472E42"/>
    <w:rsid w:val="004737CA"/>
    <w:rsid w:val="0047447E"/>
    <w:rsid w:val="00474A6A"/>
    <w:rsid w:val="00474C20"/>
    <w:rsid w:val="00475E88"/>
    <w:rsid w:val="00476707"/>
    <w:rsid w:val="00476770"/>
    <w:rsid w:val="004769F0"/>
    <w:rsid w:val="00476A1B"/>
    <w:rsid w:val="00476A6D"/>
    <w:rsid w:val="00476C2D"/>
    <w:rsid w:val="004771DB"/>
    <w:rsid w:val="00477223"/>
    <w:rsid w:val="0047729D"/>
    <w:rsid w:val="004777A0"/>
    <w:rsid w:val="0047799B"/>
    <w:rsid w:val="00477AC6"/>
    <w:rsid w:val="00480315"/>
    <w:rsid w:val="00480758"/>
    <w:rsid w:val="0048094D"/>
    <w:rsid w:val="0048104B"/>
    <w:rsid w:val="00481064"/>
    <w:rsid w:val="00481695"/>
    <w:rsid w:val="004818DE"/>
    <w:rsid w:val="00482B4C"/>
    <w:rsid w:val="00482EE3"/>
    <w:rsid w:val="00484459"/>
    <w:rsid w:val="00484736"/>
    <w:rsid w:val="00485280"/>
    <w:rsid w:val="004853CE"/>
    <w:rsid w:val="0048545D"/>
    <w:rsid w:val="00485701"/>
    <w:rsid w:val="0048597B"/>
    <w:rsid w:val="004866B3"/>
    <w:rsid w:val="004867DB"/>
    <w:rsid w:val="00486DB0"/>
    <w:rsid w:val="00486DFB"/>
    <w:rsid w:val="00487A6A"/>
    <w:rsid w:val="004908F4"/>
    <w:rsid w:val="00491703"/>
    <w:rsid w:val="00491778"/>
    <w:rsid w:val="00491BBB"/>
    <w:rsid w:val="00492413"/>
    <w:rsid w:val="00492B93"/>
    <w:rsid w:val="00493CB5"/>
    <w:rsid w:val="00493F9F"/>
    <w:rsid w:val="00493FF2"/>
    <w:rsid w:val="00494179"/>
    <w:rsid w:val="004941DE"/>
    <w:rsid w:val="00494421"/>
    <w:rsid w:val="0049468A"/>
    <w:rsid w:val="004946A6"/>
    <w:rsid w:val="00494947"/>
    <w:rsid w:val="004957E9"/>
    <w:rsid w:val="00495A96"/>
    <w:rsid w:val="00495EB0"/>
    <w:rsid w:val="00495F32"/>
    <w:rsid w:val="004971B9"/>
    <w:rsid w:val="00497C73"/>
    <w:rsid w:val="00497E07"/>
    <w:rsid w:val="004A0202"/>
    <w:rsid w:val="004A0965"/>
    <w:rsid w:val="004A125A"/>
    <w:rsid w:val="004A1563"/>
    <w:rsid w:val="004A1A9F"/>
    <w:rsid w:val="004A1D90"/>
    <w:rsid w:val="004A2001"/>
    <w:rsid w:val="004A3DB8"/>
    <w:rsid w:val="004A41BB"/>
    <w:rsid w:val="004A4318"/>
    <w:rsid w:val="004A4543"/>
    <w:rsid w:val="004A46A1"/>
    <w:rsid w:val="004A56BB"/>
    <w:rsid w:val="004A5D23"/>
    <w:rsid w:val="004A5D90"/>
    <w:rsid w:val="004A62C4"/>
    <w:rsid w:val="004A6310"/>
    <w:rsid w:val="004A6356"/>
    <w:rsid w:val="004A68A8"/>
    <w:rsid w:val="004A695E"/>
    <w:rsid w:val="004A7607"/>
    <w:rsid w:val="004B13BD"/>
    <w:rsid w:val="004B173D"/>
    <w:rsid w:val="004B1751"/>
    <w:rsid w:val="004B18DB"/>
    <w:rsid w:val="004B2379"/>
    <w:rsid w:val="004B292E"/>
    <w:rsid w:val="004B3801"/>
    <w:rsid w:val="004B3A22"/>
    <w:rsid w:val="004B3C3E"/>
    <w:rsid w:val="004B4478"/>
    <w:rsid w:val="004B5132"/>
    <w:rsid w:val="004B5A2D"/>
    <w:rsid w:val="004B5EB6"/>
    <w:rsid w:val="004B649E"/>
    <w:rsid w:val="004B6D41"/>
    <w:rsid w:val="004B6D8C"/>
    <w:rsid w:val="004B75E7"/>
    <w:rsid w:val="004B79FB"/>
    <w:rsid w:val="004B7C6D"/>
    <w:rsid w:val="004C0051"/>
    <w:rsid w:val="004C0253"/>
    <w:rsid w:val="004C0500"/>
    <w:rsid w:val="004C0917"/>
    <w:rsid w:val="004C10BB"/>
    <w:rsid w:val="004C142A"/>
    <w:rsid w:val="004C1801"/>
    <w:rsid w:val="004C1BC7"/>
    <w:rsid w:val="004C1C32"/>
    <w:rsid w:val="004C256B"/>
    <w:rsid w:val="004C2FC7"/>
    <w:rsid w:val="004C30A8"/>
    <w:rsid w:val="004C380B"/>
    <w:rsid w:val="004C3C90"/>
    <w:rsid w:val="004C4568"/>
    <w:rsid w:val="004C48A8"/>
    <w:rsid w:val="004C4C6A"/>
    <w:rsid w:val="004C5A6B"/>
    <w:rsid w:val="004C5E90"/>
    <w:rsid w:val="004C638B"/>
    <w:rsid w:val="004C641E"/>
    <w:rsid w:val="004C6C58"/>
    <w:rsid w:val="004C6C7D"/>
    <w:rsid w:val="004C70A3"/>
    <w:rsid w:val="004C71DC"/>
    <w:rsid w:val="004C75C8"/>
    <w:rsid w:val="004C761C"/>
    <w:rsid w:val="004C78CE"/>
    <w:rsid w:val="004C7C5B"/>
    <w:rsid w:val="004D024B"/>
    <w:rsid w:val="004D09B3"/>
    <w:rsid w:val="004D0F69"/>
    <w:rsid w:val="004D33D2"/>
    <w:rsid w:val="004D4140"/>
    <w:rsid w:val="004D4215"/>
    <w:rsid w:val="004D4455"/>
    <w:rsid w:val="004D45E7"/>
    <w:rsid w:val="004D4DF8"/>
    <w:rsid w:val="004D50F8"/>
    <w:rsid w:val="004D552F"/>
    <w:rsid w:val="004D56FF"/>
    <w:rsid w:val="004D6C2A"/>
    <w:rsid w:val="004D7904"/>
    <w:rsid w:val="004D7C11"/>
    <w:rsid w:val="004E0164"/>
    <w:rsid w:val="004E07BC"/>
    <w:rsid w:val="004E0849"/>
    <w:rsid w:val="004E0897"/>
    <w:rsid w:val="004E0A42"/>
    <w:rsid w:val="004E0B3E"/>
    <w:rsid w:val="004E0F4E"/>
    <w:rsid w:val="004E1233"/>
    <w:rsid w:val="004E1D78"/>
    <w:rsid w:val="004E1EEE"/>
    <w:rsid w:val="004E28D7"/>
    <w:rsid w:val="004E39D3"/>
    <w:rsid w:val="004E3B05"/>
    <w:rsid w:val="004E4402"/>
    <w:rsid w:val="004E4731"/>
    <w:rsid w:val="004E4BC8"/>
    <w:rsid w:val="004E508A"/>
    <w:rsid w:val="004E50A8"/>
    <w:rsid w:val="004E5C22"/>
    <w:rsid w:val="004E616D"/>
    <w:rsid w:val="004E627F"/>
    <w:rsid w:val="004E652A"/>
    <w:rsid w:val="004E67DE"/>
    <w:rsid w:val="004E6AB0"/>
    <w:rsid w:val="004E6CB6"/>
    <w:rsid w:val="004E7000"/>
    <w:rsid w:val="004E71E2"/>
    <w:rsid w:val="004E72CB"/>
    <w:rsid w:val="004E7430"/>
    <w:rsid w:val="004E7586"/>
    <w:rsid w:val="004E76FD"/>
    <w:rsid w:val="004E7751"/>
    <w:rsid w:val="004F035F"/>
    <w:rsid w:val="004F0FA5"/>
    <w:rsid w:val="004F1002"/>
    <w:rsid w:val="004F1BDD"/>
    <w:rsid w:val="004F1BDE"/>
    <w:rsid w:val="004F1C5F"/>
    <w:rsid w:val="004F236A"/>
    <w:rsid w:val="004F2CEE"/>
    <w:rsid w:val="004F2D0A"/>
    <w:rsid w:val="004F30B8"/>
    <w:rsid w:val="004F3D89"/>
    <w:rsid w:val="004F417F"/>
    <w:rsid w:val="004F4411"/>
    <w:rsid w:val="004F4B21"/>
    <w:rsid w:val="004F4B42"/>
    <w:rsid w:val="004F4CC4"/>
    <w:rsid w:val="004F556E"/>
    <w:rsid w:val="004F5879"/>
    <w:rsid w:val="004F59F4"/>
    <w:rsid w:val="004F5B61"/>
    <w:rsid w:val="004F5FD9"/>
    <w:rsid w:val="004F6873"/>
    <w:rsid w:val="004F6895"/>
    <w:rsid w:val="004F68FA"/>
    <w:rsid w:val="004F6BD1"/>
    <w:rsid w:val="004F6FB3"/>
    <w:rsid w:val="004F70F1"/>
    <w:rsid w:val="004F7457"/>
    <w:rsid w:val="004F79F7"/>
    <w:rsid w:val="004F7F44"/>
    <w:rsid w:val="005001AC"/>
    <w:rsid w:val="005001B8"/>
    <w:rsid w:val="00500383"/>
    <w:rsid w:val="005011B5"/>
    <w:rsid w:val="005014B2"/>
    <w:rsid w:val="005024A1"/>
    <w:rsid w:val="005029D2"/>
    <w:rsid w:val="00502CE5"/>
    <w:rsid w:val="005030FF"/>
    <w:rsid w:val="005036F8"/>
    <w:rsid w:val="005037B4"/>
    <w:rsid w:val="00503B66"/>
    <w:rsid w:val="00504330"/>
    <w:rsid w:val="00504CF7"/>
    <w:rsid w:val="00506371"/>
    <w:rsid w:val="00506608"/>
    <w:rsid w:val="005079BF"/>
    <w:rsid w:val="005105CD"/>
    <w:rsid w:val="005107CA"/>
    <w:rsid w:val="00510934"/>
    <w:rsid w:val="005109AC"/>
    <w:rsid w:val="00511273"/>
    <w:rsid w:val="005117AC"/>
    <w:rsid w:val="005118DD"/>
    <w:rsid w:val="00512044"/>
    <w:rsid w:val="005120ED"/>
    <w:rsid w:val="00512C35"/>
    <w:rsid w:val="00512F6D"/>
    <w:rsid w:val="00512F9E"/>
    <w:rsid w:val="00512FE2"/>
    <w:rsid w:val="0051319B"/>
    <w:rsid w:val="00513BC9"/>
    <w:rsid w:val="00513E23"/>
    <w:rsid w:val="0051405E"/>
    <w:rsid w:val="005148D6"/>
    <w:rsid w:val="00514CEB"/>
    <w:rsid w:val="0051534C"/>
    <w:rsid w:val="005153D3"/>
    <w:rsid w:val="00515DE2"/>
    <w:rsid w:val="005166A1"/>
    <w:rsid w:val="00516773"/>
    <w:rsid w:val="00516962"/>
    <w:rsid w:val="00516BB8"/>
    <w:rsid w:val="0051794C"/>
    <w:rsid w:val="00517B88"/>
    <w:rsid w:val="005208B5"/>
    <w:rsid w:val="00520C7B"/>
    <w:rsid w:val="00520EC6"/>
    <w:rsid w:val="005215A0"/>
    <w:rsid w:val="00521718"/>
    <w:rsid w:val="005219E7"/>
    <w:rsid w:val="00521CE0"/>
    <w:rsid w:val="005220F6"/>
    <w:rsid w:val="005227C6"/>
    <w:rsid w:val="00522E76"/>
    <w:rsid w:val="00523F38"/>
    <w:rsid w:val="00524085"/>
    <w:rsid w:val="005245A9"/>
    <w:rsid w:val="0052547F"/>
    <w:rsid w:val="00525C30"/>
    <w:rsid w:val="00525CA5"/>
    <w:rsid w:val="00525CF2"/>
    <w:rsid w:val="00525F8C"/>
    <w:rsid w:val="00526464"/>
    <w:rsid w:val="00526CBC"/>
    <w:rsid w:val="00527D29"/>
    <w:rsid w:val="00527EEE"/>
    <w:rsid w:val="005300E0"/>
    <w:rsid w:val="0053086F"/>
    <w:rsid w:val="00531830"/>
    <w:rsid w:val="005318A5"/>
    <w:rsid w:val="00531B9A"/>
    <w:rsid w:val="00531CD0"/>
    <w:rsid w:val="00531D12"/>
    <w:rsid w:val="00531D15"/>
    <w:rsid w:val="00531D8B"/>
    <w:rsid w:val="00532165"/>
    <w:rsid w:val="005322E9"/>
    <w:rsid w:val="00532F81"/>
    <w:rsid w:val="005334A8"/>
    <w:rsid w:val="005339BC"/>
    <w:rsid w:val="00533A79"/>
    <w:rsid w:val="00533B1E"/>
    <w:rsid w:val="00533BE4"/>
    <w:rsid w:val="00533C79"/>
    <w:rsid w:val="00533D29"/>
    <w:rsid w:val="00533FB7"/>
    <w:rsid w:val="00534461"/>
    <w:rsid w:val="00534A1D"/>
    <w:rsid w:val="00535561"/>
    <w:rsid w:val="005362E6"/>
    <w:rsid w:val="005369A7"/>
    <w:rsid w:val="00536CBD"/>
    <w:rsid w:val="00536D5C"/>
    <w:rsid w:val="00537604"/>
    <w:rsid w:val="005377BA"/>
    <w:rsid w:val="00537A96"/>
    <w:rsid w:val="00540864"/>
    <w:rsid w:val="005409DB"/>
    <w:rsid w:val="00541984"/>
    <w:rsid w:val="00541C46"/>
    <w:rsid w:val="00542000"/>
    <w:rsid w:val="0054217A"/>
    <w:rsid w:val="00542377"/>
    <w:rsid w:val="005432CD"/>
    <w:rsid w:val="00543360"/>
    <w:rsid w:val="00543D3E"/>
    <w:rsid w:val="00544C99"/>
    <w:rsid w:val="00544CDE"/>
    <w:rsid w:val="005455DE"/>
    <w:rsid w:val="00545681"/>
    <w:rsid w:val="005459B7"/>
    <w:rsid w:val="00545C09"/>
    <w:rsid w:val="005463B7"/>
    <w:rsid w:val="005468A0"/>
    <w:rsid w:val="0054692A"/>
    <w:rsid w:val="00546E60"/>
    <w:rsid w:val="00547474"/>
    <w:rsid w:val="00547BE7"/>
    <w:rsid w:val="00547C15"/>
    <w:rsid w:val="00547FE2"/>
    <w:rsid w:val="00551782"/>
    <w:rsid w:val="005518D5"/>
    <w:rsid w:val="00551A29"/>
    <w:rsid w:val="005525EC"/>
    <w:rsid w:val="0055318E"/>
    <w:rsid w:val="00553336"/>
    <w:rsid w:val="005534E6"/>
    <w:rsid w:val="00553806"/>
    <w:rsid w:val="00553882"/>
    <w:rsid w:val="00553AFF"/>
    <w:rsid w:val="00553BCF"/>
    <w:rsid w:val="005543F4"/>
    <w:rsid w:val="00554404"/>
    <w:rsid w:val="0055467E"/>
    <w:rsid w:val="00554811"/>
    <w:rsid w:val="00554C67"/>
    <w:rsid w:val="00555549"/>
    <w:rsid w:val="00555643"/>
    <w:rsid w:val="00555652"/>
    <w:rsid w:val="005556EE"/>
    <w:rsid w:val="00555B03"/>
    <w:rsid w:val="00555F26"/>
    <w:rsid w:val="00556413"/>
    <w:rsid w:val="00556424"/>
    <w:rsid w:val="0055647D"/>
    <w:rsid w:val="005569F5"/>
    <w:rsid w:val="00556F0A"/>
    <w:rsid w:val="00557380"/>
    <w:rsid w:val="005577CC"/>
    <w:rsid w:val="00560060"/>
    <w:rsid w:val="005610A6"/>
    <w:rsid w:val="005612E9"/>
    <w:rsid w:val="0056173F"/>
    <w:rsid w:val="00561A80"/>
    <w:rsid w:val="00561CB9"/>
    <w:rsid w:val="005629AB"/>
    <w:rsid w:val="00562B2C"/>
    <w:rsid w:val="00563140"/>
    <w:rsid w:val="00563205"/>
    <w:rsid w:val="00563AA1"/>
    <w:rsid w:val="00563AAB"/>
    <w:rsid w:val="00563E5F"/>
    <w:rsid w:val="00563EF1"/>
    <w:rsid w:val="0056483A"/>
    <w:rsid w:val="00564E0D"/>
    <w:rsid w:val="005651AF"/>
    <w:rsid w:val="00565E94"/>
    <w:rsid w:val="00565EF5"/>
    <w:rsid w:val="00566126"/>
    <w:rsid w:val="005661B8"/>
    <w:rsid w:val="00566AB4"/>
    <w:rsid w:val="005678D1"/>
    <w:rsid w:val="005701F9"/>
    <w:rsid w:val="00571ADC"/>
    <w:rsid w:val="0057266E"/>
    <w:rsid w:val="00573236"/>
    <w:rsid w:val="00573B26"/>
    <w:rsid w:val="00574669"/>
    <w:rsid w:val="00574707"/>
    <w:rsid w:val="005747A1"/>
    <w:rsid w:val="00574883"/>
    <w:rsid w:val="00575394"/>
    <w:rsid w:val="00575AC5"/>
    <w:rsid w:val="0057605D"/>
    <w:rsid w:val="005761E6"/>
    <w:rsid w:val="00576CB5"/>
    <w:rsid w:val="00577369"/>
    <w:rsid w:val="00577909"/>
    <w:rsid w:val="00577B99"/>
    <w:rsid w:val="0058018D"/>
    <w:rsid w:val="00580A5F"/>
    <w:rsid w:val="00580F16"/>
    <w:rsid w:val="00581347"/>
    <w:rsid w:val="00581774"/>
    <w:rsid w:val="005819AD"/>
    <w:rsid w:val="00581AC9"/>
    <w:rsid w:val="00581B6F"/>
    <w:rsid w:val="00581C27"/>
    <w:rsid w:val="00581D6B"/>
    <w:rsid w:val="0058288D"/>
    <w:rsid w:val="00582E43"/>
    <w:rsid w:val="005834FC"/>
    <w:rsid w:val="00583CD2"/>
    <w:rsid w:val="005849F8"/>
    <w:rsid w:val="0058563C"/>
    <w:rsid w:val="005856EB"/>
    <w:rsid w:val="00585AA6"/>
    <w:rsid w:val="00585C18"/>
    <w:rsid w:val="00585F9C"/>
    <w:rsid w:val="0058690F"/>
    <w:rsid w:val="00586954"/>
    <w:rsid w:val="00586A57"/>
    <w:rsid w:val="005875E5"/>
    <w:rsid w:val="005878D6"/>
    <w:rsid w:val="00590274"/>
    <w:rsid w:val="00590446"/>
    <w:rsid w:val="00590497"/>
    <w:rsid w:val="005905ED"/>
    <w:rsid w:val="00590C8D"/>
    <w:rsid w:val="00590C98"/>
    <w:rsid w:val="00590EB5"/>
    <w:rsid w:val="005916F2"/>
    <w:rsid w:val="00592BCE"/>
    <w:rsid w:val="005938DF"/>
    <w:rsid w:val="00593915"/>
    <w:rsid w:val="00593BEE"/>
    <w:rsid w:val="00593C7A"/>
    <w:rsid w:val="00594E9C"/>
    <w:rsid w:val="0059533E"/>
    <w:rsid w:val="005956C3"/>
    <w:rsid w:val="00596153"/>
    <w:rsid w:val="0059644B"/>
    <w:rsid w:val="00596CC5"/>
    <w:rsid w:val="005970B1"/>
    <w:rsid w:val="00597729"/>
    <w:rsid w:val="005A0230"/>
    <w:rsid w:val="005A099B"/>
    <w:rsid w:val="005A10D6"/>
    <w:rsid w:val="005A110E"/>
    <w:rsid w:val="005A26F7"/>
    <w:rsid w:val="005A2784"/>
    <w:rsid w:val="005A2D9C"/>
    <w:rsid w:val="005A303F"/>
    <w:rsid w:val="005A39F1"/>
    <w:rsid w:val="005A4609"/>
    <w:rsid w:val="005A46F2"/>
    <w:rsid w:val="005A55FE"/>
    <w:rsid w:val="005A644B"/>
    <w:rsid w:val="005A6A11"/>
    <w:rsid w:val="005A7BAA"/>
    <w:rsid w:val="005B0202"/>
    <w:rsid w:val="005B0341"/>
    <w:rsid w:val="005B0D54"/>
    <w:rsid w:val="005B0FD7"/>
    <w:rsid w:val="005B12AA"/>
    <w:rsid w:val="005B248F"/>
    <w:rsid w:val="005B2A38"/>
    <w:rsid w:val="005B333B"/>
    <w:rsid w:val="005B3464"/>
    <w:rsid w:val="005B34E5"/>
    <w:rsid w:val="005B3CBC"/>
    <w:rsid w:val="005B52C0"/>
    <w:rsid w:val="005B5392"/>
    <w:rsid w:val="005B5551"/>
    <w:rsid w:val="005B599E"/>
    <w:rsid w:val="005B5B3D"/>
    <w:rsid w:val="005B6166"/>
    <w:rsid w:val="005B62F9"/>
    <w:rsid w:val="005B646B"/>
    <w:rsid w:val="005B69F9"/>
    <w:rsid w:val="005B6CEC"/>
    <w:rsid w:val="005B6D94"/>
    <w:rsid w:val="005B7BCB"/>
    <w:rsid w:val="005C0A9D"/>
    <w:rsid w:val="005C0FCB"/>
    <w:rsid w:val="005C15AB"/>
    <w:rsid w:val="005C1CE9"/>
    <w:rsid w:val="005C233E"/>
    <w:rsid w:val="005C24FC"/>
    <w:rsid w:val="005C300D"/>
    <w:rsid w:val="005C34F0"/>
    <w:rsid w:val="005C38AE"/>
    <w:rsid w:val="005C3C3D"/>
    <w:rsid w:val="005C3C3F"/>
    <w:rsid w:val="005C411A"/>
    <w:rsid w:val="005C4D7C"/>
    <w:rsid w:val="005C4F0D"/>
    <w:rsid w:val="005C5169"/>
    <w:rsid w:val="005C58E5"/>
    <w:rsid w:val="005C5E03"/>
    <w:rsid w:val="005C632C"/>
    <w:rsid w:val="005C6B37"/>
    <w:rsid w:val="005C74F2"/>
    <w:rsid w:val="005C79ED"/>
    <w:rsid w:val="005C7FB3"/>
    <w:rsid w:val="005D0EC0"/>
    <w:rsid w:val="005D0ECF"/>
    <w:rsid w:val="005D110C"/>
    <w:rsid w:val="005D15F2"/>
    <w:rsid w:val="005D1E0D"/>
    <w:rsid w:val="005D2502"/>
    <w:rsid w:val="005D257F"/>
    <w:rsid w:val="005D29B0"/>
    <w:rsid w:val="005D2BD1"/>
    <w:rsid w:val="005D3070"/>
    <w:rsid w:val="005D30CF"/>
    <w:rsid w:val="005D320F"/>
    <w:rsid w:val="005D3C7A"/>
    <w:rsid w:val="005D3D2B"/>
    <w:rsid w:val="005D41DF"/>
    <w:rsid w:val="005D47F3"/>
    <w:rsid w:val="005D492D"/>
    <w:rsid w:val="005D49BF"/>
    <w:rsid w:val="005D4B2E"/>
    <w:rsid w:val="005D6742"/>
    <w:rsid w:val="005D6F3C"/>
    <w:rsid w:val="005D6F4E"/>
    <w:rsid w:val="005D77EC"/>
    <w:rsid w:val="005D79A9"/>
    <w:rsid w:val="005E0297"/>
    <w:rsid w:val="005E0567"/>
    <w:rsid w:val="005E06BC"/>
    <w:rsid w:val="005E074F"/>
    <w:rsid w:val="005E2699"/>
    <w:rsid w:val="005E26ED"/>
    <w:rsid w:val="005E2B18"/>
    <w:rsid w:val="005E2D5C"/>
    <w:rsid w:val="005E31BA"/>
    <w:rsid w:val="005E32D9"/>
    <w:rsid w:val="005E33EB"/>
    <w:rsid w:val="005E37ED"/>
    <w:rsid w:val="005E3ACD"/>
    <w:rsid w:val="005E3B43"/>
    <w:rsid w:val="005E3C09"/>
    <w:rsid w:val="005E4B68"/>
    <w:rsid w:val="005E4C43"/>
    <w:rsid w:val="005E4FBC"/>
    <w:rsid w:val="005E559B"/>
    <w:rsid w:val="005E6E55"/>
    <w:rsid w:val="005E7226"/>
    <w:rsid w:val="005E7721"/>
    <w:rsid w:val="005E7A57"/>
    <w:rsid w:val="005F0216"/>
    <w:rsid w:val="005F0A9D"/>
    <w:rsid w:val="005F0E9B"/>
    <w:rsid w:val="005F1077"/>
    <w:rsid w:val="005F2480"/>
    <w:rsid w:val="005F24B0"/>
    <w:rsid w:val="005F3383"/>
    <w:rsid w:val="005F407F"/>
    <w:rsid w:val="005F4A6F"/>
    <w:rsid w:val="005F4AB7"/>
    <w:rsid w:val="005F4CA0"/>
    <w:rsid w:val="005F4D0F"/>
    <w:rsid w:val="005F58C9"/>
    <w:rsid w:val="005F5C62"/>
    <w:rsid w:val="005F703F"/>
    <w:rsid w:val="005F73C6"/>
    <w:rsid w:val="005F73F8"/>
    <w:rsid w:val="005F7DC5"/>
    <w:rsid w:val="00600071"/>
    <w:rsid w:val="00600BD0"/>
    <w:rsid w:val="00600D89"/>
    <w:rsid w:val="006011FC"/>
    <w:rsid w:val="00601664"/>
    <w:rsid w:val="00601755"/>
    <w:rsid w:val="0060176A"/>
    <w:rsid w:val="00601A61"/>
    <w:rsid w:val="00601D37"/>
    <w:rsid w:val="00602045"/>
    <w:rsid w:val="006034E1"/>
    <w:rsid w:val="00604073"/>
    <w:rsid w:val="00604315"/>
    <w:rsid w:val="0060443D"/>
    <w:rsid w:val="00604E26"/>
    <w:rsid w:val="006050D6"/>
    <w:rsid w:val="00605153"/>
    <w:rsid w:val="006052CF"/>
    <w:rsid w:val="006057AE"/>
    <w:rsid w:val="00605BA8"/>
    <w:rsid w:val="00605BEC"/>
    <w:rsid w:val="00605CBF"/>
    <w:rsid w:val="006062EE"/>
    <w:rsid w:val="00606D29"/>
    <w:rsid w:val="00607620"/>
    <w:rsid w:val="00607B8D"/>
    <w:rsid w:val="00607D4A"/>
    <w:rsid w:val="00607F01"/>
    <w:rsid w:val="00610209"/>
    <w:rsid w:val="00610A15"/>
    <w:rsid w:val="00610CDB"/>
    <w:rsid w:val="00610F8C"/>
    <w:rsid w:val="00611044"/>
    <w:rsid w:val="00611750"/>
    <w:rsid w:val="0061188B"/>
    <w:rsid w:val="00611D68"/>
    <w:rsid w:val="00611F5C"/>
    <w:rsid w:val="006123DB"/>
    <w:rsid w:val="006126BE"/>
    <w:rsid w:val="006128B3"/>
    <w:rsid w:val="0061331D"/>
    <w:rsid w:val="006134FA"/>
    <w:rsid w:val="006135AC"/>
    <w:rsid w:val="006139A3"/>
    <w:rsid w:val="006156BC"/>
    <w:rsid w:val="006161CC"/>
    <w:rsid w:val="00616E09"/>
    <w:rsid w:val="00616F99"/>
    <w:rsid w:val="0061701C"/>
    <w:rsid w:val="006170FF"/>
    <w:rsid w:val="00617158"/>
    <w:rsid w:val="0061722F"/>
    <w:rsid w:val="00617959"/>
    <w:rsid w:val="00617962"/>
    <w:rsid w:val="00620259"/>
    <w:rsid w:val="006212A7"/>
    <w:rsid w:val="00621668"/>
    <w:rsid w:val="00621775"/>
    <w:rsid w:val="0062183E"/>
    <w:rsid w:val="00621F45"/>
    <w:rsid w:val="006228C3"/>
    <w:rsid w:val="00622A3B"/>
    <w:rsid w:val="00622A45"/>
    <w:rsid w:val="00622C1B"/>
    <w:rsid w:val="0062362A"/>
    <w:rsid w:val="0062394A"/>
    <w:rsid w:val="0062394E"/>
    <w:rsid w:val="0062396C"/>
    <w:rsid w:val="00623BC9"/>
    <w:rsid w:val="00623FF9"/>
    <w:rsid w:val="00624C4B"/>
    <w:rsid w:val="006254C3"/>
    <w:rsid w:val="00625A58"/>
    <w:rsid w:val="00626035"/>
    <w:rsid w:val="00626554"/>
    <w:rsid w:val="00626928"/>
    <w:rsid w:val="00626F03"/>
    <w:rsid w:val="0062710E"/>
    <w:rsid w:val="006272B2"/>
    <w:rsid w:val="0062777B"/>
    <w:rsid w:val="00627D4E"/>
    <w:rsid w:val="00630839"/>
    <w:rsid w:val="006308C9"/>
    <w:rsid w:val="00631097"/>
    <w:rsid w:val="0063198E"/>
    <w:rsid w:val="00631ABF"/>
    <w:rsid w:val="006323A0"/>
    <w:rsid w:val="00632D24"/>
    <w:rsid w:val="0063301E"/>
    <w:rsid w:val="0063304D"/>
    <w:rsid w:val="0063394C"/>
    <w:rsid w:val="00633A7B"/>
    <w:rsid w:val="00633C46"/>
    <w:rsid w:val="00634117"/>
    <w:rsid w:val="00634203"/>
    <w:rsid w:val="0063435C"/>
    <w:rsid w:val="0063439E"/>
    <w:rsid w:val="00634478"/>
    <w:rsid w:val="00634E9C"/>
    <w:rsid w:val="0063546B"/>
    <w:rsid w:val="00635D52"/>
    <w:rsid w:val="006360E6"/>
    <w:rsid w:val="00636A1C"/>
    <w:rsid w:val="00636FA8"/>
    <w:rsid w:val="00637CD4"/>
    <w:rsid w:val="00640110"/>
    <w:rsid w:val="006402F2"/>
    <w:rsid w:val="00640433"/>
    <w:rsid w:val="006410E4"/>
    <w:rsid w:val="006411F3"/>
    <w:rsid w:val="00641679"/>
    <w:rsid w:val="006420CA"/>
    <w:rsid w:val="00644373"/>
    <w:rsid w:val="00644688"/>
    <w:rsid w:val="00644BD2"/>
    <w:rsid w:val="00644D91"/>
    <w:rsid w:val="006451F5"/>
    <w:rsid w:val="0064573D"/>
    <w:rsid w:val="006457FE"/>
    <w:rsid w:val="00645915"/>
    <w:rsid w:val="00645B4A"/>
    <w:rsid w:val="00645C9F"/>
    <w:rsid w:val="00645D38"/>
    <w:rsid w:val="00645E73"/>
    <w:rsid w:val="00646944"/>
    <w:rsid w:val="00646C3C"/>
    <w:rsid w:val="00651076"/>
    <w:rsid w:val="006519C3"/>
    <w:rsid w:val="00651AAF"/>
    <w:rsid w:val="00651ADB"/>
    <w:rsid w:val="0065260A"/>
    <w:rsid w:val="00652B30"/>
    <w:rsid w:val="006533CA"/>
    <w:rsid w:val="00653667"/>
    <w:rsid w:val="006537F9"/>
    <w:rsid w:val="00654004"/>
    <w:rsid w:val="0065419A"/>
    <w:rsid w:val="006554F4"/>
    <w:rsid w:val="006557C6"/>
    <w:rsid w:val="00655DF4"/>
    <w:rsid w:val="00656305"/>
    <w:rsid w:val="00656345"/>
    <w:rsid w:val="0065637B"/>
    <w:rsid w:val="00656DC6"/>
    <w:rsid w:val="00656F03"/>
    <w:rsid w:val="0065797C"/>
    <w:rsid w:val="00657EF3"/>
    <w:rsid w:val="00660205"/>
    <w:rsid w:val="006609F5"/>
    <w:rsid w:val="00661120"/>
    <w:rsid w:val="006613E9"/>
    <w:rsid w:val="00661723"/>
    <w:rsid w:val="00661EAC"/>
    <w:rsid w:val="00661FF8"/>
    <w:rsid w:val="00662733"/>
    <w:rsid w:val="0066380D"/>
    <w:rsid w:val="006638B1"/>
    <w:rsid w:val="00664110"/>
    <w:rsid w:val="00664449"/>
    <w:rsid w:val="00664977"/>
    <w:rsid w:val="00664C1C"/>
    <w:rsid w:val="00664D17"/>
    <w:rsid w:val="00664FE8"/>
    <w:rsid w:val="00666520"/>
    <w:rsid w:val="00666C13"/>
    <w:rsid w:val="00667BCF"/>
    <w:rsid w:val="00667C5B"/>
    <w:rsid w:val="00667CDD"/>
    <w:rsid w:val="00667D4B"/>
    <w:rsid w:val="006701FD"/>
    <w:rsid w:val="00670895"/>
    <w:rsid w:val="006709DC"/>
    <w:rsid w:val="00670C94"/>
    <w:rsid w:val="006710CC"/>
    <w:rsid w:val="00671CDB"/>
    <w:rsid w:val="00672F70"/>
    <w:rsid w:val="00673013"/>
    <w:rsid w:val="00673930"/>
    <w:rsid w:val="00674617"/>
    <w:rsid w:val="00674692"/>
    <w:rsid w:val="00675050"/>
    <w:rsid w:val="006765A4"/>
    <w:rsid w:val="00676EFE"/>
    <w:rsid w:val="00677486"/>
    <w:rsid w:val="00677A95"/>
    <w:rsid w:val="006805F4"/>
    <w:rsid w:val="00680EA5"/>
    <w:rsid w:val="006823B7"/>
    <w:rsid w:val="00682400"/>
    <w:rsid w:val="00682526"/>
    <w:rsid w:val="00682979"/>
    <w:rsid w:val="0068344C"/>
    <w:rsid w:val="00683643"/>
    <w:rsid w:val="0068366A"/>
    <w:rsid w:val="0068388E"/>
    <w:rsid w:val="00683A26"/>
    <w:rsid w:val="00683AC6"/>
    <w:rsid w:val="006842FC"/>
    <w:rsid w:val="00684634"/>
    <w:rsid w:val="0068490C"/>
    <w:rsid w:val="00685365"/>
    <w:rsid w:val="006853B9"/>
    <w:rsid w:val="006857CC"/>
    <w:rsid w:val="00685B88"/>
    <w:rsid w:val="00685BA6"/>
    <w:rsid w:val="00685C07"/>
    <w:rsid w:val="00686C24"/>
    <w:rsid w:val="00687074"/>
    <w:rsid w:val="006875A3"/>
    <w:rsid w:val="006901F2"/>
    <w:rsid w:val="00690875"/>
    <w:rsid w:val="0069089E"/>
    <w:rsid w:val="00690CE6"/>
    <w:rsid w:val="00690D0A"/>
    <w:rsid w:val="00690E63"/>
    <w:rsid w:val="00691027"/>
    <w:rsid w:val="00691B70"/>
    <w:rsid w:val="0069283A"/>
    <w:rsid w:val="00692CDE"/>
    <w:rsid w:val="00693073"/>
    <w:rsid w:val="00693B7C"/>
    <w:rsid w:val="006940D3"/>
    <w:rsid w:val="00694601"/>
    <w:rsid w:val="0069489F"/>
    <w:rsid w:val="00694C4D"/>
    <w:rsid w:val="0069577D"/>
    <w:rsid w:val="00695858"/>
    <w:rsid w:val="00695FCA"/>
    <w:rsid w:val="00696D63"/>
    <w:rsid w:val="006971D1"/>
    <w:rsid w:val="006977FF"/>
    <w:rsid w:val="00697B7B"/>
    <w:rsid w:val="00697DF2"/>
    <w:rsid w:val="006A00D6"/>
    <w:rsid w:val="006A01FA"/>
    <w:rsid w:val="006A0363"/>
    <w:rsid w:val="006A0C58"/>
    <w:rsid w:val="006A0D9C"/>
    <w:rsid w:val="006A0E03"/>
    <w:rsid w:val="006A0E9E"/>
    <w:rsid w:val="006A0F81"/>
    <w:rsid w:val="006A1545"/>
    <w:rsid w:val="006A19D3"/>
    <w:rsid w:val="006A25C7"/>
    <w:rsid w:val="006A2912"/>
    <w:rsid w:val="006A2952"/>
    <w:rsid w:val="006A2A67"/>
    <w:rsid w:val="006A2AD5"/>
    <w:rsid w:val="006A2DAD"/>
    <w:rsid w:val="006A2FDE"/>
    <w:rsid w:val="006A3E4C"/>
    <w:rsid w:val="006A496D"/>
    <w:rsid w:val="006A4AAD"/>
    <w:rsid w:val="006A5428"/>
    <w:rsid w:val="006A5722"/>
    <w:rsid w:val="006A5DD4"/>
    <w:rsid w:val="006A67C2"/>
    <w:rsid w:val="006A67EA"/>
    <w:rsid w:val="006A6BD0"/>
    <w:rsid w:val="006A6DA2"/>
    <w:rsid w:val="006A77BE"/>
    <w:rsid w:val="006A7AB2"/>
    <w:rsid w:val="006A7C73"/>
    <w:rsid w:val="006A7E5E"/>
    <w:rsid w:val="006B0ED1"/>
    <w:rsid w:val="006B1BDF"/>
    <w:rsid w:val="006B1C87"/>
    <w:rsid w:val="006B3ED8"/>
    <w:rsid w:val="006B4689"/>
    <w:rsid w:val="006B52C0"/>
    <w:rsid w:val="006B5327"/>
    <w:rsid w:val="006B533D"/>
    <w:rsid w:val="006B5717"/>
    <w:rsid w:val="006B582F"/>
    <w:rsid w:val="006B5922"/>
    <w:rsid w:val="006B67C3"/>
    <w:rsid w:val="006B6804"/>
    <w:rsid w:val="006B79C7"/>
    <w:rsid w:val="006B7F97"/>
    <w:rsid w:val="006B7FE5"/>
    <w:rsid w:val="006C02F7"/>
    <w:rsid w:val="006C0668"/>
    <w:rsid w:val="006C0CEB"/>
    <w:rsid w:val="006C1460"/>
    <w:rsid w:val="006C1601"/>
    <w:rsid w:val="006C19DC"/>
    <w:rsid w:val="006C1A4E"/>
    <w:rsid w:val="006C30F1"/>
    <w:rsid w:val="006C3130"/>
    <w:rsid w:val="006C3B1E"/>
    <w:rsid w:val="006C3F19"/>
    <w:rsid w:val="006C4189"/>
    <w:rsid w:val="006C469C"/>
    <w:rsid w:val="006C47FD"/>
    <w:rsid w:val="006C4A2D"/>
    <w:rsid w:val="006C5175"/>
    <w:rsid w:val="006C518F"/>
    <w:rsid w:val="006C5AA6"/>
    <w:rsid w:val="006C5C3B"/>
    <w:rsid w:val="006C5CFF"/>
    <w:rsid w:val="006C6C32"/>
    <w:rsid w:val="006C70A0"/>
    <w:rsid w:val="006C7ADD"/>
    <w:rsid w:val="006D0323"/>
    <w:rsid w:val="006D05D1"/>
    <w:rsid w:val="006D25AA"/>
    <w:rsid w:val="006D27CB"/>
    <w:rsid w:val="006D2E6F"/>
    <w:rsid w:val="006D2F08"/>
    <w:rsid w:val="006D3747"/>
    <w:rsid w:val="006D3864"/>
    <w:rsid w:val="006D3C0E"/>
    <w:rsid w:val="006D4A64"/>
    <w:rsid w:val="006D56A2"/>
    <w:rsid w:val="006D576C"/>
    <w:rsid w:val="006D5865"/>
    <w:rsid w:val="006D5B99"/>
    <w:rsid w:val="006D6445"/>
    <w:rsid w:val="006D6897"/>
    <w:rsid w:val="006D6959"/>
    <w:rsid w:val="006D6A68"/>
    <w:rsid w:val="006D6B66"/>
    <w:rsid w:val="006D736B"/>
    <w:rsid w:val="006D783F"/>
    <w:rsid w:val="006D78E6"/>
    <w:rsid w:val="006D7C19"/>
    <w:rsid w:val="006E0730"/>
    <w:rsid w:val="006E12F2"/>
    <w:rsid w:val="006E1A45"/>
    <w:rsid w:val="006E3C90"/>
    <w:rsid w:val="006E42B5"/>
    <w:rsid w:val="006E4979"/>
    <w:rsid w:val="006E4B1B"/>
    <w:rsid w:val="006E5395"/>
    <w:rsid w:val="006E5445"/>
    <w:rsid w:val="006E5A21"/>
    <w:rsid w:val="006E5DE3"/>
    <w:rsid w:val="006E632B"/>
    <w:rsid w:val="006E64ED"/>
    <w:rsid w:val="006E668E"/>
    <w:rsid w:val="006E7229"/>
    <w:rsid w:val="006E72AA"/>
    <w:rsid w:val="006E7D93"/>
    <w:rsid w:val="006F07F5"/>
    <w:rsid w:val="006F1276"/>
    <w:rsid w:val="006F15A3"/>
    <w:rsid w:val="006F1604"/>
    <w:rsid w:val="006F248F"/>
    <w:rsid w:val="006F2C71"/>
    <w:rsid w:val="006F3382"/>
    <w:rsid w:val="006F3C71"/>
    <w:rsid w:val="006F3FA4"/>
    <w:rsid w:val="006F4738"/>
    <w:rsid w:val="006F4887"/>
    <w:rsid w:val="006F4BA1"/>
    <w:rsid w:val="006F7407"/>
    <w:rsid w:val="006F7D2E"/>
    <w:rsid w:val="007008E5"/>
    <w:rsid w:val="00700A0E"/>
    <w:rsid w:val="00700BC6"/>
    <w:rsid w:val="007010A8"/>
    <w:rsid w:val="007012F5"/>
    <w:rsid w:val="00701A11"/>
    <w:rsid w:val="00701C1F"/>
    <w:rsid w:val="00702106"/>
    <w:rsid w:val="007023FD"/>
    <w:rsid w:val="007024C9"/>
    <w:rsid w:val="007025B4"/>
    <w:rsid w:val="007027EA"/>
    <w:rsid w:val="007029A3"/>
    <w:rsid w:val="00702F63"/>
    <w:rsid w:val="0070336B"/>
    <w:rsid w:val="00703994"/>
    <w:rsid w:val="00703BB6"/>
    <w:rsid w:val="00704223"/>
    <w:rsid w:val="007044A8"/>
    <w:rsid w:val="007049E1"/>
    <w:rsid w:val="0070563F"/>
    <w:rsid w:val="00705926"/>
    <w:rsid w:val="007063EC"/>
    <w:rsid w:val="007067D8"/>
    <w:rsid w:val="00706E4E"/>
    <w:rsid w:val="0070791C"/>
    <w:rsid w:val="00711147"/>
    <w:rsid w:val="0071149F"/>
    <w:rsid w:val="00711B82"/>
    <w:rsid w:val="00712B87"/>
    <w:rsid w:val="0071383C"/>
    <w:rsid w:val="007140AF"/>
    <w:rsid w:val="007141A7"/>
    <w:rsid w:val="0071498B"/>
    <w:rsid w:val="00715603"/>
    <w:rsid w:val="00715AEC"/>
    <w:rsid w:val="00715E96"/>
    <w:rsid w:val="0071668C"/>
    <w:rsid w:val="007169EC"/>
    <w:rsid w:val="0071742A"/>
    <w:rsid w:val="00717EDF"/>
    <w:rsid w:val="00717EF6"/>
    <w:rsid w:val="00720A8D"/>
    <w:rsid w:val="00720FF4"/>
    <w:rsid w:val="007213D0"/>
    <w:rsid w:val="00721B55"/>
    <w:rsid w:val="00722C0B"/>
    <w:rsid w:val="00722CF6"/>
    <w:rsid w:val="00723315"/>
    <w:rsid w:val="0072335F"/>
    <w:rsid w:val="007234F3"/>
    <w:rsid w:val="0072467C"/>
    <w:rsid w:val="00724D1C"/>
    <w:rsid w:val="0072530C"/>
    <w:rsid w:val="0072537B"/>
    <w:rsid w:val="00725664"/>
    <w:rsid w:val="007258C3"/>
    <w:rsid w:val="007259A9"/>
    <w:rsid w:val="007259D5"/>
    <w:rsid w:val="00725D06"/>
    <w:rsid w:val="00725E70"/>
    <w:rsid w:val="007264AD"/>
    <w:rsid w:val="00726738"/>
    <w:rsid w:val="00726CE4"/>
    <w:rsid w:val="00726D0A"/>
    <w:rsid w:val="00727222"/>
    <w:rsid w:val="007274F3"/>
    <w:rsid w:val="00727533"/>
    <w:rsid w:val="00727890"/>
    <w:rsid w:val="00727DE3"/>
    <w:rsid w:val="007308A6"/>
    <w:rsid w:val="00730D63"/>
    <w:rsid w:val="00731111"/>
    <w:rsid w:val="007324AD"/>
    <w:rsid w:val="00732EEE"/>
    <w:rsid w:val="00733826"/>
    <w:rsid w:val="00733C4D"/>
    <w:rsid w:val="00733CE8"/>
    <w:rsid w:val="00734143"/>
    <w:rsid w:val="0073456E"/>
    <w:rsid w:val="007345CC"/>
    <w:rsid w:val="00734EE2"/>
    <w:rsid w:val="00735AE2"/>
    <w:rsid w:val="00735C70"/>
    <w:rsid w:val="00735CA4"/>
    <w:rsid w:val="007364F2"/>
    <w:rsid w:val="007365E4"/>
    <w:rsid w:val="0073679B"/>
    <w:rsid w:val="00736F17"/>
    <w:rsid w:val="00737622"/>
    <w:rsid w:val="00737764"/>
    <w:rsid w:val="0073788D"/>
    <w:rsid w:val="00737E47"/>
    <w:rsid w:val="00740103"/>
    <w:rsid w:val="00740B1F"/>
    <w:rsid w:val="00740BF4"/>
    <w:rsid w:val="00740EAC"/>
    <w:rsid w:val="007416B9"/>
    <w:rsid w:val="007416CA"/>
    <w:rsid w:val="0074395D"/>
    <w:rsid w:val="00744956"/>
    <w:rsid w:val="00744D31"/>
    <w:rsid w:val="00744D44"/>
    <w:rsid w:val="00745A5C"/>
    <w:rsid w:val="00745C11"/>
    <w:rsid w:val="0074605F"/>
    <w:rsid w:val="007468F6"/>
    <w:rsid w:val="00747458"/>
    <w:rsid w:val="007475A6"/>
    <w:rsid w:val="00747E94"/>
    <w:rsid w:val="00747F68"/>
    <w:rsid w:val="00750D6B"/>
    <w:rsid w:val="0075137F"/>
    <w:rsid w:val="00751942"/>
    <w:rsid w:val="00752310"/>
    <w:rsid w:val="0075236A"/>
    <w:rsid w:val="007523FD"/>
    <w:rsid w:val="00752417"/>
    <w:rsid w:val="007538C2"/>
    <w:rsid w:val="00754B7E"/>
    <w:rsid w:val="00754C6A"/>
    <w:rsid w:val="0075504F"/>
    <w:rsid w:val="007553EA"/>
    <w:rsid w:val="007557D8"/>
    <w:rsid w:val="00756EE3"/>
    <w:rsid w:val="00756F60"/>
    <w:rsid w:val="0075707D"/>
    <w:rsid w:val="00757155"/>
    <w:rsid w:val="007575E8"/>
    <w:rsid w:val="0075779C"/>
    <w:rsid w:val="00757DAC"/>
    <w:rsid w:val="007602A9"/>
    <w:rsid w:val="007607B4"/>
    <w:rsid w:val="007608A9"/>
    <w:rsid w:val="00760AB1"/>
    <w:rsid w:val="00760BF8"/>
    <w:rsid w:val="007613DB"/>
    <w:rsid w:val="00761C42"/>
    <w:rsid w:val="00761E3E"/>
    <w:rsid w:val="00762269"/>
    <w:rsid w:val="00762988"/>
    <w:rsid w:val="007629BE"/>
    <w:rsid w:val="00763375"/>
    <w:rsid w:val="007635BB"/>
    <w:rsid w:val="00764876"/>
    <w:rsid w:val="007649AA"/>
    <w:rsid w:val="00764EBD"/>
    <w:rsid w:val="00764F2F"/>
    <w:rsid w:val="00765233"/>
    <w:rsid w:val="00765CE9"/>
    <w:rsid w:val="00765E24"/>
    <w:rsid w:val="00766235"/>
    <w:rsid w:val="0076632E"/>
    <w:rsid w:val="00766749"/>
    <w:rsid w:val="00766FC1"/>
    <w:rsid w:val="00767C1B"/>
    <w:rsid w:val="00767E92"/>
    <w:rsid w:val="00770537"/>
    <w:rsid w:val="00770612"/>
    <w:rsid w:val="007709F5"/>
    <w:rsid w:val="00770E80"/>
    <w:rsid w:val="00770F70"/>
    <w:rsid w:val="00771046"/>
    <w:rsid w:val="00771242"/>
    <w:rsid w:val="00771479"/>
    <w:rsid w:val="007714A9"/>
    <w:rsid w:val="0077185B"/>
    <w:rsid w:val="00771B0E"/>
    <w:rsid w:val="0077281C"/>
    <w:rsid w:val="0077390E"/>
    <w:rsid w:val="00773ABE"/>
    <w:rsid w:val="00773B78"/>
    <w:rsid w:val="00774175"/>
    <w:rsid w:val="00774793"/>
    <w:rsid w:val="00774D77"/>
    <w:rsid w:val="00774F88"/>
    <w:rsid w:val="00774FDB"/>
    <w:rsid w:val="007753A2"/>
    <w:rsid w:val="00775575"/>
    <w:rsid w:val="00776807"/>
    <w:rsid w:val="00776995"/>
    <w:rsid w:val="00776ACF"/>
    <w:rsid w:val="00777BA2"/>
    <w:rsid w:val="00777CA7"/>
    <w:rsid w:val="00777DED"/>
    <w:rsid w:val="0078014E"/>
    <w:rsid w:val="007806EF"/>
    <w:rsid w:val="00780776"/>
    <w:rsid w:val="00780BD1"/>
    <w:rsid w:val="00781408"/>
    <w:rsid w:val="0078151D"/>
    <w:rsid w:val="00781B8F"/>
    <w:rsid w:val="00781D74"/>
    <w:rsid w:val="0078252F"/>
    <w:rsid w:val="007827FF"/>
    <w:rsid w:val="00783CF7"/>
    <w:rsid w:val="00784108"/>
    <w:rsid w:val="00784F7F"/>
    <w:rsid w:val="00786C1F"/>
    <w:rsid w:val="007874C3"/>
    <w:rsid w:val="0078772A"/>
    <w:rsid w:val="00787C97"/>
    <w:rsid w:val="00787FE1"/>
    <w:rsid w:val="0079020A"/>
    <w:rsid w:val="00790A62"/>
    <w:rsid w:val="00792840"/>
    <w:rsid w:val="007932FF"/>
    <w:rsid w:val="00793345"/>
    <w:rsid w:val="00793617"/>
    <w:rsid w:val="00793C47"/>
    <w:rsid w:val="00794DD1"/>
    <w:rsid w:val="00795834"/>
    <w:rsid w:val="00795C26"/>
    <w:rsid w:val="00795F33"/>
    <w:rsid w:val="00796A46"/>
    <w:rsid w:val="00796F25"/>
    <w:rsid w:val="0079709D"/>
    <w:rsid w:val="0079733E"/>
    <w:rsid w:val="007975DC"/>
    <w:rsid w:val="007978CD"/>
    <w:rsid w:val="00797956"/>
    <w:rsid w:val="007A02D9"/>
    <w:rsid w:val="007A079A"/>
    <w:rsid w:val="007A1897"/>
    <w:rsid w:val="007A1AF1"/>
    <w:rsid w:val="007A27B1"/>
    <w:rsid w:val="007A290F"/>
    <w:rsid w:val="007A2A5F"/>
    <w:rsid w:val="007A2BDB"/>
    <w:rsid w:val="007A2E98"/>
    <w:rsid w:val="007A3BA3"/>
    <w:rsid w:val="007A4093"/>
    <w:rsid w:val="007A4882"/>
    <w:rsid w:val="007A6B6A"/>
    <w:rsid w:val="007A6CC0"/>
    <w:rsid w:val="007A7049"/>
    <w:rsid w:val="007A7220"/>
    <w:rsid w:val="007A7D12"/>
    <w:rsid w:val="007B008C"/>
    <w:rsid w:val="007B0457"/>
    <w:rsid w:val="007B1499"/>
    <w:rsid w:val="007B1648"/>
    <w:rsid w:val="007B196E"/>
    <w:rsid w:val="007B1BBF"/>
    <w:rsid w:val="007B1D94"/>
    <w:rsid w:val="007B22E0"/>
    <w:rsid w:val="007B2960"/>
    <w:rsid w:val="007B2D91"/>
    <w:rsid w:val="007B355D"/>
    <w:rsid w:val="007B416F"/>
    <w:rsid w:val="007B417C"/>
    <w:rsid w:val="007B4AB3"/>
    <w:rsid w:val="007B4E73"/>
    <w:rsid w:val="007B551E"/>
    <w:rsid w:val="007B587F"/>
    <w:rsid w:val="007B5C1C"/>
    <w:rsid w:val="007B5E50"/>
    <w:rsid w:val="007B6383"/>
    <w:rsid w:val="007B65ED"/>
    <w:rsid w:val="007B7086"/>
    <w:rsid w:val="007B7980"/>
    <w:rsid w:val="007C006B"/>
    <w:rsid w:val="007C01B7"/>
    <w:rsid w:val="007C0301"/>
    <w:rsid w:val="007C1211"/>
    <w:rsid w:val="007C1301"/>
    <w:rsid w:val="007C1430"/>
    <w:rsid w:val="007C174F"/>
    <w:rsid w:val="007C2066"/>
    <w:rsid w:val="007C41A4"/>
    <w:rsid w:val="007C489F"/>
    <w:rsid w:val="007C56F7"/>
    <w:rsid w:val="007C5D5A"/>
    <w:rsid w:val="007C607F"/>
    <w:rsid w:val="007C60E0"/>
    <w:rsid w:val="007C6338"/>
    <w:rsid w:val="007C6B64"/>
    <w:rsid w:val="007C76E7"/>
    <w:rsid w:val="007C791F"/>
    <w:rsid w:val="007C79DD"/>
    <w:rsid w:val="007C7F6A"/>
    <w:rsid w:val="007D00A0"/>
    <w:rsid w:val="007D01D0"/>
    <w:rsid w:val="007D05BA"/>
    <w:rsid w:val="007D0C9E"/>
    <w:rsid w:val="007D0CC3"/>
    <w:rsid w:val="007D1A97"/>
    <w:rsid w:val="007D2B2F"/>
    <w:rsid w:val="007D2CD6"/>
    <w:rsid w:val="007D2EED"/>
    <w:rsid w:val="007D3063"/>
    <w:rsid w:val="007D39B4"/>
    <w:rsid w:val="007D3CEB"/>
    <w:rsid w:val="007D581C"/>
    <w:rsid w:val="007D6680"/>
    <w:rsid w:val="007D67D0"/>
    <w:rsid w:val="007D6F52"/>
    <w:rsid w:val="007D77AF"/>
    <w:rsid w:val="007D785A"/>
    <w:rsid w:val="007D7FAD"/>
    <w:rsid w:val="007E082F"/>
    <w:rsid w:val="007E092F"/>
    <w:rsid w:val="007E0948"/>
    <w:rsid w:val="007E0A93"/>
    <w:rsid w:val="007E0D25"/>
    <w:rsid w:val="007E1C1E"/>
    <w:rsid w:val="007E1E98"/>
    <w:rsid w:val="007E21D4"/>
    <w:rsid w:val="007E2610"/>
    <w:rsid w:val="007E2A36"/>
    <w:rsid w:val="007E2BC9"/>
    <w:rsid w:val="007E2D29"/>
    <w:rsid w:val="007E3E0F"/>
    <w:rsid w:val="007E46B2"/>
    <w:rsid w:val="007E5190"/>
    <w:rsid w:val="007E674E"/>
    <w:rsid w:val="007E67A9"/>
    <w:rsid w:val="007E694F"/>
    <w:rsid w:val="007E738F"/>
    <w:rsid w:val="007E7683"/>
    <w:rsid w:val="007E79F1"/>
    <w:rsid w:val="007E7E1D"/>
    <w:rsid w:val="007E7E9C"/>
    <w:rsid w:val="007F055E"/>
    <w:rsid w:val="007F0D56"/>
    <w:rsid w:val="007F0E95"/>
    <w:rsid w:val="007F10D3"/>
    <w:rsid w:val="007F1249"/>
    <w:rsid w:val="007F1FEB"/>
    <w:rsid w:val="007F216C"/>
    <w:rsid w:val="007F228E"/>
    <w:rsid w:val="007F2555"/>
    <w:rsid w:val="007F2D83"/>
    <w:rsid w:val="007F370A"/>
    <w:rsid w:val="007F3B41"/>
    <w:rsid w:val="007F3C1B"/>
    <w:rsid w:val="007F3EFF"/>
    <w:rsid w:val="007F45CC"/>
    <w:rsid w:val="007F49FA"/>
    <w:rsid w:val="007F4B3E"/>
    <w:rsid w:val="007F5199"/>
    <w:rsid w:val="007F54C4"/>
    <w:rsid w:val="007F5AAC"/>
    <w:rsid w:val="007F5C55"/>
    <w:rsid w:val="007F6821"/>
    <w:rsid w:val="007F6E9A"/>
    <w:rsid w:val="007F7239"/>
    <w:rsid w:val="007F72BA"/>
    <w:rsid w:val="00801593"/>
    <w:rsid w:val="008017F0"/>
    <w:rsid w:val="00802E8D"/>
    <w:rsid w:val="008035DA"/>
    <w:rsid w:val="00803666"/>
    <w:rsid w:val="00803702"/>
    <w:rsid w:val="00803AD6"/>
    <w:rsid w:val="00803F1A"/>
    <w:rsid w:val="00804487"/>
    <w:rsid w:val="008044D4"/>
    <w:rsid w:val="00804A74"/>
    <w:rsid w:val="00804E96"/>
    <w:rsid w:val="00804F29"/>
    <w:rsid w:val="00805ECE"/>
    <w:rsid w:val="0080651B"/>
    <w:rsid w:val="00806861"/>
    <w:rsid w:val="008071AD"/>
    <w:rsid w:val="00810AB4"/>
    <w:rsid w:val="00810AD9"/>
    <w:rsid w:val="00811178"/>
    <w:rsid w:val="008112C1"/>
    <w:rsid w:val="00811402"/>
    <w:rsid w:val="00812BA8"/>
    <w:rsid w:val="00812FFA"/>
    <w:rsid w:val="00813F8A"/>
    <w:rsid w:val="00815758"/>
    <w:rsid w:val="00815A84"/>
    <w:rsid w:val="00815C27"/>
    <w:rsid w:val="00815DB8"/>
    <w:rsid w:val="00815F51"/>
    <w:rsid w:val="0081612B"/>
    <w:rsid w:val="00816AB6"/>
    <w:rsid w:val="00816F81"/>
    <w:rsid w:val="00817707"/>
    <w:rsid w:val="0081793E"/>
    <w:rsid w:val="00817B56"/>
    <w:rsid w:val="0082073C"/>
    <w:rsid w:val="00820E31"/>
    <w:rsid w:val="008214C1"/>
    <w:rsid w:val="00821521"/>
    <w:rsid w:val="00821847"/>
    <w:rsid w:val="00821A88"/>
    <w:rsid w:val="00822044"/>
    <w:rsid w:val="008223FF"/>
    <w:rsid w:val="008241ED"/>
    <w:rsid w:val="00824273"/>
    <w:rsid w:val="0082495D"/>
    <w:rsid w:val="0082501B"/>
    <w:rsid w:val="0082549C"/>
    <w:rsid w:val="0082559D"/>
    <w:rsid w:val="00825EF8"/>
    <w:rsid w:val="00825FB3"/>
    <w:rsid w:val="0082603D"/>
    <w:rsid w:val="008268DE"/>
    <w:rsid w:val="00826C7B"/>
    <w:rsid w:val="00826E1B"/>
    <w:rsid w:val="00826F08"/>
    <w:rsid w:val="00827004"/>
    <w:rsid w:val="00827075"/>
    <w:rsid w:val="0082711E"/>
    <w:rsid w:val="008275EC"/>
    <w:rsid w:val="00831052"/>
    <w:rsid w:val="00831AC3"/>
    <w:rsid w:val="00831EA3"/>
    <w:rsid w:val="008325B8"/>
    <w:rsid w:val="0083278B"/>
    <w:rsid w:val="008328D7"/>
    <w:rsid w:val="00832B01"/>
    <w:rsid w:val="008335A5"/>
    <w:rsid w:val="00833970"/>
    <w:rsid w:val="00833ADB"/>
    <w:rsid w:val="00834004"/>
    <w:rsid w:val="008342C5"/>
    <w:rsid w:val="008346B9"/>
    <w:rsid w:val="00835798"/>
    <w:rsid w:val="00835870"/>
    <w:rsid w:val="00835ABC"/>
    <w:rsid w:val="0083732F"/>
    <w:rsid w:val="00840035"/>
    <w:rsid w:val="00840586"/>
    <w:rsid w:val="008409BB"/>
    <w:rsid w:val="00840D15"/>
    <w:rsid w:val="008410E1"/>
    <w:rsid w:val="0084127A"/>
    <w:rsid w:val="00841506"/>
    <w:rsid w:val="00841849"/>
    <w:rsid w:val="00841CB6"/>
    <w:rsid w:val="0084230F"/>
    <w:rsid w:val="00842E76"/>
    <w:rsid w:val="008437B3"/>
    <w:rsid w:val="008439F4"/>
    <w:rsid w:val="0084411C"/>
    <w:rsid w:val="00844399"/>
    <w:rsid w:val="00844772"/>
    <w:rsid w:val="00844857"/>
    <w:rsid w:val="0084526E"/>
    <w:rsid w:val="00845D49"/>
    <w:rsid w:val="0084621D"/>
    <w:rsid w:val="00846C6C"/>
    <w:rsid w:val="00846E0D"/>
    <w:rsid w:val="00847584"/>
    <w:rsid w:val="008506AA"/>
    <w:rsid w:val="00850ED9"/>
    <w:rsid w:val="0085136D"/>
    <w:rsid w:val="0085188D"/>
    <w:rsid w:val="00851B24"/>
    <w:rsid w:val="00851F3F"/>
    <w:rsid w:val="00852644"/>
    <w:rsid w:val="00852D15"/>
    <w:rsid w:val="00853B5E"/>
    <w:rsid w:val="00853E9B"/>
    <w:rsid w:val="0085516D"/>
    <w:rsid w:val="008555D2"/>
    <w:rsid w:val="008555DF"/>
    <w:rsid w:val="008555EE"/>
    <w:rsid w:val="008561C6"/>
    <w:rsid w:val="00856267"/>
    <w:rsid w:val="00856A9F"/>
    <w:rsid w:val="00856EDC"/>
    <w:rsid w:val="00856F3E"/>
    <w:rsid w:val="0085708E"/>
    <w:rsid w:val="0085755F"/>
    <w:rsid w:val="00857792"/>
    <w:rsid w:val="008600EB"/>
    <w:rsid w:val="0086095B"/>
    <w:rsid w:val="00860A88"/>
    <w:rsid w:val="00860AC7"/>
    <w:rsid w:val="00861159"/>
    <w:rsid w:val="00861F78"/>
    <w:rsid w:val="00861FB0"/>
    <w:rsid w:val="008623B5"/>
    <w:rsid w:val="008633B4"/>
    <w:rsid w:val="0086376D"/>
    <w:rsid w:val="008637B7"/>
    <w:rsid w:val="00864360"/>
    <w:rsid w:val="00864DBE"/>
    <w:rsid w:val="008656C9"/>
    <w:rsid w:val="008657DE"/>
    <w:rsid w:val="00865A33"/>
    <w:rsid w:val="00865D38"/>
    <w:rsid w:val="00865D63"/>
    <w:rsid w:val="0086627E"/>
    <w:rsid w:val="00867045"/>
    <w:rsid w:val="0086728D"/>
    <w:rsid w:val="00867BB0"/>
    <w:rsid w:val="00870087"/>
    <w:rsid w:val="00870332"/>
    <w:rsid w:val="008705A7"/>
    <w:rsid w:val="00870871"/>
    <w:rsid w:val="00870ABA"/>
    <w:rsid w:val="008710E1"/>
    <w:rsid w:val="00871350"/>
    <w:rsid w:val="0087141E"/>
    <w:rsid w:val="008714E6"/>
    <w:rsid w:val="008716E5"/>
    <w:rsid w:val="00871849"/>
    <w:rsid w:val="00871DFC"/>
    <w:rsid w:val="00871E6E"/>
    <w:rsid w:val="00871ECF"/>
    <w:rsid w:val="0087222B"/>
    <w:rsid w:val="008724ED"/>
    <w:rsid w:val="00872E9B"/>
    <w:rsid w:val="0087334C"/>
    <w:rsid w:val="00874072"/>
    <w:rsid w:val="00874365"/>
    <w:rsid w:val="0087438D"/>
    <w:rsid w:val="00874BA6"/>
    <w:rsid w:val="00874DDE"/>
    <w:rsid w:val="00875371"/>
    <w:rsid w:val="008753D5"/>
    <w:rsid w:val="00875504"/>
    <w:rsid w:val="0087591C"/>
    <w:rsid w:val="00875FBC"/>
    <w:rsid w:val="0087605B"/>
    <w:rsid w:val="0087611C"/>
    <w:rsid w:val="00876718"/>
    <w:rsid w:val="0087671B"/>
    <w:rsid w:val="00876781"/>
    <w:rsid w:val="00876888"/>
    <w:rsid w:val="00876FAF"/>
    <w:rsid w:val="0087752A"/>
    <w:rsid w:val="00877549"/>
    <w:rsid w:val="00877767"/>
    <w:rsid w:val="00877997"/>
    <w:rsid w:val="008803A5"/>
    <w:rsid w:val="008804A6"/>
    <w:rsid w:val="008813F8"/>
    <w:rsid w:val="008813FC"/>
    <w:rsid w:val="00881531"/>
    <w:rsid w:val="00881CA9"/>
    <w:rsid w:val="00882A13"/>
    <w:rsid w:val="00882E8D"/>
    <w:rsid w:val="00883081"/>
    <w:rsid w:val="0088308F"/>
    <w:rsid w:val="008830A0"/>
    <w:rsid w:val="00883158"/>
    <w:rsid w:val="0088356A"/>
    <w:rsid w:val="00883628"/>
    <w:rsid w:val="008836B1"/>
    <w:rsid w:val="0088397A"/>
    <w:rsid w:val="00884EF5"/>
    <w:rsid w:val="008850E0"/>
    <w:rsid w:val="008852D4"/>
    <w:rsid w:val="008852E5"/>
    <w:rsid w:val="00885544"/>
    <w:rsid w:val="00885D8A"/>
    <w:rsid w:val="00886181"/>
    <w:rsid w:val="0088634E"/>
    <w:rsid w:val="0088659D"/>
    <w:rsid w:val="008866BC"/>
    <w:rsid w:val="008867E0"/>
    <w:rsid w:val="0088777A"/>
    <w:rsid w:val="008879E3"/>
    <w:rsid w:val="008911A7"/>
    <w:rsid w:val="008914F1"/>
    <w:rsid w:val="00891977"/>
    <w:rsid w:val="008921E3"/>
    <w:rsid w:val="00892F9D"/>
    <w:rsid w:val="00892FA4"/>
    <w:rsid w:val="00893438"/>
    <w:rsid w:val="00893AAD"/>
    <w:rsid w:val="00893AB8"/>
    <w:rsid w:val="00893F31"/>
    <w:rsid w:val="00894294"/>
    <w:rsid w:val="0089464F"/>
    <w:rsid w:val="008946D6"/>
    <w:rsid w:val="00894DF8"/>
    <w:rsid w:val="008957A7"/>
    <w:rsid w:val="008961D9"/>
    <w:rsid w:val="008966BE"/>
    <w:rsid w:val="0089682C"/>
    <w:rsid w:val="008972C2"/>
    <w:rsid w:val="00897B5F"/>
    <w:rsid w:val="00897BDE"/>
    <w:rsid w:val="00897EFC"/>
    <w:rsid w:val="008A00A0"/>
    <w:rsid w:val="008A04C8"/>
    <w:rsid w:val="008A04CF"/>
    <w:rsid w:val="008A077A"/>
    <w:rsid w:val="008A0A80"/>
    <w:rsid w:val="008A0D8B"/>
    <w:rsid w:val="008A16D5"/>
    <w:rsid w:val="008A3475"/>
    <w:rsid w:val="008A41AE"/>
    <w:rsid w:val="008A4661"/>
    <w:rsid w:val="008A4B07"/>
    <w:rsid w:val="008A4DEE"/>
    <w:rsid w:val="008A4F71"/>
    <w:rsid w:val="008A50A4"/>
    <w:rsid w:val="008A5B49"/>
    <w:rsid w:val="008A68FD"/>
    <w:rsid w:val="008A6913"/>
    <w:rsid w:val="008A73CB"/>
    <w:rsid w:val="008A73D3"/>
    <w:rsid w:val="008A7B76"/>
    <w:rsid w:val="008B0114"/>
    <w:rsid w:val="008B07F2"/>
    <w:rsid w:val="008B0A8E"/>
    <w:rsid w:val="008B0F3F"/>
    <w:rsid w:val="008B2948"/>
    <w:rsid w:val="008B382A"/>
    <w:rsid w:val="008B3B3F"/>
    <w:rsid w:val="008B3E7C"/>
    <w:rsid w:val="008B41A5"/>
    <w:rsid w:val="008B48B6"/>
    <w:rsid w:val="008B4C9B"/>
    <w:rsid w:val="008B55A6"/>
    <w:rsid w:val="008B5C85"/>
    <w:rsid w:val="008B5D31"/>
    <w:rsid w:val="008B6382"/>
    <w:rsid w:val="008B63C4"/>
    <w:rsid w:val="008B64A3"/>
    <w:rsid w:val="008B70F3"/>
    <w:rsid w:val="008B7194"/>
    <w:rsid w:val="008B7198"/>
    <w:rsid w:val="008B76DF"/>
    <w:rsid w:val="008B77A4"/>
    <w:rsid w:val="008B7E8F"/>
    <w:rsid w:val="008C0AE0"/>
    <w:rsid w:val="008C0BF7"/>
    <w:rsid w:val="008C10F4"/>
    <w:rsid w:val="008C1101"/>
    <w:rsid w:val="008C1297"/>
    <w:rsid w:val="008C1456"/>
    <w:rsid w:val="008C15F6"/>
    <w:rsid w:val="008C18CC"/>
    <w:rsid w:val="008C228A"/>
    <w:rsid w:val="008C2C87"/>
    <w:rsid w:val="008C32F2"/>
    <w:rsid w:val="008C3624"/>
    <w:rsid w:val="008C3A05"/>
    <w:rsid w:val="008C4D29"/>
    <w:rsid w:val="008C5428"/>
    <w:rsid w:val="008C5490"/>
    <w:rsid w:val="008C549B"/>
    <w:rsid w:val="008C5963"/>
    <w:rsid w:val="008C5A96"/>
    <w:rsid w:val="008C5AD5"/>
    <w:rsid w:val="008C5D48"/>
    <w:rsid w:val="008C5D8F"/>
    <w:rsid w:val="008C6414"/>
    <w:rsid w:val="008C70C3"/>
    <w:rsid w:val="008C7F98"/>
    <w:rsid w:val="008D02D0"/>
    <w:rsid w:val="008D084A"/>
    <w:rsid w:val="008D0E0B"/>
    <w:rsid w:val="008D1924"/>
    <w:rsid w:val="008D21FC"/>
    <w:rsid w:val="008D2A20"/>
    <w:rsid w:val="008D3372"/>
    <w:rsid w:val="008D3646"/>
    <w:rsid w:val="008D3805"/>
    <w:rsid w:val="008D38B7"/>
    <w:rsid w:val="008D393A"/>
    <w:rsid w:val="008D3E4F"/>
    <w:rsid w:val="008D4A8E"/>
    <w:rsid w:val="008D4CFF"/>
    <w:rsid w:val="008D567E"/>
    <w:rsid w:val="008D65AA"/>
    <w:rsid w:val="008D6A7E"/>
    <w:rsid w:val="008D6BB4"/>
    <w:rsid w:val="008D6D7F"/>
    <w:rsid w:val="008D6DCE"/>
    <w:rsid w:val="008D6EC9"/>
    <w:rsid w:val="008D713D"/>
    <w:rsid w:val="008D7DAC"/>
    <w:rsid w:val="008D7FB5"/>
    <w:rsid w:val="008E0CCC"/>
    <w:rsid w:val="008E0E68"/>
    <w:rsid w:val="008E1462"/>
    <w:rsid w:val="008E1675"/>
    <w:rsid w:val="008E1D75"/>
    <w:rsid w:val="008E2875"/>
    <w:rsid w:val="008E2922"/>
    <w:rsid w:val="008E2A9E"/>
    <w:rsid w:val="008E2C1D"/>
    <w:rsid w:val="008E3A9A"/>
    <w:rsid w:val="008E4767"/>
    <w:rsid w:val="008E4B9D"/>
    <w:rsid w:val="008E4CB3"/>
    <w:rsid w:val="008E50E0"/>
    <w:rsid w:val="008E5367"/>
    <w:rsid w:val="008E5BD2"/>
    <w:rsid w:val="008E5E68"/>
    <w:rsid w:val="008E7986"/>
    <w:rsid w:val="008E7A8C"/>
    <w:rsid w:val="008E7C9D"/>
    <w:rsid w:val="008F02D3"/>
    <w:rsid w:val="008F0620"/>
    <w:rsid w:val="008F1C30"/>
    <w:rsid w:val="008F2206"/>
    <w:rsid w:val="008F24DB"/>
    <w:rsid w:val="008F28D5"/>
    <w:rsid w:val="008F2A51"/>
    <w:rsid w:val="008F2F5D"/>
    <w:rsid w:val="008F3049"/>
    <w:rsid w:val="008F3458"/>
    <w:rsid w:val="008F3589"/>
    <w:rsid w:val="008F3596"/>
    <w:rsid w:val="008F39A1"/>
    <w:rsid w:val="008F3F55"/>
    <w:rsid w:val="008F4DB3"/>
    <w:rsid w:val="008F5269"/>
    <w:rsid w:val="008F52E8"/>
    <w:rsid w:val="008F5718"/>
    <w:rsid w:val="008F595B"/>
    <w:rsid w:val="008F5B03"/>
    <w:rsid w:val="008F6478"/>
    <w:rsid w:val="008F64D7"/>
    <w:rsid w:val="008F68BF"/>
    <w:rsid w:val="008F70D9"/>
    <w:rsid w:val="008F728E"/>
    <w:rsid w:val="008F731B"/>
    <w:rsid w:val="008F76DD"/>
    <w:rsid w:val="0090051F"/>
    <w:rsid w:val="009007BB"/>
    <w:rsid w:val="00900A5E"/>
    <w:rsid w:val="00901518"/>
    <w:rsid w:val="00901A0D"/>
    <w:rsid w:val="00902314"/>
    <w:rsid w:val="00902908"/>
    <w:rsid w:val="00902EFB"/>
    <w:rsid w:val="00903285"/>
    <w:rsid w:val="00903549"/>
    <w:rsid w:val="0090368A"/>
    <w:rsid w:val="00903BCE"/>
    <w:rsid w:val="00904764"/>
    <w:rsid w:val="00905710"/>
    <w:rsid w:val="00905884"/>
    <w:rsid w:val="00905D6F"/>
    <w:rsid w:val="00906ED5"/>
    <w:rsid w:val="00906F40"/>
    <w:rsid w:val="00906F71"/>
    <w:rsid w:val="0090731E"/>
    <w:rsid w:val="009100F4"/>
    <w:rsid w:val="0091115B"/>
    <w:rsid w:val="00912013"/>
    <w:rsid w:val="00912373"/>
    <w:rsid w:val="009125E7"/>
    <w:rsid w:val="0091301D"/>
    <w:rsid w:val="00913204"/>
    <w:rsid w:val="00913602"/>
    <w:rsid w:val="0091434E"/>
    <w:rsid w:val="00914F81"/>
    <w:rsid w:val="00915017"/>
    <w:rsid w:val="0091594B"/>
    <w:rsid w:val="00915B1C"/>
    <w:rsid w:val="00915FF0"/>
    <w:rsid w:val="00916427"/>
    <w:rsid w:val="00916FCE"/>
    <w:rsid w:val="009174F3"/>
    <w:rsid w:val="0091797D"/>
    <w:rsid w:val="00917C71"/>
    <w:rsid w:val="00920361"/>
    <w:rsid w:val="0092037F"/>
    <w:rsid w:val="00920779"/>
    <w:rsid w:val="00920A1E"/>
    <w:rsid w:val="00920A3F"/>
    <w:rsid w:val="00920FAD"/>
    <w:rsid w:val="0092134C"/>
    <w:rsid w:val="00921D6A"/>
    <w:rsid w:val="00921FD6"/>
    <w:rsid w:val="0092268C"/>
    <w:rsid w:val="009234D0"/>
    <w:rsid w:val="00923B14"/>
    <w:rsid w:val="00923CBA"/>
    <w:rsid w:val="00924AB6"/>
    <w:rsid w:val="00924F70"/>
    <w:rsid w:val="0092576F"/>
    <w:rsid w:val="0092581E"/>
    <w:rsid w:val="00925E1F"/>
    <w:rsid w:val="00926703"/>
    <w:rsid w:val="009272FE"/>
    <w:rsid w:val="00927325"/>
    <w:rsid w:val="00927691"/>
    <w:rsid w:val="00927993"/>
    <w:rsid w:val="00927A5F"/>
    <w:rsid w:val="00927DC3"/>
    <w:rsid w:val="00927DDF"/>
    <w:rsid w:val="0093085F"/>
    <w:rsid w:val="00930BF6"/>
    <w:rsid w:val="0093200E"/>
    <w:rsid w:val="00932120"/>
    <w:rsid w:val="00932269"/>
    <w:rsid w:val="009329F7"/>
    <w:rsid w:val="00933078"/>
    <w:rsid w:val="00933972"/>
    <w:rsid w:val="00935B63"/>
    <w:rsid w:val="00935E84"/>
    <w:rsid w:val="009364DE"/>
    <w:rsid w:val="00936761"/>
    <w:rsid w:val="009372C1"/>
    <w:rsid w:val="00937B6A"/>
    <w:rsid w:val="00937F44"/>
    <w:rsid w:val="009405E1"/>
    <w:rsid w:val="0094078F"/>
    <w:rsid w:val="00940A4A"/>
    <w:rsid w:val="00940AB7"/>
    <w:rsid w:val="00940FA3"/>
    <w:rsid w:val="00941F21"/>
    <w:rsid w:val="00941FB0"/>
    <w:rsid w:val="0094242E"/>
    <w:rsid w:val="0094259D"/>
    <w:rsid w:val="009426D4"/>
    <w:rsid w:val="00942963"/>
    <w:rsid w:val="00943072"/>
    <w:rsid w:val="009443A6"/>
    <w:rsid w:val="0094475A"/>
    <w:rsid w:val="00944A6E"/>
    <w:rsid w:val="00944B1B"/>
    <w:rsid w:val="00944D4C"/>
    <w:rsid w:val="00944E38"/>
    <w:rsid w:val="00944E6D"/>
    <w:rsid w:val="0094562C"/>
    <w:rsid w:val="00945EFD"/>
    <w:rsid w:val="00945F8D"/>
    <w:rsid w:val="00946412"/>
    <w:rsid w:val="00946E0A"/>
    <w:rsid w:val="00947C2D"/>
    <w:rsid w:val="00947D02"/>
    <w:rsid w:val="00947E7A"/>
    <w:rsid w:val="00947F25"/>
    <w:rsid w:val="0095010F"/>
    <w:rsid w:val="00950159"/>
    <w:rsid w:val="00950228"/>
    <w:rsid w:val="0095138C"/>
    <w:rsid w:val="00951CCA"/>
    <w:rsid w:val="00951F85"/>
    <w:rsid w:val="00952C4F"/>
    <w:rsid w:val="00952FCA"/>
    <w:rsid w:val="00953605"/>
    <w:rsid w:val="0095374D"/>
    <w:rsid w:val="00953D23"/>
    <w:rsid w:val="0095418C"/>
    <w:rsid w:val="00954773"/>
    <w:rsid w:val="0095490B"/>
    <w:rsid w:val="0095504F"/>
    <w:rsid w:val="009551D9"/>
    <w:rsid w:val="009554A0"/>
    <w:rsid w:val="009557CA"/>
    <w:rsid w:val="00955836"/>
    <w:rsid w:val="00956040"/>
    <w:rsid w:val="00956199"/>
    <w:rsid w:val="00956D32"/>
    <w:rsid w:val="009579F0"/>
    <w:rsid w:val="00957EBE"/>
    <w:rsid w:val="00960976"/>
    <w:rsid w:val="009614C8"/>
    <w:rsid w:val="00961A49"/>
    <w:rsid w:val="00961B3B"/>
    <w:rsid w:val="00961E72"/>
    <w:rsid w:val="00961ECC"/>
    <w:rsid w:val="009627C2"/>
    <w:rsid w:val="00962CC8"/>
    <w:rsid w:val="00963106"/>
    <w:rsid w:val="00963443"/>
    <w:rsid w:val="00964805"/>
    <w:rsid w:val="00964884"/>
    <w:rsid w:val="00964A5E"/>
    <w:rsid w:val="00964AF9"/>
    <w:rsid w:val="00964D7D"/>
    <w:rsid w:val="00964E5F"/>
    <w:rsid w:val="009651B2"/>
    <w:rsid w:val="00965665"/>
    <w:rsid w:val="00965BFA"/>
    <w:rsid w:val="00966396"/>
    <w:rsid w:val="0096674E"/>
    <w:rsid w:val="00967495"/>
    <w:rsid w:val="00967A49"/>
    <w:rsid w:val="00970C00"/>
    <w:rsid w:val="00970C02"/>
    <w:rsid w:val="00970C33"/>
    <w:rsid w:val="00970D68"/>
    <w:rsid w:val="00970E64"/>
    <w:rsid w:val="00971146"/>
    <w:rsid w:val="0097125E"/>
    <w:rsid w:val="009718DF"/>
    <w:rsid w:val="00972397"/>
    <w:rsid w:val="00972FCF"/>
    <w:rsid w:val="0097367C"/>
    <w:rsid w:val="00973DFE"/>
    <w:rsid w:val="00973FA0"/>
    <w:rsid w:val="009742C8"/>
    <w:rsid w:val="00974363"/>
    <w:rsid w:val="00974474"/>
    <w:rsid w:val="00974E7D"/>
    <w:rsid w:val="009753F6"/>
    <w:rsid w:val="00975E07"/>
    <w:rsid w:val="00976253"/>
    <w:rsid w:val="009762C4"/>
    <w:rsid w:val="009769BE"/>
    <w:rsid w:val="00976BA1"/>
    <w:rsid w:val="00976C83"/>
    <w:rsid w:val="00977346"/>
    <w:rsid w:val="00980627"/>
    <w:rsid w:val="00980F0B"/>
    <w:rsid w:val="00981559"/>
    <w:rsid w:val="009817BB"/>
    <w:rsid w:val="00981898"/>
    <w:rsid w:val="009823E1"/>
    <w:rsid w:val="009825CA"/>
    <w:rsid w:val="00982798"/>
    <w:rsid w:val="00982E4B"/>
    <w:rsid w:val="009830CA"/>
    <w:rsid w:val="00983CF0"/>
    <w:rsid w:val="00983EFC"/>
    <w:rsid w:val="00984456"/>
    <w:rsid w:val="009844C3"/>
    <w:rsid w:val="009846EA"/>
    <w:rsid w:val="0098552B"/>
    <w:rsid w:val="009855CA"/>
    <w:rsid w:val="00985976"/>
    <w:rsid w:val="00985EC2"/>
    <w:rsid w:val="00987251"/>
    <w:rsid w:val="00990622"/>
    <w:rsid w:val="00990E8C"/>
    <w:rsid w:val="009917F2"/>
    <w:rsid w:val="009935F4"/>
    <w:rsid w:val="00993DC3"/>
    <w:rsid w:val="00993EB8"/>
    <w:rsid w:val="009946A4"/>
    <w:rsid w:val="009950E8"/>
    <w:rsid w:val="009951DE"/>
    <w:rsid w:val="009954F5"/>
    <w:rsid w:val="00995600"/>
    <w:rsid w:val="0099577C"/>
    <w:rsid w:val="00995CCF"/>
    <w:rsid w:val="009962B9"/>
    <w:rsid w:val="00996AB1"/>
    <w:rsid w:val="00996C5E"/>
    <w:rsid w:val="009972F2"/>
    <w:rsid w:val="009977FC"/>
    <w:rsid w:val="00997964"/>
    <w:rsid w:val="00997990"/>
    <w:rsid w:val="00997A94"/>
    <w:rsid w:val="00997AB4"/>
    <w:rsid w:val="009A0122"/>
    <w:rsid w:val="009A0F5D"/>
    <w:rsid w:val="009A1655"/>
    <w:rsid w:val="009A1898"/>
    <w:rsid w:val="009A1984"/>
    <w:rsid w:val="009A1EE1"/>
    <w:rsid w:val="009A2264"/>
    <w:rsid w:val="009A2C04"/>
    <w:rsid w:val="009A2DA4"/>
    <w:rsid w:val="009A3530"/>
    <w:rsid w:val="009A3B4C"/>
    <w:rsid w:val="009A3B5E"/>
    <w:rsid w:val="009A3C24"/>
    <w:rsid w:val="009A443E"/>
    <w:rsid w:val="009A5160"/>
    <w:rsid w:val="009A54D8"/>
    <w:rsid w:val="009A6273"/>
    <w:rsid w:val="009A6294"/>
    <w:rsid w:val="009A6486"/>
    <w:rsid w:val="009A76D1"/>
    <w:rsid w:val="009A7871"/>
    <w:rsid w:val="009A79CD"/>
    <w:rsid w:val="009A7FAF"/>
    <w:rsid w:val="009B0452"/>
    <w:rsid w:val="009B0A67"/>
    <w:rsid w:val="009B0D33"/>
    <w:rsid w:val="009B0D8F"/>
    <w:rsid w:val="009B1043"/>
    <w:rsid w:val="009B1E01"/>
    <w:rsid w:val="009B1E37"/>
    <w:rsid w:val="009B1EEB"/>
    <w:rsid w:val="009B2063"/>
    <w:rsid w:val="009B246E"/>
    <w:rsid w:val="009B32BE"/>
    <w:rsid w:val="009B34DD"/>
    <w:rsid w:val="009B3BC4"/>
    <w:rsid w:val="009B4174"/>
    <w:rsid w:val="009B4E15"/>
    <w:rsid w:val="009B4E9E"/>
    <w:rsid w:val="009B4F7C"/>
    <w:rsid w:val="009B5160"/>
    <w:rsid w:val="009B5743"/>
    <w:rsid w:val="009B5812"/>
    <w:rsid w:val="009B6400"/>
    <w:rsid w:val="009B655B"/>
    <w:rsid w:val="009B725F"/>
    <w:rsid w:val="009C0B6B"/>
    <w:rsid w:val="009C0C46"/>
    <w:rsid w:val="009C1690"/>
    <w:rsid w:val="009C17AF"/>
    <w:rsid w:val="009C1A93"/>
    <w:rsid w:val="009C1BE9"/>
    <w:rsid w:val="009C2497"/>
    <w:rsid w:val="009C24AE"/>
    <w:rsid w:val="009C2852"/>
    <w:rsid w:val="009C29D8"/>
    <w:rsid w:val="009C2F16"/>
    <w:rsid w:val="009C39C9"/>
    <w:rsid w:val="009C3A57"/>
    <w:rsid w:val="009C43D3"/>
    <w:rsid w:val="009C4C7D"/>
    <w:rsid w:val="009C4E18"/>
    <w:rsid w:val="009C55BD"/>
    <w:rsid w:val="009C583C"/>
    <w:rsid w:val="009C5C09"/>
    <w:rsid w:val="009C6249"/>
    <w:rsid w:val="009C633A"/>
    <w:rsid w:val="009C67F4"/>
    <w:rsid w:val="009C6881"/>
    <w:rsid w:val="009C6E8B"/>
    <w:rsid w:val="009C7759"/>
    <w:rsid w:val="009D043D"/>
    <w:rsid w:val="009D0D69"/>
    <w:rsid w:val="009D1134"/>
    <w:rsid w:val="009D1235"/>
    <w:rsid w:val="009D17F7"/>
    <w:rsid w:val="009D1861"/>
    <w:rsid w:val="009D1925"/>
    <w:rsid w:val="009D21E4"/>
    <w:rsid w:val="009D26DA"/>
    <w:rsid w:val="009D2C11"/>
    <w:rsid w:val="009D2F1C"/>
    <w:rsid w:val="009D387A"/>
    <w:rsid w:val="009D3AF0"/>
    <w:rsid w:val="009D40E3"/>
    <w:rsid w:val="009D41CB"/>
    <w:rsid w:val="009D445F"/>
    <w:rsid w:val="009D468B"/>
    <w:rsid w:val="009D48C2"/>
    <w:rsid w:val="009D4CD3"/>
    <w:rsid w:val="009D5404"/>
    <w:rsid w:val="009D54DB"/>
    <w:rsid w:val="009D5752"/>
    <w:rsid w:val="009D5892"/>
    <w:rsid w:val="009D5A61"/>
    <w:rsid w:val="009D6C71"/>
    <w:rsid w:val="009D7639"/>
    <w:rsid w:val="009D7FF2"/>
    <w:rsid w:val="009E0487"/>
    <w:rsid w:val="009E0631"/>
    <w:rsid w:val="009E0E9C"/>
    <w:rsid w:val="009E0F6B"/>
    <w:rsid w:val="009E1512"/>
    <w:rsid w:val="009E16D0"/>
    <w:rsid w:val="009E17F0"/>
    <w:rsid w:val="009E1CAA"/>
    <w:rsid w:val="009E1F52"/>
    <w:rsid w:val="009E1F77"/>
    <w:rsid w:val="009E206B"/>
    <w:rsid w:val="009E26DA"/>
    <w:rsid w:val="009E27E3"/>
    <w:rsid w:val="009E3642"/>
    <w:rsid w:val="009E38BE"/>
    <w:rsid w:val="009E38FD"/>
    <w:rsid w:val="009E4211"/>
    <w:rsid w:val="009E4FB1"/>
    <w:rsid w:val="009E6A2F"/>
    <w:rsid w:val="009E6D3B"/>
    <w:rsid w:val="009E728E"/>
    <w:rsid w:val="009E73EA"/>
    <w:rsid w:val="009E7C5D"/>
    <w:rsid w:val="009F010F"/>
    <w:rsid w:val="009F0863"/>
    <w:rsid w:val="009F0D36"/>
    <w:rsid w:val="009F0E6A"/>
    <w:rsid w:val="009F1157"/>
    <w:rsid w:val="009F13D6"/>
    <w:rsid w:val="009F19ED"/>
    <w:rsid w:val="009F2046"/>
    <w:rsid w:val="009F2782"/>
    <w:rsid w:val="009F2B33"/>
    <w:rsid w:val="009F33CB"/>
    <w:rsid w:val="009F3940"/>
    <w:rsid w:val="009F424A"/>
    <w:rsid w:val="009F4C6B"/>
    <w:rsid w:val="009F4EC3"/>
    <w:rsid w:val="009F54B3"/>
    <w:rsid w:val="009F5EB5"/>
    <w:rsid w:val="009F6090"/>
    <w:rsid w:val="009F6252"/>
    <w:rsid w:val="009F63F7"/>
    <w:rsid w:val="009F78A8"/>
    <w:rsid w:val="009F7AC9"/>
    <w:rsid w:val="009F7CBD"/>
    <w:rsid w:val="00A0045A"/>
    <w:rsid w:val="00A00CFA"/>
    <w:rsid w:val="00A00E0D"/>
    <w:rsid w:val="00A02403"/>
    <w:rsid w:val="00A02AD6"/>
    <w:rsid w:val="00A02BDE"/>
    <w:rsid w:val="00A0368A"/>
    <w:rsid w:val="00A03B6A"/>
    <w:rsid w:val="00A03F34"/>
    <w:rsid w:val="00A042DC"/>
    <w:rsid w:val="00A04EBA"/>
    <w:rsid w:val="00A04F21"/>
    <w:rsid w:val="00A0562B"/>
    <w:rsid w:val="00A05C7E"/>
    <w:rsid w:val="00A07096"/>
    <w:rsid w:val="00A0730A"/>
    <w:rsid w:val="00A07318"/>
    <w:rsid w:val="00A07581"/>
    <w:rsid w:val="00A07814"/>
    <w:rsid w:val="00A07A84"/>
    <w:rsid w:val="00A10050"/>
    <w:rsid w:val="00A1018A"/>
    <w:rsid w:val="00A11370"/>
    <w:rsid w:val="00A1191C"/>
    <w:rsid w:val="00A119A3"/>
    <w:rsid w:val="00A119F4"/>
    <w:rsid w:val="00A11CE5"/>
    <w:rsid w:val="00A12454"/>
    <w:rsid w:val="00A126A6"/>
    <w:rsid w:val="00A12C39"/>
    <w:rsid w:val="00A12D4A"/>
    <w:rsid w:val="00A14E54"/>
    <w:rsid w:val="00A152F8"/>
    <w:rsid w:val="00A15355"/>
    <w:rsid w:val="00A15AEB"/>
    <w:rsid w:val="00A15DBB"/>
    <w:rsid w:val="00A16894"/>
    <w:rsid w:val="00A16EEF"/>
    <w:rsid w:val="00A16F6B"/>
    <w:rsid w:val="00A1796A"/>
    <w:rsid w:val="00A17B15"/>
    <w:rsid w:val="00A17C5C"/>
    <w:rsid w:val="00A216D8"/>
    <w:rsid w:val="00A219CD"/>
    <w:rsid w:val="00A21D64"/>
    <w:rsid w:val="00A223E4"/>
    <w:rsid w:val="00A224CE"/>
    <w:rsid w:val="00A22522"/>
    <w:rsid w:val="00A2269C"/>
    <w:rsid w:val="00A22742"/>
    <w:rsid w:val="00A22F05"/>
    <w:rsid w:val="00A2339C"/>
    <w:rsid w:val="00A2346C"/>
    <w:rsid w:val="00A24533"/>
    <w:rsid w:val="00A24A80"/>
    <w:rsid w:val="00A24AFD"/>
    <w:rsid w:val="00A24F5C"/>
    <w:rsid w:val="00A251B2"/>
    <w:rsid w:val="00A26483"/>
    <w:rsid w:val="00A26924"/>
    <w:rsid w:val="00A26AA5"/>
    <w:rsid w:val="00A27961"/>
    <w:rsid w:val="00A27D33"/>
    <w:rsid w:val="00A308B8"/>
    <w:rsid w:val="00A31365"/>
    <w:rsid w:val="00A319B2"/>
    <w:rsid w:val="00A31AC8"/>
    <w:rsid w:val="00A31D71"/>
    <w:rsid w:val="00A3222B"/>
    <w:rsid w:val="00A32564"/>
    <w:rsid w:val="00A32766"/>
    <w:rsid w:val="00A32A77"/>
    <w:rsid w:val="00A32BD5"/>
    <w:rsid w:val="00A32F96"/>
    <w:rsid w:val="00A3415E"/>
    <w:rsid w:val="00A347D7"/>
    <w:rsid w:val="00A34B9D"/>
    <w:rsid w:val="00A350A4"/>
    <w:rsid w:val="00A354E4"/>
    <w:rsid w:val="00A358D5"/>
    <w:rsid w:val="00A35ABA"/>
    <w:rsid w:val="00A35ACF"/>
    <w:rsid w:val="00A362D8"/>
    <w:rsid w:val="00A365AC"/>
    <w:rsid w:val="00A369C6"/>
    <w:rsid w:val="00A36FC4"/>
    <w:rsid w:val="00A40132"/>
    <w:rsid w:val="00A40750"/>
    <w:rsid w:val="00A40828"/>
    <w:rsid w:val="00A40871"/>
    <w:rsid w:val="00A40CD8"/>
    <w:rsid w:val="00A40EC3"/>
    <w:rsid w:val="00A41024"/>
    <w:rsid w:val="00A412AB"/>
    <w:rsid w:val="00A413BF"/>
    <w:rsid w:val="00A41630"/>
    <w:rsid w:val="00A4193E"/>
    <w:rsid w:val="00A423B3"/>
    <w:rsid w:val="00A428A9"/>
    <w:rsid w:val="00A42E26"/>
    <w:rsid w:val="00A4335F"/>
    <w:rsid w:val="00A43839"/>
    <w:rsid w:val="00A43E44"/>
    <w:rsid w:val="00A440E0"/>
    <w:rsid w:val="00A4427E"/>
    <w:rsid w:val="00A44F92"/>
    <w:rsid w:val="00A4525C"/>
    <w:rsid w:val="00A45509"/>
    <w:rsid w:val="00A45B9B"/>
    <w:rsid w:val="00A45BD7"/>
    <w:rsid w:val="00A4606E"/>
    <w:rsid w:val="00A461F3"/>
    <w:rsid w:val="00A4640F"/>
    <w:rsid w:val="00A4730A"/>
    <w:rsid w:val="00A476E2"/>
    <w:rsid w:val="00A47AF5"/>
    <w:rsid w:val="00A47D8B"/>
    <w:rsid w:val="00A47F5C"/>
    <w:rsid w:val="00A50BCC"/>
    <w:rsid w:val="00A50BED"/>
    <w:rsid w:val="00A50E34"/>
    <w:rsid w:val="00A50F66"/>
    <w:rsid w:val="00A5111C"/>
    <w:rsid w:val="00A512ED"/>
    <w:rsid w:val="00A51513"/>
    <w:rsid w:val="00A51960"/>
    <w:rsid w:val="00A51D82"/>
    <w:rsid w:val="00A528EA"/>
    <w:rsid w:val="00A529CC"/>
    <w:rsid w:val="00A529E6"/>
    <w:rsid w:val="00A53190"/>
    <w:rsid w:val="00A531AF"/>
    <w:rsid w:val="00A5352C"/>
    <w:rsid w:val="00A536BA"/>
    <w:rsid w:val="00A53722"/>
    <w:rsid w:val="00A53950"/>
    <w:rsid w:val="00A53E17"/>
    <w:rsid w:val="00A54053"/>
    <w:rsid w:val="00A5418D"/>
    <w:rsid w:val="00A5474E"/>
    <w:rsid w:val="00A54918"/>
    <w:rsid w:val="00A54C72"/>
    <w:rsid w:val="00A54DBD"/>
    <w:rsid w:val="00A55142"/>
    <w:rsid w:val="00A5516A"/>
    <w:rsid w:val="00A5521D"/>
    <w:rsid w:val="00A556F4"/>
    <w:rsid w:val="00A561A8"/>
    <w:rsid w:val="00A565E7"/>
    <w:rsid w:val="00A5720D"/>
    <w:rsid w:val="00A5746F"/>
    <w:rsid w:val="00A57785"/>
    <w:rsid w:val="00A57819"/>
    <w:rsid w:val="00A57E93"/>
    <w:rsid w:val="00A607C3"/>
    <w:rsid w:val="00A60F8F"/>
    <w:rsid w:val="00A615D3"/>
    <w:rsid w:val="00A629C4"/>
    <w:rsid w:val="00A632C8"/>
    <w:rsid w:val="00A634FE"/>
    <w:rsid w:val="00A64520"/>
    <w:rsid w:val="00A6457A"/>
    <w:rsid w:val="00A6461F"/>
    <w:rsid w:val="00A654C2"/>
    <w:rsid w:val="00A65E05"/>
    <w:rsid w:val="00A65F02"/>
    <w:rsid w:val="00A65F4C"/>
    <w:rsid w:val="00A65F93"/>
    <w:rsid w:val="00A6782F"/>
    <w:rsid w:val="00A679DF"/>
    <w:rsid w:val="00A67AC9"/>
    <w:rsid w:val="00A67C49"/>
    <w:rsid w:val="00A701C0"/>
    <w:rsid w:val="00A70721"/>
    <w:rsid w:val="00A7091E"/>
    <w:rsid w:val="00A70A6C"/>
    <w:rsid w:val="00A70ADF"/>
    <w:rsid w:val="00A712A0"/>
    <w:rsid w:val="00A71466"/>
    <w:rsid w:val="00A73000"/>
    <w:rsid w:val="00A73013"/>
    <w:rsid w:val="00A7359C"/>
    <w:rsid w:val="00A737ED"/>
    <w:rsid w:val="00A73937"/>
    <w:rsid w:val="00A73ED0"/>
    <w:rsid w:val="00A73F6A"/>
    <w:rsid w:val="00A74165"/>
    <w:rsid w:val="00A74738"/>
    <w:rsid w:val="00A74B5E"/>
    <w:rsid w:val="00A74F6B"/>
    <w:rsid w:val="00A7517D"/>
    <w:rsid w:val="00A75972"/>
    <w:rsid w:val="00A75EED"/>
    <w:rsid w:val="00A77BDC"/>
    <w:rsid w:val="00A77EC5"/>
    <w:rsid w:val="00A77ED6"/>
    <w:rsid w:val="00A77EE0"/>
    <w:rsid w:val="00A8032C"/>
    <w:rsid w:val="00A80D4F"/>
    <w:rsid w:val="00A8182F"/>
    <w:rsid w:val="00A81AB7"/>
    <w:rsid w:val="00A81BED"/>
    <w:rsid w:val="00A81D6F"/>
    <w:rsid w:val="00A81EC4"/>
    <w:rsid w:val="00A823C9"/>
    <w:rsid w:val="00A825C7"/>
    <w:rsid w:val="00A826C2"/>
    <w:rsid w:val="00A82E51"/>
    <w:rsid w:val="00A8300F"/>
    <w:rsid w:val="00A8335A"/>
    <w:rsid w:val="00A8370D"/>
    <w:rsid w:val="00A83A56"/>
    <w:rsid w:val="00A83E3B"/>
    <w:rsid w:val="00A83E41"/>
    <w:rsid w:val="00A8543E"/>
    <w:rsid w:val="00A85FC1"/>
    <w:rsid w:val="00A8659A"/>
    <w:rsid w:val="00A865C5"/>
    <w:rsid w:val="00A869AE"/>
    <w:rsid w:val="00A86AF1"/>
    <w:rsid w:val="00A872D0"/>
    <w:rsid w:val="00A87A38"/>
    <w:rsid w:val="00A87AD7"/>
    <w:rsid w:val="00A87D87"/>
    <w:rsid w:val="00A90680"/>
    <w:rsid w:val="00A9075A"/>
    <w:rsid w:val="00A90E63"/>
    <w:rsid w:val="00A91779"/>
    <w:rsid w:val="00A925C9"/>
    <w:rsid w:val="00A92B8E"/>
    <w:rsid w:val="00A92F8C"/>
    <w:rsid w:val="00A93770"/>
    <w:rsid w:val="00A93797"/>
    <w:rsid w:val="00A94679"/>
    <w:rsid w:val="00A9478C"/>
    <w:rsid w:val="00A94E45"/>
    <w:rsid w:val="00A95B3A"/>
    <w:rsid w:val="00A95B92"/>
    <w:rsid w:val="00A95CCB"/>
    <w:rsid w:val="00A95E6C"/>
    <w:rsid w:val="00A95F32"/>
    <w:rsid w:val="00A967FD"/>
    <w:rsid w:val="00A96E35"/>
    <w:rsid w:val="00AA0C9C"/>
    <w:rsid w:val="00AA1089"/>
    <w:rsid w:val="00AA1370"/>
    <w:rsid w:val="00AA158A"/>
    <w:rsid w:val="00AA164C"/>
    <w:rsid w:val="00AA1747"/>
    <w:rsid w:val="00AA19E2"/>
    <w:rsid w:val="00AA3253"/>
    <w:rsid w:val="00AA3411"/>
    <w:rsid w:val="00AA360E"/>
    <w:rsid w:val="00AA3857"/>
    <w:rsid w:val="00AA40B6"/>
    <w:rsid w:val="00AA461B"/>
    <w:rsid w:val="00AA4FF2"/>
    <w:rsid w:val="00AA5221"/>
    <w:rsid w:val="00AA54D1"/>
    <w:rsid w:val="00AA5634"/>
    <w:rsid w:val="00AA5DA0"/>
    <w:rsid w:val="00AA67AA"/>
    <w:rsid w:val="00AA67CB"/>
    <w:rsid w:val="00AA6C29"/>
    <w:rsid w:val="00AA6D27"/>
    <w:rsid w:val="00AB004A"/>
    <w:rsid w:val="00AB0224"/>
    <w:rsid w:val="00AB0484"/>
    <w:rsid w:val="00AB0670"/>
    <w:rsid w:val="00AB0E83"/>
    <w:rsid w:val="00AB0FEA"/>
    <w:rsid w:val="00AB156C"/>
    <w:rsid w:val="00AB19AE"/>
    <w:rsid w:val="00AB359F"/>
    <w:rsid w:val="00AB37BB"/>
    <w:rsid w:val="00AB3F62"/>
    <w:rsid w:val="00AB4287"/>
    <w:rsid w:val="00AB42A6"/>
    <w:rsid w:val="00AB442B"/>
    <w:rsid w:val="00AB4C33"/>
    <w:rsid w:val="00AB56E4"/>
    <w:rsid w:val="00AB5E13"/>
    <w:rsid w:val="00AB612E"/>
    <w:rsid w:val="00AB6341"/>
    <w:rsid w:val="00AB6814"/>
    <w:rsid w:val="00AB6E16"/>
    <w:rsid w:val="00AB73EA"/>
    <w:rsid w:val="00AB7A58"/>
    <w:rsid w:val="00AB7ABC"/>
    <w:rsid w:val="00AB7F6E"/>
    <w:rsid w:val="00AC0341"/>
    <w:rsid w:val="00AC04BA"/>
    <w:rsid w:val="00AC0B0B"/>
    <w:rsid w:val="00AC0E39"/>
    <w:rsid w:val="00AC0F0E"/>
    <w:rsid w:val="00AC1FDC"/>
    <w:rsid w:val="00AC23D7"/>
    <w:rsid w:val="00AC2753"/>
    <w:rsid w:val="00AC28AC"/>
    <w:rsid w:val="00AC2F36"/>
    <w:rsid w:val="00AC3129"/>
    <w:rsid w:val="00AC3769"/>
    <w:rsid w:val="00AC3E68"/>
    <w:rsid w:val="00AC3E82"/>
    <w:rsid w:val="00AC4CE4"/>
    <w:rsid w:val="00AC59D6"/>
    <w:rsid w:val="00AC5B5F"/>
    <w:rsid w:val="00AC66F7"/>
    <w:rsid w:val="00AC68C4"/>
    <w:rsid w:val="00AC701F"/>
    <w:rsid w:val="00AD2A1E"/>
    <w:rsid w:val="00AD2B94"/>
    <w:rsid w:val="00AD2DA0"/>
    <w:rsid w:val="00AD2EC5"/>
    <w:rsid w:val="00AD3082"/>
    <w:rsid w:val="00AD37AD"/>
    <w:rsid w:val="00AD4081"/>
    <w:rsid w:val="00AD420E"/>
    <w:rsid w:val="00AD4591"/>
    <w:rsid w:val="00AD4AD0"/>
    <w:rsid w:val="00AD4AE6"/>
    <w:rsid w:val="00AD4C8F"/>
    <w:rsid w:val="00AD4DC6"/>
    <w:rsid w:val="00AD4F4D"/>
    <w:rsid w:val="00AD5436"/>
    <w:rsid w:val="00AD60CD"/>
    <w:rsid w:val="00AD6176"/>
    <w:rsid w:val="00AD6BE1"/>
    <w:rsid w:val="00AD6C8C"/>
    <w:rsid w:val="00AD7832"/>
    <w:rsid w:val="00AD7967"/>
    <w:rsid w:val="00AD7BF3"/>
    <w:rsid w:val="00AE04DB"/>
    <w:rsid w:val="00AE091D"/>
    <w:rsid w:val="00AE0B3C"/>
    <w:rsid w:val="00AE0BA6"/>
    <w:rsid w:val="00AE1497"/>
    <w:rsid w:val="00AE1D09"/>
    <w:rsid w:val="00AE2315"/>
    <w:rsid w:val="00AE2375"/>
    <w:rsid w:val="00AE28EE"/>
    <w:rsid w:val="00AE293D"/>
    <w:rsid w:val="00AE30B6"/>
    <w:rsid w:val="00AE31FF"/>
    <w:rsid w:val="00AE36AE"/>
    <w:rsid w:val="00AE3B60"/>
    <w:rsid w:val="00AE3C5E"/>
    <w:rsid w:val="00AE3DC4"/>
    <w:rsid w:val="00AE415E"/>
    <w:rsid w:val="00AE45CA"/>
    <w:rsid w:val="00AE45EB"/>
    <w:rsid w:val="00AE5128"/>
    <w:rsid w:val="00AE527B"/>
    <w:rsid w:val="00AE53A1"/>
    <w:rsid w:val="00AE5E2A"/>
    <w:rsid w:val="00AE5F2C"/>
    <w:rsid w:val="00AE6B73"/>
    <w:rsid w:val="00AE7D93"/>
    <w:rsid w:val="00AF01C2"/>
    <w:rsid w:val="00AF0D79"/>
    <w:rsid w:val="00AF1039"/>
    <w:rsid w:val="00AF1CEB"/>
    <w:rsid w:val="00AF2484"/>
    <w:rsid w:val="00AF3221"/>
    <w:rsid w:val="00AF355F"/>
    <w:rsid w:val="00AF49AA"/>
    <w:rsid w:val="00AF4A1F"/>
    <w:rsid w:val="00AF4EC1"/>
    <w:rsid w:val="00AF5344"/>
    <w:rsid w:val="00AF5379"/>
    <w:rsid w:val="00AF5730"/>
    <w:rsid w:val="00AF579D"/>
    <w:rsid w:val="00AF58A8"/>
    <w:rsid w:val="00AF5DC3"/>
    <w:rsid w:val="00AF6261"/>
    <w:rsid w:val="00AF63E7"/>
    <w:rsid w:val="00AF669F"/>
    <w:rsid w:val="00AF702A"/>
    <w:rsid w:val="00AF70D1"/>
    <w:rsid w:val="00AF7315"/>
    <w:rsid w:val="00AF7597"/>
    <w:rsid w:val="00AF7990"/>
    <w:rsid w:val="00AF7999"/>
    <w:rsid w:val="00AF7B85"/>
    <w:rsid w:val="00B0001C"/>
    <w:rsid w:val="00B00365"/>
    <w:rsid w:val="00B00550"/>
    <w:rsid w:val="00B00B0D"/>
    <w:rsid w:val="00B00E1D"/>
    <w:rsid w:val="00B0165D"/>
    <w:rsid w:val="00B02A48"/>
    <w:rsid w:val="00B031F3"/>
    <w:rsid w:val="00B0330E"/>
    <w:rsid w:val="00B03DCA"/>
    <w:rsid w:val="00B03E32"/>
    <w:rsid w:val="00B04009"/>
    <w:rsid w:val="00B04487"/>
    <w:rsid w:val="00B04548"/>
    <w:rsid w:val="00B046C2"/>
    <w:rsid w:val="00B04DC0"/>
    <w:rsid w:val="00B052A4"/>
    <w:rsid w:val="00B05BEC"/>
    <w:rsid w:val="00B05FE1"/>
    <w:rsid w:val="00B063A0"/>
    <w:rsid w:val="00B06462"/>
    <w:rsid w:val="00B065BE"/>
    <w:rsid w:val="00B0669F"/>
    <w:rsid w:val="00B06746"/>
    <w:rsid w:val="00B071CE"/>
    <w:rsid w:val="00B0785F"/>
    <w:rsid w:val="00B1084F"/>
    <w:rsid w:val="00B10EAD"/>
    <w:rsid w:val="00B1182A"/>
    <w:rsid w:val="00B123CA"/>
    <w:rsid w:val="00B125DE"/>
    <w:rsid w:val="00B12CE6"/>
    <w:rsid w:val="00B13392"/>
    <w:rsid w:val="00B13FDD"/>
    <w:rsid w:val="00B13FEA"/>
    <w:rsid w:val="00B14C1E"/>
    <w:rsid w:val="00B16095"/>
    <w:rsid w:val="00B167D6"/>
    <w:rsid w:val="00B16831"/>
    <w:rsid w:val="00B16C40"/>
    <w:rsid w:val="00B16EDA"/>
    <w:rsid w:val="00B16EDF"/>
    <w:rsid w:val="00B177CF"/>
    <w:rsid w:val="00B2129B"/>
    <w:rsid w:val="00B217DF"/>
    <w:rsid w:val="00B22236"/>
    <w:rsid w:val="00B22C0F"/>
    <w:rsid w:val="00B22EB2"/>
    <w:rsid w:val="00B23097"/>
    <w:rsid w:val="00B23682"/>
    <w:rsid w:val="00B23C52"/>
    <w:rsid w:val="00B245EA"/>
    <w:rsid w:val="00B248A1"/>
    <w:rsid w:val="00B24E9D"/>
    <w:rsid w:val="00B252DB"/>
    <w:rsid w:val="00B25349"/>
    <w:rsid w:val="00B25CA5"/>
    <w:rsid w:val="00B25CE9"/>
    <w:rsid w:val="00B26028"/>
    <w:rsid w:val="00B26330"/>
    <w:rsid w:val="00B263E2"/>
    <w:rsid w:val="00B26440"/>
    <w:rsid w:val="00B26C0C"/>
    <w:rsid w:val="00B26E14"/>
    <w:rsid w:val="00B26EAE"/>
    <w:rsid w:val="00B27358"/>
    <w:rsid w:val="00B27442"/>
    <w:rsid w:val="00B27969"/>
    <w:rsid w:val="00B27A1D"/>
    <w:rsid w:val="00B27EA5"/>
    <w:rsid w:val="00B3083C"/>
    <w:rsid w:val="00B308D8"/>
    <w:rsid w:val="00B308E4"/>
    <w:rsid w:val="00B308E5"/>
    <w:rsid w:val="00B30AD1"/>
    <w:rsid w:val="00B31150"/>
    <w:rsid w:val="00B31167"/>
    <w:rsid w:val="00B31816"/>
    <w:rsid w:val="00B318EA"/>
    <w:rsid w:val="00B321E1"/>
    <w:rsid w:val="00B329D8"/>
    <w:rsid w:val="00B32BB9"/>
    <w:rsid w:val="00B33031"/>
    <w:rsid w:val="00B33601"/>
    <w:rsid w:val="00B33AE1"/>
    <w:rsid w:val="00B33B9E"/>
    <w:rsid w:val="00B33D67"/>
    <w:rsid w:val="00B34020"/>
    <w:rsid w:val="00B34ACC"/>
    <w:rsid w:val="00B35175"/>
    <w:rsid w:val="00B351F8"/>
    <w:rsid w:val="00B353BC"/>
    <w:rsid w:val="00B363E1"/>
    <w:rsid w:val="00B36768"/>
    <w:rsid w:val="00B37639"/>
    <w:rsid w:val="00B37C38"/>
    <w:rsid w:val="00B40D50"/>
    <w:rsid w:val="00B41F5B"/>
    <w:rsid w:val="00B421D4"/>
    <w:rsid w:val="00B42283"/>
    <w:rsid w:val="00B4277C"/>
    <w:rsid w:val="00B4288C"/>
    <w:rsid w:val="00B43262"/>
    <w:rsid w:val="00B43744"/>
    <w:rsid w:val="00B43B28"/>
    <w:rsid w:val="00B44100"/>
    <w:rsid w:val="00B445C5"/>
    <w:rsid w:val="00B447BE"/>
    <w:rsid w:val="00B452F4"/>
    <w:rsid w:val="00B45807"/>
    <w:rsid w:val="00B45EF7"/>
    <w:rsid w:val="00B46314"/>
    <w:rsid w:val="00B463C4"/>
    <w:rsid w:val="00B468EC"/>
    <w:rsid w:val="00B46CBA"/>
    <w:rsid w:val="00B46F94"/>
    <w:rsid w:val="00B50595"/>
    <w:rsid w:val="00B50692"/>
    <w:rsid w:val="00B50BAA"/>
    <w:rsid w:val="00B5110F"/>
    <w:rsid w:val="00B51128"/>
    <w:rsid w:val="00B511A2"/>
    <w:rsid w:val="00B51AAF"/>
    <w:rsid w:val="00B51EB0"/>
    <w:rsid w:val="00B5226F"/>
    <w:rsid w:val="00B5302E"/>
    <w:rsid w:val="00B530C2"/>
    <w:rsid w:val="00B5395A"/>
    <w:rsid w:val="00B54278"/>
    <w:rsid w:val="00B55CB0"/>
    <w:rsid w:val="00B56BD5"/>
    <w:rsid w:val="00B57594"/>
    <w:rsid w:val="00B57A66"/>
    <w:rsid w:val="00B57A76"/>
    <w:rsid w:val="00B57EBF"/>
    <w:rsid w:val="00B60066"/>
    <w:rsid w:val="00B60442"/>
    <w:rsid w:val="00B60816"/>
    <w:rsid w:val="00B608C1"/>
    <w:rsid w:val="00B60B42"/>
    <w:rsid w:val="00B614CC"/>
    <w:rsid w:val="00B614CD"/>
    <w:rsid w:val="00B61791"/>
    <w:rsid w:val="00B61796"/>
    <w:rsid w:val="00B61F03"/>
    <w:rsid w:val="00B62221"/>
    <w:rsid w:val="00B626E4"/>
    <w:rsid w:val="00B62D8C"/>
    <w:rsid w:val="00B62DEE"/>
    <w:rsid w:val="00B63728"/>
    <w:rsid w:val="00B64222"/>
    <w:rsid w:val="00B644C5"/>
    <w:rsid w:val="00B646BC"/>
    <w:rsid w:val="00B64CE3"/>
    <w:rsid w:val="00B64D13"/>
    <w:rsid w:val="00B6588F"/>
    <w:rsid w:val="00B65D4E"/>
    <w:rsid w:val="00B672CC"/>
    <w:rsid w:val="00B70D49"/>
    <w:rsid w:val="00B71A2B"/>
    <w:rsid w:val="00B7250A"/>
    <w:rsid w:val="00B72747"/>
    <w:rsid w:val="00B72F4A"/>
    <w:rsid w:val="00B72F8E"/>
    <w:rsid w:val="00B73730"/>
    <w:rsid w:val="00B7389D"/>
    <w:rsid w:val="00B73B6B"/>
    <w:rsid w:val="00B73D65"/>
    <w:rsid w:val="00B744B2"/>
    <w:rsid w:val="00B744BC"/>
    <w:rsid w:val="00B74A86"/>
    <w:rsid w:val="00B755A6"/>
    <w:rsid w:val="00B75829"/>
    <w:rsid w:val="00B75F2B"/>
    <w:rsid w:val="00B75F48"/>
    <w:rsid w:val="00B76B99"/>
    <w:rsid w:val="00B76D18"/>
    <w:rsid w:val="00B77BF7"/>
    <w:rsid w:val="00B77D7A"/>
    <w:rsid w:val="00B803E8"/>
    <w:rsid w:val="00B80577"/>
    <w:rsid w:val="00B80C84"/>
    <w:rsid w:val="00B815D5"/>
    <w:rsid w:val="00B81EEB"/>
    <w:rsid w:val="00B82065"/>
    <w:rsid w:val="00B8253E"/>
    <w:rsid w:val="00B82A2C"/>
    <w:rsid w:val="00B831DF"/>
    <w:rsid w:val="00B8328D"/>
    <w:rsid w:val="00B83483"/>
    <w:rsid w:val="00B83C27"/>
    <w:rsid w:val="00B846D1"/>
    <w:rsid w:val="00B84BC3"/>
    <w:rsid w:val="00B84BDD"/>
    <w:rsid w:val="00B84EC8"/>
    <w:rsid w:val="00B854C7"/>
    <w:rsid w:val="00B85B31"/>
    <w:rsid w:val="00B864DA"/>
    <w:rsid w:val="00B86951"/>
    <w:rsid w:val="00B86E5F"/>
    <w:rsid w:val="00B87D10"/>
    <w:rsid w:val="00B9021A"/>
    <w:rsid w:val="00B90458"/>
    <w:rsid w:val="00B90F64"/>
    <w:rsid w:val="00B92812"/>
    <w:rsid w:val="00B9288A"/>
    <w:rsid w:val="00B92A21"/>
    <w:rsid w:val="00B93EAB"/>
    <w:rsid w:val="00B94928"/>
    <w:rsid w:val="00B95B18"/>
    <w:rsid w:val="00B96020"/>
    <w:rsid w:val="00B9682D"/>
    <w:rsid w:val="00B9684A"/>
    <w:rsid w:val="00B96C52"/>
    <w:rsid w:val="00B9734B"/>
    <w:rsid w:val="00BA052B"/>
    <w:rsid w:val="00BA05CB"/>
    <w:rsid w:val="00BA0AC4"/>
    <w:rsid w:val="00BA1323"/>
    <w:rsid w:val="00BA14D6"/>
    <w:rsid w:val="00BA1D30"/>
    <w:rsid w:val="00BA3BA2"/>
    <w:rsid w:val="00BA3BA3"/>
    <w:rsid w:val="00BA4338"/>
    <w:rsid w:val="00BA43E9"/>
    <w:rsid w:val="00BA45A3"/>
    <w:rsid w:val="00BA46F4"/>
    <w:rsid w:val="00BA4AB8"/>
    <w:rsid w:val="00BA4EFD"/>
    <w:rsid w:val="00BA56C8"/>
    <w:rsid w:val="00BA60CD"/>
    <w:rsid w:val="00BA6423"/>
    <w:rsid w:val="00BA700B"/>
    <w:rsid w:val="00BB0118"/>
    <w:rsid w:val="00BB034B"/>
    <w:rsid w:val="00BB0C08"/>
    <w:rsid w:val="00BB0E4E"/>
    <w:rsid w:val="00BB1335"/>
    <w:rsid w:val="00BB14FC"/>
    <w:rsid w:val="00BB30CF"/>
    <w:rsid w:val="00BB32B0"/>
    <w:rsid w:val="00BB3A81"/>
    <w:rsid w:val="00BB3B70"/>
    <w:rsid w:val="00BB3B9F"/>
    <w:rsid w:val="00BB4147"/>
    <w:rsid w:val="00BB4286"/>
    <w:rsid w:val="00BB44BE"/>
    <w:rsid w:val="00BB45A1"/>
    <w:rsid w:val="00BB4776"/>
    <w:rsid w:val="00BB4B80"/>
    <w:rsid w:val="00BB5645"/>
    <w:rsid w:val="00BB73DD"/>
    <w:rsid w:val="00BB74C4"/>
    <w:rsid w:val="00BB7686"/>
    <w:rsid w:val="00BB7B4D"/>
    <w:rsid w:val="00BB7D10"/>
    <w:rsid w:val="00BC1226"/>
    <w:rsid w:val="00BC12AE"/>
    <w:rsid w:val="00BC16E6"/>
    <w:rsid w:val="00BC1D02"/>
    <w:rsid w:val="00BC23F9"/>
    <w:rsid w:val="00BC246E"/>
    <w:rsid w:val="00BC31DC"/>
    <w:rsid w:val="00BC3421"/>
    <w:rsid w:val="00BC363E"/>
    <w:rsid w:val="00BC3B14"/>
    <w:rsid w:val="00BC3B3D"/>
    <w:rsid w:val="00BC4586"/>
    <w:rsid w:val="00BC45FB"/>
    <w:rsid w:val="00BC4B81"/>
    <w:rsid w:val="00BC4E15"/>
    <w:rsid w:val="00BC5283"/>
    <w:rsid w:val="00BC68B5"/>
    <w:rsid w:val="00BC6EB0"/>
    <w:rsid w:val="00BC726F"/>
    <w:rsid w:val="00BC732C"/>
    <w:rsid w:val="00BC73EE"/>
    <w:rsid w:val="00BC7718"/>
    <w:rsid w:val="00BC794B"/>
    <w:rsid w:val="00BD09FE"/>
    <w:rsid w:val="00BD0B15"/>
    <w:rsid w:val="00BD10EA"/>
    <w:rsid w:val="00BD145B"/>
    <w:rsid w:val="00BD1929"/>
    <w:rsid w:val="00BD1C74"/>
    <w:rsid w:val="00BD2AE8"/>
    <w:rsid w:val="00BD2D21"/>
    <w:rsid w:val="00BD3802"/>
    <w:rsid w:val="00BD3BF8"/>
    <w:rsid w:val="00BD4516"/>
    <w:rsid w:val="00BD4E10"/>
    <w:rsid w:val="00BD5092"/>
    <w:rsid w:val="00BD5304"/>
    <w:rsid w:val="00BD6496"/>
    <w:rsid w:val="00BD7655"/>
    <w:rsid w:val="00BD7CDB"/>
    <w:rsid w:val="00BE0173"/>
    <w:rsid w:val="00BE030B"/>
    <w:rsid w:val="00BE088D"/>
    <w:rsid w:val="00BE10F7"/>
    <w:rsid w:val="00BE1278"/>
    <w:rsid w:val="00BE2580"/>
    <w:rsid w:val="00BE25B3"/>
    <w:rsid w:val="00BE266D"/>
    <w:rsid w:val="00BE29E7"/>
    <w:rsid w:val="00BE2DBF"/>
    <w:rsid w:val="00BE3460"/>
    <w:rsid w:val="00BE3910"/>
    <w:rsid w:val="00BE3938"/>
    <w:rsid w:val="00BE39E8"/>
    <w:rsid w:val="00BE3DF0"/>
    <w:rsid w:val="00BE4052"/>
    <w:rsid w:val="00BE4669"/>
    <w:rsid w:val="00BE4C11"/>
    <w:rsid w:val="00BE5044"/>
    <w:rsid w:val="00BE5048"/>
    <w:rsid w:val="00BE57C6"/>
    <w:rsid w:val="00BE6E79"/>
    <w:rsid w:val="00BE6FCF"/>
    <w:rsid w:val="00BE71C0"/>
    <w:rsid w:val="00BE7817"/>
    <w:rsid w:val="00BF0474"/>
    <w:rsid w:val="00BF0970"/>
    <w:rsid w:val="00BF0AA3"/>
    <w:rsid w:val="00BF0D9A"/>
    <w:rsid w:val="00BF0E4A"/>
    <w:rsid w:val="00BF0E7A"/>
    <w:rsid w:val="00BF1566"/>
    <w:rsid w:val="00BF1BBE"/>
    <w:rsid w:val="00BF1F40"/>
    <w:rsid w:val="00BF33B3"/>
    <w:rsid w:val="00BF3403"/>
    <w:rsid w:val="00BF3910"/>
    <w:rsid w:val="00BF3E62"/>
    <w:rsid w:val="00BF3FAE"/>
    <w:rsid w:val="00BF46DE"/>
    <w:rsid w:val="00BF4AF3"/>
    <w:rsid w:val="00BF4DB3"/>
    <w:rsid w:val="00BF526C"/>
    <w:rsid w:val="00BF610C"/>
    <w:rsid w:val="00BF77FF"/>
    <w:rsid w:val="00BF7B05"/>
    <w:rsid w:val="00BF7B13"/>
    <w:rsid w:val="00C00573"/>
    <w:rsid w:val="00C0060B"/>
    <w:rsid w:val="00C00B71"/>
    <w:rsid w:val="00C011BD"/>
    <w:rsid w:val="00C01B7E"/>
    <w:rsid w:val="00C022B9"/>
    <w:rsid w:val="00C0277D"/>
    <w:rsid w:val="00C029A7"/>
    <w:rsid w:val="00C02C00"/>
    <w:rsid w:val="00C04332"/>
    <w:rsid w:val="00C047A7"/>
    <w:rsid w:val="00C0482E"/>
    <w:rsid w:val="00C0486A"/>
    <w:rsid w:val="00C048FB"/>
    <w:rsid w:val="00C04912"/>
    <w:rsid w:val="00C04B4C"/>
    <w:rsid w:val="00C053A1"/>
    <w:rsid w:val="00C05793"/>
    <w:rsid w:val="00C05E46"/>
    <w:rsid w:val="00C05F1A"/>
    <w:rsid w:val="00C05F4C"/>
    <w:rsid w:val="00C0628B"/>
    <w:rsid w:val="00C07248"/>
    <w:rsid w:val="00C07B5D"/>
    <w:rsid w:val="00C100BD"/>
    <w:rsid w:val="00C101FC"/>
    <w:rsid w:val="00C10523"/>
    <w:rsid w:val="00C107F3"/>
    <w:rsid w:val="00C10BD5"/>
    <w:rsid w:val="00C10E21"/>
    <w:rsid w:val="00C116EE"/>
    <w:rsid w:val="00C117C7"/>
    <w:rsid w:val="00C119DC"/>
    <w:rsid w:val="00C11C93"/>
    <w:rsid w:val="00C11EC6"/>
    <w:rsid w:val="00C11F25"/>
    <w:rsid w:val="00C125DC"/>
    <w:rsid w:val="00C1291E"/>
    <w:rsid w:val="00C13CED"/>
    <w:rsid w:val="00C13D54"/>
    <w:rsid w:val="00C13EBC"/>
    <w:rsid w:val="00C143EB"/>
    <w:rsid w:val="00C14F66"/>
    <w:rsid w:val="00C159BA"/>
    <w:rsid w:val="00C16198"/>
    <w:rsid w:val="00C16BEA"/>
    <w:rsid w:val="00C16FE1"/>
    <w:rsid w:val="00C1709F"/>
    <w:rsid w:val="00C17768"/>
    <w:rsid w:val="00C2083D"/>
    <w:rsid w:val="00C20980"/>
    <w:rsid w:val="00C20BF3"/>
    <w:rsid w:val="00C210AB"/>
    <w:rsid w:val="00C21A2D"/>
    <w:rsid w:val="00C22142"/>
    <w:rsid w:val="00C2242A"/>
    <w:rsid w:val="00C2242E"/>
    <w:rsid w:val="00C22FB4"/>
    <w:rsid w:val="00C23979"/>
    <w:rsid w:val="00C2464F"/>
    <w:rsid w:val="00C24A53"/>
    <w:rsid w:val="00C24CFC"/>
    <w:rsid w:val="00C25065"/>
    <w:rsid w:val="00C25413"/>
    <w:rsid w:val="00C256DF"/>
    <w:rsid w:val="00C2584F"/>
    <w:rsid w:val="00C26059"/>
    <w:rsid w:val="00C26C6B"/>
    <w:rsid w:val="00C27499"/>
    <w:rsid w:val="00C2749B"/>
    <w:rsid w:val="00C2756E"/>
    <w:rsid w:val="00C2764F"/>
    <w:rsid w:val="00C278E0"/>
    <w:rsid w:val="00C27B9A"/>
    <w:rsid w:val="00C27BF9"/>
    <w:rsid w:val="00C30DCC"/>
    <w:rsid w:val="00C3147C"/>
    <w:rsid w:val="00C31900"/>
    <w:rsid w:val="00C3193E"/>
    <w:rsid w:val="00C31BAB"/>
    <w:rsid w:val="00C31BAD"/>
    <w:rsid w:val="00C324E3"/>
    <w:rsid w:val="00C32D0A"/>
    <w:rsid w:val="00C32EDA"/>
    <w:rsid w:val="00C331B1"/>
    <w:rsid w:val="00C3324A"/>
    <w:rsid w:val="00C33359"/>
    <w:rsid w:val="00C33792"/>
    <w:rsid w:val="00C33C97"/>
    <w:rsid w:val="00C3438E"/>
    <w:rsid w:val="00C34B7C"/>
    <w:rsid w:val="00C3518F"/>
    <w:rsid w:val="00C3550A"/>
    <w:rsid w:val="00C37244"/>
    <w:rsid w:val="00C37292"/>
    <w:rsid w:val="00C37E38"/>
    <w:rsid w:val="00C4032F"/>
    <w:rsid w:val="00C40923"/>
    <w:rsid w:val="00C41A5C"/>
    <w:rsid w:val="00C42018"/>
    <w:rsid w:val="00C4216A"/>
    <w:rsid w:val="00C426AE"/>
    <w:rsid w:val="00C4334A"/>
    <w:rsid w:val="00C4387F"/>
    <w:rsid w:val="00C43CBA"/>
    <w:rsid w:val="00C44047"/>
    <w:rsid w:val="00C44686"/>
    <w:rsid w:val="00C45155"/>
    <w:rsid w:val="00C45321"/>
    <w:rsid w:val="00C458B5"/>
    <w:rsid w:val="00C46439"/>
    <w:rsid w:val="00C46538"/>
    <w:rsid w:val="00C465BE"/>
    <w:rsid w:val="00C4686E"/>
    <w:rsid w:val="00C46F98"/>
    <w:rsid w:val="00C47185"/>
    <w:rsid w:val="00C47E5D"/>
    <w:rsid w:val="00C50192"/>
    <w:rsid w:val="00C501CB"/>
    <w:rsid w:val="00C50389"/>
    <w:rsid w:val="00C50519"/>
    <w:rsid w:val="00C508AD"/>
    <w:rsid w:val="00C5197C"/>
    <w:rsid w:val="00C5201C"/>
    <w:rsid w:val="00C52355"/>
    <w:rsid w:val="00C5257A"/>
    <w:rsid w:val="00C52811"/>
    <w:rsid w:val="00C52923"/>
    <w:rsid w:val="00C531C3"/>
    <w:rsid w:val="00C535A7"/>
    <w:rsid w:val="00C536DA"/>
    <w:rsid w:val="00C537AB"/>
    <w:rsid w:val="00C53AB2"/>
    <w:rsid w:val="00C5422C"/>
    <w:rsid w:val="00C54504"/>
    <w:rsid w:val="00C54921"/>
    <w:rsid w:val="00C5498F"/>
    <w:rsid w:val="00C55235"/>
    <w:rsid w:val="00C55446"/>
    <w:rsid w:val="00C55BFD"/>
    <w:rsid w:val="00C56841"/>
    <w:rsid w:val="00C56A1D"/>
    <w:rsid w:val="00C57144"/>
    <w:rsid w:val="00C5752D"/>
    <w:rsid w:val="00C57C28"/>
    <w:rsid w:val="00C6018F"/>
    <w:rsid w:val="00C602E9"/>
    <w:rsid w:val="00C6099F"/>
    <w:rsid w:val="00C60C58"/>
    <w:rsid w:val="00C617E7"/>
    <w:rsid w:val="00C61BDB"/>
    <w:rsid w:val="00C61C03"/>
    <w:rsid w:val="00C62224"/>
    <w:rsid w:val="00C6256D"/>
    <w:rsid w:val="00C62652"/>
    <w:rsid w:val="00C629F9"/>
    <w:rsid w:val="00C62BD5"/>
    <w:rsid w:val="00C62FDE"/>
    <w:rsid w:val="00C632FC"/>
    <w:rsid w:val="00C63368"/>
    <w:rsid w:val="00C63FA2"/>
    <w:rsid w:val="00C64303"/>
    <w:rsid w:val="00C64CD0"/>
    <w:rsid w:val="00C64CE3"/>
    <w:rsid w:val="00C65F83"/>
    <w:rsid w:val="00C661E3"/>
    <w:rsid w:val="00C6684F"/>
    <w:rsid w:val="00C6703F"/>
    <w:rsid w:val="00C678B6"/>
    <w:rsid w:val="00C6790A"/>
    <w:rsid w:val="00C70E70"/>
    <w:rsid w:val="00C71389"/>
    <w:rsid w:val="00C7155B"/>
    <w:rsid w:val="00C7166D"/>
    <w:rsid w:val="00C71D06"/>
    <w:rsid w:val="00C72226"/>
    <w:rsid w:val="00C72A0C"/>
    <w:rsid w:val="00C72C22"/>
    <w:rsid w:val="00C72C40"/>
    <w:rsid w:val="00C72E4F"/>
    <w:rsid w:val="00C733E3"/>
    <w:rsid w:val="00C73437"/>
    <w:rsid w:val="00C73C2E"/>
    <w:rsid w:val="00C74194"/>
    <w:rsid w:val="00C74247"/>
    <w:rsid w:val="00C751A0"/>
    <w:rsid w:val="00C75F8D"/>
    <w:rsid w:val="00C76808"/>
    <w:rsid w:val="00C77380"/>
    <w:rsid w:val="00C774A1"/>
    <w:rsid w:val="00C77983"/>
    <w:rsid w:val="00C77AB5"/>
    <w:rsid w:val="00C77BDF"/>
    <w:rsid w:val="00C80B78"/>
    <w:rsid w:val="00C80D8E"/>
    <w:rsid w:val="00C81352"/>
    <w:rsid w:val="00C81BE0"/>
    <w:rsid w:val="00C836CF"/>
    <w:rsid w:val="00C8385E"/>
    <w:rsid w:val="00C83B34"/>
    <w:rsid w:val="00C83CB7"/>
    <w:rsid w:val="00C84772"/>
    <w:rsid w:val="00C84865"/>
    <w:rsid w:val="00C84C1E"/>
    <w:rsid w:val="00C85EC5"/>
    <w:rsid w:val="00C86395"/>
    <w:rsid w:val="00C868B4"/>
    <w:rsid w:val="00C86E4A"/>
    <w:rsid w:val="00C86EF5"/>
    <w:rsid w:val="00C86FFD"/>
    <w:rsid w:val="00C87D40"/>
    <w:rsid w:val="00C9027D"/>
    <w:rsid w:val="00C903C0"/>
    <w:rsid w:val="00C905A9"/>
    <w:rsid w:val="00C93123"/>
    <w:rsid w:val="00C9393A"/>
    <w:rsid w:val="00C9433B"/>
    <w:rsid w:val="00C943CB"/>
    <w:rsid w:val="00C94403"/>
    <w:rsid w:val="00C94CA2"/>
    <w:rsid w:val="00C951F3"/>
    <w:rsid w:val="00C954CC"/>
    <w:rsid w:val="00C956C1"/>
    <w:rsid w:val="00C959E5"/>
    <w:rsid w:val="00C967A2"/>
    <w:rsid w:val="00C969FD"/>
    <w:rsid w:val="00C96DBB"/>
    <w:rsid w:val="00C97392"/>
    <w:rsid w:val="00C975A4"/>
    <w:rsid w:val="00C97736"/>
    <w:rsid w:val="00C97BC0"/>
    <w:rsid w:val="00CA1165"/>
    <w:rsid w:val="00CA19A4"/>
    <w:rsid w:val="00CA1F1A"/>
    <w:rsid w:val="00CA208C"/>
    <w:rsid w:val="00CA2969"/>
    <w:rsid w:val="00CA2C59"/>
    <w:rsid w:val="00CA3242"/>
    <w:rsid w:val="00CA3283"/>
    <w:rsid w:val="00CA345A"/>
    <w:rsid w:val="00CA3F8C"/>
    <w:rsid w:val="00CA423A"/>
    <w:rsid w:val="00CA4F08"/>
    <w:rsid w:val="00CA5385"/>
    <w:rsid w:val="00CA5896"/>
    <w:rsid w:val="00CA62A6"/>
    <w:rsid w:val="00CA65C3"/>
    <w:rsid w:val="00CA684A"/>
    <w:rsid w:val="00CA72B8"/>
    <w:rsid w:val="00CA7B84"/>
    <w:rsid w:val="00CB0AE2"/>
    <w:rsid w:val="00CB0CA2"/>
    <w:rsid w:val="00CB0D4A"/>
    <w:rsid w:val="00CB0F4A"/>
    <w:rsid w:val="00CB1957"/>
    <w:rsid w:val="00CB1E82"/>
    <w:rsid w:val="00CB209D"/>
    <w:rsid w:val="00CB2A47"/>
    <w:rsid w:val="00CB2D3F"/>
    <w:rsid w:val="00CB2F4B"/>
    <w:rsid w:val="00CB3041"/>
    <w:rsid w:val="00CB3665"/>
    <w:rsid w:val="00CB3AB2"/>
    <w:rsid w:val="00CB494E"/>
    <w:rsid w:val="00CB4A2D"/>
    <w:rsid w:val="00CB4BA6"/>
    <w:rsid w:val="00CB4BA8"/>
    <w:rsid w:val="00CB4CF6"/>
    <w:rsid w:val="00CB4ED2"/>
    <w:rsid w:val="00CB52D7"/>
    <w:rsid w:val="00CB6920"/>
    <w:rsid w:val="00CB7266"/>
    <w:rsid w:val="00CB7A91"/>
    <w:rsid w:val="00CC0BFA"/>
    <w:rsid w:val="00CC0FEA"/>
    <w:rsid w:val="00CC141A"/>
    <w:rsid w:val="00CC163F"/>
    <w:rsid w:val="00CC1998"/>
    <w:rsid w:val="00CC276C"/>
    <w:rsid w:val="00CC278F"/>
    <w:rsid w:val="00CC2A2C"/>
    <w:rsid w:val="00CC2ACB"/>
    <w:rsid w:val="00CC3BCE"/>
    <w:rsid w:val="00CC3FF5"/>
    <w:rsid w:val="00CC45EB"/>
    <w:rsid w:val="00CC51DA"/>
    <w:rsid w:val="00CC6079"/>
    <w:rsid w:val="00CC6472"/>
    <w:rsid w:val="00CC655E"/>
    <w:rsid w:val="00CC6732"/>
    <w:rsid w:val="00CC6C2C"/>
    <w:rsid w:val="00CC6C66"/>
    <w:rsid w:val="00CC6FE0"/>
    <w:rsid w:val="00CC71BF"/>
    <w:rsid w:val="00CC7457"/>
    <w:rsid w:val="00CC75F2"/>
    <w:rsid w:val="00CC7926"/>
    <w:rsid w:val="00CC7A92"/>
    <w:rsid w:val="00CD0147"/>
    <w:rsid w:val="00CD02A6"/>
    <w:rsid w:val="00CD0321"/>
    <w:rsid w:val="00CD0BA7"/>
    <w:rsid w:val="00CD0CFD"/>
    <w:rsid w:val="00CD0E85"/>
    <w:rsid w:val="00CD1125"/>
    <w:rsid w:val="00CD17E6"/>
    <w:rsid w:val="00CD1A01"/>
    <w:rsid w:val="00CD1FDB"/>
    <w:rsid w:val="00CD2020"/>
    <w:rsid w:val="00CD2565"/>
    <w:rsid w:val="00CD2641"/>
    <w:rsid w:val="00CD2730"/>
    <w:rsid w:val="00CD279E"/>
    <w:rsid w:val="00CD2DB9"/>
    <w:rsid w:val="00CD2DE1"/>
    <w:rsid w:val="00CD2FA4"/>
    <w:rsid w:val="00CD3322"/>
    <w:rsid w:val="00CD3347"/>
    <w:rsid w:val="00CD38CB"/>
    <w:rsid w:val="00CD3DF0"/>
    <w:rsid w:val="00CD3F63"/>
    <w:rsid w:val="00CD4141"/>
    <w:rsid w:val="00CD427F"/>
    <w:rsid w:val="00CD4287"/>
    <w:rsid w:val="00CD44A8"/>
    <w:rsid w:val="00CD44C5"/>
    <w:rsid w:val="00CD48D7"/>
    <w:rsid w:val="00CD57CE"/>
    <w:rsid w:val="00CD5EE7"/>
    <w:rsid w:val="00CD61F1"/>
    <w:rsid w:val="00CD63E1"/>
    <w:rsid w:val="00CD6DFE"/>
    <w:rsid w:val="00CD7337"/>
    <w:rsid w:val="00CD741B"/>
    <w:rsid w:val="00CD7DA2"/>
    <w:rsid w:val="00CE0456"/>
    <w:rsid w:val="00CE059B"/>
    <w:rsid w:val="00CE08E9"/>
    <w:rsid w:val="00CE0E76"/>
    <w:rsid w:val="00CE1176"/>
    <w:rsid w:val="00CE19B2"/>
    <w:rsid w:val="00CE1B93"/>
    <w:rsid w:val="00CE1BE3"/>
    <w:rsid w:val="00CE22B0"/>
    <w:rsid w:val="00CE23BB"/>
    <w:rsid w:val="00CE2A23"/>
    <w:rsid w:val="00CE2CE7"/>
    <w:rsid w:val="00CE3B0C"/>
    <w:rsid w:val="00CE3C96"/>
    <w:rsid w:val="00CE5050"/>
    <w:rsid w:val="00CE51A8"/>
    <w:rsid w:val="00CE528D"/>
    <w:rsid w:val="00CE55ED"/>
    <w:rsid w:val="00CE5977"/>
    <w:rsid w:val="00CE5E74"/>
    <w:rsid w:val="00CE61E4"/>
    <w:rsid w:val="00CE6803"/>
    <w:rsid w:val="00CE6B9B"/>
    <w:rsid w:val="00CE70DA"/>
    <w:rsid w:val="00CE73BB"/>
    <w:rsid w:val="00CE7584"/>
    <w:rsid w:val="00CE7DB9"/>
    <w:rsid w:val="00CE7FC2"/>
    <w:rsid w:val="00CF02AF"/>
    <w:rsid w:val="00CF1605"/>
    <w:rsid w:val="00CF2517"/>
    <w:rsid w:val="00CF2EFF"/>
    <w:rsid w:val="00CF3555"/>
    <w:rsid w:val="00CF369B"/>
    <w:rsid w:val="00CF4407"/>
    <w:rsid w:val="00CF50DE"/>
    <w:rsid w:val="00CF617E"/>
    <w:rsid w:val="00CF6627"/>
    <w:rsid w:val="00CF7469"/>
    <w:rsid w:val="00CF7C21"/>
    <w:rsid w:val="00D00190"/>
    <w:rsid w:val="00D00B0A"/>
    <w:rsid w:val="00D00D60"/>
    <w:rsid w:val="00D00E28"/>
    <w:rsid w:val="00D02106"/>
    <w:rsid w:val="00D0269E"/>
    <w:rsid w:val="00D0279E"/>
    <w:rsid w:val="00D04451"/>
    <w:rsid w:val="00D04689"/>
    <w:rsid w:val="00D04697"/>
    <w:rsid w:val="00D055E4"/>
    <w:rsid w:val="00D06412"/>
    <w:rsid w:val="00D06B0E"/>
    <w:rsid w:val="00D06E27"/>
    <w:rsid w:val="00D06E4C"/>
    <w:rsid w:val="00D1031A"/>
    <w:rsid w:val="00D10350"/>
    <w:rsid w:val="00D10D00"/>
    <w:rsid w:val="00D112FD"/>
    <w:rsid w:val="00D120D5"/>
    <w:rsid w:val="00D12E93"/>
    <w:rsid w:val="00D132CD"/>
    <w:rsid w:val="00D13567"/>
    <w:rsid w:val="00D136D6"/>
    <w:rsid w:val="00D137AF"/>
    <w:rsid w:val="00D1384B"/>
    <w:rsid w:val="00D13F4D"/>
    <w:rsid w:val="00D13FF2"/>
    <w:rsid w:val="00D14385"/>
    <w:rsid w:val="00D1483F"/>
    <w:rsid w:val="00D14C0D"/>
    <w:rsid w:val="00D1516C"/>
    <w:rsid w:val="00D15288"/>
    <w:rsid w:val="00D1576C"/>
    <w:rsid w:val="00D15810"/>
    <w:rsid w:val="00D1656A"/>
    <w:rsid w:val="00D1695A"/>
    <w:rsid w:val="00D16B8E"/>
    <w:rsid w:val="00D16D4E"/>
    <w:rsid w:val="00D16FE3"/>
    <w:rsid w:val="00D1767F"/>
    <w:rsid w:val="00D179DD"/>
    <w:rsid w:val="00D204C5"/>
    <w:rsid w:val="00D2051F"/>
    <w:rsid w:val="00D20B75"/>
    <w:rsid w:val="00D20C8E"/>
    <w:rsid w:val="00D210BB"/>
    <w:rsid w:val="00D2181A"/>
    <w:rsid w:val="00D21DB7"/>
    <w:rsid w:val="00D22250"/>
    <w:rsid w:val="00D22707"/>
    <w:rsid w:val="00D22962"/>
    <w:rsid w:val="00D22AE5"/>
    <w:rsid w:val="00D2357B"/>
    <w:rsid w:val="00D24E0D"/>
    <w:rsid w:val="00D256A1"/>
    <w:rsid w:val="00D26090"/>
    <w:rsid w:val="00D26367"/>
    <w:rsid w:val="00D266E3"/>
    <w:rsid w:val="00D2710C"/>
    <w:rsid w:val="00D27D25"/>
    <w:rsid w:val="00D27EEC"/>
    <w:rsid w:val="00D27F41"/>
    <w:rsid w:val="00D319A5"/>
    <w:rsid w:val="00D31FFC"/>
    <w:rsid w:val="00D32A74"/>
    <w:rsid w:val="00D32B58"/>
    <w:rsid w:val="00D32FDB"/>
    <w:rsid w:val="00D330D9"/>
    <w:rsid w:val="00D33640"/>
    <w:rsid w:val="00D33C58"/>
    <w:rsid w:val="00D34203"/>
    <w:rsid w:val="00D34CFC"/>
    <w:rsid w:val="00D34D82"/>
    <w:rsid w:val="00D35B71"/>
    <w:rsid w:val="00D35D41"/>
    <w:rsid w:val="00D35EE1"/>
    <w:rsid w:val="00D36441"/>
    <w:rsid w:val="00D3649F"/>
    <w:rsid w:val="00D36C7D"/>
    <w:rsid w:val="00D3779D"/>
    <w:rsid w:val="00D37843"/>
    <w:rsid w:val="00D4064E"/>
    <w:rsid w:val="00D40C73"/>
    <w:rsid w:val="00D40CE0"/>
    <w:rsid w:val="00D40D6B"/>
    <w:rsid w:val="00D4142F"/>
    <w:rsid w:val="00D41FB2"/>
    <w:rsid w:val="00D427E1"/>
    <w:rsid w:val="00D428C0"/>
    <w:rsid w:val="00D42994"/>
    <w:rsid w:val="00D42B68"/>
    <w:rsid w:val="00D43172"/>
    <w:rsid w:val="00D43354"/>
    <w:rsid w:val="00D433EE"/>
    <w:rsid w:val="00D43856"/>
    <w:rsid w:val="00D438DB"/>
    <w:rsid w:val="00D43FE7"/>
    <w:rsid w:val="00D4403D"/>
    <w:rsid w:val="00D44473"/>
    <w:rsid w:val="00D44B86"/>
    <w:rsid w:val="00D44E9B"/>
    <w:rsid w:val="00D45E5B"/>
    <w:rsid w:val="00D460B4"/>
    <w:rsid w:val="00D462E0"/>
    <w:rsid w:val="00D46DE2"/>
    <w:rsid w:val="00D4754C"/>
    <w:rsid w:val="00D501F1"/>
    <w:rsid w:val="00D5040E"/>
    <w:rsid w:val="00D508FE"/>
    <w:rsid w:val="00D50BA0"/>
    <w:rsid w:val="00D50DB9"/>
    <w:rsid w:val="00D50E42"/>
    <w:rsid w:val="00D51DC9"/>
    <w:rsid w:val="00D51FD5"/>
    <w:rsid w:val="00D523FD"/>
    <w:rsid w:val="00D52527"/>
    <w:rsid w:val="00D52C43"/>
    <w:rsid w:val="00D52E40"/>
    <w:rsid w:val="00D5375D"/>
    <w:rsid w:val="00D54077"/>
    <w:rsid w:val="00D55327"/>
    <w:rsid w:val="00D55C86"/>
    <w:rsid w:val="00D574E9"/>
    <w:rsid w:val="00D57B68"/>
    <w:rsid w:val="00D60853"/>
    <w:rsid w:val="00D61036"/>
    <w:rsid w:val="00D61232"/>
    <w:rsid w:val="00D62366"/>
    <w:rsid w:val="00D62D01"/>
    <w:rsid w:val="00D630CD"/>
    <w:rsid w:val="00D63367"/>
    <w:rsid w:val="00D63A85"/>
    <w:rsid w:val="00D63DAF"/>
    <w:rsid w:val="00D64558"/>
    <w:rsid w:val="00D64F99"/>
    <w:rsid w:val="00D6507F"/>
    <w:rsid w:val="00D6544E"/>
    <w:rsid w:val="00D662BA"/>
    <w:rsid w:val="00D6667D"/>
    <w:rsid w:val="00D67323"/>
    <w:rsid w:val="00D67672"/>
    <w:rsid w:val="00D67738"/>
    <w:rsid w:val="00D677CE"/>
    <w:rsid w:val="00D678EC"/>
    <w:rsid w:val="00D67C3E"/>
    <w:rsid w:val="00D67F96"/>
    <w:rsid w:val="00D70810"/>
    <w:rsid w:val="00D70BED"/>
    <w:rsid w:val="00D71E35"/>
    <w:rsid w:val="00D71EDB"/>
    <w:rsid w:val="00D72410"/>
    <w:rsid w:val="00D7257A"/>
    <w:rsid w:val="00D730BC"/>
    <w:rsid w:val="00D7334E"/>
    <w:rsid w:val="00D73912"/>
    <w:rsid w:val="00D73AF8"/>
    <w:rsid w:val="00D7609E"/>
    <w:rsid w:val="00D761B8"/>
    <w:rsid w:val="00D768BE"/>
    <w:rsid w:val="00D76FC8"/>
    <w:rsid w:val="00D770DE"/>
    <w:rsid w:val="00D777B6"/>
    <w:rsid w:val="00D77CF6"/>
    <w:rsid w:val="00D82CF3"/>
    <w:rsid w:val="00D83AFA"/>
    <w:rsid w:val="00D83BFA"/>
    <w:rsid w:val="00D83FF6"/>
    <w:rsid w:val="00D84B14"/>
    <w:rsid w:val="00D85226"/>
    <w:rsid w:val="00D85D08"/>
    <w:rsid w:val="00D86662"/>
    <w:rsid w:val="00D86FF9"/>
    <w:rsid w:val="00D872CA"/>
    <w:rsid w:val="00D87548"/>
    <w:rsid w:val="00D8768E"/>
    <w:rsid w:val="00D876EF"/>
    <w:rsid w:val="00D87B4A"/>
    <w:rsid w:val="00D87B94"/>
    <w:rsid w:val="00D87EEA"/>
    <w:rsid w:val="00D9021F"/>
    <w:rsid w:val="00D914DF"/>
    <w:rsid w:val="00D91876"/>
    <w:rsid w:val="00D91AF7"/>
    <w:rsid w:val="00D923BD"/>
    <w:rsid w:val="00D923CE"/>
    <w:rsid w:val="00D92649"/>
    <w:rsid w:val="00D929BC"/>
    <w:rsid w:val="00D92C3A"/>
    <w:rsid w:val="00D92C44"/>
    <w:rsid w:val="00D92D49"/>
    <w:rsid w:val="00D92D51"/>
    <w:rsid w:val="00D92EC1"/>
    <w:rsid w:val="00D9338A"/>
    <w:rsid w:val="00D93C8A"/>
    <w:rsid w:val="00D93D06"/>
    <w:rsid w:val="00D93E3C"/>
    <w:rsid w:val="00D947B0"/>
    <w:rsid w:val="00D94ABB"/>
    <w:rsid w:val="00D95621"/>
    <w:rsid w:val="00D95E3F"/>
    <w:rsid w:val="00D96228"/>
    <w:rsid w:val="00D96839"/>
    <w:rsid w:val="00D96C89"/>
    <w:rsid w:val="00D96DEA"/>
    <w:rsid w:val="00D96FA8"/>
    <w:rsid w:val="00D97ADF"/>
    <w:rsid w:val="00DA0F37"/>
    <w:rsid w:val="00DA115A"/>
    <w:rsid w:val="00DA1691"/>
    <w:rsid w:val="00DA199E"/>
    <w:rsid w:val="00DA1B54"/>
    <w:rsid w:val="00DA26C0"/>
    <w:rsid w:val="00DA3C14"/>
    <w:rsid w:val="00DA3FD4"/>
    <w:rsid w:val="00DA40B6"/>
    <w:rsid w:val="00DA466A"/>
    <w:rsid w:val="00DA497A"/>
    <w:rsid w:val="00DA4E41"/>
    <w:rsid w:val="00DA508E"/>
    <w:rsid w:val="00DA51DD"/>
    <w:rsid w:val="00DA51FD"/>
    <w:rsid w:val="00DA595D"/>
    <w:rsid w:val="00DA599E"/>
    <w:rsid w:val="00DA5CD2"/>
    <w:rsid w:val="00DA5F2B"/>
    <w:rsid w:val="00DA5F73"/>
    <w:rsid w:val="00DA6F81"/>
    <w:rsid w:val="00DA71B1"/>
    <w:rsid w:val="00DA7E13"/>
    <w:rsid w:val="00DB0047"/>
    <w:rsid w:val="00DB102D"/>
    <w:rsid w:val="00DB117A"/>
    <w:rsid w:val="00DB16A2"/>
    <w:rsid w:val="00DB1C93"/>
    <w:rsid w:val="00DB1DC0"/>
    <w:rsid w:val="00DB22AD"/>
    <w:rsid w:val="00DB39A5"/>
    <w:rsid w:val="00DB416E"/>
    <w:rsid w:val="00DB47D3"/>
    <w:rsid w:val="00DB50D6"/>
    <w:rsid w:val="00DB5173"/>
    <w:rsid w:val="00DB59A1"/>
    <w:rsid w:val="00DB5EF2"/>
    <w:rsid w:val="00DB63A4"/>
    <w:rsid w:val="00DB676E"/>
    <w:rsid w:val="00DB6DDF"/>
    <w:rsid w:val="00DB6E50"/>
    <w:rsid w:val="00DB7000"/>
    <w:rsid w:val="00DB7873"/>
    <w:rsid w:val="00DC035D"/>
    <w:rsid w:val="00DC187B"/>
    <w:rsid w:val="00DC18F9"/>
    <w:rsid w:val="00DC1E76"/>
    <w:rsid w:val="00DC26B1"/>
    <w:rsid w:val="00DC2AC0"/>
    <w:rsid w:val="00DC2B04"/>
    <w:rsid w:val="00DC2C37"/>
    <w:rsid w:val="00DC3331"/>
    <w:rsid w:val="00DC3A7E"/>
    <w:rsid w:val="00DC3F2E"/>
    <w:rsid w:val="00DC4D7D"/>
    <w:rsid w:val="00DC4DFD"/>
    <w:rsid w:val="00DC4E1F"/>
    <w:rsid w:val="00DC50F9"/>
    <w:rsid w:val="00DC5397"/>
    <w:rsid w:val="00DC53B7"/>
    <w:rsid w:val="00DC6757"/>
    <w:rsid w:val="00DC72C6"/>
    <w:rsid w:val="00DC7606"/>
    <w:rsid w:val="00DC7BFB"/>
    <w:rsid w:val="00DD0279"/>
    <w:rsid w:val="00DD0A0C"/>
    <w:rsid w:val="00DD1035"/>
    <w:rsid w:val="00DD16AD"/>
    <w:rsid w:val="00DD1C9A"/>
    <w:rsid w:val="00DD281B"/>
    <w:rsid w:val="00DD2C07"/>
    <w:rsid w:val="00DD2CE6"/>
    <w:rsid w:val="00DD32C6"/>
    <w:rsid w:val="00DD3CE9"/>
    <w:rsid w:val="00DD404D"/>
    <w:rsid w:val="00DD4672"/>
    <w:rsid w:val="00DD49A9"/>
    <w:rsid w:val="00DD560F"/>
    <w:rsid w:val="00DD5A0B"/>
    <w:rsid w:val="00DD5CF3"/>
    <w:rsid w:val="00DD6238"/>
    <w:rsid w:val="00DD65DC"/>
    <w:rsid w:val="00DD71D8"/>
    <w:rsid w:val="00DD73C2"/>
    <w:rsid w:val="00DD750B"/>
    <w:rsid w:val="00DD76B5"/>
    <w:rsid w:val="00DD7B90"/>
    <w:rsid w:val="00DE0C7F"/>
    <w:rsid w:val="00DE0DFF"/>
    <w:rsid w:val="00DE179B"/>
    <w:rsid w:val="00DE19ED"/>
    <w:rsid w:val="00DE1E1B"/>
    <w:rsid w:val="00DE2996"/>
    <w:rsid w:val="00DE2A9B"/>
    <w:rsid w:val="00DE319B"/>
    <w:rsid w:val="00DE3FE2"/>
    <w:rsid w:val="00DE4771"/>
    <w:rsid w:val="00DE4A96"/>
    <w:rsid w:val="00DE4C83"/>
    <w:rsid w:val="00DE505F"/>
    <w:rsid w:val="00DE5BFB"/>
    <w:rsid w:val="00DE6629"/>
    <w:rsid w:val="00DE7100"/>
    <w:rsid w:val="00DE713A"/>
    <w:rsid w:val="00DE7179"/>
    <w:rsid w:val="00DE74C6"/>
    <w:rsid w:val="00DF08C9"/>
    <w:rsid w:val="00DF0B73"/>
    <w:rsid w:val="00DF0CD7"/>
    <w:rsid w:val="00DF0D81"/>
    <w:rsid w:val="00DF0F02"/>
    <w:rsid w:val="00DF13EC"/>
    <w:rsid w:val="00DF1882"/>
    <w:rsid w:val="00DF1B95"/>
    <w:rsid w:val="00DF1C3C"/>
    <w:rsid w:val="00DF1E3D"/>
    <w:rsid w:val="00DF2B2D"/>
    <w:rsid w:val="00DF34FE"/>
    <w:rsid w:val="00DF3DD6"/>
    <w:rsid w:val="00DF4434"/>
    <w:rsid w:val="00DF463A"/>
    <w:rsid w:val="00DF46AF"/>
    <w:rsid w:val="00DF4C20"/>
    <w:rsid w:val="00DF56AA"/>
    <w:rsid w:val="00DF58DB"/>
    <w:rsid w:val="00DF60F1"/>
    <w:rsid w:val="00DF6146"/>
    <w:rsid w:val="00DF63F0"/>
    <w:rsid w:val="00DF6ED0"/>
    <w:rsid w:val="00DF6F6D"/>
    <w:rsid w:val="00DF73B4"/>
    <w:rsid w:val="00DF7473"/>
    <w:rsid w:val="00DF78E7"/>
    <w:rsid w:val="00DF7B4E"/>
    <w:rsid w:val="00E000B6"/>
    <w:rsid w:val="00E00167"/>
    <w:rsid w:val="00E007B7"/>
    <w:rsid w:val="00E00B75"/>
    <w:rsid w:val="00E0152F"/>
    <w:rsid w:val="00E01DC5"/>
    <w:rsid w:val="00E021CD"/>
    <w:rsid w:val="00E021E0"/>
    <w:rsid w:val="00E022ED"/>
    <w:rsid w:val="00E02DD8"/>
    <w:rsid w:val="00E034E4"/>
    <w:rsid w:val="00E03F99"/>
    <w:rsid w:val="00E04790"/>
    <w:rsid w:val="00E047C3"/>
    <w:rsid w:val="00E04A41"/>
    <w:rsid w:val="00E04D74"/>
    <w:rsid w:val="00E05113"/>
    <w:rsid w:val="00E05276"/>
    <w:rsid w:val="00E0549E"/>
    <w:rsid w:val="00E057BF"/>
    <w:rsid w:val="00E05A3F"/>
    <w:rsid w:val="00E05C92"/>
    <w:rsid w:val="00E06209"/>
    <w:rsid w:val="00E06F0F"/>
    <w:rsid w:val="00E0713D"/>
    <w:rsid w:val="00E07CAE"/>
    <w:rsid w:val="00E10229"/>
    <w:rsid w:val="00E106F3"/>
    <w:rsid w:val="00E1087D"/>
    <w:rsid w:val="00E10AAC"/>
    <w:rsid w:val="00E110E0"/>
    <w:rsid w:val="00E1110B"/>
    <w:rsid w:val="00E1177E"/>
    <w:rsid w:val="00E1208C"/>
    <w:rsid w:val="00E12761"/>
    <w:rsid w:val="00E12F10"/>
    <w:rsid w:val="00E13323"/>
    <w:rsid w:val="00E14034"/>
    <w:rsid w:val="00E14F15"/>
    <w:rsid w:val="00E1500F"/>
    <w:rsid w:val="00E15371"/>
    <w:rsid w:val="00E15B7D"/>
    <w:rsid w:val="00E16855"/>
    <w:rsid w:val="00E16D24"/>
    <w:rsid w:val="00E17462"/>
    <w:rsid w:val="00E212CC"/>
    <w:rsid w:val="00E21CF0"/>
    <w:rsid w:val="00E22109"/>
    <w:rsid w:val="00E22A4D"/>
    <w:rsid w:val="00E23585"/>
    <w:rsid w:val="00E236E9"/>
    <w:rsid w:val="00E23B8F"/>
    <w:rsid w:val="00E23BA0"/>
    <w:rsid w:val="00E24104"/>
    <w:rsid w:val="00E24308"/>
    <w:rsid w:val="00E249E6"/>
    <w:rsid w:val="00E24EF0"/>
    <w:rsid w:val="00E2511D"/>
    <w:rsid w:val="00E25748"/>
    <w:rsid w:val="00E26287"/>
    <w:rsid w:val="00E26355"/>
    <w:rsid w:val="00E267E9"/>
    <w:rsid w:val="00E26EBE"/>
    <w:rsid w:val="00E26FCE"/>
    <w:rsid w:val="00E27985"/>
    <w:rsid w:val="00E27B23"/>
    <w:rsid w:val="00E27E5E"/>
    <w:rsid w:val="00E3079E"/>
    <w:rsid w:val="00E3204D"/>
    <w:rsid w:val="00E32263"/>
    <w:rsid w:val="00E3247C"/>
    <w:rsid w:val="00E32833"/>
    <w:rsid w:val="00E329E1"/>
    <w:rsid w:val="00E32BB7"/>
    <w:rsid w:val="00E32C00"/>
    <w:rsid w:val="00E32D7B"/>
    <w:rsid w:val="00E32E84"/>
    <w:rsid w:val="00E32F73"/>
    <w:rsid w:val="00E3336C"/>
    <w:rsid w:val="00E33B28"/>
    <w:rsid w:val="00E34AB5"/>
    <w:rsid w:val="00E34D60"/>
    <w:rsid w:val="00E35385"/>
    <w:rsid w:val="00E353DA"/>
    <w:rsid w:val="00E3565E"/>
    <w:rsid w:val="00E35707"/>
    <w:rsid w:val="00E35773"/>
    <w:rsid w:val="00E35866"/>
    <w:rsid w:val="00E35AAF"/>
    <w:rsid w:val="00E35DCB"/>
    <w:rsid w:val="00E36205"/>
    <w:rsid w:val="00E36AA1"/>
    <w:rsid w:val="00E36CC5"/>
    <w:rsid w:val="00E36CDA"/>
    <w:rsid w:val="00E36CF4"/>
    <w:rsid w:val="00E40798"/>
    <w:rsid w:val="00E41B62"/>
    <w:rsid w:val="00E41ECB"/>
    <w:rsid w:val="00E42319"/>
    <w:rsid w:val="00E423EA"/>
    <w:rsid w:val="00E42F82"/>
    <w:rsid w:val="00E438F6"/>
    <w:rsid w:val="00E4398C"/>
    <w:rsid w:val="00E43B42"/>
    <w:rsid w:val="00E4415C"/>
    <w:rsid w:val="00E44551"/>
    <w:rsid w:val="00E446AE"/>
    <w:rsid w:val="00E450B7"/>
    <w:rsid w:val="00E45152"/>
    <w:rsid w:val="00E454BF"/>
    <w:rsid w:val="00E45698"/>
    <w:rsid w:val="00E45AEC"/>
    <w:rsid w:val="00E46666"/>
    <w:rsid w:val="00E4688E"/>
    <w:rsid w:val="00E4766B"/>
    <w:rsid w:val="00E47FDE"/>
    <w:rsid w:val="00E50D1C"/>
    <w:rsid w:val="00E50F4D"/>
    <w:rsid w:val="00E51C3A"/>
    <w:rsid w:val="00E51CCB"/>
    <w:rsid w:val="00E52255"/>
    <w:rsid w:val="00E52907"/>
    <w:rsid w:val="00E52F7D"/>
    <w:rsid w:val="00E53C68"/>
    <w:rsid w:val="00E54137"/>
    <w:rsid w:val="00E5413D"/>
    <w:rsid w:val="00E542D5"/>
    <w:rsid w:val="00E5442E"/>
    <w:rsid w:val="00E54489"/>
    <w:rsid w:val="00E54680"/>
    <w:rsid w:val="00E54763"/>
    <w:rsid w:val="00E54799"/>
    <w:rsid w:val="00E54FDB"/>
    <w:rsid w:val="00E55732"/>
    <w:rsid w:val="00E5579E"/>
    <w:rsid w:val="00E55CBA"/>
    <w:rsid w:val="00E55E36"/>
    <w:rsid w:val="00E55ED2"/>
    <w:rsid w:val="00E5617D"/>
    <w:rsid w:val="00E563D7"/>
    <w:rsid w:val="00E5695D"/>
    <w:rsid w:val="00E56C6A"/>
    <w:rsid w:val="00E57194"/>
    <w:rsid w:val="00E57888"/>
    <w:rsid w:val="00E57AD7"/>
    <w:rsid w:val="00E57B56"/>
    <w:rsid w:val="00E57DB6"/>
    <w:rsid w:val="00E600B7"/>
    <w:rsid w:val="00E60641"/>
    <w:rsid w:val="00E60C02"/>
    <w:rsid w:val="00E61A4D"/>
    <w:rsid w:val="00E61AB5"/>
    <w:rsid w:val="00E62472"/>
    <w:rsid w:val="00E62882"/>
    <w:rsid w:val="00E62F1C"/>
    <w:rsid w:val="00E63317"/>
    <w:rsid w:val="00E63E6B"/>
    <w:rsid w:val="00E63F87"/>
    <w:rsid w:val="00E645A9"/>
    <w:rsid w:val="00E654A7"/>
    <w:rsid w:val="00E6550B"/>
    <w:rsid w:val="00E6605D"/>
    <w:rsid w:val="00E661AD"/>
    <w:rsid w:val="00E66364"/>
    <w:rsid w:val="00E663F4"/>
    <w:rsid w:val="00E66475"/>
    <w:rsid w:val="00E6651C"/>
    <w:rsid w:val="00E6664B"/>
    <w:rsid w:val="00E666F2"/>
    <w:rsid w:val="00E66B50"/>
    <w:rsid w:val="00E66DD4"/>
    <w:rsid w:val="00E67C67"/>
    <w:rsid w:val="00E70D1D"/>
    <w:rsid w:val="00E70FA0"/>
    <w:rsid w:val="00E71B1E"/>
    <w:rsid w:val="00E72150"/>
    <w:rsid w:val="00E739FC"/>
    <w:rsid w:val="00E73CA0"/>
    <w:rsid w:val="00E748CC"/>
    <w:rsid w:val="00E750DA"/>
    <w:rsid w:val="00E751D2"/>
    <w:rsid w:val="00E753B1"/>
    <w:rsid w:val="00E75415"/>
    <w:rsid w:val="00E7565A"/>
    <w:rsid w:val="00E75BB5"/>
    <w:rsid w:val="00E75D7D"/>
    <w:rsid w:val="00E75E38"/>
    <w:rsid w:val="00E75FF2"/>
    <w:rsid w:val="00E76549"/>
    <w:rsid w:val="00E76A57"/>
    <w:rsid w:val="00E76BDB"/>
    <w:rsid w:val="00E77222"/>
    <w:rsid w:val="00E775B1"/>
    <w:rsid w:val="00E77624"/>
    <w:rsid w:val="00E77A12"/>
    <w:rsid w:val="00E77C60"/>
    <w:rsid w:val="00E80D2E"/>
    <w:rsid w:val="00E8152A"/>
    <w:rsid w:val="00E816D1"/>
    <w:rsid w:val="00E82480"/>
    <w:rsid w:val="00E8322B"/>
    <w:rsid w:val="00E834A4"/>
    <w:rsid w:val="00E84B02"/>
    <w:rsid w:val="00E85A0A"/>
    <w:rsid w:val="00E85D83"/>
    <w:rsid w:val="00E85F9A"/>
    <w:rsid w:val="00E86490"/>
    <w:rsid w:val="00E867D7"/>
    <w:rsid w:val="00E868BB"/>
    <w:rsid w:val="00E86CA6"/>
    <w:rsid w:val="00E879AB"/>
    <w:rsid w:val="00E90F93"/>
    <w:rsid w:val="00E9110F"/>
    <w:rsid w:val="00E91CEB"/>
    <w:rsid w:val="00E92144"/>
    <w:rsid w:val="00E92958"/>
    <w:rsid w:val="00E931F4"/>
    <w:rsid w:val="00E9348A"/>
    <w:rsid w:val="00E93629"/>
    <w:rsid w:val="00E93B5C"/>
    <w:rsid w:val="00E94CEC"/>
    <w:rsid w:val="00E95AE8"/>
    <w:rsid w:val="00E95C62"/>
    <w:rsid w:val="00E95EFD"/>
    <w:rsid w:val="00E9642F"/>
    <w:rsid w:val="00E96AF6"/>
    <w:rsid w:val="00E973C3"/>
    <w:rsid w:val="00E97A45"/>
    <w:rsid w:val="00E97BCF"/>
    <w:rsid w:val="00E97CF6"/>
    <w:rsid w:val="00E97D47"/>
    <w:rsid w:val="00EA04EF"/>
    <w:rsid w:val="00EA0BFB"/>
    <w:rsid w:val="00EA1022"/>
    <w:rsid w:val="00EA1350"/>
    <w:rsid w:val="00EA1458"/>
    <w:rsid w:val="00EA149D"/>
    <w:rsid w:val="00EA1C2A"/>
    <w:rsid w:val="00EA2FE5"/>
    <w:rsid w:val="00EA303F"/>
    <w:rsid w:val="00EA3CAE"/>
    <w:rsid w:val="00EA51D3"/>
    <w:rsid w:val="00EA57A8"/>
    <w:rsid w:val="00EA628F"/>
    <w:rsid w:val="00EA64E7"/>
    <w:rsid w:val="00EA67ED"/>
    <w:rsid w:val="00EA6B7D"/>
    <w:rsid w:val="00EA6F19"/>
    <w:rsid w:val="00EA7089"/>
    <w:rsid w:val="00EA74FE"/>
    <w:rsid w:val="00EA7E69"/>
    <w:rsid w:val="00EB02EF"/>
    <w:rsid w:val="00EB05CE"/>
    <w:rsid w:val="00EB0634"/>
    <w:rsid w:val="00EB09E9"/>
    <w:rsid w:val="00EB0C9C"/>
    <w:rsid w:val="00EB1046"/>
    <w:rsid w:val="00EB1405"/>
    <w:rsid w:val="00EB1759"/>
    <w:rsid w:val="00EB1B7C"/>
    <w:rsid w:val="00EB1D5F"/>
    <w:rsid w:val="00EB2106"/>
    <w:rsid w:val="00EB221C"/>
    <w:rsid w:val="00EB2A74"/>
    <w:rsid w:val="00EB308E"/>
    <w:rsid w:val="00EB36D0"/>
    <w:rsid w:val="00EB36D1"/>
    <w:rsid w:val="00EB3B88"/>
    <w:rsid w:val="00EB3EE9"/>
    <w:rsid w:val="00EB41A7"/>
    <w:rsid w:val="00EB43FA"/>
    <w:rsid w:val="00EB44A3"/>
    <w:rsid w:val="00EB450E"/>
    <w:rsid w:val="00EB4B9A"/>
    <w:rsid w:val="00EB4E43"/>
    <w:rsid w:val="00EB5581"/>
    <w:rsid w:val="00EB564E"/>
    <w:rsid w:val="00EB6B0D"/>
    <w:rsid w:val="00EB7090"/>
    <w:rsid w:val="00EC121D"/>
    <w:rsid w:val="00EC1353"/>
    <w:rsid w:val="00EC183A"/>
    <w:rsid w:val="00EC1BBE"/>
    <w:rsid w:val="00EC35C9"/>
    <w:rsid w:val="00EC3B43"/>
    <w:rsid w:val="00EC3F19"/>
    <w:rsid w:val="00EC4ACD"/>
    <w:rsid w:val="00EC5236"/>
    <w:rsid w:val="00EC5C18"/>
    <w:rsid w:val="00EC5CD7"/>
    <w:rsid w:val="00EC5D78"/>
    <w:rsid w:val="00EC649D"/>
    <w:rsid w:val="00EC64AD"/>
    <w:rsid w:val="00EC674C"/>
    <w:rsid w:val="00EC70F1"/>
    <w:rsid w:val="00EC7548"/>
    <w:rsid w:val="00ED03D2"/>
    <w:rsid w:val="00ED073B"/>
    <w:rsid w:val="00ED13C2"/>
    <w:rsid w:val="00ED13C9"/>
    <w:rsid w:val="00ED15AE"/>
    <w:rsid w:val="00ED1710"/>
    <w:rsid w:val="00ED1A8C"/>
    <w:rsid w:val="00ED1F6B"/>
    <w:rsid w:val="00ED2504"/>
    <w:rsid w:val="00ED291F"/>
    <w:rsid w:val="00ED2E02"/>
    <w:rsid w:val="00ED31EE"/>
    <w:rsid w:val="00ED3C15"/>
    <w:rsid w:val="00ED3E3F"/>
    <w:rsid w:val="00ED45DF"/>
    <w:rsid w:val="00ED4B00"/>
    <w:rsid w:val="00ED7287"/>
    <w:rsid w:val="00ED78CB"/>
    <w:rsid w:val="00EE00D1"/>
    <w:rsid w:val="00EE082F"/>
    <w:rsid w:val="00EE0D57"/>
    <w:rsid w:val="00EE0E5F"/>
    <w:rsid w:val="00EE0F63"/>
    <w:rsid w:val="00EE1530"/>
    <w:rsid w:val="00EE1AD0"/>
    <w:rsid w:val="00EE22A8"/>
    <w:rsid w:val="00EE2A97"/>
    <w:rsid w:val="00EE3FD2"/>
    <w:rsid w:val="00EE42D4"/>
    <w:rsid w:val="00EE437C"/>
    <w:rsid w:val="00EE52DB"/>
    <w:rsid w:val="00EE54A8"/>
    <w:rsid w:val="00EE5CAF"/>
    <w:rsid w:val="00EE5E44"/>
    <w:rsid w:val="00EE5FB3"/>
    <w:rsid w:val="00EE6B61"/>
    <w:rsid w:val="00EE6E0D"/>
    <w:rsid w:val="00EE70F8"/>
    <w:rsid w:val="00EE7ABB"/>
    <w:rsid w:val="00EE7F79"/>
    <w:rsid w:val="00EF0147"/>
    <w:rsid w:val="00EF0244"/>
    <w:rsid w:val="00EF06C2"/>
    <w:rsid w:val="00EF06D8"/>
    <w:rsid w:val="00EF1149"/>
    <w:rsid w:val="00EF1AC4"/>
    <w:rsid w:val="00EF2018"/>
    <w:rsid w:val="00EF2519"/>
    <w:rsid w:val="00EF2B0C"/>
    <w:rsid w:val="00EF2B64"/>
    <w:rsid w:val="00EF2FB5"/>
    <w:rsid w:val="00EF3706"/>
    <w:rsid w:val="00EF3A40"/>
    <w:rsid w:val="00EF3CB9"/>
    <w:rsid w:val="00EF3FB4"/>
    <w:rsid w:val="00EF5DBD"/>
    <w:rsid w:val="00EF637F"/>
    <w:rsid w:val="00EF6888"/>
    <w:rsid w:val="00EF715A"/>
    <w:rsid w:val="00EF7DBC"/>
    <w:rsid w:val="00EF7F2D"/>
    <w:rsid w:val="00F001CA"/>
    <w:rsid w:val="00F00641"/>
    <w:rsid w:val="00F00958"/>
    <w:rsid w:val="00F00A1B"/>
    <w:rsid w:val="00F0139F"/>
    <w:rsid w:val="00F0164C"/>
    <w:rsid w:val="00F01709"/>
    <w:rsid w:val="00F01974"/>
    <w:rsid w:val="00F01C80"/>
    <w:rsid w:val="00F01CFD"/>
    <w:rsid w:val="00F038C6"/>
    <w:rsid w:val="00F03B23"/>
    <w:rsid w:val="00F04122"/>
    <w:rsid w:val="00F04E38"/>
    <w:rsid w:val="00F055BA"/>
    <w:rsid w:val="00F05AD0"/>
    <w:rsid w:val="00F05F35"/>
    <w:rsid w:val="00F0607B"/>
    <w:rsid w:val="00F06CE1"/>
    <w:rsid w:val="00F06E14"/>
    <w:rsid w:val="00F073D9"/>
    <w:rsid w:val="00F0762C"/>
    <w:rsid w:val="00F07647"/>
    <w:rsid w:val="00F0788D"/>
    <w:rsid w:val="00F07E4A"/>
    <w:rsid w:val="00F1049B"/>
    <w:rsid w:val="00F10967"/>
    <w:rsid w:val="00F10D1D"/>
    <w:rsid w:val="00F10D39"/>
    <w:rsid w:val="00F11327"/>
    <w:rsid w:val="00F11BE2"/>
    <w:rsid w:val="00F1214F"/>
    <w:rsid w:val="00F1266E"/>
    <w:rsid w:val="00F12945"/>
    <w:rsid w:val="00F12AB9"/>
    <w:rsid w:val="00F135C2"/>
    <w:rsid w:val="00F13B5A"/>
    <w:rsid w:val="00F14508"/>
    <w:rsid w:val="00F1464D"/>
    <w:rsid w:val="00F14965"/>
    <w:rsid w:val="00F1628B"/>
    <w:rsid w:val="00F16CAE"/>
    <w:rsid w:val="00F16FCB"/>
    <w:rsid w:val="00F17458"/>
    <w:rsid w:val="00F179D4"/>
    <w:rsid w:val="00F17AD6"/>
    <w:rsid w:val="00F20577"/>
    <w:rsid w:val="00F20FA2"/>
    <w:rsid w:val="00F210E2"/>
    <w:rsid w:val="00F22489"/>
    <w:rsid w:val="00F22B03"/>
    <w:rsid w:val="00F22B0B"/>
    <w:rsid w:val="00F23271"/>
    <w:rsid w:val="00F23573"/>
    <w:rsid w:val="00F2464C"/>
    <w:rsid w:val="00F24B76"/>
    <w:rsid w:val="00F250B5"/>
    <w:rsid w:val="00F2524A"/>
    <w:rsid w:val="00F25748"/>
    <w:rsid w:val="00F276BF"/>
    <w:rsid w:val="00F27715"/>
    <w:rsid w:val="00F27833"/>
    <w:rsid w:val="00F278EA"/>
    <w:rsid w:val="00F27947"/>
    <w:rsid w:val="00F27981"/>
    <w:rsid w:val="00F27DBA"/>
    <w:rsid w:val="00F30830"/>
    <w:rsid w:val="00F30ACE"/>
    <w:rsid w:val="00F30AE3"/>
    <w:rsid w:val="00F30C52"/>
    <w:rsid w:val="00F3109E"/>
    <w:rsid w:val="00F3158F"/>
    <w:rsid w:val="00F31635"/>
    <w:rsid w:val="00F31A0F"/>
    <w:rsid w:val="00F32812"/>
    <w:rsid w:val="00F33C56"/>
    <w:rsid w:val="00F347C7"/>
    <w:rsid w:val="00F34848"/>
    <w:rsid w:val="00F353FB"/>
    <w:rsid w:val="00F36476"/>
    <w:rsid w:val="00F3651C"/>
    <w:rsid w:val="00F3697E"/>
    <w:rsid w:val="00F36ECA"/>
    <w:rsid w:val="00F37050"/>
    <w:rsid w:val="00F40CC3"/>
    <w:rsid w:val="00F4106A"/>
    <w:rsid w:val="00F41AEB"/>
    <w:rsid w:val="00F424A0"/>
    <w:rsid w:val="00F42607"/>
    <w:rsid w:val="00F4261E"/>
    <w:rsid w:val="00F42692"/>
    <w:rsid w:val="00F42AE8"/>
    <w:rsid w:val="00F42D46"/>
    <w:rsid w:val="00F4308C"/>
    <w:rsid w:val="00F433C8"/>
    <w:rsid w:val="00F4496C"/>
    <w:rsid w:val="00F44971"/>
    <w:rsid w:val="00F44E2E"/>
    <w:rsid w:val="00F44F3A"/>
    <w:rsid w:val="00F4502B"/>
    <w:rsid w:val="00F450C1"/>
    <w:rsid w:val="00F458E2"/>
    <w:rsid w:val="00F45A3D"/>
    <w:rsid w:val="00F4607D"/>
    <w:rsid w:val="00F461A0"/>
    <w:rsid w:val="00F47AB4"/>
    <w:rsid w:val="00F47D7C"/>
    <w:rsid w:val="00F504DA"/>
    <w:rsid w:val="00F505C1"/>
    <w:rsid w:val="00F5069D"/>
    <w:rsid w:val="00F507FE"/>
    <w:rsid w:val="00F50A53"/>
    <w:rsid w:val="00F50B6C"/>
    <w:rsid w:val="00F50C7B"/>
    <w:rsid w:val="00F50DE3"/>
    <w:rsid w:val="00F50F15"/>
    <w:rsid w:val="00F51CBE"/>
    <w:rsid w:val="00F51F10"/>
    <w:rsid w:val="00F529A5"/>
    <w:rsid w:val="00F53094"/>
    <w:rsid w:val="00F538E4"/>
    <w:rsid w:val="00F53E61"/>
    <w:rsid w:val="00F54173"/>
    <w:rsid w:val="00F548FE"/>
    <w:rsid w:val="00F54A29"/>
    <w:rsid w:val="00F54FFF"/>
    <w:rsid w:val="00F55496"/>
    <w:rsid w:val="00F554FD"/>
    <w:rsid w:val="00F556EC"/>
    <w:rsid w:val="00F55716"/>
    <w:rsid w:val="00F56036"/>
    <w:rsid w:val="00F5638A"/>
    <w:rsid w:val="00F56778"/>
    <w:rsid w:val="00F568D3"/>
    <w:rsid w:val="00F569CE"/>
    <w:rsid w:val="00F57D39"/>
    <w:rsid w:val="00F604C2"/>
    <w:rsid w:val="00F60F00"/>
    <w:rsid w:val="00F60F48"/>
    <w:rsid w:val="00F614C0"/>
    <w:rsid w:val="00F624AD"/>
    <w:rsid w:val="00F626FE"/>
    <w:rsid w:val="00F62999"/>
    <w:rsid w:val="00F62BA3"/>
    <w:rsid w:val="00F62D9D"/>
    <w:rsid w:val="00F62F65"/>
    <w:rsid w:val="00F6345C"/>
    <w:rsid w:val="00F634D9"/>
    <w:rsid w:val="00F63CA1"/>
    <w:rsid w:val="00F63F0A"/>
    <w:rsid w:val="00F64ED0"/>
    <w:rsid w:val="00F65838"/>
    <w:rsid w:val="00F65950"/>
    <w:rsid w:val="00F65BA4"/>
    <w:rsid w:val="00F65C97"/>
    <w:rsid w:val="00F65D12"/>
    <w:rsid w:val="00F65DA4"/>
    <w:rsid w:val="00F664AB"/>
    <w:rsid w:val="00F677BB"/>
    <w:rsid w:val="00F70C61"/>
    <w:rsid w:val="00F72390"/>
    <w:rsid w:val="00F73413"/>
    <w:rsid w:val="00F7455A"/>
    <w:rsid w:val="00F74DE7"/>
    <w:rsid w:val="00F74E97"/>
    <w:rsid w:val="00F752AE"/>
    <w:rsid w:val="00F7555C"/>
    <w:rsid w:val="00F75636"/>
    <w:rsid w:val="00F75951"/>
    <w:rsid w:val="00F76544"/>
    <w:rsid w:val="00F768E8"/>
    <w:rsid w:val="00F77192"/>
    <w:rsid w:val="00F772A4"/>
    <w:rsid w:val="00F773DD"/>
    <w:rsid w:val="00F778AB"/>
    <w:rsid w:val="00F80652"/>
    <w:rsid w:val="00F807FC"/>
    <w:rsid w:val="00F813A1"/>
    <w:rsid w:val="00F8148C"/>
    <w:rsid w:val="00F8159E"/>
    <w:rsid w:val="00F81639"/>
    <w:rsid w:val="00F81911"/>
    <w:rsid w:val="00F81DF8"/>
    <w:rsid w:val="00F826F6"/>
    <w:rsid w:val="00F83073"/>
    <w:rsid w:val="00F831EC"/>
    <w:rsid w:val="00F83848"/>
    <w:rsid w:val="00F83AA5"/>
    <w:rsid w:val="00F84229"/>
    <w:rsid w:val="00F84B17"/>
    <w:rsid w:val="00F84D39"/>
    <w:rsid w:val="00F850D9"/>
    <w:rsid w:val="00F850FF"/>
    <w:rsid w:val="00F851EB"/>
    <w:rsid w:val="00F8538A"/>
    <w:rsid w:val="00F8551A"/>
    <w:rsid w:val="00F8558B"/>
    <w:rsid w:val="00F856E2"/>
    <w:rsid w:val="00F8582B"/>
    <w:rsid w:val="00F85983"/>
    <w:rsid w:val="00F85D9C"/>
    <w:rsid w:val="00F863B0"/>
    <w:rsid w:val="00F86DCE"/>
    <w:rsid w:val="00F87755"/>
    <w:rsid w:val="00F87FE5"/>
    <w:rsid w:val="00F90659"/>
    <w:rsid w:val="00F90F68"/>
    <w:rsid w:val="00F91FA3"/>
    <w:rsid w:val="00F929E2"/>
    <w:rsid w:val="00F9303F"/>
    <w:rsid w:val="00F939D2"/>
    <w:rsid w:val="00F9474E"/>
    <w:rsid w:val="00F94B31"/>
    <w:rsid w:val="00F94D1E"/>
    <w:rsid w:val="00F95555"/>
    <w:rsid w:val="00F95C7C"/>
    <w:rsid w:val="00F96329"/>
    <w:rsid w:val="00F9676E"/>
    <w:rsid w:val="00F96F83"/>
    <w:rsid w:val="00F97350"/>
    <w:rsid w:val="00F975E9"/>
    <w:rsid w:val="00F97D91"/>
    <w:rsid w:val="00F97E08"/>
    <w:rsid w:val="00FA0174"/>
    <w:rsid w:val="00FA0614"/>
    <w:rsid w:val="00FA0E20"/>
    <w:rsid w:val="00FA1094"/>
    <w:rsid w:val="00FA1827"/>
    <w:rsid w:val="00FA1AF5"/>
    <w:rsid w:val="00FA1B7A"/>
    <w:rsid w:val="00FA1B7D"/>
    <w:rsid w:val="00FA20F7"/>
    <w:rsid w:val="00FA21D3"/>
    <w:rsid w:val="00FA2BA1"/>
    <w:rsid w:val="00FA2FD0"/>
    <w:rsid w:val="00FA2FEE"/>
    <w:rsid w:val="00FA3CE4"/>
    <w:rsid w:val="00FA3CE6"/>
    <w:rsid w:val="00FA401E"/>
    <w:rsid w:val="00FA534C"/>
    <w:rsid w:val="00FA56A5"/>
    <w:rsid w:val="00FA596F"/>
    <w:rsid w:val="00FA634D"/>
    <w:rsid w:val="00FA679E"/>
    <w:rsid w:val="00FA68B0"/>
    <w:rsid w:val="00FA6B21"/>
    <w:rsid w:val="00FA7377"/>
    <w:rsid w:val="00FA73B9"/>
    <w:rsid w:val="00FA77C5"/>
    <w:rsid w:val="00FA7D24"/>
    <w:rsid w:val="00FB05D2"/>
    <w:rsid w:val="00FB089C"/>
    <w:rsid w:val="00FB0CD0"/>
    <w:rsid w:val="00FB1FCD"/>
    <w:rsid w:val="00FB23B8"/>
    <w:rsid w:val="00FB2AA5"/>
    <w:rsid w:val="00FB30C5"/>
    <w:rsid w:val="00FB348F"/>
    <w:rsid w:val="00FB3ABA"/>
    <w:rsid w:val="00FB3FB2"/>
    <w:rsid w:val="00FB469A"/>
    <w:rsid w:val="00FB544A"/>
    <w:rsid w:val="00FB565A"/>
    <w:rsid w:val="00FB5AC7"/>
    <w:rsid w:val="00FB5E5E"/>
    <w:rsid w:val="00FB6146"/>
    <w:rsid w:val="00FB698F"/>
    <w:rsid w:val="00FB6ADE"/>
    <w:rsid w:val="00FB6FBD"/>
    <w:rsid w:val="00FB7548"/>
    <w:rsid w:val="00FB7711"/>
    <w:rsid w:val="00FC07B9"/>
    <w:rsid w:val="00FC0DDC"/>
    <w:rsid w:val="00FC1615"/>
    <w:rsid w:val="00FC1B9F"/>
    <w:rsid w:val="00FC205E"/>
    <w:rsid w:val="00FC2A28"/>
    <w:rsid w:val="00FC2BAE"/>
    <w:rsid w:val="00FC3363"/>
    <w:rsid w:val="00FC33FD"/>
    <w:rsid w:val="00FC3730"/>
    <w:rsid w:val="00FC417E"/>
    <w:rsid w:val="00FC4E21"/>
    <w:rsid w:val="00FC4F68"/>
    <w:rsid w:val="00FC5334"/>
    <w:rsid w:val="00FC5416"/>
    <w:rsid w:val="00FC5AFE"/>
    <w:rsid w:val="00FC5D7A"/>
    <w:rsid w:val="00FC5F6D"/>
    <w:rsid w:val="00FC618C"/>
    <w:rsid w:val="00FC64E6"/>
    <w:rsid w:val="00FC662C"/>
    <w:rsid w:val="00FC7810"/>
    <w:rsid w:val="00FC7E5C"/>
    <w:rsid w:val="00FD004A"/>
    <w:rsid w:val="00FD0AF2"/>
    <w:rsid w:val="00FD0EB1"/>
    <w:rsid w:val="00FD1455"/>
    <w:rsid w:val="00FD1864"/>
    <w:rsid w:val="00FD1880"/>
    <w:rsid w:val="00FD19E0"/>
    <w:rsid w:val="00FD26C6"/>
    <w:rsid w:val="00FD2C11"/>
    <w:rsid w:val="00FD2C2F"/>
    <w:rsid w:val="00FD2CBA"/>
    <w:rsid w:val="00FD2DF5"/>
    <w:rsid w:val="00FD33DF"/>
    <w:rsid w:val="00FD39F8"/>
    <w:rsid w:val="00FD3B31"/>
    <w:rsid w:val="00FD3C65"/>
    <w:rsid w:val="00FD3F96"/>
    <w:rsid w:val="00FD4185"/>
    <w:rsid w:val="00FD41CD"/>
    <w:rsid w:val="00FD5085"/>
    <w:rsid w:val="00FD5221"/>
    <w:rsid w:val="00FD528E"/>
    <w:rsid w:val="00FD571E"/>
    <w:rsid w:val="00FD577F"/>
    <w:rsid w:val="00FD58D0"/>
    <w:rsid w:val="00FD5D76"/>
    <w:rsid w:val="00FD5E3C"/>
    <w:rsid w:val="00FD7065"/>
    <w:rsid w:val="00FD74A6"/>
    <w:rsid w:val="00FD75BC"/>
    <w:rsid w:val="00FD7B97"/>
    <w:rsid w:val="00FD7C82"/>
    <w:rsid w:val="00FD7D72"/>
    <w:rsid w:val="00FD7E86"/>
    <w:rsid w:val="00FE01F7"/>
    <w:rsid w:val="00FE07EB"/>
    <w:rsid w:val="00FE15F5"/>
    <w:rsid w:val="00FE1823"/>
    <w:rsid w:val="00FE1866"/>
    <w:rsid w:val="00FE1A0B"/>
    <w:rsid w:val="00FE1B8E"/>
    <w:rsid w:val="00FE223C"/>
    <w:rsid w:val="00FE2EB6"/>
    <w:rsid w:val="00FE2EF4"/>
    <w:rsid w:val="00FE308A"/>
    <w:rsid w:val="00FE3BD7"/>
    <w:rsid w:val="00FE3CF5"/>
    <w:rsid w:val="00FE476D"/>
    <w:rsid w:val="00FE487A"/>
    <w:rsid w:val="00FE4C6D"/>
    <w:rsid w:val="00FE4D5C"/>
    <w:rsid w:val="00FE4DA5"/>
    <w:rsid w:val="00FE5A8B"/>
    <w:rsid w:val="00FE6794"/>
    <w:rsid w:val="00FE6AD4"/>
    <w:rsid w:val="00FE6E3B"/>
    <w:rsid w:val="00FE747A"/>
    <w:rsid w:val="00FF0434"/>
    <w:rsid w:val="00FF0569"/>
    <w:rsid w:val="00FF0645"/>
    <w:rsid w:val="00FF0F43"/>
    <w:rsid w:val="00FF1120"/>
    <w:rsid w:val="00FF16A9"/>
    <w:rsid w:val="00FF1EBC"/>
    <w:rsid w:val="00FF206E"/>
    <w:rsid w:val="00FF2CEF"/>
    <w:rsid w:val="00FF2F87"/>
    <w:rsid w:val="00FF3155"/>
    <w:rsid w:val="00FF333D"/>
    <w:rsid w:val="00FF377F"/>
    <w:rsid w:val="00FF3C69"/>
    <w:rsid w:val="00FF3E95"/>
    <w:rsid w:val="00FF4518"/>
    <w:rsid w:val="00FF4CBA"/>
    <w:rsid w:val="00FF5DC9"/>
    <w:rsid w:val="00FF60C4"/>
    <w:rsid w:val="00FF6184"/>
    <w:rsid w:val="00FF6781"/>
    <w:rsid w:val="00FF6E0A"/>
    <w:rsid w:val="00FF724B"/>
    <w:rsid w:val="00FF7259"/>
    <w:rsid w:val="00FF7648"/>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6081">
      <o:colormru v:ext="edit" colors="red,#4d4d4f"/>
    </o:shapedefaults>
    <o:shapelayout v:ext="edit">
      <o:idmap v:ext="edit" data="1"/>
    </o:shapelayout>
  </w:shapeDefaults>
  <w:decimalSymbol w:val="."/>
  <w:listSeparator w:val=","/>
  <w14:docId w14:val="21ACD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2304"/>
    <w:pPr>
      <w:spacing w:after="240"/>
    </w:pPr>
    <w:rPr>
      <w:szCs w:val="24"/>
    </w:rPr>
  </w:style>
  <w:style w:type="paragraph" w:styleId="Heading1">
    <w:name w:val="heading 1"/>
    <w:basedOn w:val="Normal"/>
    <w:next w:val="Normal"/>
    <w:link w:val="Heading1Char"/>
    <w:qFormat/>
    <w:rsid w:val="005E559B"/>
    <w:pPr>
      <w:keepNext/>
      <w:pageBreakBefore/>
      <w:widowControl w:val="0"/>
      <w:spacing w:after="360" w:line="550" w:lineRule="exact"/>
      <w:outlineLvl w:val="0"/>
    </w:pPr>
    <w:rPr>
      <w:rFonts w:cs="Arial"/>
      <w:bCs/>
      <w:color w:val="37897E"/>
      <w:kern w:val="32"/>
      <w:sz w:val="53"/>
      <w:szCs w:val="32"/>
    </w:rPr>
  </w:style>
  <w:style w:type="paragraph" w:styleId="Heading2">
    <w:name w:val="heading 2"/>
    <w:basedOn w:val="Normal"/>
    <w:next w:val="Normal"/>
    <w:link w:val="Heading2Char"/>
    <w:qFormat/>
    <w:rsid w:val="005A10D6"/>
    <w:pPr>
      <w:keepNext/>
      <w:spacing w:before="320" w:after="60"/>
      <w:outlineLvl w:val="1"/>
    </w:pPr>
    <w:rPr>
      <w:rFonts w:cs="Arial"/>
      <w:b/>
      <w:bCs/>
      <w:iCs/>
      <w:color w:val="37897E"/>
      <w:sz w:val="28"/>
      <w:szCs w:val="28"/>
    </w:rPr>
  </w:style>
  <w:style w:type="paragraph" w:styleId="Heading3">
    <w:name w:val="heading 3"/>
    <w:basedOn w:val="Normal"/>
    <w:next w:val="Normal"/>
    <w:link w:val="Heading3Char"/>
    <w:qFormat/>
    <w:rsid w:val="00D770DE"/>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C54921"/>
    <w:pPr>
      <w:spacing w:before="40" w:after="0"/>
    </w:pPr>
    <w:rPr>
      <w:b/>
      <w:color w:val="FFFFFF" w:themeColor="background1"/>
      <w:sz w:val="18"/>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2B6EDE"/>
    <w:pPr>
      <w:numPr>
        <w:numId w:val="58"/>
      </w:numPr>
      <w:spacing w:after="80"/>
    </w:pPr>
  </w:style>
  <w:style w:type="paragraph" w:styleId="ListBullet2">
    <w:name w:val="List Bullet 2"/>
    <w:basedOn w:val="Normal"/>
    <w:qFormat/>
    <w:rsid w:val="002B6EDE"/>
    <w:pPr>
      <w:numPr>
        <w:numId w:val="57"/>
      </w:numPr>
      <w:spacing w:after="80"/>
    </w:pPr>
  </w:style>
  <w:style w:type="paragraph" w:styleId="ListNumber">
    <w:name w:val="List Number"/>
    <w:basedOn w:val="Normal"/>
    <w:qFormat/>
    <w:rsid w:val="002B6EDE"/>
    <w:pPr>
      <w:numPr>
        <w:numId w:val="62"/>
      </w:numPr>
      <w:spacing w:after="80"/>
    </w:pPr>
  </w:style>
  <w:style w:type="paragraph" w:styleId="ListNumber2">
    <w:name w:val="List Number 2"/>
    <w:basedOn w:val="Normal"/>
    <w:qFormat/>
    <w:rsid w:val="002B6EDE"/>
    <w:pPr>
      <w:numPr>
        <w:numId w:val="61"/>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3F2304"/>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2A2D47"/>
    <w:pPr>
      <w:tabs>
        <w:tab w:val="right" w:pos="7660"/>
      </w:tabs>
      <w:spacing w:before="280" w:after="80" w:line="320" w:lineRule="exact"/>
      <w:ind w:right="851"/>
    </w:pPr>
    <w:rPr>
      <w:b/>
      <w:noProof/>
      <w:spacing w:val="-6"/>
      <w:sz w:val="28"/>
    </w:rPr>
  </w:style>
  <w:style w:type="paragraph" w:styleId="TOC2">
    <w:name w:val="toc 2"/>
    <w:basedOn w:val="Normal"/>
    <w:next w:val="Normal"/>
    <w:uiPriority w:val="39"/>
    <w:qFormat/>
    <w:rsid w:val="002A2D47"/>
    <w:pPr>
      <w:tabs>
        <w:tab w:val="right" w:pos="7660"/>
      </w:tabs>
      <w:spacing w:after="80" w:line="300" w:lineRule="exact"/>
      <w:ind w:left="885" w:hanging="885"/>
    </w:pPr>
    <w:rPr>
      <w:noProof/>
      <w:spacing w:val="-6"/>
      <w:sz w:val="26"/>
      <w:szCs w:val="26"/>
    </w:rPr>
  </w:style>
  <w:style w:type="paragraph" w:styleId="TableofFigures">
    <w:name w:val="table of figures"/>
    <w:basedOn w:val="Normal"/>
    <w:next w:val="Normal"/>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F2304"/>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3F2304"/>
    <w:rPr>
      <w:rFonts w:ascii="Arial" w:hAnsi="Arial"/>
      <w:vertAlign w:val="superscript"/>
    </w:rPr>
  </w:style>
  <w:style w:type="paragraph" w:styleId="FootnoteText">
    <w:name w:val="footnote text"/>
    <w:aliases w:val="ACMA Footnote Text,ALTS FOOTNOTE,(NECG) Footnote Text,Footnote text,AR Footnote Text,AR Footnote Text Char Char Char Char Char,Footnote Text Char2,Footnote Text Char1 Char Char,Footnote Text Char Char Char Char,Footnote Text Char1 Char,f"/>
    <w:basedOn w:val="Normal"/>
    <w:link w:val="FootnoteTextChar"/>
    <w:uiPriority w:val="99"/>
    <w:rsid w:val="003F230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3F2304"/>
    <w:rPr>
      <w:sz w:val="16"/>
      <w:szCs w:val="16"/>
    </w:rPr>
  </w:style>
  <w:style w:type="paragraph" w:styleId="CommentText">
    <w:name w:val="annotation text"/>
    <w:basedOn w:val="Normal"/>
    <w:link w:val="CommentTextChar"/>
    <w:uiPriority w:val="99"/>
    <w:rsid w:val="003F2304"/>
    <w:pPr>
      <w:spacing w:line="240" w:lineRule="auto"/>
    </w:pPr>
  </w:style>
  <w:style w:type="character" w:customStyle="1" w:styleId="CommentTextChar">
    <w:name w:val="Comment Text Char"/>
    <w:basedOn w:val="DefaultParagraphFont"/>
    <w:link w:val="CommentText"/>
    <w:uiPriority w:val="99"/>
    <w:rsid w:val="00EE7F79"/>
    <w:rPr>
      <w:szCs w:val="24"/>
    </w:rPr>
  </w:style>
  <w:style w:type="paragraph" w:styleId="CommentSubject">
    <w:name w:val="annotation subject"/>
    <w:basedOn w:val="CommentText"/>
    <w:next w:val="CommentText"/>
    <w:link w:val="CommentSubjectChar"/>
    <w:rsid w:val="003F2304"/>
    <w:rPr>
      <w:b/>
      <w:bCs/>
    </w:rPr>
  </w:style>
  <w:style w:type="character" w:customStyle="1" w:styleId="CommentSubjectChar">
    <w:name w:val="Comment Subject Char"/>
    <w:basedOn w:val="CommentTextChar"/>
    <w:link w:val="CommentSubject"/>
    <w:rsid w:val="00EE7F79"/>
    <w:rPr>
      <w:b/>
      <w:bCs/>
      <w:szCs w:val="24"/>
    </w:rPr>
  </w:style>
  <w:style w:type="character" w:styleId="FollowedHyperlink">
    <w:name w:val="FollowedHyperlink"/>
    <w:basedOn w:val="DefaultParagraphFont"/>
    <w:semiHidden/>
    <w:rsid w:val="003F2304"/>
    <w:rPr>
      <w:color w:val="954F72"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3F2304"/>
    <w:pPr>
      <w:spacing w:before="160" w:after="120"/>
    </w:pPr>
    <w:rPr>
      <w:b/>
      <w:sz w:val="13"/>
    </w:rPr>
  </w:style>
  <w:style w:type="paragraph" w:customStyle="1" w:styleId="ListBulletLast">
    <w:name w:val="List Bullet Last"/>
    <w:basedOn w:val="ListBullet"/>
    <w:qFormat/>
    <w:rsid w:val="002B6EDE"/>
    <w:pPr>
      <w:spacing w:after="240"/>
    </w:pPr>
  </w:style>
  <w:style w:type="paragraph" w:customStyle="1" w:styleId="ListNumberLast">
    <w:name w:val="List Number Last"/>
    <w:basedOn w:val="ListNumber"/>
    <w:qFormat/>
    <w:rsid w:val="002B6EDE"/>
    <w:pPr>
      <w:spacing w:after="240"/>
      <w:ind w:left="357" w:hanging="357"/>
    </w:pPr>
    <w:rPr>
      <w:rFonts w:cs="Arial"/>
    </w:rPr>
  </w:style>
  <w:style w:type="paragraph" w:customStyle="1" w:styleId="ACMATableHeader">
    <w:name w:val="ACMA_TableHeader"/>
    <w:qFormat/>
    <w:rsid w:val="003F2304"/>
    <w:pPr>
      <w:numPr>
        <w:numId w:val="6"/>
      </w:numPr>
      <w:spacing w:after="160"/>
    </w:pPr>
    <w:rPr>
      <w:b/>
      <w:bCs/>
      <w:color w:val="323232"/>
    </w:rPr>
  </w:style>
  <w:style w:type="paragraph" w:customStyle="1" w:styleId="ACMANotes">
    <w:name w:val="ACMA_Notes"/>
    <w:qFormat/>
    <w:rsid w:val="003F2304"/>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2B6EDE"/>
    <w:pPr>
      <w:spacing w:after="240"/>
      <w:ind w:left="907" w:hanging="544"/>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2304"/>
    <w:pPr>
      <w:spacing w:after="160"/>
    </w:pPr>
    <w:rPr>
      <w:b/>
      <w:bCs/>
      <w:color w:val="323232"/>
    </w:rPr>
  </w:style>
  <w:style w:type="paragraph" w:customStyle="1" w:styleId="Captionfigure">
    <w:name w:val="Caption figure"/>
    <w:basedOn w:val="Caption"/>
    <w:qFormat/>
    <w:rsid w:val="00E8152A"/>
    <w:pPr>
      <w:keepNext/>
      <w:numPr>
        <w:numId w:val="7"/>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uiPriority w:val="99"/>
    <w:rsid w:val="0078252F"/>
    <w:rPr>
      <w:sz w:val="16"/>
      <w:szCs w:val="24"/>
    </w:rPr>
  </w:style>
  <w:style w:type="numbering" w:customStyle="1" w:styleId="NoList1">
    <w:name w:val="No List1"/>
    <w:next w:val="NoList"/>
    <w:uiPriority w:val="99"/>
    <w:semiHidden/>
    <w:unhideWhenUsed/>
    <w:rsid w:val="00244C97"/>
  </w:style>
  <w:style w:type="character" w:customStyle="1" w:styleId="Heading1Char">
    <w:name w:val="Heading 1 Char"/>
    <w:basedOn w:val="DefaultParagraphFont"/>
    <w:link w:val="Heading1"/>
    <w:rsid w:val="005E559B"/>
    <w:rPr>
      <w:rFonts w:cs="Arial"/>
      <w:bCs/>
      <w:color w:val="37897E"/>
      <w:kern w:val="32"/>
      <w:sz w:val="53"/>
      <w:szCs w:val="32"/>
    </w:rPr>
  </w:style>
  <w:style w:type="character" w:customStyle="1" w:styleId="Heading2Char">
    <w:name w:val="Heading 2 Char"/>
    <w:basedOn w:val="DefaultParagraphFont"/>
    <w:link w:val="Heading2"/>
    <w:rsid w:val="005A10D6"/>
    <w:rPr>
      <w:rFonts w:cs="Arial"/>
      <w:b/>
      <w:bCs/>
      <w:iCs/>
      <w:color w:val="37897E"/>
      <w:sz w:val="28"/>
      <w:szCs w:val="28"/>
    </w:rPr>
  </w:style>
  <w:style w:type="character" w:customStyle="1" w:styleId="Heading3Char">
    <w:name w:val="Heading 3 Char"/>
    <w:basedOn w:val="DefaultParagraphFont"/>
    <w:link w:val="Heading3"/>
    <w:rsid w:val="00D770DE"/>
    <w:rPr>
      <w:rFonts w:cs="Arial"/>
      <w:b/>
      <w:bCs/>
      <w:szCs w:val="26"/>
    </w:rPr>
  </w:style>
  <w:style w:type="character" w:customStyle="1" w:styleId="Heading4Char">
    <w:name w:val="Heading 4 Char"/>
    <w:basedOn w:val="DefaultParagraphFont"/>
    <w:link w:val="Heading4"/>
    <w:rsid w:val="00244C97"/>
    <w:rPr>
      <w:rFonts w:ascii="Times New Roman" w:hAnsi="Times New Roman"/>
      <w:b/>
      <w:bCs/>
      <w:sz w:val="28"/>
      <w:szCs w:val="28"/>
    </w:rPr>
  </w:style>
  <w:style w:type="character" w:customStyle="1" w:styleId="Heading5Char">
    <w:name w:val="Heading 5 Char"/>
    <w:basedOn w:val="DefaultParagraphFont"/>
    <w:link w:val="Heading5"/>
    <w:rsid w:val="00244C97"/>
    <w:rPr>
      <w:b/>
      <w:bCs/>
      <w:i/>
      <w:iCs/>
      <w:sz w:val="26"/>
      <w:szCs w:val="26"/>
    </w:rPr>
  </w:style>
  <w:style w:type="character" w:customStyle="1" w:styleId="Heading6Char">
    <w:name w:val="Heading 6 Char"/>
    <w:basedOn w:val="DefaultParagraphFont"/>
    <w:link w:val="Heading6"/>
    <w:rsid w:val="00244C97"/>
    <w:rPr>
      <w:rFonts w:ascii="Times New Roman" w:hAnsi="Times New Roman"/>
      <w:b/>
      <w:bCs/>
      <w:sz w:val="22"/>
      <w:szCs w:val="22"/>
    </w:rPr>
  </w:style>
  <w:style w:type="character" w:customStyle="1" w:styleId="Heading7Char">
    <w:name w:val="Heading 7 Char"/>
    <w:basedOn w:val="DefaultParagraphFont"/>
    <w:link w:val="Heading7"/>
    <w:rsid w:val="00244C97"/>
    <w:rPr>
      <w:rFonts w:ascii="Times New Roman" w:hAnsi="Times New Roman"/>
      <w:sz w:val="24"/>
      <w:szCs w:val="24"/>
    </w:rPr>
  </w:style>
  <w:style w:type="character" w:customStyle="1" w:styleId="Heading8Char">
    <w:name w:val="Heading 8 Char"/>
    <w:basedOn w:val="DefaultParagraphFont"/>
    <w:link w:val="Heading8"/>
    <w:rsid w:val="00244C97"/>
    <w:rPr>
      <w:rFonts w:ascii="Times New Roman" w:hAnsi="Times New Roman"/>
      <w:i/>
      <w:iCs/>
      <w:sz w:val="24"/>
      <w:szCs w:val="24"/>
    </w:rPr>
  </w:style>
  <w:style w:type="character" w:customStyle="1" w:styleId="Heading9Char">
    <w:name w:val="Heading 9 Char"/>
    <w:basedOn w:val="DefaultParagraphFont"/>
    <w:link w:val="Heading9"/>
    <w:rsid w:val="00244C97"/>
    <w:rPr>
      <w:rFonts w:cs="Arial"/>
      <w:sz w:val="22"/>
      <w:szCs w:val="22"/>
    </w:rPr>
  </w:style>
  <w:style w:type="table" w:customStyle="1" w:styleId="TableGrid1">
    <w:name w:val="Table Grid1"/>
    <w:basedOn w:val="TableNormal"/>
    <w:next w:val="TableGrid"/>
    <w:uiPriority w:val="39"/>
    <w:rsid w:val="00244C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aliases w:val="ACMA Footnote Text Char,ALTS FOOTNOTE Char,(NECG) Footnote Text Char,Footnote text Char,AR Footnote Text Char,AR Footnote Text Char Char Char Char Char Char,Footnote Text Char2 Char,Footnote Text Char1 Char Char Char,f Char"/>
    <w:basedOn w:val="DefaultParagraphFont"/>
    <w:link w:val="FootnoteText"/>
    <w:uiPriority w:val="99"/>
    <w:rsid w:val="00244C97"/>
    <w:rPr>
      <w:sz w:val="16"/>
      <w:szCs w:val="16"/>
    </w:rPr>
  </w:style>
  <w:style w:type="paragraph" w:customStyle="1" w:styleId="ACMABodyText">
    <w:name w:val="ACMA Body Text"/>
    <w:link w:val="ACMABodyTextChar"/>
    <w:rsid w:val="003F2304"/>
    <w:pPr>
      <w:suppressAutoHyphens/>
      <w:spacing w:before="80" w:after="120" w:line="280" w:lineRule="atLeast"/>
    </w:pPr>
    <w:rPr>
      <w:rFonts w:ascii="Times New Roman" w:hAnsi="Times New Roman"/>
      <w:snapToGrid w:val="0"/>
      <w:sz w:val="24"/>
      <w:lang w:eastAsia="en-US"/>
    </w:rPr>
  </w:style>
  <w:style w:type="character" w:customStyle="1" w:styleId="ACMABodyTextChar">
    <w:name w:val="ACMA Body Text Char"/>
    <w:link w:val="ACMABodyText"/>
    <w:locked/>
    <w:rsid w:val="00244C97"/>
    <w:rPr>
      <w:rFonts w:ascii="Times New Roman" w:hAnsi="Times New Roman"/>
      <w:snapToGrid w:val="0"/>
      <w:sz w:val="24"/>
      <w:lang w:eastAsia="en-US"/>
    </w:rPr>
  </w:style>
  <w:style w:type="paragraph" w:customStyle="1" w:styleId="Bodysubheader0">
    <w:name w:val="Body sub header"/>
    <w:basedOn w:val="Normal"/>
    <w:next w:val="Normal"/>
    <w:rsid w:val="00244C97"/>
    <w:pPr>
      <w:spacing w:after="0"/>
    </w:pPr>
    <w:rPr>
      <w:b/>
      <w:i/>
    </w:rPr>
  </w:style>
  <w:style w:type="paragraph" w:styleId="Index5">
    <w:name w:val="index 5"/>
    <w:basedOn w:val="Normal"/>
    <w:next w:val="Normal"/>
    <w:autoRedefine/>
    <w:rsid w:val="00244C97"/>
    <w:pPr>
      <w:spacing w:after="0" w:line="240" w:lineRule="auto"/>
      <w:ind w:left="1000" w:hanging="200"/>
    </w:pPr>
  </w:style>
  <w:style w:type="paragraph" w:customStyle="1" w:styleId="ReportTitle">
    <w:name w:val="Report Title"/>
    <w:basedOn w:val="Normal"/>
    <w:rsid w:val="00244C97"/>
    <w:pPr>
      <w:spacing w:after="0" w:line="560" w:lineRule="exact"/>
    </w:pPr>
    <w:rPr>
      <w:b/>
      <w:color w:val="4D4D4F"/>
      <w:spacing w:val="-28"/>
      <w:sz w:val="53"/>
    </w:rPr>
  </w:style>
  <w:style w:type="paragraph" w:customStyle="1" w:styleId="ReportSubtitle">
    <w:name w:val="Report Sub title"/>
    <w:basedOn w:val="Normal"/>
    <w:rsid w:val="00244C97"/>
    <w:pPr>
      <w:spacing w:after="0" w:line="560" w:lineRule="exact"/>
    </w:pPr>
    <w:rPr>
      <w:color w:val="808285"/>
      <w:spacing w:val="-28"/>
      <w:sz w:val="53"/>
    </w:rPr>
  </w:style>
  <w:style w:type="paragraph" w:customStyle="1" w:styleId="ReportDate">
    <w:name w:val="Report Date"/>
    <w:basedOn w:val="ReportSubtitle"/>
    <w:rsid w:val="00244C97"/>
    <w:pPr>
      <w:spacing w:line="240" w:lineRule="auto"/>
    </w:pPr>
    <w:rPr>
      <w:caps/>
      <w:spacing w:val="-10"/>
      <w:sz w:val="20"/>
    </w:rPr>
  </w:style>
  <w:style w:type="paragraph" w:customStyle="1" w:styleId="ExecSummaryHeading">
    <w:name w:val="Exec Summary Heading"/>
    <w:basedOn w:val="Normal"/>
    <w:rsid w:val="00244C97"/>
    <w:pPr>
      <w:spacing w:after="1440" w:line="550" w:lineRule="exact"/>
    </w:pPr>
    <w:rPr>
      <w:b/>
      <w:color w:val="4D4D4F"/>
      <w:spacing w:val="-18"/>
      <w:sz w:val="53"/>
    </w:rPr>
  </w:style>
  <w:style w:type="paragraph" w:styleId="TOC9">
    <w:name w:val="toc 9"/>
    <w:aliases w:val="TOC ExecSumm"/>
    <w:basedOn w:val="Normal"/>
    <w:next w:val="Normal"/>
    <w:uiPriority w:val="39"/>
    <w:rsid w:val="00244C97"/>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244C97"/>
    <w:pPr>
      <w:spacing w:after="0" w:line="560" w:lineRule="exact"/>
    </w:pPr>
    <w:rPr>
      <w:color w:val="808285"/>
      <w:spacing w:val="-28"/>
      <w:sz w:val="53"/>
    </w:rPr>
  </w:style>
  <w:style w:type="character" w:customStyle="1" w:styleId="apple-style-span">
    <w:name w:val="apple-style-span"/>
    <w:basedOn w:val="DefaultParagraphFont"/>
    <w:rsid w:val="00244C97"/>
  </w:style>
  <w:style w:type="paragraph" w:customStyle="1" w:styleId="Default">
    <w:name w:val="Default"/>
    <w:rsid w:val="003F2304"/>
    <w:pPr>
      <w:autoSpaceDE w:val="0"/>
      <w:autoSpaceDN w:val="0"/>
      <w:adjustRightInd w:val="0"/>
      <w:spacing w:line="240" w:lineRule="auto"/>
    </w:pPr>
    <w:rPr>
      <w:rFonts w:eastAsia="Calibri" w:cs="Arial"/>
      <w:color w:val="000000"/>
      <w:sz w:val="24"/>
      <w:szCs w:val="24"/>
      <w:lang w:eastAsia="en-US"/>
    </w:rPr>
  </w:style>
  <w:style w:type="paragraph" w:styleId="EndnoteText">
    <w:name w:val="endnote text"/>
    <w:basedOn w:val="Normal"/>
    <w:link w:val="EndnoteTextChar"/>
    <w:uiPriority w:val="99"/>
    <w:unhideWhenUsed/>
    <w:qFormat/>
    <w:rsid w:val="002C3191"/>
    <w:pPr>
      <w:spacing w:after="0" w:line="240" w:lineRule="auto"/>
    </w:pPr>
    <w:rPr>
      <w:sz w:val="16"/>
      <w:szCs w:val="20"/>
    </w:rPr>
  </w:style>
  <w:style w:type="character" w:customStyle="1" w:styleId="EndnoteTextChar">
    <w:name w:val="Endnote Text Char"/>
    <w:basedOn w:val="DefaultParagraphFont"/>
    <w:link w:val="EndnoteText"/>
    <w:uiPriority w:val="99"/>
    <w:rsid w:val="002C3191"/>
    <w:rPr>
      <w:sz w:val="16"/>
    </w:rPr>
  </w:style>
  <w:style w:type="character" w:styleId="EndnoteReference">
    <w:name w:val="endnote reference"/>
    <w:basedOn w:val="DefaultParagraphFont"/>
    <w:uiPriority w:val="99"/>
    <w:unhideWhenUsed/>
    <w:rsid w:val="002219EC"/>
    <w:rPr>
      <w:rFonts w:ascii="Arial" w:hAnsi="Arial"/>
      <w:sz w:val="20"/>
      <w:vertAlign w:val="superscript"/>
    </w:rPr>
  </w:style>
  <w:style w:type="paragraph" w:customStyle="1" w:styleId="ACMATableText">
    <w:name w:val="ACMA Table Text"/>
    <w:rsid w:val="003F2304"/>
    <w:pPr>
      <w:spacing w:before="40" w:after="40" w:line="240" w:lineRule="auto"/>
    </w:pPr>
    <w:rPr>
      <w:lang w:eastAsia="en-US"/>
    </w:rPr>
  </w:style>
  <w:style w:type="paragraph" w:customStyle="1" w:styleId="PlainText1">
    <w:name w:val="Plain Text1"/>
    <w:basedOn w:val="Normal"/>
    <w:next w:val="PlainText"/>
    <w:link w:val="PlainTextChar"/>
    <w:uiPriority w:val="99"/>
    <w:unhideWhenUsed/>
    <w:rsid w:val="00244C97"/>
    <w:pPr>
      <w:spacing w:after="0" w:line="240" w:lineRule="auto"/>
    </w:pPr>
    <w:rPr>
      <w:rFonts w:ascii="Consolas" w:eastAsia="Calibri" w:hAnsi="Consolas" w:cs="Consolas"/>
      <w:sz w:val="21"/>
      <w:szCs w:val="21"/>
    </w:rPr>
  </w:style>
  <w:style w:type="character" w:customStyle="1" w:styleId="PlainTextChar">
    <w:name w:val="Plain Text Char"/>
    <w:basedOn w:val="DefaultParagraphFont"/>
    <w:link w:val="PlainText1"/>
    <w:uiPriority w:val="99"/>
    <w:rsid w:val="00244C97"/>
    <w:rPr>
      <w:rFonts w:ascii="Consolas" w:eastAsia="Calibri" w:hAnsi="Consolas" w:cs="Consolas"/>
      <w:sz w:val="21"/>
      <w:szCs w:val="21"/>
    </w:rPr>
  </w:style>
  <w:style w:type="paragraph" w:styleId="ListParagraph">
    <w:name w:val="List Paragraph"/>
    <w:basedOn w:val="Normal"/>
    <w:uiPriority w:val="34"/>
    <w:qFormat/>
    <w:rsid w:val="003F2304"/>
    <w:pPr>
      <w:spacing w:after="0"/>
      <w:ind w:left="720"/>
      <w:contextualSpacing/>
    </w:pPr>
    <w:rPr>
      <w:rFonts w:ascii="HelveticaNeueLT Std Lt" w:hAnsi="HelveticaNeueLT Std Lt"/>
    </w:rPr>
  </w:style>
  <w:style w:type="paragraph" w:customStyle="1" w:styleId="ACMAHeading1">
    <w:name w:val="ACMA Heading 1"/>
    <w:next w:val="ACMABodyText"/>
    <w:rsid w:val="003F2304"/>
    <w:pPr>
      <w:keepNext/>
      <w:suppressAutoHyphens/>
      <w:spacing w:before="320" w:after="60" w:line="240" w:lineRule="auto"/>
      <w:outlineLvl w:val="1"/>
    </w:pPr>
    <w:rPr>
      <w:b/>
      <w:sz w:val="32"/>
      <w:szCs w:val="32"/>
      <w:lang w:val="en-US" w:eastAsia="en-US"/>
    </w:rPr>
  </w:style>
  <w:style w:type="paragraph" w:customStyle="1" w:styleId="ACMAHeading2">
    <w:name w:val="ACMA Heading 2"/>
    <w:next w:val="ACMABodyText"/>
    <w:rsid w:val="003F2304"/>
    <w:pPr>
      <w:keepNext/>
      <w:suppressAutoHyphens/>
      <w:spacing w:before="240" w:after="60"/>
      <w:outlineLvl w:val="2"/>
    </w:pPr>
    <w:rPr>
      <w:b/>
      <w:sz w:val="26"/>
      <w:szCs w:val="26"/>
      <w:lang w:val="en-US" w:eastAsia="en-US"/>
    </w:rPr>
  </w:style>
  <w:style w:type="paragraph" w:customStyle="1" w:styleId="ACMAHeading3">
    <w:name w:val="ACMA Heading 3"/>
    <w:next w:val="ACMABodyText"/>
    <w:rsid w:val="003F2304"/>
    <w:pPr>
      <w:keepNext/>
      <w:suppressAutoHyphens/>
      <w:spacing w:before="240" w:line="240" w:lineRule="auto"/>
      <w:outlineLvl w:val="3"/>
    </w:pPr>
    <w:rPr>
      <w:b/>
      <w:sz w:val="24"/>
      <w:lang w:val="en-US" w:eastAsia="en-US"/>
    </w:rPr>
  </w:style>
  <w:style w:type="paragraph" w:customStyle="1" w:styleId="ACMABulletLevel1">
    <w:name w:val="ACMA Bullet Level 1"/>
    <w:rsid w:val="003F2304"/>
    <w:pPr>
      <w:numPr>
        <w:numId w:val="9"/>
      </w:numPr>
      <w:tabs>
        <w:tab w:val="clear" w:pos="-31680"/>
        <w:tab w:val="num" w:pos="1008"/>
      </w:tabs>
      <w:spacing w:after="120" w:line="240" w:lineRule="auto"/>
      <w:ind w:left="1008" w:hanging="360"/>
    </w:pPr>
    <w:rPr>
      <w:rFonts w:ascii="Times New Roman" w:hAnsi="Times New Roman"/>
      <w:sz w:val="24"/>
      <w:lang w:eastAsia="en-US"/>
    </w:rPr>
  </w:style>
  <w:style w:type="paragraph" w:customStyle="1" w:styleId="ACMAHeading4">
    <w:name w:val="ACMA Heading 4"/>
    <w:next w:val="ACMABodyText"/>
    <w:rsid w:val="003F2304"/>
    <w:pPr>
      <w:keepNext/>
      <w:suppressAutoHyphens/>
      <w:spacing w:before="80" w:line="240" w:lineRule="auto"/>
      <w:outlineLvl w:val="4"/>
    </w:pPr>
    <w:rPr>
      <w:b/>
      <w:i/>
      <w:lang w:eastAsia="en-US"/>
    </w:rPr>
  </w:style>
  <w:style w:type="character" w:customStyle="1" w:styleId="DocumentMapChar">
    <w:name w:val="Document Map Char"/>
    <w:basedOn w:val="DefaultParagraphFont"/>
    <w:link w:val="DocumentMap"/>
    <w:uiPriority w:val="99"/>
    <w:semiHidden/>
    <w:rsid w:val="00244C97"/>
    <w:rPr>
      <w:rFonts w:ascii="Tahoma" w:hAnsi="Tahoma" w:cs="Tahoma"/>
      <w:sz w:val="16"/>
      <w:szCs w:val="16"/>
    </w:rPr>
  </w:style>
  <w:style w:type="paragraph" w:styleId="DocumentMap">
    <w:name w:val="Document Map"/>
    <w:basedOn w:val="Normal"/>
    <w:link w:val="DocumentMapChar"/>
    <w:uiPriority w:val="99"/>
    <w:semiHidden/>
    <w:rsid w:val="00244C97"/>
    <w:pPr>
      <w:spacing w:after="0" w:line="240" w:lineRule="auto"/>
    </w:pPr>
    <w:rPr>
      <w:rFonts w:ascii="Tahoma" w:hAnsi="Tahoma" w:cs="Tahoma"/>
      <w:sz w:val="16"/>
      <w:szCs w:val="16"/>
    </w:rPr>
  </w:style>
  <w:style w:type="character" w:customStyle="1" w:styleId="DocumentMapChar1">
    <w:name w:val="Document Map Char1"/>
    <w:basedOn w:val="DefaultParagraphFont"/>
    <w:semiHidden/>
    <w:rsid w:val="00244C97"/>
    <w:rPr>
      <w:rFonts w:ascii="Segoe UI" w:hAnsi="Segoe UI" w:cs="Segoe UI"/>
      <w:sz w:val="16"/>
      <w:szCs w:val="16"/>
    </w:rPr>
  </w:style>
  <w:style w:type="paragraph" w:customStyle="1" w:styleId="TOC41">
    <w:name w:val="TOC 41"/>
    <w:basedOn w:val="Normal"/>
    <w:next w:val="Normal"/>
    <w:autoRedefine/>
    <w:uiPriority w:val="39"/>
    <w:unhideWhenUsed/>
    <w:rsid w:val="00244C97"/>
    <w:pPr>
      <w:spacing w:after="100" w:line="276" w:lineRule="auto"/>
      <w:ind w:left="660"/>
    </w:pPr>
    <w:rPr>
      <w:rFonts w:ascii="Calibri" w:eastAsia="MS Mincho" w:hAnsi="Calibri"/>
      <w:sz w:val="22"/>
      <w:szCs w:val="22"/>
    </w:rPr>
  </w:style>
  <w:style w:type="paragraph" w:customStyle="1" w:styleId="TOC51">
    <w:name w:val="TOC 51"/>
    <w:basedOn w:val="Normal"/>
    <w:next w:val="Normal"/>
    <w:autoRedefine/>
    <w:uiPriority w:val="39"/>
    <w:unhideWhenUsed/>
    <w:rsid w:val="00244C97"/>
    <w:pPr>
      <w:spacing w:after="100" w:line="276" w:lineRule="auto"/>
      <w:ind w:left="880"/>
    </w:pPr>
    <w:rPr>
      <w:rFonts w:ascii="Calibri" w:eastAsia="MS Mincho" w:hAnsi="Calibri"/>
      <w:sz w:val="22"/>
      <w:szCs w:val="22"/>
    </w:rPr>
  </w:style>
  <w:style w:type="paragraph" w:customStyle="1" w:styleId="TOC61">
    <w:name w:val="TOC 61"/>
    <w:basedOn w:val="Normal"/>
    <w:next w:val="Normal"/>
    <w:autoRedefine/>
    <w:uiPriority w:val="39"/>
    <w:unhideWhenUsed/>
    <w:rsid w:val="00244C97"/>
    <w:pPr>
      <w:spacing w:after="100" w:line="276" w:lineRule="auto"/>
      <w:ind w:left="1100"/>
    </w:pPr>
    <w:rPr>
      <w:rFonts w:ascii="Calibri" w:eastAsia="MS Mincho" w:hAnsi="Calibri"/>
      <w:sz w:val="22"/>
      <w:szCs w:val="22"/>
    </w:rPr>
  </w:style>
  <w:style w:type="paragraph" w:customStyle="1" w:styleId="TOC71">
    <w:name w:val="TOC 71"/>
    <w:basedOn w:val="Normal"/>
    <w:next w:val="Normal"/>
    <w:autoRedefine/>
    <w:uiPriority w:val="39"/>
    <w:unhideWhenUsed/>
    <w:rsid w:val="00244C97"/>
    <w:pPr>
      <w:spacing w:after="100" w:line="276" w:lineRule="auto"/>
      <w:ind w:left="1320"/>
    </w:pPr>
    <w:rPr>
      <w:rFonts w:ascii="Calibri" w:eastAsia="MS Mincho" w:hAnsi="Calibri"/>
      <w:sz w:val="22"/>
      <w:szCs w:val="22"/>
    </w:rPr>
  </w:style>
  <w:style w:type="paragraph" w:customStyle="1" w:styleId="TOC81">
    <w:name w:val="TOC 81"/>
    <w:basedOn w:val="Normal"/>
    <w:next w:val="Normal"/>
    <w:autoRedefine/>
    <w:uiPriority w:val="39"/>
    <w:unhideWhenUsed/>
    <w:rsid w:val="00244C97"/>
    <w:pPr>
      <w:spacing w:after="100" w:line="276" w:lineRule="auto"/>
      <w:ind w:left="1540"/>
    </w:pPr>
    <w:rPr>
      <w:rFonts w:ascii="Calibri" w:eastAsia="MS Mincho" w:hAnsi="Calibri"/>
      <w:sz w:val="22"/>
      <w:szCs w:val="22"/>
    </w:rPr>
  </w:style>
  <w:style w:type="paragraph" w:styleId="NormalWeb">
    <w:name w:val="Normal (Web)"/>
    <w:basedOn w:val="Normal"/>
    <w:uiPriority w:val="99"/>
    <w:unhideWhenUsed/>
    <w:rsid w:val="00244C97"/>
    <w:pPr>
      <w:spacing w:before="100" w:beforeAutospacing="1" w:after="100" w:afterAutospacing="1" w:line="240" w:lineRule="auto"/>
    </w:pPr>
    <w:rPr>
      <w:rFonts w:ascii="Times New Roman" w:hAnsi="Times New Roman"/>
      <w:sz w:val="24"/>
    </w:rPr>
  </w:style>
  <w:style w:type="paragraph" w:customStyle="1" w:styleId="NoSpacing1">
    <w:name w:val="No Spacing1"/>
    <w:next w:val="NoSpacing"/>
    <w:uiPriority w:val="1"/>
    <w:qFormat/>
    <w:rsid w:val="003F2304"/>
    <w:pPr>
      <w:spacing w:line="240" w:lineRule="auto"/>
    </w:pPr>
    <w:rPr>
      <w:rFonts w:ascii="Calibri" w:eastAsia="Calibri" w:hAnsi="Calibri"/>
      <w:sz w:val="22"/>
      <w:szCs w:val="22"/>
      <w:lang w:eastAsia="en-US"/>
    </w:rPr>
  </w:style>
  <w:style w:type="paragraph" w:customStyle="1" w:styleId="ACMANumberedList">
    <w:name w:val="ACMA Numbered List"/>
    <w:rsid w:val="003F2304"/>
    <w:pPr>
      <w:numPr>
        <w:numId w:val="10"/>
      </w:numPr>
      <w:spacing w:before="20" w:after="20" w:line="240" w:lineRule="auto"/>
    </w:pPr>
    <w:rPr>
      <w:rFonts w:ascii="Times New Roman" w:hAnsi="Times New Roman"/>
      <w:sz w:val="24"/>
      <w:lang w:eastAsia="en-US"/>
    </w:rPr>
  </w:style>
  <w:style w:type="paragraph" w:customStyle="1" w:styleId="acmabodytext0">
    <w:name w:val="acmabodytext"/>
    <w:basedOn w:val="Normal"/>
    <w:rsid w:val="00244C97"/>
    <w:pPr>
      <w:snapToGrid w:val="0"/>
      <w:spacing w:before="80" w:after="120" w:line="280" w:lineRule="atLeast"/>
    </w:pPr>
    <w:rPr>
      <w:rFonts w:ascii="Times New Roman" w:hAnsi="Times New Roman"/>
      <w:sz w:val="24"/>
    </w:rPr>
  </w:style>
  <w:style w:type="paragraph" w:customStyle="1" w:styleId="Title1">
    <w:name w:val="Title1"/>
    <w:basedOn w:val="Normal"/>
    <w:next w:val="Normal"/>
    <w:uiPriority w:val="10"/>
    <w:qFormat/>
    <w:rsid w:val="00244C97"/>
    <w:pPr>
      <w:pBdr>
        <w:bottom w:val="single" w:sz="8" w:space="4" w:color="00ADBB"/>
      </w:pBdr>
      <w:spacing w:after="300" w:line="240" w:lineRule="auto"/>
      <w:contextualSpacing/>
    </w:pPr>
    <w:rPr>
      <w:rFonts w:ascii="Calibri Light" w:eastAsia="MS Gothic" w:hAnsi="Calibri Light"/>
      <w:color w:val="323E4F"/>
      <w:spacing w:val="5"/>
      <w:kern w:val="28"/>
      <w:sz w:val="52"/>
      <w:szCs w:val="52"/>
      <w:lang w:eastAsia="en-US"/>
    </w:rPr>
  </w:style>
  <w:style w:type="character" w:customStyle="1" w:styleId="TitleChar">
    <w:name w:val="Title Char"/>
    <w:basedOn w:val="DefaultParagraphFont"/>
    <w:link w:val="Title"/>
    <w:uiPriority w:val="10"/>
    <w:rsid w:val="00244C97"/>
    <w:rPr>
      <w:rFonts w:ascii="Calibri Light" w:eastAsia="MS Gothic" w:hAnsi="Calibri Light" w:cs="Times New Roman"/>
      <w:color w:val="323E4F"/>
      <w:spacing w:val="5"/>
      <w:kern w:val="28"/>
      <w:sz w:val="52"/>
      <w:szCs w:val="52"/>
      <w:lang w:eastAsia="en-US"/>
    </w:rPr>
  </w:style>
  <w:style w:type="paragraph" w:customStyle="1" w:styleId="ACMATableFootnote">
    <w:name w:val="ACMA_TableFootnote"/>
    <w:basedOn w:val="Normal"/>
    <w:uiPriority w:val="99"/>
    <w:rsid w:val="00244C97"/>
    <w:pPr>
      <w:tabs>
        <w:tab w:val="left" w:pos="142"/>
        <w:tab w:val="left" w:pos="283"/>
        <w:tab w:val="left" w:pos="567"/>
        <w:tab w:val="left" w:pos="850"/>
        <w:tab w:val="left" w:pos="1701"/>
        <w:tab w:val="left" w:pos="1956"/>
      </w:tabs>
      <w:suppressAutoHyphens/>
      <w:autoSpaceDE w:val="0"/>
      <w:autoSpaceDN w:val="0"/>
      <w:adjustRightInd w:val="0"/>
      <w:spacing w:after="0" w:line="288" w:lineRule="auto"/>
      <w:textAlignment w:val="center"/>
    </w:pPr>
    <w:rPr>
      <w:rFonts w:ascii="HelveticaNeueLT Std Lt" w:hAnsi="HelveticaNeueLT Std Lt" w:cs="HelveticaNeueLT Std Lt"/>
      <w:i/>
      <w:iCs/>
      <w:color w:val="808284"/>
      <w:sz w:val="14"/>
      <w:szCs w:val="14"/>
      <w:lang w:val="en-GB"/>
    </w:rPr>
  </w:style>
  <w:style w:type="paragraph" w:customStyle="1" w:styleId="BasicParagraph">
    <w:name w:val="[Basic Paragraph]"/>
    <w:basedOn w:val="Normal"/>
    <w:uiPriority w:val="99"/>
    <w:rsid w:val="00244C97"/>
    <w:pPr>
      <w:autoSpaceDE w:val="0"/>
      <w:autoSpaceDN w:val="0"/>
      <w:adjustRightInd w:val="0"/>
      <w:spacing w:after="0" w:line="288" w:lineRule="auto"/>
      <w:textAlignment w:val="center"/>
    </w:pPr>
    <w:rPr>
      <w:rFonts w:ascii="Times Regular" w:hAnsi="Times Regular" w:cs="Times Regular"/>
      <w:color w:val="000000"/>
      <w:sz w:val="24"/>
      <w:lang w:val="en-US"/>
    </w:rPr>
  </w:style>
  <w:style w:type="character" w:customStyle="1" w:styleId="BulletedlistChar">
    <w:name w:val="Bulleted list Char"/>
    <w:basedOn w:val="DefaultParagraphFont"/>
    <w:link w:val="Bulletedlist"/>
    <w:locked/>
    <w:rsid w:val="00244C97"/>
    <w:rPr>
      <w:rFonts w:ascii="HelveticaNeueLT Std Lt" w:hAnsi="HelveticaNeueLT Std Lt"/>
      <w:szCs w:val="24"/>
    </w:rPr>
  </w:style>
  <w:style w:type="paragraph" w:customStyle="1" w:styleId="Bulletedlist">
    <w:name w:val="Bulleted list"/>
    <w:basedOn w:val="ListParagraph"/>
    <w:link w:val="BulletedlistChar"/>
    <w:qFormat/>
    <w:rsid w:val="003F2304"/>
    <w:pPr>
      <w:numPr>
        <w:numId w:val="11"/>
      </w:numPr>
      <w:spacing w:before="120" w:after="120"/>
      <w:contextualSpacing w:val="0"/>
    </w:pPr>
  </w:style>
  <w:style w:type="character" w:customStyle="1" w:styleId="search-highlight1">
    <w:name w:val="search-highlight1"/>
    <w:basedOn w:val="DefaultParagraphFont"/>
    <w:rsid w:val="00244C97"/>
    <w:rPr>
      <w:shd w:val="clear" w:color="auto" w:fill="A0FFFF"/>
    </w:rPr>
  </w:style>
  <w:style w:type="paragraph" w:customStyle="1" w:styleId="IndexNote">
    <w:name w:val="IndexNote"/>
    <w:rsid w:val="003F2304"/>
    <w:pPr>
      <w:widowControl w:val="0"/>
      <w:autoSpaceDE w:val="0"/>
      <w:autoSpaceDN w:val="0"/>
      <w:adjustRightInd w:val="0"/>
      <w:spacing w:line="240" w:lineRule="auto"/>
    </w:pPr>
    <w:rPr>
      <w:rFonts w:ascii="Times New Roman" w:eastAsia="MS Mincho" w:hAnsi="Times New Roman"/>
      <w:sz w:val="22"/>
      <w:szCs w:val="22"/>
    </w:rPr>
  </w:style>
  <w:style w:type="paragraph" w:customStyle="1" w:styleId="Main">
    <w:name w:val="Main"/>
    <w:uiPriority w:val="99"/>
    <w:rsid w:val="003F2304"/>
    <w:pPr>
      <w:widowControl w:val="0"/>
      <w:autoSpaceDE w:val="0"/>
      <w:autoSpaceDN w:val="0"/>
      <w:adjustRightInd w:val="0"/>
      <w:spacing w:line="240" w:lineRule="auto"/>
      <w:ind w:left="115" w:hanging="116"/>
    </w:pPr>
    <w:rPr>
      <w:rFonts w:ascii="Times New Roman" w:eastAsia="MS Mincho" w:hAnsi="Times New Roman"/>
      <w:sz w:val="22"/>
      <w:szCs w:val="22"/>
    </w:rPr>
  </w:style>
  <w:style w:type="paragraph" w:customStyle="1" w:styleId="Sub1">
    <w:name w:val="Sub1"/>
    <w:uiPriority w:val="99"/>
    <w:rsid w:val="003F2304"/>
    <w:pPr>
      <w:widowControl w:val="0"/>
      <w:autoSpaceDE w:val="0"/>
      <w:autoSpaceDN w:val="0"/>
      <w:adjustRightInd w:val="0"/>
      <w:spacing w:line="240" w:lineRule="auto"/>
      <w:ind w:left="345" w:hanging="116"/>
    </w:pPr>
    <w:rPr>
      <w:rFonts w:ascii="Times New Roman" w:eastAsia="MS Mincho" w:hAnsi="Times New Roman"/>
      <w:sz w:val="22"/>
      <w:szCs w:val="22"/>
    </w:rPr>
  </w:style>
  <w:style w:type="paragraph" w:customStyle="1" w:styleId="PreHeading1">
    <w:name w:val="Pre Heading 1"/>
    <w:basedOn w:val="Heading1"/>
    <w:qFormat/>
    <w:rsid w:val="00244C97"/>
    <w:rPr>
      <w:color w:val="00ADBB"/>
    </w:rPr>
  </w:style>
  <w:style w:type="paragraph" w:customStyle="1" w:styleId="PreHeading2">
    <w:name w:val="Pre Heading 2"/>
    <w:basedOn w:val="Heading2"/>
    <w:qFormat/>
    <w:rsid w:val="003F2304"/>
    <w:pPr>
      <w:spacing w:before="60"/>
    </w:pPr>
  </w:style>
  <w:style w:type="paragraph" w:customStyle="1" w:styleId="Heading1a">
    <w:name w:val="Heading 1a"/>
    <w:basedOn w:val="Heading1"/>
    <w:qFormat/>
    <w:rsid w:val="00244C97"/>
    <w:rPr>
      <w:i/>
      <w:color w:val="4D4D4F"/>
      <w:sz w:val="32"/>
    </w:rPr>
  </w:style>
  <w:style w:type="character" w:customStyle="1" w:styleId="ecxmsoendnotereference">
    <w:name w:val="ecxmsoendnotereference"/>
    <w:basedOn w:val="DefaultParagraphFont"/>
    <w:rsid w:val="00244C97"/>
  </w:style>
  <w:style w:type="table" w:customStyle="1" w:styleId="PlainTable11">
    <w:name w:val="Plain Table 11"/>
    <w:basedOn w:val="TableNormal"/>
    <w:next w:val="PlainTable1"/>
    <w:rsid w:val="00244C97"/>
    <w:pPr>
      <w:spacing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ListTable31">
    <w:name w:val="List Table 31"/>
    <w:basedOn w:val="TableNormal"/>
    <w:next w:val="ListTable3"/>
    <w:uiPriority w:val="48"/>
    <w:rsid w:val="00244C97"/>
    <w:pPr>
      <w:spacing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Commsreport2014-15TABLE">
    <w:name w:val="Comms report 2014-15 TABLE"/>
    <w:basedOn w:val="TableNormal"/>
    <w:uiPriority w:val="99"/>
    <w:rsid w:val="00244C97"/>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paragraph" w:styleId="PlainText">
    <w:name w:val="Plain Text"/>
    <w:basedOn w:val="Normal"/>
    <w:link w:val="PlainTextChar1"/>
    <w:uiPriority w:val="99"/>
    <w:unhideWhenUsed/>
    <w:rsid w:val="00244C97"/>
    <w:pPr>
      <w:spacing w:after="0" w:line="240" w:lineRule="auto"/>
    </w:pPr>
    <w:rPr>
      <w:rFonts w:ascii="Consolas" w:hAnsi="Consolas" w:cs="Consolas"/>
      <w:sz w:val="21"/>
      <w:szCs w:val="21"/>
    </w:rPr>
  </w:style>
  <w:style w:type="character" w:customStyle="1" w:styleId="PlainTextChar1">
    <w:name w:val="Plain Text Char1"/>
    <w:basedOn w:val="DefaultParagraphFont"/>
    <w:link w:val="PlainText"/>
    <w:uiPriority w:val="99"/>
    <w:rsid w:val="00244C97"/>
    <w:rPr>
      <w:rFonts w:ascii="Consolas" w:hAnsi="Consolas" w:cs="Consolas"/>
      <w:sz w:val="21"/>
      <w:szCs w:val="21"/>
    </w:rPr>
  </w:style>
  <w:style w:type="paragraph" w:styleId="NoSpacing">
    <w:name w:val="No Spacing"/>
    <w:uiPriority w:val="1"/>
    <w:qFormat/>
    <w:rsid w:val="003F2304"/>
    <w:pPr>
      <w:spacing w:line="240" w:lineRule="auto"/>
    </w:pPr>
    <w:rPr>
      <w:szCs w:val="24"/>
    </w:rPr>
  </w:style>
  <w:style w:type="paragraph" w:styleId="Title">
    <w:name w:val="Title"/>
    <w:basedOn w:val="Normal"/>
    <w:next w:val="Normal"/>
    <w:link w:val="TitleChar"/>
    <w:uiPriority w:val="10"/>
    <w:qFormat/>
    <w:rsid w:val="00244C97"/>
    <w:pPr>
      <w:spacing w:after="0" w:line="240" w:lineRule="auto"/>
      <w:contextualSpacing/>
    </w:pPr>
    <w:rPr>
      <w:rFonts w:ascii="Calibri Light" w:eastAsia="MS Gothic" w:hAnsi="Calibri Light"/>
      <w:color w:val="323E4F"/>
      <w:spacing w:val="5"/>
      <w:kern w:val="28"/>
      <w:sz w:val="52"/>
      <w:szCs w:val="52"/>
      <w:lang w:eastAsia="en-US"/>
    </w:rPr>
  </w:style>
  <w:style w:type="character" w:customStyle="1" w:styleId="TitleChar1">
    <w:name w:val="Title Char1"/>
    <w:basedOn w:val="DefaultParagraphFont"/>
    <w:rsid w:val="00244C97"/>
    <w:rPr>
      <w:rFonts w:asciiTheme="majorHAnsi" w:eastAsiaTheme="majorEastAsia" w:hAnsiTheme="majorHAnsi" w:cstheme="majorBidi"/>
      <w:spacing w:val="-10"/>
      <w:kern w:val="28"/>
      <w:sz w:val="56"/>
      <w:szCs w:val="56"/>
    </w:rPr>
  </w:style>
  <w:style w:type="table" w:styleId="PlainTable1">
    <w:name w:val="Plain Table 1"/>
    <w:basedOn w:val="TableNormal"/>
    <w:uiPriority w:val="41"/>
    <w:rsid w:val="00244C97"/>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3">
    <w:name w:val="List Table 3"/>
    <w:basedOn w:val="TableNormal"/>
    <w:uiPriority w:val="48"/>
    <w:rsid w:val="00244C97"/>
    <w:pPr>
      <w:spacing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numbering" w:customStyle="1" w:styleId="NoList2">
    <w:name w:val="No List2"/>
    <w:next w:val="NoList"/>
    <w:uiPriority w:val="99"/>
    <w:semiHidden/>
    <w:unhideWhenUsed/>
    <w:rsid w:val="00A42E26"/>
  </w:style>
  <w:style w:type="table" w:customStyle="1" w:styleId="TableGrid2">
    <w:name w:val="Table Grid2"/>
    <w:basedOn w:val="TableNormal"/>
    <w:next w:val="TableGrid"/>
    <w:uiPriority w:val="59"/>
    <w:rsid w:val="00A42E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42">
    <w:name w:val="TOC 42"/>
    <w:basedOn w:val="Normal"/>
    <w:next w:val="Normal"/>
    <w:autoRedefine/>
    <w:uiPriority w:val="39"/>
    <w:unhideWhenUsed/>
    <w:rsid w:val="00A42E26"/>
    <w:pPr>
      <w:spacing w:after="100" w:line="276" w:lineRule="auto"/>
      <w:ind w:left="660"/>
    </w:pPr>
    <w:rPr>
      <w:rFonts w:ascii="Calibri" w:eastAsia="MS Mincho" w:hAnsi="Calibri"/>
      <w:sz w:val="22"/>
      <w:szCs w:val="22"/>
    </w:rPr>
  </w:style>
  <w:style w:type="paragraph" w:customStyle="1" w:styleId="TOC52">
    <w:name w:val="TOC 52"/>
    <w:basedOn w:val="Normal"/>
    <w:next w:val="Normal"/>
    <w:autoRedefine/>
    <w:uiPriority w:val="39"/>
    <w:unhideWhenUsed/>
    <w:rsid w:val="00A42E26"/>
    <w:pPr>
      <w:spacing w:after="100" w:line="276" w:lineRule="auto"/>
      <w:ind w:left="880"/>
    </w:pPr>
    <w:rPr>
      <w:rFonts w:ascii="Calibri" w:eastAsia="MS Mincho" w:hAnsi="Calibri"/>
      <w:sz w:val="22"/>
      <w:szCs w:val="22"/>
    </w:rPr>
  </w:style>
  <w:style w:type="paragraph" w:customStyle="1" w:styleId="TOC62">
    <w:name w:val="TOC 62"/>
    <w:basedOn w:val="Normal"/>
    <w:next w:val="Normal"/>
    <w:autoRedefine/>
    <w:uiPriority w:val="39"/>
    <w:unhideWhenUsed/>
    <w:rsid w:val="00A42E26"/>
    <w:pPr>
      <w:spacing w:after="100" w:line="276" w:lineRule="auto"/>
      <w:ind w:left="1100"/>
    </w:pPr>
    <w:rPr>
      <w:rFonts w:ascii="Calibri" w:eastAsia="MS Mincho" w:hAnsi="Calibri"/>
      <w:sz w:val="22"/>
      <w:szCs w:val="22"/>
    </w:rPr>
  </w:style>
  <w:style w:type="paragraph" w:customStyle="1" w:styleId="TOC72">
    <w:name w:val="TOC 72"/>
    <w:basedOn w:val="Normal"/>
    <w:next w:val="Normal"/>
    <w:autoRedefine/>
    <w:uiPriority w:val="39"/>
    <w:unhideWhenUsed/>
    <w:rsid w:val="00A42E26"/>
    <w:pPr>
      <w:spacing w:after="100" w:line="276" w:lineRule="auto"/>
      <w:ind w:left="1320"/>
    </w:pPr>
    <w:rPr>
      <w:rFonts w:ascii="Calibri" w:eastAsia="MS Mincho" w:hAnsi="Calibri"/>
      <w:sz w:val="22"/>
      <w:szCs w:val="22"/>
    </w:rPr>
  </w:style>
  <w:style w:type="paragraph" w:customStyle="1" w:styleId="TOC82">
    <w:name w:val="TOC 82"/>
    <w:basedOn w:val="Normal"/>
    <w:next w:val="Normal"/>
    <w:autoRedefine/>
    <w:uiPriority w:val="39"/>
    <w:unhideWhenUsed/>
    <w:rsid w:val="00A42E26"/>
    <w:pPr>
      <w:spacing w:after="100" w:line="276" w:lineRule="auto"/>
      <w:ind w:left="1540"/>
    </w:pPr>
    <w:rPr>
      <w:rFonts w:ascii="Calibri" w:eastAsia="MS Mincho" w:hAnsi="Calibri"/>
      <w:sz w:val="22"/>
      <w:szCs w:val="22"/>
    </w:rPr>
  </w:style>
  <w:style w:type="table" w:customStyle="1" w:styleId="Commsreport2014-15TABLE1">
    <w:name w:val="Comms report 2014-15 TABLE1"/>
    <w:basedOn w:val="TableNormal"/>
    <w:uiPriority w:val="99"/>
    <w:rsid w:val="00A42E26"/>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paragraph" w:styleId="Revision">
    <w:name w:val="Revision"/>
    <w:hidden/>
    <w:semiHidden/>
    <w:rsid w:val="003F2304"/>
    <w:pPr>
      <w:spacing w:line="240" w:lineRule="auto"/>
    </w:pPr>
    <w:rPr>
      <w:szCs w:val="24"/>
    </w:rPr>
  </w:style>
  <w:style w:type="paragraph" w:styleId="TOC4">
    <w:name w:val="toc 4"/>
    <w:basedOn w:val="Normal"/>
    <w:next w:val="Normal"/>
    <w:autoRedefine/>
    <w:uiPriority w:val="39"/>
    <w:unhideWhenUsed/>
    <w:rsid w:val="003F230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3F230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3F230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3F230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3F2304"/>
    <w:pPr>
      <w:spacing w:after="100" w:line="259" w:lineRule="auto"/>
      <w:ind w:left="1540"/>
    </w:pPr>
    <w:rPr>
      <w:rFonts w:asciiTheme="minorHAnsi" w:eastAsiaTheme="minorEastAsia" w:hAnsiTheme="minorHAnsi" w:cstheme="minorBidi"/>
      <w:sz w:val="22"/>
      <w:szCs w:val="22"/>
    </w:rPr>
  </w:style>
  <w:style w:type="paragraph" w:customStyle="1" w:styleId="MMS">
    <w:name w:val="MMS"/>
    <w:basedOn w:val="Normal"/>
    <w:qFormat/>
    <w:rsid w:val="0021374C"/>
  </w:style>
  <w:style w:type="character" w:customStyle="1" w:styleId="tgc">
    <w:name w:val="_tgc"/>
    <w:basedOn w:val="DefaultParagraphFont"/>
    <w:rsid w:val="0021374C"/>
  </w:style>
  <w:style w:type="table" w:customStyle="1" w:styleId="Commsreport2014-15TABLE4">
    <w:name w:val="Comms report 2014-15 TABLE4"/>
    <w:basedOn w:val="TableNormal"/>
    <w:uiPriority w:val="99"/>
    <w:rsid w:val="00555643"/>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D2E1E9"/>
      <w:vAlign w:val="center"/>
    </w:tcPr>
    <w:tblStylePr w:type="firstRow">
      <w:rPr>
        <w:rFonts w:ascii="Arial" w:hAnsi="Arial"/>
        <w:b/>
        <w:color w:val="FFFFFF"/>
        <w:sz w:val="18"/>
      </w:rPr>
      <w:tblPr/>
      <w:tcPr>
        <w:shd w:val="clear" w:color="auto" w:fill="007298"/>
      </w:tcPr>
    </w:tblStylePr>
    <w:tblStylePr w:type="firstCol">
      <w:pPr>
        <w:jc w:val="left"/>
      </w:pPr>
      <w:rPr>
        <w:rFonts w:ascii="Arial" w:hAnsi="Arial"/>
        <w:color w:val="FFFFFF"/>
        <w:sz w:val="18"/>
      </w:rPr>
      <w:tblPr/>
      <w:tcPr>
        <w:shd w:val="clear" w:color="auto" w:fill="7FB8CB"/>
      </w:tcPr>
    </w:tblStylePr>
  </w:style>
  <w:style w:type="table" w:customStyle="1" w:styleId="Commsreport2014-15TABLE11">
    <w:name w:val="Comms report 2014-15 TABLE11"/>
    <w:basedOn w:val="TableNormal"/>
    <w:uiPriority w:val="99"/>
    <w:rsid w:val="00172A9C"/>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table" w:customStyle="1" w:styleId="Commsreport2014-15TABLE2">
    <w:name w:val="Comms report 2014-15 TABLE2"/>
    <w:basedOn w:val="TableNormal"/>
    <w:uiPriority w:val="99"/>
    <w:rsid w:val="00172A9C"/>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character" w:customStyle="1" w:styleId="A0">
    <w:name w:val="A0"/>
    <w:uiPriority w:val="99"/>
    <w:rsid w:val="00172A9C"/>
    <w:rPr>
      <w:rFonts w:cs="Source Sans Pro Light"/>
      <w:color w:val="000000"/>
      <w:sz w:val="13"/>
      <w:szCs w:val="13"/>
    </w:rPr>
  </w:style>
  <w:style w:type="character" w:customStyle="1" w:styleId="nobr">
    <w:name w:val="nobr"/>
    <w:basedOn w:val="DefaultParagraphFont"/>
    <w:rsid w:val="00172A9C"/>
  </w:style>
  <w:style w:type="table" w:customStyle="1" w:styleId="TableGrid3">
    <w:name w:val="Table Grid3"/>
    <w:basedOn w:val="TableNormal"/>
    <w:next w:val="TableGrid"/>
    <w:uiPriority w:val="39"/>
    <w:rsid w:val="00172A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72A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172A9C"/>
  </w:style>
  <w:style w:type="table" w:customStyle="1" w:styleId="TableGrid11">
    <w:name w:val="Table Grid11"/>
    <w:basedOn w:val="TableNormal"/>
    <w:next w:val="TableGrid"/>
    <w:uiPriority w:val="59"/>
    <w:rsid w:val="00172A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ommsreport2015-16TABLE">
    <w:name w:val="Comms report 2015-16 TABLE"/>
    <w:basedOn w:val="TableNormal"/>
    <w:uiPriority w:val="99"/>
    <w:rsid w:val="00172A9C"/>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D2E1E9"/>
      <w:vAlign w:val="center"/>
    </w:tcPr>
    <w:tblStylePr w:type="firstRow">
      <w:rPr>
        <w:rFonts w:ascii="Arial" w:hAnsi="Arial"/>
        <w:b/>
        <w:color w:val="FFFFFF"/>
        <w:sz w:val="18"/>
      </w:rPr>
      <w:tblPr/>
      <w:tcPr>
        <w:shd w:val="clear" w:color="auto" w:fill="007298"/>
      </w:tcPr>
    </w:tblStylePr>
    <w:tblStylePr w:type="firstCol">
      <w:pPr>
        <w:jc w:val="left"/>
      </w:pPr>
      <w:rPr>
        <w:rFonts w:ascii="Arial" w:hAnsi="Arial"/>
        <w:color w:val="000000"/>
        <w:sz w:val="18"/>
      </w:rPr>
      <w:tblPr/>
      <w:tcPr>
        <w:shd w:val="clear" w:color="auto" w:fill="72A8C0"/>
      </w:tcPr>
    </w:tblStylePr>
  </w:style>
  <w:style w:type="table" w:customStyle="1" w:styleId="PlainTable12">
    <w:name w:val="Plain Table 12"/>
    <w:basedOn w:val="TableNormal"/>
    <w:next w:val="PlainTable1"/>
    <w:rsid w:val="00172A9C"/>
    <w:pPr>
      <w:spacing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ListTable32">
    <w:name w:val="List Table 32"/>
    <w:basedOn w:val="TableNormal"/>
    <w:next w:val="ListTable3"/>
    <w:uiPriority w:val="48"/>
    <w:rsid w:val="00172A9C"/>
    <w:pPr>
      <w:spacing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numbering" w:customStyle="1" w:styleId="NoList21">
    <w:name w:val="No List21"/>
    <w:next w:val="NoList"/>
    <w:uiPriority w:val="99"/>
    <w:semiHidden/>
    <w:unhideWhenUsed/>
    <w:rsid w:val="00172A9C"/>
  </w:style>
  <w:style w:type="table" w:customStyle="1" w:styleId="TableGrid21">
    <w:name w:val="Table Grid21"/>
    <w:basedOn w:val="TableNormal"/>
    <w:next w:val="TableGrid"/>
    <w:uiPriority w:val="59"/>
    <w:rsid w:val="00172A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ommsreport2014-15TABLE12">
    <w:name w:val="Comms report 2014-15 TABLE12"/>
    <w:basedOn w:val="TableNormal"/>
    <w:uiPriority w:val="99"/>
    <w:rsid w:val="00172A9C"/>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paragraph" w:customStyle="1" w:styleId="TOC43">
    <w:name w:val="TOC 43"/>
    <w:basedOn w:val="Normal"/>
    <w:next w:val="Normal"/>
    <w:autoRedefine/>
    <w:uiPriority w:val="39"/>
    <w:unhideWhenUsed/>
    <w:rsid w:val="003F2304"/>
    <w:pPr>
      <w:spacing w:after="100" w:line="259" w:lineRule="auto"/>
      <w:ind w:left="660"/>
    </w:pPr>
    <w:rPr>
      <w:rFonts w:ascii="Calibri" w:eastAsia="MS Mincho" w:hAnsi="Calibri"/>
      <w:sz w:val="22"/>
      <w:szCs w:val="22"/>
    </w:rPr>
  </w:style>
  <w:style w:type="paragraph" w:customStyle="1" w:styleId="TOC53">
    <w:name w:val="TOC 53"/>
    <w:basedOn w:val="Normal"/>
    <w:next w:val="Normal"/>
    <w:autoRedefine/>
    <w:uiPriority w:val="39"/>
    <w:unhideWhenUsed/>
    <w:rsid w:val="003F2304"/>
    <w:pPr>
      <w:spacing w:after="100" w:line="259" w:lineRule="auto"/>
      <w:ind w:left="880"/>
    </w:pPr>
    <w:rPr>
      <w:rFonts w:ascii="Calibri" w:eastAsia="MS Mincho" w:hAnsi="Calibri"/>
      <w:sz w:val="22"/>
      <w:szCs w:val="22"/>
    </w:rPr>
  </w:style>
  <w:style w:type="paragraph" w:customStyle="1" w:styleId="TOC63">
    <w:name w:val="TOC 63"/>
    <w:basedOn w:val="Normal"/>
    <w:next w:val="Normal"/>
    <w:autoRedefine/>
    <w:uiPriority w:val="39"/>
    <w:unhideWhenUsed/>
    <w:rsid w:val="003F2304"/>
    <w:pPr>
      <w:spacing w:after="100" w:line="259" w:lineRule="auto"/>
      <w:ind w:left="1100"/>
    </w:pPr>
    <w:rPr>
      <w:rFonts w:ascii="Calibri" w:eastAsia="MS Mincho" w:hAnsi="Calibri"/>
      <w:sz w:val="22"/>
      <w:szCs w:val="22"/>
    </w:rPr>
  </w:style>
  <w:style w:type="paragraph" w:customStyle="1" w:styleId="TOC73">
    <w:name w:val="TOC 73"/>
    <w:basedOn w:val="Normal"/>
    <w:next w:val="Normal"/>
    <w:autoRedefine/>
    <w:uiPriority w:val="39"/>
    <w:unhideWhenUsed/>
    <w:rsid w:val="003F2304"/>
    <w:pPr>
      <w:spacing w:after="100" w:line="259" w:lineRule="auto"/>
      <w:ind w:left="1320"/>
    </w:pPr>
    <w:rPr>
      <w:rFonts w:ascii="Calibri" w:eastAsia="MS Mincho" w:hAnsi="Calibri"/>
      <w:sz w:val="22"/>
      <w:szCs w:val="22"/>
    </w:rPr>
  </w:style>
  <w:style w:type="paragraph" w:customStyle="1" w:styleId="TOC83">
    <w:name w:val="TOC 83"/>
    <w:basedOn w:val="Normal"/>
    <w:next w:val="Normal"/>
    <w:autoRedefine/>
    <w:uiPriority w:val="39"/>
    <w:unhideWhenUsed/>
    <w:rsid w:val="003F2304"/>
    <w:pPr>
      <w:spacing w:after="100" w:line="259" w:lineRule="auto"/>
      <w:ind w:left="1540"/>
    </w:pPr>
    <w:rPr>
      <w:rFonts w:ascii="Calibri" w:eastAsia="MS Mincho" w:hAnsi="Calibri"/>
      <w:sz w:val="22"/>
      <w:szCs w:val="22"/>
    </w:rPr>
  </w:style>
  <w:style w:type="table" w:customStyle="1" w:styleId="Commsreport2014-15TABLE3">
    <w:name w:val="Comms report 2014-15 TABLE3"/>
    <w:basedOn w:val="TableNormal"/>
    <w:uiPriority w:val="99"/>
    <w:rsid w:val="00172A9C"/>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table" w:customStyle="1" w:styleId="Commsreport2014-15TABLE41">
    <w:name w:val="Comms report 2014-15 TABLE41"/>
    <w:basedOn w:val="TableNormal"/>
    <w:uiPriority w:val="99"/>
    <w:rsid w:val="00D210BB"/>
    <w:pPr>
      <w:spacing w:line="240" w:lineRule="auto"/>
      <w:jc w:val="right"/>
    </w:pPr>
    <w:rPr>
      <w:sz w:val="18"/>
    </w:rPr>
    <w:tblP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Pr>
    <w:tcPr>
      <w:shd w:val="clear" w:color="auto" w:fill="D2E1E9"/>
      <w:vAlign w:val="center"/>
    </w:tcPr>
    <w:tblStylePr w:type="firstRow">
      <w:rPr>
        <w:rFonts w:ascii="Arial" w:hAnsi="Arial"/>
        <w:b/>
        <w:color w:val="FFFFFF"/>
        <w:sz w:val="18"/>
      </w:rPr>
      <w:tblPr/>
      <w:tcPr>
        <w:shd w:val="clear" w:color="auto" w:fill="007298"/>
      </w:tcPr>
    </w:tblStylePr>
    <w:tblStylePr w:type="firstCol">
      <w:pPr>
        <w:jc w:val="left"/>
      </w:pPr>
      <w:rPr>
        <w:rFonts w:ascii="Arial" w:hAnsi="Arial"/>
        <w:color w:val="FFFFFF"/>
        <w:sz w:val="18"/>
      </w:rPr>
      <w:tblPr/>
      <w:tcPr>
        <w:shd w:val="clear" w:color="auto" w:fill="7FB8CB"/>
      </w:tcPr>
    </w:tblStylePr>
  </w:style>
  <w:style w:type="character" w:customStyle="1" w:styleId="st1">
    <w:name w:val="st1"/>
    <w:basedOn w:val="DefaultParagraphFont"/>
    <w:rsid w:val="00AD37AD"/>
  </w:style>
  <w:style w:type="paragraph" w:customStyle="1" w:styleId="Pa10">
    <w:name w:val="Pa10"/>
    <w:basedOn w:val="Default"/>
    <w:next w:val="Default"/>
    <w:uiPriority w:val="99"/>
    <w:rsid w:val="00263723"/>
    <w:pPr>
      <w:spacing w:line="171" w:lineRule="atLeast"/>
    </w:pPr>
    <w:rPr>
      <w:rFonts w:ascii="Helvetica 45 Light" w:eastAsia="Times New Roman" w:hAnsi="Helvetica 45 Light" w:cs="Times New Roman"/>
      <w:color w:val="auto"/>
      <w:lang w:eastAsia="en-AU"/>
    </w:rPr>
  </w:style>
  <w:style w:type="character" w:customStyle="1" w:styleId="A15">
    <w:name w:val="A15"/>
    <w:uiPriority w:val="99"/>
    <w:rsid w:val="00263723"/>
    <w:rPr>
      <w:rFonts w:cs="Helvetica 45 Light"/>
      <w:color w:val="000000"/>
      <w:sz w:val="14"/>
      <w:szCs w:val="14"/>
    </w:rPr>
  </w:style>
  <w:style w:type="paragraph" w:customStyle="1" w:styleId="Pa20">
    <w:name w:val="Pa20"/>
    <w:basedOn w:val="Default"/>
    <w:next w:val="Default"/>
    <w:uiPriority w:val="99"/>
    <w:rsid w:val="00263723"/>
    <w:pPr>
      <w:spacing w:line="171" w:lineRule="atLeast"/>
    </w:pPr>
    <w:rPr>
      <w:rFonts w:ascii="Helvetica 45 Light" w:eastAsia="Times New Roman" w:hAnsi="Helvetica 45 Light" w:cs="Times New Roman"/>
      <w:color w:val="auto"/>
      <w:lang w:eastAsia="en-AU"/>
    </w:rPr>
  </w:style>
  <w:style w:type="table" w:customStyle="1" w:styleId="Commsreport2017">
    <w:name w:val="Comms report 2017"/>
    <w:basedOn w:val="TableNormal"/>
    <w:uiPriority w:val="99"/>
    <w:rsid w:val="00B321E1"/>
    <w:pPr>
      <w:keepNext/>
      <w:keepLines/>
      <w:spacing w:before="60" w:after="60" w:line="240" w:lineRule="auto"/>
      <w:jc w:val="right"/>
    </w:pPr>
    <w:rPr>
      <w:rFonts w:eastAsiaTheme="minorHAnsi" w:cstheme="minorBidi"/>
      <w:sz w:val="18"/>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auto"/>
      <w:vAlign w:val="center"/>
    </w:tcPr>
    <w:tblStylePr w:type="firstRow">
      <w:pPr>
        <w:wordWrap/>
        <w:spacing w:beforeLines="60" w:before="60" w:beforeAutospacing="0" w:afterLines="60" w:after="60" w:afterAutospacing="0"/>
      </w:pPr>
      <w:rPr>
        <w:rFonts w:ascii="Arial" w:hAnsi="Arial"/>
        <w:b w:val="0"/>
        <w:i w:val="0"/>
        <w:color w:val="FFFFFF" w:themeColor="background1"/>
        <w:sz w:val="18"/>
      </w:rPr>
      <w:tblPr/>
      <w:tcPr>
        <w:shd w:val="clear" w:color="auto" w:fill="37897E"/>
      </w:tcPr>
    </w:tblStylePr>
    <w:tblStylePr w:type="firstCol">
      <w:pPr>
        <w:jc w:val="left"/>
      </w:pPr>
      <w:rPr>
        <w:rFonts w:ascii="Arial" w:hAnsi="Arial"/>
        <w:color w:val="000000" w:themeColor="text1"/>
        <w:sz w:val="18"/>
      </w:rPr>
    </w:tblStylePr>
  </w:style>
  <w:style w:type="paragraph" w:customStyle="1" w:styleId="ACMANotesspaceafter">
    <w:name w:val="ACMA_Notes_space_after"/>
    <w:basedOn w:val="ACMANotes"/>
    <w:qFormat/>
    <w:rsid w:val="00B321E1"/>
    <w:pPr>
      <w:spacing w:after="240"/>
    </w:pPr>
  </w:style>
  <w:style w:type="paragraph" w:customStyle="1" w:styleId="Heading1commsreportChapter">
    <w:name w:val="Heading 1 comms report Chapter"/>
    <w:basedOn w:val="Heading1"/>
    <w:next w:val="Heading2"/>
    <w:link w:val="Heading1commsreportChapterChar"/>
    <w:qFormat/>
    <w:rsid w:val="00BB3B9F"/>
    <w:pPr>
      <w:pageBreakBefore w:val="0"/>
      <w:ind w:left="360" w:hanging="360"/>
    </w:pPr>
    <w:rPr>
      <w:bCs w:val="0"/>
    </w:rPr>
  </w:style>
  <w:style w:type="character" w:customStyle="1" w:styleId="Heading1commsreportChapterChar">
    <w:name w:val="Heading 1 comms report Chapter Char"/>
    <w:basedOn w:val="Heading1Char"/>
    <w:link w:val="Heading1commsreportChapter"/>
    <w:rsid w:val="00BB3B9F"/>
    <w:rPr>
      <w:rFonts w:cs="Arial"/>
      <w:bCs w:val="0"/>
      <w:color w:val="37897E"/>
      <w:kern w:val="32"/>
      <w:sz w:val="53"/>
      <w:szCs w:val="32"/>
    </w:rPr>
  </w:style>
  <w:style w:type="paragraph" w:customStyle="1" w:styleId="Heading2Commsreportwithnumbers">
    <w:name w:val="Heading 2 Comms report with numbers"/>
    <w:basedOn w:val="Heading2"/>
    <w:qFormat/>
    <w:rsid w:val="002210F1"/>
    <w:pPr>
      <w:numPr>
        <w:ilvl w:val="1"/>
        <w:numId w:val="15"/>
      </w:numPr>
    </w:pPr>
  </w:style>
  <w:style w:type="table" w:customStyle="1" w:styleId="Commsreport17">
    <w:name w:val="Comms report 17"/>
    <w:basedOn w:val="TableNormal"/>
    <w:uiPriority w:val="99"/>
    <w:rsid w:val="000A38CC"/>
    <w:pPr>
      <w:keepNext/>
      <w:keepLines/>
      <w:spacing w:before="60" w:after="60" w:line="240" w:lineRule="auto"/>
      <w:jc w:val="center"/>
    </w:pPr>
    <w:rPr>
      <w:rFonts w:eastAsiaTheme="minorHAnsi" w:cstheme="minorBidi"/>
      <w:sz w:val="18"/>
      <w:szCs w:val="22"/>
      <w:lang w:eastAsia="en-US"/>
    </w:rPr>
    <w:tblPr>
      <w:tblStyleRowBandSize w:val="1"/>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Pr>
    <w:tcPr>
      <w:shd w:val="clear" w:color="auto" w:fill="9BE2B1"/>
      <w:vAlign w:val="center"/>
    </w:tcPr>
    <w:tblStylePr w:type="firstRow">
      <w:rPr>
        <w:rFonts w:ascii="Arial" w:hAnsi="Arial"/>
        <w:b/>
        <w:color w:val="FFFFFF" w:themeColor="background1"/>
        <w:sz w:val="20"/>
      </w:rPr>
      <w:tblPr/>
      <w:tcPr>
        <w:shd w:val="clear" w:color="auto" w:fill="00AF41"/>
      </w:tcPr>
    </w:tblStylePr>
    <w:tblStylePr w:type="firstCol">
      <w:pPr>
        <w:jc w:val="left"/>
      </w:pPr>
      <w:rPr>
        <w:rFonts w:ascii="Arial" w:hAnsi="Arial"/>
        <w:b w:val="0"/>
        <w:color w:val="FFFFFF" w:themeColor="background1"/>
        <w:sz w:val="20"/>
      </w:rPr>
      <w:tblPr/>
      <w:tcPr>
        <w:shd w:val="clear" w:color="auto" w:fill="37CA7A"/>
      </w:tcPr>
    </w:tblStylePr>
  </w:style>
  <w:style w:type="paragraph" w:customStyle="1" w:styleId="subsection">
    <w:name w:val="subsection"/>
    <w:basedOn w:val="Normal"/>
    <w:rsid w:val="00793C4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920590">
      <w:bodyDiv w:val="1"/>
      <w:marLeft w:val="0"/>
      <w:marRight w:val="0"/>
      <w:marTop w:val="0"/>
      <w:marBottom w:val="0"/>
      <w:divBdr>
        <w:top w:val="none" w:sz="0" w:space="0" w:color="auto"/>
        <w:left w:val="none" w:sz="0" w:space="0" w:color="auto"/>
        <w:bottom w:val="none" w:sz="0" w:space="0" w:color="auto"/>
        <w:right w:val="none" w:sz="0" w:space="0" w:color="auto"/>
      </w:divBdr>
      <w:divsChild>
        <w:div w:id="612324862">
          <w:marLeft w:val="547"/>
          <w:marRight w:val="0"/>
          <w:marTop w:val="62"/>
          <w:marBottom w:val="0"/>
          <w:divBdr>
            <w:top w:val="none" w:sz="0" w:space="0" w:color="auto"/>
            <w:left w:val="none" w:sz="0" w:space="0" w:color="auto"/>
            <w:bottom w:val="none" w:sz="0" w:space="0" w:color="auto"/>
            <w:right w:val="none" w:sz="0" w:space="0" w:color="auto"/>
          </w:divBdr>
        </w:div>
      </w:divsChild>
    </w:div>
    <w:div w:id="1092049769">
      <w:bodyDiv w:val="1"/>
      <w:marLeft w:val="0"/>
      <w:marRight w:val="0"/>
      <w:marTop w:val="0"/>
      <w:marBottom w:val="0"/>
      <w:divBdr>
        <w:top w:val="none" w:sz="0" w:space="0" w:color="auto"/>
        <w:left w:val="none" w:sz="0" w:space="0" w:color="auto"/>
        <w:bottom w:val="none" w:sz="0" w:space="0" w:color="auto"/>
        <w:right w:val="none" w:sz="0" w:space="0" w:color="auto"/>
      </w:divBdr>
    </w:div>
    <w:div w:id="1209882310">
      <w:bodyDiv w:val="1"/>
      <w:marLeft w:val="0"/>
      <w:marRight w:val="0"/>
      <w:marTop w:val="0"/>
      <w:marBottom w:val="0"/>
      <w:divBdr>
        <w:top w:val="none" w:sz="0" w:space="0" w:color="auto"/>
        <w:left w:val="none" w:sz="0" w:space="0" w:color="auto"/>
        <w:bottom w:val="none" w:sz="0" w:space="0" w:color="auto"/>
        <w:right w:val="none" w:sz="0" w:space="0" w:color="auto"/>
      </w:divBdr>
    </w:div>
    <w:div w:id="1463310505">
      <w:bodyDiv w:val="1"/>
      <w:marLeft w:val="0"/>
      <w:marRight w:val="0"/>
      <w:marTop w:val="0"/>
      <w:marBottom w:val="0"/>
      <w:divBdr>
        <w:top w:val="none" w:sz="0" w:space="0" w:color="auto"/>
        <w:left w:val="none" w:sz="0" w:space="0" w:color="auto"/>
        <w:bottom w:val="none" w:sz="0" w:space="0" w:color="auto"/>
        <w:right w:val="none" w:sz="0" w:space="0" w:color="auto"/>
      </w:divBdr>
    </w:div>
    <w:div w:id="1616135294">
      <w:bodyDiv w:val="1"/>
      <w:marLeft w:val="0"/>
      <w:marRight w:val="0"/>
      <w:marTop w:val="0"/>
      <w:marBottom w:val="0"/>
      <w:divBdr>
        <w:top w:val="none" w:sz="0" w:space="0" w:color="auto"/>
        <w:left w:val="none" w:sz="0" w:space="0" w:color="auto"/>
        <w:bottom w:val="none" w:sz="0" w:space="0" w:color="auto"/>
        <w:right w:val="none" w:sz="0" w:space="0" w:color="auto"/>
      </w:divBdr>
    </w:div>
    <w:div w:id="1805811014">
      <w:bodyDiv w:val="1"/>
      <w:marLeft w:val="0"/>
      <w:marRight w:val="0"/>
      <w:marTop w:val="0"/>
      <w:marBottom w:val="0"/>
      <w:divBdr>
        <w:top w:val="none" w:sz="0" w:space="0" w:color="auto"/>
        <w:left w:val="none" w:sz="0" w:space="0" w:color="auto"/>
        <w:bottom w:val="none" w:sz="0" w:space="0" w:color="auto"/>
        <w:right w:val="none" w:sz="0" w:space="0" w:color="auto"/>
      </w:divBdr>
    </w:div>
    <w:div w:id="1835342517">
      <w:bodyDiv w:val="1"/>
      <w:marLeft w:val="0"/>
      <w:marRight w:val="0"/>
      <w:marTop w:val="0"/>
      <w:marBottom w:val="0"/>
      <w:divBdr>
        <w:top w:val="none" w:sz="0" w:space="0" w:color="auto"/>
        <w:left w:val="none" w:sz="0" w:space="0" w:color="auto"/>
        <w:bottom w:val="none" w:sz="0" w:space="0" w:color="auto"/>
        <w:right w:val="none" w:sz="0" w:space="0" w:color="auto"/>
      </w:divBdr>
    </w:div>
    <w:div w:id="1843624263">
      <w:bodyDiv w:val="1"/>
      <w:marLeft w:val="0"/>
      <w:marRight w:val="0"/>
      <w:marTop w:val="0"/>
      <w:marBottom w:val="0"/>
      <w:divBdr>
        <w:top w:val="none" w:sz="0" w:space="0" w:color="auto"/>
        <w:left w:val="none" w:sz="0" w:space="0" w:color="auto"/>
        <w:bottom w:val="none" w:sz="0" w:space="0" w:color="auto"/>
        <w:right w:val="none" w:sz="0" w:space="0" w:color="auto"/>
      </w:divBdr>
      <w:divsChild>
        <w:div w:id="1362709258">
          <w:marLeft w:val="547"/>
          <w:marRight w:val="0"/>
          <w:marTop w:val="62"/>
          <w:marBottom w:val="0"/>
          <w:divBdr>
            <w:top w:val="none" w:sz="0" w:space="0" w:color="auto"/>
            <w:left w:val="none" w:sz="0" w:space="0" w:color="auto"/>
            <w:bottom w:val="none" w:sz="0" w:space="0" w:color="auto"/>
            <w:right w:val="none" w:sz="0" w:space="0" w:color="auto"/>
          </w:divBdr>
        </w:div>
      </w:divsChild>
    </w:div>
    <w:div w:id="1879778273">
      <w:bodyDiv w:val="1"/>
      <w:marLeft w:val="0"/>
      <w:marRight w:val="0"/>
      <w:marTop w:val="0"/>
      <w:marBottom w:val="0"/>
      <w:divBdr>
        <w:top w:val="none" w:sz="0" w:space="0" w:color="auto"/>
        <w:left w:val="none" w:sz="0" w:space="0" w:color="auto"/>
        <w:bottom w:val="none" w:sz="0" w:space="0" w:color="auto"/>
        <w:right w:val="none" w:sz="0" w:space="0" w:color="auto"/>
      </w:divBdr>
    </w:div>
    <w:div w:id="1994871297">
      <w:bodyDiv w:val="1"/>
      <w:marLeft w:val="0"/>
      <w:marRight w:val="0"/>
      <w:marTop w:val="0"/>
      <w:marBottom w:val="0"/>
      <w:divBdr>
        <w:top w:val="none" w:sz="0" w:space="0" w:color="auto"/>
        <w:left w:val="none" w:sz="0" w:space="0" w:color="auto"/>
        <w:bottom w:val="none" w:sz="0" w:space="0" w:color="auto"/>
        <w:right w:val="none" w:sz="0" w:space="0" w:color="auto"/>
      </w:divBdr>
    </w:div>
    <w:div w:id="2024086730">
      <w:bodyDiv w:val="1"/>
      <w:marLeft w:val="0"/>
      <w:marRight w:val="0"/>
      <w:marTop w:val="0"/>
      <w:marBottom w:val="0"/>
      <w:divBdr>
        <w:top w:val="none" w:sz="0" w:space="0" w:color="auto"/>
        <w:left w:val="none" w:sz="0" w:space="0" w:color="auto"/>
        <w:bottom w:val="none" w:sz="0" w:space="0" w:color="auto"/>
        <w:right w:val="none" w:sz="0" w:space="0" w:color="auto"/>
      </w:divBdr>
    </w:div>
    <w:div w:id="2042779136">
      <w:bodyDiv w:val="1"/>
      <w:marLeft w:val="0"/>
      <w:marRight w:val="0"/>
      <w:marTop w:val="0"/>
      <w:marBottom w:val="0"/>
      <w:divBdr>
        <w:top w:val="none" w:sz="0" w:space="0" w:color="auto"/>
        <w:left w:val="none" w:sz="0" w:space="0" w:color="auto"/>
        <w:bottom w:val="none" w:sz="0" w:space="0" w:color="auto"/>
        <w:right w:val="none" w:sz="0" w:space="0" w:color="auto"/>
      </w:divBdr>
    </w:div>
    <w:div w:id="208144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hyperlink" Target="http://i.creativecommons.org/l/by/3.0/88x31.png" TargetMode="External"/><Relationship Id="rId42" Type="http://schemas.openxmlformats.org/officeDocument/2006/relationships/hyperlink" Target="https://www.telstra.com.au/aboutus/investors/financial-information/financial-results" TargetMode="External"/><Relationship Id="rId47" Type="http://schemas.openxmlformats.org/officeDocument/2006/relationships/hyperlink" Target="http://www.abs.gov.au/ausstats/abs@.nsf/mf/8153.0/" TargetMode="External"/><Relationship Id="rId63" Type="http://schemas.openxmlformats.org/officeDocument/2006/relationships/footer" Target="footer10.xml"/><Relationship Id="rId68" Type="http://schemas.openxmlformats.org/officeDocument/2006/relationships/image" Target="media/image25.png"/><Relationship Id="rId84" Type="http://schemas.openxmlformats.org/officeDocument/2006/relationships/image" Target="media/image40.png"/><Relationship Id="rId89" Type="http://schemas.openxmlformats.org/officeDocument/2006/relationships/image" Target="media/image43.png"/><Relationship Id="rId112" Type="http://schemas.openxmlformats.org/officeDocument/2006/relationships/header" Target="header16.xml"/><Relationship Id="rId16" Type="http://schemas.openxmlformats.org/officeDocument/2006/relationships/footer" Target="footer1.xml"/><Relationship Id="rId107" Type="http://schemas.openxmlformats.org/officeDocument/2006/relationships/image" Target="media/image59.png"/><Relationship Id="rId11" Type="http://schemas.openxmlformats.org/officeDocument/2006/relationships/webSettings" Target="webSettings.xml"/><Relationship Id="rId24" Type="http://schemas.openxmlformats.org/officeDocument/2006/relationships/header" Target="header4.xml"/><Relationship Id="rId32" Type="http://schemas.openxmlformats.org/officeDocument/2006/relationships/footer" Target="footer8.xml"/><Relationship Id="rId37" Type="http://schemas.openxmlformats.org/officeDocument/2006/relationships/image" Target="media/image4.tif"/><Relationship Id="rId40" Type="http://schemas.openxmlformats.org/officeDocument/2006/relationships/hyperlink" Target="https://www.telstra.com.au/aboutus/investors/financial-information/financial-results" TargetMode="External"/><Relationship Id="rId45" Type="http://schemas.openxmlformats.org/officeDocument/2006/relationships/hyperlink" Target="http://www.abs.gov.au/ausstats/abs@.nsf/mf/8153.0/" TargetMode="External"/><Relationship Id="rId53" Type="http://schemas.openxmlformats.org/officeDocument/2006/relationships/image" Target="media/image16.png"/><Relationship Id="rId58" Type="http://schemas.openxmlformats.org/officeDocument/2006/relationships/image" Target="media/image19.png"/><Relationship Id="rId66" Type="http://schemas.openxmlformats.org/officeDocument/2006/relationships/image" Target="media/image23.png"/><Relationship Id="rId74" Type="http://schemas.openxmlformats.org/officeDocument/2006/relationships/image" Target="media/image30.png"/><Relationship Id="rId79" Type="http://schemas.openxmlformats.org/officeDocument/2006/relationships/image" Target="media/image35.png"/><Relationship Id="rId87" Type="http://schemas.openxmlformats.org/officeDocument/2006/relationships/image" Target="media/image41.png"/><Relationship Id="rId102" Type="http://schemas.openxmlformats.org/officeDocument/2006/relationships/image" Target="media/image56.png"/><Relationship Id="rId110" Type="http://schemas.openxmlformats.org/officeDocument/2006/relationships/image" Target="media/image62.png"/><Relationship Id="rId115" Type="http://schemas.openxmlformats.org/officeDocument/2006/relationships/fontTable" Target="fontTable.xml"/><Relationship Id="rId5" Type="http://schemas.openxmlformats.org/officeDocument/2006/relationships/customXml" Target="../customXml/item5.xml"/><Relationship Id="rId61" Type="http://schemas.openxmlformats.org/officeDocument/2006/relationships/header" Target="header10.xml"/><Relationship Id="rId82" Type="http://schemas.openxmlformats.org/officeDocument/2006/relationships/image" Target="media/image38.png"/><Relationship Id="rId90" Type="http://schemas.openxmlformats.org/officeDocument/2006/relationships/image" Target="media/image44.png"/><Relationship Id="rId95" Type="http://schemas.openxmlformats.org/officeDocument/2006/relationships/image" Target="media/image49.png"/><Relationship Id="rId19" Type="http://schemas.openxmlformats.org/officeDocument/2006/relationships/footer" Target="footer3.xml"/><Relationship Id="rId14" Type="http://schemas.openxmlformats.org/officeDocument/2006/relationships/header" Target="header1.xml"/><Relationship Id="rId22" Type="http://schemas.openxmlformats.org/officeDocument/2006/relationships/image" Target="media/image1.png"/><Relationship Id="rId27" Type="http://schemas.openxmlformats.org/officeDocument/2006/relationships/footer" Target="footer5.xml"/><Relationship Id="rId30" Type="http://schemas.openxmlformats.org/officeDocument/2006/relationships/footer" Target="footer6.xml"/><Relationship Id="rId35" Type="http://schemas.openxmlformats.org/officeDocument/2006/relationships/footer" Target="footer9.xml"/><Relationship Id="rId43" Type="http://schemas.openxmlformats.org/officeDocument/2006/relationships/image" Target="media/image9.png"/><Relationship Id="rId48" Type="http://schemas.openxmlformats.org/officeDocument/2006/relationships/hyperlink" Target="http://www.rfnsa.com.au" TargetMode="External"/><Relationship Id="rId56" Type="http://schemas.openxmlformats.org/officeDocument/2006/relationships/hyperlink" Target="http://www.acma.gov.au/sitecore/content/Home/theACMA/broadcasting-registers-media-ownership-control-acma" TargetMode="External"/><Relationship Id="rId64" Type="http://schemas.openxmlformats.org/officeDocument/2006/relationships/footer" Target="footer11.xml"/><Relationship Id="rId69" Type="http://schemas.openxmlformats.org/officeDocument/2006/relationships/image" Target="media/image26.png"/><Relationship Id="rId77" Type="http://schemas.openxmlformats.org/officeDocument/2006/relationships/image" Target="media/image33.png"/><Relationship Id="rId100" Type="http://schemas.openxmlformats.org/officeDocument/2006/relationships/image" Target="media/image54.png"/><Relationship Id="rId105" Type="http://schemas.openxmlformats.org/officeDocument/2006/relationships/header" Target="header14.xml"/><Relationship Id="rId113" Type="http://schemas.openxmlformats.org/officeDocument/2006/relationships/header" Target="header17.xml"/><Relationship Id="rId8" Type="http://schemas.openxmlformats.org/officeDocument/2006/relationships/numbering" Target="numbering.xml"/><Relationship Id="rId51" Type="http://schemas.openxmlformats.org/officeDocument/2006/relationships/image" Target="media/image14.png"/><Relationship Id="rId72" Type="http://schemas.openxmlformats.org/officeDocument/2006/relationships/image" Target="media/image28.png"/><Relationship Id="rId80" Type="http://schemas.openxmlformats.org/officeDocument/2006/relationships/image" Target="media/image36.png"/><Relationship Id="rId85" Type="http://schemas.openxmlformats.org/officeDocument/2006/relationships/header" Target="header12.xml"/><Relationship Id="rId93" Type="http://schemas.openxmlformats.org/officeDocument/2006/relationships/image" Target="media/image47.png"/><Relationship Id="rId98" Type="http://schemas.openxmlformats.org/officeDocument/2006/relationships/image" Target="media/image52.png"/><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eader" Target="header5.xml"/><Relationship Id="rId33" Type="http://schemas.openxmlformats.org/officeDocument/2006/relationships/header" Target="header8.xml"/><Relationship Id="rId38" Type="http://schemas.openxmlformats.org/officeDocument/2006/relationships/image" Target="media/image6.png"/><Relationship Id="rId46" Type="http://schemas.openxmlformats.org/officeDocument/2006/relationships/image" Target="media/image11.png"/><Relationship Id="rId59" Type="http://schemas.openxmlformats.org/officeDocument/2006/relationships/image" Target="media/image20.png"/><Relationship Id="rId67" Type="http://schemas.openxmlformats.org/officeDocument/2006/relationships/image" Target="media/image24.png"/><Relationship Id="rId103" Type="http://schemas.openxmlformats.org/officeDocument/2006/relationships/image" Target="media/image57.png"/><Relationship Id="rId108" Type="http://schemas.openxmlformats.org/officeDocument/2006/relationships/image" Target="media/image60.png"/><Relationship Id="rId116" Type="http://schemas.openxmlformats.org/officeDocument/2006/relationships/theme" Target="theme/theme1.xml"/><Relationship Id="rId20" Type="http://schemas.openxmlformats.org/officeDocument/2006/relationships/hyperlink" Target="mailto:research.analysis@acma.gov.au" TargetMode="External"/><Relationship Id="rId41" Type="http://schemas.openxmlformats.org/officeDocument/2006/relationships/image" Target="media/image8.png"/><Relationship Id="rId54" Type="http://schemas.openxmlformats.org/officeDocument/2006/relationships/image" Target="media/image17.png"/><Relationship Id="rId62" Type="http://schemas.openxmlformats.org/officeDocument/2006/relationships/header" Target="header11.xml"/><Relationship Id="rId70" Type="http://schemas.openxmlformats.org/officeDocument/2006/relationships/image" Target="media/image27.png"/><Relationship Id="rId75" Type="http://schemas.openxmlformats.org/officeDocument/2006/relationships/image" Target="media/image31.png"/><Relationship Id="rId83" Type="http://schemas.openxmlformats.org/officeDocument/2006/relationships/image" Target="media/image39.png"/><Relationship Id="rId88" Type="http://schemas.openxmlformats.org/officeDocument/2006/relationships/image" Target="media/image42.png"/><Relationship Id="rId91" Type="http://schemas.openxmlformats.org/officeDocument/2006/relationships/image" Target="media/image45.png"/><Relationship Id="rId96" Type="http://schemas.openxmlformats.org/officeDocument/2006/relationships/image" Target="media/image50.png"/><Relationship Id="rId111" Type="http://schemas.openxmlformats.org/officeDocument/2006/relationships/image" Target="media/image63.png"/><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eader" Target="header2.xml"/><Relationship Id="rId23" Type="http://schemas.openxmlformats.org/officeDocument/2006/relationships/image" Target="media/image2.tiff"/><Relationship Id="rId28" Type="http://schemas.openxmlformats.org/officeDocument/2006/relationships/header" Target="header6.xml"/><Relationship Id="rId36" Type="http://schemas.openxmlformats.org/officeDocument/2006/relationships/image" Target="media/image3.jpeg"/><Relationship Id="rId49" Type="http://schemas.openxmlformats.org/officeDocument/2006/relationships/image" Target="media/image12.png"/><Relationship Id="rId57" Type="http://schemas.openxmlformats.org/officeDocument/2006/relationships/hyperlink" Target="http://www.acma.gov.au/sitecore/content/Home/theACMA/broadcasting-registers-media-ownership-control-acma" TargetMode="External"/><Relationship Id="rId106" Type="http://schemas.openxmlformats.org/officeDocument/2006/relationships/header" Target="header15.xml"/><Relationship Id="rId114" Type="http://schemas.openxmlformats.org/officeDocument/2006/relationships/hyperlink" Target="http://www.acma.gov.au/WEB/HOMEPAGE/PC=HOME" TargetMode="External"/><Relationship Id="rId10" Type="http://schemas.openxmlformats.org/officeDocument/2006/relationships/settings" Target="settings.xml"/><Relationship Id="rId31" Type="http://schemas.openxmlformats.org/officeDocument/2006/relationships/footer" Target="footer7.xml"/><Relationship Id="rId44" Type="http://schemas.openxmlformats.org/officeDocument/2006/relationships/image" Target="media/image10.png"/><Relationship Id="rId52" Type="http://schemas.openxmlformats.org/officeDocument/2006/relationships/image" Target="media/image15.png"/><Relationship Id="rId60" Type="http://schemas.openxmlformats.org/officeDocument/2006/relationships/image" Target="media/image21.png"/><Relationship Id="rId65" Type="http://schemas.openxmlformats.org/officeDocument/2006/relationships/image" Target="media/image22.png"/><Relationship Id="rId73" Type="http://schemas.openxmlformats.org/officeDocument/2006/relationships/image" Target="media/image29.png"/><Relationship Id="rId78" Type="http://schemas.openxmlformats.org/officeDocument/2006/relationships/image" Target="media/image34.png"/><Relationship Id="rId81" Type="http://schemas.openxmlformats.org/officeDocument/2006/relationships/image" Target="media/image37.png"/><Relationship Id="rId86" Type="http://schemas.openxmlformats.org/officeDocument/2006/relationships/header" Target="header13.xml"/><Relationship Id="rId94" Type="http://schemas.openxmlformats.org/officeDocument/2006/relationships/image" Target="media/image48.png"/><Relationship Id="rId99" Type="http://schemas.openxmlformats.org/officeDocument/2006/relationships/image" Target="media/image53.png"/><Relationship Id="rId101" Type="http://schemas.openxmlformats.org/officeDocument/2006/relationships/image" Target="media/image55.png"/><Relationship Id="rId4" Type="http://schemas.openxmlformats.org/officeDocument/2006/relationships/customXml" Target="../customXml/item4.xml"/><Relationship Id="rId9"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39" Type="http://schemas.openxmlformats.org/officeDocument/2006/relationships/image" Target="media/image7.png"/><Relationship Id="rId109" Type="http://schemas.openxmlformats.org/officeDocument/2006/relationships/image" Target="media/image61.png"/><Relationship Id="rId34" Type="http://schemas.openxmlformats.org/officeDocument/2006/relationships/header" Target="header9.xml"/><Relationship Id="rId50" Type="http://schemas.openxmlformats.org/officeDocument/2006/relationships/image" Target="media/image13.png"/><Relationship Id="rId55" Type="http://schemas.openxmlformats.org/officeDocument/2006/relationships/image" Target="media/image18.png"/><Relationship Id="rId76" Type="http://schemas.openxmlformats.org/officeDocument/2006/relationships/image" Target="media/image32.png"/><Relationship Id="rId97" Type="http://schemas.openxmlformats.org/officeDocument/2006/relationships/image" Target="media/image51.png"/><Relationship Id="rId104" Type="http://schemas.openxmlformats.org/officeDocument/2006/relationships/image" Target="media/image58.png"/><Relationship Id="rId7" Type="http://schemas.openxmlformats.org/officeDocument/2006/relationships/customXml" Target="../customXml/item7.xml"/><Relationship Id="rId71" Type="http://schemas.openxmlformats.org/officeDocument/2006/relationships/hyperlink" Target="http://www.abs.gov.au/AUSSTATS/abs@.nsf/Lookup/8153.0Main+Features1June%202017?OpenDocument" TargetMode="External"/><Relationship Id="rId92" Type="http://schemas.openxmlformats.org/officeDocument/2006/relationships/image" Target="media/image46.png"/><Relationship Id="rId2" Type="http://schemas.openxmlformats.org/officeDocument/2006/relationships/customXml" Target="../customXml/item2.xml"/><Relationship Id="rId29" Type="http://schemas.openxmlformats.org/officeDocument/2006/relationships/header" Target="header7.xml"/></Relationships>
</file>

<file path=word/_rels/endnotes.xml.rels><?xml version="1.0" encoding="UTF-8" standalone="yes"?>
<Relationships xmlns="http://schemas.openxmlformats.org/package/2006/relationships"><Relationship Id="rId26" Type="http://schemas.openxmlformats.org/officeDocument/2006/relationships/hyperlink" Target="https://www.ofcom.org.uk/research-and-data/multi-sector-research/cmr/cmr-2017/uk/the-communications-market-uk" TargetMode="External"/><Relationship Id="rId117" Type="http://schemas.openxmlformats.org/officeDocument/2006/relationships/hyperlink" Target="https://www.ofcom.org.uk/research-and-data/multi-sector-research/cmr/cmr-2017/uk/the-communications-market-uk" TargetMode="External"/><Relationship Id="rId21" Type="http://schemas.openxmlformats.org/officeDocument/2006/relationships/hyperlink" Target="https://www.telstra.com.au/aboutus/investors/financial-information/financial-results" TargetMode="External"/><Relationship Id="rId42" Type="http://schemas.openxmlformats.org/officeDocument/2006/relationships/hyperlink" Target="http://www.abc.net.au/news/2017-03-01/regional-communities-share-internet-access-with-air-travellers/8314632" TargetMode="External"/><Relationship Id="rId47" Type="http://schemas.openxmlformats.org/officeDocument/2006/relationships/hyperlink" Target="https://www.brisbane.qld.gov.au/facilities-recreation/wi-fi-brisbane" TargetMode="External"/><Relationship Id="rId63" Type="http://schemas.openxmlformats.org/officeDocument/2006/relationships/hyperlink" Target="https://www.telstra.com.au/aboutus/media/media-releases/telstra-manages-hybrid-cloud" TargetMode="External"/><Relationship Id="rId68" Type="http://schemas.openxmlformats.org/officeDocument/2006/relationships/hyperlink" Target="https://www.lifehacker.com.au/2016/09/australias-public-cloud-market-is-set-to-hit-5-6-billion-this-year/" TargetMode="External"/><Relationship Id="rId84" Type="http://schemas.openxmlformats.org/officeDocument/2006/relationships/hyperlink" Target="https://www.telstra.com.au/smart-home/devices/google-home" TargetMode="External"/><Relationship Id="rId89" Type="http://schemas.openxmlformats.org/officeDocument/2006/relationships/hyperlink" Target="https://www.telstra.com.au/aboutus/investors/financial-information/financial-results" TargetMode="External"/><Relationship Id="rId112" Type="http://schemas.openxmlformats.org/officeDocument/2006/relationships/hyperlink" Target="https://www.legislation.gov.au/Details/F2014C01142" TargetMode="External"/><Relationship Id="rId133" Type="http://schemas.openxmlformats.org/officeDocument/2006/relationships/hyperlink" Target="http://www.afr.com/news/tv-radio-licence-fees-waived-after-media-reform-delay-20170628-gx05db" TargetMode="External"/><Relationship Id="rId138" Type="http://schemas.openxmlformats.org/officeDocument/2006/relationships/hyperlink" Target="http://www.theaustralian.com.au/business/media/broadcast/ten-network-placed-in-voluntary-administration/news-story/e0cfe230043b93081f40beb5e874ebfc" TargetMode="External"/><Relationship Id="rId154" Type="http://schemas.openxmlformats.org/officeDocument/2006/relationships/hyperlink" Target="http://www.news.com.au/news/google-launches-youtube-app-for-australias-techsavvy-twoyearolds/news-story/c634114fa498c2b3e3bf5879177cb7ef" TargetMode="External"/><Relationship Id="rId159" Type="http://schemas.openxmlformats.org/officeDocument/2006/relationships/hyperlink" Target="http://www.nielsen.com/au/en/insights/news/2017/australians-voracious-video-viewing-behaviours.html" TargetMode="External"/><Relationship Id="rId170" Type="http://schemas.openxmlformats.org/officeDocument/2006/relationships/hyperlink" Target="https://www.communications.gov.au/documents/guidelines-use-section-3133-telecommunications-act-1997-government-agencies-lawful-disruption-access" TargetMode="External"/><Relationship Id="rId16" Type="http://schemas.openxmlformats.org/officeDocument/2006/relationships/hyperlink" Target="https://www.communications.gov.au/what-we-do/phone/mobile-services-and-coverage/mobile-black-spot-program" TargetMode="External"/><Relationship Id="rId107" Type="http://schemas.openxmlformats.org/officeDocument/2006/relationships/hyperlink" Target="https://exchange.telstra.com.au/leading-the-way-to-provide-brilliant-voice-and-video-calling-experiences/" TargetMode="External"/><Relationship Id="rId11" Type="http://schemas.openxmlformats.org/officeDocument/2006/relationships/hyperlink" Target="http://www.asx.com.au/asxpdf/20170801/pdf/43l2sz57b1t5l4.pdf" TargetMode="External"/><Relationship Id="rId32" Type="http://schemas.openxmlformats.org/officeDocument/2006/relationships/hyperlink" Target="http://www.nbnco.com.au/corporate-information/media-centre/media-releases/one-in-two-australians.html" TargetMode="External"/><Relationship Id="rId37" Type="http://schemas.openxmlformats.org/officeDocument/2006/relationships/hyperlink" Target="http://www.sbs.com.au/news/article/2016/04/10/new-technology-10-times-faster-existing-technology-says-nbn-co" TargetMode="External"/><Relationship Id="rId53" Type="http://schemas.openxmlformats.org/officeDocument/2006/relationships/hyperlink" Target="https://exchange.telstra.com.au/wi-fi-connected-cairns/" TargetMode="External"/><Relationship Id="rId58" Type="http://schemas.openxmlformats.org/officeDocument/2006/relationships/hyperlink" Target="https://www.qantasnewsroom.com.au/roo-tales/a-big-milestone-for-qantas-wi-fi/" TargetMode="External"/><Relationship Id="rId74" Type="http://schemas.openxmlformats.org/officeDocument/2006/relationships/hyperlink" Target="https://www.iothub.com.au/news/council-introduces-smart-bins-to-bondi-464281" TargetMode="External"/><Relationship Id="rId79" Type="http://schemas.openxmlformats.org/officeDocument/2006/relationships/hyperlink" Target="https://cities.dpmc.gov.au/smart-cities-plan" TargetMode="External"/><Relationship Id="rId102" Type="http://schemas.openxmlformats.org/officeDocument/2006/relationships/hyperlink" Target="https://media.optus.com.au/media-releases/2016/optus-and-nokia-sign-mou-to-collaborate-on-5g/" TargetMode="External"/><Relationship Id="rId123" Type="http://schemas.openxmlformats.org/officeDocument/2006/relationships/hyperlink" Target="http://themusic.com.au/news/all/2017/03/29/aria-2016-sales-figures-show-revenue-is-up-and-streaming-is-booming/" TargetMode="External"/><Relationship Id="rId128" Type="http://schemas.openxmlformats.org/officeDocument/2006/relationships/hyperlink" Target="http://www.radioitsalovething.com.au/Other-Research-Insights-(1)/Infinite-Dial.aspx" TargetMode="External"/><Relationship Id="rId144" Type="http://schemas.openxmlformats.org/officeDocument/2006/relationships/hyperlink" Target="http://www.regionaltam.com.au/?page_id=21" TargetMode="External"/><Relationship Id="rId149" Type="http://schemas.openxmlformats.org/officeDocument/2006/relationships/hyperlink" Target="http://www.mediaweek.com.au/fetch-tv-ceo-scott-lorson-march-2017/" TargetMode="External"/><Relationship Id="rId5" Type="http://schemas.openxmlformats.org/officeDocument/2006/relationships/hyperlink" Target="https://media.optus.com.au/wp-content/uploads/2017/05/Q4-FY16-17-MDA.pdf" TargetMode="External"/><Relationship Id="rId90" Type="http://schemas.openxmlformats.org/officeDocument/2006/relationships/hyperlink" Target="https://www.itnews.com.au/news/vodafone-switches-on-nb-iot-network-475139?eid=3&amp;edate=20171011&amp;utm_source=20171011_PM&amp;utm_medium=newsletter&amp;utm_campaign=daily_newsletter" TargetMode="External"/><Relationship Id="rId95" Type="http://schemas.openxmlformats.org/officeDocument/2006/relationships/hyperlink" Target="https://www.sigfox.com/en" TargetMode="External"/><Relationship Id="rId160" Type="http://schemas.openxmlformats.org/officeDocument/2006/relationships/hyperlink" Target="https://www.cisco.com/c/m/en_us/solutions/service-provider/vni-forecast-highlights.html" TargetMode="External"/><Relationship Id="rId165" Type="http://schemas.openxmlformats.org/officeDocument/2006/relationships/hyperlink" Target="https://mumbrella.com.au/trust-in-daily-and-local-newspapers-on-a-steady-decline-according-to-essential-research-432670" TargetMode="External"/><Relationship Id="rId22" Type="http://schemas.openxmlformats.org/officeDocument/2006/relationships/hyperlink" Target="https://www.idc.com/getdoc.jsp?containerId=prAP43010017" TargetMode="External"/><Relationship Id="rId27" Type="http://schemas.openxmlformats.org/officeDocument/2006/relationships/hyperlink" Target="http://www.abs.gov.au/ausstats/abs@.nsf/mf/8153.0/" TargetMode="External"/><Relationship Id="rId43" Type="http://schemas.openxmlformats.org/officeDocument/2006/relationships/hyperlink" Target="http://www.nbnco.com.au/content/dam/nbnco2/documents/nbn-financial-results-FY2016.pdf" TargetMode="External"/><Relationship Id="rId48" Type="http://schemas.openxmlformats.org/officeDocument/2006/relationships/hyperlink" Target="https://www.perth.wa.gov.au/our-capital-city/getting-and-around/free-city-wifi" TargetMode="External"/><Relationship Id="rId64" Type="http://schemas.openxmlformats.org/officeDocument/2006/relationships/hyperlink" Target="https://media.optus.com.au/media-releases/2017/optus-business-and-cisco-co-create-workplace-of-the-future-2/" TargetMode="External"/><Relationship Id="rId69" Type="http://schemas.openxmlformats.org/officeDocument/2006/relationships/hyperlink" Target="http://www.gartner.com/newsroom/id/3616417" TargetMode="External"/><Relationship Id="rId113" Type="http://schemas.openxmlformats.org/officeDocument/2006/relationships/hyperlink" Target="file:///C:\Users\bduhigg\AppData\Roaming\Microsoft\Word\www.acma.gov.au\theACMA\changes-to-media-control-and-diversity-rules" TargetMode="External"/><Relationship Id="rId118" Type="http://schemas.openxmlformats.org/officeDocument/2006/relationships/hyperlink" Target="http://www.pewinternet.org/fact-sheet/mobile/" TargetMode="External"/><Relationship Id="rId134" Type="http://schemas.openxmlformats.org/officeDocument/2006/relationships/hyperlink" Target="http://tvtonight.com.au/2016/12/guides-2017.html" TargetMode="External"/><Relationship Id="rId139" Type="http://schemas.openxmlformats.org/officeDocument/2006/relationships/hyperlink" Target="https://tenplay.com.au/corporate/announcements" TargetMode="External"/><Relationship Id="rId80" Type="http://schemas.openxmlformats.org/officeDocument/2006/relationships/hyperlink" Target="https://www.iothub.com.au/news/wollongong-to-get-city-wide-lorawan-network-463043" TargetMode="External"/><Relationship Id="rId85" Type="http://schemas.openxmlformats.org/officeDocument/2006/relationships/hyperlink" Target="https://www.ericsson.com/en/mobility-report" TargetMode="External"/><Relationship Id="rId150" Type="http://schemas.openxmlformats.org/officeDocument/2006/relationships/hyperlink" Target="http://www.afr.com/business/media-and-marketing/foxtel-ceo-says-local-content-key-to-paytv-longterm-ambition-20161116-gsqkfg" TargetMode="External"/><Relationship Id="rId155" Type="http://schemas.openxmlformats.org/officeDocument/2006/relationships/hyperlink" Target="http://www.oztam.com.au/documents/Other/Australian%20Video%20Viewing%20Report%20Q1%202017%20Final.pdf" TargetMode="External"/><Relationship Id="rId12" Type="http://schemas.openxmlformats.org/officeDocument/2006/relationships/hyperlink" Target="http://www.vodafone.com.au/media/vodafone-reveals-almost-2-billion-mobile-technology-spend-for-2017/" TargetMode="External"/><Relationship Id="rId17" Type="http://schemas.openxmlformats.org/officeDocument/2006/relationships/hyperlink" Target="http://www.hutchison2016.annual-report.com.au/" TargetMode="External"/><Relationship Id="rId33" Type="http://schemas.openxmlformats.org/officeDocument/2006/relationships/hyperlink" Target="https://www.nbnco.com.au/corporate-information/about-nbn-co/corporate-plan/weekly-progress-report.html" TargetMode="External"/><Relationship Id="rId38" Type="http://schemas.openxmlformats.org/officeDocument/2006/relationships/hyperlink" Target="http://www.zdnet.com/article/nbn-begins-fttdp-network-construction/" TargetMode="External"/><Relationship Id="rId59" Type="http://schemas.openxmlformats.org/officeDocument/2006/relationships/hyperlink" Target="https://www.qantasnewsroom.com.au/media-releases/qantas-switches-on-fast-free-inflight-wifi/" TargetMode="External"/><Relationship Id="rId103" Type="http://schemas.openxmlformats.org/officeDocument/2006/relationships/hyperlink" Target="https://media.optus.com.au/media-releases/2017/optus-launches-4-5g-network-across-macquarie-park/" TargetMode="External"/><Relationship Id="rId108" Type="http://schemas.openxmlformats.org/officeDocument/2006/relationships/hyperlink" Target="https://www.telstra.com.au/coverage-networks/mobile-technology" TargetMode="External"/><Relationship Id="rId124" Type="http://schemas.openxmlformats.org/officeDocument/2006/relationships/hyperlink" Target="http://www.smh.com.au/nsw/music-streaming-in-australia-growing-rapidly-but-vinyl-sales-still-keeping-up-20170524-gwcee4.html" TargetMode="External"/><Relationship Id="rId129" Type="http://schemas.openxmlformats.org/officeDocument/2006/relationships/hyperlink" Target="http://www.radioitsalovething.com.au/RIALT/media/RIALT/PDF/Final-station-presentation_14-June-2017_1-(1)_1.pdf?ext=.pdf" TargetMode="External"/><Relationship Id="rId54" Type="http://schemas.openxmlformats.org/officeDocument/2006/relationships/hyperlink" Target="https://www.premier.sa.gov.au/index.php/stephen-mullighan-news-releases/7788-expression-of-interest-called-for-free-wi-fi-on-adelaide-metro-network" TargetMode="External"/><Relationship Id="rId70" Type="http://schemas.openxmlformats.org/officeDocument/2006/relationships/hyperlink" Target="https://www.telsyte.com.au/announcements/2016/11/22/cloud-uptake-in-australia-soars-with-iaas-spending-set-to-reach-1-billion-by-2020" TargetMode="External"/><Relationship Id="rId75" Type="http://schemas.openxmlformats.org/officeDocument/2006/relationships/hyperlink" Target="https://www.iothub.com.au/news/aussie-startup-monitors-remote-water-tanks-via-satellite-466218" TargetMode="External"/><Relationship Id="rId91" Type="http://schemas.openxmlformats.org/officeDocument/2006/relationships/hyperlink" Target="http://www.asx.com.au/asxpdf/20170801/pdf/43l2sz57b1t5l4.pdf" TargetMode="External"/><Relationship Id="rId96" Type="http://schemas.openxmlformats.org/officeDocument/2006/relationships/hyperlink" Target="http://www.afr.com/technology/startup-thinxtra-is-raising-20m-to-take-on-telstra-with-national-iot-network-20170215-gudh4g" TargetMode="External"/><Relationship Id="rId140" Type="http://schemas.openxmlformats.org/officeDocument/2006/relationships/hyperlink" Target="http://www.theaustralian.com.au/business/media/ninesouthern-cross-roll-out-the-local-news/news-story/2893d871ee0388551440a05276cb5ef6" TargetMode="External"/><Relationship Id="rId145" Type="http://schemas.openxmlformats.org/officeDocument/2006/relationships/hyperlink" Target="http://www.afr.com/business/media-and-marketing/tv/turnbull-government-speeds-up-netflix-rating-process-20161206-gt4taj?utm_source=Mediaweek+Morning+Report&amp;utm_campaign=f779a5410e-Wednesday_7_12_2016&amp;utm_medium=email&amp;utm_term=0_1b0c99344c-f779a5410e-94177710" TargetMode="External"/><Relationship Id="rId161" Type="http://schemas.openxmlformats.org/officeDocument/2006/relationships/hyperlink" Target="http://www.nielsen.com/au/en/insights/news/2017/australians-voracious-video-viewing-behaviours.html" TargetMode="External"/><Relationship Id="rId166" Type="http://schemas.openxmlformats.org/officeDocument/2006/relationships/hyperlink" Target="http://landing.deloitte.com.au/tmt-media-consumer-survey-2017-inb-lp-reg.html?_ga=2.103988421.499387313.1506465153-503858864.1502684865" TargetMode="External"/><Relationship Id="rId1" Type="http://schemas.openxmlformats.org/officeDocument/2006/relationships/hyperlink" Target="https://www.telstra.com.au/aboutus/investors/financial-information/financial-results" TargetMode="External"/><Relationship Id="rId6" Type="http://schemas.openxmlformats.org/officeDocument/2006/relationships/hyperlink" Target="http://www.hutchison2016.annual-report.com.au/" TargetMode="External"/><Relationship Id="rId15" Type="http://schemas.openxmlformats.org/officeDocument/2006/relationships/hyperlink" Target="https://www.acma.gov.au/theACMA/applicant-information-package-multiband-residual-lots-auction" TargetMode="External"/><Relationship Id="rId23" Type="http://schemas.openxmlformats.org/officeDocument/2006/relationships/hyperlink" Target="http://www.itu.int/en/ITU-D/Conferences/GSR/Pages/GSR2017/Reports-and-papers.aspx" TargetMode="External"/><Relationship Id="rId28" Type="http://schemas.openxmlformats.org/officeDocument/2006/relationships/hyperlink" Target="http://subtelforum.com/articles/stf-94-available-now/" TargetMode="External"/><Relationship Id="rId36" Type="http://schemas.openxmlformats.org/officeDocument/2006/relationships/hyperlink" Target="http://www.itnews.com.au/news/nbn-co-leaves-door-open-for-fttdp-in-sau-420272" TargetMode="External"/><Relationship Id="rId49" Type="http://schemas.openxmlformats.org/officeDocument/2006/relationships/hyperlink" Target="http://www.vic.gov.au/wifi.html" TargetMode="External"/><Relationship Id="rId57" Type="http://schemas.openxmlformats.org/officeDocument/2006/relationships/hyperlink" Target="https://media.optus.com.au/media-releases/2016/optus-business-to-roll-out-public-wifi-across-vicinity-centres/" TargetMode="External"/><Relationship Id="rId106" Type="http://schemas.openxmlformats.org/officeDocument/2006/relationships/hyperlink" Target="https://www.itwire.com/telecoms-and-nbn/79398-telcos-willing-to-pay-more-for-5g-gartner.html" TargetMode="External"/><Relationship Id="rId114" Type="http://schemas.openxmlformats.org/officeDocument/2006/relationships/hyperlink" Target="http://www.minister.communications.gov.au/mitch_fifield/news/turnbull_government_working_with_senate_crossbench_to_secure_passage_of_vital_media_reforms" TargetMode="External"/><Relationship Id="rId119" Type="http://schemas.openxmlformats.org/officeDocument/2006/relationships/hyperlink" Target="http://www.pewresearch.org/fact-tank/2017/06/28/10-facts-about-smartphones/" TargetMode="External"/><Relationship Id="rId127" Type="http://schemas.openxmlformats.org/officeDocument/2006/relationships/hyperlink" Target="http://www.digitalradioplus.com.au/dab-in-vehicles" TargetMode="External"/><Relationship Id="rId10" Type="http://schemas.openxmlformats.org/officeDocument/2006/relationships/hyperlink" Target="https://media.optus.com.au/media-releases/2017/optus-invests-20m-in-gold-coast-mobile-network/" TargetMode="External"/><Relationship Id="rId31" Type="http://schemas.openxmlformats.org/officeDocument/2006/relationships/hyperlink" Target="http://www.tridentsc.com.au/news/trident-selects-equinix-for-pops-in-australia-singapore-and-jakarta/" TargetMode="External"/><Relationship Id="rId44" Type="http://schemas.openxmlformats.org/officeDocument/2006/relationships/hyperlink" Target="https://hotspot.internode.on.net/partners/adelaidefree/" TargetMode="External"/><Relationship Id="rId52" Type="http://schemas.openxmlformats.org/officeDocument/2006/relationships/hyperlink" Target="https://crowdsupport.telstra.com.au/t5/Announcements/How-To-Access-Free-Data-on-World-Wi-Fi-Day/ba-p/688808" TargetMode="External"/><Relationship Id="rId60" Type="http://schemas.openxmlformats.org/officeDocument/2006/relationships/hyperlink" Target="https://www.itnews.com.au/news/qantas-prepares-to-move-in-flight-wi-fi-out-of-trial-472349" TargetMode="External"/><Relationship Id="rId65" Type="http://schemas.openxmlformats.org/officeDocument/2006/relationships/hyperlink" Target="https://media.optus.com.au/media-releases/2017/optus-business-teams-with-pure-storage-to-launch-all-flash-cloud-platform/" TargetMode="External"/><Relationship Id="rId73" Type="http://schemas.openxmlformats.org/officeDocument/2006/relationships/hyperlink" Target="https://www.telstra.com.au/business-enterprise/solutions/internet-of-things" TargetMode="External"/><Relationship Id="rId78" Type="http://schemas.openxmlformats.org/officeDocument/2006/relationships/hyperlink" Target="https://www.ericsson.com/en/mobility-report" TargetMode="External"/><Relationship Id="rId81" Type="http://schemas.openxmlformats.org/officeDocument/2006/relationships/hyperlink" Target="https://www.thethingsnetwork.org/" TargetMode="External"/><Relationship Id="rId86" Type="http://schemas.openxmlformats.org/officeDocument/2006/relationships/hyperlink" Target="https://exchange.telstra.com.au/making-australian-roads-safer-meet-the-tech-connecting-cars-with-the-people-around-them/" TargetMode="External"/><Relationship Id="rId94" Type="http://schemas.openxmlformats.org/officeDocument/2006/relationships/hyperlink" Target="https://www.thinxtra.com/2017/08/cornerstone_investor_cefc/" TargetMode="External"/><Relationship Id="rId99" Type="http://schemas.openxmlformats.org/officeDocument/2006/relationships/hyperlink" Target="http://acma.gov.au/theACMA/Newsroom/Newsroom/Speeches/acting-chairmans-speech-to-unwired-revolution" TargetMode="External"/><Relationship Id="rId101" Type="http://schemas.openxmlformats.org/officeDocument/2006/relationships/hyperlink" Target="https://media.optus.com.au/wp-content/uploads/2017/05/Q4-FY16-17-MDA.pdf" TargetMode="External"/><Relationship Id="rId122" Type="http://schemas.openxmlformats.org/officeDocument/2006/relationships/hyperlink" Target="https://www.ofcom.org.uk/__data/assets/pdf_file/0020/102755/adults-media-use-attitudes-2017.pdf" TargetMode="External"/><Relationship Id="rId130" Type="http://schemas.openxmlformats.org/officeDocument/2006/relationships/hyperlink" Target="https://www2.deloitte.com/au/en/pages/technology-media-and-telecommunications/articles/media-consumer-survey-2017.html" TargetMode="External"/><Relationship Id="rId135" Type="http://schemas.openxmlformats.org/officeDocument/2006/relationships/hyperlink" Target="http://www.theaustralian.com.au/business/media/broadcast/seven-to-launch-new-catchup-tv-service-after-tahoo-tweak/news-story/8578218ee6ebccb39a74970d95c5418e" TargetMode="External"/><Relationship Id="rId143" Type="http://schemas.openxmlformats.org/officeDocument/2006/relationships/hyperlink" Target="http://www.nielsen.com/au/en/press-room/2016/oztam-expands-panel-extends-nielsen-contract.html" TargetMode="External"/><Relationship Id="rId148" Type="http://schemas.openxmlformats.org/officeDocument/2006/relationships/hyperlink" Target="https://www.foxtel.com.au/whats-on/foxtel-insider/foxtel/foxtel-now.html" TargetMode="External"/><Relationship Id="rId151" Type="http://schemas.openxmlformats.org/officeDocument/2006/relationships/hyperlink" Target="http://www.afr.com/business/media-and-marketing/tv/netflix-commissions-its-first-australian-original-series-tidelands-20170515-gw5j67" TargetMode="External"/><Relationship Id="rId156" Type="http://schemas.openxmlformats.org/officeDocument/2006/relationships/hyperlink" Target="https://www.telsyte.com.au/announcements/2017/8/8/streaming-vod-a-hit-in-australia-subscribers-up-30-per-cent" TargetMode="External"/><Relationship Id="rId164" Type="http://schemas.openxmlformats.org/officeDocument/2006/relationships/hyperlink" Target="https://outlook2017.ezimerchant.com/category35_26.htm" TargetMode="External"/><Relationship Id="rId169" Type="http://schemas.openxmlformats.org/officeDocument/2006/relationships/hyperlink" Target="https://www.communications.gov.au/publications/digital-radio-report" TargetMode="External"/><Relationship Id="rId4" Type="http://schemas.openxmlformats.org/officeDocument/2006/relationships/hyperlink" Target="http://www.techguide.com.au/news/telstra-expands-4g-coverage-activates-new-smart-network/" TargetMode="External"/><Relationship Id="rId9" Type="http://schemas.openxmlformats.org/officeDocument/2006/relationships/hyperlink" Target="http://www.theadvocate.com.au/story/4775222/optus-invest-in-improved-4g-mobile-coverage/" TargetMode="External"/><Relationship Id="rId13" Type="http://schemas.openxmlformats.org/officeDocument/2006/relationships/hyperlink" Target="http://www.acma.gov.au/theACMA/Newsroom/Newsroom/Media-releases/applications-open-for-700-mhz-spectrum-unsold-lots-auction" TargetMode="External"/><Relationship Id="rId18" Type="http://schemas.openxmlformats.org/officeDocument/2006/relationships/hyperlink" Target="http://info.singtel.com/annualreport/2017/files/Full-Annual-Report.pdf" TargetMode="External"/><Relationship Id="rId39" Type="http://schemas.openxmlformats.org/officeDocument/2006/relationships/hyperlink" Target="http://www.nbnco.com.au/blog/the-nbn-project/nbn-sky-muster-satellite-service-second-rocket-launch.html" TargetMode="External"/><Relationship Id="rId109" Type="http://schemas.openxmlformats.org/officeDocument/2006/relationships/hyperlink" Target="https://www.itnews.com.au/news/optus-pushes-ahead-with-voice-over-wi-fi-448881" TargetMode="External"/><Relationship Id="rId34" Type="http://schemas.openxmlformats.org/officeDocument/2006/relationships/hyperlink" Target="http://www.nbnco.com.au/learn-about-the-nbn/rollout-map.html" TargetMode="External"/><Relationship Id="rId50" Type="http://schemas.openxmlformats.org/officeDocument/2006/relationships/hyperlink" Target="http://www.premier.vic.gov.au/melbourne-launches-world-class-free-wi-fi-network/" TargetMode="External"/><Relationship Id="rId55" Type="http://schemas.openxmlformats.org/officeDocument/2006/relationships/hyperlink" Target="https://www.nsw.gov.au/news-and-events/news/catch-free-wi-fi-on-sydney-buses/" TargetMode="External"/><Relationship Id="rId76" Type="http://schemas.openxmlformats.org/officeDocument/2006/relationships/hyperlink" Target="https://iot-analytics.com/iot-platforms-company-list-2017-update/" TargetMode="External"/><Relationship Id="rId97" Type="http://schemas.openxmlformats.org/officeDocument/2006/relationships/hyperlink" Target="http://www.iot.org.au/" TargetMode="External"/><Relationship Id="rId104" Type="http://schemas.openxmlformats.org/officeDocument/2006/relationships/hyperlink" Target="http://www.hutchison2016.annual-report.com.au/" TargetMode="External"/><Relationship Id="rId120" Type="http://schemas.openxmlformats.org/officeDocument/2006/relationships/hyperlink" Target="https://www.ofcom.org.uk/__data/assets/pdf_file/0020/102755/adults-media-use-attitudes-2017.pdf" TargetMode="External"/><Relationship Id="rId125" Type="http://schemas.openxmlformats.org/officeDocument/2006/relationships/hyperlink" Target="http://www.acma.gov.au/Industry/Broadcast/Radio/Radio-content-regulation/acma-registers-new-commercial-radio-industry-code-of-practice" TargetMode="External"/><Relationship Id="rId141" Type="http://schemas.openxmlformats.org/officeDocument/2006/relationships/hyperlink" Target="http://www.southerncrossaustereo.com.au/media/2016/11/07/nine-news-to-launch-15-regional-news-bulletins/" TargetMode="External"/><Relationship Id="rId146" Type="http://schemas.openxmlformats.org/officeDocument/2006/relationships/hyperlink" Target="https://mumbrella.com.au/new-animal-nature-streaming-app-love-nature-launches-438659" TargetMode="External"/><Relationship Id="rId167" Type="http://schemas.openxmlformats.org/officeDocument/2006/relationships/hyperlink" Target="http://www.radioitsalovething.com.au/Why-Radio/Radio-Insights/2017.aspx" TargetMode="External"/><Relationship Id="rId7" Type="http://schemas.openxmlformats.org/officeDocument/2006/relationships/hyperlink" Target="https://www.vodafone.com.au/red-wire/goodbye-to-2g" TargetMode="External"/><Relationship Id="rId71" Type="http://schemas.openxmlformats.org/officeDocument/2006/relationships/hyperlink" Target="http://www.afr.com/technology/web/security/more-than-1000-australian-websites-taken-down-following-chinaled-criminal-plot-20161007-grxa2o" TargetMode="External"/><Relationship Id="rId92" Type="http://schemas.openxmlformats.org/officeDocument/2006/relationships/hyperlink" Target="https://www.vodafone.com.au/red-wire/narrowband-internet-of-things/" TargetMode="External"/><Relationship Id="rId162" Type="http://schemas.openxmlformats.org/officeDocument/2006/relationships/hyperlink" Target="https://www.canberra.edu.au/research/faculty-research-centres/nmrc/digital-news-lab/digital-news-report-australia-2017" TargetMode="External"/><Relationship Id="rId2" Type="http://schemas.openxmlformats.org/officeDocument/2006/relationships/hyperlink" Target="http://www.asx.com.au/asxpdf/20170801/pdf/43l2sz57b1t5l4.pdf" TargetMode="External"/><Relationship Id="rId29" Type="http://schemas.openxmlformats.org/officeDocument/2006/relationships/hyperlink" Target="https://www.subpartners.net/indigo.html" TargetMode="External"/><Relationship Id="rId24" Type="http://schemas.openxmlformats.org/officeDocument/2006/relationships/hyperlink" Target="https://www.itwire.com/home-it/79211-aussies-still-hang-on-to-their-landline.html" TargetMode="External"/><Relationship Id="rId40" Type="http://schemas.openxmlformats.org/officeDocument/2006/relationships/hyperlink" Target="http://www.nbnco.com.au/blog/the-nbn-project/nbn-sky-muster-ii-successful-launch.html" TargetMode="External"/><Relationship Id="rId45" Type="http://schemas.openxmlformats.org/officeDocument/2006/relationships/hyperlink" Target="http://www.cmd.act.gov.au/digital/cbrfree-public-wifi" TargetMode="External"/><Relationship Id="rId66" Type="http://schemas.openxmlformats.org/officeDocument/2006/relationships/hyperlink" Target="https://media.optus.com.au/media-releases/2017/optus-business-announces-canberra-data-centres-cdc-partnership/" TargetMode="External"/><Relationship Id="rId87" Type="http://schemas.openxmlformats.org/officeDocument/2006/relationships/hyperlink" Target="https://www.crn.com.au/news/telstra-to-build-australias-first-national-internet-of-things-network-452693" TargetMode="External"/><Relationship Id="rId110" Type="http://schemas.openxmlformats.org/officeDocument/2006/relationships/hyperlink" Target="http://www.asx.com.au/asxpdf/20170801/pdf/43l2sz57b1t5l4.pdf" TargetMode="External"/><Relationship Id="rId115" Type="http://schemas.openxmlformats.org/officeDocument/2006/relationships/hyperlink" Target="http://www.abs.gov.au/ausstats/abs@.nsf/mf/8166.0" TargetMode="External"/><Relationship Id="rId131" Type="http://schemas.openxmlformats.org/officeDocument/2006/relationships/hyperlink" Target="https://www.acma.gov.au/theACMA/changes-to-media-control-and-diversity-rules" TargetMode="External"/><Relationship Id="rId136" Type="http://schemas.openxmlformats.org/officeDocument/2006/relationships/hyperlink" Target="http://www.adnews.com.au/news/digital-ad-spend-to-overtake-tv-in-2017-studies-find" TargetMode="External"/><Relationship Id="rId157" Type="http://schemas.openxmlformats.org/officeDocument/2006/relationships/hyperlink" Target="https://www.telstra.com.au/aboutus/investors/financial-information/financial-results" TargetMode="External"/><Relationship Id="rId61" Type="http://schemas.openxmlformats.org/officeDocument/2006/relationships/hyperlink" Target="https://www.virginaustralia.com/nz/en/about-us/media/2017/" TargetMode="External"/><Relationship Id="rId82" Type="http://schemas.openxmlformats.org/officeDocument/2006/relationships/hyperlink" Target="http://www.theaustralian.com.au/news/inquirer/hitech-google-home-and-alexa-not-smart-enough-to-be-errorfree/news-story/0ecdc6656a11ef448d9978c9eecea53e" TargetMode="External"/><Relationship Id="rId152" Type="http://schemas.openxmlformats.org/officeDocument/2006/relationships/hyperlink" Target="https://www.forbes.com/sites/nelsongranados/2017/09/11/apple-facebook-and-disney-to-shake-up-video-streaming-with-original-content/" TargetMode="External"/><Relationship Id="rId19" Type="http://schemas.openxmlformats.org/officeDocument/2006/relationships/hyperlink" Target="https://media.optus.com.au/media-releases/2017/optus-to-invest-1-billion-to-improve-regional-mobile-coverage/" TargetMode="External"/><Relationship Id="rId14" Type="http://schemas.openxmlformats.org/officeDocument/2006/relationships/hyperlink" Target="http://www.acma.gov.au/theACMA/Newsroom/Newsroom/Media-releases/sold-acma-completes-high-value-spectrum-auction" TargetMode="External"/><Relationship Id="rId30" Type="http://schemas.openxmlformats.org/officeDocument/2006/relationships/hyperlink" Target="http://vocusgroup.com.au/news-media/news/australia-submarine-cable-on-target-final-design-lockdown-agreed-with-alcatel-submarine-networks/" TargetMode="External"/><Relationship Id="rId35" Type="http://schemas.openxmlformats.org/officeDocument/2006/relationships/hyperlink" Target="http://www.nbnco.com.au/corporate-information/media-centre/media-releases/nbn-pushes-fibre-to-the-curb-for-up-to-700000-homes-and-businesses.html" TargetMode="External"/><Relationship Id="rId56" Type="http://schemas.openxmlformats.org/officeDocument/2006/relationships/hyperlink" Target="https://www.transport.act.gov.au/getting-around/bus-services/passenger-info/wifi-on-buses" TargetMode="External"/><Relationship Id="rId77" Type="http://schemas.openxmlformats.org/officeDocument/2006/relationships/hyperlink" Target="http://www.vodafone.com/business/iot/the-iot-barometer-2016" TargetMode="External"/><Relationship Id="rId100" Type="http://schemas.openxmlformats.org/officeDocument/2006/relationships/hyperlink" Target="https://www.telstra.com.au/aboutus/investors/financial-information/financial-results" TargetMode="External"/><Relationship Id="rId105" Type="http://schemas.openxmlformats.org/officeDocument/2006/relationships/hyperlink" Target="http://www.asx.com.au/asxpdf/20170801/pdf/43l2sz57b1t5l4.pdf" TargetMode="External"/><Relationship Id="rId126" Type="http://schemas.openxmlformats.org/officeDocument/2006/relationships/hyperlink" Target="http://www.digitalradioplus.com.au/industry-resources/digital-listeninghttp:/www.digitalradioplus.com.au/industry-resources/digital-listening" TargetMode="External"/><Relationship Id="rId147" Type="http://schemas.openxmlformats.org/officeDocument/2006/relationships/hyperlink" Target="http://www.news.com.au/technology/home-entertainment/tv/streaming-war-heats-up-as-amazon-pours-billions-into-boosting-its-library/news-story/c6a2b6cafccfecdc992e28646fc39672" TargetMode="External"/><Relationship Id="rId168" Type="http://schemas.openxmlformats.org/officeDocument/2006/relationships/hyperlink" Target="http://www.freetv.com.au/content_common/pg-commercial-tv-is-again-the-home-of-local-drama.seo" TargetMode="External"/><Relationship Id="rId8" Type="http://schemas.openxmlformats.org/officeDocument/2006/relationships/hyperlink" Target="https://media.optus.com.au/media-releases/2017/optus-to-invest-1-billion-to-improve-regional-mobile-coverage/" TargetMode="External"/><Relationship Id="rId51" Type="http://schemas.openxmlformats.org/officeDocument/2006/relationships/hyperlink" Target="http://worldwifiday.com/" TargetMode="External"/><Relationship Id="rId72" Type="http://schemas.openxmlformats.org/officeDocument/2006/relationships/hyperlink" Target="https://www.auda.org.au/industry-information/registry/registry-transformation-project-2017/" TargetMode="External"/><Relationship Id="rId93" Type="http://schemas.openxmlformats.org/officeDocument/2006/relationships/hyperlink" Target="http://www.zdnet.com/article/optus-and-cisco-complete-nb-iot-trials/http:/www.zdnet.com/article/optus-and-cisco-complete-nb-iot-trials/" TargetMode="External"/><Relationship Id="rId98" Type="http://schemas.openxmlformats.org/officeDocument/2006/relationships/hyperlink" Target="http://www.news.com.au/technology/gadgets/mobile-phones/telstra-bulks-up-its-network-readying-for-futuristic-applications-of-5g-and-the-internet-of-things/news-story/b29462f7fc6be0ae76893dd7e051fcee" TargetMode="External"/><Relationship Id="rId121" Type="http://schemas.openxmlformats.org/officeDocument/2006/relationships/hyperlink" Target="https://www.ofcom.org.uk/research-and-data/multi-sector-research/cmr/cmr-2017/uk/the-communications-market-uk" TargetMode="External"/><Relationship Id="rId142" Type="http://schemas.openxmlformats.org/officeDocument/2006/relationships/hyperlink" Target="http://www.theaustralian.com.au/business/media/broadcast/nine-axes-darwin-news-despite-licence-fee-holiday/news-story/756b1d903a5a99b5d6b92b37cca9ac1b" TargetMode="External"/><Relationship Id="rId163" Type="http://schemas.openxmlformats.org/officeDocument/2006/relationships/hyperlink" Target="http://www.politico.com/media/story/2016/07/facing-the-new-facebook-reality-the-numbers-behind-the-fright-004662" TargetMode="External"/><Relationship Id="rId3" Type="http://schemas.openxmlformats.org/officeDocument/2006/relationships/hyperlink" Target="https://www.businessnews.com.au/article/Telstra-grows-4G-reach" TargetMode="External"/><Relationship Id="rId25" Type="http://schemas.openxmlformats.org/officeDocument/2006/relationships/hyperlink" Target="https://www.cdc.gov/nchs/nhis/releases.htm" TargetMode="External"/><Relationship Id="rId46" Type="http://schemas.openxmlformats.org/officeDocument/2006/relationships/hyperlink" Target="http://www.vic.gov.au/wifi.html" TargetMode="External"/><Relationship Id="rId67" Type="http://schemas.openxmlformats.org/officeDocument/2006/relationships/hyperlink" Target="http://www.abs.gov.au/AUSSTATS/abs@.nsf/Lookup/8129.0Main+Features12015-16?OpenDocument" TargetMode="External"/><Relationship Id="rId116" Type="http://schemas.openxmlformats.org/officeDocument/2006/relationships/hyperlink" Target="http://www.abs.gov.au/ausstats/abs@.nsf/mf/8129.0" TargetMode="External"/><Relationship Id="rId137" Type="http://schemas.openxmlformats.org/officeDocument/2006/relationships/hyperlink" Target="http://www.abc.net.au/news/2017-06-26/channel-ten-may-yet-be-saved-from-receivership/8653522" TargetMode="External"/><Relationship Id="rId158" Type="http://schemas.openxmlformats.org/officeDocument/2006/relationships/hyperlink" Target="http://www.bandt.com.au/media/aussie-tv-streaming-grows-25-four-months-oztam" TargetMode="External"/><Relationship Id="rId20" Type="http://schemas.openxmlformats.org/officeDocument/2006/relationships/hyperlink" Target="https://www.telstra.com.au/aboutus/investors/financial-information/financial-results" TargetMode="External"/><Relationship Id="rId41" Type="http://schemas.openxmlformats.org/officeDocument/2006/relationships/hyperlink" Target="https://www.itnews.com.au/news/nbn-co-eases-sky-muster-data-usage-limits-466603" TargetMode="External"/><Relationship Id="rId62" Type="http://schemas.openxmlformats.org/officeDocument/2006/relationships/hyperlink" Target="https://www.telstra.com.au/content/dam/tcom/about-us/investors/pdf-e/170817-FY17-Analyst-Presentation.pdf" TargetMode="External"/><Relationship Id="rId83" Type="http://schemas.openxmlformats.org/officeDocument/2006/relationships/hyperlink" Target="http://www.businessinsider.com/what-is-the-internet-of-things-definition-2016-8?IR=T" TargetMode="External"/><Relationship Id="rId88" Type="http://schemas.openxmlformats.org/officeDocument/2006/relationships/hyperlink" Target="https://www.crn.com.au/news/telstra-quietly-switches-on-internet-of-things-network-473757" TargetMode="External"/><Relationship Id="rId111" Type="http://schemas.openxmlformats.org/officeDocument/2006/relationships/hyperlink" Target="https://www.gizmodo.com.au/2017/02/telstra-will-switch-on-lte-broadcast-in-australia-next-year/" TargetMode="External"/><Relationship Id="rId132" Type="http://schemas.openxmlformats.org/officeDocument/2006/relationships/hyperlink" Target="https://www.communications.gov.au/what-we-do/television/broadcast-and-content-reform-package" TargetMode="External"/><Relationship Id="rId153" Type="http://schemas.openxmlformats.org/officeDocument/2006/relationships/hyperlink" Target="http://www.latimes.com/entertainment/tv/la-et-st-you-tube-red-for-kids-20170213-story.html" TargetMode="External"/></Relationships>
</file>

<file path=word/_rels/footnotes.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heme1_CR">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AF6397-E751-4F65-A8E9-0E1250387A94}">
  <ds:schemaRefs>
    <ds:schemaRef ds:uri="http://schemas.openxmlformats.org/officeDocument/2006/bibliography"/>
  </ds:schemaRefs>
</ds:datastoreItem>
</file>

<file path=customXml/itemProps2.xml><?xml version="1.0" encoding="utf-8"?>
<ds:datastoreItem xmlns:ds="http://schemas.openxmlformats.org/officeDocument/2006/customXml" ds:itemID="{F1DB2C0F-EE43-4702-8AEB-33A296B26822}">
  <ds:schemaRefs>
    <ds:schemaRef ds:uri="http://schemas.openxmlformats.org/officeDocument/2006/bibliography"/>
  </ds:schemaRefs>
</ds:datastoreItem>
</file>

<file path=customXml/itemProps3.xml><?xml version="1.0" encoding="utf-8"?>
<ds:datastoreItem xmlns:ds="http://schemas.openxmlformats.org/officeDocument/2006/customXml" ds:itemID="{BD24DA57-D145-42F0-8162-02FED48B4918}">
  <ds:schemaRefs>
    <ds:schemaRef ds:uri="http://schemas.openxmlformats.org/officeDocument/2006/bibliography"/>
  </ds:schemaRefs>
</ds:datastoreItem>
</file>

<file path=customXml/itemProps4.xml><?xml version="1.0" encoding="utf-8"?>
<ds:datastoreItem xmlns:ds="http://schemas.openxmlformats.org/officeDocument/2006/customXml" ds:itemID="{F515921A-8FE7-4715-B953-E36EF5E61D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364C174-CF9A-4B04-A3A0-31BB7E084CB0}">
  <ds:schemaRefs>
    <ds:schemaRef ds:uri="http://schemas.microsoft.com/sharepoint/v3/contenttype/forms"/>
  </ds:schemaRefs>
</ds:datastoreItem>
</file>

<file path=customXml/itemProps6.xml><?xml version="1.0" encoding="utf-8"?>
<ds:datastoreItem xmlns:ds="http://schemas.openxmlformats.org/officeDocument/2006/customXml" ds:itemID="{CB191519-6E91-459E-B86C-0DEADBBB344A}">
  <ds:schemaRefs>
    <ds:schemaRef ds:uri="http://schemas.microsoft.com/office/2006/metadata/properties"/>
    <ds:schemaRef ds:uri="http://schemas.microsoft.com/office/infopath/2007/PartnerControls"/>
  </ds:schemaRefs>
</ds:datastoreItem>
</file>

<file path=customXml/itemProps7.xml><?xml version="1.0" encoding="utf-8"?>
<ds:datastoreItem xmlns:ds="http://schemas.openxmlformats.org/officeDocument/2006/customXml" ds:itemID="{629645D1-3805-4F0E-8B32-5144132E7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50138</Words>
  <Characters>285787</Characters>
  <Application>Microsoft Office Word</Application>
  <DocSecurity>4</DocSecurity>
  <Lines>2381</Lines>
  <Paragraphs>670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335255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2019-08-15T06:17:00Z</dcterms:created>
  <dcterms:modified xsi:type="dcterms:W3CDTF">2019-08-15T06:17:00Z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