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5C58" w14:textId="77777777" w:rsidR="00804B11" w:rsidRPr="00D922AA" w:rsidRDefault="004E13E9" w:rsidP="004E13E9">
      <w:pPr>
        <w:pStyle w:val="Heading1"/>
        <w:rPr>
          <w:color w:val="37897E" w:themeColor="text2"/>
        </w:rPr>
      </w:pPr>
      <w:bookmarkStart w:id="0" w:name="_Toc371589092"/>
      <w:bookmarkStart w:id="1" w:name="_Toc373149154"/>
      <w:bookmarkStart w:id="2" w:name="_Toc399331811"/>
      <w:bookmarkStart w:id="3" w:name="_Toc399336992"/>
      <w:bookmarkStart w:id="4" w:name="_Toc402337597"/>
      <w:bookmarkStart w:id="5" w:name="_Toc312157232"/>
      <w:bookmarkStart w:id="6" w:name="_Toc298924672"/>
      <w:bookmarkStart w:id="7" w:name="_Toc300909555"/>
      <w:bookmarkStart w:id="8" w:name="_Toc348105636"/>
      <w:bookmarkStart w:id="9" w:name="_GoBack"/>
      <w:bookmarkEnd w:id="9"/>
      <w:r w:rsidRPr="00D922AA">
        <w:rPr>
          <w:color w:val="37897E" w:themeColor="text2"/>
        </w:rPr>
        <w:t>Chapter 4</w:t>
      </w:r>
      <w:r w:rsidRPr="00D922AA">
        <w:rPr>
          <w:color w:val="37897E" w:themeColor="text2"/>
        </w:rPr>
        <w:br/>
      </w:r>
      <w:r w:rsidR="00804B11" w:rsidRPr="00D922AA">
        <w:rPr>
          <w:color w:val="37897E" w:themeColor="text2"/>
        </w:rPr>
        <w:t xml:space="preserve">Broadcasting </w:t>
      </w:r>
      <w:r w:rsidR="009A1558" w:rsidRPr="00D922AA">
        <w:rPr>
          <w:color w:val="37897E" w:themeColor="text2"/>
        </w:rPr>
        <w:t xml:space="preserve">and online content industry </w:t>
      </w:r>
      <w:r w:rsidR="00804B11" w:rsidRPr="00D922AA">
        <w:rPr>
          <w:color w:val="37897E" w:themeColor="text2"/>
        </w:rPr>
        <w:t>regulatory performance</w:t>
      </w:r>
      <w:bookmarkEnd w:id="0"/>
      <w:bookmarkEnd w:id="1"/>
      <w:bookmarkEnd w:id="2"/>
      <w:bookmarkEnd w:id="3"/>
      <w:bookmarkEnd w:id="4"/>
      <w:r w:rsidR="00804B11" w:rsidRPr="00D922AA">
        <w:rPr>
          <w:color w:val="37897E" w:themeColor="text2"/>
        </w:rPr>
        <w:t xml:space="preserve"> </w:t>
      </w:r>
      <w:bookmarkEnd w:id="5"/>
    </w:p>
    <w:p w14:paraId="44B35C59" w14:textId="77777777" w:rsidR="009517EA" w:rsidRDefault="002B060C" w:rsidP="002B060C">
      <w:pPr>
        <w:pStyle w:val="Heading2"/>
        <w:tabs>
          <w:tab w:val="left" w:pos="851"/>
        </w:tabs>
        <w:ind w:left="567" w:hanging="567"/>
      </w:pPr>
      <w:bookmarkStart w:id="10" w:name="_Toc399331812"/>
      <w:bookmarkStart w:id="11" w:name="_Toc399336993"/>
      <w:bookmarkStart w:id="12" w:name="_Toc402337598"/>
      <w:r>
        <w:t>4.1</w:t>
      </w:r>
      <w:r>
        <w:tab/>
      </w:r>
      <w:r>
        <w:tab/>
      </w:r>
      <w:r w:rsidR="009517EA">
        <w:t>Overview</w:t>
      </w:r>
      <w:bookmarkEnd w:id="10"/>
      <w:bookmarkEnd w:id="11"/>
      <w:bookmarkEnd w:id="12"/>
    </w:p>
    <w:p w14:paraId="44B35C5A" w14:textId="77777777" w:rsidR="009517EA" w:rsidRPr="003A2311" w:rsidRDefault="009517EA" w:rsidP="009517EA">
      <w:r w:rsidRPr="003A2311">
        <w:t xml:space="preserve">Broadcasting legislation, program standards and licence conditions determine the regulatory obligations of commercial radio and television broadcasters in Australia. </w:t>
      </w:r>
      <w:r>
        <w:t>This chapter</w:t>
      </w:r>
      <w:r w:rsidRPr="003A2311">
        <w:t xml:space="preserve"> provides information on the performance of broadcasters in meeting their regulatory obligations. Information is also presented on the number of broadcasting-related complaints to the ACMA under broadcasting codes of practice and about prohibited and potentially prohibited online content under the </w:t>
      </w:r>
      <w:r w:rsidRPr="003A2311">
        <w:rPr>
          <w:i/>
        </w:rPr>
        <w:t xml:space="preserve">Broadcasting Services Act 1992 </w:t>
      </w:r>
      <w:r w:rsidRPr="003A2311">
        <w:t>(BSA).</w:t>
      </w:r>
    </w:p>
    <w:p w14:paraId="44B35C5B" w14:textId="77777777" w:rsidR="009517EA" w:rsidRPr="00452550" w:rsidRDefault="009517EA" w:rsidP="009517EA">
      <w:pPr>
        <w:rPr>
          <w:highlight w:val="yellow"/>
        </w:rPr>
      </w:pPr>
    </w:p>
    <w:p w14:paraId="44B35C5C" w14:textId="77777777" w:rsidR="009517EA" w:rsidRPr="003A2311" w:rsidRDefault="009517EA" w:rsidP="00051DCB">
      <w:pPr>
        <w:spacing w:after="120"/>
      </w:pPr>
      <w:r w:rsidRPr="003A2311">
        <w:t xml:space="preserve">Key </w:t>
      </w:r>
      <w:r>
        <w:t>outcomes</w:t>
      </w:r>
      <w:r w:rsidRPr="003A2311">
        <w:t xml:space="preserve"> relating to broadcasting compliance </w:t>
      </w:r>
      <w:r>
        <w:t xml:space="preserve">in the reporting period </w:t>
      </w:r>
      <w:r w:rsidRPr="003A2311">
        <w:t>included:</w:t>
      </w:r>
    </w:p>
    <w:p w14:paraId="44B35C5D" w14:textId="77777777" w:rsidR="009517EA" w:rsidRDefault="009517EA" w:rsidP="009517EA">
      <w:pPr>
        <w:pStyle w:val="ListBullet"/>
      </w:pPr>
      <w:r>
        <w:t xml:space="preserve">all </w:t>
      </w:r>
      <w:r w:rsidRPr="00AE7793">
        <w:t>major metropolitan free-to-air commercial network licensees me</w:t>
      </w:r>
      <w:r>
        <w:t>e</w:t>
      </w:r>
      <w:r w:rsidRPr="00AE7793">
        <w:t>t</w:t>
      </w:r>
      <w:r>
        <w:t>ing</w:t>
      </w:r>
      <w:r w:rsidRPr="00AE7793">
        <w:t xml:space="preserve"> the Australian content transmission quotas for overall content, drama and documentaries </w:t>
      </w:r>
    </w:p>
    <w:p w14:paraId="44B35C5E" w14:textId="77777777" w:rsidR="009517EA" w:rsidRPr="003A2311" w:rsidRDefault="009517EA" w:rsidP="009517EA">
      <w:pPr>
        <w:pStyle w:val="ListBullet"/>
      </w:pPr>
      <w:r>
        <w:t xml:space="preserve">all </w:t>
      </w:r>
      <w:r w:rsidRPr="003A2311">
        <w:t xml:space="preserve">commercial and national television broadcasters </w:t>
      </w:r>
      <w:r>
        <w:t>complying</w:t>
      </w:r>
      <w:r w:rsidRPr="003A2311">
        <w:t xml:space="preserve"> with their quota requirements for </w:t>
      </w:r>
      <w:r>
        <w:t>High Definition Television (</w:t>
      </w:r>
      <w:r w:rsidRPr="003A2311">
        <w:t>HDTV</w:t>
      </w:r>
      <w:r>
        <w:t>)</w:t>
      </w:r>
      <w:r w:rsidRPr="003A2311">
        <w:t xml:space="preserve"> transmission</w:t>
      </w:r>
    </w:p>
    <w:p w14:paraId="44B35C5F" w14:textId="77777777" w:rsidR="009517EA" w:rsidRPr="003A2311" w:rsidRDefault="009517EA" w:rsidP="009517EA">
      <w:pPr>
        <w:pStyle w:val="ListBullet"/>
      </w:pPr>
      <w:r w:rsidRPr="003A2311">
        <w:t xml:space="preserve">all regional commercial radio and television broadcasting licensees broadcasting the required amount of material of local significance </w:t>
      </w:r>
    </w:p>
    <w:p w14:paraId="44B35C60" w14:textId="77777777" w:rsidR="009517EA" w:rsidRPr="00C825A1" w:rsidRDefault="009517EA" w:rsidP="009517EA">
      <w:pPr>
        <w:pStyle w:val="ListBullet"/>
      </w:pPr>
      <w:r>
        <w:t>completion of the</w:t>
      </w:r>
      <w:r w:rsidRPr="00843C4E">
        <w:t xml:space="preserve"> switchover from analog to digital television broadcasting </w:t>
      </w:r>
      <w:r>
        <w:t>across Australia</w:t>
      </w:r>
    </w:p>
    <w:p w14:paraId="44B35C61" w14:textId="77777777" w:rsidR="009517EA" w:rsidRPr="00C825A1" w:rsidDel="004C10BF" w:rsidRDefault="009517EA" w:rsidP="00051DCB">
      <w:pPr>
        <w:pStyle w:val="ListBullet"/>
        <w:spacing w:after="240"/>
        <w:ind w:left="288" w:hanging="288"/>
      </w:pPr>
      <w:r>
        <w:t xml:space="preserve">an increase of nearly 550 per cent in the number of items </w:t>
      </w:r>
      <w:r w:rsidRPr="009B75CE">
        <w:t xml:space="preserve">of </w:t>
      </w:r>
      <w:r w:rsidR="009B75CE">
        <w:t xml:space="preserve">online </w:t>
      </w:r>
      <w:r w:rsidRPr="009B75CE">
        <w:t>child abuse and</w:t>
      </w:r>
      <w:r>
        <w:t xml:space="preserve"> other illegal material referred to law enforcement agencies. </w:t>
      </w:r>
    </w:p>
    <w:p w14:paraId="44B35C62" w14:textId="77777777" w:rsidR="009517EA" w:rsidRPr="000521F0" w:rsidRDefault="002B060C" w:rsidP="002B060C">
      <w:pPr>
        <w:pStyle w:val="Heading2"/>
        <w:tabs>
          <w:tab w:val="left" w:pos="851"/>
        </w:tabs>
        <w:ind w:left="567" w:hanging="567"/>
      </w:pPr>
      <w:bookmarkStart w:id="13" w:name="_Toc399331813"/>
      <w:bookmarkStart w:id="14" w:name="_Toc399336994"/>
      <w:bookmarkStart w:id="15" w:name="_Toc402337599"/>
      <w:r w:rsidRPr="000521F0">
        <w:t>4.2</w:t>
      </w:r>
      <w:r w:rsidRPr="000521F0">
        <w:tab/>
      </w:r>
      <w:r w:rsidRPr="000521F0">
        <w:tab/>
      </w:r>
      <w:r w:rsidR="009517EA" w:rsidRPr="000521F0">
        <w:t>Broadcasting in Australia</w:t>
      </w:r>
      <w:bookmarkEnd w:id="13"/>
      <w:bookmarkEnd w:id="14"/>
      <w:bookmarkEnd w:id="15"/>
    </w:p>
    <w:p w14:paraId="44B35C63" w14:textId="77777777" w:rsidR="009517EA" w:rsidRPr="000521F0" w:rsidRDefault="009517EA" w:rsidP="009517EA">
      <w:pPr>
        <w:rPr>
          <w:b/>
        </w:rPr>
      </w:pPr>
      <w:r w:rsidRPr="000521F0">
        <w:rPr>
          <w:b/>
        </w:rPr>
        <w:t>Setting the scene—Australians use of traditional broadcasting services</w:t>
      </w:r>
    </w:p>
    <w:p w14:paraId="44B35C64" w14:textId="77777777" w:rsidR="009517EA" w:rsidRDefault="009517EA" w:rsidP="009517EA">
      <w:r w:rsidRPr="000521F0">
        <w:t xml:space="preserve">Traditional television and radio services remain integral to Australian life. </w:t>
      </w:r>
      <w:r w:rsidR="0008060E" w:rsidRPr="000521F0">
        <w:t>During the reporting period</w:t>
      </w:r>
      <w:r w:rsidR="00ED664F" w:rsidRPr="000521F0">
        <w:t>, 93 </w:t>
      </w:r>
      <w:r w:rsidRPr="000521F0">
        <w:t xml:space="preserve">per cent of adults (people aged 18 years and over) </w:t>
      </w:r>
      <w:r w:rsidR="0008060E" w:rsidRPr="000521F0">
        <w:t xml:space="preserve">said they had </w:t>
      </w:r>
      <w:r w:rsidR="00ED664F" w:rsidRPr="000521F0">
        <w:t>watched p</w:t>
      </w:r>
      <w:r w:rsidR="001C6330" w:rsidRPr="000521F0">
        <w:t>ay TV or free-to-air</w:t>
      </w:r>
      <w:r w:rsidRPr="000521F0">
        <w:t xml:space="preserve"> television in the last seven days and 85 per cent</w:t>
      </w:r>
      <w:r w:rsidR="0008060E" w:rsidRPr="000521F0">
        <w:t xml:space="preserve"> said they had</w:t>
      </w:r>
      <w:r w:rsidRPr="000521F0">
        <w:t xml:space="preserve"> listened to commercial or community radio in the last seven days. The use of these services has remained relatively stable</w:t>
      </w:r>
      <w:r>
        <w:t xml:space="preserve"> over the past five years (</w:t>
      </w:r>
      <w:r>
        <w:fldChar w:fldCharType="begin"/>
      </w:r>
      <w:r>
        <w:instrText xml:space="preserve"> REF _Ref398716339 \h </w:instrText>
      </w:r>
      <w:r>
        <w:fldChar w:fldCharType="separate"/>
      </w:r>
      <w:r w:rsidR="006B4FBE">
        <w:t>Figure 4.</w:t>
      </w:r>
      <w:r>
        <w:fldChar w:fldCharType="end"/>
      </w:r>
      <w:r w:rsidR="00CC38B1">
        <w:t>1</w:t>
      </w:r>
      <w:r>
        <w:t xml:space="preserve">). </w:t>
      </w:r>
    </w:p>
    <w:p w14:paraId="44B35C65" w14:textId="77777777" w:rsidR="00ED664F" w:rsidRDefault="00ED664F">
      <w:pPr>
        <w:spacing w:line="240" w:lineRule="auto"/>
      </w:pPr>
      <w:r>
        <w:br w:type="page"/>
      </w:r>
    </w:p>
    <w:tbl>
      <w:tblPr>
        <w:tblW w:w="9645" w:type="dxa"/>
        <w:tblInd w:w="28" w:type="dxa"/>
        <w:tblLayout w:type="fixed"/>
        <w:tblCellMar>
          <w:left w:w="0" w:type="dxa"/>
          <w:right w:w="0" w:type="dxa"/>
        </w:tblCellMar>
        <w:tblLook w:val="01E0" w:firstRow="1" w:lastRow="1" w:firstColumn="1" w:lastColumn="1" w:noHBand="0" w:noVBand="0"/>
      </w:tblPr>
      <w:tblGrid>
        <w:gridCol w:w="9645"/>
      </w:tblGrid>
      <w:tr w:rsidR="009517EA" w14:paraId="44B35C67" w14:textId="77777777" w:rsidTr="009517EA">
        <w:trPr>
          <w:trHeight w:val="570"/>
        </w:trPr>
        <w:tc>
          <w:tcPr>
            <w:tcW w:w="9645" w:type="dxa"/>
            <w:tcBorders>
              <w:top w:val="single" w:sz="2" w:space="0" w:color="505050"/>
            </w:tcBorders>
            <w:shd w:val="clear" w:color="auto" w:fill="auto"/>
            <w:vAlign w:val="center"/>
          </w:tcPr>
          <w:p w14:paraId="44B35C66" w14:textId="77777777" w:rsidR="009517EA" w:rsidRPr="00A74B5E" w:rsidRDefault="00D666BD" w:rsidP="00002C66">
            <w:pPr>
              <w:pStyle w:val="Caption"/>
              <w:keepNext/>
            </w:pPr>
            <w:r>
              <w:lastRenderedPageBreak/>
              <w:br w:type="page"/>
            </w:r>
            <w:r w:rsidR="009517EA">
              <w:br w:type="page"/>
            </w:r>
            <w:bookmarkStart w:id="16" w:name="_Ref398716339"/>
            <w:bookmarkStart w:id="17" w:name="_Ref399324204"/>
            <w:r w:rsidR="009517EA">
              <w:t>Figure 4.</w:t>
            </w:r>
            <w:bookmarkEnd w:id="16"/>
            <w:r w:rsidR="00CE75E2">
              <w:fldChar w:fldCharType="begin"/>
            </w:r>
            <w:r w:rsidR="00CE75E2">
              <w:instrText xml:space="preserve"> SEQ Figure \r 1\* ARABIC </w:instrText>
            </w:r>
            <w:r w:rsidR="00CE75E2">
              <w:fldChar w:fldCharType="separate"/>
            </w:r>
            <w:r w:rsidR="006B4FBE">
              <w:rPr>
                <w:noProof/>
              </w:rPr>
              <w:t>1</w:t>
            </w:r>
            <w:r w:rsidR="00CE75E2">
              <w:fldChar w:fldCharType="end"/>
            </w:r>
            <w:bookmarkEnd w:id="17"/>
            <w:r w:rsidR="00ED664F">
              <w:t xml:space="preserve"> Use of </w:t>
            </w:r>
            <w:r w:rsidR="009517EA">
              <w:t>TV and radio</w:t>
            </w:r>
          </w:p>
        </w:tc>
      </w:tr>
      <w:tr w:rsidR="009517EA" w14:paraId="44B35C69" w14:textId="77777777" w:rsidTr="009517EA">
        <w:trPr>
          <w:trHeight w:val="3086"/>
        </w:trPr>
        <w:tc>
          <w:tcPr>
            <w:tcW w:w="9645" w:type="dxa"/>
            <w:shd w:val="clear" w:color="auto" w:fill="auto"/>
            <w:tcMar>
              <w:left w:w="28" w:type="dxa"/>
            </w:tcMar>
          </w:tcPr>
          <w:p w14:paraId="44B35C68" w14:textId="77777777" w:rsidR="009517EA" w:rsidRDefault="005B2DF5" w:rsidP="009517EA">
            <w:r>
              <w:rPr>
                <w:noProof/>
              </w:rPr>
              <w:drawing>
                <wp:inline distT="0" distB="0" distL="0" distR="0" wp14:anchorId="44B36361" wp14:editId="14E01D6C">
                  <wp:extent cx="6106795" cy="2369185"/>
                  <wp:effectExtent l="0" t="0" r="8255" b="0"/>
                  <wp:docPr id="56" name="Picture 56" descr="Data is available in the .csv file on http://www.acma.gov.au/commsreport" title="Figure 4.1 Use of TV and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e 4.1.png"/>
                          <pic:cNvPicPr/>
                        </pic:nvPicPr>
                        <pic:blipFill>
                          <a:blip r:embed="rId11">
                            <a:extLst>
                              <a:ext uri="{28A0092B-C50C-407E-A947-70E740481C1C}">
                                <a14:useLocalDpi xmlns:a14="http://schemas.microsoft.com/office/drawing/2010/main" val="0"/>
                              </a:ext>
                            </a:extLst>
                          </a:blip>
                          <a:stretch>
                            <a:fillRect/>
                          </a:stretch>
                        </pic:blipFill>
                        <pic:spPr>
                          <a:xfrm>
                            <a:off x="0" y="0"/>
                            <a:ext cx="6106795" cy="2369185"/>
                          </a:xfrm>
                          <a:prstGeom prst="rect">
                            <a:avLst/>
                          </a:prstGeom>
                        </pic:spPr>
                      </pic:pic>
                    </a:graphicData>
                  </a:graphic>
                </wp:inline>
              </w:drawing>
            </w:r>
          </w:p>
        </w:tc>
      </w:tr>
      <w:tr w:rsidR="009517EA" w14:paraId="44B35C6D" w14:textId="77777777" w:rsidTr="009517EA">
        <w:trPr>
          <w:trHeight w:val="291"/>
        </w:trPr>
        <w:tc>
          <w:tcPr>
            <w:tcW w:w="9645" w:type="dxa"/>
            <w:tcBorders>
              <w:bottom w:val="single" w:sz="2" w:space="0" w:color="505050"/>
            </w:tcBorders>
            <w:shd w:val="clear" w:color="auto" w:fill="auto"/>
          </w:tcPr>
          <w:p w14:paraId="44B35C6A" w14:textId="77777777" w:rsidR="009517EA" w:rsidRPr="00D25F01" w:rsidRDefault="009517EA" w:rsidP="002B060C">
            <w:pPr>
              <w:keepNext/>
              <w:spacing w:before="60" w:after="20" w:line="240" w:lineRule="auto"/>
              <w:rPr>
                <w:rFonts w:cs="Arial"/>
                <w:i/>
                <w:sz w:val="16"/>
                <w:szCs w:val="16"/>
              </w:rPr>
            </w:pPr>
            <w:r w:rsidRPr="00D25F01">
              <w:rPr>
                <w:rFonts w:cs="Arial"/>
                <w:i/>
                <w:sz w:val="16"/>
                <w:szCs w:val="16"/>
              </w:rPr>
              <w:t>*Data not available</w:t>
            </w:r>
            <w:r w:rsidR="00D23AB2" w:rsidRPr="00D25F01">
              <w:rPr>
                <w:rFonts w:cs="Arial"/>
                <w:i/>
                <w:sz w:val="16"/>
                <w:szCs w:val="16"/>
              </w:rPr>
              <w:t>.</w:t>
            </w:r>
          </w:p>
          <w:p w14:paraId="44B35C6B" w14:textId="77777777" w:rsidR="009517EA" w:rsidRPr="00D25F01" w:rsidRDefault="009517EA" w:rsidP="002B060C">
            <w:pPr>
              <w:keepNext/>
              <w:spacing w:after="20" w:line="240" w:lineRule="auto"/>
              <w:rPr>
                <w:rFonts w:cs="Arial"/>
                <w:i/>
                <w:sz w:val="16"/>
                <w:szCs w:val="16"/>
              </w:rPr>
            </w:pPr>
            <w:r w:rsidRPr="00D25F01">
              <w:rPr>
                <w:rFonts w:cs="Arial"/>
                <w:i/>
                <w:sz w:val="16"/>
                <w:szCs w:val="16"/>
              </w:rPr>
              <w:t xml:space="preserve">Base: </w:t>
            </w:r>
            <w:r w:rsidR="00C921B9">
              <w:rPr>
                <w:i/>
                <w:sz w:val="16"/>
                <w:szCs w:val="16"/>
              </w:rPr>
              <w:t>Percentage of Australians aged 18 years and over in an average seven-day period to June of each year.</w:t>
            </w:r>
          </w:p>
          <w:p w14:paraId="44B35C6C" w14:textId="77777777" w:rsidR="009517EA" w:rsidRDefault="009517EA" w:rsidP="002B060C">
            <w:pPr>
              <w:keepNext/>
              <w:spacing w:line="240" w:lineRule="auto"/>
            </w:pPr>
            <w:r w:rsidRPr="00D25F01">
              <w:rPr>
                <w:rFonts w:cs="Arial"/>
                <w:i/>
                <w:sz w:val="16"/>
                <w:szCs w:val="16"/>
              </w:rPr>
              <w:t>Source: Roy Morgan Single Source.</w:t>
            </w:r>
          </w:p>
        </w:tc>
      </w:tr>
    </w:tbl>
    <w:p w14:paraId="44B35C6E" w14:textId="77777777" w:rsidR="009517EA" w:rsidRPr="001153CF" w:rsidRDefault="009517EA" w:rsidP="009517EA"/>
    <w:p w14:paraId="44B35C6F" w14:textId="77777777" w:rsidR="009517EA" w:rsidRPr="000F7BF0" w:rsidRDefault="009517EA" w:rsidP="000F7BF0">
      <w:pPr>
        <w:rPr>
          <w:b/>
          <w:i/>
        </w:rPr>
      </w:pPr>
      <w:bookmarkStart w:id="18" w:name="_Toc399256792"/>
      <w:r w:rsidRPr="000F7BF0">
        <w:rPr>
          <w:b/>
          <w:i/>
        </w:rPr>
        <w:t>Emerging professional online video content services</w:t>
      </w:r>
      <w:bookmarkEnd w:id="18"/>
    </w:p>
    <w:p w14:paraId="44B35C70" w14:textId="77777777" w:rsidR="009517EA" w:rsidRDefault="009517EA" w:rsidP="004F0719">
      <w:pPr>
        <w:spacing w:after="80"/>
      </w:pPr>
      <w:r w:rsidRPr="007C42C4">
        <w:t xml:space="preserve">While </w:t>
      </w:r>
      <w:r>
        <w:t xml:space="preserve">Australians continue to access </w:t>
      </w:r>
      <w:r w:rsidRPr="007C42C4">
        <w:t>traditional</w:t>
      </w:r>
      <w:r>
        <w:t xml:space="preserve"> content </w:t>
      </w:r>
      <w:r w:rsidRPr="007C42C4">
        <w:t>services</w:t>
      </w:r>
      <w:r>
        <w:t>,</w:t>
      </w:r>
      <w:r w:rsidRPr="007C42C4">
        <w:t xml:space="preserve"> </w:t>
      </w:r>
      <w:r>
        <w:t>there is growing</w:t>
      </w:r>
      <w:r w:rsidRPr="007C42C4">
        <w:t xml:space="preserve"> demand for more flexible ways of accessing </w:t>
      </w:r>
      <w:r>
        <w:t xml:space="preserve">video and audio </w:t>
      </w:r>
      <w:r w:rsidRPr="007C42C4">
        <w:t>services.</w:t>
      </w:r>
      <w:r>
        <w:rPr>
          <w:rStyle w:val="EndnoteReference"/>
        </w:rPr>
        <w:t xml:space="preserve"> </w:t>
      </w:r>
      <w:r>
        <w:t xml:space="preserve">In the six months to </w:t>
      </w:r>
      <w:r w:rsidRPr="007C42C4">
        <w:t>May 201</w:t>
      </w:r>
      <w:r>
        <w:t>4</w:t>
      </w:r>
      <w:r w:rsidRPr="007C42C4">
        <w:t xml:space="preserve">, </w:t>
      </w:r>
      <w:r>
        <w:t xml:space="preserve">half (51 per cent) of adult </w:t>
      </w:r>
      <w:r w:rsidRPr="007C42C4">
        <w:t>Australian</w:t>
      </w:r>
      <w:r>
        <w:t xml:space="preserve"> internet user</w:t>
      </w:r>
      <w:r w:rsidRPr="007C42C4">
        <w:t xml:space="preserve">s </w:t>
      </w:r>
      <w:r>
        <w:t xml:space="preserve">had streamed </w:t>
      </w:r>
      <w:r w:rsidR="009B75CE">
        <w:t xml:space="preserve">professionally produced </w:t>
      </w:r>
      <w:r>
        <w:t xml:space="preserve">video or audio content and 47 per cent had downloaded video and audio content. More specifically: </w:t>
      </w:r>
    </w:p>
    <w:p w14:paraId="44B35C71" w14:textId="77777777" w:rsidR="009517EA" w:rsidRPr="000521F0" w:rsidRDefault="009517EA" w:rsidP="009517EA">
      <w:pPr>
        <w:pStyle w:val="ListBullet"/>
      </w:pPr>
      <w:r w:rsidRPr="00D13EEC">
        <w:t>42 per cent watched catch</w:t>
      </w:r>
      <w:r>
        <w:t>-</w:t>
      </w:r>
      <w:r w:rsidRPr="00D13EEC">
        <w:t>up TV on</w:t>
      </w:r>
      <w:r>
        <w:t>line</w:t>
      </w:r>
      <w:r w:rsidRPr="00D13EEC">
        <w:t xml:space="preserve"> for </w:t>
      </w:r>
      <w:r w:rsidRPr="000521F0">
        <w:t xml:space="preserve">free using free-to-air services such as Network 10 </w:t>
      </w:r>
      <w:r w:rsidR="00ED664F" w:rsidRPr="000521F0">
        <w:br/>
      </w:r>
      <w:r w:rsidRPr="000521F0">
        <w:t xml:space="preserve">Catch-up, ABC iView or Plus 7 </w:t>
      </w:r>
    </w:p>
    <w:p w14:paraId="44B35C72" w14:textId="77777777" w:rsidR="009517EA" w:rsidRPr="00D13EEC" w:rsidRDefault="009517EA" w:rsidP="009517EA">
      <w:pPr>
        <w:pStyle w:val="ListBullet"/>
      </w:pPr>
      <w:r w:rsidRPr="00D13EEC">
        <w:t>34 per cent streamed internet entertainment services such as Spotify</w:t>
      </w:r>
      <w:r>
        <w:t xml:space="preserve"> (commercial music streaming service)</w:t>
      </w:r>
      <w:r w:rsidRPr="00D13EEC">
        <w:t>, Pandora</w:t>
      </w:r>
      <w:r>
        <w:t xml:space="preserve"> (free ‘personali</w:t>
      </w:r>
      <w:r w:rsidR="00CC38B1">
        <w:t>s</w:t>
      </w:r>
      <w:r>
        <w:t>ed’ internet radio)</w:t>
      </w:r>
      <w:r w:rsidRPr="00D13EEC">
        <w:t>, SBS on Demand or ABC iView</w:t>
      </w:r>
    </w:p>
    <w:p w14:paraId="44B35C73" w14:textId="77777777" w:rsidR="009517EA" w:rsidRPr="00D13EEC" w:rsidRDefault="009517EA" w:rsidP="009517EA">
      <w:pPr>
        <w:pStyle w:val="ListBullet"/>
      </w:pPr>
      <w:r w:rsidRPr="00D13EEC">
        <w:t xml:space="preserve">13 per cent paid to watch video on demand online </w:t>
      </w:r>
      <w:r>
        <w:t>via</w:t>
      </w:r>
      <w:r w:rsidRPr="00D13EEC">
        <w:t xml:space="preserve"> services</w:t>
      </w:r>
      <w:r w:rsidR="002B060C">
        <w:t xml:space="preserve"> such as Quickflix or Foxtel on </w:t>
      </w:r>
      <w:r w:rsidRPr="00D13EEC">
        <w:t xml:space="preserve">Demand </w:t>
      </w:r>
    </w:p>
    <w:p w14:paraId="44B35C74" w14:textId="77777777" w:rsidR="009517EA" w:rsidRDefault="009517EA" w:rsidP="004F0719">
      <w:pPr>
        <w:pStyle w:val="ListBullet"/>
        <w:spacing w:after="240"/>
      </w:pPr>
      <w:r>
        <w:t>nine per cent watched commercial internet television, also known as IPTV, using services i</w:t>
      </w:r>
      <w:r w:rsidR="004F0719">
        <w:t xml:space="preserve">ncluding Fetch TV or Apple TV. </w:t>
      </w:r>
    </w:p>
    <w:p w14:paraId="44B35C75" w14:textId="77777777" w:rsidR="009517EA" w:rsidRDefault="002B060C" w:rsidP="002B060C">
      <w:pPr>
        <w:pStyle w:val="Heading2"/>
        <w:tabs>
          <w:tab w:val="left" w:pos="851"/>
        </w:tabs>
        <w:ind w:left="567" w:hanging="567"/>
      </w:pPr>
      <w:bookmarkStart w:id="19" w:name="_Toc399331814"/>
      <w:bookmarkStart w:id="20" w:name="_Toc399336995"/>
      <w:bookmarkStart w:id="21" w:name="_Toc402337600"/>
      <w:r>
        <w:t>4.3</w:t>
      </w:r>
      <w:r>
        <w:tab/>
      </w:r>
      <w:r>
        <w:tab/>
      </w:r>
      <w:r w:rsidR="009517EA">
        <w:t>Australian content on television</w:t>
      </w:r>
      <w:bookmarkEnd w:id="19"/>
      <w:bookmarkEnd w:id="20"/>
      <w:bookmarkEnd w:id="21"/>
    </w:p>
    <w:p w14:paraId="44B35C76" w14:textId="77777777" w:rsidR="009517EA" w:rsidRPr="009C7126" w:rsidRDefault="009517EA" w:rsidP="009517EA">
      <w:pPr>
        <w:spacing w:after="80"/>
        <w:rPr>
          <w:rFonts w:cs="Arial"/>
        </w:rPr>
      </w:pPr>
      <w:r w:rsidRPr="009C7126">
        <w:rPr>
          <w:rFonts w:cs="Arial"/>
        </w:rPr>
        <w:t>The BSA and the Broadcasting Services (Australian Content) Standard 2005 (Australian Content Standard) stipulates Australian content quotas for commercial television. Under the BSA, commercial television broadcasters must provide:</w:t>
      </w:r>
    </w:p>
    <w:p w14:paraId="44B35C77" w14:textId="77777777" w:rsidR="009517EA" w:rsidRPr="009C7126" w:rsidRDefault="009517EA" w:rsidP="009517EA">
      <w:pPr>
        <w:pStyle w:val="ListBullet"/>
        <w:rPr>
          <w:rFonts w:cs="Arial"/>
        </w:rPr>
      </w:pPr>
      <w:r w:rsidRPr="009C7126">
        <w:rPr>
          <w:rFonts w:cs="Arial"/>
        </w:rPr>
        <w:t>55 per cent Australian content, between 6</w:t>
      </w:r>
      <w:r w:rsidR="00002C66">
        <w:rPr>
          <w:rFonts w:cs="Arial"/>
        </w:rPr>
        <w:t>.00</w:t>
      </w:r>
      <w:r>
        <w:rPr>
          <w:rFonts w:cs="Arial"/>
        </w:rPr>
        <w:t xml:space="preserve"> </w:t>
      </w:r>
      <w:r w:rsidRPr="009C7126">
        <w:rPr>
          <w:rFonts w:cs="Arial"/>
        </w:rPr>
        <w:t>am and midnight across the year, on their core/primary broadcasting service</w:t>
      </w:r>
    </w:p>
    <w:p w14:paraId="44B35C78" w14:textId="77777777" w:rsidR="009517EA" w:rsidRPr="009C7126" w:rsidRDefault="009517EA" w:rsidP="004F0719">
      <w:pPr>
        <w:pStyle w:val="ListBullet"/>
        <w:spacing w:after="240"/>
        <w:rPr>
          <w:rFonts w:cs="Arial"/>
        </w:rPr>
      </w:pPr>
      <w:r w:rsidRPr="009C7126">
        <w:rPr>
          <w:rFonts w:cs="Arial"/>
        </w:rPr>
        <w:t xml:space="preserve">a minimum level of Australian programming on television broadcasting services other than their core/primary broadcasting service (multi-channels). </w:t>
      </w:r>
      <w:r w:rsidRPr="009C7126">
        <w:t>For 2013, this requirement is 730 hours, increasing to 1,460 hours in 2015 and beyond.</w:t>
      </w:r>
    </w:p>
    <w:p w14:paraId="44B35C79" w14:textId="77777777" w:rsidR="009517EA" w:rsidRPr="009C7126" w:rsidRDefault="009517EA" w:rsidP="009517EA">
      <w:pPr>
        <w:pStyle w:val="ListBullet"/>
        <w:numPr>
          <w:ilvl w:val="0"/>
          <w:numId w:val="0"/>
        </w:numPr>
        <w:rPr>
          <w:rFonts w:cs="Arial"/>
        </w:rPr>
      </w:pPr>
      <w:r w:rsidRPr="009C7126">
        <w:rPr>
          <w:rFonts w:cs="Arial"/>
        </w:rPr>
        <w:t>The Australian Content Standard requires commercial television broadcasters to:</w:t>
      </w:r>
    </w:p>
    <w:p w14:paraId="44B35C7A" w14:textId="77777777" w:rsidR="009517EA" w:rsidRPr="009C7126" w:rsidRDefault="009517EA" w:rsidP="009517EA">
      <w:pPr>
        <w:pStyle w:val="ListBullet"/>
        <w:rPr>
          <w:rFonts w:cs="Arial"/>
        </w:rPr>
      </w:pPr>
      <w:r w:rsidRPr="009C7126">
        <w:rPr>
          <w:rFonts w:cs="Arial"/>
        </w:rPr>
        <w:t>broadcast minimum amounts of first-release Australian drama and documentary programs</w:t>
      </w:r>
    </w:p>
    <w:p w14:paraId="44B35C7B" w14:textId="77777777" w:rsidR="009517EA" w:rsidRPr="009C7126" w:rsidRDefault="009517EA" w:rsidP="009517EA">
      <w:pPr>
        <w:pStyle w:val="ListBullet"/>
        <w:rPr>
          <w:rFonts w:cs="Arial"/>
        </w:rPr>
      </w:pPr>
      <w:r w:rsidRPr="009C7126">
        <w:rPr>
          <w:rFonts w:cs="Arial"/>
        </w:rPr>
        <w:t xml:space="preserve">broadcast minimum amounts of Australian-made children’s programs </w:t>
      </w:r>
    </w:p>
    <w:p w14:paraId="44B35C7C" w14:textId="77777777" w:rsidR="009517EA" w:rsidRPr="009C7126" w:rsidRDefault="009517EA" w:rsidP="009517EA">
      <w:pPr>
        <w:pStyle w:val="ListBullet"/>
        <w:spacing w:after="240"/>
        <w:rPr>
          <w:rFonts w:cs="Arial"/>
        </w:rPr>
      </w:pPr>
      <w:r w:rsidRPr="009C7126">
        <w:rPr>
          <w:rFonts w:cs="Arial"/>
        </w:rPr>
        <w:t>ensure that all preschool programs are Australian</w:t>
      </w:r>
      <w:r>
        <w:rPr>
          <w:rFonts w:cs="Arial"/>
        </w:rPr>
        <w:t xml:space="preserve"> programs</w:t>
      </w:r>
      <w:r w:rsidRPr="009C7126">
        <w:rPr>
          <w:rFonts w:cs="Arial"/>
        </w:rPr>
        <w:t>.</w:t>
      </w:r>
    </w:p>
    <w:p w14:paraId="44B35C7D" w14:textId="77777777" w:rsidR="009517EA" w:rsidRPr="00BC51F0" w:rsidRDefault="009517EA" w:rsidP="002B060C">
      <w:pPr>
        <w:keepLines/>
      </w:pPr>
      <w:r w:rsidRPr="00BC51F0">
        <w:t>The major metropolitan free-to-air commercial network licensees</w:t>
      </w:r>
      <w:r>
        <w:t xml:space="preserve"> all</w:t>
      </w:r>
      <w:r w:rsidRPr="00BC51F0">
        <w:t xml:space="preserve"> met the Australian content transmission quotas for overall content, drama and documentaries for the</w:t>
      </w:r>
      <w:r w:rsidR="009A1558">
        <w:t xml:space="preserve"> 2013</w:t>
      </w:r>
      <w:r w:rsidRPr="00BC51F0">
        <w:t xml:space="preserve"> period (</w:t>
      </w:r>
      <w:r w:rsidR="00B468A2">
        <w:fldChar w:fldCharType="begin"/>
      </w:r>
      <w:r w:rsidR="00B468A2">
        <w:instrText xml:space="preserve"> REF _Ref399324233 \h </w:instrText>
      </w:r>
      <w:r w:rsidR="00B468A2">
        <w:fldChar w:fldCharType="separate"/>
      </w:r>
      <w:r w:rsidR="006B4FBE">
        <w:rPr>
          <w:noProof/>
        </w:rPr>
        <w:t>Table</w:t>
      </w:r>
      <w:r w:rsidR="006B4FBE">
        <w:t xml:space="preserve"> 4.</w:t>
      </w:r>
      <w:r w:rsidR="006B4FBE">
        <w:rPr>
          <w:noProof/>
        </w:rPr>
        <w:t>1</w:t>
      </w:r>
      <w:r w:rsidR="00B468A2">
        <w:fldChar w:fldCharType="end"/>
      </w:r>
      <w:r w:rsidRPr="00BC51F0">
        <w:t>). Assessment for these quota requirements are calendar-year based</w:t>
      </w:r>
      <w:r>
        <w:t xml:space="preserve">. </w:t>
      </w:r>
      <w:r w:rsidRPr="00BC51F0">
        <w:rPr>
          <w:rFonts w:cs="Arial"/>
        </w:rPr>
        <w:t xml:space="preserve">2013 also marked the completion of a latest triennial period for </w:t>
      </w:r>
      <w:r>
        <w:rPr>
          <w:rFonts w:cs="Arial"/>
        </w:rPr>
        <w:t>Australian first</w:t>
      </w:r>
      <w:r w:rsidR="00CC38B1">
        <w:rPr>
          <w:rFonts w:cs="Arial"/>
        </w:rPr>
        <w:t>-</w:t>
      </w:r>
      <w:r>
        <w:rPr>
          <w:rFonts w:cs="Arial"/>
        </w:rPr>
        <w:t>release drama.</w:t>
      </w:r>
    </w:p>
    <w:p w14:paraId="44B35C7E" w14:textId="77777777" w:rsidR="009517EA" w:rsidRPr="00942B24" w:rsidRDefault="009517EA" w:rsidP="009517EA">
      <w:pPr>
        <w:rPr>
          <w:rFonts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C80" w14:textId="77777777" w:rsidTr="009517EA">
        <w:trPr>
          <w:trHeight w:val="570"/>
        </w:trPr>
        <w:tc>
          <w:tcPr>
            <w:tcW w:w="9645" w:type="dxa"/>
            <w:tcBorders>
              <w:top w:val="single" w:sz="2" w:space="0" w:color="505050"/>
            </w:tcBorders>
            <w:shd w:val="clear" w:color="auto" w:fill="auto"/>
            <w:vAlign w:val="center"/>
          </w:tcPr>
          <w:p w14:paraId="44B35C7F" w14:textId="77777777" w:rsidR="009517EA" w:rsidRPr="00A74B5E" w:rsidRDefault="009517EA" w:rsidP="00D41B98">
            <w:pPr>
              <w:pStyle w:val="Caption"/>
              <w:spacing w:before="160" w:after="120"/>
            </w:pPr>
            <w:bookmarkStart w:id="22" w:name="_Ref398716440"/>
            <w:bookmarkStart w:id="23" w:name="_Ref399324233"/>
            <w:r>
              <w:rPr>
                <w:noProof/>
              </w:rPr>
              <w:lastRenderedPageBreak/>
              <w:t>Table</w:t>
            </w:r>
            <w:r>
              <w:t xml:space="preserve"> 4.</w:t>
            </w:r>
            <w:bookmarkEnd w:id="22"/>
            <w:r w:rsidR="00CE75E2">
              <w:fldChar w:fldCharType="begin"/>
            </w:r>
            <w:r w:rsidR="00CE75E2">
              <w:instrText xml:space="preserve"> SEQ Table \r 1\* ARABIC </w:instrText>
            </w:r>
            <w:r w:rsidR="00CE75E2">
              <w:fldChar w:fldCharType="separate"/>
            </w:r>
            <w:r w:rsidR="006B4FBE">
              <w:rPr>
                <w:noProof/>
              </w:rPr>
              <w:t>1</w:t>
            </w:r>
            <w:r w:rsidR="00CE75E2">
              <w:fldChar w:fldCharType="end"/>
            </w:r>
            <w:bookmarkEnd w:id="23"/>
            <w:r>
              <w:t xml:space="preserve"> Ma</w:t>
            </w:r>
            <w:r w:rsidRPr="00BC51F0">
              <w:rPr>
                <w:rFonts w:cs="Arial"/>
              </w:rPr>
              <w:t>jor metropolitan free-to-air commercial network licensee requirements of the Australian Content Standard for the 2013 calendar year</w:t>
            </w:r>
          </w:p>
        </w:tc>
      </w:tr>
      <w:tr w:rsidR="009517EA" w14:paraId="44B35CBE" w14:textId="77777777" w:rsidTr="009517EA">
        <w:trPr>
          <w:trHeight w:val="3086"/>
        </w:trPr>
        <w:tc>
          <w:tcPr>
            <w:tcW w:w="9645" w:type="dxa"/>
            <w:shd w:val="clear" w:color="auto" w:fill="auto"/>
            <w:tcMar>
              <w:left w:w="28" w:type="dxa"/>
            </w:tcMar>
          </w:tcPr>
          <w:tbl>
            <w:tblPr>
              <w:tblStyle w:val="TableGrid"/>
              <w:tblW w:w="902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367"/>
              <w:gridCol w:w="1843"/>
              <w:gridCol w:w="992"/>
              <w:gridCol w:w="1204"/>
              <w:gridCol w:w="1205"/>
              <w:gridCol w:w="1205"/>
              <w:gridCol w:w="1205"/>
            </w:tblGrid>
            <w:tr w:rsidR="000D7C39" w14:paraId="44B35C86" w14:textId="77777777" w:rsidTr="001720E3">
              <w:trPr>
                <w:trHeight w:val="349"/>
              </w:trPr>
              <w:tc>
                <w:tcPr>
                  <w:tcW w:w="1367" w:type="dxa"/>
                  <w:shd w:val="clear" w:color="auto" w:fill="FFFFFF" w:themeFill="background1"/>
                  <w:vAlign w:val="center"/>
                </w:tcPr>
                <w:p w14:paraId="44B35C81" w14:textId="77777777" w:rsidR="000D7C39" w:rsidRPr="00394FEB" w:rsidRDefault="000D7C39" w:rsidP="009517EA">
                  <w:pPr>
                    <w:spacing w:before="60" w:after="60" w:line="240" w:lineRule="auto"/>
                    <w:rPr>
                      <w:rFonts w:cs="Arial"/>
                      <w:b/>
                      <w:bCs/>
                      <w:color w:val="FFFFFF" w:themeColor="background1"/>
                      <w:sz w:val="18"/>
                      <w:szCs w:val="18"/>
                    </w:rPr>
                  </w:pPr>
                </w:p>
              </w:tc>
              <w:tc>
                <w:tcPr>
                  <w:tcW w:w="1843" w:type="dxa"/>
                  <w:shd w:val="clear" w:color="auto" w:fill="FFFFFF" w:themeFill="background1"/>
                </w:tcPr>
                <w:p w14:paraId="44B35C82" w14:textId="77777777" w:rsidR="000D7C39" w:rsidRPr="00394FEB" w:rsidRDefault="000D7C39" w:rsidP="009517EA">
                  <w:pPr>
                    <w:spacing w:before="60" w:after="60" w:line="240" w:lineRule="auto"/>
                    <w:rPr>
                      <w:rFonts w:cs="Arial"/>
                      <w:b/>
                      <w:bCs/>
                      <w:color w:val="FFFFFF" w:themeColor="background1"/>
                      <w:sz w:val="18"/>
                      <w:szCs w:val="18"/>
                    </w:rPr>
                  </w:pPr>
                </w:p>
              </w:tc>
              <w:tc>
                <w:tcPr>
                  <w:tcW w:w="992" w:type="dxa"/>
                  <w:tcBorders>
                    <w:right w:val="single" w:sz="18" w:space="0" w:color="FFFFFF" w:themeColor="background1"/>
                  </w:tcBorders>
                  <w:shd w:val="clear" w:color="auto" w:fill="FFFFFF" w:themeFill="background1"/>
                  <w:vAlign w:val="center"/>
                </w:tcPr>
                <w:p w14:paraId="44B35C83" w14:textId="77777777" w:rsidR="000D7C39" w:rsidRPr="00394FEB" w:rsidRDefault="000D7C39" w:rsidP="009517EA">
                  <w:pPr>
                    <w:spacing w:before="60" w:after="60" w:line="240" w:lineRule="auto"/>
                    <w:rPr>
                      <w:rFonts w:cs="Arial"/>
                      <w:b/>
                      <w:bCs/>
                      <w:color w:val="FFFFFF" w:themeColor="background1"/>
                      <w:sz w:val="18"/>
                      <w:szCs w:val="18"/>
                    </w:rPr>
                  </w:pPr>
                </w:p>
              </w:tc>
              <w:tc>
                <w:tcPr>
                  <w:tcW w:w="1204"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37897E" w:themeFill="text2"/>
                  <w:vAlign w:val="center"/>
                </w:tcPr>
                <w:p w14:paraId="44B35C84" w14:textId="77777777" w:rsidR="000D7C39" w:rsidRDefault="000D7C39" w:rsidP="009517EA">
                  <w:pPr>
                    <w:ind w:right="104"/>
                    <w:jc w:val="right"/>
                    <w:rPr>
                      <w:rFonts w:cs="Arial"/>
                      <w:b/>
                      <w:bCs/>
                      <w:color w:val="FFFFFF" w:themeColor="background1"/>
                      <w:sz w:val="18"/>
                      <w:szCs w:val="18"/>
                    </w:rPr>
                  </w:pPr>
                  <w:r>
                    <w:rPr>
                      <w:rFonts w:cs="Arial"/>
                      <w:b/>
                      <w:bCs/>
                      <w:color w:val="FFFFFF" w:themeColor="background1"/>
                      <w:sz w:val="18"/>
                      <w:szCs w:val="18"/>
                    </w:rPr>
                    <w:t>Minimum quota*</w:t>
                  </w:r>
                </w:p>
              </w:tc>
              <w:tc>
                <w:tcPr>
                  <w:tcW w:w="3615" w:type="dxa"/>
                  <w:gridSpan w:val="3"/>
                  <w:tcBorders>
                    <w:left w:val="single" w:sz="18" w:space="0" w:color="FFFFFF" w:themeColor="background1"/>
                  </w:tcBorders>
                  <w:shd w:val="clear" w:color="auto" w:fill="37897E" w:themeFill="text2"/>
                </w:tcPr>
                <w:p w14:paraId="44B35C85" w14:textId="77777777" w:rsidR="000D7C39" w:rsidRDefault="000D7C39" w:rsidP="009517EA">
                  <w:pPr>
                    <w:spacing w:before="60" w:after="60" w:line="240" w:lineRule="auto"/>
                    <w:ind w:right="104"/>
                    <w:jc w:val="center"/>
                    <w:rPr>
                      <w:rFonts w:cs="Arial"/>
                      <w:b/>
                      <w:bCs/>
                      <w:color w:val="FFFFFF" w:themeColor="background1"/>
                      <w:sz w:val="18"/>
                      <w:szCs w:val="18"/>
                    </w:rPr>
                  </w:pPr>
                  <w:r>
                    <w:rPr>
                      <w:rFonts w:cs="Arial"/>
                      <w:b/>
                      <w:bCs/>
                      <w:color w:val="FFFFFF" w:themeColor="background1"/>
                      <w:sz w:val="18"/>
                      <w:szCs w:val="18"/>
                    </w:rPr>
                    <w:t>Licensees</w:t>
                  </w:r>
                </w:p>
              </w:tc>
            </w:tr>
            <w:tr w:rsidR="000D7C39" w14:paraId="44B35C8E" w14:textId="77777777" w:rsidTr="001720E3">
              <w:trPr>
                <w:trHeight w:val="594"/>
              </w:trPr>
              <w:tc>
                <w:tcPr>
                  <w:tcW w:w="1367" w:type="dxa"/>
                  <w:shd w:val="clear" w:color="auto" w:fill="FFFFFF" w:themeFill="background1"/>
                  <w:vAlign w:val="center"/>
                </w:tcPr>
                <w:p w14:paraId="44B35C87" w14:textId="77777777" w:rsidR="000D7C39" w:rsidRPr="00394FEB" w:rsidRDefault="000D7C39" w:rsidP="009517EA">
                  <w:pPr>
                    <w:spacing w:before="60" w:after="60" w:line="240" w:lineRule="auto"/>
                    <w:rPr>
                      <w:rFonts w:cs="Arial"/>
                      <w:b/>
                      <w:bCs/>
                      <w:color w:val="FFFFFF" w:themeColor="background1"/>
                      <w:sz w:val="18"/>
                      <w:szCs w:val="18"/>
                    </w:rPr>
                  </w:pPr>
                </w:p>
              </w:tc>
              <w:tc>
                <w:tcPr>
                  <w:tcW w:w="1843" w:type="dxa"/>
                  <w:tcBorders>
                    <w:bottom w:val="single" w:sz="18" w:space="0" w:color="FFFFFF" w:themeColor="background1"/>
                  </w:tcBorders>
                  <w:shd w:val="clear" w:color="auto" w:fill="FFFFFF" w:themeFill="background1"/>
                </w:tcPr>
                <w:p w14:paraId="44B35C88" w14:textId="77777777" w:rsidR="000D7C39" w:rsidRPr="00394FEB" w:rsidRDefault="000D7C39" w:rsidP="009517EA">
                  <w:pPr>
                    <w:spacing w:before="60" w:after="60" w:line="240" w:lineRule="auto"/>
                    <w:rPr>
                      <w:rFonts w:cs="Arial"/>
                      <w:b/>
                      <w:bCs/>
                      <w:color w:val="FFFFFF" w:themeColor="background1"/>
                      <w:sz w:val="18"/>
                      <w:szCs w:val="18"/>
                    </w:rPr>
                  </w:pPr>
                </w:p>
              </w:tc>
              <w:tc>
                <w:tcPr>
                  <w:tcW w:w="992" w:type="dxa"/>
                  <w:tcBorders>
                    <w:right w:val="single" w:sz="18" w:space="0" w:color="FFFFFF" w:themeColor="background1"/>
                  </w:tcBorders>
                  <w:shd w:val="clear" w:color="auto" w:fill="FFFFFF" w:themeFill="background1"/>
                  <w:vAlign w:val="center"/>
                </w:tcPr>
                <w:p w14:paraId="44B35C89" w14:textId="77777777" w:rsidR="000D7C39" w:rsidRPr="00394FEB" w:rsidRDefault="000D7C39" w:rsidP="009517EA">
                  <w:pPr>
                    <w:spacing w:before="60" w:after="60" w:line="240" w:lineRule="auto"/>
                    <w:rPr>
                      <w:rFonts w:cs="Arial"/>
                      <w:b/>
                      <w:bCs/>
                      <w:color w:val="FFFFFF" w:themeColor="background1"/>
                      <w:sz w:val="18"/>
                      <w:szCs w:val="18"/>
                    </w:rPr>
                  </w:pPr>
                </w:p>
              </w:tc>
              <w:tc>
                <w:tcPr>
                  <w:tcW w:w="1204" w:type="dxa"/>
                  <w:vMerge/>
                  <w:tcBorders>
                    <w:left w:val="single" w:sz="18" w:space="0" w:color="FFFFFF" w:themeColor="background1"/>
                    <w:right w:val="single" w:sz="18" w:space="0" w:color="FFFFFF" w:themeColor="background1"/>
                  </w:tcBorders>
                  <w:shd w:val="clear" w:color="auto" w:fill="37897E" w:themeFill="text2"/>
                </w:tcPr>
                <w:p w14:paraId="44B35C8A" w14:textId="77777777" w:rsidR="000D7C39" w:rsidRPr="00394FEB" w:rsidRDefault="000D7C39" w:rsidP="009517EA">
                  <w:pPr>
                    <w:ind w:right="104"/>
                    <w:jc w:val="right"/>
                    <w:rPr>
                      <w:rFonts w:cs="Arial"/>
                      <w:b/>
                      <w:bCs/>
                      <w:color w:val="FFFFFF" w:themeColor="background1"/>
                      <w:sz w:val="18"/>
                      <w:szCs w:val="18"/>
                    </w:rPr>
                  </w:pPr>
                </w:p>
              </w:tc>
              <w:tc>
                <w:tcPr>
                  <w:tcW w:w="1205" w:type="dxa"/>
                  <w:tcBorders>
                    <w:left w:val="single" w:sz="18" w:space="0" w:color="FFFFFF" w:themeColor="background1"/>
                  </w:tcBorders>
                  <w:shd w:val="clear" w:color="auto" w:fill="37897E" w:themeFill="text2"/>
                </w:tcPr>
                <w:p w14:paraId="44B35C8B" w14:textId="77777777" w:rsidR="000D7C39" w:rsidRPr="00394FEB" w:rsidRDefault="000D7C39" w:rsidP="009517EA">
                  <w:pPr>
                    <w:spacing w:before="60" w:after="60" w:line="240" w:lineRule="auto"/>
                    <w:ind w:right="104"/>
                    <w:jc w:val="right"/>
                    <w:rPr>
                      <w:rFonts w:cs="Arial"/>
                      <w:b/>
                      <w:bCs/>
                      <w:color w:val="FFFFFF" w:themeColor="background1"/>
                      <w:sz w:val="18"/>
                      <w:szCs w:val="18"/>
                    </w:rPr>
                  </w:pPr>
                  <w:r>
                    <w:rPr>
                      <w:rFonts w:cs="Arial"/>
                      <w:b/>
                      <w:bCs/>
                      <w:color w:val="FFFFFF" w:themeColor="background1"/>
                      <w:sz w:val="18"/>
                      <w:szCs w:val="18"/>
                    </w:rPr>
                    <w:t>Seven Network</w:t>
                  </w:r>
                </w:p>
              </w:tc>
              <w:tc>
                <w:tcPr>
                  <w:tcW w:w="1205" w:type="dxa"/>
                  <w:shd w:val="clear" w:color="auto" w:fill="37897E" w:themeFill="text2"/>
                </w:tcPr>
                <w:p w14:paraId="44B35C8C" w14:textId="77777777" w:rsidR="000D7C39" w:rsidRPr="00394FEB" w:rsidRDefault="000D7C39" w:rsidP="009517EA">
                  <w:pPr>
                    <w:spacing w:before="60" w:after="60" w:line="240" w:lineRule="auto"/>
                    <w:ind w:right="104"/>
                    <w:jc w:val="right"/>
                    <w:rPr>
                      <w:rFonts w:cs="Arial"/>
                      <w:b/>
                      <w:bCs/>
                      <w:color w:val="FFFFFF" w:themeColor="background1"/>
                      <w:sz w:val="18"/>
                      <w:szCs w:val="18"/>
                    </w:rPr>
                  </w:pPr>
                  <w:r>
                    <w:rPr>
                      <w:rFonts w:cs="Arial"/>
                      <w:b/>
                      <w:bCs/>
                      <w:color w:val="FFFFFF" w:themeColor="background1"/>
                      <w:sz w:val="18"/>
                      <w:szCs w:val="18"/>
                    </w:rPr>
                    <w:t>Nine Network</w:t>
                  </w:r>
                </w:p>
              </w:tc>
              <w:tc>
                <w:tcPr>
                  <w:tcW w:w="1205" w:type="dxa"/>
                  <w:shd w:val="clear" w:color="auto" w:fill="37897E" w:themeFill="text2"/>
                </w:tcPr>
                <w:p w14:paraId="44B35C8D" w14:textId="77777777" w:rsidR="000D7C39" w:rsidRPr="00394FEB" w:rsidRDefault="000D7C39" w:rsidP="009517EA">
                  <w:pPr>
                    <w:spacing w:before="60" w:after="60" w:line="240" w:lineRule="auto"/>
                    <w:ind w:right="104"/>
                    <w:jc w:val="right"/>
                    <w:rPr>
                      <w:rFonts w:cs="Arial"/>
                      <w:b/>
                      <w:bCs/>
                      <w:color w:val="FFFFFF" w:themeColor="background1"/>
                      <w:sz w:val="18"/>
                      <w:szCs w:val="18"/>
                    </w:rPr>
                  </w:pPr>
                  <w:r>
                    <w:rPr>
                      <w:rFonts w:cs="Arial"/>
                      <w:b/>
                      <w:bCs/>
                      <w:color w:val="FFFFFF" w:themeColor="background1"/>
                      <w:sz w:val="18"/>
                      <w:szCs w:val="18"/>
                    </w:rPr>
                    <w:t>Ten Network</w:t>
                  </w:r>
                </w:p>
              </w:tc>
            </w:tr>
            <w:tr w:rsidR="009517EA" w14:paraId="44B35C9A" w14:textId="77777777" w:rsidTr="009517EA">
              <w:trPr>
                <w:trHeight w:val="777"/>
              </w:trPr>
              <w:tc>
                <w:tcPr>
                  <w:tcW w:w="1367" w:type="dxa"/>
                  <w:vMerge w:val="restart"/>
                  <w:tcBorders>
                    <w:right w:val="nil"/>
                  </w:tcBorders>
                  <w:shd w:val="clear" w:color="auto" w:fill="76C8BD" w:themeFill="text2" w:themeFillTint="99"/>
                </w:tcPr>
                <w:p w14:paraId="44B35C8F" w14:textId="77777777" w:rsidR="00B05190" w:rsidRPr="00B05190" w:rsidRDefault="00B05190" w:rsidP="00B05190">
                  <w:pPr>
                    <w:spacing w:line="240" w:lineRule="auto"/>
                    <w:rPr>
                      <w:b/>
                      <w:color w:val="FFFFFF" w:themeColor="background1"/>
                      <w:sz w:val="10"/>
                      <w:szCs w:val="10"/>
                    </w:rPr>
                  </w:pPr>
                </w:p>
                <w:p w14:paraId="44B35C90" w14:textId="77777777" w:rsidR="009517EA" w:rsidRPr="00EE355A" w:rsidRDefault="00E150F6" w:rsidP="00EC0FD5">
                  <w:pPr>
                    <w:rPr>
                      <w:b/>
                      <w:color w:val="FFFFFF" w:themeColor="background1"/>
                      <w:sz w:val="18"/>
                    </w:rPr>
                  </w:pPr>
                  <w:r>
                    <w:rPr>
                      <w:b/>
                      <w:noProof/>
                      <w:color w:val="FFFFFF" w:themeColor="background1"/>
                      <w:sz w:val="18"/>
                    </w:rPr>
                    <w:drawing>
                      <wp:inline distT="0" distB="0" distL="0" distR="0" wp14:anchorId="44B36363" wp14:editId="44B36364">
                        <wp:extent cx="446400" cy="410400"/>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con-16.png"/>
                                <pic:cNvPicPr/>
                              </pic:nvPicPr>
                              <pic:blipFill>
                                <a:blip r:embed="rId12">
                                  <a:extLst>
                                    <a:ext uri="{28A0092B-C50C-407E-A947-70E740481C1C}">
                                      <a14:useLocalDpi xmlns:a14="http://schemas.microsoft.com/office/drawing/2010/main" val="0"/>
                                    </a:ext>
                                  </a:extLst>
                                </a:blip>
                                <a:stretch>
                                  <a:fillRect/>
                                </a:stretch>
                              </pic:blipFill>
                              <pic:spPr>
                                <a:xfrm>
                                  <a:off x="0" y="0"/>
                                  <a:ext cx="446400" cy="410400"/>
                                </a:xfrm>
                                <a:prstGeom prst="rect">
                                  <a:avLst/>
                                </a:prstGeom>
                              </pic:spPr>
                            </pic:pic>
                          </a:graphicData>
                        </a:graphic>
                      </wp:inline>
                    </w:drawing>
                  </w:r>
                </w:p>
                <w:p w14:paraId="44B35C91" w14:textId="77777777" w:rsidR="009517EA" w:rsidRPr="00EE355A" w:rsidRDefault="009517EA" w:rsidP="00B05190">
                  <w:pPr>
                    <w:spacing w:line="240" w:lineRule="auto"/>
                    <w:rPr>
                      <w:b/>
                      <w:color w:val="FFFFFF" w:themeColor="background1"/>
                      <w:sz w:val="18"/>
                    </w:rPr>
                  </w:pPr>
                </w:p>
                <w:p w14:paraId="44B35C92" w14:textId="77777777" w:rsidR="009517EA" w:rsidRPr="00EE355A" w:rsidRDefault="009517EA" w:rsidP="009517EA">
                  <w:pPr>
                    <w:rPr>
                      <w:b/>
                      <w:color w:val="FFFFFF" w:themeColor="background1"/>
                      <w:sz w:val="18"/>
                    </w:rPr>
                  </w:pPr>
                  <w:r w:rsidRPr="00EE355A">
                    <w:rPr>
                      <w:b/>
                      <w:color w:val="FFFFFF" w:themeColor="background1"/>
                      <w:sz w:val="18"/>
                    </w:rPr>
                    <w:t xml:space="preserve">Overall </w:t>
                  </w:r>
                </w:p>
                <w:p w14:paraId="44B35C93" w14:textId="77777777" w:rsidR="009517EA" w:rsidRPr="00EE355A" w:rsidRDefault="009517EA" w:rsidP="009517EA">
                  <w:pPr>
                    <w:rPr>
                      <w:b/>
                      <w:color w:val="FFFFFF" w:themeColor="background1"/>
                      <w:sz w:val="18"/>
                    </w:rPr>
                  </w:pPr>
                  <w:r w:rsidRPr="00EE355A">
                    <w:rPr>
                      <w:b/>
                      <w:color w:val="FFFFFF" w:themeColor="background1"/>
                      <w:sz w:val="18"/>
                    </w:rPr>
                    <w:t>Australian content</w:t>
                  </w:r>
                </w:p>
              </w:tc>
              <w:tc>
                <w:tcPr>
                  <w:tcW w:w="1843" w:type="dxa"/>
                  <w:tcBorders>
                    <w:left w:val="nil"/>
                    <w:right w:val="nil"/>
                  </w:tcBorders>
                  <w:shd w:val="clear" w:color="auto" w:fill="76C8BD" w:themeFill="text2" w:themeFillTint="99"/>
                  <w:vAlign w:val="center"/>
                </w:tcPr>
                <w:p w14:paraId="44B35C94" w14:textId="77777777" w:rsidR="009517EA" w:rsidRDefault="009517EA" w:rsidP="009517EA">
                  <w:pPr>
                    <w:spacing w:before="60" w:after="60" w:line="240" w:lineRule="auto"/>
                    <w:rPr>
                      <w:rFonts w:cs="Arial"/>
                      <w:b/>
                      <w:bCs/>
                      <w:color w:val="FFFFFF" w:themeColor="background1"/>
                      <w:sz w:val="18"/>
                      <w:szCs w:val="18"/>
                    </w:rPr>
                  </w:pPr>
                  <w:r>
                    <w:rPr>
                      <w:rFonts w:cs="Arial"/>
                      <w:b/>
                      <w:bCs/>
                      <w:color w:val="FFFFFF" w:themeColor="background1"/>
                      <w:sz w:val="18"/>
                      <w:szCs w:val="18"/>
                    </w:rPr>
                    <w:t>On primary/</w:t>
                  </w:r>
                  <w:r w:rsidR="002B060C">
                    <w:rPr>
                      <w:rFonts w:cs="Arial"/>
                      <w:b/>
                      <w:bCs/>
                      <w:color w:val="FFFFFF" w:themeColor="background1"/>
                      <w:sz w:val="18"/>
                      <w:szCs w:val="18"/>
                    </w:rPr>
                    <w:br/>
                  </w:r>
                  <w:r>
                    <w:rPr>
                      <w:rFonts w:cs="Arial"/>
                      <w:b/>
                      <w:bCs/>
                      <w:color w:val="FFFFFF" w:themeColor="background1"/>
                      <w:sz w:val="18"/>
                      <w:szCs w:val="18"/>
                    </w:rPr>
                    <w:t>core channel</w:t>
                  </w:r>
                </w:p>
              </w:tc>
              <w:tc>
                <w:tcPr>
                  <w:tcW w:w="992" w:type="dxa"/>
                  <w:tcBorders>
                    <w:left w:val="nil"/>
                  </w:tcBorders>
                  <w:shd w:val="clear" w:color="auto" w:fill="76C8BD" w:themeFill="text2" w:themeFillTint="99"/>
                  <w:vAlign w:val="center"/>
                </w:tcPr>
                <w:p w14:paraId="44B35C95" w14:textId="77777777" w:rsidR="009517EA" w:rsidRPr="003A2311" w:rsidRDefault="009517EA" w:rsidP="009517EA">
                  <w:pPr>
                    <w:spacing w:before="60" w:after="60" w:line="240" w:lineRule="auto"/>
                    <w:jc w:val="right"/>
                    <w:rPr>
                      <w:rFonts w:cs="Arial"/>
                      <w:b/>
                      <w:bCs/>
                      <w:color w:val="FFFFFF" w:themeColor="background1"/>
                      <w:sz w:val="18"/>
                      <w:szCs w:val="18"/>
                    </w:rPr>
                  </w:pPr>
                  <w:r w:rsidDel="00EE572F">
                    <w:rPr>
                      <w:rFonts w:cs="Arial"/>
                      <w:b/>
                      <w:bCs/>
                      <w:color w:val="FFFFFF" w:themeColor="background1"/>
                      <w:sz w:val="18"/>
                      <w:szCs w:val="18"/>
                    </w:rPr>
                    <w:t xml:space="preserve"> </w:t>
                  </w:r>
                  <w:r w:rsidRPr="00394FEB">
                    <w:rPr>
                      <w:rFonts w:cs="Arial"/>
                      <w:bCs/>
                      <w:color w:val="FFFFFF" w:themeColor="background1"/>
                      <w:sz w:val="18"/>
                      <w:szCs w:val="18"/>
                    </w:rPr>
                    <w:t>(%)</w:t>
                  </w:r>
                </w:p>
              </w:tc>
              <w:tc>
                <w:tcPr>
                  <w:tcW w:w="1204" w:type="dxa"/>
                  <w:shd w:val="clear" w:color="auto" w:fill="D1ECE9" w:themeFill="text2" w:themeFillTint="33"/>
                  <w:vAlign w:val="center"/>
                </w:tcPr>
                <w:p w14:paraId="44B35C96" w14:textId="77777777" w:rsidR="009517EA" w:rsidRPr="0000479D" w:rsidRDefault="009517EA" w:rsidP="009517EA">
                  <w:pPr>
                    <w:ind w:right="104"/>
                    <w:jc w:val="right"/>
                    <w:rPr>
                      <w:sz w:val="18"/>
                      <w:szCs w:val="18"/>
                    </w:rPr>
                  </w:pPr>
                  <w:r w:rsidRPr="0000479D">
                    <w:rPr>
                      <w:sz w:val="18"/>
                      <w:szCs w:val="18"/>
                    </w:rPr>
                    <w:t>55</w:t>
                  </w:r>
                </w:p>
              </w:tc>
              <w:tc>
                <w:tcPr>
                  <w:tcW w:w="1205" w:type="dxa"/>
                  <w:shd w:val="clear" w:color="auto" w:fill="D1ECE9" w:themeFill="text2" w:themeFillTint="33"/>
                  <w:vAlign w:val="center"/>
                </w:tcPr>
                <w:p w14:paraId="44B35C97" w14:textId="77777777" w:rsidR="009517EA" w:rsidRPr="0000479D" w:rsidRDefault="009517EA" w:rsidP="009517EA">
                  <w:pPr>
                    <w:ind w:right="104"/>
                    <w:jc w:val="right"/>
                    <w:rPr>
                      <w:sz w:val="18"/>
                      <w:szCs w:val="18"/>
                    </w:rPr>
                  </w:pPr>
                  <w:r w:rsidRPr="0000479D">
                    <w:rPr>
                      <w:sz w:val="18"/>
                      <w:szCs w:val="18"/>
                    </w:rPr>
                    <w:t>69</w:t>
                  </w:r>
                </w:p>
              </w:tc>
              <w:tc>
                <w:tcPr>
                  <w:tcW w:w="1205" w:type="dxa"/>
                  <w:shd w:val="clear" w:color="auto" w:fill="D1ECE9" w:themeFill="text2" w:themeFillTint="33"/>
                  <w:vAlign w:val="center"/>
                </w:tcPr>
                <w:p w14:paraId="44B35C98" w14:textId="77777777" w:rsidR="009517EA" w:rsidRPr="0000479D" w:rsidRDefault="009517EA" w:rsidP="009517EA">
                  <w:pPr>
                    <w:ind w:right="104"/>
                    <w:jc w:val="right"/>
                    <w:rPr>
                      <w:sz w:val="18"/>
                      <w:szCs w:val="18"/>
                    </w:rPr>
                  </w:pPr>
                  <w:r w:rsidRPr="0000479D">
                    <w:rPr>
                      <w:sz w:val="18"/>
                      <w:szCs w:val="18"/>
                    </w:rPr>
                    <w:t>65</w:t>
                  </w:r>
                </w:p>
              </w:tc>
              <w:tc>
                <w:tcPr>
                  <w:tcW w:w="1205" w:type="dxa"/>
                  <w:shd w:val="clear" w:color="auto" w:fill="D1ECE9" w:themeFill="text2" w:themeFillTint="33"/>
                  <w:vAlign w:val="center"/>
                </w:tcPr>
                <w:p w14:paraId="44B35C99" w14:textId="77777777" w:rsidR="009517EA" w:rsidRPr="0000479D" w:rsidRDefault="009517EA" w:rsidP="009517EA">
                  <w:pPr>
                    <w:ind w:right="104"/>
                    <w:jc w:val="right"/>
                    <w:rPr>
                      <w:sz w:val="18"/>
                      <w:szCs w:val="18"/>
                    </w:rPr>
                  </w:pPr>
                  <w:r w:rsidRPr="0000479D">
                    <w:rPr>
                      <w:sz w:val="18"/>
                      <w:szCs w:val="18"/>
                    </w:rPr>
                    <w:t>59</w:t>
                  </w:r>
                </w:p>
              </w:tc>
            </w:tr>
            <w:tr w:rsidR="009517EA" w14:paraId="44B35CA2" w14:textId="77777777" w:rsidTr="00B05190">
              <w:trPr>
                <w:trHeight w:val="1043"/>
              </w:trPr>
              <w:tc>
                <w:tcPr>
                  <w:tcW w:w="1367" w:type="dxa"/>
                  <w:vMerge/>
                  <w:tcBorders>
                    <w:right w:val="nil"/>
                  </w:tcBorders>
                  <w:shd w:val="clear" w:color="auto" w:fill="76C8BD" w:themeFill="text2" w:themeFillTint="99"/>
                </w:tcPr>
                <w:p w14:paraId="44B35C9B" w14:textId="77777777" w:rsidR="009517EA" w:rsidRPr="00EE355A" w:rsidRDefault="009517EA" w:rsidP="009517EA">
                  <w:pPr>
                    <w:rPr>
                      <w:b/>
                      <w:color w:val="FFFFFF" w:themeColor="background1"/>
                      <w:sz w:val="18"/>
                    </w:rPr>
                  </w:pPr>
                </w:p>
              </w:tc>
              <w:tc>
                <w:tcPr>
                  <w:tcW w:w="1843" w:type="dxa"/>
                  <w:tcBorders>
                    <w:left w:val="nil"/>
                    <w:right w:val="nil"/>
                  </w:tcBorders>
                  <w:shd w:val="clear" w:color="auto" w:fill="76C8BD" w:themeFill="text2" w:themeFillTint="99"/>
                  <w:vAlign w:val="center"/>
                </w:tcPr>
                <w:p w14:paraId="44B35C9C" w14:textId="77777777" w:rsidR="009517EA" w:rsidRDefault="009517EA" w:rsidP="002B060C">
                  <w:pPr>
                    <w:spacing w:before="60" w:after="60" w:line="240" w:lineRule="auto"/>
                    <w:rPr>
                      <w:rFonts w:cs="Arial"/>
                      <w:b/>
                      <w:bCs/>
                      <w:color w:val="FFFFFF" w:themeColor="background1"/>
                      <w:sz w:val="18"/>
                      <w:szCs w:val="18"/>
                    </w:rPr>
                  </w:pPr>
                  <w:r>
                    <w:rPr>
                      <w:rFonts w:cs="Arial"/>
                      <w:b/>
                      <w:bCs/>
                      <w:color w:val="FFFFFF" w:themeColor="background1"/>
                      <w:sz w:val="18"/>
                      <w:szCs w:val="18"/>
                    </w:rPr>
                    <w:t>On non-primary</w:t>
                  </w:r>
                  <w:r w:rsidR="002B060C">
                    <w:rPr>
                      <w:rFonts w:cs="Arial"/>
                      <w:b/>
                      <w:bCs/>
                      <w:color w:val="FFFFFF" w:themeColor="background1"/>
                      <w:sz w:val="18"/>
                      <w:szCs w:val="18"/>
                    </w:rPr>
                    <w:t>/</w:t>
                  </w:r>
                  <w:r w:rsidR="002B060C">
                    <w:rPr>
                      <w:rFonts w:cs="Arial"/>
                      <w:b/>
                      <w:bCs/>
                      <w:color w:val="FFFFFF" w:themeColor="background1"/>
                      <w:sz w:val="18"/>
                      <w:szCs w:val="18"/>
                    </w:rPr>
                    <w:br/>
                  </w:r>
                  <w:r>
                    <w:rPr>
                      <w:rFonts w:cs="Arial"/>
                      <w:b/>
                      <w:bCs/>
                      <w:color w:val="FFFFFF" w:themeColor="background1"/>
                      <w:sz w:val="18"/>
                      <w:szCs w:val="18"/>
                    </w:rPr>
                    <w:t xml:space="preserve">non-core channel </w:t>
                  </w:r>
                </w:p>
              </w:tc>
              <w:tc>
                <w:tcPr>
                  <w:tcW w:w="992" w:type="dxa"/>
                  <w:tcBorders>
                    <w:left w:val="nil"/>
                  </w:tcBorders>
                  <w:shd w:val="clear" w:color="auto" w:fill="76C8BD" w:themeFill="text2" w:themeFillTint="99"/>
                  <w:vAlign w:val="center"/>
                </w:tcPr>
                <w:p w14:paraId="44B35C9D" w14:textId="77777777" w:rsidR="009517EA" w:rsidRPr="00394FEB" w:rsidRDefault="009517EA" w:rsidP="009517EA">
                  <w:pPr>
                    <w:spacing w:before="60" w:after="60" w:line="240" w:lineRule="auto"/>
                    <w:jc w:val="right"/>
                    <w:rPr>
                      <w:rFonts w:cs="Arial"/>
                      <w:b/>
                      <w:bCs/>
                      <w:color w:val="FFFFFF" w:themeColor="background1"/>
                      <w:sz w:val="18"/>
                      <w:szCs w:val="18"/>
                    </w:rPr>
                  </w:pPr>
                  <w:r w:rsidDel="00EE572F">
                    <w:rPr>
                      <w:rFonts w:cs="Arial"/>
                      <w:b/>
                      <w:bCs/>
                      <w:color w:val="FFFFFF" w:themeColor="background1"/>
                      <w:sz w:val="18"/>
                      <w:szCs w:val="18"/>
                    </w:rPr>
                    <w:t xml:space="preserve"> </w:t>
                  </w:r>
                  <w:r w:rsidRPr="00394FEB">
                    <w:rPr>
                      <w:rFonts w:cs="Arial"/>
                      <w:bCs/>
                      <w:color w:val="FFFFFF" w:themeColor="background1"/>
                      <w:sz w:val="18"/>
                      <w:szCs w:val="18"/>
                    </w:rPr>
                    <w:t>(</w:t>
                  </w:r>
                  <w:r>
                    <w:rPr>
                      <w:rFonts w:cs="Arial"/>
                      <w:bCs/>
                      <w:color w:val="FFFFFF" w:themeColor="background1"/>
                      <w:sz w:val="18"/>
                      <w:szCs w:val="18"/>
                    </w:rPr>
                    <w:t>average h</w:t>
                  </w:r>
                  <w:r w:rsidR="00002C66">
                    <w:rPr>
                      <w:rFonts w:cs="Arial"/>
                      <w:bCs/>
                      <w:color w:val="FFFFFF" w:themeColor="background1"/>
                      <w:sz w:val="18"/>
                      <w:szCs w:val="18"/>
                    </w:rPr>
                    <w:t>ou</w:t>
                  </w:r>
                  <w:r>
                    <w:rPr>
                      <w:rFonts w:cs="Arial"/>
                      <w:bCs/>
                      <w:color w:val="FFFFFF" w:themeColor="background1"/>
                      <w:sz w:val="18"/>
                      <w:szCs w:val="18"/>
                    </w:rPr>
                    <w:t>rs</w:t>
                  </w:r>
                  <w:r w:rsidRPr="00394FEB">
                    <w:rPr>
                      <w:rFonts w:cs="Arial"/>
                      <w:bCs/>
                      <w:color w:val="FFFFFF" w:themeColor="background1"/>
                      <w:sz w:val="18"/>
                      <w:szCs w:val="18"/>
                    </w:rPr>
                    <w:t>)</w:t>
                  </w:r>
                </w:p>
              </w:tc>
              <w:tc>
                <w:tcPr>
                  <w:tcW w:w="1204" w:type="dxa"/>
                  <w:shd w:val="clear" w:color="auto" w:fill="D1ECE9" w:themeFill="text2" w:themeFillTint="33"/>
                  <w:vAlign w:val="center"/>
                </w:tcPr>
                <w:p w14:paraId="44B35C9E" w14:textId="77777777" w:rsidR="009517EA" w:rsidRPr="0000479D" w:rsidRDefault="009517EA" w:rsidP="009517EA">
                  <w:pPr>
                    <w:ind w:right="104"/>
                    <w:jc w:val="right"/>
                    <w:rPr>
                      <w:sz w:val="18"/>
                      <w:szCs w:val="18"/>
                    </w:rPr>
                  </w:pPr>
                  <w:r w:rsidRPr="0000479D">
                    <w:rPr>
                      <w:sz w:val="18"/>
                      <w:szCs w:val="18"/>
                    </w:rPr>
                    <w:t>730</w:t>
                  </w:r>
                </w:p>
              </w:tc>
              <w:tc>
                <w:tcPr>
                  <w:tcW w:w="1205" w:type="dxa"/>
                  <w:shd w:val="clear" w:color="auto" w:fill="D1ECE9" w:themeFill="text2" w:themeFillTint="33"/>
                  <w:vAlign w:val="center"/>
                </w:tcPr>
                <w:p w14:paraId="44B35C9F" w14:textId="77777777" w:rsidR="009517EA" w:rsidRPr="0000479D" w:rsidRDefault="009517EA" w:rsidP="009517EA">
                  <w:pPr>
                    <w:ind w:right="104"/>
                    <w:jc w:val="right"/>
                    <w:rPr>
                      <w:sz w:val="18"/>
                      <w:szCs w:val="18"/>
                    </w:rPr>
                  </w:pPr>
                  <w:r w:rsidRPr="0000479D">
                    <w:rPr>
                      <w:sz w:val="18"/>
                      <w:szCs w:val="18"/>
                    </w:rPr>
                    <w:t>2</w:t>
                  </w:r>
                  <w:r>
                    <w:rPr>
                      <w:sz w:val="18"/>
                      <w:szCs w:val="18"/>
                    </w:rPr>
                    <w:t>,</w:t>
                  </w:r>
                  <w:r w:rsidRPr="0000479D">
                    <w:rPr>
                      <w:sz w:val="18"/>
                      <w:szCs w:val="18"/>
                    </w:rPr>
                    <w:t>3</w:t>
                  </w:r>
                  <w:r>
                    <w:rPr>
                      <w:sz w:val="18"/>
                      <w:szCs w:val="18"/>
                    </w:rPr>
                    <w:t>9</w:t>
                  </w:r>
                  <w:r w:rsidRPr="0000479D">
                    <w:rPr>
                      <w:sz w:val="18"/>
                      <w:szCs w:val="18"/>
                    </w:rPr>
                    <w:t>3</w:t>
                  </w:r>
                </w:p>
              </w:tc>
              <w:tc>
                <w:tcPr>
                  <w:tcW w:w="1205" w:type="dxa"/>
                  <w:shd w:val="clear" w:color="auto" w:fill="D1ECE9" w:themeFill="text2" w:themeFillTint="33"/>
                  <w:vAlign w:val="center"/>
                </w:tcPr>
                <w:p w14:paraId="44B35CA0" w14:textId="77777777" w:rsidR="009517EA" w:rsidRPr="0000479D" w:rsidRDefault="009517EA" w:rsidP="009517EA">
                  <w:pPr>
                    <w:ind w:right="104"/>
                    <w:jc w:val="right"/>
                    <w:rPr>
                      <w:sz w:val="18"/>
                      <w:szCs w:val="18"/>
                    </w:rPr>
                  </w:pPr>
                  <w:r w:rsidRPr="0000479D">
                    <w:rPr>
                      <w:sz w:val="18"/>
                      <w:szCs w:val="18"/>
                    </w:rPr>
                    <w:t>1</w:t>
                  </w:r>
                  <w:r>
                    <w:rPr>
                      <w:sz w:val="18"/>
                      <w:szCs w:val="18"/>
                    </w:rPr>
                    <w:t>,</w:t>
                  </w:r>
                  <w:r w:rsidRPr="0000479D">
                    <w:rPr>
                      <w:sz w:val="18"/>
                      <w:szCs w:val="18"/>
                    </w:rPr>
                    <w:t>936</w:t>
                  </w:r>
                </w:p>
              </w:tc>
              <w:tc>
                <w:tcPr>
                  <w:tcW w:w="1205" w:type="dxa"/>
                  <w:shd w:val="clear" w:color="auto" w:fill="D1ECE9" w:themeFill="text2" w:themeFillTint="33"/>
                  <w:vAlign w:val="center"/>
                </w:tcPr>
                <w:p w14:paraId="44B35CA1" w14:textId="77777777" w:rsidR="009517EA" w:rsidRPr="0000479D" w:rsidRDefault="009517EA" w:rsidP="009517EA">
                  <w:pPr>
                    <w:ind w:right="104"/>
                    <w:jc w:val="right"/>
                    <w:rPr>
                      <w:sz w:val="18"/>
                      <w:szCs w:val="18"/>
                    </w:rPr>
                  </w:pPr>
                  <w:r w:rsidRPr="0000479D">
                    <w:rPr>
                      <w:sz w:val="18"/>
                      <w:szCs w:val="18"/>
                    </w:rPr>
                    <w:t>2</w:t>
                  </w:r>
                  <w:r>
                    <w:rPr>
                      <w:sz w:val="18"/>
                      <w:szCs w:val="18"/>
                    </w:rPr>
                    <w:t>,</w:t>
                  </w:r>
                  <w:r w:rsidRPr="0000479D">
                    <w:rPr>
                      <w:sz w:val="18"/>
                      <w:szCs w:val="18"/>
                    </w:rPr>
                    <w:t>366</w:t>
                  </w:r>
                </w:p>
              </w:tc>
            </w:tr>
            <w:tr w:rsidR="009517EA" w14:paraId="44B35CAC" w14:textId="77777777" w:rsidTr="009517EA">
              <w:trPr>
                <w:trHeight w:val="759"/>
              </w:trPr>
              <w:tc>
                <w:tcPr>
                  <w:tcW w:w="1367" w:type="dxa"/>
                  <w:vMerge w:val="restart"/>
                  <w:tcBorders>
                    <w:right w:val="nil"/>
                  </w:tcBorders>
                  <w:shd w:val="clear" w:color="auto" w:fill="76C8BD" w:themeFill="text2" w:themeFillTint="99"/>
                </w:tcPr>
                <w:p w14:paraId="44B35CA3" w14:textId="77777777" w:rsidR="00E150F6" w:rsidRPr="00E150F6" w:rsidRDefault="00E150F6" w:rsidP="00E150F6">
                  <w:pPr>
                    <w:spacing w:line="240" w:lineRule="auto"/>
                    <w:rPr>
                      <w:b/>
                      <w:color w:val="FFFFFF" w:themeColor="background1"/>
                      <w:sz w:val="10"/>
                      <w:szCs w:val="10"/>
                    </w:rPr>
                  </w:pPr>
                </w:p>
                <w:p w14:paraId="44B35CA4" w14:textId="77777777" w:rsidR="009517EA" w:rsidRPr="00EE355A" w:rsidRDefault="00E150F6" w:rsidP="00625B1F">
                  <w:pPr>
                    <w:rPr>
                      <w:b/>
                      <w:color w:val="FFFFFF" w:themeColor="background1"/>
                      <w:sz w:val="18"/>
                    </w:rPr>
                  </w:pPr>
                  <w:r>
                    <w:rPr>
                      <w:b/>
                      <w:noProof/>
                      <w:color w:val="FFFFFF" w:themeColor="background1"/>
                      <w:sz w:val="18"/>
                    </w:rPr>
                    <w:drawing>
                      <wp:inline distT="0" distB="0" distL="0" distR="0" wp14:anchorId="44B36365" wp14:editId="44B36366">
                        <wp:extent cx="426721" cy="441961"/>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con-24.png"/>
                                <pic:cNvPicPr/>
                              </pic:nvPicPr>
                              <pic:blipFill>
                                <a:blip r:embed="rId13">
                                  <a:extLst>
                                    <a:ext uri="{28A0092B-C50C-407E-A947-70E740481C1C}">
                                      <a14:useLocalDpi xmlns:a14="http://schemas.microsoft.com/office/drawing/2010/main" val="0"/>
                                    </a:ext>
                                  </a:extLst>
                                </a:blip>
                                <a:stretch>
                                  <a:fillRect/>
                                </a:stretch>
                              </pic:blipFill>
                              <pic:spPr>
                                <a:xfrm>
                                  <a:off x="0" y="0"/>
                                  <a:ext cx="426721" cy="441961"/>
                                </a:xfrm>
                                <a:prstGeom prst="rect">
                                  <a:avLst/>
                                </a:prstGeom>
                              </pic:spPr>
                            </pic:pic>
                          </a:graphicData>
                        </a:graphic>
                      </wp:inline>
                    </w:drawing>
                  </w:r>
                </w:p>
                <w:p w14:paraId="44B35CA5" w14:textId="77777777" w:rsidR="009517EA" w:rsidRPr="00EE355A" w:rsidRDefault="00EC0FD5" w:rsidP="00B05190">
                  <w:pPr>
                    <w:spacing w:line="240" w:lineRule="auto"/>
                    <w:rPr>
                      <w:b/>
                      <w:color w:val="FFFFFF" w:themeColor="background1"/>
                      <w:sz w:val="18"/>
                    </w:rPr>
                  </w:pPr>
                  <w:r>
                    <w:rPr>
                      <w:b/>
                      <w:color w:val="FFFFFF" w:themeColor="background1"/>
                      <w:sz w:val="18"/>
                    </w:rPr>
                    <w:br/>
                  </w:r>
                  <w:r w:rsidR="009517EA" w:rsidRPr="00EE355A">
                    <w:rPr>
                      <w:b/>
                      <w:color w:val="FFFFFF" w:themeColor="background1"/>
                      <w:sz w:val="18"/>
                    </w:rPr>
                    <w:t>Australian drama</w:t>
                  </w:r>
                </w:p>
              </w:tc>
              <w:tc>
                <w:tcPr>
                  <w:tcW w:w="1843" w:type="dxa"/>
                  <w:tcBorders>
                    <w:left w:val="nil"/>
                    <w:right w:val="nil"/>
                  </w:tcBorders>
                  <w:shd w:val="clear" w:color="auto" w:fill="76C8BD" w:themeFill="text2" w:themeFillTint="99"/>
                  <w:vAlign w:val="center"/>
                </w:tcPr>
                <w:p w14:paraId="44B35CA6" w14:textId="77777777" w:rsidR="009517EA" w:rsidRDefault="009517EA" w:rsidP="009517EA">
                  <w:pPr>
                    <w:spacing w:before="60" w:after="60" w:line="240" w:lineRule="auto"/>
                    <w:rPr>
                      <w:rFonts w:cs="Arial"/>
                      <w:b/>
                      <w:bCs/>
                      <w:color w:val="FFFFFF" w:themeColor="background1"/>
                      <w:sz w:val="18"/>
                      <w:szCs w:val="18"/>
                    </w:rPr>
                  </w:pPr>
                  <w:r>
                    <w:rPr>
                      <w:rFonts w:cs="Arial"/>
                      <w:b/>
                      <w:bCs/>
                      <w:color w:val="FFFFFF" w:themeColor="background1"/>
                      <w:sz w:val="18"/>
                      <w:szCs w:val="18"/>
                    </w:rPr>
                    <w:t>2013</w:t>
                  </w:r>
                </w:p>
              </w:tc>
              <w:tc>
                <w:tcPr>
                  <w:tcW w:w="992" w:type="dxa"/>
                  <w:tcBorders>
                    <w:left w:val="nil"/>
                  </w:tcBorders>
                  <w:shd w:val="clear" w:color="auto" w:fill="76C8BD" w:themeFill="text2" w:themeFillTint="99"/>
                  <w:vAlign w:val="center"/>
                </w:tcPr>
                <w:p w14:paraId="44B35CA7" w14:textId="77777777" w:rsidR="009517EA" w:rsidRPr="00073EC9" w:rsidRDefault="009517EA" w:rsidP="009517EA">
                  <w:pPr>
                    <w:spacing w:before="60" w:after="60" w:line="240" w:lineRule="auto"/>
                    <w:jc w:val="right"/>
                    <w:rPr>
                      <w:rFonts w:cs="Arial"/>
                      <w:bCs/>
                      <w:color w:val="FFFFFF" w:themeColor="background1"/>
                      <w:sz w:val="18"/>
                      <w:szCs w:val="18"/>
                    </w:rPr>
                  </w:pPr>
                  <w:r w:rsidDel="00EE572F">
                    <w:rPr>
                      <w:rFonts w:cs="Arial"/>
                      <w:b/>
                      <w:bCs/>
                      <w:color w:val="FFFFFF" w:themeColor="background1"/>
                      <w:sz w:val="18"/>
                      <w:szCs w:val="18"/>
                    </w:rPr>
                    <w:t xml:space="preserve"> </w:t>
                  </w:r>
                  <w:r w:rsidRPr="00394FEB">
                    <w:rPr>
                      <w:rFonts w:cs="Arial"/>
                      <w:bCs/>
                      <w:color w:val="FFFFFF" w:themeColor="background1"/>
                      <w:sz w:val="18"/>
                      <w:szCs w:val="18"/>
                    </w:rPr>
                    <w:t>(points)</w:t>
                  </w:r>
                </w:p>
              </w:tc>
              <w:tc>
                <w:tcPr>
                  <w:tcW w:w="1204" w:type="dxa"/>
                  <w:shd w:val="clear" w:color="auto" w:fill="D1ECE9" w:themeFill="text2" w:themeFillTint="33"/>
                  <w:vAlign w:val="center"/>
                </w:tcPr>
                <w:p w14:paraId="44B35CA8" w14:textId="77777777" w:rsidR="009517EA" w:rsidRPr="0000479D" w:rsidRDefault="009517EA" w:rsidP="009517EA">
                  <w:pPr>
                    <w:ind w:right="104"/>
                    <w:jc w:val="right"/>
                    <w:rPr>
                      <w:sz w:val="18"/>
                      <w:szCs w:val="18"/>
                    </w:rPr>
                  </w:pPr>
                  <w:r w:rsidRPr="0000479D">
                    <w:rPr>
                      <w:sz w:val="18"/>
                      <w:szCs w:val="18"/>
                    </w:rPr>
                    <w:t>250</w:t>
                  </w:r>
                </w:p>
              </w:tc>
              <w:tc>
                <w:tcPr>
                  <w:tcW w:w="1205" w:type="dxa"/>
                  <w:shd w:val="clear" w:color="auto" w:fill="D1ECE9" w:themeFill="text2" w:themeFillTint="33"/>
                  <w:vAlign w:val="center"/>
                </w:tcPr>
                <w:p w14:paraId="44B35CA9" w14:textId="77777777" w:rsidR="009517EA" w:rsidRPr="0000479D" w:rsidRDefault="002F09A6" w:rsidP="009517EA">
                  <w:pPr>
                    <w:ind w:right="104"/>
                    <w:jc w:val="right"/>
                    <w:rPr>
                      <w:sz w:val="18"/>
                      <w:szCs w:val="18"/>
                    </w:rPr>
                  </w:pPr>
                  <w:r>
                    <w:rPr>
                      <w:sz w:val="18"/>
                      <w:szCs w:val="18"/>
                    </w:rPr>
                    <w:t>350</w:t>
                  </w:r>
                </w:p>
              </w:tc>
              <w:tc>
                <w:tcPr>
                  <w:tcW w:w="1205" w:type="dxa"/>
                  <w:shd w:val="clear" w:color="auto" w:fill="D1ECE9" w:themeFill="text2" w:themeFillTint="33"/>
                  <w:vAlign w:val="center"/>
                </w:tcPr>
                <w:p w14:paraId="44B35CAA" w14:textId="77777777" w:rsidR="009517EA" w:rsidRPr="0000479D" w:rsidRDefault="002F09A6" w:rsidP="009517EA">
                  <w:pPr>
                    <w:ind w:right="104"/>
                    <w:jc w:val="right"/>
                    <w:rPr>
                      <w:sz w:val="18"/>
                      <w:szCs w:val="18"/>
                    </w:rPr>
                  </w:pPr>
                  <w:r>
                    <w:rPr>
                      <w:sz w:val="18"/>
                      <w:szCs w:val="18"/>
                    </w:rPr>
                    <w:t>332</w:t>
                  </w:r>
                </w:p>
              </w:tc>
              <w:tc>
                <w:tcPr>
                  <w:tcW w:w="1205" w:type="dxa"/>
                  <w:shd w:val="clear" w:color="auto" w:fill="D1ECE9" w:themeFill="text2" w:themeFillTint="33"/>
                  <w:vAlign w:val="center"/>
                </w:tcPr>
                <w:p w14:paraId="44B35CAB" w14:textId="77777777" w:rsidR="009517EA" w:rsidRPr="0000479D" w:rsidRDefault="009517EA" w:rsidP="009517EA">
                  <w:pPr>
                    <w:ind w:right="104"/>
                    <w:jc w:val="right"/>
                    <w:rPr>
                      <w:sz w:val="18"/>
                      <w:szCs w:val="18"/>
                    </w:rPr>
                  </w:pPr>
                  <w:r>
                    <w:rPr>
                      <w:sz w:val="18"/>
                      <w:szCs w:val="18"/>
                    </w:rPr>
                    <w:t>3</w:t>
                  </w:r>
                  <w:r w:rsidRPr="0000479D">
                    <w:rPr>
                      <w:sz w:val="18"/>
                      <w:szCs w:val="18"/>
                    </w:rPr>
                    <w:t>44</w:t>
                  </w:r>
                </w:p>
              </w:tc>
            </w:tr>
            <w:tr w:rsidR="009517EA" w14:paraId="44B35CB4" w14:textId="77777777" w:rsidTr="009517EA">
              <w:trPr>
                <w:trHeight w:val="761"/>
              </w:trPr>
              <w:tc>
                <w:tcPr>
                  <w:tcW w:w="1367" w:type="dxa"/>
                  <w:vMerge/>
                  <w:tcBorders>
                    <w:right w:val="nil"/>
                  </w:tcBorders>
                  <w:shd w:val="clear" w:color="auto" w:fill="76C8BD" w:themeFill="text2" w:themeFillTint="99"/>
                </w:tcPr>
                <w:p w14:paraId="44B35CAD" w14:textId="77777777" w:rsidR="009517EA" w:rsidRPr="00EE355A" w:rsidRDefault="009517EA" w:rsidP="009517EA">
                  <w:pPr>
                    <w:jc w:val="center"/>
                    <w:rPr>
                      <w:b/>
                      <w:color w:val="FFFFFF" w:themeColor="background1"/>
                      <w:sz w:val="18"/>
                    </w:rPr>
                  </w:pPr>
                </w:p>
              </w:tc>
              <w:tc>
                <w:tcPr>
                  <w:tcW w:w="1843" w:type="dxa"/>
                  <w:tcBorders>
                    <w:left w:val="nil"/>
                    <w:right w:val="nil"/>
                  </w:tcBorders>
                  <w:shd w:val="clear" w:color="auto" w:fill="76C8BD" w:themeFill="text2" w:themeFillTint="99"/>
                  <w:vAlign w:val="center"/>
                </w:tcPr>
                <w:p w14:paraId="44B35CAE" w14:textId="77777777" w:rsidR="009517EA" w:rsidRDefault="009517EA" w:rsidP="009517EA">
                  <w:pPr>
                    <w:spacing w:before="60" w:after="60" w:line="240" w:lineRule="auto"/>
                    <w:rPr>
                      <w:rFonts w:cs="Arial"/>
                      <w:b/>
                      <w:bCs/>
                      <w:color w:val="FFFFFF" w:themeColor="background1"/>
                      <w:sz w:val="18"/>
                      <w:szCs w:val="18"/>
                    </w:rPr>
                  </w:pPr>
                  <w:r>
                    <w:rPr>
                      <w:rFonts w:cs="Arial"/>
                      <w:b/>
                      <w:bCs/>
                      <w:color w:val="FFFFFF" w:themeColor="background1"/>
                      <w:sz w:val="18"/>
                      <w:szCs w:val="18"/>
                    </w:rPr>
                    <w:t xml:space="preserve">Triennial </w:t>
                  </w:r>
                </w:p>
              </w:tc>
              <w:tc>
                <w:tcPr>
                  <w:tcW w:w="992" w:type="dxa"/>
                  <w:tcBorders>
                    <w:left w:val="nil"/>
                  </w:tcBorders>
                  <w:shd w:val="clear" w:color="auto" w:fill="76C8BD" w:themeFill="text2" w:themeFillTint="99"/>
                  <w:vAlign w:val="center"/>
                </w:tcPr>
                <w:p w14:paraId="44B35CAF" w14:textId="77777777" w:rsidR="009517EA" w:rsidRPr="00394FEB" w:rsidRDefault="009517EA" w:rsidP="009517EA">
                  <w:pPr>
                    <w:spacing w:before="60" w:after="60" w:line="240" w:lineRule="auto"/>
                    <w:jc w:val="right"/>
                    <w:rPr>
                      <w:rFonts w:cs="Arial"/>
                      <w:b/>
                      <w:bCs/>
                      <w:color w:val="FFFFFF" w:themeColor="background1"/>
                      <w:sz w:val="18"/>
                      <w:szCs w:val="18"/>
                    </w:rPr>
                  </w:pPr>
                  <w:r w:rsidDel="00EE572F">
                    <w:rPr>
                      <w:rFonts w:cs="Arial"/>
                      <w:b/>
                      <w:bCs/>
                      <w:color w:val="FFFFFF" w:themeColor="background1"/>
                      <w:sz w:val="18"/>
                      <w:szCs w:val="18"/>
                    </w:rPr>
                    <w:t xml:space="preserve"> </w:t>
                  </w:r>
                  <w:r w:rsidRPr="004955E5">
                    <w:rPr>
                      <w:rFonts w:cs="Arial"/>
                      <w:bCs/>
                      <w:color w:val="FFFFFF" w:themeColor="background1"/>
                      <w:sz w:val="18"/>
                      <w:szCs w:val="18"/>
                    </w:rPr>
                    <w:t>(points)</w:t>
                  </w:r>
                </w:p>
              </w:tc>
              <w:tc>
                <w:tcPr>
                  <w:tcW w:w="1204" w:type="dxa"/>
                  <w:shd w:val="clear" w:color="auto" w:fill="D1ECE9" w:themeFill="text2" w:themeFillTint="33"/>
                  <w:vAlign w:val="center"/>
                </w:tcPr>
                <w:p w14:paraId="44B35CB0" w14:textId="77777777" w:rsidR="009517EA" w:rsidRPr="0000479D" w:rsidRDefault="009517EA" w:rsidP="009517EA">
                  <w:pPr>
                    <w:ind w:right="104"/>
                    <w:jc w:val="right"/>
                    <w:rPr>
                      <w:sz w:val="18"/>
                      <w:szCs w:val="18"/>
                    </w:rPr>
                  </w:pPr>
                  <w:r w:rsidRPr="0000479D">
                    <w:rPr>
                      <w:sz w:val="18"/>
                      <w:szCs w:val="18"/>
                    </w:rPr>
                    <w:t>860</w:t>
                  </w:r>
                </w:p>
              </w:tc>
              <w:tc>
                <w:tcPr>
                  <w:tcW w:w="1205" w:type="dxa"/>
                  <w:shd w:val="clear" w:color="auto" w:fill="D1ECE9" w:themeFill="text2" w:themeFillTint="33"/>
                  <w:vAlign w:val="center"/>
                </w:tcPr>
                <w:p w14:paraId="44B35CB1" w14:textId="77777777" w:rsidR="009517EA" w:rsidRPr="0000479D" w:rsidRDefault="009517EA" w:rsidP="009517EA">
                  <w:pPr>
                    <w:ind w:right="104"/>
                    <w:jc w:val="right"/>
                    <w:rPr>
                      <w:sz w:val="18"/>
                      <w:szCs w:val="18"/>
                    </w:rPr>
                  </w:pPr>
                  <w:r w:rsidRPr="0000479D">
                    <w:rPr>
                      <w:sz w:val="18"/>
                      <w:szCs w:val="18"/>
                    </w:rPr>
                    <w:t>91</w:t>
                  </w:r>
                  <w:r>
                    <w:rPr>
                      <w:sz w:val="18"/>
                      <w:szCs w:val="18"/>
                    </w:rPr>
                    <w:t>1</w:t>
                  </w:r>
                </w:p>
              </w:tc>
              <w:tc>
                <w:tcPr>
                  <w:tcW w:w="1205" w:type="dxa"/>
                  <w:shd w:val="clear" w:color="auto" w:fill="D1ECE9" w:themeFill="text2" w:themeFillTint="33"/>
                  <w:vAlign w:val="center"/>
                </w:tcPr>
                <w:p w14:paraId="44B35CB2" w14:textId="77777777" w:rsidR="009517EA" w:rsidRPr="0000479D" w:rsidRDefault="009517EA" w:rsidP="009517EA">
                  <w:pPr>
                    <w:ind w:right="104"/>
                    <w:jc w:val="right"/>
                    <w:rPr>
                      <w:sz w:val="18"/>
                      <w:szCs w:val="18"/>
                    </w:rPr>
                  </w:pPr>
                  <w:r w:rsidRPr="0000479D">
                    <w:rPr>
                      <w:sz w:val="18"/>
                      <w:szCs w:val="18"/>
                    </w:rPr>
                    <w:t>87</w:t>
                  </w:r>
                  <w:r>
                    <w:rPr>
                      <w:sz w:val="18"/>
                      <w:szCs w:val="18"/>
                    </w:rPr>
                    <w:t>6</w:t>
                  </w:r>
                </w:p>
              </w:tc>
              <w:tc>
                <w:tcPr>
                  <w:tcW w:w="1205" w:type="dxa"/>
                  <w:shd w:val="clear" w:color="auto" w:fill="D1ECE9" w:themeFill="text2" w:themeFillTint="33"/>
                  <w:vAlign w:val="center"/>
                </w:tcPr>
                <w:p w14:paraId="44B35CB3" w14:textId="77777777" w:rsidR="009517EA" w:rsidRPr="0000479D" w:rsidRDefault="009517EA" w:rsidP="009517EA">
                  <w:pPr>
                    <w:ind w:right="104"/>
                    <w:jc w:val="right"/>
                    <w:rPr>
                      <w:sz w:val="18"/>
                      <w:szCs w:val="18"/>
                    </w:rPr>
                  </w:pPr>
                  <w:r w:rsidRPr="0000479D">
                    <w:rPr>
                      <w:sz w:val="18"/>
                      <w:szCs w:val="18"/>
                    </w:rPr>
                    <w:t>87</w:t>
                  </w:r>
                  <w:r>
                    <w:rPr>
                      <w:sz w:val="18"/>
                      <w:szCs w:val="18"/>
                    </w:rPr>
                    <w:t>0</w:t>
                  </w:r>
                </w:p>
              </w:tc>
            </w:tr>
            <w:tr w:rsidR="009517EA" w14:paraId="44B35CBC" w14:textId="77777777" w:rsidTr="009517EA">
              <w:trPr>
                <w:trHeight w:val="907"/>
              </w:trPr>
              <w:tc>
                <w:tcPr>
                  <w:tcW w:w="1367" w:type="dxa"/>
                  <w:tcBorders>
                    <w:right w:val="nil"/>
                  </w:tcBorders>
                  <w:shd w:val="clear" w:color="auto" w:fill="76C8BD" w:themeFill="text2" w:themeFillTint="99"/>
                </w:tcPr>
                <w:p w14:paraId="44B35CB5" w14:textId="77777777" w:rsidR="009517EA" w:rsidRPr="00EE355A" w:rsidRDefault="009517EA" w:rsidP="009517EA">
                  <w:pPr>
                    <w:rPr>
                      <w:b/>
                      <w:color w:val="FFFFFF" w:themeColor="background1"/>
                      <w:sz w:val="18"/>
                    </w:rPr>
                  </w:pPr>
                  <w:r w:rsidRPr="00EE355A">
                    <w:rPr>
                      <w:rFonts w:cs="Arial"/>
                      <w:bCs/>
                      <w:noProof/>
                      <w:color w:val="37897E"/>
                      <w:sz w:val="18"/>
                      <w:szCs w:val="18"/>
                    </w:rPr>
                    <w:drawing>
                      <wp:anchor distT="0" distB="0" distL="114300" distR="114300" simplePos="0" relativeHeight="251658241" behindDoc="0" locked="0" layoutInCell="1" allowOverlap="1" wp14:anchorId="44B36367" wp14:editId="44B36368">
                        <wp:simplePos x="0" y="0"/>
                        <wp:positionH relativeFrom="column">
                          <wp:posOffset>48895</wp:posOffset>
                        </wp:positionH>
                        <wp:positionV relativeFrom="paragraph">
                          <wp:posOffset>88900</wp:posOffset>
                        </wp:positionV>
                        <wp:extent cx="403761" cy="359822"/>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761" cy="3598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43" w:type="dxa"/>
                  <w:tcBorders>
                    <w:left w:val="nil"/>
                    <w:right w:val="nil"/>
                  </w:tcBorders>
                  <w:shd w:val="clear" w:color="auto" w:fill="76C8BD" w:themeFill="text2" w:themeFillTint="99"/>
                  <w:vAlign w:val="center"/>
                </w:tcPr>
                <w:p w14:paraId="44B35CB6" w14:textId="77777777" w:rsidR="009517EA" w:rsidRPr="00394FEB" w:rsidRDefault="009517EA" w:rsidP="009517EA">
                  <w:pPr>
                    <w:spacing w:before="60" w:after="60" w:line="240" w:lineRule="auto"/>
                    <w:rPr>
                      <w:rFonts w:cs="Arial"/>
                      <w:b/>
                      <w:bCs/>
                      <w:color w:val="FFFFFF" w:themeColor="background1"/>
                      <w:sz w:val="18"/>
                      <w:szCs w:val="18"/>
                    </w:rPr>
                  </w:pPr>
                  <w:r w:rsidRPr="00394FEB">
                    <w:rPr>
                      <w:rFonts w:cs="Arial"/>
                      <w:b/>
                      <w:bCs/>
                      <w:color w:val="FFFFFF" w:themeColor="background1"/>
                      <w:sz w:val="18"/>
                      <w:szCs w:val="18"/>
                    </w:rPr>
                    <w:t>Australian documentaries</w:t>
                  </w:r>
                </w:p>
              </w:tc>
              <w:tc>
                <w:tcPr>
                  <w:tcW w:w="992" w:type="dxa"/>
                  <w:tcBorders>
                    <w:left w:val="nil"/>
                  </w:tcBorders>
                  <w:shd w:val="clear" w:color="auto" w:fill="76C8BD" w:themeFill="text2" w:themeFillTint="99"/>
                  <w:vAlign w:val="center"/>
                </w:tcPr>
                <w:p w14:paraId="44B35CB7" w14:textId="77777777" w:rsidR="009517EA" w:rsidRPr="00394FEB" w:rsidRDefault="009517EA" w:rsidP="009517EA">
                  <w:pPr>
                    <w:spacing w:before="60" w:after="60" w:line="240" w:lineRule="auto"/>
                    <w:jc w:val="right"/>
                    <w:rPr>
                      <w:rFonts w:cs="Arial"/>
                      <w:bCs/>
                      <w:color w:val="FFFFFF" w:themeColor="background1"/>
                      <w:sz w:val="18"/>
                      <w:szCs w:val="18"/>
                    </w:rPr>
                  </w:pPr>
                  <w:r w:rsidRPr="00394FEB" w:rsidDel="00EE572F">
                    <w:rPr>
                      <w:rFonts w:cs="Arial"/>
                      <w:b/>
                      <w:bCs/>
                      <w:color w:val="FFFFFF" w:themeColor="background1"/>
                      <w:sz w:val="18"/>
                      <w:szCs w:val="18"/>
                    </w:rPr>
                    <w:t xml:space="preserve"> </w:t>
                  </w:r>
                  <w:r w:rsidRPr="00394FEB">
                    <w:rPr>
                      <w:rFonts w:cs="Arial"/>
                      <w:bCs/>
                      <w:color w:val="FFFFFF" w:themeColor="background1"/>
                      <w:sz w:val="18"/>
                      <w:szCs w:val="18"/>
                    </w:rPr>
                    <w:t>(average h</w:t>
                  </w:r>
                  <w:r>
                    <w:rPr>
                      <w:rFonts w:cs="Arial"/>
                      <w:bCs/>
                      <w:color w:val="FFFFFF" w:themeColor="background1"/>
                      <w:sz w:val="18"/>
                      <w:szCs w:val="18"/>
                    </w:rPr>
                    <w:t>ou</w:t>
                  </w:r>
                  <w:r w:rsidRPr="00394FEB">
                    <w:rPr>
                      <w:rFonts w:cs="Arial"/>
                      <w:bCs/>
                      <w:color w:val="FFFFFF" w:themeColor="background1"/>
                      <w:sz w:val="18"/>
                      <w:szCs w:val="18"/>
                    </w:rPr>
                    <w:t>rs)</w:t>
                  </w:r>
                </w:p>
              </w:tc>
              <w:tc>
                <w:tcPr>
                  <w:tcW w:w="1204" w:type="dxa"/>
                  <w:shd w:val="clear" w:color="auto" w:fill="D1ECE9" w:themeFill="text2" w:themeFillTint="33"/>
                  <w:vAlign w:val="center"/>
                </w:tcPr>
                <w:p w14:paraId="44B35CB8" w14:textId="77777777" w:rsidR="009517EA" w:rsidRPr="0000479D" w:rsidRDefault="009517EA" w:rsidP="009517EA">
                  <w:pPr>
                    <w:ind w:right="104"/>
                    <w:jc w:val="right"/>
                    <w:rPr>
                      <w:sz w:val="18"/>
                      <w:szCs w:val="18"/>
                    </w:rPr>
                  </w:pPr>
                  <w:r w:rsidRPr="0000479D">
                    <w:rPr>
                      <w:sz w:val="18"/>
                      <w:szCs w:val="18"/>
                    </w:rPr>
                    <w:t>20</w:t>
                  </w:r>
                </w:p>
              </w:tc>
              <w:tc>
                <w:tcPr>
                  <w:tcW w:w="1205" w:type="dxa"/>
                  <w:shd w:val="clear" w:color="auto" w:fill="D1ECE9" w:themeFill="text2" w:themeFillTint="33"/>
                  <w:vAlign w:val="center"/>
                </w:tcPr>
                <w:p w14:paraId="44B35CB9" w14:textId="77777777" w:rsidR="009517EA" w:rsidRPr="0000479D" w:rsidRDefault="009517EA" w:rsidP="009517EA">
                  <w:pPr>
                    <w:ind w:right="104"/>
                    <w:jc w:val="right"/>
                    <w:rPr>
                      <w:sz w:val="18"/>
                      <w:szCs w:val="18"/>
                    </w:rPr>
                  </w:pPr>
                  <w:r w:rsidRPr="0000479D">
                    <w:rPr>
                      <w:sz w:val="18"/>
                      <w:szCs w:val="18"/>
                    </w:rPr>
                    <w:t>60</w:t>
                  </w:r>
                </w:p>
              </w:tc>
              <w:tc>
                <w:tcPr>
                  <w:tcW w:w="1205" w:type="dxa"/>
                  <w:shd w:val="clear" w:color="auto" w:fill="D1ECE9" w:themeFill="text2" w:themeFillTint="33"/>
                  <w:vAlign w:val="center"/>
                </w:tcPr>
                <w:p w14:paraId="44B35CBA" w14:textId="77777777" w:rsidR="009517EA" w:rsidRPr="0000479D" w:rsidRDefault="009517EA" w:rsidP="009517EA">
                  <w:pPr>
                    <w:ind w:right="104"/>
                    <w:jc w:val="right"/>
                    <w:rPr>
                      <w:sz w:val="18"/>
                      <w:szCs w:val="18"/>
                    </w:rPr>
                  </w:pPr>
                  <w:r w:rsidRPr="0000479D">
                    <w:rPr>
                      <w:sz w:val="18"/>
                      <w:szCs w:val="18"/>
                    </w:rPr>
                    <w:t>20</w:t>
                  </w:r>
                </w:p>
              </w:tc>
              <w:tc>
                <w:tcPr>
                  <w:tcW w:w="1205" w:type="dxa"/>
                  <w:shd w:val="clear" w:color="auto" w:fill="D1ECE9" w:themeFill="text2" w:themeFillTint="33"/>
                  <w:vAlign w:val="center"/>
                </w:tcPr>
                <w:p w14:paraId="44B35CBB" w14:textId="77777777" w:rsidR="009517EA" w:rsidRPr="0000479D" w:rsidRDefault="009517EA" w:rsidP="009517EA">
                  <w:pPr>
                    <w:ind w:right="104"/>
                    <w:jc w:val="right"/>
                    <w:rPr>
                      <w:sz w:val="18"/>
                      <w:szCs w:val="18"/>
                    </w:rPr>
                  </w:pPr>
                  <w:r w:rsidRPr="0000479D">
                    <w:rPr>
                      <w:sz w:val="18"/>
                      <w:szCs w:val="18"/>
                    </w:rPr>
                    <w:t>33</w:t>
                  </w:r>
                </w:p>
              </w:tc>
            </w:tr>
          </w:tbl>
          <w:p w14:paraId="44B35CBD" w14:textId="77777777" w:rsidR="009517EA" w:rsidRDefault="009517EA" w:rsidP="009517EA"/>
        </w:tc>
      </w:tr>
      <w:tr w:rsidR="009517EA" w14:paraId="44B35CC2" w14:textId="77777777" w:rsidTr="009517EA">
        <w:trPr>
          <w:trHeight w:val="291"/>
        </w:trPr>
        <w:tc>
          <w:tcPr>
            <w:tcW w:w="9645" w:type="dxa"/>
            <w:tcBorders>
              <w:bottom w:val="single" w:sz="2" w:space="0" w:color="505050"/>
            </w:tcBorders>
            <w:shd w:val="clear" w:color="auto" w:fill="auto"/>
          </w:tcPr>
          <w:p w14:paraId="44B35CBF" w14:textId="77777777" w:rsidR="009517EA" w:rsidRDefault="009517EA" w:rsidP="002B060C">
            <w:pPr>
              <w:keepNext/>
              <w:spacing w:before="60" w:after="20" w:line="240" w:lineRule="auto"/>
              <w:rPr>
                <w:rFonts w:cs="Arial"/>
                <w:i/>
                <w:sz w:val="16"/>
                <w:szCs w:val="16"/>
              </w:rPr>
            </w:pPr>
            <w:r>
              <w:rPr>
                <w:rFonts w:cs="Arial"/>
                <w:i/>
                <w:sz w:val="16"/>
                <w:szCs w:val="16"/>
              </w:rPr>
              <w:t>*Minimum transmission quota</w:t>
            </w:r>
            <w:r w:rsidRPr="00EE572F">
              <w:rPr>
                <w:rFonts w:cs="Arial"/>
                <w:i/>
                <w:sz w:val="16"/>
                <w:szCs w:val="16"/>
              </w:rPr>
              <w:t xml:space="preserve"> required to meet the </w:t>
            </w:r>
            <w:r>
              <w:rPr>
                <w:rFonts w:cs="Arial"/>
                <w:i/>
                <w:sz w:val="16"/>
                <w:szCs w:val="16"/>
              </w:rPr>
              <w:t>Australian Content S</w:t>
            </w:r>
            <w:r w:rsidRPr="00EE572F">
              <w:rPr>
                <w:rFonts w:cs="Arial"/>
                <w:i/>
                <w:sz w:val="16"/>
                <w:szCs w:val="16"/>
              </w:rPr>
              <w:t>tandard</w:t>
            </w:r>
            <w:r>
              <w:rPr>
                <w:rFonts w:cs="Arial"/>
                <w:i/>
                <w:sz w:val="16"/>
                <w:szCs w:val="16"/>
              </w:rPr>
              <w:t>.</w:t>
            </w:r>
          </w:p>
          <w:p w14:paraId="44B35CC0" w14:textId="77777777" w:rsidR="009517EA" w:rsidRDefault="009517EA" w:rsidP="002B060C">
            <w:pPr>
              <w:keepNext/>
              <w:spacing w:after="20" w:line="240" w:lineRule="auto"/>
              <w:rPr>
                <w:rFonts w:cs="Arial"/>
                <w:i/>
                <w:sz w:val="16"/>
                <w:szCs w:val="16"/>
              </w:rPr>
            </w:pPr>
            <w:r w:rsidRPr="00394FEB">
              <w:rPr>
                <w:rFonts w:cs="Arial"/>
                <w:i/>
                <w:sz w:val="16"/>
                <w:szCs w:val="16"/>
              </w:rPr>
              <w:t xml:space="preserve">Note: Overall Australian content relates to first release and repeat programs </w:t>
            </w:r>
            <w:r w:rsidR="001C3411">
              <w:rPr>
                <w:rFonts w:cs="Arial"/>
                <w:i/>
                <w:sz w:val="16"/>
                <w:szCs w:val="16"/>
              </w:rPr>
              <w:t>that</w:t>
            </w:r>
            <w:r w:rsidR="001C3411" w:rsidRPr="00394FEB">
              <w:rPr>
                <w:rFonts w:cs="Arial"/>
                <w:i/>
                <w:sz w:val="16"/>
                <w:szCs w:val="16"/>
              </w:rPr>
              <w:t xml:space="preserve"> </w:t>
            </w:r>
            <w:r w:rsidRPr="00394FEB">
              <w:rPr>
                <w:rFonts w:cs="Arial"/>
                <w:i/>
                <w:sz w:val="16"/>
                <w:szCs w:val="16"/>
              </w:rPr>
              <w:t>must be broadcast b</w:t>
            </w:r>
            <w:r>
              <w:rPr>
                <w:rFonts w:cs="Arial"/>
                <w:i/>
                <w:sz w:val="16"/>
                <w:szCs w:val="16"/>
              </w:rPr>
              <w:t>etween 6.00 am and midnight. Licensee requirements for each network are calculated by averaging across the following locations: Seven Network–five mainland state capital cities, Nine Network–</w:t>
            </w:r>
            <w:r w:rsidRPr="00CC43FF">
              <w:rPr>
                <w:rFonts w:cs="Arial"/>
                <w:i/>
                <w:sz w:val="16"/>
                <w:szCs w:val="16"/>
              </w:rPr>
              <w:t>Brisbane, Melbourne and Sydney</w:t>
            </w:r>
            <w:r>
              <w:rPr>
                <w:rFonts w:cs="Arial"/>
                <w:i/>
                <w:sz w:val="16"/>
                <w:szCs w:val="16"/>
              </w:rPr>
              <w:t>, Ten Network–five</w:t>
            </w:r>
            <w:r w:rsidRPr="00CC43FF">
              <w:rPr>
                <w:rFonts w:cs="Arial"/>
                <w:i/>
                <w:sz w:val="16"/>
                <w:szCs w:val="16"/>
              </w:rPr>
              <w:t xml:space="preserve"> mainland capital cities</w:t>
            </w:r>
            <w:r>
              <w:rPr>
                <w:rFonts w:cs="Arial"/>
                <w:i/>
                <w:sz w:val="16"/>
                <w:szCs w:val="16"/>
              </w:rPr>
              <w:t>.</w:t>
            </w:r>
          </w:p>
          <w:p w14:paraId="44B35CC1" w14:textId="77777777" w:rsidR="009517EA" w:rsidRDefault="009517EA" w:rsidP="002B060C">
            <w:pPr>
              <w:keepNext/>
              <w:spacing w:line="240" w:lineRule="auto"/>
            </w:pPr>
            <w:r w:rsidRPr="00394FEB">
              <w:rPr>
                <w:rFonts w:cs="Arial"/>
                <w:i/>
                <w:sz w:val="16"/>
                <w:szCs w:val="16"/>
              </w:rPr>
              <w:t>Australian drama and Australian documentaries relate</w:t>
            </w:r>
            <w:r w:rsidR="001C3411">
              <w:rPr>
                <w:rFonts w:cs="Arial"/>
                <w:i/>
                <w:sz w:val="16"/>
                <w:szCs w:val="16"/>
              </w:rPr>
              <w:t>s</w:t>
            </w:r>
            <w:r w:rsidRPr="00394FEB">
              <w:rPr>
                <w:rFonts w:cs="Arial"/>
                <w:i/>
                <w:sz w:val="16"/>
                <w:szCs w:val="16"/>
              </w:rPr>
              <w:t xml:space="preserve"> to first-release programs only.</w:t>
            </w:r>
          </w:p>
        </w:tc>
      </w:tr>
    </w:tbl>
    <w:p w14:paraId="44B35CC3" w14:textId="77777777" w:rsidR="009517EA" w:rsidRDefault="009517EA" w:rsidP="009517EA"/>
    <w:p w14:paraId="44B35CC4" w14:textId="77777777" w:rsidR="009517EA" w:rsidRPr="00BC51F0" w:rsidRDefault="009517EA" w:rsidP="009517EA">
      <w:pPr>
        <w:pStyle w:val="Heading3"/>
      </w:pPr>
      <w:bookmarkStart w:id="24" w:name="_Toc399331815"/>
      <w:bookmarkStart w:id="25" w:name="_Toc399336996"/>
      <w:bookmarkStart w:id="26" w:name="_Toc402337601"/>
      <w:r w:rsidRPr="00BC51F0">
        <w:t>Children’s programs on commercial television</w:t>
      </w:r>
      <w:bookmarkEnd w:id="24"/>
      <w:bookmarkEnd w:id="25"/>
      <w:bookmarkEnd w:id="26"/>
    </w:p>
    <w:p w14:paraId="44B35CC5" w14:textId="77777777" w:rsidR="009517EA" w:rsidRPr="00BC51F0" w:rsidRDefault="009517EA" w:rsidP="009517EA">
      <w:r w:rsidRPr="00BC51F0">
        <w:t>In conjunction with the Australian Content Standard, the Children’s Television Standards 2009 (CTS) are designed to give children under 14 years of age access to quality television programs that are specifically made for them and reflect their cultural experience.</w:t>
      </w:r>
    </w:p>
    <w:p w14:paraId="44B35CC6" w14:textId="77777777" w:rsidR="009517EA" w:rsidRPr="00BC51F0" w:rsidRDefault="009517EA" w:rsidP="009517EA">
      <w:pPr>
        <w:rPr>
          <w:rFonts w:cs="Arial"/>
        </w:rPr>
      </w:pPr>
    </w:p>
    <w:p w14:paraId="44B35CC7" w14:textId="77777777" w:rsidR="009517EA" w:rsidRPr="00BC51F0" w:rsidRDefault="009517EA" w:rsidP="004F0719">
      <w:pPr>
        <w:spacing w:after="80"/>
      </w:pPr>
      <w:r w:rsidRPr="00BC51F0">
        <w:t>The CTS requires licensees to provide at least 390 hours annually of children’s programs comprising:</w:t>
      </w:r>
    </w:p>
    <w:p w14:paraId="44B35CC8" w14:textId="77777777" w:rsidR="009517EA" w:rsidRPr="00BC51F0" w:rsidRDefault="009517EA" w:rsidP="009517EA">
      <w:pPr>
        <w:pStyle w:val="ListBullet"/>
      </w:pPr>
      <w:r w:rsidRPr="00BC51F0">
        <w:t>260 hours of children’s (C) programs</w:t>
      </w:r>
    </w:p>
    <w:p w14:paraId="44B35CC9" w14:textId="77777777" w:rsidR="009517EA" w:rsidRPr="00BC51F0" w:rsidRDefault="009517EA" w:rsidP="004F0719">
      <w:pPr>
        <w:pStyle w:val="ListBullet"/>
        <w:spacing w:after="240"/>
      </w:pPr>
      <w:r w:rsidRPr="00BC51F0">
        <w:t>130 hours of preschool (P) programs.</w:t>
      </w:r>
    </w:p>
    <w:p w14:paraId="44B35CCA" w14:textId="77777777" w:rsidR="009517EA" w:rsidRPr="008E0124" w:rsidRDefault="009517EA" w:rsidP="009517EA">
      <w:pPr>
        <w:rPr>
          <w:color w:val="000000" w:themeColor="text1"/>
        </w:rPr>
      </w:pPr>
      <w:r w:rsidRPr="00BC51F0">
        <w:t>The Australian Content Standard sets out additional annual first release and C drama requirements within these quotas. For the 2013 calendar year, all Seven Network and Network Ten metropolitan free-to-air commercial television broadcasting licensees met all of these annual quotas. However, three licensees of the Nine Network failed to provide sufficient children’s C programming to</w:t>
      </w:r>
      <w:r w:rsidR="00ED664F">
        <w:t xml:space="preserve"> satisfy annual first-release C </w:t>
      </w:r>
      <w:r w:rsidRPr="00BC51F0">
        <w:t>programming and ann</w:t>
      </w:r>
      <w:r>
        <w:t xml:space="preserve">ual C programming requirements </w:t>
      </w:r>
      <w:r w:rsidRPr="00BC51F0">
        <w:t>(</w:t>
      </w:r>
      <w:r>
        <w:fldChar w:fldCharType="begin"/>
      </w:r>
      <w:r>
        <w:instrText xml:space="preserve"> REF _Ref398716465 \h </w:instrText>
      </w:r>
      <w:r>
        <w:fldChar w:fldCharType="separate"/>
      </w:r>
      <w:r w:rsidR="006B4FBE">
        <w:t>Table 4.</w:t>
      </w:r>
      <w:r w:rsidR="006B4FBE">
        <w:rPr>
          <w:noProof/>
        </w:rPr>
        <w:t>2</w:t>
      </w:r>
      <w:r>
        <w:fldChar w:fldCharType="end"/>
      </w:r>
      <w:r w:rsidRPr="00BC51F0">
        <w:t>).</w:t>
      </w:r>
      <w:r>
        <w:t xml:space="preserve"> </w:t>
      </w:r>
      <w:r w:rsidRPr="008E0124">
        <w:rPr>
          <w:color w:val="000000" w:themeColor="text1"/>
        </w:rPr>
        <w:t xml:space="preserve">Remedial action for the </w:t>
      </w:r>
      <w:r w:rsidR="00ED664F">
        <w:rPr>
          <w:color w:val="000000" w:themeColor="text1"/>
        </w:rPr>
        <w:br/>
      </w:r>
      <w:r w:rsidRPr="008E0124">
        <w:rPr>
          <w:color w:val="000000" w:themeColor="text1"/>
        </w:rPr>
        <w:t>non-compliant licensees was yet to be finalised at time of publication.</w:t>
      </w:r>
    </w:p>
    <w:p w14:paraId="44B35CCB" w14:textId="77777777" w:rsidR="009517EA" w:rsidRDefault="009517EA" w:rsidP="009517EA"/>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CCD" w14:textId="77777777" w:rsidTr="009517EA">
        <w:trPr>
          <w:trHeight w:val="570"/>
        </w:trPr>
        <w:tc>
          <w:tcPr>
            <w:tcW w:w="9645" w:type="dxa"/>
            <w:tcBorders>
              <w:top w:val="single" w:sz="2" w:space="0" w:color="505050"/>
            </w:tcBorders>
            <w:shd w:val="clear" w:color="auto" w:fill="auto"/>
            <w:vAlign w:val="center"/>
          </w:tcPr>
          <w:p w14:paraId="44B35CCC" w14:textId="77777777" w:rsidR="009517EA" w:rsidRPr="00A74B5E" w:rsidRDefault="009517EA" w:rsidP="00D41B98">
            <w:pPr>
              <w:pStyle w:val="Caption"/>
              <w:keepNext/>
              <w:spacing w:before="160" w:after="160"/>
            </w:pPr>
            <w:bookmarkStart w:id="27" w:name="_Ref398716465"/>
            <w:r>
              <w:lastRenderedPageBreak/>
              <w:t>Table 4.</w:t>
            </w:r>
            <w:r w:rsidR="00FC1A17">
              <w:fldChar w:fldCharType="begin"/>
            </w:r>
            <w:r w:rsidR="00FC1A17">
              <w:instrText xml:space="preserve"> SEQ Table \* ARABIC </w:instrText>
            </w:r>
            <w:r w:rsidR="00FC1A17">
              <w:fldChar w:fldCharType="separate"/>
            </w:r>
            <w:r w:rsidR="006B4FBE">
              <w:rPr>
                <w:noProof/>
              </w:rPr>
              <w:t>2</w:t>
            </w:r>
            <w:r w:rsidR="00FC1A17">
              <w:rPr>
                <w:noProof/>
              </w:rPr>
              <w:fldChar w:fldCharType="end"/>
            </w:r>
            <w:bookmarkEnd w:id="27"/>
            <w:r>
              <w:t xml:space="preserve"> </w:t>
            </w:r>
            <w:r w:rsidRPr="00447C97">
              <w:t>Major metropolitan free-to-air commercial network licensees children’s and preschool children’s program quotas</w:t>
            </w:r>
            <w:r w:rsidRPr="00BC2DCA">
              <w:t xml:space="preserve"> (total annual hours), 2013 calendar year</w:t>
            </w:r>
          </w:p>
        </w:tc>
      </w:tr>
      <w:tr w:rsidR="009517EA" w14:paraId="44B35D06" w14:textId="77777777" w:rsidTr="009517EA">
        <w:trPr>
          <w:trHeight w:val="3086"/>
        </w:trPr>
        <w:tc>
          <w:tcPr>
            <w:tcW w:w="9645" w:type="dxa"/>
            <w:shd w:val="clear" w:color="auto" w:fill="auto"/>
            <w:tcMar>
              <w:left w:w="28" w:type="dxa"/>
            </w:tcMar>
          </w:tcPr>
          <w:tbl>
            <w:tblPr>
              <w:tblW w:w="906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85" w:type="dxa"/>
                <w:right w:w="57" w:type="dxa"/>
              </w:tblCellMar>
              <w:tblLook w:val="01E0" w:firstRow="1" w:lastRow="1" w:firstColumn="1" w:lastColumn="1" w:noHBand="0" w:noVBand="0"/>
            </w:tblPr>
            <w:tblGrid>
              <w:gridCol w:w="842"/>
              <w:gridCol w:w="1276"/>
              <w:gridCol w:w="1745"/>
              <w:gridCol w:w="1515"/>
              <w:gridCol w:w="1228"/>
              <w:gridCol w:w="1228"/>
              <w:gridCol w:w="1229"/>
            </w:tblGrid>
            <w:tr w:rsidR="00002C66" w:rsidRPr="00BC51F0" w14:paraId="44B35CD3" w14:textId="77777777" w:rsidTr="004F76EB">
              <w:trPr>
                <w:trHeight w:val="284"/>
              </w:trPr>
              <w:tc>
                <w:tcPr>
                  <w:tcW w:w="842" w:type="dxa"/>
                  <w:shd w:val="clear" w:color="auto" w:fill="FFFFFF" w:themeFill="background1"/>
                </w:tcPr>
                <w:p w14:paraId="44B35CCE" w14:textId="77777777" w:rsidR="00002C66" w:rsidRPr="00BA35AF" w:rsidRDefault="00002C66" w:rsidP="00002C66">
                  <w:pPr>
                    <w:keepNext/>
                    <w:keepLines/>
                    <w:rPr>
                      <w:rFonts w:cs="Arial"/>
                      <w:b/>
                      <w:color w:val="FFFFFF" w:themeColor="background1"/>
                      <w:sz w:val="18"/>
                      <w:szCs w:val="18"/>
                    </w:rPr>
                  </w:pPr>
                </w:p>
              </w:tc>
              <w:tc>
                <w:tcPr>
                  <w:tcW w:w="1276" w:type="dxa"/>
                  <w:shd w:val="clear" w:color="auto" w:fill="FFFFFF" w:themeFill="background1"/>
                  <w:tcMar>
                    <w:top w:w="34" w:type="dxa"/>
                    <w:left w:w="113" w:type="dxa"/>
                  </w:tcMar>
                </w:tcPr>
                <w:p w14:paraId="44B35CCF" w14:textId="77777777" w:rsidR="00002C66" w:rsidRPr="00BA35AF" w:rsidRDefault="00002C66" w:rsidP="00002C66">
                  <w:pPr>
                    <w:keepNext/>
                    <w:keepLines/>
                    <w:rPr>
                      <w:rFonts w:cs="Arial"/>
                      <w:b/>
                      <w:color w:val="FFFFFF" w:themeColor="background1"/>
                      <w:sz w:val="18"/>
                      <w:szCs w:val="18"/>
                    </w:rPr>
                  </w:pPr>
                </w:p>
              </w:tc>
              <w:tc>
                <w:tcPr>
                  <w:tcW w:w="1745" w:type="dxa"/>
                  <w:shd w:val="clear" w:color="auto" w:fill="FFFFFF" w:themeFill="background1"/>
                  <w:tcMar>
                    <w:left w:w="113" w:type="dxa"/>
                  </w:tcMar>
                </w:tcPr>
                <w:p w14:paraId="44B35CD0" w14:textId="77777777" w:rsidR="00002C66" w:rsidRPr="00BA35AF" w:rsidRDefault="00002C66" w:rsidP="00002C66">
                  <w:pPr>
                    <w:keepNext/>
                    <w:keepLines/>
                    <w:ind w:right="173"/>
                    <w:jc w:val="center"/>
                    <w:rPr>
                      <w:rFonts w:cs="Arial"/>
                      <w:b/>
                      <w:color w:val="FFFFFF" w:themeColor="background1"/>
                      <w:sz w:val="18"/>
                      <w:szCs w:val="18"/>
                    </w:rPr>
                  </w:pPr>
                </w:p>
              </w:tc>
              <w:tc>
                <w:tcPr>
                  <w:tcW w:w="1515" w:type="dxa"/>
                  <w:vMerge w:val="restart"/>
                  <w:shd w:val="clear" w:color="auto" w:fill="37897E" w:themeFill="text2"/>
                </w:tcPr>
                <w:p w14:paraId="44B35CD1" w14:textId="77777777" w:rsidR="00002C66" w:rsidRPr="00BA35AF" w:rsidRDefault="00002C66" w:rsidP="00002C66">
                  <w:pPr>
                    <w:spacing w:before="60" w:after="60"/>
                    <w:ind w:right="213"/>
                    <w:jc w:val="right"/>
                    <w:rPr>
                      <w:b/>
                      <w:sz w:val="18"/>
                      <w:szCs w:val="18"/>
                    </w:rPr>
                  </w:pPr>
                  <w:r w:rsidRPr="00BA35AF">
                    <w:rPr>
                      <w:b/>
                      <w:color w:val="FFFFFF" w:themeColor="background1"/>
                      <w:sz w:val="18"/>
                      <w:szCs w:val="18"/>
                    </w:rPr>
                    <w:t>Minim</w:t>
                  </w:r>
                  <w:r>
                    <w:rPr>
                      <w:b/>
                      <w:color w:val="FFFFFF" w:themeColor="background1"/>
                      <w:sz w:val="18"/>
                      <w:szCs w:val="18"/>
                    </w:rPr>
                    <w:t>um</w:t>
                  </w:r>
                  <w:r w:rsidRPr="00BA35AF">
                    <w:rPr>
                      <w:b/>
                      <w:color w:val="FFFFFF" w:themeColor="background1"/>
                      <w:sz w:val="18"/>
                      <w:szCs w:val="18"/>
                    </w:rPr>
                    <w:t xml:space="preserve"> annual requirement</w:t>
                  </w:r>
                  <w:r>
                    <w:rPr>
                      <w:b/>
                      <w:color w:val="FFFFFF" w:themeColor="background1"/>
                      <w:sz w:val="18"/>
                      <w:szCs w:val="18"/>
                    </w:rPr>
                    <w:t xml:space="preserve"> (hours)</w:t>
                  </w:r>
                </w:p>
              </w:tc>
              <w:tc>
                <w:tcPr>
                  <w:tcW w:w="3685" w:type="dxa"/>
                  <w:gridSpan w:val="3"/>
                  <w:shd w:val="clear" w:color="auto" w:fill="37897E" w:themeFill="text2"/>
                  <w:vAlign w:val="center"/>
                </w:tcPr>
                <w:p w14:paraId="44B35CD2" w14:textId="77777777" w:rsidR="00002C66" w:rsidRPr="00BA35AF" w:rsidRDefault="00002C66" w:rsidP="00002C66">
                  <w:pPr>
                    <w:ind w:right="213"/>
                    <w:jc w:val="center"/>
                    <w:rPr>
                      <w:b/>
                      <w:color w:val="FFFFFF" w:themeColor="background1"/>
                      <w:sz w:val="18"/>
                      <w:szCs w:val="18"/>
                    </w:rPr>
                  </w:pPr>
                  <w:r>
                    <w:rPr>
                      <w:rFonts w:cs="Arial"/>
                      <w:b/>
                      <w:bCs/>
                      <w:color w:val="FFFFFF" w:themeColor="background1"/>
                      <w:sz w:val="18"/>
                      <w:szCs w:val="18"/>
                    </w:rPr>
                    <w:t>Licensees</w:t>
                  </w:r>
                  <w:r w:rsidRPr="00BA35AF" w:rsidDel="00F85B05">
                    <w:rPr>
                      <w:b/>
                      <w:color w:val="FFFFFF" w:themeColor="background1"/>
                      <w:sz w:val="18"/>
                      <w:szCs w:val="18"/>
                    </w:rPr>
                    <w:t xml:space="preserve"> </w:t>
                  </w:r>
                </w:p>
              </w:tc>
            </w:tr>
            <w:tr w:rsidR="00002C66" w:rsidRPr="00BC51F0" w14:paraId="44B35CDC" w14:textId="77777777" w:rsidTr="004F76EB">
              <w:trPr>
                <w:trHeight w:val="284"/>
              </w:trPr>
              <w:tc>
                <w:tcPr>
                  <w:tcW w:w="842" w:type="dxa"/>
                  <w:shd w:val="clear" w:color="auto" w:fill="FFFFFF" w:themeFill="background1"/>
                </w:tcPr>
                <w:p w14:paraId="44B35CD4" w14:textId="77777777" w:rsidR="00002C66" w:rsidRPr="00BA35AF" w:rsidRDefault="00002C66" w:rsidP="00002C66">
                  <w:pPr>
                    <w:keepNext/>
                    <w:keepLines/>
                    <w:rPr>
                      <w:rFonts w:cs="Arial"/>
                      <w:b/>
                      <w:color w:val="FFFFFF" w:themeColor="background1"/>
                      <w:sz w:val="18"/>
                      <w:szCs w:val="18"/>
                    </w:rPr>
                  </w:pPr>
                </w:p>
              </w:tc>
              <w:tc>
                <w:tcPr>
                  <w:tcW w:w="1276" w:type="dxa"/>
                  <w:tcBorders>
                    <w:bottom w:val="single" w:sz="18" w:space="0" w:color="FFFFFF" w:themeColor="background1"/>
                  </w:tcBorders>
                  <w:shd w:val="clear" w:color="auto" w:fill="FFFFFF" w:themeFill="background1"/>
                  <w:tcMar>
                    <w:left w:w="113" w:type="dxa"/>
                  </w:tcMar>
                </w:tcPr>
                <w:p w14:paraId="44B35CD5" w14:textId="77777777" w:rsidR="00002C66" w:rsidRPr="00BA35AF" w:rsidRDefault="00002C66" w:rsidP="00002C66">
                  <w:pPr>
                    <w:keepNext/>
                    <w:keepLines/>
                    <w:rPr>
                      <w:rFonts w:cs="Arial"/>
                      <w:b/>
                      <w:color w:val="FFFFFF" w:themeColor="background1"/>
                      <w:sz w:val="18"/>
                      <w:szCs w:val="18"/>
                    </w:rPr>
                  </w:pPr>
                </w:p>
              </w:tc>
              <w:tc>
                <w:tcPr>
                  <w:tcW w:w="1745" w:type="dxa"/>
                  <w:tcBorders>
                    <w:bottom w:val="single" w:sz="18" w:space="0" w:color="FFFFFF" w:themeColor="background1"/>
                  </w:tcBorders>
                  <w:shd w:val="clear" w:color="auto" w:fill="FFFFFF" w:themeFill="background1"/>
                  <w:tcMar>
                    <w:left w:w="113" w:type="dxa"/>
                  </w:tcMar>
                </w:tcPr>
                <w:p w14:paraId="44B35CD6" w14:textId="77777777" w:rsidR="00002C66" w:rsidRPr="00BA35AF" w:rsidRDefault="00002C66" w:rsidP="00002C66">
                  <w:pPr>
                    <w:keepNext/>
                    <w:keepLines/>
                    <w:jc w:val="center"/>
                    <w:rPr>
                      <w:rFonts w:cs="Arial"/>
                      <w:b/>
                      <w:color w:val="FFFFFF" w:themeColor="background1"/>
                      <w:sz w:val="18"/>
                      <w:szCs w:val="18"/>
                    </w:rPr>
                  </w:pPr>
                </w:p>
              </w:tc>
              <w:tc>
                <w:tcPr>
                  <w:tcW w:w="1515" w:type="dxa"/>
                  <w:vMerge/>
                  <w:shd w:val="clear" w:color="auto" w:fill="37897E" w:themeFill="text2"/>
                  <w:tcMar>
                    <w:left w:w="113" w:type="dxa"/>
                    <w:right w:w="113" w:type="dxa"/>
                  </w:tcMar>
                </w:tcPr>
                <w:p w14:paraId="44B35CD7" w14:textId="77777777" w:rsidR="00002C66" w:rsidRPr="00BA35AF" w:rsidRDefault="00002C66" w:rsidP="00002C66">
                  <w:pPr>
                    <w:keepNext/>
                    <w:keepLines/>
                    <w:ind w:right="213"/>
                    <w:jc w:val="right"/>
                    <w:rPr>
                      <w:rFonts w:cs="Arial"/>
                      <w:b/>
                      <w:color w:val="FFFFFF" w:themeColor="background1"/>
                      <w:sz w:val="18"/>
                      <w:szCs w:val="18"/>
                    </w:rPr>
                  </w:pPr>
                </w:p>
              </w:tc>
              <w:tc>
                <w:tcPr>
                  <w:tcW w:w="1228" w:type="dxa"/>
                  <w:shd w:val="clear" w:color="auto" w:fill="37897E" w:themeFill="text2"/>
                </w:tcPr>
                <w:p w14:paraId="44B35CD8" w14:textId="77777777" w:rsidR="00002C66" w:rsidRPr="00BA35AF" w:rsidRDefault="00002C66" w:rsidP="00002C66">
                  <w:pPr>
                    <w:ind w:right="213"/>
                    <w:jc w:val="right"/>
                    <w:rPr>
                      <w:color w:val="FFFFFF" w:themeColor="background1"/>
                      <w:sz w:val="18"/>
                      <w:szCs w:val="18"/>
                    </w:rPr>
                  </w:pPr>
                  <w:r w:rsidRPr="00BA35AF">
                    <w:rPr>
                      <w:b/>
                      <w:color w:val="FFFFFF" w:themeColor="background1"/>
                      <w:sz w:val="18"/>
                      <w:szCs w:val="18"/>
                    </w:rPr>
                    <w:t>Seven Network</w:t>
                  </w:r>
                </w:p>
              </w:tc>
              <w:tc>
                <w:tcPr>
                  <w:tcW w:w="1228" w:type="dxa"/>
                  <w:shd w:val="clear" w:color="auto" w:fill="37897E" w:themeFill="text2"/>
                  <w:tcMar>
                    <w:left w:w="113" w:type="dxa"/>
                  </w:tcMar>
                </w:tcPr>
                <w:p w14:paraId="44B35CD9" w14:textId="77777777" w:rsidR="00002C66" w:rsidRPr="00BA35AF" w:rsidRDefault="00002C66" w:rsidP="00002C66">
                  <w:pPr>
                    <w:ind w:right="213"/>
                    <w:jc w:val="right"/>
                    <w:rPr>
                      <w:color w:val="FFFFFF" w:themeColor="background1"/>
                      <w:sz w:val="18"/>
                      <w:szCs w:val="18"/>
                    </w:rPr>
                  </w:pPr>
                  <w:r w:rsidRPr="00BA35AF">
                    <w:rPr>
                      <w:b/>
                      <w:color w:val="FFFFFF" w:themeColor="background1"/>
                      <w:sz w:val="18"/>
                      <w:szCs w:val="18"/>
                    </w:rPr>
                    <w:t>Nine Network</w:t>
                  </w:r>
                </w:p>
              </w:tc>
              <w:tc>
                <w:tcPr>
                  <w:tcW w:w="1229" w:type="dxa"/>
                  <w:shd w:val="clear" w:color="auto" w:fill="37897E" w:themeFill="text2"/>
                </w:tcPr>
                <w:p w14:paraId="44B35CDA" w14:textId="77777777" w:rsidR="00002C66" w:rsidRDefault="00002C66" w:rsidP="00002C66">
                  <w:pPr>
                    <w:ind w:right="213"/>
                    <w:jc w:val="right"/>
                    <w:rPr>
                      <w:b/>
                      <w:color w:val="FFFFFF" w:themeColor="background1"/>
                      <w:sz w:val="18"/>
                      <w:szCs w:val="18"/>
                    </w:rPr>
                  </w:pPr>
                  <w:r w:rsidRPr="00BA35AF">
                    <w:rPr>
                      <w:b/>
                      <w:color w:val="FFFFFF" w:themeColor="background1"/>
                      <w:sz w:val="18"/>
                      <w:szCs w:val="18"/>
                    </w:rPr>
                    <w:t xml:space="preserve">Ten </w:t>
                  </w:r>
                </w:p>
                <w:p w14:paraId="44B35CDB" w14:textId="77777777" w:rsidR="00002C66" w:rsidRPr="00BA35AF" w:rsidRDefault="00002C66" w:rsidP="00002C66">
                  <w:pPr>
                    <w:ind w:right="213"/>
                    <w:jc w:val="right"/>
                    <w:rPr>
                      <w:color w:val="FFFFFF" w:themeColor="background1"/>
                      <w:sz w:val="18"/>
                      <w:szCs w:val="18"/>
                    </w:rPr>
                  </w:pPr>
                  <w:r w:rsidRPr="00BA35AF">
                    <w:rPr>
                      <w:b/>
                      <w:color w:val="FFFFFF" w:themeColor="background1"/>
                      <w:sz w:val="18"/>
                      <w:szCs w:val="18"/>
                    </w:rPr>
                    <w:t>Network</w:t>
                  </w:r>
                </w:p>
              </w:tc>
            </w:tr>
            <w:tr w:rsidR="00002C66" w:rsidRPr="00BC51F0" w14:paraId="44B35CE4" w14:textId="77777777" w:rsidTr="004F76EB">
              <w:trPr>
                <w:trHeight w:val="425"/>
              </w:trPr>
              <w:tc>
                <w:tcPr>
                  <w:tcW w:w="842" w:type="dxa"/>
                  <w:vMerge w:val="restart"/>
                  <w:tcBorders>
                    <w:right w:val="nil"/>
                  </w:tcBorders>
                  <w:shd w:val="clear" w:color="auto" w:fill="76C8BD"/>
                  <w:vAlign w:val="center"/>
                </w:tcPr>
                <w:p w14:paraId="44B35CDD" w14:textId="77777777" w:rsidR="00002C66" w:rsidRPr="006547F2" w:rsidRDefault="00002C66" w:rsidP="00002C66">
                  <w:pPr>
                    <w:rPr>
                      <w:rFonts w:cs="Arial"/>
                      <w:bCs/>
                      <w:noProof/>
                      <w:color w:val="37897E"/>
                      <w:sz w:val="18"/>
                      <w:szCs w:val="18"/>
                    </w:rPr>
                  </w:pPr>
                  <w:r>
                    <w:rPr>
                      <w:rFonts w:cs="Arial"/>
                      <w:bCs/>
                      <w:noProof/>
                      <w:color w:val="37897E"/>
                      <w:sz w:val="18"/>
                      <w:szCs w:val="18"/>
                    </w:rPr>
                    <w:drawing>
                      <wp:inline distT="0" distB="0" distL="0" distR="0" wp14:anchorId="44B36369" wp14:editId="44B3636A">
                        <wp:extent cx="411481" cy="420625"/>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24.png"/>
                                <pic:cNvPicPr/>
                              </pic:nvPicPr>
                              <pic:blipFill>
                                <a:blip r:embed="rId15">
                                  <a:extLst>
                                    <a:ext uri="{28A0092B-C50C-407E-A947-70E740481C1C}">
                                      <a14:useLocalDpi xmlns:a14="http://schemas.microsoft.com/office/drawing/2010/main" val="0"/>
                                    </a:ext>
                                  </a:extLst>
                                </a:blip>
                                <a:stretch>
                                  <a:fillRect/>
                                </a:stretch>
                              </pic:blipFill>
                              <pic:spPr>
                                <a:xfrm>
                                  <a:off x="0" y="0"/>
                                  <a:ext cx="411481" cy="420625"/>
                                </a:xfrm>
                                <a:prstGeom prst="rect">
                                  <a:avLst/>
                                </a:prstGeom>
                              </pic:spPr>
                            </pic:pic>
                          </a:graphicData>
                        </a:graphic>
                      </wp:inline>
                    </w:drawing>
                  </w:r>
                </w:p>
              </w:tc>
              <w:tc>
                <w:tcPr>
                  <w:tcW w:w="1276" w:type="dxa"/>
                  <w:vMerge w:val="restart"/>
                  <w:tcBorders>
                    <w:left w:val="nil"/>
                    <w:right w:val="nil"/>
                  </w:tcBorders>
                  <w:shd w:val="clear" w:color="auto" w:fill="76C8BD"/>
                  <w:tcMar>
                    <w:left w:w="113" w:type="dxa"/>
                  </w:tcMar>
                  <w:vAlign w:val="center"/>
                </w:tcPr>
                <w:p w14:paraId="44B35CDE" w14:textId="77777777" w:rsidR="00002C66" w:rsidRPr="006547F2" w:rsidRDefault="00002C66" w:rsidP="00002C66">
                  <w:pPr>
                    <w:rPr>
                      <w:b/>
                      <w:color w:val="FFFFFF" w:themeColor="background1"/>
                      <w:sz w:val="18"/>
                      <w:szCs w:val="18"/>
                    </w:rPr>
                  </w:pPr>
                  <w:r w:rsidRPr="006547F2">
                    <w:rPr>
                      <w:b/>
                      <w:color w:val="FFFFFF" w:themeColor="background1"/>
                      <w:sz w:val="18"/>
                      <w:szCs w:val="18"/>
                    </w:rPr>
                    <w:t>Australian children’s</w:t>
                  </w:r>
                  <w:r>
                    <w:rPr>
                      <w:b/>
                      <w:color w:val="FFFFFF" w:themeColor="background1"/>
                      <w:sz w:val="18"/>
                      <w:szCs w:val="18"/>
                    </w:rPr>
                    <w:br/>
                  </w:r>
                  <w:r w:rsidRPr="006547F2">
                    <w:rPr>
                      <w:b/>
                      <w:color w:val="FFFFFF" w:themeColor="background1"/>
                      <w:sz w:val="18"/>
                      <w:szCs w:val="18"/>
                    </w:rPr>
                    <w:t>C drama</w:t>
                  </w:r>
                </w:p>
              </w:tc>
              <w:tc>
                <w:tcPr>
                  <w:tcW w:w="1745" w:type="dxa"/>
                  <w:tcBorders>
                    <w:left w:val="nil"/>
                  </w:tcBorders>
                  <w:shd w:val="clear" w:color="auto" w:fill="76C8BD"/>
                  <w:tcMar>
                    <w:left w:w="113" w:type="dxa"/>
                  </w:tcMar>
                  <w:vAlign w:val="center"/>
                </w:tcPr>
                <w:p w14:paraId="44B35CDF" w14:textId="77777777" w:rsidR="00002C66" w:rsidRPr="00EE355A" w:rsidRDefault="00002C66" w:rsidP="00002C66">
                  <w:pPr>
                    <w:spacing w:before="60" w:after="60" w:line="240" w:lineRule="auto"/>
                    <w:rPr>
                      <w:rFonts w:cs="Arial"/>
                      <w:bCs/>
                      <w:color w:val="FFFFFF" w:themeColor="background1"/>
                      <w:sz w:val="18"/>
                      <w:szCs w:val="18"/>
                    </w:rPr>
                  </w:pPr>
                  <w:r w:rsidRPr="00EE355A">
                    <w:rPr>
                      <w:rFonts w:cs="Arial"/>
                      <w:bCs/>
                      <w:color w:val="FFFFFF" w:themeColor="background1"/>
                      <w:sz w:val="18"/>
                      <w:szCs w:val="18"/>
                    </w:rPr>
                    <w:t>First release</w:t>
                  </w:r>
                </w:p>
              </w:tc>
              <w:tc>
                <w:tcPr>
                  <w:tcW w:w="1515" w:type="dxa"/>
                  <w:shd w:val="clear" w:color="auto" w:fill="D1ECE9" w:themeFill="text2" w:themeFillTint="33"/>
                  <w:tcMar>
                    <w:left w:w="113" w:type="dxa"/>
                    <w:right w:w="113" w:type="dxa"/>
                  </w:tcMar>
                  <w:vAlign w:val="center"/>
                </w:tcPr>
                <w:p w14:paraId="44B35CE0" w14:textId="77777777" w:rsidR="00002C66" w:rsidRPr="00BA35AF" w:rsidRDefault="00002C66" w:rsidP="00002C66">
                  <w:pPr>
                    <w:keepNext/>
                    <w:keepLines/>
                    <w:spacing w:before="60" w:after="60"/>
                    <w:ind w:right="213"/>
                    <w:jc w:val="right"/>
                    <w:rPr>
                      <w:rFonts w:cs="Arial"/>
                      <w:sz w:val="18"/>
                      <w:szCs w:val="18"/>
                    </w:rPr>
                  </w:pPr>
                  <w:r w:rsidRPr="00BA35AF">
                    <w:rPr>
                      <w:rFonts w:cs="Arial"/>
                      <w:sz w:val="18"/>
                      <w:szCs w:val="18"/>
                    </w:rPr>
                    <w:t>25</w:t>
                  </w:r>
                </w:p>
              </w:tc>
              <w:tc>
                <w:tcPr>
                  <w:tcW w:w="1228" w:type="dxa"/>
                  <w:shd w:val="clear" w:color="auto" w:fill="D1ECE9" w:themeFill="text2" w:themeFillTint="33"/>
                  <w:vAlign w:val="center"/>
                </w:tcPr>
                <w:p w14:paraId="44B35CE1"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27</w:t>
                  </w:r>
                </w:p>
              </w:tc>
              <w:tc>
                <w:tcPr>
                  <w:tcW w:w="1228" w:type="dxa"/>
                  <w:shd w:val="clear" w:color="auto" w:fill="D1ECE9" w:themeFill="text2" w:themeFillTint="33"/>
                  <w:tcMar>
                    <w:left w:w="113" w:type="dxa"/>
                  </w:tcMar>
                  <w:vAlign w:val="center"/>
                </w:tcPr>
                <w:p w14:paraId="44B35CE2"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27.5</w:t>
                  </w:r>
                </w:p>
              </w:tc>
              <w:tc>
                <w:tcPr>
                  <w:tcW w:w="1229" w:type="dxa"/>
                  <w:shd w:val="clear" w:color="auto" w:fill="D1ECE9" w:themeFill="text2" w:themeFillTint="33"/>
                  <w:vAlign w:val="center"/>
                </w:tcPr>
                <w:p w14:paraId="44B35CE3"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34</w:t>
                  </w:r>
                </w:p>
              </w:tc>
            </w:tr>
            <w:tr w:rsidR="00002C66" w:rsidRPr="00BC51F0" w14:paraId="44B35CEC" w14:textId="77777777" w:rsidTr="004F76EB">
              <w:trPr>
                <w:trHeight w:val="425"/>
              </w:trPr>
              <w:tc>
                <w:tcPr>
                  <w:tcW w:w="842" w:type="dxa"/>
                  <w:vMerge/>
                  <w:tcBorders>
                    <w:right w:val="nil"/>
                  </w:tcBorders>
                  <w:shd w:val="clear" w:color="auto" w:fill="76C8BD" w:themeFill="text2" w:themeFillTint="99"/>
                  <w:vAlign w:val="center"/>
                </w:tcPr>
                <w:p w14:paraId="44B35CE5" w14:textId="77777777" w:rsidR="00002C66" w:rsidRPr="006547F2" w:rsidRDefault="00002C66" w:rsidP="00002C66">
                  <w:pPr>
                    <w:jc w:val="center"/>
                    <w:rPr>
                      <w:b/>
                      <w:color w:val="FFFFFF" w:themeColor="background1"/>
                      <w:sz w:val="18"/>
                      <w:szCs w:val="18"/>
                    </w:rPr>
                  </w:pPr>
                </w:p>
              </w:tc>
              <w:tc>
                <w:tcPr>
                  <w:tcW w:w="1276" w:type="dxa"/>
                  <w:vMerge/>
                  <w:tcBorders>
                    <w:left w:val="nil"/>
                    <w:right w:val="nil"/>
                  </w:tcBorders>
                  <w:shd w:val="clear" w:color="auto" w:fill="76C8BD" w:themeFill="text2" w:themeFillTint="99"/>
                  <w:tcMar>
                    <w:left w:w="113" w:type="dxa"/>
                  </w:tcMar>
                  <w:vAlign w:val="center"/>
                </w:tcPr>
                <w:p w14:paraId="44B35CE6" w14:textId="77777777" w:rsidR="00002C66" w:rsidRPr="006547F2" w:rsidRDefault="00002C66" w:rsidP="00002C66">
                  <w:pPr>
                    <w:rPr>
                      <w:b/>
                      <w:color w:val="FFFFFF" w:themeColor="background1"/>
                      <w:sz w:val="18"/>
                      <w:szCs w:val="18"/>
                    </w:rPr>
                  </w:pPr>
                </w:p>
              </w:tc>
              <w:tc>
                <w:tcPr>
                  <w:tcW w:w="1745" w:type="dxa"/>
                  <w:tcBorders>
                    <w:left w:val="nil"/>
                  </w:tcBorders>
                  <w:shd w:val="clear" w:color="auto" w:fill="76C8BD" w:themeFill="text2" w:themeFillTint="99"/>
                  <w:tcMar>
                    <w:left w:w="113" w:type="dxa"/>
                  </w:tcMar>
                  <w:vAlign w:val="center"/>
                </w:tcPr>
                <w:p w14:paraId="44B35CE7" w14:textId="77777777" w:rsidR="00002C66" w:rsidRPr="00EE355A" w:rsidRDefault="00002C66" w:rsidP="00002C66">
                  <w:pPr>
                    <w:spacing w:before="60" w:after="60" w:line="240" w:lineRule="auto"/>
                    <w:rPr>
                      <w:rFonts w:cs="Arial"/>
                      <w:bCs/>
                      <w:color w:val="FFFFFF" w:themeColor="background1"/>
                      <w:sz w:val="18"/>
                      <w:szCs w:val="18"/>
                    </w:rPr>
                  </w:pPr>
                  <w:r w:rsidRPr="00EE355A">
                    <w:rPr>
                      <w:rFonts w:cs="Arial"/>
                      <w:bCs/>
                      <w:color w:val="FFFFFF" w:themeColor="background1"/>
                      <w:sz w:val="18"/>
                      <w:szCs w:val="18"/>
                    </w:rPr>
                    <w:t>Repeat</w:t>
                  </w:r>
                </w:p>
              </w:tc>
              <w:tc>
                <w:tcPr>
                  <w:tcW w:w="1515" w:type="dxa"/>
                  <w:shd w:val="clear" w:color="auto" w:fill="D1ECE9" w:themeFill="text2" w:themeFillTint="33"/>
                  <w:tcMar>
                    <w:left w:w="113" w:type="dxa"/>
                    <w:right w:w="113" w:type="dxa"/>
                  </w:tcMar>
                  <w:vAlign w:val="center"/>
                </w:tcPr>
                <w:p w14:paraId="44B35CE8"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8</w:t>
                  </w:r>
                </w:p>
              </w:tc>
              <w:tc>
                <w:tcPr>
                  <w:tcW w:w="1228" w:type="dxa"/>
                  <w:shd w:val="clear" w:color="auto" w:fill="D1ECE9" w:themeFill="text2" w:themeFillTint="33"/>
                  <w:vAlign w:val="center"/>
                </w:tcPr>
                <w:p w14:paraId="44B35CE9" w14:textId="77777777" w:rsidR="00002C66" w:rsidRPr="00BA35AF" w:rsidRDefault="00002C66" w:rsidP="00002C66">
                  <w:pPr>
                    <w:keepNext/>
                    <w:keepLines/>
                    <w:spacing w:before="60" w:after="60"/>
                    <w:ind w:right="213"/>
                    <w:jc w:val="right"/>
                    <w:rPr>
                      <w:rFonts w:cs="Arial"/>
                      <w:sz w:val="18"/>
                      <w:szCs w:val="18"/>
                    </w:rPr>
                  </w:pPr>
                  <w:r w:rsidRPr="00BA35AF">
                    <w:rPr>
                      <w:rFonts w:cs="Arial"/>
                      <w:sz w:val="18"/>
                      <w:szCs w:val="18"/>
                    </w:rPr>
                    <w:t>104</w:t>
                  </w:r>
                </w:p>
              </w:tc>
              <w:tc>
                <w:tcPr>
                  <w:tcW w:w="1228" w:type="dxa"/>
                  <w:shd w:val="clear" w:color="auto" w:fill="D1ECE9" w:themeFill="text2" w:themeFillTint="33"/>
                  <w:tcMar>
                    <w:left w:w="113" w:type="dxa"/>
                  </w:tcMar>
                  <w:vAlign w:val="center"/>
                </w:tcPr>
                <w:p w14:paraId="44B35CEA"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99</w:t>
                  </w:r>
                </w:p>
              </w:tc>
              <w:tc>
                <w:tcPr>
                  <w:tcW w:w="1229" w:type="dxa"/>
                  <w:shd w:val="clear" w:color="auto" w:fill="D1ECE9" w:themeFill="text2" w:themeFillTint="33"/>
                  <w:vAlign w:val="center"/>
                </w:tcPr>
                <w:p w14:paraId="44B35CEB"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65</w:t>
                  </w:r>
                </w:p>
              </w:tc>
            </w:tr>
            <w:tr w:rsidR="00002C66" w:rsidRPr="00BC51F0" w14:paraId="44B35CF4" w14:textId="77777777" w:rsidTr="004F76EB">
              <w:trPr>
                <w:trHeight w:val="860"/>
              </w:trPr>
              <w:tc>
                <w:tcPr>
                  <w:tcW w:w="842" w:type="dxa"/>
                  <w:tcBorders>
                    <w:right w:val="nil"/>
                  </w:tcBorders>
                  <w:shd w:val="clear" w:color="auto" w:fill="76C8BD" w:themeFill="text2" w:themeFillTint="99"/>
                  <w:vAlign w:val="center"/>
                </w:tcPr>
                <w:p w14:paraId="44B35CED" w14:textId="77777777" w:rsidR="00002C66" w:rsidRPr="006547F2" w:rsidRDefault="00002C66" w:rsidP="00002C66">
                  <w:pPr>
                    <w:jc w:val="center"/>
                    <w:rPr>
                      <w:rFonts w:cs="Arial"/>
                      <w:bCs/>
                      <w:noProof/>
                      <w:color w:val="37897E"/>
                      <w:sz w:val="18"/>
                      <w:szCs w:val="18"/>
                    </w:rPr>
                  </w:pPr>
                  <w:r>
                    <w:rPr>
                      <w:rFonts w:cs="Arial"/>
                      <w:bCs/>
                      <w:noProof/>
                      <w:color w:val="37897E"/>
                      <w:sz w:val="18"/>
                      <w:szCs w:val="18"/>
                    </w:rPr>
                    <w:drawing>
                      <wp:inline distT="0" distB="0" distL="0" distR="0" wp14:anchorId="44B3636B" wp14:editId="44B3636C">
                        <wp:extent cx="453600" cy="403200"/>
                        <wp:effectExtent l="0" t="0" r="381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con-17.png"/>
                                <pic:cNvPicPr/>
                              </pic:nvPicPr>
                              <pic:blipFill>
                                <a:blip r:embed="rId16">
                                  <a:extLst>
                                    <a:ext uri="{28A0092B-C50C-407E-A947-70E740481C1C}">
                                      <a14:useLocalDpi xmlns:a14="http://schemas.microsoft.com/office/drawing/2010/main" val="0"/>
                                    </a:ext>
                                  </a:extLst>
                                </a:blip>
                                <a:stretch>
                                  <a:fillRect/>
                                </a:stretch>
                              </pic:blipFill>
                              <pic:spPr>
                                <a:xfrm>
                                  <a:off x="0" y="0"/>
                                  <a:ext cx="453600" cy="403200"/>
                                </a:xfrm>
                                <a:prstGeom prst="rect">
                                  <a:avLst/>
                                </a:prstGeom>
                              </pic:spPr>
                            </pic:pic>
                          </a:graphicData>
                        </a:graphic>
                      </wp:inline>
                    </w:drawing>
                  </w:r>
                </w:p>
              </w:tc>
              <w:tc>
                <w:tcPr>
                  <w:tcW w:w="1276" w:type="dxa"/>
                  <w:tcBorders>
                    <w:left w:val="nil"/>
                    <w:right w:val="nil"/>
                  </w:tcBorders>
                  <w:shd w:val="clear" w:color="auto" w:fill="76C8BD" w:themeFill="text2" w:themeFillTint="99"/>
                  <w:tcMar>
                    <w:left w:w="113" w:type="dxa"/>
                  </w:tcMar>
                  <w:vAlign w:val="center"/>
                </w:tcPr>
                <w:p w14:paraId="44B35CEE" w14:textId="77777777" w:rsidR="00002C66" w:rsidRPr="006547F2" w:rsidRDefault="00002C66" w:rsidP="00002C66">
                  <w:pPr>
                    <w:rPr>
                      <w:b/>
                      <w:color w:val="FFFFFF" w:themeColor="background1"/>
                      <w:sz w:val="18"/>
                      <w:szCs w:val="18"/>
                    </w:rPr>
                  </w:pPr>
                  <w:r w:rsidRPr="006547F2">
                    <w:rPr>
                      <w:b/>
                      <w:color w:val="FFFFFF" w:themeColor="background1"/>
                      <w:sz w:val="18"/>
                      <w:szCs w:val="18"/>
                    </w:rPr>
                    <w:t>Australian children’s</w:t>
                  </w:r>
                  <w:r>
                    <w:rPr>
                      <w:b/>
                      <w:color w:val="FFFFFF" w:themeColor="background1"/>
                      <w:sz w:val="18"/>
                      <w:szCs w:val="18"/>
                    </w:rPr>
                    <w:br/>
                  </w:r>
                  <w:r w:rsidRPr="006547F2">
                    <w:rPr>
                      <w:b/>
                      <w:color w:val="FFFFFF" w:themeColor="background1"/>
                      <w:sz w:val="18"/>
                      <w:szCs w:val="18"/>
                    </w:rPr>
                    <w:t>C programs</w:t>
                  </w:r>
                </w:p>
              </w:tc>
              <w:tc>
                <w:tcPr>
                  <w:tcW w:w="1745" w:type="dxa"/>
                  <w:tcBorders>
                    <w:left w:val="nil"/>
                  </w:tcBorders>
                  <w:shd w:val="clear" w:color="auto" w:fill="76C8BD" w:themeFill="text2" w:themeFillTint="99"/>
                  <w:tcMar>
                    <w:left w:w="113" w:type="dxa"/>
                  </w:tcMar>
                  <w:vAlign w:val="center"/>
                </w:tcPr>
                <w:p w14:paraId="44B35CEF" w14:textId="77777777" w:rsidR="00002C66" w:rsidRPr="00EE355A" w:rsidRDefault="00002C66" w:rsidP="00002C66">
                  <w:pPr>
                    <w:spacing w:before="60" w:after="60" w:line="240" w:lineRule="auto"/>
                    <w:rPr>
                      <w:rFonts w:cs="Arial"/>
                      <w:bCs/>
                      <w:color w:val="FFFFFF" w:themeColor="background1"/>
                      <w:sz w:val="18"/>
                      <w:szCs w:val="18"/>
                    </w:rPr>
                  </w:pPr>
                  <w:r w:rsidRPr="00EE355A">
                    <w:rPr>
                      <w:rFonts w:cs="Arial"/>
                      <w:bCs/>
                      <w:color w:val="FFFFFF" w:themeColor="background1"/>
                      <w:sz w:val="18"/>
                      <w:szCs w:val="18"/>
                    </w:rPr>
                    <w:t>First release including C drama</w:t>
                  </w:r>
                </w:p>
              </w:tc>
              <w:tc>
                <w:tcPr>
                  <w:tcW w:w="1515" w:type="dxa"/>
                  <w:shd w:val="clear" w:color="auto" w:fill="D1ECE9" w:themeFill="text2" w:themeFillTint="33"/>
                  <w:tcMar>
                    <w:left w:w="113" w:type="dxa"/>
                    <w:right w:w="113" w:type="dxa"/>
                  </w:tcMar>
                  <w:vAlign w:val="center"/>
                </w:tcPr>
                <w:p w14:paraId="44B35CF0"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w:t>
                  </w:r>
                </w:p>
              </w:tc>
              <w:tc>
                <w:tcPr>
                  <w:tcW w:w="1228" w:type="dxa"/>
                  <w:shd w:val="clear" w:color="auto" w:fill="D1ECE9" w:themeFill="text2" w:themeFillTint="33"/>
                  <w:vAlign w:val="center"/>
                </w:tcPr>
                <w:p w14:paraId="44B35CF1"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w:t>
                  </w:r>
                </w:p>
              </w:tc>
              <w:tc>
                <w:tcPr>
                  <w:tcW w:w="1228" w:type="dxa"/>
                  <w:shd w:val="clear" w:color="auto" w:fill="D1ECE9" w:themeFill="text2" w:themeFillTint="33"/>
                  <w:tcMar>
                    <w:left w:w="113" w:type="dxa"/>
                  </w:tcMar>
                  <w:vAlign w:val="center"/>
                </w:tcPr>
                <w:p w14:paraId="44B35CF2" w14:textId="77777777" w:rsidR="00002C66" w:rsidRPr="00BA35AF" w:rsidRDefault="00002C66" w:rsidP="00002C66">
                  <w:pPr>
                    <w:keepNext/>
                    <w:keepLines/>
                    <w:spacing w:before="60" w:after="60"/>
                    <w:ind w:right="213"/>
                    <w:jc w:val="right"/>
                    <w:rPr>
                      <w:rFonts w:cs="Arial"/>
                      <w:sz w:val="18"/>
                      <w:szCs w:val="18"/>
                    </w:rPr>
                  </w:pPr>
                  <w:r w:rsidRPr="00BA35AF">
                    <w:rPr>
                      <w:rFonts w:cs="Arial"/>
                      <w:sz w:val="18"/>
                      <w:szCs w:val="18"/>
                    </w:rPr>
                    <w:t>124</w:t>
                  </w:r>
                </w:p>
              </w:tc>
              <w:tc>
                <w:tcPr>
                  <w:tcW w:w="1229" w:type="dxa"/>
                  <w:shd w:val="clear" w:color="auto" w:fill="D1ECE9" w:themeFill="text2" w:themeFillTint="33"/>
                  <w:vAlign w:val="center"/>
                </w:tcPr>
                <w:p w14:paraId="44B35CF3"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w:t>
                  </w:r>
                </w:p>
              </w:tc>
            </w:tr>
            <w:tr w:rsidR="00002C66" w:rsidRPr="00BC51F0" w14:paraId="44B35CFC" w14:textId="77777777" w:rsidTr="004F76EB">
              <w:trPr>
                <w:trHeight w:val="851"/>
              </w:trPr>
              <w:tc>
                <w:tcPr>
                  <w:tcW w:w="842" w:type="dxa"/>
                  <w:tcBorders>
                    <w:right w:val="nil"/>
                  </w:tcBorders>
                  <w:shd w:val="clear" w:color="auto" w:fill="76C8BD" w:themeFill="text2" w:themeFillTint="99"/>
                  <w:vAlign w:val="center"/>
                </w:tcPr>
                <w:p w14:paraId="44B35CF5" w14:textId="77777777" w:rsidR="00002C66" w:rsidRDefault="00002C66" w:rsidP="00002C66">
                  <w:pPr>
                    <w:jc w:val="center"/>
                    <w:rPr>
                      <w:b/>
                      <w:noProof/>
                      <w:color w:val="FFFFFF" w:themeColor="background1"/>
                      <w:sz w:val="18"/>
                      <w:szCs w:val="18"/>
                    </w:rPr>
                  </w:pPr>
                  <w:r>
                    <w:rPr>
                      <w:b/>
                      <w:noProof/>
                      <w:color w:val="FFFFFF" w:themeColor="background1"/>
                      <w:sz w:val="18"/>
                      <w:szCs w:val="18"/>
                    </w:rPr>
                    <w:drawing>
                      <wp:inline distT="0" distB="0" distL="0" distR="0" wp14:anchorId="44B3636D" wp14:editId="44B3636E">
                        <wp:extent cx="428400" cy="370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con-23.png"/>
                                <pic:cNvPicPr/>
                              </pic:nvPicPr>
                              <pic:blipFill>
                                <a:blip r:embed="rId17">
                                  <a:extLst>
                                    <a:ext uri="{28A0092B-C50C-407E-A947-70E740481C1C}">
                                      <a14:useLocalDpi xmlns:a14="http://schemas.microsoft.com/office/drawing/2010/main" val="0"/>
                                    </a:ext>
                                  </a:extLst>
                                </a:blip>
                                <a:stretch>
                                  <a:fillRect/>
                                </a:stretch>
                              </pic:blipFill>
                              <pic:spPr>
                                <a:xfrm>
                                  <a:off x="0" y="0"/>
                                  <a:ext cx="428400" cy="370800"/>
                                </a:xfrm>
                                <a:prstGeom prst="rect">
                                  <a:avLst/>
                                </a:prstGeom>
                              </pic:spPr>
                            </pic:pic>
                          </a:graphicData>
                        </a:graphic>
                      </wp:inline>
                    </w:drawing>
                  </w:r>
                </w:p>
              </w:tc>
              <w:tc>
                <w:tcPr>
                  <w:tcW w:w="1276" w:type="dxa"/>
                  <w:tcBorders>
                    <w:left w:val="nil"/>
                    <w:right w:val="nil"/>
                  </w:tcBorders>
                  <w:shd w:val="clear" w:color="auto" w:fill="76C8BD" w:themeFill="text2" w:themeFillTint="99"/>
                  <w:tcMar>
                    <w:left w:w="113" w:type="dxa"/>
                  </w:tcMar>
                  <w:vAlign w:val="center"/>
                </w:tcPr>
                <w:p w14:paraId="44B35CF6" w14:textId="77777777" w:rsidR="00002C66" w:rsidRPr="006547F2" w:rsidRDefault="00002C66" w:rsidP="00002C66">
                  <w:pPr>
                    <w:rPr>
                      <w:b/>
                      <w:color w:val="FFFFFF" w:themeColor="background1"/>
                      <w:sz w:val="18"/>
                      <w:szCs w:val="18"/>
                    </w:rPr>
                  </w:pPr>
                  <w:r w:rsidRPr="006547F2">
                    <w:rPr>
                      <w:b/>
                      <w:color w:val="FFFFFF" w:themeColor="background1"/>
                      <w:sz w:val="18"/>
                      <w:szCs w:val="18"/>
                    </w:rPr>
                    <w:t>Children’s</w:t>
                  </w:r>
                  <w:r>
                    <w:rPr>
                      <w:b/>
                      <w:color w:val="FFFFFF" w:themeColor="background1"/>
                      <w:sz w:val="18"/>
                      <w:szCs w:val="18"/>
                    </w:rPr>
                    <w:br/>
                  </w:r>
                  <w:r w:rsidRPr="006547F2">
                    <w:rPr>
                      <w:b/>
                      <w:color w:val="FFFFFF" w:themeColor="background1"/>
                      <w:sz w:val="18"/>
                      <w:szCs w:val="18"/>
                    </w:rPr>
                    <w:t>C programs</w:t>
                  </w:r>
                </w:p>
              </w:tc>
              <w:tc>
                <w:tcPr>
                  <w:tcW w:w="1745" w:type="dxa"/>
                  <w:tcBorders>
                    <w:left w:val="nil"/>
                  </w:tcBorders>
                  <w:shd w:val="clear" w:color="auto" w:fill="76C8BD" w:themeFill="text2" w:themeFillTint="99"/>
                  <w:tcMar>
                    <w:left w:w="113" w:type="dxa"/>
                  </w:tcMar>
                  <w:vAlign w:val="center"/>
                </w:tcPr>
                <w:p w14:paraId="44B35CF7" w14:textId="77777777" w:rsidR="00002C66" w:rsidRPr="00EE355A" w:rsidRDefault="00002C66" w:rsidP="00002C66">
                  <w:pPr>
                    <w:spacing w:before="60" w:after="60" w:line="240" w:lineRule="auto"/>
                    <w:rPr>
                      <w:rFonts w:cs="Arial"/>
                      <w:bCs/>
                      <w:color w:val="FFFFFF" w:themeColor="background1"/>
                      <w:sz w:val="18"/>
                      <w:szCs w:val="18"/>
                    </w:rPr>
                  </w:pPr>
                  <w:r w:rsidRPr="00EE355A">
                    <w:rPr>
                      <w:rFonts w:cs="Arial"/>
                      <w:bCs/>
                      <w:color w:val="FFFFFF" w:themeColor="background1"/>
                      <w:sz w:val="18"/>
                      <w:szCs w:val="18"/>
                    </w:rPr>
                    <w:t>All</w:t>
                  </w:r>
                </w:p>
              </w:tc>
              <w:tc>
                <w:tcPr>
                  <w:tcW w:w="1515" w:type="dxa"/>
                  <w:shd w:val="clear" w:color="auto" w:fill="D1ECE9" w:themeFill="text2" w:themeFillTint="33"/>
                  <w:tcMar>
                    <w:left w:w="113" w:type="dxa"/>
                    <w:right w:w="113" w:type="dxa"/>
                  </w:tcMar>
                  <w:vAlign w:val="center"/>
                </w:tcPr>
                <w:p w14:paraId="44B35CF8"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260</w:t>
                  </w:r>
                </w:p>
              </w:tc>
              <w:tc>
                <w:tcPr>
                  <w:tcW w:w="1228" w:type="dxa"/>
                  <w:shd w:val="clear" w:color="auto" w:fill="D1ECE9" w:themeFill="text2" w:themeFillTint="33"/>
                  <w:vAlign w:val="center"/>
                </w:tcPr>
                <w:p w14:paraId="44B35CF9"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261.5</w:t>
                  </w:r>
                </w:p>
              </w:tc>
              <w:tc>
                <w:tcPr>
                  <w:tcW w:w="1228" w:type="dxa"/>
                  <w:shd w:val="clear" w:color="auto" w:fill="D1ECE9" w:themeFill="text2" w:themeFillTint="33"/>
                  <w:tcMar>
                    <w:left w:w="113" w:type="dxa"/>
                  </w:tcMar>
                  <w:vAlign w:val="center"/>
                </w:tcPr>
                <w:p w14:paraId="44B35CFA"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258.5</w:t>
                  </w:r>
                </w:p>
              </w:tc>
              <w:tc>
                <w:tcPr>
                  <w:tcW w:w="1229" w:type="dxa"/>
                  <w:shd w:val="clear" w:color="auto" w:fill="D1ECE9" w:themeFill="text2" w:themeFillTint="33"/>
                  <w:vAlign w:val="center"/>
                </w:tcPr>
                <w:p w14:paraId="44B35CFB" w14:textId="77777777" w:rsidR="00002C66" w:rsidRPr="00BA35AF" w:rsidRDefault="00002C66" w:rsidP="00002C66">
                  <w:pPr>
                    <w:keepNext/>
                    <w:keepLines/>
                    <w:spacing w:before="60" w:after="60"/>
                    <w:ind w:right="213"/>
                    <w:jc w:val="right"/>
                    <w:rPr>
                      <w:rFonts w:cs="Arial"/>
                      <w:sz w:val="18"/>
                      <w:szCs w:val="18"/>
                    </w:rPr>
                  </w:pPr>
                  <w:r w:rsidRPr="00BA35AF">
                    <w:rPr>
                      <w:rFonts w:cs="Arial"/>
                      <w:sz w:val="18"/>
                      <w:szCs w:val="18"/>
                    </w:rPr>
                    <w:t>260.5</w:t>
                  </w:r>
                </w:p>
              </w:tc>
            </w:tr>
            <w:tr w:rsidR="00002C66" w:rsidRPr="00BC51F0" w14:paraId="44B35D04" w14:textId="77777777" w:rsidTr="004F76EB">
              <w:trPr>
                <w:trHeight w:val="851"/>
              </w:trPr>
              <w:tc>
                <w:tcPr>
                  <w:tcW w:w="842" w:type="dxa"/>
                  <w:tcBorders>
                    <w:right w:val="nil"/>
                  </w:tcBorders>
                  <w:shd w:val="clear" w:color="auto" w:fill="76C8BD" w:themeFill="text2" w:themeFillTint="99"/>
                  <w:vAlign w:val="center"/>
                </w:tcPr>
                <w:p w14:paraId="44B35CFD" w14:textId="77777777" w:rsidR="00002C66" w:rsidRDefault="00002C66" w:rsidP="00002C66">
                  <w:pPr>
                    <w:jc w:val="center"/>
                    <w:rPr>
                      <w:b/>
                      <w:noProof/>
                      <w:color w:val="FFFFFF" w:themeColor="background1"/>
                      <w:sz w:val="18"/>
                      <w:szCs w:val="18"/>
                    </w:rPr>
                  </w:pPr>
                  <w:r>
                    <w:rPr>
                      <w:b/>
                      <w:noProof/>
                      <w:color w:val="FFFFFF" w:themeColor="background1"/>
                      <w:sz w:val="18"/>
                      <w:szCs w:val="18"/>
                    </w:rPr>
                    <w:drawing>
                      <wp:inline distT="0" distB="0" distL="0" distR="0" wp14:anchorId="44B3636F" wp14:editId="44B36370">
                        <wp:extent cx="424800" cy="392400"/>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con-22.png"/>
                                <pic:cNvPicPr/>
                              </pic:nvPicPr>
                              <pic:blipFill>
                                <a:blip r:embed="rId18">
                                  <a:extLst>
                                    <a:ext uri="{28A0092B-C50C-407E-A947-70E740481C1C}">
                                      <a14:useLocalDpi xmlns:a14="http://schemas.microsoft.com/office/drawing/2010/main" val="0"/>
                                    </a:ext>
                                  </a:extLst>
                                </a:blip>
                                <a:stretch>
                                  <a:fillRect/>
                                </a:stretch>
                              </pic:blipFill>
                              <pic:spPr>
                                <a:xfrm>
                                  <a:off x="0" y="0"/>
                                  <a:ext cx="424800" cy="392400"/>
                                </a:xfrm>
                                <a:prstGeom prst="rect">
                                  <a:avLst/>
                                </a:prstGeom>
                              </pic:spPr>
                            </pic:pic>
                          </a:graphicData>
                        </a:graphic>
                      </wp:inline>
                    </w:drawing>
                  </w:r>
                </w:p>
              </w:tc>
              <w:tc>
                <w:tcPr>
                  <w:tcW w:w="1276" w:type="dxa"/>
                  <w:tcBorders>
                    <w:left w:val="nil"/>
                    <w:right w:val="nil"/>
                  </w:tcBorders>
                  <w:shd w:val="clear" w:color="auto" w:fill="76C8BD" w:themeFill="text2" w:themeFillTint="99"/>
                  <w:tcMar>
                    <w:left w:w="113" w:type="dxa"/>
                  </w:tcMar>
                  <w:vAlign w:val="center"/>
                </w:tcPr>
                <w:p w14:paraId="44B35CFE" w14:textId="77777777" w:rsidR="00002C66" w:rsidRPr="006547F2" w:rsidRDefault="00002C66" w:rsidP="00002C66">
                  <w:pPr>
                    <w:rPr>
                      <w:b/>
                      <w:color w:val="FFFFFF" w:themeColor="background1"/>
                      <w:sz w:val="18"/>
                      <w:szCs w:val="18"/>
                    </w:rPr>
                  </w:pPr>
                  <w:r w:rsidRPr="006547F2">
                    <w:rPr>
                      <w:b/>
                      <w:color w:val="FFFFFF" w:themeColor="background1"/>
                      <w:sz w:val="18"/>
                      <w:szCs w:val="18"/>
                    </w:rPr>
                    <w:t>Australian preschool</w:t>
                  </w:r>
                  <w:r>
                    <w:rPr>
                      <w:b/>
                      <w:color w:val="FFFFFF" w:themeColor="background1"/>
                      <w:sz w:val="18"/>
                      <w:szCs w:val="18"/>
                    </w:rPr>
                    <w:br/>
                  </w:r>
                  <w:r w:rsidRPr="006547F2">
                    <w:rPr>
                      <w:b/>
                      <w:color w:val="FFFFFF" w:themeColor="background1"/>
                      <w:sz w:val="18"/>
                      <w:szCs w:val="18"/>
                    </w:rPr>
                    <w:t>P programs</w:t>
                  </w:r>
                </w:p>
              </w:tc>
              <w:tc>
                <w:tcPr>
                  <w:tcW w:w="1745" w:type="dxa"/>
                  <w:tcBorders>
                    <w:left w:val="nil"/>
                  </w:tcBorders>
                  <w:shd w:val="clear" w:color="auto" w:fill="76C8BD" w:themeFill="text2" w:themeFillTint="99"/>
                  <w:tcMar>
                    <w:left w:w="113" w:type="dxa"/>
                  </w:tcMar>
                  <w:vAlign w:val="center"/>
                </w:tcPr>
                <w:p w14:paraId="44B35CFF" w14:textId="77777777" w:rsidR="00002C66" w:rsidRPr="00EE355A" w:rsidRDefault="00002C66" w:rsidP="00002C66">
                  <w:pPr>
                    <w:spacing w:before="60" w:after="60" w:line="240" w:lineRule="auto"/>
                    <w:rPr>
                      <w:rFonts w:cs="Arial"/>
                      <w:bCs/>
                      <w:color w:val="FFFFFF" w:themeColor="background1"/>
                      <w:sz w:val="18"/>
                      <w:szCs w:val="18"/>
                    </w:rPr>
                  </w:pPr>
                  <w:r w:rsidRPr="00EE355A">
                    <w:rPr>
                      <w:rFonts w:cs="Arial"/>
                      <w:bCs/>
                      <w:color w:val="FFFFFF" w:themeColor="background1"/>
                      <w:sz w:val="18"/>
                      <w:szCs w:val="18"/>
                    </w:rPr>
                    <w:t>All</w:t>
                  </w:r>
                </w:p>
              </w:tc>
              <w:tc>
                <w:tcPr>
                  <w:tcW w:w="1515" w:type="dxa"/>
                  <w:shd w:val="clear" w:color="auto" w:fill="D1ECE9" w:themeFill="text2" w:themeFillTint="33"/>
                  <w:tcMar>
                    <w:left w:w="113" w:type="dxa"/>
                    <w:right w:w="113" w:type="dxa"/>
                  </w:tcMar>
                  <w:vAlign w:val="center"/>
                </w:tcPr>
                <w:p w14:paraId="44B35D00"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w:t>
                  </w:r>
                </w:p>
              </w:tc>
              <w:tc>
                <w:tcPr>
                  <w:tcW w:w="1228" w:type="dxa"/>
                  <w:shd w:val="clear" w:color="auto" w:fill="D1ECE9" w:themeFill="text2" w:themeFillTint="33"/>
                  <w:vAlign w:val="center"/>
                </w:tcPr>
                <w:p w14:paraId="44B35D01"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130.5</w:t>
                  </w:r>
                </w:p>
              </w:tc>
              <w:tc>
                <w:tcPr>
                  <w:tcW w:w="1228" w:type="dxa"/>
                  <w:shd w:val="clear" w:color="auto" w:fill="D1ECE9" w:themeFill="text2" w:themeFillTint="33"/>
                  <w:tcMar>
                    <w:left w:w="113" w:type="dxa"/>
                  </w:tcMar>
                  <w:vAlign w:val="center"/>
                </w:tcPr>
                <w:p w14:paraId="44B35D02" w14:textId="77777777" w:rsidR="00002C66" w:rsidRPr="00BA35AF" w:rsidRDefault="00002C66" w:rsidP="00002C66">
                  <w:pPr>
                    <w:keepNext/>
                    <w:keepLines/>
                    <w:spacing w:before="60" w:after="60"/>
                    <w:ind w:right="213"/>
                    <w:jc w:val="right"/>
                    <w:rPr>
                      <w:rFonts w:cs="Arial"/>
                      <w:sz w:val="18"/>
                      <w:szCs w:val="18"/>
                    </w:rPr>
                  </w:pPr>
                  <w:r w:rsidRPr="00BA35AF">
                    <w:rPr>
                      <w:rFonts w:cs="Arial"/>
                      <w:sz w:val="18"/>
                      <w:szCs w:val="18"/>
                    </w:rPr>
                    <w:t>130</w:t>
                  </w:r>
                  <w:r>
                    <w:rPr>
                      <w:rFonts w:cs="Arial"/>
                      <w:sz w:val="18"/>
                      <w:szCs w:val="18"/>
                    </w:rPr>
                    <w:t>.5</w:t>
                  </w:r>
                </w:p>
              </w:tc>
              <w:tc>
                <w:tcPr>
                  <w:tcW w:w="1229" w:type="dxa"/>
                  <w:shd w:val="clear" w:color="auto" w:fill="D1ECE9" w:themeFill="text2" w:themeFillTint="33"/>
                  <w:vAlign w:val="center"/>
                </w:tcPr>
                <w:p w14:paraId="44B35D03" w14:textId="77777777" w:rsidR="00002C66" w:rsidRPr="00BA35AF" w:rsidRDefault="00002C66" w:rsidP="00002C66">
                  <w:pPr>
                    <w:keepNext/>
                    <w:keepLines/>
                    <w:spacing w:before="60" w:after="60"/>
                    <w:ind w:right="213"/>
                    <w:jc w:val="right"/>
                    <w:rPr>
                      <w:rFonts w:cs="Arial"/>
                      <w:sz w:val="18"/>
                      <w:szCs w:val="18"/>
                    </w:rPr>
                  </w:pPr>
                  <w:r>
                    <w:rPr>
                      <w:rFonts w:cs="Arial"/>
                      <w:sz w:val="18"/>
                      <w:szCs w:val="18"/>
                    </w:rPr>
                    <w:t>130.5</w:t>
                  </w:r>
                </w:p>
              </w:tc>
            </w:tr>
          </w:tbl>
          <w:p w14:paraId="44B35D05" w14:textId="77777777" w:rsidR="009517EA" w:rsidRDefault="009517EA" w:rsidP="009517EA"/>
        </w:tc>
      </w:tr>
      <w:tr w:rsidR="009517EA" w14:paraId="44B35D09" w14:textId="77777777" w:rsidTr="009517EA">
        <w:trPr>
          <w:trHeight w:val="291"/>
        </w:trPr>
        <w:tc>
          <w:tcPr>
            <w:tcW w:w="9645" w:type="dxa"/>
            <w:tcBorders>
              <w:bottom w:val="single" w:sz="2" w:space="0" w:color="505050"/>
            </w:tcBorders>
            <w:shd w:val="clear" w:color="auto" w:fill="auto"/>
          </w:tcPr>
          <w:p w14:paraId="44B35D07" w14:textId="77777777" w:rsidR="009517EA" w:rsidRDefault="009517EA" w:rsidP="002B060C">
            <w:pPr>
              <w:keepNext/>
              <w:spacing w:before="60" w:after="20" w:line="240" w:lineRule="auto"/>
              <w:rPr>
                <w:rFonts w:cs="Arial"/>
                <w:i/>
                <w:sz w:val="16"/>
                <w:szCs w:val="16"/>
              </w:rPr>
            </w:pPr>
            <w:r w:rsidRPr="00D25F01">
              <w:rPr>
                <w:rFonts w:cs="Arial"/>
                <w:i/>
                <w:sz w:val="16"/>
                <w:szCs w:val="16"/>
              </w:rPr>
              <w:t xml:space="preserve">Note: </w:t>
            </w:r>
            <w:r>
              <w:rPr>
                <w:rFonts w:cs="Arial"/>
                <w:i/>
                <w:sz w:val="16"/>
                <w:szCs w:val="16"/>
              </w:rPr>
              <w:t xml:space="preserve">Licensee requirements for each network are calculated by averaging across the following locations: Seven Network–five </w:t>
            </w:r>
            <w:r w:rsidR="002B060C">
              <w:rPr>
                <w:rFonts w:cs="Arial"/>
                <w:i/>
                <w:sz w:val="16"/>
                <w:szCs w:val="16"/>
              </w:rPr>
              <w:br/>
            </w:r>
            <w:r>
              <w:rPr>
                <w:rFonts w:cs="Arial"/>
                <w:i/>
                <w:sz w:val="16"/>
                <w:szCs w:val="16"/>
              </w:rPr>
              <w:t>mainland state capital cities, Nine Network–</w:t>
            </w:r>
            <w:r w:rsidRPr="00CC43FF">
              <w:rPr>
                <w:rFonts w:cs="Arial"/>
                <w:i/>
                <w:sz w:val="16"/>
                <w:szCs w:val="16"/>
              </w:rPr>
              <w:t>Brisbane, Melbourne and Sydney</w:t>
            </w:r>
            <w:r>
              <w:rPr>
                <w:rFonts w:cs="Arial"/>
                <w:i/>
                <w:sz w:val="16"/>
                <w:szCs w:val="16"/>
              </w:rPr>
              <w:t>, Ten Network–five</w:t>
            </w:r>
            <w:r w:rsidRPr="00CC43FF">
              <w:rPr>
                <w:rFonts w:cs="Arial"/>
                <w:i/>
                <w:sz w:val="16"/>
                <w:szCs w:val="16"/>
              </w:rPr>
              <w:t xml:space="preserve"> mainland capital cities</w:t>
            </w:r>
            <w:r>
              <w:rPr>
                <w:rFonts w:cs="Arial"/>
                <w:i/>
                <w:sz w:val="16"/>
                <w:szCs w:val="16"/>
              </w:rPr>
              <w:t>.</w:t>
            </w:r>
          </w:p>
          <w:p w14:paraId="44B35D08" w14:textId="77777777" w:rsidR="009517EA" w:rsidRPr="004F5518" w:rsidRDefault="009517EA" w:rsidP="002B060C">
            <w:pPr>
              <w:keepNext/>
              <w:spacing w:line="240" w:lineRule="auto"/>
              <w:rPr>
                <w:i/>
                <w:sz w:val="16"/>
                <w:szCs w:val="16"/>
              </w:rPr>
            </w:pPr>
            <w:r w:rsidRPr="00D25F01">
              <w:rPr>
                <w:rFonts w:cs="Arial"/>
                <w:i/>
                <w:sz w:val="16"/>
                <w:szCs w:val="16"/>
              </w:rPr>
              <w:t>Source: ACMA.</w:t>
            </w:r>
          </w:p>
        </w:tc>
      </w:tr>
    </w:tbl>
    <w:p w14:paraId="44B35D0A" w14:textId="77777777" w:rsidR="009517EA" w:rsidRPr="00BC51F0" w:rsidRDefault="009517EA" w:rsidP="009517EA"/>
    <w:p w14:paraId="44B35D0B" w14:textId="77777777" w:rsidR="009517EA" w:rsidRPr="00BC51F0" w:rsidRDefault="009517EA" w:rsidP="009517EA">
      <w:pPr>
        <w:pStyle w:val="Heading3"/>
      </w:pPr>
      <w:bookmarkStart w:id="28" w:name="_Toc399331816"/>
      <w:bookmarkStart w:id="29" w:name="_Toc399336997"/>
      <w:bookmarkStart w:id="30" w:name="_Toc402337602"/>
      <w:r w:rsidRPr="00BC51F0">
        <w:t>Subscription television drama expenditure</w:t>
      </w:r>
      <w:bookmarkEnd w:id="28"/>
      <w:bookmarkEnd w:id="29"/>
      <w:bookmarkEnd w:id="30"/>
    </w:p>
    <w:p w14:paraId="44B35D0C" w14:textId="77777777" w:rsidR="009517EA" w:rsidRPr="00BC51F0" w:rsidRDefault="009517EA" w:rsidP="009517EA">
      <w:r w:rsidRPr="00BC51F0">
        <w:t>The new eligible drama expenditure scheme requires licensees and channel providers that provide subscription television drama services to spend at least 10</w:t>
      </w:r>
      <w:r>
        <w:t xml:space="preserve"> </w:t>
      </w:r>
      <w:r w:rsidRPr="00BC51F0">
        <w:t>per cent of their annual total program expenditure on eligible drama programs during a financial year.</w:t>
      </w:r>
      <w:r>
        <w:rPr>
          <w:rStyle w:val="EndnoteReference"/>
        </w:rPr>
        <w:endnoteReference w:id="2"/>
      </w:r>
      <w:r w:rsidRPr="00BC51F0">
        <w:t xml:space="preserve"> If the 10</w:t>
      </w:r>
      <w:r>
        <w:t xml:space="preserve"> </w:t>
      </w:r>
      <w:r w:rsidRPr="00BC51F0">
        <w:t xml:space="preserve">per cent expenditure requirement is not met in the </w:t>
      </w:r>
      <w:r w:rsidR="00870720">
        <w:t>relevant</w:t>
      </w:r>
      <w:r w:rsidR="00870720" w:rsidRPr="00BC51F0">
        <w:t xml:space="preserve"> </w:t>
      </w:r>
      <w:r w:rsidRPr="00BC51F0">
        <w:t>financial year, the shortfall amount must be made up the following year.</w:t>
      </w:r>
    </w:p>
    <w:p w14:paraId="44B35D0D" w14:textId="77777777" w:rsidR="009517EA" w:rsidRPr="00BC51F0" w:rsidRDefault="009517EA" w:rsidP="009517EA"/>
    <w:p w14:paraId="44B35D0E" w14:textId="77777777" w:rsidR="009517EA" w:rsidRPr="00BC51F0" w:rsidRDefault="009517EA" w:rsidP="009517EA">
      <w:r w:rsidRPr="00BC51F0">
        <w:t xml:space="preserve">To be eligible, a drama program must be an Australian or New Zealand production or co-production, and must not have been televised in Australia or New Zealand on a broadcasting service at any time before the expenditure on the program is incurred. </w:t>
      </w:r>
    </w:p>
    <w:p w14:paraId="44B35D0F" w14:textId="77777777" w:rsidR="009517EA" w:rsidRPr="00BC51F0" w:rsidRDefault="009517EA" w:rsidP="009517EA"/>
    <w:p w14:paraId="44B35D10" w14:textId="77777777" w:rsidR="009517EA" w:rsidRPr="00BC51F0" w:rsidRDefault="009517EA" w:rsidP="009517EA">
      <w:r w:rsidRPr="00BC51F0">
        <w:t>The BSA defines a subscription television drama service as a service devoted predominantly to drama programs; that is, more than 50 per cent of the programming consists of drama programs.</w:t>
      </w:r>
    </w:p>
    <w:p w14:paraId="44B35D11" w14:textId="77777777" w:rsidR="009517EA" w:rsidRPr="00BC51F0" w:rsidRDefault="009517EA" w:rsidP="009517EA"/>
    <w:p w14:paraId="44B35D12" w14:textId="77777777" w:rsidR="009517EA" w:rsidRPr="00BC51F0" w:rsidRDefault="009517EA" w:rsidP="009517EA">
      <w:r w:rsidRPr="00BC51F0">
        <w:t>For the 2012–13</w:t>
      </w:r>
      <w:r>
        <w:rPr>
          <w:rStyle w:val="EndnoteReference"/>
        </w:rPr>
        <w:endnoteReference w:id="3"/>
      </w:r>
      <w:r w:rsidRPr="00BC51F0">
        <w:t xml:space="preserve"> compliance period, five licensees and eigh</w:t>
      </w:r>
      <w:r w:rsidR="002B060C">
        <w:t>t channel providers supplied 33 </w:t>
      </w:r>
      <w:r w:rsidRPr="00BC51F0">
        <w:t xml:space="preserve">eligible drama channels. All participants met their expenditure obligations for </w:t>
      </w:r>
      <w:r w:rsidRPr="004641B9">
        <w:t>2012–13</w:t>
      </w:r>
      <w:r w:rsidRPr="00BC51F0">
        <w:t>, reporting an expenditure on new eligible Australian drama of $13.7 million (aggregated). Of that expenditure, $6.41</w:t>
      </w:r>
      <w:r>
        <w:t xml:space="preserve"> </w:t>
      </w:r>
      <w:r w:rsidRPr="00BC51F0">
        <w:t xml:space="preserve">million was nominated to acquit the expenditure shortfall for 2011–12. </w:t>
      </w:r>
      <w:r>
        <w:t>For</w:t>
      </w:r>
      <w:r w:rsidRPr="00BC51F0">
        <w:t xml:space="preserve"> 2013–14</w:t>
      </w:r>
      <w:r w:rsidR="00CC38B1">
        <w:t>,</w:t>
      </w:r>
      <w:r w:rsidRPr="00BC51F0">
        <w:t xml:space="preserve"> licensees and channel providers must spend a minimum of $25.76 million </w:t>
      </w:r>
      <w:r w:rsidR="009E2C37">
        <w:t>(in total)</w:t>
      </w:r>
      <w:r w:rsidRPr="00BC51F0">
        <w:t xml:space="preserve"> on new eligible programs to acquit the remaining </w:t>
      </w:r>
      <w:r w:rsidR="00ED664F">
        <w:br/>
      </w:r>
      <w:r w:rsidRPr="00BC51F0">
        <w:t>2012–13 obligation.</w:t>
      </w:r>
    </w:p>
    <w:p w14:paraId="44B35D13" w14:textId="77777777" w:rsidR="009517EA" w:rsidRDefault="009517EA" w:rsidP="009517EA"/>
    <w:p w14:paraId="44B35D14" w14:textId="77777777" w:rsidR="009517EA" w:rsidRPr="00BC51F0" w:rsidRDefault="009517EA" w:rsidP="009517EA">
      <w:pPr>
        <w:pStyle w:val="Heading3"/>
      </w:pPr>
      <w:bookmarkStart w:id="31" w:name="_Toc399331817"/>
      <w:bookmarkStart w:id="32" w:name="_Toc399336998"/>
      <w:bookmarkStart w:id="33" w:name="_Toc402337603"/>
      <w:r w:rsidRPr="00BC51F0">
        <w:t>Australian advertising</w:t>
      </w:r>
      <w:bookmarkEnd w:id="31"/>
      <w:bookmarkEnd w:id="32"/>
      <w:bookmarkEnd w:id="33"/>
    </w:p>
    <w:p w14:paraId="44B35D15" w14:textId="77777777" w:rsidR="009517EA" w:rsidRDefault="009517EA" w:rsidP="002B060C">
      <w:r w:rsidRPr="00BC51F0">
        <w:t xml:space="preserve">Advertisements are classified as Australian or foreign by Commercials Advice Pty Ltd, </w:t>
      </w:r>
      <w:r>
        <w:t>(</w:t>
      </w:r>
      <w:r w:rsidRPr="00BC51F0">
        <w:t>CAD</w:t>
      </w:r>
      <w:r>
        <w:t>)</w:t>
      </w:r>
      <w:r w:rsidRPr="00BC51F0">
        <w:t xml:space="preserve">, which is wholly owned by Free TV Australia. As part of reducing the regulatory burden on industry, </w:t>
      </w:r>
      <w:r>
        <w:t xml:space="preserve">from 2014 </w:t>
      </w:r>
      <w:r w:rsidRPr="00BC51F0">
        <w:t>the ACMA no longer request</w:t>
      </w:r>
      <w:r>
        <w:t>s</w:t>
      </w:r>
      <w:r w:rsidRPr="00BC51F0">
        <w:t xml:space="preserve"> that licensees report this information to the ACMA.</w:t>
      </w:r>
    </w:p>
    <w:p w14:paraId="44B35D16" w14:textId="77777777" w:rsidR="002B060C" w:rsidRPr="00BC51F0" w:rsidRDefault="002B060C" w:rsidP="002B060C"/>
    <w:p w14:paraId="44B35D17" w14:textId="77777777" w:rsidR="009517EA" w:rsidRDefault="009517EA" w:rsidP="00ED664F">
      <w:pPr>
        <w:pStyle w:val="Heading3"/>
      </w:pPr>
      <w:bookmarkStart w:id="34" w:name="_Toc399331818"/>
      <w:bookmarkStart w:id="35" w:name="_Toc399336999"/>
      <w:bookmarkStart w:id="36" w:name="_Toc402337604"/>
      <w:r w:rsidRPr="00BC51F0">
        <w:lastRenderedPageBreak/>
        <w:t>Captioning</w:t>
      </w:r>
      <w:bookmarkEnd w:id="34"/>
      <w:bookmarkEnd w:id="35"/>
      <w:bookmarkEnd w:id="36"/>
    </w:p>
    <w:p w14:paraId="44B35D18" w14:textId="77777777" w:rsidR="009517EA" w:rsidRPr="00BC51F0" w:rsidRDefault="009517EA" w:rsidP="00ED664F">
      <w:pPr>
        <w:keepNext/>
      </w:pPr>
      <w:r>
        <w:t>During 2012–13</w:t>
      </w:r>
      <w:r>
        <w:rPr>
          <w:rStyle w:val="EndnoteReference"/>
        </w:rPr>
        <w:endnoteReference w:id="4"/>
      </w:r>
      <w:r>
        <w:t xml:space="preserve">, </w:t>
      </w:r>
      <w:r w:rsidRPr="00BC51F0">
        <w:t xml:space="preserve">television service providers </w:t>
      </w:r>
      <w:r>
        <w:t>reported</w:t>
      </w:r>
      <w:r w:rsidRPr="00BC51F0">
        <w:t xml:space="preserve"> a high level of compliance with annual captioning target requirements introduced in the BSA. </w:t>
      </w:r>
    </w:p>
    <w:p w14:paraId="44B35D19" w14:textId="77777777" w:rsidR="009517EA" w:rsidRPr="00BC51F0" w:rsidRDefault="009517EA" w:rsidP="00ED664F">
      <w:pPr>
        <w:keepNext/>
      </w:pPr>
    </w:p>
    <w:p w14:paraId="44B35D1A" w14:textId="77777777" w:rsidR="009517EA" w:rsidRPr="00BC51F0" w:rsidRDefault="009517EA" w:rsidP="009517EA">
      <w:r w:rsidRPr="00BC51F0">
        <w:t xml:space="preserve">All </w:t>
      </w:r>
      <w:r>
        <w:t>free-to-air</w:t>
      </w:r>
      <w:r w:rsidRPr="00BC51F0">
        <w:t xml:space="preserve"> </w:t>
      </w:r>
      <w:r>
        <w:t>commercial television</w:t>
      </w:r>
      <w:r w:rsidRPr="00BC51F0">
        <w:t xml:space="preserve"> broadcasting services (72) and national television </w:t>
      </w:r>
      <w:r w:rsidR="00870720">
        <w:t xml:space="preserve">broadcasting </w:t>
      </w:r>
      <w:r w:rsidRPr="00BC51F0">
        <w:t>services (ABC and SBS services in 20 coverage areas) complied with their annual captioning target requirements</w:t>
      </w:r>
      <w:r>
        <w:t>, broadcasting a total of</w:t>
      </w:r>
      <w:r w:rsidRPr="00BC51F0">
        <w:t xml:space="preserve"> 528,401 hours of captioned television programs </w:t>
      </w:r>
      <w:r>
        <w:t>in 2012–13 (6</w:t>
      </w:r>
      <w:r w:rsidR="00002C66">
        <w:t>.00</w:t>
      </w:r>
      <w:r w:rsidR="00ED664F">
        <w:t> </w:t>
      </w:r>
      <w:r>
        <w:t xml:space="preserve">am to midnight). This comprises </w:t>
      </w:r>
      <w:r w:rsidRPr="00BC51F0">
        <w:t>93 per cent of the programming broadcast</w:t>
      </w:r>
      <w:r>
        <w:t xml:space="preserve">. </w:t>
      </w:r>
    </w:p>
    <w:p w14:paraId="44B35D1B" w14:textId="77777777" w:rsidR="009517EA" w:rsidRPr="00BC51F0" w:rsidRDefault="009517EA" w:rsidP="009517EA"/>
    <w:p w14:paraId="44B35D1C" w14:textId="77777777" w:rsidR="009517EA" w:rsidRPr="00BC51F0" w:rsidRDefault="009517EA" w:rsidP="009517EA">
      <w:r w:rsidRPr="00BC51F0">
        <w:t xml:space="preserve">Ninety-nine per cent of subscription television </w:t>
      </w:r>
      <w:r w:rsidR="009E2C37">
        <w:t>licensees</w:t>
      </w:r>
      <w:r w:rsidRPr="00BC51F0">
        <w:t xml:space="preserve"> (661 out of 667) met their annual captioning target requirements. During the year, there were captioning services on 394 subscription television services (or 80 distinct subscription television channels</w:t>
      </w:r>
      <w:r>
        <w:t>,</w:t>
      </w:r>
      <w:r w:rsidRPr="00BC51F0">
        <w:t xml:space="preserve"> as the same channels provided by different licensees are regarded as different services under the captioning legislation).</w:t>
      </w:r>
    </w:p>
    <w:p w14:paraId="44B35D1D" w14:textId="77777777" w:rsidR="009517EA" w:rsidRPr="00BC51F0" w:rsidRDefault="009517EA" w:rsidP="009517EA">
      <w:pPr>
        <w:rPr>
          <w:rFonts w:cs="Arial"/>
        </w:rPr>
      </w:pPr>
    </w:p>
    <w:p w14:paraId="44B35D1E" w14:textId="77777777" w:rsidR="009517EA" w:rsidRPr="00BC51F0" w:rsidRDefault="009517EA" w:rsidP="009517EA">
      <w:r>
        <w:t>T</w:t>
      </w:r>
      <w:r w:rsidRPr="00BC51F0">
        <w:t>elevision service providers also reported instances when they failed to meet captioning obligations during 2012</w:t>
      </w:r>
      <w:r>
        <w:t>–</w:t>
      </w:r>
      <w:r w:rsidRPr="00BC51F0">
        <w:t xml:space="preserve">13. </w:t>
      </w:r>
      <w:r>
        <w:t>During</w:t>
      </w:r>
      <w:r w:rsidRPr="006B7BD1">
        <w:rPr>
          <w:rFonts w:cs="Arial"/>
        </w:rPr>
        <w:t xml:space="preserve"> </w:t>
      </w:r>
      <w:r w:rsidRPr="00BC51F0">
        <w:rPr>
          <w:rFonts w:cs="Arial"/>
        </w:rPr>
        <w:t>th</w:t>
      </w:r>
      <w:r>
        <w:rPr>
          <w:rFonts w:cs="Arial"/>
        </w:rPr>
        <w:t>is</w:t>
      </w:r>
      <w:r w:rsidRPr="00BC51F0">
        <w:rPr>
          <w:rFonts w:cs="Arial"/>
        </w:rPr>
        <w:t xml:space="preserve"> first year </w:t>
      </w:r>
      <w:r w:rsidR="009A1558">
        <w:rPr>
          <w:rFonts w:cs="Arial"/>
        </w:rPr>
        <w:t>f</w:t>
      </w:r>
      <w:r w:rsidR="009A1558" w:rsidRPr="00A005FA">
        <w:rPr>
          <w:rFonts w:cs="Arial"/>
        </w:rPr>
        <w:t>or licensees and broadcasters to comply with the new captioning requirements</w:t>
      </w:r>
      <w:r w:rsidR="009A1558">
        <w:rPr>
          <w:rFonts w:cs="Arial"/>
        </w:rPr>
        <w:t xml:space="preserve"> </w:t>
      </w:r>
      <w:r>
        <w:rPr>
          <w:rFonts w:cs="Arial"/>
        </w:rPr>
        <w:t>(</w:t>
      </w:r>
      <w:r w:rsidRPr="00BC51F0">
        <w:rPr>
          <w:rFonts w:cs="Arial"/>
        </w:rPr>
        <w:t>2012</w:t>
      </w:r>
      <w:r>
        <w:rPr>
          <w:rFonts w:cs="Arial"/>
        </w:rPr>
        <w:t>–1</w:t>
      </w:r>
      <w:r w:rsidRPr="00BC51F0">
        <w:rPr>
          <w:rFonts w:cs="Arial"/>
        </w:rPr>
        <w:t>3</w:t>
      </w:r>
      <w:r>
        <w:rPr>
          <w:rFonts w:cs="Arial"/>
        </w:rPr>
        <w:t>)</w:t>
      </w:r>
      <w:r w:rsidR="00CC38B1">
        <w:rPr>
          <w:rFonts w:cs="Arial"/>
        </w:rPr>
        <w:t>,</w:t>
      </w:r>
      <w:r>
        <w:t xml:space="preserve"> the</w:t>
      </w:r>
      <w:r w:rsidRPr="00BC51F0">
        <w:rPr>
          <w:rFonts w:cs="Arial"/>
        </w:rPr>
        <w:t xml:space="preserve"> ACMA </w:t>
      </w:r>
      <w:r>
        <w:rPr>
          <w:rFonts w:cs="Arial"/>
        </w:rPr>
        <w:t xml:space="preserve">sought to inform and educate television service providers about their compliance obligations. </w:t>
      </w:r>
      <w:r w:rsidRPr="00BC51F0">
        <w:rPr>
          <w:rFonts w:cs="Arial"/>
        </w:rPr>
        <w:t xml:space="preserve">This </w:t>
      </w:r>
      <w:r>
        <w:rPr>
          <w:rFonts w:cs="Arial"/>
        </w:rPr>
        <w:t xml:space="preserve">approach </w:t>
      </w:r>
      <w:r w:rsidRPr="00BC51F0">
        <w:rPr>
          <w:rFonts w:cs="Arial"/>
        </w:rPr>
        <w:t>is consistent with the ACMA</w:t>
      </w:r>
      <w:r>
        <w:rPr>
          <w:rFonts w:cs="Arial"/>
        </w:rPr>
        <w:t xml:space="preserve">’s stance towards the implementation of </w:t>
      </w:r>
      <w:r w:rsidRPr="00BC51F0">
        <w:rPr>
          <w:rFonts w:cs="Arial"/>
        </w:rPr>
        <w:t xml:space="preserve">other new broadcasting regulations. </w:t>
      </w:r>
      <w:r>
        <w:rPr>
          <w:rFonts w:cs="Arial"/>
        </w:rPr>
        <w:fldChar w:fldCharType="begin"/>
      </w:r>
      <w:r>
        <w:rPr>
          <w:rFonts w:cs="Arial"/>
        </w:rPr>
        <w:instrText xml:space="preserve"> REF _Ref398716651 \h </w:instrText>
      </w:r>
      <w:r>
        <w:rPr>
          <w:rFonts w:cs="Arial"/>
        </w:rPr>
      </w:r>
      <w:r>
        <w:rPr>
          <w:rFonts w:cs="Arial"/>
        </w:rPr>
        <w:fldChar w:fldCharType="separate"/>
      </w:r>
      <w:r w:rsidR="006B4FBE">
        <w:rPr>
          <w:noProof/>
        </w:rPr>
        <w:t>Table</w:t>
      </w:r>
      <w:r w:rsidR="006B4FBE">
        <w:t xml:space="preserve"> 4.</w:t>
      </w:r>
      <w:r w:rsidR="006B4FBE">
        <w:rPr>
          <w:noProof/>
        </w:rPr>
        <w:t>3</w:t>
      </w:r>
      <w:r>
        <w:rPr>
          <w:rFonts w:cs="Arial"/>
        </w:rPr>
        <w:fldChar w:fldCharType="end"/>
      </w:r>
      <w:r>
        <w:rPr>
          <w:rFonts w:cs="Arial"/>
        </w:rPr>
        <w:t xml:space="preserve"> provides a</w:t>
      </w:r>
      <w:r w:rsidRPr="00BC51F0">
        <w:t xml:space="preserve"> summar</w:t>
      </w:r>
      <w:r>
        <w:t>y</w:t>
      </w:r>
      <w:r w:rsidRPr="00BC51F0">
        <w:t xml:space="preserve"> </w:t>
      </w:r>
      <w:r w:rsidR="00870720">
        <w:t>of</w:t>
      </w:r>
      <w:r w:rsidRPr="00BC51F0">
        <w:t xml:space="preserve"> the self-reported breaches, excluding disregarded breaches (breaches resulting from unforeseen technical difficulties were disregarded as provided by the captioning legislation)</w:t>
      </w:r>
      <w:r>
        <w:t>.</w:t>
      </w:r>
    </w:p>
    <w:p w14:paraId="44B35D1F" w14:textId="77777777" w:rsidR="009517EA" w:rsidRDefault="009517EA" w:rsidP="009517EA">
      <w:pPr>
        <w:spacing w:line="240" w:lineRule="auto"/>
        <w:rPr>
          <w:rFonts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D21" w14:textId="77777777" w:rsidTr="009517EA">
        <w:trPr>
          <w:trHeight w:val="570"/>
        </w:trPr>
        <w:tc>
          <w:tcPr>
            <w:tcW w:w="9645" w:type="dxa"/>
            <w:tcBorders>
              <w:top w:val="single" w:sz="2" w:space="0" w:color="505050"/>
            </w:tcBorders>
            <w:shd w:val="clear" w:color="auto" w:fill="auto"/>
            <w:vAlign w:val="center"/>
          </w:tcPr>
          <w:p w14:paraId="44B35D20" w14:textId="77777777" w:rsidR="009517EA" w:rsidRPr="00A74B5E" w:rsidRDefault="009517EA" w:rsidP="002B060C">
            <w:pPr>
              <w:pStyle w:val="Caption"/>
              <w:keepNext/>
            </w:pPr>
            <w:bookmarkStart w:id="37" w:name="_Ref398716651"/>
            <w:r>
              <w:rPr>
                <w:noProof/>
              </w:rPr>
              <w:lastRenderedPageBreak/>
              <w:t>Table</w:t>
            </w:r>
            <w:r>
              <w:t xml:space="preserve"> 4.</w:t>
            </w:r>
            <w:r w:rsidR="00FC1A17">
              <w:fldChar w:fldCharType="begin"/>
            </w:r>
            <w:r w:rsidR="00FC1A17">
              <w:instrText xml:space="preserve"> SEQ Table \* ARABIC </w:instrText>
            </w:r>
            <w:r w:rsidR="00FC1A17">
              <w:fldChar w:fldCharType="separate"/>
            </w:r>
            <w:r w:rsidR="006B4FBE">
              <w:rPr>
                <w:noProof/>
              </w:rPr>
              <w:t>3</w:t>
            </w:r>
            <w:r w:rsidR="00FC1A17">
              <w:rPr>
                <w:noProof/>
              </w:rPr>
              <w:fldChar w:fldCharType="end"/>
            </w:r>
            <w:bookmarkEnd w:id="37"/>
            <w:r>
              <w:rPr>
                <w:noProof/>
              </w:rPr>
              <w:t xml:space="preserve"> Captioning obligations</w:t>
            </w:r>
          </w:p>
        </w:tc>
      </w:tr>
      <w:tr w:rsidR="009517EA" w14:paraId="44B35D53" w14:textId="77777777" w:rsidTr="009517EA">
        <w:trPr>
          <w:trHeight w:val="3086"/>
        </w:trPr>
        <w:tc>
          <w:tcPr>
            <w:tcW w:w="9645" w:type="dxa"/>
            <w:shd w:val="clear" w:color="auto" w:fill="auto"/>
            <w:tcMar>
              <w:left w:w="28" w:type="dxa"/>
            </w:tcMar>
          </w:tcPr>
          <w:tbl>
            <w:tblPr>
              <w:tblStyle w:val="TableGrid"/>
              <w:tblW w:w="9637" w:type="dxa"/>
              <w:tblInd w:w="2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660"/>
              <w:gridCol w:w="1701"/>
              <w:gridCol w:w="6276"/>
            </w:tblGrid>
            <w:tr w:rsidR="009517EA" w:rsidRPr="00ED4E82" w14:paraId="44B35D25" w14:textId="77777777" w:rsidTr="009517EA">
              <w:tc>
                <w:tcPr>
                  <w:tcW w:w="1660" w:type="dxa"/>
                  <w:shd w:val="clear" w:color="auto" w:fill="37897E" w:themeFill="text2"/>
                </w:tcPr>
                <w:p w14:paraId="44B35D22" w14:textId="77777777" w:rsidR="009517EA" w:rsidRPr="00ED4E82" w:rsidRDefault="009517EA" w:rsidP="002B060C">
                  <w:pPr>
                    <w:keepNext/>
                    <w:spacing w:before="60" w:after="60" w:line="240" w:lineRule="auto"/>
                    <w:rPr>
                      <w:b/>
                      <w:color w:val="FFFFFF" w:themeColor="background1"/>
                      <w:sz w:val="18"/>
                      <w:szCs w:val="18"/>
                    </w:rPr>
                  </w:pPr>
                  <w:r w:rsidRPr="00ED4E82">
                    <w:rPr>
                      <w:b/>
                      <w:color w:val="FFFFFF" w:themeColor="background1"/>
                      <w:sz w:val="18"/>
                      <w:szCs w:val="18"/>
                    </w:rPr>
                    <w:t>Captioning obligations</w:t>
                  </w:r>
                </w:p>
              </w:tc>
              <w:tc>
                <w:tcPr>
                  <w:tcW w:w="1701" w:type="dxa"/>
                  <w:shd w:val="clear" w:color="auto" w:fill="37897E" w:themeFill="text2"/>
                </w:tcPr>
                <w:p w14:paraId="44B35D23" w14:textId="77777777" w:rsidR="009517EA" w:rsidRPr="00ED4E82" w:rsidRDefault="009517EA" w:rsidP="002B060C">
                  <w:pPr>
                    <w:keepNext/>
                    <w:spacing w:before="60" w:after="60" w:line="240" w:lineRule="auto"/>
                    <w:rPr>
                      <w:b/>
                      <w:color w:val="FFFFFF" w:themeColor="background1"/>
                      <w:sz w:val="18"/>
                      <w:szCs w:val="18"/>
                    </w:rPr>
                  </w:pPr>
                  <w:r w:rsidRPr="00ED4E82">
                    <w:rPr>
                      <w:b/>
                      <w:color w:val="FFFFFF" w:themeColor="background1"/>
                      <w:sz w:val="18"/>
                      <w:szCs w:val="18"/>
                    </w:rPr>
                    <w:t>Number of services in breach</w:t>
                  </w:r>
                </w:p>
              </w:tc>
              <w:tc>
                <w:tcPr>
                  <w:tcW w:w="6276" w:type="dxa"/>
                  <w:shd w:val="clear" w:color="auto" w:fill="37897E" w:themeFill="text2"/>
                </w:tcPr>
                <w:p w14:paraId="44B35D24" w14:textId="77777777" w:rsidR="009517EA" w:rsidRPr="00ED4E82" w:rsidRDefault="009517EA" w:rsidP="002B060C">
                  <w:pPr>
                    <w:keepNext/>
                    <w:spacing w:before="60" w:after="60" w:line="240" w:lineRule="auto"/>
                    <w:rPr>
                      <w:b/>
                      <w:color w:val="FFFFFF" w:themeColor="background1"/>
                      <w:sz w:val="18"/>
                      <w:szCs w:val="18"/>
                    </w:rPr>
                  </w:pPr>
                  <w:r w:rsidRPr="00ED4E82">
                    <w:rPr>
                      <w:b/>
                      <w:color w:val="FFFFFF" w:themeColor="background1"/>
                      <w:sz w:val="18"/>
                      <w:szCs w:val="18"/>
                    </w:rPr>
                    <w:t>Description of obligations in 2012</w:t>
                  </w:r>
                  <w:r>
                    <w:rPr>
                      <w:b/>
                      <w:color w:val="FFFFFF" w:themeColor="background1"/>
                      <w:sz w:val="18"/>
                      <w:szCs w:val="18"/>
                    </w:rPr>
                    <w:t>–</w:t>
                  </w:r>
                  <w:r w:rsidRPr="00ED4E82">
                    <w:rPr>
                      <w:b/>
                      <w:color w:val="FFFFFF" w:themeColor="background1"/>
                      <w:sz w:val="18"/>
                      <w:szCs w:val="18"/>
                    </w:rPr>
                    <w:t>13</w:t>
                  </w:r>
                </w:p>
              </w:tc>
            </w:tr>
            <w:tr w:rsidR="009517EA" w:rsidRPr="00ED4E82" w14:paraId="44B35D29" w14:textId="77777777" w:rsidTr="009517EA">
              <w:tc>
                <w:tcPr>
                  <w:tcW w:w="1660" w:type="dxa"/>
                  <w:shd w:val="clear" w:color="auto" w:fill="76C8BD" w:themeFill="text2" w:themeFillTint="99"/>
                </w:tcPr>
                <w:p w14:paraId="44B35D26" w14:textId="77777777" w:rsidR="009517EA" w:rsidRPr="00ED4E82" w:rsidRDefault="009517EA" w:rsidP="002B060C">
                  <w:pPr>
                    <w:keepNext/>
                    <w:spacing w:before="60" w:after="60" w:line="240" w:lineRule="auto"/>
                    <w:rPr>
                      <w:b/>
                      <w:color w:val="FFFFFF" w:themeColor="background1"/>
                      <w:sz w:val="18"/>
                      <w:szCs w:val="18"/>
                    </w:rPr>
                  </w:pPr>
                  <w:r w:rsidRPr="00ED4E82">
                    <w:rPr>
                      <w:b/>
                      <w:color w:val="FFFFFF" w:themeColor="background1"/>
                      <w:sz w:val="18"/>
                      <w:szCs w:val="18"/>
                    </w:rPr>
                    <w:t xml:space="preserve">Free-to-air </w:t>
                  </w:r>
                </w:p>
              </w:tc>
              <w:tc>
                <w:tcPr>
                  <w:tcW w:w="1701" w:type="dxa"/>
                  <w:shd w:val="clear" w:color="auto" w:fill="76C8BD" w:themeFill="text2" w:themeFillTint="99"/>
                </w:tcPr>
                <w:p w14:paraId="44B35D27" w14:textId="77777777" w:rsidR="009517EA" w:rsidRPr="00ED4E82" w:rsidRDefault="009517EA" w:rsidP="002B060C">
                  <w:pPr>
                    <w:keepNext/>
                    <w:spacing w:before="60" w:after="60" w:line="240" w:lineRule="auto"/>
                    <w:jc w:val="center"/>
                    <w:rPr>
                      <w:color w:val="FFFFFF" w:themeColor="background1"/>
                      <w:sz w:val="18"/>
                      <w:szCs w:val="18"/>
                    </w:rPr>
                  </w:pPr>
                  <w:r>
                    <w:rPr>
                      <w:color w:val="FFFFFF" w:themeColor="background1"/>
                      <w:sz w:val="18"/>
                      <w:szCs w:val="18"/>
                    </w:rPr>
                    <w:t>Services</w:t>
                  </w:r>
                </w:p>
              </w:tc>
              <w:tc>
                <w:tcPr>
                  <w:tcW w:w="6276" w:type="dxa"/>
                  <w:shd w:val="clear" w:color="auto" w:fill="76C8BD" w:themeFill="text2" w:themeFillTint="99"/>
                </w:tcPr>
                <w:p w14:paraId="44B35D28" w14:textId="77777777" w:rsidR="009517EA" w:rsidRPr="00ED4E82" w:rsidRDefault="009517EA" w:rsidP="002B060C">
                  <w:pPr>
                    <w:keepNext/>
                    <w:spacing w:before="60" w:after="60" w:line="240" w:lineRule="auto"/>
                    <w:rPr>
                      <w:color w:val="FFFFFF" w:themeColor="background1"/>
                      <w:sz w:val="18"/>
                      <w:szCs w:val="18"/>
                      <w:u w:val="single"/>
                    </w:rPr>
                  </w:pPr>
                </w:p>
              </w:tc>
            </w:tr>
            <w:tr w:rsidR="009517EA" w:rsidRPr="00557658" w14:paraId="44B35D2D" w14:textId="77777777" w:rsidTr="009517EA">
              <w:tc>
                <w:tcPr>
                  <w:tcW w:w="1660" w:type="dxa"/>
                  <w:shd w:val="clear" w:color="auto" w:fill="D1ECE9" w:themeFill="text2" w:themeFillTint="33"/>
                </w:tcPr>
                <w:p w14:paraId="44B35D2A" w14:textId="77777777" w:rsidR="009517EA" w:rsidRPr="00557658" w:rsidRDefault="009517EA" w:rsidP="002B060C">
                  <w:pPr>
                    <w:keepNext/>
                    <w:spacing w:before="60" w:after="60" w:line="240" w:lineRule="auto"/>
                    <w:rPr>
                      <w:sz w:val="18"/>
                      <w:szCs w:val="18"/>
                    </w:rPr>
                  </w:pPr>
                  <w:r w:rsidRPr="00557658">
                    <w:rPr>
                      <w:sz w:val="18"/>
                      <w:szCs w:val="18"/>
                    </w:rPr>
                    <w:t xml:space="preserve">Annual captioning target </w:t>
                  </w:r>
                </w:p>
              </w:tc>
              <w:tc>
                <w:tcPr>
                  <w:tcW w:w="1701" w:type="dxa"/>
                  <w:shd w:val="clear" w:color="auto" w:fill="D1ECE9" w:themeFill="text2" w:themeFillTint="33"/>
                </w:tcPr>
                <w:p w14:paraId="44B35D2B" w14:textId="77777777" w:rsidR="009517EA" w:rsidRPr="00557658" w:rsidRDefault="009517EA" w:rsidP="002B060C">
                  <w:pPr>
                    <w:keepNext/>
                    <w:spacing w:before="60" w:after="60" w:line="240" w:lineRule="auto"/>
                    <w:jc w:val="center"/>
                    <w:rPr>
                      <w:sz w:val="18"/>
                      <w:szCs w:val="18"/>
                    </w:rPr>
                  </w:pPr>
                  <w:r w:rsidRPr="00557658">
                    <w:rPr>
                      <w:sz w:val="18"/>
                      <w:szCs w:val="18"/>
                    </w:rPr>
                    <w:t>0</w:t>
                  </w:r>
                </w:p>
              </w:tc>
              <w:tc>
                <w:tcPr>
                  <w:tcW w:w="6276" w:type="dxa"/>
                  <w:shd w:val="clear" w:color="auto" w:fill="D1ECE9" w:themeFill="text2" w:themeFillTint="33"/>
                </w:tcPr>
                <w:p w14:paraId="44B35D2C" w14:textId="77777777" w:rsidR="009517EA" w:rsidRPr="00557658" w:rsidRDefault="009517EA" w:rsidP="00002C66">
                  <w:pPr>
                    <w:keepNext/>
                    <w:spacing w:before="60" w:after="60" w:line="240" w:lineRule="auto"/>
                    <w:rPr>
                      <w:sz w:val="18"/>
                      <w:szCs w:val="18"/>
                    </w:rPr>
                  </w:pPr>
                  <w:r w:rsidRPr="00557658">
                    <w:rPr>
                      <w:sz w:val="18"/>
                      <w:szCs w:val="18"/>
                    </w:rPr>
                    <w:t>90% captioning</w:t>
                  </w:r>
                  <w:r>
                    <w:rPr>
                      <w:sz w:val="18"/>
                      <w:szCs w:val="18"/>
                    </w:rPr>
                    <w:t xml:space="preserve"> between</w:t>
                  </w:r>
                  <w:r w:rsidRPr="00557658">
                    <w:rPr>
                      <w:sz w:val="18"/>
                      <w:szCs w:val="18"/>
                    </w:rPr>
                    <w:t xml:space="preserve"> 6</w:t>
                  </w:r>
                  <w:r>
                    <w:rPr>
                      <w:sz w:val="18"/>
                      <w:szCs w:val="18"/>
                    </w:rPr>
                    <w:t xml:space="preserve">.00 </w:t>
                  </w:r>
                  <w:r w:rsidRPr="00557658">
                    <w:rPr>
                      <w:sz w:val="18"/>
                      <w:szCs w:val="18"/>
                    </w:rPr>
                    <w:t xml:space="preserve">am </w:t>
                  </w:r>
                  <w:r w:rsidR="00002C66">
                    <w:rPr>
                      <w:sz w:val="18"/>
                      <w:szCs w:val="18"/>
                    </w:rPr>
                    <w:t>and</w:t>
                  </w:r>
                  <w:r w:rsidRPr="00557658">
                    <w:rPr>
                      <w:sz w:val="18"/>
                      <w:szCs w:val="18"/>
                    </w:rPr>
                    <w:t xml:space="preserve"> midnight across the year, with exceptions</w:t>
                  </w:r>
                  <w:r>
                    <w:rPr>
                      <w:sz w:val="18"/>
                      <w:szCs w:val="18"/>
                    </w:rPr>
                    <w:t>*</w:t>
                  </w:r>
                </w:p>
              </w:tc>
            </w:tr>
            <w:tr w:rsidR="009517EA" w:rsidRPr="00557658" w14:paraId="44B35D31" w14:textId="77777777" w:rsidTr="009517EA">
              <w:tc>
                <w:tcPr>
                  <w:tcW w:w="1660" w:type="dxa"/>
                  <w:shd w:val="clear" w:color="auto" w:fill="D1ECE9" w:themeFill="text2" w:themeFillTint="33"/>
                </w:tcPr>
                <w:p w14:paraId="44B35D2E" w14:textId="77777777" w:rsidR="009517EA" w:rsidRPr="00557658" w:rsidRDefault="009517EA" w:rsidP="002B060C">
                  <w:pPr>
                    <w:keepNext/>
                    <w:spacing w:before="60" w:after="60" w:line="240" w:lineRule="auto"/>
                    <w:rPr>
                      <w:sz w:val="18"/>
                      <w:szCs w:val="18"/>
                    </w:rPr>
                  </w:pPr>
                  <w:r w:rsidRPr="00557658">
                    <w:rPr>
                      <w:sz w:val="18"/>
                      <w:szCs w:val="18"/>
                    </w:rPr>
                    <w:t xml:space="preserve">Emergency warnings </w:t>
                  </w:r>
                </w:p>
              </w:tc>
              <w:tc>
                <w:tcPr>
                  <w:tcW w:w="1701" w:type="dxa"/>
                  <w:shd w:val="clear" w:color="auto" w:fill="D1ECE9" w:themeFill="text2" w:themeFillTint="33"/>
                </w:tcPr>
                <w:p w14:paraId="44B35D2F" w14:textId="77777777" w:rsidR="009517EA" w:rsidRPr="00557658" w:rsidRDefault="009517EA" w:rsidP="002B060C">
                  <w:pPr>
                    <w:keepNext/>
                    <w:spacing w:before="60" w:after="60" w:line="240" w:lineRule="auto"/>
                    <w:jc w:val="center"/>
                    <w:rPr>
                      <w:sz w:val="18"/>
                      <w:szCs w:val="18"/>
                    </w:rPr>
                  </w:pPr>
                  <w:r w:rsidRPr="00557658">
                    <w:rPr>
                      <w:sz w:val="18"/>
                      <w:szCs w:val="18"/>
                    </w:rPr>
                    <w:t>0</w:t>
                  </w:r>
                </w:p>
              </w:tc>
              <w:tc>
                <w:tcPr>
                  <w:tcW w:w="6276" w:type="dxa"/>
                  <w:shd w:val="clear" w:color="auto" w:fill="D1ECE9" w:themeFill="text2" w:themeFillTint="33"/>
                </w:tcPr>
                <w:p w14:paraId="44B35D30" w14:textId="77777777" w:rsidR="009517EA" w:rsidRPr="00557658" w:rsidRDefault="009517EA" w:rsidP="002B060C">
                  <w:pPr>
                    <w:keepNext/>
                    <w:spacing w:before="60" w:after="60" w:line="240" w:lineRule="auto"/>
                    <w:rPr>
                      <w:sz w:val="18"/>
                      <w:szCs w:val="18"/>
                    </w:rPr>
                  </w:pPr>
                  <w:r w:rsidRPr="00557658">
                    <w:rPr>
                      <w:sz w:val="18"/>
                      <w:szCs w:val="18"/>
                    </w:rPr>
                    <w:t>Transmit emergency warnings in text and speech and if practicable, with captioning</w:t>
                  </w:r>
                </w:p>
              </w:tc>
            </w:tr>
            <w:tr w:rsidR="009517EA" w:rsidRPr="00557658" w14:paraId="44B35D35" w14:textId="77777777" w:rsidTr="009517EA">
              <w:tc>
                <w:tcPr>
                  <w:tcW w:w="1660" w:type="dxa"/>
                  <w:shd w:val="clear" w:color="auto" w:fill="D1ECE9" w:themeFill="text2" w:themeFillTint="33"/>
                </w:tcPr>
                <w:p w14:paraId="44B35D32" w14:textId="77777777" w:rsidR="009517EA" w:rsidRPr="00557658" w:rsidRDefault="009517EA" w:rsidP="002B060C">
                  <w:pPr>
                    <w:keepNext/>
                    <w:spacing w:before="60" w:after="60" w:line="240" w:lineRule="auto"/>
                    <w:rPr>
                      <w:sz w:val="18"/>
                      <w:szCs w:val="18"/>
                    </w:rPr>
                  </w:pPr>
                  <w:r w:rsidRPr="00557658">
                    <w:rPr>
                      <w:sz w:val="18"/>
                      <w:szCs w:val="18"/>
                    </w:rPr>
                    <w:t xml:space="preserve">Designated viewing hours </w:t>
                  </w:r>
                </w:p>
              </w:tc>
              <w:tc>
                <w:tcPr>
                  <w:tcW w:w="1701" w:type="dxa"/>
                  <w:shd w:val="clear" w:color="auto" w:fill="D1ECE9" w:themeFill="text2" w:themeFillTint="33"/>
                </w:tcPr>
                <w:p w14:paraId="44B35D33" w14:textId="77777777" w:rsidR="009517EA" w:rsidRPr="00557658" w:rsidRDefault="009517EA" w:rsidP="002B060C">
                  <w:pPr>
                    <w:keepNext/>
                    <w:spacing w:before="60" w:after="60" w:line="240" w:lineRule="auto"/>
                    <w:jc w:val="center"/>
                    <w:rPr>
                      <w:sz w:val="18"/>
                      <w:szCs w:val="18"/>
                    </w:rPr>
                  </w:pPr>
                  <w:r w:rsidRPr="00557658">
                    <w:rPr>
                      <w:sz w:val="18"/>
                      <w:szCs w:val="18"/>
                    </w:rPr>
                    <w:t>53</w:t>
                  </w:r>
                </w:p>
              </w:tc>
              <w:tc>
                <w:tcPr>
                  <w:tcW w:w="6276" w:type="dxa"/>
                  <w:shd w:val="clear" w:color="auto" w:fill="D1ECE9" w:themeFill="text2" w:themeFillTint="33"/>
                </w:tcPr>
                <w:p w14:paraId="44B35D34" w14:textId="77777777" w:rsidR="009517EA" w:rsidRPr="00557658" w:rsidRDefault="009517EA" w:rsidP="002B060C">
                  <w:pPr>
                    <w:keepNext/>
                    <w:spacing w:before="60" w:after="60" w:line="240" w:lineRule="auto"/>
                    <w:rPr>
                      <w:sz w:val="18"/>
                      <w:szCs w:val="18"/>
                    </w:rPr>
                  </w:pPr>
                  <w:r w:rsidRPr="00557658">
                    <w:rPr>
                      <w:sz w:val="18"/>
                      <w:szCs w:val="18"/>
                    </w:rPr>
                    <w:t>Caption all programming between 6</w:t>
                  </w:r>
                  <w:r>
                    <w:rPr>
                      <w:sz w:val="18"/>
                      <w:szCs w:val="18"/>
                    </w:rPr>
                    <w:t xml:space="preserve">.00 </w:t>
                  </w:r>
                  <w:r w:rsidRPr="00557658">
                    <w:rPr>
                      <w:sz w:val="18"/>
                      <w:szCs w:val="18"/>
                    </w:rPr>
                    <w:t>pm and 10.30</w:t>
                  </w:r>
                  <w:r>
                    <w:rPr>
                      <w:sz w:val="18"/>
                      <w:szCs w:val="18"/>
                    </w:rPr>
                    <w:t xml:space="preserve"> </w:t>
                  </w:r>
                  <w:r w:rsidRPr="00557658">
                    <w:rPr>
                      <w:sz w:val="18"/>
                      <w:szCs w:val="18"/>
                    </w:rPr>
                    <w:t>pm each day (designated viewing hours) on main service</w:t>
                  </w:r>
                </w:p>
              </w:tc>
            </w:tr>
            <w:tr w:rsidR="009517EA" w:rsidRPr="00557658" w14:paraId="44B35D39" w14:textId="77777777" w:rsidTr="009517EA">
              <w:tc>
                <w:tcPr>
                  <w:tcW w:w="1660" w:type="dxa"/>
                  <w:shd w:val="clear" w:color="auto" w:fill="D1ECE9" w:themeFill="text2" w:themeFillTint="33"/>
                </w:tcPr>
                <w:p w14:paraId="44B35D36" w14:textId="77777777" w:rsidR="009517EA" w:rsidRPr="00557658" w:rsidRDefault="009517EA" w:rsidP="002B060C">
                  <w:pPr>
                    <w:keepNext/>
                    <w:spacing w:before="60" w:after="60" w:line="240" w:lineRule="auto"/>
                    <w:rPr>
                      <w:sz w:val="18"/>
                      <w:szCs w:val="18"/>
                    </w:rPr>
                  </w:pPr>
                  <w:r w:rsidRPr="00557658">
                    <w:rPr>
                      <w:sz w:val="18"/>
                      <w:szCs w:val="18"/>
                    </w:rPr>
                    <w:t>News and current affairs</w:t>
                  </w:r>
                </w:p>
              </w:tc>
              <w:tc>
                <w:tcPr>
                  <w:tcW w:w="1701" w:type="dxa"/>
                  <w:shd w:val="clear" w:color="auto" w:fill="D1ECE9" w:themeFill="text2" w:themeFillTint="33"/>
                </w:tcPr>
                <w:p w14:paraId="44B35D37" w14:textId="77777777" w:rsidR="009517EA" w:rsidRPr="00557658" w:rsidRDefault="009517EA" w:rsidP="002B060C">
                  <w:pPr>
                    <w:keepNext/>
                    <w:spacing w:before="60" w:after="60" w:line="240" w:lineRule="auto"/>
                    <w:jc w:val="center"/>
                    <w:rPr>
                      <w:sz w:val="18"/>
                      <w:szCs w:val="18"/>
                    </w:rPr>
                  </w:pPr>
                  <w:r w:rsidRPr="00557658">
                    <w:rPr>
                      <w:sz w:val="18"/>
                      <w:szCs w:val="18"/>
                    </w:rPr>
                    <w:t>5</w:t>
                  </w:r>
                  <w:r>
                    <w:rPr>
                      <w:sz w:val="18"/>
                      <w:szCs w:val="18"/>
                    </w:rPr>
                    <w:t>4</w:t>
                  </w:r>
                </w:p>
              </w:tc>
              <w:tc>
                <w:tcPr>
                  <w:tcW w:w="6276" w:type="dxa"/>
                  <w:shd w:val="clear" w:color="auto" w:fill="D1ECE9" w:themeFill="text2" w:themeFillTint="33"/>
                </w:tcPr>
                <w:p w14:paraId="44B35D38" w14:textId="77777777" w:rsidR="009517EA" w:rsidRPr="00557658" w:rsidRDefault="009517EA" w:rsidP="002B060C">
                  <w:pPr>
                    <w:keepNext/>
                    <w:spacing w:before="60" w:after="60" w:line="240" w:lineRule="auto"/>
                    <w:rPr>
                      <w:sz w:val="18"/>
                      <w:szCs w:val="18"/>
                    </w:rPr>
                  </w:pPr>
                  <w:r w:rsidRPr="00557658">
                    <w:rPr>
                      <w:sz w:val="18"/>
                      <w:szCs w:val="18"/>
                    </w:rPr>
                    <w:t>Caption all news and current affairs outside design</w:t>
                  </w:r>
                  <w:r>
                    <w:rPr>
                      <w:sz w:val="18"/>
                      <w:szCs w:val="18"/>
                    </w:rPr>
                    <w:t>at</w:t>
                  </w:r>
                  <w:r w:rsidRPr="00557658">
                    <w:rPr>
                      <w:sz w:val="18"/>
                      <w:szCs w:val="18"/>
                    </w:rPr>
                    <w:t>ed viewing hours on main service</w:t>
                  </w:r>
                </w:p>
              </w:tc>
            </w:tr>
            <w:tr w:rsidR="009517EA" w:rsidRPr="00557658" w14:paraId="44B35D3D" w14:textId="77777777" w:rsidTr="009517EA">
              <w:tc>
                <w:tcPr>
                  <w:tcW w:w="1660" w:type="dxa"/>
                  <w:shd w:val="clear" w:color="auto" w:fill="D1ECE9" w:themeFill="text2" w:themeFillTint="33"/>
                </w:tcPr>
                <w:p w14:paraId="44B35D3A" w14:textId="77777777" w:rsidR="009517EA" w:rsidRPr="00557658" w:rsidRDefault="009517EA" w:rsidP="002B060C">
                  <w:pPr>
                    <w:keepNext/>
                    <w:spacing w:before="60" w:after="60" w:line="240" w:lineRule="auto"/>
                    <w:rPr>
                      <w:sz w:val="18"/>
                      <w:szCs w:val="18"/>
                    </w:rPr>
                  </w:pPr>
                  <w:r w:rsidRPr="00557658">
                    <w:rPr>
                      <w:sz w:val="18"/>
                      <w:szCs w:val="18"/>
                    </w:rPr>
                    <w:t>Multi-channel</w:t>
                  </w:r>
                </w:p>
              </w:tc>
              <w:tc>
                <w:tcPr>
                  <w:tcW w:w="1701" w:type="dxa"/>
                  <w:shd w:val="clear" w:color="auto" w:fill="D1ECE9" w:themeFill="text2" w:themeFillTint="33"/>
                </w:tcPr>
                <w:p w14:paraId="44B35D3B" w14:textId="77777777" w:rsidR="009517EA" w:rsidRPr="00557658" w:rsidRDefault="009517EA" w:rsidP="002B060C">
                  <w:pPr>
                    <w:keepNext/>
                    <w:spacing w:before="60" w:after="60" w:line="240" w:lineRule="auto"/>
                    <w:jc w:val="center"/>
                    <w:rPr>
                      <w:sz w:val="18"/>
                      <w:szCs w:val="18"/>
                    </w:rPr>
                  </w:pPr>
                  <w:r w:rsidRPr="00557658">
                    <w:rPr>
                      <w:sz w:val="18"/>
                      <w:szCs w:val="18"/>
                    </w:rPr>
                    <w:t xml:space="preserve">17 </w:t>
                  </w:r>
                </w:p>
              </w:tc>
              <w:tc>
                <w:tcPr>
                  <w:tcW w:w="6276" w:type="dxa"/>
                  <w:shd w:val="clear" w:color="auto" w:fill="D1ECE9" w:themeFill="text2" w:themeFillTint="33"/>
                </w:tcPr>
                <w:p w14:paraId="44B35D3C" w14:textId="77777777" w:rsidR="009517EA" w:rsidRPr="00557658" w:rsidRDefault="009517EA" w:rsidP="002B060C">
                  <w:pPr>
                    <w:keepNext/>
                    <w:spacing w:before="60" w:after="60" w:line="240" w:lineRule="auto"/>
                    <w:rPr>
                      <w:sz w:val="18"/>
                      <w:szCs w:val="18"/>
                    </w:rPr>
                  </w:pPr>
                  <w:r w:rsidRPr="00557658">
                    <w:rPr>
                      <w:sz w:val="18"/>
                      <w:szCs w:val="18"/>
                    </w:rPr>
                    <w:t>Caption repeated programs on a multi-channel if those programs have previously been broadcast with captioning on the broadcaster’s main service in the licence or coverage area</w:t>
                  </w:r>
                </w:p>
              </w:tc>
            </w:tr>
            <w:tr w:rsidR="009517EA" w:rsidRPr="00557658" w14:paraId="44B35D41" w14:textId="77777777" w:rsidTr="009517EA">
              <w:tc>
                <w:tcPr>
                  <w:tcW w:w="1660" w:type="dxa"/>
                  <w:shd w:val="clear" w:color="auto" w:fill="76C8BD" w:themeFill="text2" w:themeFillTint="99"/>
                </w:tcPr>
                <w:p w14:paraId="44B35D3E" w14:textId="77777777" w:rsidR="009517EA" w:rsidRPr="00557658" w:rsidRDefault="009517EA" w:rsidP="002B060C">
                  <w:pPr>
                    <w:keepNext/>
                    <w:spacing w:before="60" w:after="60" w:line="240" w:lineRule="auto"/>
                    <w:rPr>
                      <w:b/>
                      <w:color w:val="FFFFFF" w:themeColor="background1"/>
                      <w:sz w:val="18"/>
                      <w:szCs w:val="18"/>
                    </w:rPr>
                  </w:pPr>
                  <w:r w:rsidRPr="00557658">
                    <w:rPr>
                      <w:b/>
                      <w:color w:val="FFFFFF" w:themeColor="background1"/>
                      <w:sz w:val="18"/>
                      <w:szCs w:val="18"/>
                    </w:rPr>
                    <w:t xml:space="preserve">Subscription </w:t>
                  </w:r>
                </w:p>
              </w:tc>
              <w:tc>
                <w:tcPr>
                  <w:tcW w:w="1701" w:type="dxa"/>
                  <w:shd w:val="clear" w:color="auto" w:fill="76C8BD" w:themeFill="text2" w:themeFillTint="99"/>
                </w:tcPr>
                <w:p w14:paraId="44B35D3F" w14:textId="77777777" w:rsidR="009517EA" w:rsidRPr="00557658" w:rsidRDefault="009517EA" w:rsidP="002B060C">
                  <w:pPr>
                    <w:keepNext/>
                    <w:spacing w:before="60" w:after="60" w:line="240" w:lineRule="auto"/>
                    <w:jc w:val="center"/>
                    <w:rPr>
                      <w:b/>
                      <w:color w:val="FFFFFF" w:themeColor="background1"/>
                      <w:sz w:val="18"/>
                      <w:szCs w:val="18"/>
                    </w:rPr>
                  </w:pPr>
                  <w:r>
                    <w:rPr>
                      <w:color w:val="FFFFFF" w:themeColor="background1"/>
                      <w:sz w:val="18"/>
                      <w:szCs w:val="18"/>
                    </w:rPr>
                    <w:t>Services/channels</w:t>
                  </w:r>
                </w:p>
              </w:tc>
              <w:tc>
                <w:tcPr>
                  <w:tcW w:w="6276" w:type="dxa"/>
                  <w:shd w:val="clear" w:color="auto" w:fill="76C8BD" w:themeFill="text2" w:themeFillTint="99"/>
                </w:tcPr>
                <w:p w14:paraId="44B35D40" w14:textId="77777777" w:rsidR="009517EA" w:rsidRPr="00557658" w:rsidRDefault="009517EA" w:rsidP="002B060C">
                  <w:pPr>
                    <w:keepNext/>
                    <w:spacing w:before="60" w:after="60" w:line="240" w:lineRule="auto"/>
                    <w:rPr>
                      <w:b/>
                      <w:color w:val="FFFFFF" w:themeColor="background1"/>
                      <w:sz w:val="18"/>
                      <w:szCs w:val="18"/>
                    </w:rPr>
                  </w:pPr>
                </w:p>
              </w:tc>
            </w:tr>
            <w:tr w:rsidR="009517EA" w:rsidRPr="00557658" w14:paraId="44B35D45" w14:textId="77777777" w:rsidTr="009517EA">
              <w:tc>
                <w:tcPr>
                  <w:tcW w:w="1660" w:type="dxa"/>
                  <w:shd w:val="clear" w:color="auto" w:fill="D1ECE9" w:themeFill="text2" w:themeFillTint="33"/>
                </w:tcPr>
                <w:p w14:paraId="44B35D42" w14:textId="77777777" w:rsidR="009517EA" w:rsidRPr="00557658" w:rsidRDefault="009517EA" w:rsidP="002B060C">
                  <w:pPr>
                    <w:keepNext/>
                    <w:spacing w:before="60" w:after="60" w:line="240" w:lineRule="auto"/>
                    <w:rPr>
                      <w:sz w:val="18"/>
                      <w:szCs w:val="18"/>
                    </w:rPr>
                  </w:pPr>
                  <w:r>
                    <w:rPr>
                      <w:sz w:val="18"/>
                      <w:szCs w:val="18"/>
                    </w:rPr>
                    <w:t>Annual captioning target</w:t>
                  </w:r>
                </w:p>
              </w:tc>
              <w:tc>
                <w:tcPr>
                  <w:tcW w:w="1701" w:type="dxa"/>
                  <w:shd w:val="clear" w:color="auto" w:fill="D1ECE9" w:themeFill="text2" w:themeFillTint="33"/>
                </w:tcPr>
                <w:p w14:paraId="44B35D43" w14:textId="77777777" w:rsidR="009517EA" w:rsidRPr="00557658" w:rsidRDefault="009517EA" w:rsidP="002B060C">
                  <w:pPr>
                    <w:keepNext/>
                    <w:spacing w:before="60" w:after="60" w:line="240" w:lineRule="auto"/>
                    <w:jc w:val="center"/>
                    <w:rPr>
                      <w:sz w:val="18"/>
                      <w:szCs w:val="18"/>
                    </w:rPr>
                  </w:pPr>
                  <w:r w:rsidRPr="00AF6432">
                    <w:rPr>
                      <w:sz w:val="18"/>
                      <w:szCs w:val="18"/>
                    </w:rPr>
                    <w:t xml:space="preserve">6 </w:t>
                  </w:r>
                  <w:r>
                    <w:rPr>
                      <w:sz w:val="18"/>
                      <w:szCs w:val="18"/>
                    </w:rPr>
                    <w:t>s</w:t>
                  </w:r>
                  <w:r w:rsidRPr="00AF6432">
                    <w:rPr>
                      <w:sz w:val="18"/>
                      <w:szCs w:val="18"/>
                    </w:rPr>
                    <w:t>ervices/</w:t>
                  </w:r>
                  <w:r>
                    <w:rPr>
                      <w:sz w:val="18"/>
                      <w:szCs w:val="18"/>
                    </w:rPr>
                    <w:br/>
                  </w:r>
                  <w:r w:rsidRPr="00AF6432">
                    <w:rPr>
                      <w:sz w:val="18"/>
                      <w:szCs w:val="18"/>
                    </w:rPr>
                    <w:t>channels</w:t>
                  </w:r>
                </w:p>
              </w:tc>
              <w:tc>
                <w:tcPr>
                  <w:tcW w:w="6276" w:type="dxa"/>
                  <w:shd w:val="clear" w:color="auto" w:fill="D1ECE9" w:themeFill="text2" w:themeFillTint="33"/>
                </w:tcPr>
                <w:p w14:paraId="44B35D44" w14:textId="77777777" w:rsidR="009517EA" w:rsidRPr="00557658" w:rsidRDefault="009517EA" w:rsidP="002B060C">
                  <w:pPr>
                    <w:keepNext/>
                    <w:spacing w:before="60" w:after="60" w:line="240" w:lineRule="auto"/>
                    <w:rPr>
                      <w:sz w:val="18"/>
                      <w:szCs w:val="18"/>
                    </w:rPr>
                  </w:pPr>
                  <w:r w:rsidRPr="00627FB0">
                    <w:rPr>
                      <w:sz w:val="18"/>
                      <w:szCs w:val="18"/>
                    </w:rPr>
                    <w:t>5</w:t>
                  </w:r>
                  <w:r>
                    <w:rPr>
                      <w:sz w:val="18"/>
                      <w:szCs w:val="18"/>
                    </w:rPr>
                    <w:t>–</w:t>
                  </w:r>
                  <w:r w:rsidRPr="00627FB0">
                    <w:rPr>
                      <w:sz w:val="18"/>
                      <w:szCs w:val="18"/>
                    </w:rPr>
                    <w:t>60% captioning across the year depending on service category, with exceptions</w:t>
                  </w:r>
                  <w:r>
                    <w:rPr>
                      <w:sz w:val="18"/>
                      <w:szCs w:val="18"/>
                    </w:rPr>
                    <w:t>*</w:t>
                  </w:r>
                </w:p>
              </w:tc>
            </w:tr>
            <w:tr w:rsidR="009517EA" w:rsidRPr="003471A3" w14:paraId="44B35D49" w14:textId="77777777" w:rsidTr="009517EA">
              <w:tc>
                <w:tcPr>
                  <w:tcW w:w="1660" w:type="dxa"/>
                  <w:shd w:val="clear" w:color="auto" w:fill="D1ECE9" w:themeFill="text2" w:themeFillTint="33"/>
                </w:tcPr>
                <w:p w14:paraId="44B35D46" w14:textId="77777777" w:rsidR="009517EA" w:rsidRPr="003471A3" w:rsidRDefault="009517EA" w:rsidP="002B060C">
                  <w:pPr>
                    <w:keepNext/>
                    <w:spacing w:before="60" w:after="60" w:line="240" w:lineRule="auto"/>
                    <w:rPr>
                      <w:sz w:val="18"/>
                      <w:szCs w:val="18"/>
                    </w:rPr>
                  </w:pPr>
                  <w:r>
                    <w:rPr>
                      <w:sz w:val="18"/>
                      <w:szCs w:val="18"/>
                    </w:rPr>
                    <w:t>Emergency warnings</w:t>
                  </w:r>
                </w:p>
              </w:tc>
              <w:tc>
                <w:tcPr>
                  <w:tcW w:w="1701" w:type="dxa"/>
                  <w:shd w:val="clear" w:color="auto" w:fill="D1ECE9" w:themeFill="text2" w:themeFillTint="33"/>
                </w:tcPr>
                <w:p w14:paraId="44B35D47" w14:textId="77777777" w:rsidR="009517EA" w:rsidRPr="003471A3" w:rsidRDefault="009517EA" w:rsidP="002B060C">
                  <w:pPr>
                    <w:keepNext/>
                    <w:spacing w:before="60" w:after="60" w:line="240" w:lineRule="auto"/>
                    <w:jc w:val="center"/>
                    <w:rPr>
                      <w:sz w:val="18"/>
                      <w:szCs w:val="18"/>
                    </w:rPr>
                  </w:pPr>
                  <w:r w:rsidRPr="00BD68BC">
                    <w:rPr>
                      <w:sz w:val="18"/>
                      <w:szCs w:val="18"/>
                    </w:rPr>
                    <w:t>0</w:t>
                  </w:r>
                </w:p>
              </w:tc>
              <w:tc>
                <w:tcPr>
                  <w:tcW w:w="6276" w:type="dxa"/>
                  <w:shd w:val="clear" w:color="auto" w:fill="D1ECE9" w:themeFill="text2" w:themeFillTint="33"/>
                </w:tcPr>
                <w:p w14:paraId="44B35D48" w14:textId="77777777" w:rsidR="009517EA" w:rsidRPr="003471A3" w:rsidRDefault="009517EA" w:rsidP="002B060C">
                  <w:pPr>
                    <w:keepNext/>
                    <w:spacing w:before="60" w:after="60" w:line="240" w:lineRule="auto"/>
                    <w:rPr>
                      <w:sz w:val="18"/>
                      <w:szCs w:val="18"/>
                    </w:rPr>
                  </w:pPr>
                  <w:r w:rsidRPr="00557658">
                    <w:rPr>
                      <w:sz w:val="18"/>
                      <w:szCs w:val="18"/>
                    </w:rPr>
                    <w:t>Transmit emergency warnings in text and speech and if practicable, with captioning</w:t>
                  </w:r>
                </w:p>
              </w:tc>
            </w:tr>
            <w:tr w:rsidR="009517EA" w:rsidRPr="003471A3" w14:paraId="44B35D4D" w14:textId="77777777" w:rsidTr="009517EA">
              <w:tc>
                <w:tcPr>
                  <w:tcW w:w="1660" w:type="dxa"/>
                  <w:shd w:val="clear" w:color="auto" w:fill="D1ECE9" w:themeFill="text2" w:themeFillTint="33"/>
                </w:tcPr>
                <w:p w14:paraId="44B35D4A" w14:textId="77777777" w:rsidR="009517EA" w:rsidRPr="003471A3" w:rsidRDefault="009517EA" w:rsidP="002B060C">
                  <w:pPr>
                    <w:keepNext/>
                    <w:spacing w:before="60" w:after="60" w:line="240" w:lineRule="auto"/>
                    <w:rPr>
                      <w:sz w:val="18"/>
                      <w:szCs w:val="18"/>
                    </w:rPr>
                  </w:pPr>
                  <w:r w:rsidRPr="007D206F">
                    <w:rPr>
                      <w:sz w:val="18"/>
                      <w:szCs w:val="18"/>
                    </w:rPr>
                    <w:t xml:space="preserve">Simulcast programming </w:t>
                  </w:r>
                </w:p>
              </w:tc>
              <w:tc>
                <w:tcPr>
                  <w:tcW w:w="1701" w:type="dxa"/>
                  <w:shd w:val="clear" w:color="auto" w:fill="D1ECE9" w:themeFill="text2" w:themeFillTint="33"/>
                </w:tcPr>
                <w:p w14:paraId="44B35D4B" w14:textId="77777777" w:rsidR="009517EA" w:rsidRPr="003471A3" w:rsidRDefault="009517EA" w:rsidP="002B060C">
                  <w:pPr>
                    <w:keepNext/>
                    <w:spacing w:before="60" w:after="60" w:line="240" w:lineRule="auto"/>
                    <w:jc w:val="center"/>
                    <w:rPr>
                      <w:sz w:val="18"/>
                      <w:szCs w:val="18"/>
                    </w:rPr>
                  </w:pPr>
                  <w:r w:rsidRPr="00C00316">
                    <w:rPr>
                      <w:sz w:val="18"/>
                      <w:szCs w:val="18"/>
                    </w:rPr>
                    <w:t>5 services/</w:t>
                  </w:r>
                  <w:r>
                    <w:rPr>
                      <w:sz w:val="18"/>
                      <w:szCs w:val="18"/>
                    </w:rPr>
                    <w:br/>
                  </w:r>
                  <w:r w:rsidRPr="00C00316">
                    <w:rPr>
                      <w:sz w:val="18"/>
                      <w:szCs w:val="18"/>
                    </w:rPr>
                    <w:t>1 distinct channel</w:t>
                  </w:r>
                  <w:r w:rsidRPr="007D206F" w:rsidDel="006B33B8">
                    <w:rPr>
                      <w:sz w:val="18"/>
                      <w:szCs w:val="18"/>
                    </w:rPr>
                    <w:t xml:space="preserve"> </w:t>
                  </w:r>
                </w:p>
              </w:tc>
              <w:tc>
                <w:tcPr>
                  <w:tcW w:w="6276" w:type="dxa"/>
                  <w:shd w:val="clear" w:color="auto" w:fill="D1ECE9" w:themeFill="text2" w:themeFillTint="33"/>
                </w:tcPr>
                <w:p w14:paraId="44B35D4C" w14:textId="77777777" w:rsidR="009517EA" w:rsidRPr="003471A3" w:rsidRDefault="009517EA" w:rsidP="002B060C">
                  <w:pPr>
                    <w:keepNext/>
                    <w:spacing w:before="60" w:after="60" w:line="240" w:lineRule="auto"/>
                    <w:rPr>
                      <w:sz w:val="18"/>
                      <w:szCs w:val="18"/>
                    </w:rPr>
                  </w:pPr>
                  <w:r w:rsidRPr="007D206F">
                    <w:rPr>
                      <w:sz w:val="18"/>
                      <w:szCs w:val="18"/>
                    </w:rPr>
                    <w:t>Caption simulcast programs on the second service if the programs are simultaneously transmitted with captions on the first service</w:t>
                  </w:r>
                </w:p>
              </w:tc>
            </w:tr>
            <w:tr w:rsidR="009517EA" w:rsidRPr="00557658" w14:paraId="44B35D51" w14:textId="77777777" w:rsidTr="009517EA">
              <w:tc>
                <w:tcPr>
                  <w:tcW w:w="1660" w:type="dxa"/>
                  <w:shd w:val="clear" w:color="auto" w:fill="D1ECE9" w:themeFill="text2" w:themeFillTint="33"/>
                </w:tcPr>
                <w:p w14:paraId="44B35D4E" w14:textId="77777777" w:rsidR="009517EA" w:rsidRPr="00557658" w:rsidRDefault="009517EA" w:rsidP="002B060C">
                  <w:pPr>
                    <w:keepNext/>
                    <w:spacing w:before="60" w:after="60" w:line="240" w:lineRule="auto"/>
                    <w:rPr>
                      <w:sz w:val="18"/>
                      <w:szCs w:val="18"/>
                    </w:rPr>
                  </w:pPr>
                  <w:r w:rsidRPr="00557658">
                    <w:rPr>
                      <w:sz w:val="18"/>
                      <w:szCs w:val="18"/>
                    </w:rPr>
                    <w:t xml:space="preserve">Repeat programming </w:t>
                  </w:r>
                </w:p>
              </w:tc>
              <w:tc>
                <w:tcPr>
                  <w:tcW w:w="1701" w:type="dxa"/>
                  <w:shd w:val="clear" w:color="auto" w:fill="D1ECE9" w:themeFill="text2" w:themeFillTint="33"/>
                </w:tcPr>
                <w:p w14:paraId="44B35D4F" w14:textId="77777777" w:rsidR="009517EA" w:rsidRPr="00557658" w:rsidRDefault="009517EA" w:rsidP="002B060C">
                  <w:pPr>
                    <w:keepNext/>
                    <w:spacing w:before="60" w:after="60" w:line="240" w:lineRule="auto"/>
                    <w:jc w:val="center"/>
                    <w:rPr>
                      <w:sz w:val="18"/>
                      <w:szCs w:val="18"/>
                    </w:rPr>
                  </w:pPr>
                  <w:r w:rsidRPr="007D206F">
                    <w:rPr>
                      <w:sz w:val="18"/>
                      <w:szCs w:val="18"/>
                    </w:rPr>
                    <w:t>44 services/</w:t>
                  </w:r>
                  <w:r>
                    <w:rPr>
                      <w:sz w:val="18"/>
                      <w:szCs w:val="18"/>
                    </w:rPr>
                    <w:br/>
                  </w:r>
                  <w:r w:rsidRPr="007D206F">
                    <w:rPr>
                      <w:sz w:val="18"/>
                      <w:szCs w:val="18"/>
                    </w:rPr>
                    <w:t>9 distinct channels</w:t>
                  </w:r>
                  <w:r w:rsidRPr="00C00316">
                    <w:rPr>
                      <w:sz w:val="18"/>
                      <w:szCs w:val="18"/>
                    </w:rPr>
                    <w:t xml:space="preserve"> </w:t>
                  </w:r>
                </w:p>
              </w:tc>
              <w:tc>
                <w:tcPr>
                  <w:tcW w:w="6276" w:type="dxa"/>
                  <w:shd w:val="clear" w:color="auto" w:fill="D1ECE9" w:themeFill="text2" w:themeFillTint="33"/>
                </w:tcPr>
                <w:p w14:paraId="44B35D50" w14:textId="77777777" w:rsidR="009517EA" w:rsidRPr="00557658" w:rsidRDefault="009517EA" w:rsidP="002B060C">
                  <w:pPr>
                    <w:keepNext/>
                    <w:spacing w:before="60" w:after="60" w:line="240" w:lineRule="auto"/>
                    <w:rPr>
                      <w:sz w:val="18"/>
                      <w:szCs w:val="18"/>
                    </w:rPr>
                  </w:pPr>
                  <w:r w:rsidRPr="00557658">
                    <w:rPr>
                      <w:rFonts w:cs="Arial"/>
                      <w:sz w:val="18"/>
                      <w:szCs w:val="18"/>
                    </w:rPr>
                    <w:t>Caption programs that have previously been transmitted with captions and then repeated on the same or another subscription television service provided by the licensee</w:t>
                  </w:r>
                </w:p>
              </w:tc>
            </w:tr>
          </w:tbl>
          <w:p w14:paraId="44B35D52" w14:textId="77777777" w:rsidR="009517EA" w:rsidRDefault="009517EA" w:rsidP="009517EA"/>
        </w:tc>
      </w:tr>
      <w:tr w:rsidR="009517EA" w14:paraId="44B35D56" w14:textId="77777777" w:rsidTr="009517EA">
        <w:trPr>
          <w:trHeight w:val="291"/>
        </w:trPr>
        <w:tc>
          <w:tcPr>
            <w:tcW w:w="9645" w:type="dxa"/>
            <w:tcBorders>
              <w:bottom w:val="single" w:sz="2" w:space="0" w:color="505050"/>
            </w:tcBorders>
            <w:shd w:val="clear" w:color="auto" w:fill="auto"/>
          </w:tcPr>
          <w:p w14:paraId="44B35D54" w14:textId="77777777" w:rsidR="009517EA" w:rsidRDefault="009517EA" w:rsidP="00D41B98">
            <w:pPr>
              <w:keepNext/>
              <w:spacing w:before="120" w:after="20" w:line="240" w:lineRule="auto"/>
              <w:rPr>
                <w:rFonts w:cs="Arial"/>
                <w:i/>
                <w:sz w:val="16"/>
                <w:szCs w:val="16"/>
              </w:rPr>
            </w:pPr>
            <w:r>
              <w:rPr>
                <w:rFonts w:cs="Arial"/>
                <w:i/>
                <w:sz w:val="16"/>
                <w:szCs w:val="16"/>
              </w:rPr>
              <w:t>*</w:t>
            </w:r>
            <w:r w:rsidRPr="00557658">
              <w:rPr>
                <w:rFonts w:cs="Arial"/>
                <w:i/>
                <w:sz w:val="16"/>
                <w:szCs w:val="16"/>
              </w:rPr>
              <w:t xml:space="preserve">Captioning obligations do not apply to exempt programs, which include foreign programs (not wholly in English) and music programs that do not contain any human vocal content. </w:t>
            </w:r>
            <w:r>
              <w:rPr>
                <w:rFonts w:cs="Arial"/>
                <w:i/>
                <w:sz w:val="16"/>
                <w:szCs w:val="16"/>
              </w:rPr>
              <w:t>In 2012–</w:t>
            </w:r>
            <w:r w:rsidRPr="00557658">
              <w:rPr>
                <w:rFonts w:cs="Arial"/>
                <w:i/>
                <w:sz w:val="16"/>
                <w:szCs w:val="16"/>
              </w:rPr>
              <w:t xml:space="preserve">13, three commercial broadcasters </w:t>
            </w:r>
            <w:r>
              <w:rPr>
                <w:rFonts w:cs="Arial"/>
                <w:i/>
                <w:sz w:val="16"/>
                <w:szCs w:val="16"/>
              </w:rPr>
              <w:t>had a reduced annual target of 80 per cent</w:t>
            </w:r>
            <w:r w:rsidRPr="00557658">
              <w:rPr>
                <w:rFonts w:cs="Arial"/>
                <w:i/>
                <w:sz w:val="16"/>
                <w:szCs w:val="16"/>
              </w:rPr>
              <w:t xml:space="preserve"> as a result of target reduction orders (unjustifiable har</w:t>
            </w:r>
            <w:r>
              <w:rPr>
                <w:rFonts w:cs="Arial"/>
                <w:i/>
                <w:sz w:val="16"/>
                <w:szCs w:val="16"/>
              </w:rPr>
              <w:t>dship).</w:t>
            </w:r>
            <w:r w:rsidRPr="00557658">
              <w:rPr>
                <w:rFonts w:cs="Arial"/>
                <w:i/>
                <w:sz w:val="16"/>
                <w:szCs w:val="16"/>
              </w:rPr>
              <w:t>Some subscription services were exempt from the annual captioning target as a result of exemption orders (unjustifiable hardship) and nominations under section 130ZX of the BSA (a transitional measure that allows exemption of certain services if the licensee has met the annual captioning target for the threshold number of services).</w:t>
            </w:r>
          </w:p>
          <w:p w14:paraId="44B35D55" w14:textId="77777777" w:rsidR="009517EA" w:rsidRPr="00F426DF" w:rsidRDefault="009517EA" w:rsidP="00866DE4">
            <w:pPr>
              <w:keepNext/>
              <w:spacing w:line="240" w:lineRule="auto"/>
              <w:rPr>
                <w:rFonts w:cs="Arial"/>
                <w:i/>
                <w:sz w:val="16"/>
                <w:szCs w:val="16"/>
              </w:rPr>
            </w:pPr>
            <w:r>
              <w:rPr>
                <w:rFonts w:cs="Arial"/>
                <w:i/>
                <w:sz w:val="16"/>
                <w:szCs w:val="16"/>
              </w:rPr>
              <w:t>Source: ACMA.</w:t>
            </w:r>
          </w:p>
        </w:tc>
      </w:tr>
    </w:tbl>
    <w:p w14:paraId="44B35D57" w14:textId="77777777" w:rsidR="009517EA" w:rsidRPr="0067777B" w:rsidRDefault="009517EA" w:rsidP="009517EA"/>
    <w:p w14:paraId="44B35D58" w14:textId="77777777" w:rsidR="009517EA" w:rsidRPr="00BC51F0" w:rsidRDefault="002B060C" w:rsidP="002B060C">
      <w:pPr>
        <w:pStyle w:val="Heading2"/>
        <w:tabs>
          <w:tab w:val="left" w:pos="851"/>
        </w:tabs>
        <w:ind w:left="567" w:hanging="567"/>
      </w:pPr>
      <w:bookmarkStart w:id="38" w:name="_Toc399331819"/>
      <w:bookmarkStart w:id="39" w:name="_Toc399337000"/>
      <w:bookmarkStart w:id="40" w:name="_Toc402337605"/>
      <w:r>
        <w:t>4.4</w:t>
      </w:r>
      <w:r>
        <w:tab/>
      </w:r>
      <w:r>
        <w:tab/>
      </w:r>
      <w:r w:rsidR="009517EA" w:rsidRPr="00BC51F0">
        <w:t>Notification of changes in control</w:t>
      </w:r>
      <w:bookmarkEnd w:id="38"/>
      <w:bookmarkEnd w:id="39"/>
      <w:bookmarkEnd w:id="40"/>
    </w:p>
    <w:p w14:paraId="44B35D59" w14:textId="77777777" w:rsidR="009517EA" w:rsidRDefault="009517EA" w:rsidP="009517EA">
      <w:r w:rsidRPr="00BC51F0">
        <w:t xml:space="preserve">Commercial television licensees, commercial radio licensees and publishers of associated newspapers must notify the ACMA of any changes in control within five days of becoming aware of those changes (section 63 of the BSA). Persons who come into a position to exercise control of such licences and associated newspapers are also required to notify the ACMA within five days of becoming aware of the change in control (section 64 of the BSA). </w:t>
      </w:r>
    </w:p>
    <w:p w14:paraId="44B35D5A" w14:textId="77777777" w:rsidR="009517EA" w:rsidRPr="00BC51F0" w:rsidRDefault="009517EA" w:rsidP="009517EA"/>
    <w:p w14:paraId="44B35D5B" w14:textId="77777777" w:rsidR="009517EA" w:rsidRDefault="009517EA" w:rsidP="00ED664F">
      <w:pPr>
        <w:rPr>
          <w:szCs w:val="20"/>
        </w:rPr>
      </w:pPr>
      <w:r>
        <w:rPr>
          <w:szCs w:val="20"/>
        </w:rPr>
        <w:t>During 2013–1</w:t>
      </w:r>
      <w:r w:rsidRPr="00BC51F0">
        <w:rPr>
          <w:szCs w:val="20"/>
        </w:rPr>
        <w:t>4, no infringement notices were given for late notificat</w:t>
      </w:r>
      <w:r w:rsidR="00ED664F">
        <w:rPr>
          <w:szCs w:val="20"/>
        </w:rPr>
        <w:t>ions of changes of control. Two </w:t>
      </w:r>
      <w:r w:rsidRPr="00BC51F0">
        <w:rPr>
          <w:szCs w:val="20"/>
        </w:rPr>
        <w:t>formal warnings were given, relat</w:t>
      </w:r>
      <w:r>
        <w:rPr>
          <w:szCs w:val="20"/>
        </w:rPr>
        <w:t>ing</w:t>
      </w:r>
      <w:r w:rsidRPr="00BC51F0">
        <w:rPr>
          <w:szCs w:val="20"/>
        </w:rPr>
        <w:t xml:space="preserve"> to events that took place in the previous financial year.</w:t>
      </w:r>
    </w:p>
    <w:p w14:paraId="44B35D5C" w14:textId="77777777" w:rsidR="009517EA" w:rsidRPr="00BC51F0" w:rsidRDefault="009517EA" w:rsidP="009517EA">
      <w:pPr>
        <w:rPr>
          <w:szCs w:val="20"/>
        </w:rPr>
      </w:pPr>
    </w:p>
    <w:p w14:paraId="44B35D5D" w14:textId="77777777" w:rsidR="009517EA" w:rsidRDefault="009517EA" w:rsidP="009517EA">
      <w:pPr>
        <w:rPr>
          <w:szCs w:val="20"/>
        </w:rPr>
      </w:pPr>
      <w:r w:rsidRPr="00BC51F0">
        <w:rPr>
          <w:szCs w:val="20"/>
        </w:rPr>
        <w:t>Fifteen</w:t>
      </w:r>
      <w:r w:rsidRPr="00BC51F0" w:rsidDel="0038644F">
        <w:rPr>
          <w:szCs w:val="20"/>
        </w:rPr>
        <w:t xml:space="preserve"> </w:t>
      </w:r>
      <w:r w:rsidRPr="00BC51F0">
        <w:rPr>
          <w:szCs w:val="20"/>
        </w:rPr>
        <w:t xml:space="preserve">events affecting the control of media operations occurred during </w:t>
      </w:r>
      <w:r>
        <w:rPr>
          <w:szCs w:val="20"/>
        </w:rPr>
        <w:t>2013–1</w:t>
      </w:r>
      <w:r w:rsidRPr="00BC51F0">
        <w:rPr>
          <w:szCs w:val="20"/>
        </w:rPr>
        <w:t xml:space="preserve">4. </w:t>
      </w:r>
    </w:p>
    <w:p w14:paraId="44B35D5E" w14:textId="77777777" w:rsidR="002B060C" w:rsidRPr="00BC51F0" w:rsidRDefault="002B060C" w:rsidP="009517EA">
      <w:pPr>
        <w:rPr>
          <w:szCs w:val="20"/>
        </w:rPr>
      </w:pPr>
    </w:p>
    <w:p w14:paraId="44B35D5F" w14:textId="77777777" w:rsidR="009517EA" w:rsidRPr="00557658" w:rsidRDefault="009517EA" w:rsidP="009517EA">
      <w:pPr>
        <w:rPr>
          <w:szCs w:val="20"/>
        </w:rPr>
      </w:pPr>
      <w:r w:rsidRPr="00BC51F0">
        <w:rPr>
          <w:szCs w:val="20"/>
        </w:rPr>
        <w:t xml:space="preserve">For the fifth </w:t>
      </w:r>
      <w:r>
        <w:rPr>
          <w:szCs w:val="20"/>
        </w:rPr>
        <w:t xml:space="preserve">consecutive </w:t>
      </w:r>
      <w:r w:rsidRPr="00BC51F0">
        <w:rPr>
          <w:szCs w:val="20"/>
        </w:rPr>
        <w:t xml:space="preserve">year, the licensees of all 327 commercial broadcasting licences and publishers of all 46 associated newspapers lodged their annual returns on time (as required under Part 5 of the BSA). </w:t>
      </w:r>
    </w:p>
    <w:p w14:paraId="44B35D60" w14:textId="77777777" w:rsidR="009517EA" w:rsidRPr="00557658" w:rsidRDefault="009517EA" w:rsidP="009517EA">
      <w:pPr>
        <w:rPr>
          <w:szCs w:val="20"/>
        </w:rPr>
      </w:pPr>
    </w:p>
    <w:p w14:paraId="44B35D61" w14:textId="77777777" w:rsidR="009517EA" w:rsidRPr="00BC51F0" w:rsidRDefault="002B060C" w:rsidP="002B060C">
      <w:pPr>
        <w:pStyle w:val="Heading2"/>
        <w:tabs>
          <w:tab w:val="left" w:pos="851"/>
        </w:tabs>
        <w:ind w:left="567" w:hanging="567"/>
      </w:pPr>
      <w:bookmarkStart w:id="41" w:name="_Toc399331820"/>
      <w:bookmarkStart w:id="42" w:name="_Toc399337001"/>
      <w:bookmarkStart w:id="43" w:name="_Toc402337606"/>
      <w:r>
        <w:t>4.5</w:t>
      </w:r>
      <w:r>
        <w:tab/>
      </w:r>
      <w:r>
        <w:tab/>
      </w:r>
      <w:r w:rsidR="009517EA" w:rsidRPr="00BC51F0">
        <w:t>Local information on regional television</w:t>
      </w:r>
      <w:bookmarkEnd w:id="41"/>
      <w:bookmarkEnd w:id="42"/>
      <w:bookmarkEnd w:id="43"/>
    </w:p>
    <w:p w14:paraId="44B35D62" w14:textId="77777777" w:rsidR="009517EA" w:rsidRPr="00BC51F0" w:rsidRDefault="009517EA" w:rsidP="004F0719">
      <w:pPr>
        <w:spacing w:after="80"/>
      </w:pPr>
      <w:r w:rsidRPr="00BC51F0">
        <w:t>The following regional commercial television broadcasting licensees in Queensland, New South Wales, Victoria and Tasmania must broadcast minimum amounts of material of local significance (local content) as a result of an additional licence condition:</w:t>
      </w:r>
    </w:p>
    <w:p w14:paraId="44B35D63" w14:textId="77777777" w:rsidR="009517EA" w:rsidRPr="00BC51F0" w:rsidRDefault="009517EA" w:rsidP="009517EA">
      <w:pPr>
        <w:pStyle w:val="ListBullet"/>
      </w:pPr>
      <w:r w:rsidRPr="00BC51F0">
        <w:t xml:space="preserve">Seven Qld, Southern Cross and WIN TV in regional Queensland </w:t>
      </w:r>
    </w:p>
    <w:p w14:paraId="44B35D64" w14:textId="77777777" w:rsidR="009517EA" w:rsidRPr="00BC51F0" w:rsidRDefault="009517EA" w:rsidP="009517EA">
      <w:pPr>
        <w:pStyle w:val="ListBullet"/>
      </w:pPr>
      <w:r w:rsidRPr="00BC51F0">
        <w:t>NBN Ltd, Prime Television and Southern Cross in northern New South Wales</w:t>
      </w:r>
    </w:p>
    <w:p w14:paraId="44B35D65" w14:textId="77777777" w:rsidR="009517EA" w:rsidRPr="00BC51F0" w:rsidRDefault="009517EA" w:rsidP="009517EA">
      <w:pPr>
        <w:pStyle w:val="ListBullet"/>
      </w:pPr>
      <w:r w:rsidRPr="00BC51F0">
        <w:t>Prime Television, Southern Cross and WIN TV in southern New South Wales</w:t>
      </w:r>
    </w:p>
    <w:p w14:paraId="44B35D66" w14:textId="77777777" w:rsidR="009517EA" w:rsidRPr="00BC51F0" w:rsidRDefault="009517EA" w:rsidP="009517EA">
      <w:pPr>
        <w:pStyle w:val="ListBullet"/>
      </w:pPr>
      <w:r w:rsidRPr="00BC51F0">
        <w:t>Prime Television, Southern Cross and WIN TV in regional Victoria</w:t>
      </w:r>
    </w:p>
    <w:p w14:paraId="44B35D67" w14:textId="77777777" w:rsidR="009517EA" w:rsidRPr="00BC51F0" w:rsidRDefault="009517EA" w:rsidP="004F0719">
      <w:pPr>
        <w:pStyle w:val="ListBullet"/>
        <w:spacing w:after="240"/>
      </w:pPr>
      <w:r w:rsidRPr="00BC51F0">
        <w:t>Southern Cross, WIN TV and Southern Cross/WIN joint venture in Tasmania.</w:t>
      </w:r>
    </w:p>
    <w:p w14:paraId="44B35D68" w14:textId="77777777" w:rsidR="009517EA" w:rsidRPr="00897A20" w:rsidRDefault="009517EA" w:rsidP="00A36CD2">
      <w:pPr>
        <w:rPr>
          <w:szCs w:val="20"/>
        </w:rPr>
      </w:pPr>
      <w:r w:rsidRPr="00897A20">
        <w:rPr>
          <w:szCs w:val="20"/>
        </w:rPr>
        <w:t xml:space="preserve">For the period 21 July 2013 to 1 February 2014, all regional broadcasting licensees in Queensland, New South Wales, Victoria and Tasmania reported that they met the weekly and six-weekly minimum quota requirements of 90 points and 720 points respectively. </w:t>
      </w:r>
    </w:p>
    <w:p w14:paraId="44B35D69" w14:textId="77777777" w:rsidR="009517EA" w:rsidRPr="00BC51F0" w:rsidRDefault="009517EA" w:rsidP="00A36CD2"/>
    <w:p w14:paraId="44B35D6A" w14:textId="77777777" w:rsidR="009517EA" w:rsidRDefault="009517EA" w:rsidP="004F0719">
      <w:pPr>
        <w:spacing w:after="80"/>
        <w:rPr>
          <w:szCs w:val="20"/>
        </w:rPr>
      </w:pPr>
      <w:r w:rsidRPr="00BC51F0">
        <w:rPr>
          <w:szCs w:val="20"/>
        </w:rPr>
        <w:t>In June 2013</w:t>
      </w:r>
      <w:r w:rsidR="00CB604A">
        <w:rPr>
          <w:szCs w:val="20"/>
        </w:rPr>
        <w:t>,</w:t>
      </w:r>
      <w:r w:rsidRPr="00BC51F0">
        <w:rPr>
          <w:szCs w:val="20"/>
        </w:rPr>
        <w:t xml:space="preserve"> the ACMA was directed by the then Minister for Broadband, Communications and the Digital Economy to review the operation and effectiveness of the current regulatory arrangements for the provision of local content in certain regional commercial television areas. The </w:t>
      </w:r>
      <w:r w:rsidRPr="00BC51F0">
        <w:rPr>
          <w:i/>
          <w:szCs w:val="20"/>
        </w:rPr>
        <w:t xml:space="preserve">Regional Commercial Television Local Content Investigation 2013 </w:t>
      </w:r>
      <w:r w:rsidRPr="00BC51F0">
        <w:rPr>
          <w:szCs w:val="20"/>
        </w:rPr>
        <w:t>(the investigation</w:t>
      </w:r>
      <w:r w:rsidRPr="003D5BA6">
        <w:rPr>
          <w:rStyle w:val="EndnoteReference"/>
          <w:szCs w:val="20"/>
        </w:rPr>
        <w:endnoteReference w:id="5"/>
      </w:r>
      <w:r w:rsidRPr="00BC51F0">
        <w:rPr>
          <w:szCs w:val="20"/>
        </w:rPr>
        <w:t>)</w:t>
      </w:r>
      <w:r w:rsidRPr="003D5BA6">
        <w:rPr>
          <w:szCs w:val="20"/>
        </w:rPr>
        <w:t xml:space="preserve"> </w:t>
      </w:r>
      <w:r w:rsidRPr="00BC51F0">
        <w:rPr>
          <w:szCs w:val="20"/>
        </w:rPr>
        <w:t xml:space="preserve">was completed on 24 December 2013 and the investigation report was sent to the </w:t>
      </w:r>
      <w:r w:rsidR="002B32FD">
        <w:rPr>
          <w:szCs w:val="20"/>
        </w:rPr>
        <w:t>M</w:t>
      </w:r>
      <w:r w:rsidR="00CB604A">
        <w:rPr>
          <w:szCs w:val="20"/>
        </w:rPr>
        <w:t>inister</w:t>
      </w:r>
      <w:r w:rsidR="002B32FD">
        <w:rPr>
          <w:szCs w:val="20"/>
        </w:rPr>
        <w:t xml:space="preserve"> for Communications</w:t>
      </w:r>
      <w:r w:rsidRPr="00BC51F0">
        <w:rPr>
          <w:szCs w:val="20"/>
        </w:rPr>
        <w:t xml:space="preserve"> on 6 January 2014. </w:t>
      </w:r>
      <w:r>
        <w:rPr>
          <w:szCs w:val="20"/>
        </w:rPr>
        <w:t>K</w:t>
      </w:r>
      <w:r w:rsidRPr="00BC51F0">
        <w:t xml:space="preserve">ey investigation findings </w:t>
      </w:r>
      <w:r>
        <w:t>included</w:t>
      </w:r>
      <w:r w:rsidRPr="00BC51F0">
        <w:t xml:space="preserve"> that: </w:t>
      </w:r>
    </w:p>
    <w:p w14:paraId="44B35D6B" w14:textId="77777777" w:rsidR="009517EA" w:rsidRPr="00C95936" w:rsidRDefault="009517EA" w:rsidP="009517EA">
      <w:pPr>
        <w:pStyle w:val="ListBullet"/>
        <w:rPr>
          <w:szCs w:val="20"/>
        </w:rPr>
      </w:pPr>
      <w:r>
        <w:t>L</w:t>
      </w:r>
      <w:r w:rsidRPr="00C95936">
        <w:t>ocal content is important and valued by regional Australians</w:t>
      </w:r>
      <w:r>
        <w:t>.</w:t>
      </w:r>
    </w:p>
    <w:p w14:paraId="44B35D6C" w14:textId="77777777" w:rsidR="009517EA" w:rsidRPr="00BC51F0" w:rsidRDefault="009517EA" w:rsidP="009517EA">
      <w:pPr>
        <w:pStyle w:val="ListBullet"/>
        <w:rPr>
          <w:rFonts w:cs="Arial"/>
        </w:rPr>
      </w:pPr>
      <w:r>
        <w:rPr>
          <w:rFonts w:cs="Arial"/>
        </w:rPr>
        <w:t>R</w:t>
      </w:r>
      <w:r w:rsidRPr="00BC51F0">
        <w:rPr>
          <w:rFonts w:cs="Arial"/>
        </w:rPr>
        <w:t>egional Australians are largely satisfied with the current levels of local content available</w:t>
      </w:r>
      <w:r>
        <w:rPr>
          <w:rFonts w:cs="Arial"/>
        </w:rPr>
        <w:t>.</w:t>
      </w:r>
    </w:p>
    <w:p w14:paraId="44B35D6D" w14:textId="77777777" w:rsidR="009517EA" w:rsidRPr="00BC51F0" w:rsidRDefault="009517EA" w:rsidP="009517EA">
      <w:pPr>
        <w:pStyle w:val="ListBullet"/>
        <w:rPr>
          <w:rFonts w:cs="Arial"/>
        </w:rPr>
      </w:pPr>
      <w:r>
        <w:rPr>
          <w:rFonts w:cs="Arial"/>
        </w:rPr>
        <w:t>R</w:t>
      </w:r>
      <w:r w:rsidRPr="00BC51F0">
        <w:rPr>
          <w:rFonts w:cs="Arial"/>
        </w:rPr>
        <w:t>egional Australians access local content across a wide variety of sources</w:t>
      </w:r>
      <w:r>
        <w:rPr>
          <w:rFonts w:cs="Arial"/>
        </w:rPr>
        <w:t>.</w:t>
      </w:r>
    </w:p>
    <w:p w14:paraId="44B35D6E" w14:textId="77777777" w:rsidR="009517EA" w:rsidRPr="00BC51F0" w:rsidRDefault="009517EA" w:rsidP="009517EA">
      <w:pPr>
        <w:pStyle w:val="ListBullet"/>
        <w:rPr>
          <w:rFonts w:cs="Arial"/>
        </w:rPr>
      </w:pPr>
      <w:r>
        <w:rPr>
          <w:rFonts w:cs="Arial"/>
        </w:rPr>
        <w:t>T</w:t>
      </w:r>
      <w:r w:rsidRPr="00BC51F0">
        <w:rPr>
          <w:rFonts w:cs="Arial"/>
        </w:rPr>
        <w:t>elevision is the source most used by regional Australians for news and is the preferred source for local news. However, with some exceptions, the audience for commercial television local news bulletins is declining</w:t>
      </w:r>
      <w:r>
        <w:rPr>
          <w:rFonts w:cs="Arial"/>
        </w:rPr>
        <w:t>.</w:t>
      </w:r>
    </w:p>
    <w:p w14:paraId="44B35D6F" w14:textId="77777777" w:rsidR="009517EA" w:rsidRPr="00BC51F0" w:rsidRDefault="009517EA" w:rsidP="009517EA">
      <w:pPr>
        <w:pStyle w:val="ListBullet"/>
        <w:rPr>
          <w:rFonts w:cs="Arial"/>
        </w:rPr>
      </w:pPr>
      <w:r>
        <w:rPr>
          <w:rFonts w:cs="Arial"/>
        </w:rPr>
        <w:t>T</w:t>
      </w:r>
      <w:r w:rsidRPr="00BC51F0">
        <w:rPr>
          <w:rFonts w:cs="Arial"/>
        </w:rPr>
        <w:t>here are commercial incentives for some regional broadcasters to provide local content</w:t>
      </w:r>
      <w:r>
        <w:rPr>
          <w:rFonts w:cs="Arial"/>
        </w:rPr>
        <w:t>.</w:t>
      </w:r>
    </w:p>
    <w:p w14:paraId="44B35D70" w14:textId="77777777" w:rsidR="009517EA" w:rsidRPr="00BC51F0" w:rsidRDefault="009517EA" w:rsidP="009517EA">
      <w:pPr>
        <w:pStyle w:val="ListBullet"/>
        <w:rPr>
          <w:rFonts w:cs="Arial"/>
        </w:rPr>
      </w:pPr>
      <w:r>
        <w:rPr>
          <w:rFonts w:cs="Arial"/>
        </w:rPr>
        <w:t>P</w:t>
      </w:r>
      <w:r w:rsidRPr="00BC51F0">
        <w:rPr>
          <w:rFonts w:cs="Arial"/>
        </w:rPr>
        <w:t>roviding local content on commercial television is a high</w:t>
      </w:r>
      <w:r w:rsidR="00CB604A">
        <w:rPr>
          <w:rFonts w:cs="Arial"/>
        </w:rPr>
        <w:t>-</w:t>
      </w:r>
      <w:r w:rsidRPr="00BC51F0">
        <w:rPr>
          <w:rFonts w:cs="Arial"/>
        </w:rPr>
        <w:t xml:space="preserve">cost activity and is not necessarily </w:t>
      </w:r>
      <w:r>
        <w:rPr>
          <w:rFonts w:cs="Arial"/>
        </w:rPr>
        <w:t>profitable in all markets.</w:t>
      </w:r>
    </w:p>
    <w:p w14:paraId="44B35D71" w14:textId="77777777" w:rsidR="009517EA" w:rsidRPr="00C95936" w:rsidRDefault="009517EA" w:rsidP="004F0719">
      <w:pPr>
        <w:pStyle w:val="ListBullet"/>
        <w:spacing w:after="240"/>
        <w:rPr>
          <w:rFonts w:cs="Arial"/>
        </w:rPr>
      </w:pPr>
      <w:r>
        <w:rPr>
          <w:rFonts w:cs="Arial"/>
        </w:rPr>
        <w:t>F</w:t>
      </w:r>
      <w:r w:rsidRPr="00BC51F0">
        <w:rPr>
          <w:rFonts w:cs="Arial"/>
        </w:rPr>
        <w:t>unding pressures affecting regional broadc</w:t>
      </w:r>
      <w:r>
        <w:rPr>
          <w:rFonts w:cs="Arial"/>
        </w:rPr>
        <w:t xml:space="preserve">asters are likely to continue. </w:t>
      </w:r>
    </w:p>
    <w:p w14:paraId="44B35D72" w14:textId="4B63092A" w:rsidR="009517EA" w:rsidRPr="00557658" w:rsidRDefault="009517EA" w:rsidP="00A36CD2">
      <w:r>
        <w:t xml:space="preserve">The </w:t>
      </w:r>
      <w:r w:rsidR="005835DA" w:rsidRPr="00051DCB">
        <w:t>investigation report</w:t>
      </w:r>
      <w:r>
        <w:t xml:space="preserve"> can be accessed </w:t>
      </w:r>
      <w:r w:rsidR="00ED664F" w:rsidRPr="00866DE4">
        <w:t xml:space="preserve">at </w:t>
      </w:r>
      <w:hyperlink r:id="rId19" w:history="1">
        <w:r w:rsidR="00ED664F" w:rsidRPr="00DC3DFD">
          <w:rPr>
            <w:rStyle w:val="Hyperlink"/>
          </w:rPr>
          <w:t>w</w:t>
        </w:r>
        <w:r w:rsidR="005835DA" w:rsidRPr="00DC3DFD">
          <w:rPr>
            <w:rStyle w:val="Hyperlink"/>
          </w:rPr>
          <w:t>ww.acma.gov.au/theACMA/Consultations/</w:t>
        </w:r>
        <w:r w:rsidR="00ED664F" w:rsidRPr="00DC3DFD">
          <w:rPr>
            <w:rStyle w:val="Hyperlink"/>
          </w:rPr>
          <w:br/>
        </w:r>
        <w:r w:rsidR="005835DA" w:rsidRPr="00DC3DFD">
          <w:rPr>
            <w:rStyle w:val="Hyperlink"/>
          </w:rPr>
          <w:t>Consultations/Completed/regional-television-local-content-investigation</w:t>
        </w:r>
      </w:hyperlink>
      <w:r w:rsidR="005835DA">
        <w:t>.</w:t>
      </w:r>
    </w:p>
    <w:p w14:paraId="44B35D73" w14:textId="77777777" w:rsidR="009517EA" w:rsidRPr="00557658" w:rsidRDefault="009517EA" w:rsidP="00A36CD2">
      <w:pPr>
        <w:rPr>
          <w:rFonts w:cs="Arial"/>
        </w:rPr>
      </w:pPr>
    </w:p>
    <w:p w14:paraId="44B35D74" w14:textId="77777777" w:rsidR="009517EA" w:rsidRPr="00BC51F0" w:rsidRDefault="002B060C" w:rsidP="00ED664F">
      <w:pPr>
        <w:pStyle w:val="Heading2"/>
        <w:keepLines/>
        <w:tabs>
          <w:tab w:val="left" w:pos="851"/>
        </w:tabs>
        <w:ind w:left="851" w:hanging="851"/>
      </w:pPr>
      <w:bookmarkStart w:id="44" w:name="_Toc399331821"/>
      <w:bookmarkStart w:id="45" w:name="_Toc399337002"/>
      <w:bookmarkStart w:id="46" w:name="_Toc402337607"/>
      <w:r>
        <w:t>4.6</w:t>
      </w:r>
      <w:r>
        <w:tab/>
      </w:r>
      <w:r w:rsidR="009517EA" w:rsidRPr="00BC51F0">
        <w:t>Local content, presence and information on regional commercial radio</w:t>
      </w:r>
      <w:bookmarkEnd w:id="44"/>
      <w:bookmarkEnd w:id="45"/>
      <w:bookmarkEnd w:id="46"/>
    </w:p>
    <w:p w14:paraId="44B35D75" w14:textId="77777777" w:rsidR="009517EA" w:rsidRPr="00BC51F0" w:rsidRDefault="009517EA" w:rsidP="00ED664F">
      <w:pPr>
        <w:keepNext/>
        <w:keepLines/>
      </w:pPr>
      <w:r w:rsidRPr="00BC51F0">
        <w:t>The Broadcasting Services (Regional Commercial Radio</w:t>
      </w:r>
      <w:r>
        <w:t>—</w:t>
      </w:r>
      <w:r w:rsidRPr="00BC51F0">
        <w:t>Material of Local Significance) Licence Condition 2012 requires 211</w:t>
      </w:r>
      <w:r w:rsidRPr="00BC51F0">
        <w:rPr>
          <w:rStyle w:val="EndnoteReference"/>
          <w:rFonts w:cs="Arial"/>
        </w:rPr>
        <w:endnoteReference w:id="6"/>
      </w:r>
      <w:r>
        <w:t xml:space="preserve"> </w:t>
      </w:r>
      <w:r w:rsidRPr="00BC51F0">
        <w:t>regional commercial radio licensees to broadcast prescribed amounts of material of local significance (local content) between 5</w:t>
      </w:r>
      <w:r w:rsidR="00002C66">
        <w:t>.00</w:t>
      </w:r>
      <w:r>
        <w:t xml:space="preserve"> </w:t>
      </w:r>
      <w:r w:rsidRPr="00BC51F0">
        <w:t>am and 8</w:t>
      </w:r>
      <w:r w:rsidR="00002C66">
        <w:t>.00</w:t>
      </w:r>
      <w:r>
        <w:t xml:space="preserve"> </w:t>
      </w:r>
      <w:r w:rsidRPr="00BC51F0">
        <w:t>pm on business days.</w:t>
      </w:r>
      <w:r>
        <w:t xml:space="preserve"> Licensees are exempt</w:t>
      </w:r>
      <w:r w:rsidRPr="00BC51F0">
        <w:t xml:space="preserve"> from this obligation for a five</w:t>
      </w:r>
      <w:r w:rsidR="00CB604A">
        <w:t>-</w:t>
      </w:r>
      <w:r w:rsidRPr="00BC51F0">
        <w:t>week ‘holiday’ period each year.</w:t>
      </w:r>
    </w:p>
    <w:p w14:paraId="44B35D76" w14:textId="77777777" w:rsidR="009517EA" w:rsidRPr="00BC51F0" w:rsidRDefault="009517EA" w:rsidP="00ED664F">
      <w:pPr>
        <w:keepNext/>
        <w:keepLines/>
      </w:pPr>
    </w:p>
    <w:p w14:paraId="44B35D77" w14:textId="77777777" w:rsidR="009517EA" w:rsidRPr="00BC51F0" w:rsidRDefault="009517EA" w:rsidP="00ED664F">
      <w:pPr>
        <w:keepNext/>
        <w:keepLines/>
      </w:pPr>
      <w:r w:rsidRPr="00BC51F0">
        <w:t xml:space="preserve">According to the </w:t>
      </w:r>
      <w:r>
        <w:t>annual returns for 2012–13</w:t>
      </w:r>
      <w:r>
        <w:rPr>
          <w:rStyle w:val="EndnoteReference"/>
        </w:rPr>
        <w:endnoteReference w:id="7"/>
      </w:r>
      <w:r>
        <w:t>, all</w:t>
      </w:r>
      <w:r w:rsidRPr="00BC51F0">
        <w:t xml:space="preserve"> licensees broadcast the prescribed amount of local content as required by the licence condition.</w:t>
      </w:r>
    </w:p>
    <w:p w14:paraId="44B35D78" w14:textId="77777777" w:rsidR="009517EA" w:rsidRPr="00BC51F0" w:rsidRDefault="009517EA" w:rsidP="00ED664F">
      <w:pPr>
        <w:keepNext/>
        <w:keepLines/>
      </w:pPr>
    </w:p>
    <w:p w14:paraId="44B35D79" w14:textId="77777777" w:rsidR="009517EA" w:rsidRDefault="009517EA" w:rsidP="00A3675A">
      <w:pPr>
        <w:keepNext/>
        <w:spacing w:after="80"/>
        <w:rPr>
          <w:rFonts w:cs="Arial"/>
        </w:rPr>
      </w:pPr>
      <w:r w:rsidRPr="00BC51F0">
        <w:rPr>
          <w:rFonts w:cs="Arial"/>
        </w:rPr>
        <w:t xml:space="preserve">A regional commercial radio licensee affected by </w:t>
      </w:r>
      <w:r>
        <w:rPr>
          <w:rFonts w:cs="Arial"/>
        </w:rPr>
        <w:t xml:space="preserve">certain changes in ownership or control (known as </w:t>
      </w:r>
      <w:r w:rsidRPr="00BC51F0">
        <w:rPr>
          <w:rFonts w:cs="Arial"/>
        </w:rPr>
        <w:t xml:space="preserve">a </w:t>
      </w:r>
      <w:r>
        <w:rPr>
          <w:rFonts w:cs="Arial"/>
        </w:rPr>
        <w:t>‘</w:t>
      </w:r>
      <w:r w:rsidRPr="00BC51F0">
        <w:rPr>
          <w:rFonts w:cs="Arial"/>
        </w:rPr>
        <w:t>trigger event</w:t>
      </w:r>
      <w:r>
        <w:rPr>
          <w:rFonts w:cs="Arial"/>
        </w:rPr>
        <w:t>’)</w:t>
      </w:r>
      <w:r w:rsidRPr="00BC51F0">
        <w:rPr>
          <w:rFonts w:cs="Arial"/>
        </w:rPr>
        <w:t xml:space="preserve"> is required to: </w:t>
      </w:r>
    </w:p>
    <w:p w14:paraId="44B35D7A" w14:textId="77777777" w:rsidR="009517EA" w:rsidRPr="00BC51F0" w:rsidRDefault="009517EA" w:rsidP="00A3675A">
      <w:pPr>
        <w:pStyle w:val="ListBullet"/>
        <w:keepNext/>
      </w:pPr>
      <w:r w:rsidRPr="00BC51F0">
        <w:t xml:space="preserve">broadcast specified amounts of local news and information for 47 weeks per year </w:t>
      </w:r>
      <w:r w:rsidR="00A3675A">
        <w:t>(minimum service standards)</w:t>
      </w:r>
    </w:p>
    <w:p w14:paraId="44B35D7B" w14:textId="77777777" w:rsidR="009517EA" w:rsidRDefault="009517EA" w:rsidP="00A3675A">
      <w:pPr>
        <w:pStyle w:val="ListBullet"/>
        <w:keepNext/>
        <w:spacing w:after="240"/>
      </w:pPr>
      <w:r w:rsidRPr="00BC51F0">
        <w:t>maintain existing levels of local presence (local staff and facilities) for 24 months from the date of the trigger event.</w:t>
      </w:r>
      <w:r w:rsidRPr="00BC51F0">
        <w:rPr>
          <w:rStyle w:val="EndnoteReference"/>
          <w:rFonts w:cs="Arial"/>
        </w:rPr>
        <w:endnoteReference w:id="8"/>
      </w:r>
      <w:r w:rsidRPr="00BC51F0">
        <w:t xml:space="preserve"> </w:t>
      </w:r>
    </w:p>
    <w:p w14:paraId="44B35D7C" w14:textId="77777777" w:rsidR="009517EA" w:rsidRPr="00BC51F0" w:rsidRDefault="009517EA" w:rsidP="009517EA">
      <w:pPr>
        <w:rPr>
          <w:rFonts w:cs="Arial"/>
        </w:rPr>
      </w:pPr>
      <w:r w:rsidRPr="00BC51F0">
        <w:rPr>
          <w:rFonts w:cs="Arial"/>
        </w:rPr>
        <w:t>According to the annual returns for 2012–13, trigger</w:t>
      </w:r>
      <w:r w:rsidR="008B7A09">
        <w:rPr>
          <w:rFonts w:cs="Arial"/>
        </w:rPr>
        <w:t xml:space="preserve"> event-</w:t>
      </w:r>
      <w:r w:rsidRPr="00BC51F0">
        <w:rPr>
          <w:rFonts w:cs="Arial"/>
        </w:rPr>
        <w:t>affected licensees maintained a high level of compliance with their local content plans. Of the 95 trigger</w:t>
      </w:r>
      <w:r w:rsidR="008B7A09">
        <w:rPr>
          <w:rFonts w:cs="Arial"/>
        </w:rPr>
        <w:t xml:space="preserve"> event-</w:t>
      </w:r>
      <w:r w:rsidRPr="00BC51F0">
        <w:rPr>
          <w:rFonts w:cs="Arial"/>
        </w:rPr>
        <w:t>affected licensees reporting to the ACMA, all but two licensees complied with their</w:t>
      </w:r>
      <w:r w:rsidRPr="00BC51F0">
        <w:t xml:space="preserve"> approved local content </w:t>
      </w:r>
      <w:r w:rsidRPr="00BC51F0">
        <w:rPr>
          <w:rFonts w:cs="Arial"/>
        </w:rPr>
        <w:t xml:space="preserve">plan. </w:t>
      </w:r>
    </w:p>
    <w:p w14:paraId="44B35D7D" w14:textId="77777777" w:rsidR="009517EA" w:rsidRPr="00BC51F0" w:rsidRDefault="009517EA" w:rsidP="009517EA">
      <w:pPr>
        <w:rPr>
          <w:rFonts w:cs="Arial"/>
        </w:rPr>
      </w:pPr>
    </w:p>
    <w:p w14:paraId="44B35D7E" w14:textId="77777777" w:rsidR="009517EA" w:rsidRDefault="004F0719" w:rsidP="009517EA">
      <w:r>
        <w:rPr>
          <w:rFonts w:cs="Arial"/>
        </w:rPr>
        <w:t>On 16 April 2014, the 24-</w:t>
      </w:r>
      <w:r w:rsidR="009517EA" w:rsidRPr="00BC51F0">
        <w:rPr>
          <w:rFonts w:cs="Arial"/>
        </w:rPr>
        <w:t xml:space="preserve">month local presence compliance period ceased for 88 regional commercial radio licences affected </w:t>
      </w:r>
      <w:r w:rsidR="009517EA">
        <w:rPr>
          <w:rFonts w:cs="Arial"/>
        </w:rPr>
        <w:t xml:space="preserve">by </w:t>
      </w:r>
      <w:r w:rsidR="009517EA" w:rsidRPr="00BC51F0">
        <w:rPr>
          <w:rFonts w:cs="Arial"/>
        </w:rPr>
        <w:t>trigger event</w:t>
      </w:r>
      <w:r w:rsidR="009517EA">
        <w:rPr>
          <w:rFonts w:cs="Arial"/>
        </w:rPr>
        <w:t>s</w:t>
      </w:r>
      <w:r w:rsidR="009517EA" w:rsidRPr="00BC51F0">
        <w:rPr>
          <w:rFonts w:cs="Arial"/>
        </w:rPr>
        <w:t xml:space="preserve">. </w:t>
      </w:r>
    </w:p>
    <w:p w14:paraId="44B35D7F" w14:textId="77777777" w:rsidR="009517EA" w:rsidRPr="00BC51F0" w:rsidRDefault="009517EA" w:rsidP="009517EA"/>
    <w:p w14:paraId="44B35D80" w14:textId="77777777" w:rsidR="009517EA" w:rsidRPr="00BC51F0" w:rsidRDefault="00A3675A" w:rsidP="00A3675A">
      <w:pPr>
        <w:pStyle w:val="Heading2"/>
        <w:tabs>
          <w:tab w:val="left" w:pos="851"/>
        </w:tabs>
        <w:ind w:left="851" w:hanging="851"/>
      </w:pPr>
      <w:bookmarkStart w:id="47" w:name="_Toc399331822"/>
      <w:bookmarkStart w:id="48" w:name="_Toc399337003"/>
      <w:bookmarkStart w:id="49" w:name="_Toc402337608"/>
      <w:r>
        <w:t>4.7</w:t>
      </w:r>
      <w:r>
        <w:tab/>
      </w:r>
      <w:r w:rsidR="009517EA" w:rsidRPr="00BC51F0">
        <w:t>Anti-siphoning provisions</w:t>
      </w:r>
      <w:bookmarkEnd w:id="47"/>
      <w:bookmarkEnd w:id="48"/>
      <w:bookmarkEnd w:id="49"/>
    </w:p>
    <w:p w14:paraId="44B35D81" w14:textId="77777777" w:rsidR="009517EA" w:rsidRDefault="009517EA" w:rsidP="009517EA">
      <w:r w:rsidRPr="00BC51F0">
        <w:t>The anti-siphoning scheme in the BSA restricts subscription broadcasters from acquiring anti-siphoning events in certain instances and also restricts the broadcast of anti-siphoning even</w:t>
      </w:r>
      <w:r>
        <w:t>ts by free-to-air broadcasters on their digital multi-channels.</w:t>
      </w:r>
    </w:p>
    <w:p w14:paraId="44B35D82" w14:textId="77777777" w:rsidR="009517EA" w:rsidRPr="00BC51F0" w:rsidRDefault="009517EA" w:rsidP="009517EA"/>
    <w:p w14:paraId="44B35D83" w14:textId="77777777" w:rsidR="009517EA" w:rsidRPr="00557658" w:rsidRDefault="009517EA" w:rsidP="009517EA">
      <w:r w:rsidRPr="00BC51F0">
        <w:t>In the reporting period, the ACMA investigated one commercial television licensee’s compliance with the licence condition restricting the broadcast of anti-siphoning events. The ACMA found the licensee breached the licence condition by broadcasting Game 1 of the 2014 National Rugby League State of Origin series on a HD multi-channel without simulcasting the event on the primary channel in the Perth TV1 licence area.</w:t>
      </w:r>
    </w:p>
    <w:p w14:paraId="44B35D84" w14:textId="77777777" w:rsidR="009517EA" w:rsidRPr="00557658" w:rsidRDefault="009517EA" w:rsidP="009517EA">
      <w:pPr>
        <w:rPr>
          <w:rFonts w:cs="Arial"/>
        </w:rPr>
      </w:pPr>
    </w:p>
    <w:p w14:paraId="44B35D85" w14:textId="77777777" w:rsidR="009517EA" w:rsidRPr="00EA0260" w:rsidRDefault="00A3675A" w:rsidP="00A3675A">
      <w:pPr>
        <w:pStyle w:val="Heading2"/>
        <w:tabs>
          <w:tab w:val="left" w:pos="851"/>
        </w:tabs>
        <w:ind w:left="851" w:hanging="851"/>
      </w:pPr>
      <w:bookmarkStart w:id="50" w:name="_Toc402337609"/>
      <w:r>
        <w:t>4.8</w:t>
      </w:r>
      <w:r>
        <w:tab/>
      </w:r>
      <w:r w:rsidR="009517EA" w:rsidRPr="00C47CC7">
        <w:t>Digital broadcasting</w:t>
      </w:r>
      <w:bookmarkEnd w:id="50"/>
    </w:p>
    <w:p w14:paraId="44B35D86" w14:textId="77777777" w:rsidR="009517EA" w:rsidRPr="00822E60" w:rsidRDefault="009517EA" w:rsidP="009517EA">
      <w:pPr>
        <w:rPr>
          <w:rFonts w:cs="Arial"/>
        </w:rPr>
      </w:pPr>
      <w:r w:rsidRPr="00822E60">
        <w:rPr>
          <w:rFonts w:cs="Arial"/>
        </w:rPr>
        <w:t>Digitalisation of Australian broadcasting services include</w:t>
      </w:r>
      <w:r>
        <w:rPr>
          <w:rFonts w:cs="Arial"/>
        </w:rPr>
        <w:t>d</w:t>
      </w:r>
      <w:r w:rsidRPr="00822E60">
        <w:rPr>
          <w:rFonts w:cs="Arial"/>
        </w:rPr>
        <w:t xml:space="preserve"> the phased transition of terrestrial television services from analog to digital services in the period June 2010 to December 2013 and the introduction of digital radio services.</w:t>
      </w:r>
      <w:r>
        <w:rPr>
          <w:rFonts w:cs="Arial"/>
        </w:rPr>
        <w:t xml:space="preserve"> The switchover from analog to digital television broadcasting was completed across Australia on 10 December 2013.</w:t>
      </w:r>
    </w:p>
    <w:p w14:paraId="44B35D87" w14:textId="77777777" w:rsidR="009517EA" w:rsidRPr="00822E60" w:rsidRDefault="009517EA" w:rsidP="009517EA">
      <w:pPr>
        <w:rPr>
          <w:rFonts w:cs="Arial"/>
          <w:highlight w:val="yellow"/>
        </w:rPr>
      </w:pPr>
    </w:p>
    <w:p w14:paraId="44B35D88" w14:textId="77777777" w:rsidR="009517EA" w:rsidRPr="00822E60" w:rsidRDefault="009517EA" w:rsidP="009517EA">
      <w:pPr>
        <w:keepNext/>
        <w:spacing w:before="60" w:after="60"/>
        <w:outlineLvl w:val="2"/>
        <w:rPr>
          <w:rFonts w:cs="Arial"/>
          <w:b/>
          <w:bCs/>
          <w:szCs w:val="26"/>
        </w:rPr>
      </w:pPr>
      <w:r w:rsidRPr="00822E60">
        <w:rPr>
          <w:rFonts w:cs="Arial"/>
          <w:b/>
          <w:bCs/>
          <w:szCs w:val="26"/>
        </w:rPr>
        <w:t>Digital television</w:t>
      </w:r>
    </w:p>
    <w:p w14:paraId="44B35D89" w14:textId="77777777" w:rsidR="009517EA" w:rsidRDefault="009517EA" w:rsidP="009517EA">
      <w:pPr>
        <w:rPr>
          <w:rFonts w:cs="Arial"/>
        </w:rPr>
      </w:pPr>
      <w:r>
        <w:rPr>
          <w:rFonts w:cs="Arial"/>
        </w:rPr>
        <w:t>Following</w:t>
      </w:r>
      <w:r w:rsidRPr="00822E60">
        <w:rPr>
          <w:rFonts w:cs="Arial"/>
        </w:rPr>
        <w:t xml:space="preserve"> the initial switch-off of analog services in the Mildura and Sunraysia licence area in Victoria on 30 June 2010, switchover continued</w:t>
      </w:r>
      <w:r>
        <w:rPr>
          <w:rFonts w:cs="Arial"/>
        </w:rPr>
        <w:t xml:space="preserve"> in stages</w:t>
      </w:r>
      <w:r w:rsidRPr="00822E60">
        <w:rPr>
          <w:rFonts w:cs="Arial"/>
        </w:rPr>
        <w:t xml:space="preserve"> across </w:t>
      </w:r>
      <w:r>
        <w:rPr>
          <w:rFonts w:cs="Arial"/>
        </w:rPr>
        <w:t>the remainder</w:t>
      </w:r>
      <w:r w:rsidRPr="00822E60">
        <w:rPr>
          <w:rFonts w:cs="Arial"/>
        </w:rPr>
        <w:t xml:space="preserve"> of Australia. During the 201</w:t>
      </w:r>
      <w:r>
        <w:rPr>
          <w:rFonts w:cs="Arial"/>
        </w:rPr>
        <w:t>3</w:t>
      </w:r>
      <w:r w:rsidRPr="00822E60">
        <w:rPr>
          <w:rFonts w:cs="Arial"/>
        </w:rPr>
        <w:t>–1</w:t>
      </w:r>
      <w:r>
        <w:rPr>
          <w:rFonts w:cs="Arial"/>
        </w:rPr>
        <w:t xml:space="preserve">4 </w:t>
      </w:r>
      <w:r w:rsidRPr="00822E60">
        <w:rPr>
          <w:rFonts w:cs="Arial"/>
        </w:rPr>
        <w:t xml:space="preserve">reporting period, </w:t>
      </w:r>
      <w:r>
        <w:rPr>
          <w:rFonts w:cs="Arial"/>
        </w:rPr>
        <w:t xml:space="preserve">switchover was completed—final </w:t>
      </w:r>
      <w:r w:rsidRPr="00822E60">
        <w:rPr>
          <w:rFonts w:cs="Arial"/>
        </w:rPr>
        <w:t>areas switch</w:t>
      </w:r>
      <w:r>
        <w:rPr>
          <w:rFonts w:cs="Arial"/>
        </w:rPr>
        <w:t>ing</w:t>
      </w:r>
      <w:r w:rsidRPr="00822E60">
        <w:rPr>
          <w:rFonts w:cs="Arial"/>
        </w:rPr>
        <w:t xml:space="preserve"> over from analog to digital television</w:t>
      </w:r>
      <w:r>
        <w:rPr>
          <w:rFonts w:cs="Arial"/>
        </w:rPr>
        <w:t xml:space="preserve"> are outlined in</w:t>
      </w:r>
      <w:r w:rsidR="00CB604A">
        <w:rPr>
          <w:rFonts w:cs="Arial"/>
        </w:rPr>
        <w:t xml:space="preserve"> Figure 4.2.</w:t>
      </w:r>
    </w:p>
    <w:p w14:paraId="44B35D8A" w14:textId="77777777" w:rsidR="009517EA" w:rsidRDefault="009517EA" w:rsidP="009517EA"/>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D8C" w14:textId="77777777" w:rsidTr="009517EA">
        <w:trPr>
          <w:trHeight w:val="570"/>
        </w:trPr>
        <w:tc>
          <w:tcPr>
            <w:tcW w:w="9645" w:type="dxa"/>
            <w:tcBorders>
              <w:top w:val="single" w:sz="2" w:space="0" w:color="505050"/>
            </w:tcBorders>
            <w:shd w:val="clear" w:color="auto" w:fill="auto"/>
            <w:vAlign w:val="center"/>
          </w:tcPr>
          <w:p w14:paraId="44B35D8B" w14:textId="77777777" w:rsidR="009517EA" w:rsidRPr="00A74B5E" w:rsidRDefault="009517EA" w:rsidP="00A3675A">
            <w:pPr>
              <w:pStyle w:val="Caption"/>
              <w:keepNext/>
            </w:pPr>
            <w:bookmarkStart w:id="51" w:name="_Ref398716902"/>
            <w:r>
              <w:t>Figure 4.</w:t>
            </w:r>
            <w:r w:rsidR="00FC1A17">
              <w:fldChar w:fldCharType="begin"/>
            </w:r>
            <w:r w:rsidR="00FC1A17">
              <w:instrText xml:space="preserve"> SEQ Figure \* ARABIC </w:instrText>
            </w:r>
            <w:r w:rsidR="00FC1A17">
              <w:fldChar w:fldCharType="separate"/>
            </w:r>
            <w:r w:rsidR="006B4FBE">
              <w:rPr>
                <w:noProof/>
              </w:rPr>
              <w:t>2</w:t>
            </w:r>
            <w:r w:rsidR="00FC1A17">
              <w:rPr>
                <w:noProof/>
              </w:rPr>
              <w:fldChar w:fldCharType="end"/>
            </w:r>
            <w:r>
              <w:rPr>
                <w:noProof/>
              </w:rPr>
              <w:t xml:space="preserve"> Switchover dates in 2013–14</w:t>
            </w:r>
            <w:bookmarkEnd w:id="51"/>
          </w:p>
        </w:tc>
      </w:tr>
      <w:tr w:rsidR="009517EA" w14:paraId="44B35D8E" w14:textId="77777777" w:rsidTr="009517EA">
        <w:trPr>
          <w:trHeight w:val="3086"/>
        </w:trPr>
        <w:tc>
          <w:tcPr>
            <w:tcW w:w="9645" w:type="dxa"/>
            <w:shd w:val="clear" w:color="auto" w:fill="auto"/>
            <w:tcMar>
              <w:left w:w="28" w:type="dxa"/>
            </w:tcMar>
          </w:tcPr>
          <w:p w14:paraId="44B35D8D" w14:textId="77777777" w:rsidR="009517EA" w:rsidRDefault="00934A61" w:rsidP="009517EA">
            <w:r>
              <w:rPr>
                <w:noProof/>
              </w:rPr>
              <w:drawing>
                <wp:inline distT="0" distB="0" distL="0" distR="0" wp14:anchorId="44B36371" wp14:editId="1BAEA09F">
                  <wp:extent cx="6106795" cy="3520440"/>
                  <wp:effectExtent l="0" t="0" r="8255" b="3810"/>
                  <wp:docPr id="30" name="Picture 30" descr="Darwin 30 July 2013&#10;Remote Central and Eastern Australia 10 December 2013&#10;Sydney including Gosford 3 December 2013&#10;Melbourne 10 December 2013&#10;Figure includes a map of Australia indicating the general location of the four switchover sites" title="Figure 4.2 Switchover dates in 2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4.2-1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06795" cy="3520440"/>
                          </a:xfrm>
                          <a:prstGeom prst="rect">
                            <a:avLst/>
                          </a:prstGeom>
                        </pic:spPr>
                      </pic:pic>
                    </a:graphicData>
                  </a:graphic>
                </wp:inline>
              </w:drawing>
            </w:r>
          </w:p>
        </w:tc>
      </w:tr>
      <w:tr w:rsidR="009517EA" w:rsidRPr="00D13EEC" w14:paraId="44B35D90" w14:textId="77777777" w:rsidTr="009517EA">
        <w:trPr>
          <w:trHeight w:val="291"/>
        </w:trPr>
        <w:tc>
          <w:tcPr>
            <w:tcW w:w="9645" w:type="dxa"/>
            <w:tcBorders>
              <w:bottom w:val="single" w:sz="2" w:space="0" w:color="505050"/>
            </w:tcBorders>
            <w:shd w:val="clear" w:color="auto" w:fill="auto"/>
          </w:tcPr>
          <w:p w14:paraId="44B35D8F" w14:textId="77777777" w:rsidR="009517EA" w:rsidRPr="00D13EEC" w:rsidRDefault="009517EA" w:rsidP="00A3675A">
            <w:pPr>
              <w:keepNext/>
              <w:spacing w:before="60"/>
              <w:rPr>
                <w:i/>
                <w:sz w:val="16"/>
                <w:szCs w:val="16"/>
              </w:rPr>
            </w:pPr>
            <w:r w:rsidRPr="00D25F01">
              <w:rPr>
                <w:rFonts w:cs="Arial"/>
                <w:i/>
                <w:sz w:val="16"/>
                <w:szCs w:val="16"/>
              </w:rPr>
              <w:t>Source: ACMA.</w:t>
            </w:r>
          </w:p>
        </w:tc>
      </w:tr>
    </w:tbl>
    <w:p w14:paraId="44B35D91" w14:textId="77777777" w:rsidR="009517EA" w:rsidRPr="00F33685" w:rsidRDefault="009517EA" w:rsidP="009517EA">
      <w:pPr>
        <w:rPr>
          <w:highlight w:val="darkCyan"/>
        </w:rPr>
      </w:pPr>
    </w:p>
    <w:p w14:paraId="44B35D92" w14:textId="77777777" w:rsidR="009517EA" w:rsidRPr="00BC51F0" w:rsidRDefault="009517EA" w:rsidP="009517EA">
      <w:pPr>
        <w:pStyle w:val="Heading3"/>
      </w:pPr>
      <w:bookmarkStart w:id="52" w:name="_Toc399331823"/>
      <w:bookmarkStart w:id="53" w:name="_Toc399337004"/>
      <w:bookmarkStart w:id="54" w:name="_Toc402337610"/>
      <w:r w:rsidRPr="00BC51F0">
        <w:t>High definition broadcasting</w:t>
      </w:r>
      <w:bookmarkEnd w:id="52"/>
      <w:bookmarkEnd w:id="53"/>
      <w:bookmarkEnd w:id="54"/>
    </w:p>
    <w:p w14:paraId="44B35D93" w14:textId="77777777" w:rsidR="009517EA" w:rsidRPr="001E0C69" w:rsidRDefault="009517EA" w:rsidP="009517EA">
      <w:r>
        <w:rPr>
          <w:rFonts w:cs="Arial"/>
        </w:rPr>
        <w:t>C</w:t>
      </w:r>
      <w:r w:rsidRPr="00BC51F0">
        <w:rPr>
          <w:rFonts w:cs="Arial"/>
        </w:rPr>
        <w:t>ommercial television broadcasting licensees and national broadcasters were required to meet a HDTV quota until the end of the simulcast period (analog switch-off)</w:t>
      </w:r>
      <w:r>
        <w:rPr>
          <w:rFonts w:cs="Arial"/>
        </w:rPr>
        <w:t xml:space="preserve"> (</w:t>
      </w:r>
      <w:r w:rsidRPr="00BC51F0">
        <w:rPr>
          <w:rFonts w:cs="Arial"/>
        </w:rPr>
        <w:t>Part 4 of Schedule 4 to the BSA</w:t>
      </w:r>
      <w:r>
        <w:rPr>
          <w:rFonts w:cs="Arial"/>
        </w:rPr>
        <w:t>).</w:t>
      </w:r>
      <w:r w:rsidRPr="00BC51F0">
        <w:rPr>
          <w:rFonts w:cs="Arial"/>
        </w:rPr>
        <w:t xml:space="preserve"> During this pre switch-off era, each commercial and national television broadcasting service in a mainland metropolitan area was required to transmit a </w:t>
      </w:r>
      <w:r>
        <w:rPr>
          <w:rFonts w:cs="Arial"/>
        </w:rPr>
        <w:t xml:space="preserve">minimum </w:t>
      </w:r>
      <w:r w:rsidRPr="00BC51F0">
        <w:rPr>
          <w:rFonts w:cs="Arial"/>
        </w:rPr>
        <w:t xml:space="preserve">quota of 1,040 hours of HDTV programming per calendar year. The HDTV obligations also applied to a number of broadcasters in regional areas. Following the successful completion of analog switch-off in </w:t>
      </w:r>
      <w:r>
        <w:rPr>
          <w:rFonts w:cs="Arial"/>
        </w:rPr>
        <w:t xml:space="preserve">December </w:t>
      </w:r>
      <w:r w:rsidRPr="00BC51F0">
        <w:rPr>
          <w:rFonts w:cs="Arial"/>
        </w:rPr>
        <w:t xml:space="preserve">2013, the HDTV quota requirements are no longer applicable. </w:t>
      </w:r>
    </w:p>
    <w:p w14:paraId="44B35D94" w14:textId="77777777" w:rsidR="009517EA" w:rsidRPr="001153CF" w:rsidRDefault="009517EA" w:rsidP="009517EA">
      <w:pPr>
        <w:rPr>
          <w:highlight w:val="darkCyan"/>
        </w:rPr>
      </w:pPr>
    </w:p>
    <w:p w14:paraId="44B35D95" w14:textId="77777777" w:rsidR="009517EA" w:rsidRPr="008F6DA3" w:rsidRDefault="009517EA" w:rsidP="009517EA">
      <w:pPr>
        <w:keepNext/>
        <w:spacing w:before="60" w:after="60"/>
        <w:outlineLvl w:val="2"/>
        <w:rPr>
          <w:rFonts w:cs="Arial"/>
          <w:b/>
          <w:bCs/>
          <w:szCs w:val="26"/>
        </w:rPr>
      </w:pPr>
      <w:r w:rsidRPr="008F6DA3">
        <w:rPr>
          <w:rFonts w:cs="Arial"/>
          <w:b/>
          <w:bCs/>
          <w:szCs w:val="26"/>
        </w:rPr>
        <w:t>Digital radio</w:t>
      </w:r>
    </w:p>
    <w:p w14:paraId="44B35D96" w14:textId="77777777" w:rsidR="009517EA" w:rsidRDefault="009517EA" w:rsidP="009517EA">
      <w:r w:rsidRPr="00236CA6">
        <w:t xml:space="preserve">Digital radio services, using DAB+ technology in VHF Band III spectrum, have been running on a permanent basis in the metropolitan areas of Adelaide, Brisbane, Melbourne, Perth and Sydney since July 2009. </w:t>
      </w:r>
    </w:p>
    <w:p w14:paraId="44B35D97" w14:textId="77777777" w:rsidR="009517EA" w:rsidRDefault="009517EA" w:rsidP="009517EA"/>
    <w:p w14:paraId="44B35D98" w14:textId="77777777" w:rsidR="009517EA" w:rsidRPr="008F6DA3" w:rsidRDefault="009517EA" w:rsidP="009517EA">
      <w:r w:rsidRPr="008F6DA3">
        <w:t>A</w:t>
      </w:r>
      <w:r>
        <w:t>s at August 2014, there were over 2.8</w:t>
      </w:r>
      <w:r w:rsidRPr="008F6DA3">
        <w:t xml:space="preserve"> million people listening to digital radio each week in Sydney, Melbourne, Brisbane, Perth and Adelaide. This compared with nearly </w:t>
      </w:r>
      <w:r>
        <w:t>1.6 million listeners in the same period in 2013</w:t>
      </w:r>
      <w:r w:rsidRPr="008F6DA3">
        <w:t xml:space="preserve">. The number of digital radios sold has also increased to </w:t>
      </w:r>
      <w:r w:rsidR="00A3675A">
        <w:t>1.6 </w:t>
      </w:r>
      <w:r>
        <w:t>million at June 2014, from</w:t>
      </w:r>
      <w:r w:rsidR="00ED664F">
        <w:t xml:space="preserve"> 1.3 </w:t>
      </w:r>
      <w:r>
        <w:t>million at June 2013.</w:t>
      </w:r>
    </w:p>
    <w:p w14:paraId="44B35D99" w14:textId="77777777" w:rsidR="009517EA" w:rsidRDefault="009517EA" w:rsidP="009517EA"/>
    <w:p w14:paraId="44B35D9A" w14:textId="77777777" w:rsidR="009517EA" w:rsidRPr="00236CA6" w:rsidRDefault="009517EA" w:rsidP="009517EA">
      <w:r w:rsidRPr="00236CA6">
        <w:t xml:space="preserve">In October 2013, the foundation digital radio multiplex transmitter licences were varied to authorise the operation of in-fill </w:t>
      </w:r>
      <w:r>
        <w:t>transmitters</w:t>
      </w:r>
      <w:r w:rsidRPr="00236CA6">
        <w:t xml:space="preserve"> in 1</w:t>
      </w:r>
      <w:r>
        <w:t>4</w:t>
      </w:r>
      <w:r w:rsidRPr="00236CA6">
        <w:t xml:space="preserve"> locations in Sydney, Melbourne, Brisbane and Perth</w:t>
      </w:r>
      <w:r w:rsidR="00866DE4">
        <w:t>,</w:t>
      </w:r>
      <w:r w:rsidRPr="00236CA6">
        <w:t xml:space="preserve"> extending digital radio coverage to a potential 264,000 listeners.</w:t>
      </w:r>
    </w:p>
    <w:p w14:paraId="44B35D9B" w14:textId="77777777" w:rsidR="009517EA" w:rsidRPr="00236CA6" w:rsidRDefault="009517EA" w:rsidP="009517EA"/>
    <w:p w14:paraId="44B35D9C" w14:textId="77777777" w:rsidR="009517EA" w:rsidRDefault="009517EA" w:rsidP="009517EA">
      <w:r w:rsidRPr="00236CA6">
        <w:t xml:space="preserve">Trials of DAB+ are being conducted in Canberra and Darwin by the peak commercial radio body, Commercial Radio Australia. </w:t>
      </w:r>
      <w:r>
        <w:t>The current trials expire on 30 June 2015.</w:t>
      </w:r>
    </w:p>
    <w:p w14:paraId="44B35D9D" w14:textId="77777777" w:rsidR="009517EA" w:rsidRDefault="009517EA" w:rsidP="009517EA"/>
    <w:p w14:paraId="44B35D9E" w14:textId="77777777" w:rsidR="009517EA" w:rsidRDefault="009517EA" w:rsidP="00A3675A">
      <w:pPr>
        <w:spacing w:after="240"/>
      </w:pPr>
      <w:r>
        <w:t>V</w:t>
      </w:r>
      <w:r w:rsidRPr="00236CA6">
        <w:t xml:space="preserve">arious technological and policy issues need to be resolved before planning and licensing for the rollout of digital radio to regional licence areas can commence, including </w:t>
      </w:r>
      <w:r>
        <w:t xml:space="preserve">determining </w:t>
      </w:r>
      <w:r w:rsidRPr="00236CA6">
        <w:t>the most appropriate digital radio transmission technology for regional licence areas.</w:t>
      </w:r>
    </w:p>
    <w:p w14:paraId="44B35D9F" w14:textId="77777777" w:rsidR="009517EA" w:rsidRDefault="009517EA" w:rsidP="009517EA">
      <w:r w:rsidRPr="004C7002">
        <w:t xml:space="preserve">The government is currently conducting two statutory reviews into digital radio services, in accordance with section 215B of the </w:t>
      </w:r>
      <w:r w:rsidR="00870720">
        <w:t>BSA</w:t>
      </w:r>
      <w:r w:rsidRPr="003D5BA6">
        <w:rPr>
          <w:i/>
        </w:rPr>
        <w:t xml:space="preserve"> </w:t>
      </w:r>
      <w:r w:rsidRPr="004C7002">
        <w:t xml:space="preserve">and 313B of the </w:t>
      </w:r>
      <w:r w:rsidRPr="004C7002">
        <w:rPr>
          <w:i/>
          <w:iCs/>
        </w:rPr>
        <w:t>Radiocommunications Act 1992</w:t>
      </w:r>
      <w:r w:rsidRPr="004C7002">
        <w:t xml:space="preserve"> that consider the regulatory regime and technologies for digital radio.</w:t>
      </w:r>
    </w:p>
    <w:p w14:paraId="44B35DA0" w14:textId="77777777" w:rsidR="009517EA" w:rsidRPr="004C7002" w:rsidRDefault="009517EA" w:rsidP="009517EA"/>
    <w:p w14:paraId="44B35DA1" w14:textId="77777777" w:rsidR="009517EA" w:rsidRPr="00E141F1" w:rsidRDefault="00A3675A" w:rsidP="00A3675A">
      <w:pPr>
        <w:pStyle w:val="Heading2"/>
        <w:tabs>
          <w:tab w:val="left" w:pos="851"/>
        </w:tabs>
        <w:ind w:left="851" w:hanging="851"/>
      </w:pPr>
      <w:bookmarkStart w:id="55" w:name="_Toc399331824"/>
      <w:bookmarkStart w:id="56" w:name="_Toc399337005"/>
      <w:bookmarkStart w:id="57" w:name="_Toc402337611"/>
      <w:r>
        <w:t>4.9</w:t>
      </w:r>
      <w:r>
        <w:tab/>
      </w:r>
      <w:r w:rsidR="009517EA" w:rsidRPr="00E141F1">
        <w:t>Broadcasting complaints</w:t>
      </w:r>
      <w:r w:rsidR="009517EA">
        <w:t xml:space="preserve"> and investigations</w:t>
      </w:r>
      <w:bookmarkEnd w:id="55"/>
      <w:bookmarkEnd w:id="56"/>
      <w:bookmarkEnd w:id="57"/>
    </w:p>
    <w:p w14:paraId="44B35DA2" w14:textId="77777777" w:rsidR="009517EA" w:rsidRPr="00E141F1" w:rsidRDefault="009517EA" w:rsidP="009517EA">
      <w:pPr>
        <w:keepNext/>
        <w:rPr>
          <w:rFonts w:cs="Arial"/>
        </w:rPr>
      </w:pPr>
      <w:r w:rsidRPr="00E141F1">
        <w:rPr>
          <w:rFonts w:cs="Arial"/>
        </w:rPr>
        <w:t xml:space="preserve">The ACMA </w:t>
      </w:r>
      <w:r>
        <w:rPr>
          <w:rFonts w:cs="Arial"/>
        </w:rPr>
        <w:t>monitors</w:t>
      </w:r>
      <w:r w:rsidRPr="00E141F1">
        <w:rPr>
          <w:rFonts w:cs="Arial"/>
        </w:rPr>
        <w:t xml:space="preserve"> the number and details of complaints it receives about possible breaches of the BSA, standards, licence conditions and code provisions. Not all complaints are investigated, either because the complainant chooses not to pursue the matter further or because the complaints are outside the ACMA’s jurisdiction.</w:t>
      </w:r>
    </w:p>
    <w:p w14:paraId="44B35DA3" w14:textId="77777777" w:rsidR="009517EA" w:rsidRPr="00E141F1" w:rsidRDefault="009517EA" w:rsidP="009517EA">
      <w:pPr>
        <w:rPr>
          <w:rFonts w:cs="Arial"/>
        </w:rPr>
      </w:pPr>
    </w:p>
    <w:p w14:paraId="44B35DA4" w14:textId="77777777" w:rsidR="009517EA" w:rsidRPr="00E141F1" w:rsidRDefault="009517EA" w:rsidP="009517EA">
      <w:pPr>
        <w:spacing w:line="240" w:lineRule="auto"/>
        <w:rPr>
          <w:rFonts w:cs="Arial"/>
        </w:rPr>
      </w:pPr>
      <w:r w:rsidRPr="00E141F1">
        <w:rPr>
          <w:rFonts w:cs="Arial"/>
        </w:rPr>
        <w:t xml:space="preserve">There were </w:t>
      </w:r>
      <w:r>
        <w:rPr>
          <w:rFonts w:cs="Arial"/>
        </w:rPr>
        <w:t>1,593</w:t>
      </w:r>
      <w:r w:rsidRPr="00E141F1">
        <w:rPr>
          <w:rFonts w:cs="Arial"/>
        </w:rPr>
        <w:t xml:space="preserve"> written complaints and enquiries made to the ACMA about broadcasting matters during 201</w:t>
      </w:r>
      <w:r>
        <w:rPr>
          <w:rFonts w:cs="Arial"/>
        </w:rPr>
        <w:t>3</w:t>
      </w:r>
      <w:r w:rsidRPr="00E141F1">
        <w:rPr>
          <w:rFonts w:cs="Arial"/>
        </w:rPr>
        <w:t>–1</w:t>
      </w:r>
      <w:r>
        <w:rPr>
          <w:rFonts w:cs="Arial"/>
        </w:rPr>
        <w:t>4, a 27 per cent decrease from 2012–13</w:t>
      </w:r>
      <w:r w:rsidRPr="00E141F1">
        <w:rPr>
          <w:rFonts w:cs="Arial"/>
        </w:rPr>
        <w:t>. The number of investigations completed in 201</w:t>
      </w:r>
      <w:r>
        <w:rPr>
          <w:rFonts w:cs="Arial"/>
        </w:rPr>
        <w:t>3</w:t>
      </w:r>
      <w:r w:rsidRPr="00E141F1">
        <w:rPr>
          <w:rFonts w:cs="Arial"/>
        </w:rPr>
        <w:t>–1</w:t>
      </w:r>
      <w:r>
        <w:rPr>
          <w:rFonts w:cs="Arial"/>
        </w:rPr>
        <w:t>4</w:t>
      </w:r>
      <w:r w:rsidRPr="00E141F1">
        <w:rPr>
          <w:rFonts w:cs="Arial"/>
        </w:rPr>
        <w:t xml:space="preserve"> was </w:t>
      </w:r>
      <w:r>
        <w:rPr>
          <w:rFonts w:cs="Arial"/>
        </w:rPr>
        <w:t>180 (</w:t>
      </w:r>
      <w:r>
        <w:rPr>
          <w:rFonts w:cs="Arial"/>
        </w:rPr>
        <w:fldChar w:fldCharType="begin"/>
      </w:r>
      <w:r>
        <w:rPr>
          <w:rFonts w:cs="Arial"/>
        </w:rPr>
        <w:instrText xml:space="preserve"> REF _Ref398716969 \h </w:instrText>
      </w:r>
      <w:r>
        <w:rPr>
          <w:rFonts w:cs="Arial"/>
        </w:rPr>
      </w:r>
      <w:r>
        <w:rPr>
          <w:rFonts w:cs="Arial"/>
        </w:rPr>
        <w:fldChar w:fldCharType="separate"/>
      </w:r>
      <w:r w:rsidR="006B4FBE">
        <w:rPr>
          <w:noProof/>
        </w:rPr>
        <w:t>Table</w:t>
      </w:r>
      <w:r w:rsidR="006B4FBE">
        <w:t xml:space="preserve"> 4.</w:t>
      </w:r>
      <w:r w:rsidR="006B4FBE">
        <w:rPr>
          <w:noProof/>
        </w:rPr>
        <w:t>4</w:t>
      </w:r>
      <w:r>
        <w:rPr>
          <w:rFonts w:cs="Arial"/>
        </w:rPr>
        <w:fldChar w:fldCharType="end"/>
      </w:r>
      <w:r>
        <w:rPr>
          <w:rFonts w:cs="Arial"/>
        </w:rPr>
        <w:t>)</w:t>
      </w:r>
      <w:r w:rsidRPr="00E141F1">
        <w:rPr>
          <w:rFonts w:cs="Arial"/>
        </w:rPr>
        <w:t>.</w:t>
      </w:r>
    </w:p>
    <w:p w14:paraId="44B35DA5" w14:textId="77777777" w:rsidR="009517EA" w:rsidRDefault="009517EA" w:rsidP="009517EA">
      <w:pPr>
        <w:spacing w:line="240" w:lineRule="auto"/>
      </w:pPr>
    </w:p>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DA7" w14:textId="77777777" w:rsidTr="009517EA">
        <w:trPr>
          <w:trHeight w:val="570"/>
        </w:trPr>
        <w:tc>
          <w:tcPr>
            <w:tcW w:w="9645" w:type="dxa"/>
            <w:tcBorders>
              <w:top w:val="single" w:sz="2" w:space="0" w:color="505050"/>
            </w:tcBorders>
            <w:shd w:val="clear" w:color="auto" w:fill="auto"/>
            <w:vAlign w:val="center"/>
          </w:tcPr>
          <w:p w14:paraId="44B35DA6" w14:textId="77777777" w:rsidR="009517EA" w:rsidRPr="00A74B5E" w:rsidRDefault="009517EA" w:rsidP="00A3675A">
            <w:pPr>
              <w:pStyle w:val="Caption"/>
            </w:pPr>
            <w:bookmarkStart w:id="58" w:name="_Ref398716969"/>
            <w:r>
              <w:rPr>
                <w:noProof/>
              </w:rPr>
              <w:t>Table</w:t>
            </w:r>
            <w:r>
              <w:t xml:space="preserve"> 4.</w:t>
            </w:r>
            <w:r w:rsidR="00FC1A17">
              <w:fldChar w:fldCharType="begin"/>
            </w:r>
            <w:r w:rsidR="00FC1A17">
              <w:instrText xml:space="preserve"> SEQ Table \* ARABIC </w:instrText>
            </w:r>
            <w:r w:rsidR="00FC1A17">
              <w:fldChar w:fldCharType="separate"/>
            </w:r>
            <w:r w:rsidR="006B4FBE">
              <w:rPr>
                <w:noProof/>
              </w:rPr>
              <w:t>4</w:t>
            </w:r>
            <w:r w:rsidR="00FC1A17">
              <w:rPr>
                <w:noProof/>
              </w:rPr>
              <w:fldChar w:fldCharType="end"/>
            </w:r>
            <w:bookmarkEnd w:id="58"/>
            <w:r>
              <w:rPr>
                <w:noProof/>
              </w:rPr>
              <w:t xml:space="preserve"> </w:t>
            </w:r>
            <w:r>
              <w:t>ACMA broadcasting complaints and investigations by financial year</w:t>
            </w:r>
          </w:p>
        </w:tc>
      </w:tr>
      <w:tr w:rsidR="009517EA" w14:paraId="44B35DD1" w14:textId="77777777" w:rsidTr="009517EA">
        <w:trPr>
          <w:trHeight w:val="2732"/>
        </w:trPr>
        <w:tc>
          <w:tcPr>
            <w:tcW w:w="9645" w:type="dxa"/>
            <w:shd w:val="clear" w:color="auto" w:fill="auto"/>
            <w:tcMar>
              <w:left w:w="28" w:type="dxa"/>
            </w:tcMar>
          </w:tcPr>
          <w:tbl>
            <w:tblPr>
              <w:tblStyle w:val="TableGrid"/>
              <w:tblW w:w="9698" w:type="dxa"/>
              <w:tblBorders>
                <w:top w:val="single" w:sz="24" w:space="0" w:color="FFFFFF" w:themeColor="background1"/>
                <w:left w:val="none" w:sz="0" w:space="0" w:color="auto"/>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left w:w="85" w:type="dxa"/>
                <w:right w:w="57" w:type="dxa"/>
              </w:tblCellMar>
              <w:tblLook w:val="04A0" w:firstRow="1" w:lastRow="0" w:firstColumn="1" w:lastColumn="0" w:noHBand="0" w:noVBand="1"/>
            </w:tblPr>
            <w:tblGrid>
              <w:gridCol w:w="975"/>
              <w:gridCol w:w="2409"/>
              <w:gridCol w:w="1262"/>
              <w:gridCol w:w="1263"/>
              <w:gridCol w:w="1263"/>
              <w:gridCol w:w="1263"/>
              <w:gridCol w:w="1263"/>
            </w:tblGrid>
            <w:tr w:rsidR="009517EA" w:rsidRPr="00307DE3" w14:paraId="44B35DAF" w14:textId="77777777" w:rsidTr="00A878E1">
              <w:trPr>
                <w:trHeight w:val="460"/>
              </w:trPr>
              <w:tc>
                <w:tcPr>
                  <w:tcW w:w="975" w:type="dxa"/>
                  <w:tcBorders>
                    <w:bottom w:val="single" w:sz="24" w:space="0" w:color="FFFFFF" w:themeColor="background1"/>
                  </w:tcBorders>
                  <w:shd w:val="clear" w:color="auto" w:fill="FFFFFF" w:themeFill="background1"/>
                </w:tcPr>
                <w:p w14:paraId="44B35DA8" w14:textId="77777777" w:rsidR="009517EA" w:rsidRPr="00307DE3" w:rsidRDefault="009517EA" w:rsidP="009517EA">
                  <w:pPr>
                    <w:spacing w:before="60" w:after="60" w:line="240" w:lineRule="auto"/>
                    <w:rPr>
                      <w:b/>
                      <w:color w:val="FFFFFF" w:themeColor="background1"/>
                      <w:sz w:val="18"/>
                      <w:szCs w:val="18"/>
                    </w:rPr>
                  </w:pPr>
                </w:p>
              </w:tc>
              <w:tc>
                <w:tcPr>
                  <w:tcW w:w="2409" w:type="dxa"/>
                  <w:shd w:val="clear" w:color="auto" w:fill="FFFFFF" w:themeFill="background1"/>
                </w:tcPr>
                <w:p w14:paraId="44B35DA9" w14:textId="77777777" w:rsidR="009517EA" w:rsidRPr="00307DE3" w:rsidRDefault="009517EA" w:rsidP="009517EA">
                  <w:pPr>
                    <w:spacing w:before="60" w:after="60" w:line="240" w:lineRule="auto"/>
                    <w:rPr>
                      <w:b/>
                      <w:color w:val="FFFFFF" w:themeColor="background1"/>
                      <w:sz w:val="18"/>
                      <w:szCs w:val="18"/>
                    </w:rPr>
                  </w:pPr>
                </w:p>
              </w:tc>
              <w:tc>
                <w:tcPr>
                  <w:tcW w:w="1262" w:type="dxa"/>
                  <w:shd w:val="clear" w:color="auto" w:fill="37897E" w:themeFill="text2"/>
                  <w:vAlign w:val="center"/>
                </w:tcPr>
                <w:p w14:paraId="44B35DAA" w14:textId="77777777" w:rsidR="009517EA" w:rsidRPr="00307DE3" w:rsidRDefault="009517EA" w:rsidP="00F33685">
                  <w:pPr>
                    <w:spacing w:before="60" w:after="60" w:line="240" w:lineRule="auto"/>
                    <w:ind w:right="222"/>
                    <w:jc w:val="right"/>
                    <w:rPr>
                      <w:b/>
                      <w:color w:val="FFFFFF" w:themeColor="background1"/>
                      <w:sz w:val="18"/>
                      <w:szCs w:val="18"/>
                    </w:rPr>
                  </w:pPr>
                  <w:r w:rsidRPr="00307DE3">
                    <w:rPr>
                      <w:b/>
                      <w:color w:val="FFFFFF" w:themeColor="background1"/>
                      <w:sz w:val="18"/>
                      <w:szCs w:val="18"/>
                    </w:rPr>
                    <w:t>2009</w:t>
                  </w:r>
                  <w:r>
                    <w:rPr>
                      <w:b/>
                      <w:color w:val="FFFFFF" w:themeColor="background1"/>
                      <w:sz w:val="18"/>
                      <w:szCs w:val="18"/>
                    </w:rPr>
                    <w:t>–</w:t>
                  </w:r>
                  <w:r w:rsidRPr="00307DE3">
                    <w:rPr>
                      <w:b/>
                      <w:color w:val="FFFFFF" w:themeColor="background1"/>
                      <w:sz w:val="18"/>
                      <w:szCs w:val="18"/>
                    </w:rPr>
                    <w:t>10</w:t>
                  </w:r>
                </w:p>
              </w:tc>
              <w:tc>
                <w:tcPr>
                  <w:tcW w:w="1263" w:type="dxa"/>
                  <w:shd w:val="clear" w:color="auto" w:fill="37897E" w:themeFill="text2"/>
                  <w:vAlign w:val="center"/>
                </w:tcPr>
                <w:p w14:paraId="44B35DAB" w14:textId="77777777" w:rsidR="009517EA" w:rsidRPr="00307DE3" w:rsidRDefault="009517EA" w:rsidP="00F33685">
                  <w:pPr>
                    <w:spacing w:before="60" w:after="60" w:line="240" w:lineRule="auto"/>
                    <w:ind w:right="222"/>
                    <w:jc w:val="right"/>
                    <w:rPr>
                      <w:b/>
                      <w:color w:val="FFFFFF" w:themeColor="background1"/>
                      <w:sz w:val="18"/>
                      <w:szCs w:val="18"/>
                    </w:rPr>
                  </w:pPr>
                  <w:r w:rsidRPr="00307DE3">
                    <w:rPr>
                      <w:b/>
                      <w:color w:val="FFFFFF" w:themeColor="background1"/>
                      <w:sz w:val="18"/>
                      <w:szCs w:val="18"/>
                    </w:rPr>
                    <w:t>2010</w:t>
                  </w:r>
                  <w:r>
                    <w:rPr>
                      <w:b/>
                      <w:color w:val="FFFFFF" w:themeColor="background1"/>
                      <w:sz w:val="18"/>
                      <w:szCs w:val="18"/>
                    </w:rPr>
                    <w:t>–</w:t>
                  </w:r>
                  <w:r w:rsidRPr="00307DE3">
                    <w:rPr>
                      <w:b/>
                      <w:color w:val="FFFFFF" w:themeColor="background1"/>
                      <w:sz w:val="18"/>
                      <w:szCs w:val="18"/>
                    </w:rPr>
                    <w:t>11</w:t>
                  </w:r>
                </w:p>
              </w:tc>
              <w:tc>
                <w:tcPr>
                  <w:tcW w:w="1263" w:type="dxa"/>
                  <w:shd w:val="clear" w:color="auto" w:fill="37897E" w:themeFill="text2"/>
                  <w:vAlign w:val="center"/>
                </w:tcPr>
                <w:p w14:paraId="44B35DAC" w14:textId="77777777" w:rsidR="009517EA" w:rsidRPr="00307DE3" w:rsidRDefault="009517EA" w:rsidP="00F33685">
                  <w:pPr>
                    <w:spacing w:before="60" w:after="60" w:line="240" w:lineRule="auto"/>
                    <w:ind w:right="222"/>
                    <w:jc w:val="right"/>
                    <w:rPr>
                      <w:b/>
                      <w:color w:val="FFFFFF" w:themeColor="background1"/>
                      <w:sz w:val="18"/>
                      <w:szCs w:val="18"/>
                    </w:rPr>
                  </w:pPr>
                  <w:r w:rsidRPr="00307DE3">
                    <w:rPr>
                      <w:b/>
                      <w:color w:val="FFFFFF" w:themeColor="background1"/>
                      <w:sz w:val="18"/>
                      <w:szCs w:val="18"/>
                    </w:rPr>
                    <w:t>2011</w:t>
                  </w:r>
                  <w:r>
                    <w:rPr>
                      <w:b/>
                      <w:color w:val="FFFFFF" w:themeColor="background1"/>
                      <w:sz w:val="18"/>
                      <w:szCs w:val="18"/>
                    </w:rPr>
                    <w:t>–</w:t>
                  </w:r>
                  <w:r w:rsidRPr="00307DE3">
                    <w:rPr>
                      <w:b/>
                      <w:color w:val="FFFFFF" w:themeColor="background1"/>
                      <w:sz w:val="18"/>
                      <w:szCs w:val="18"/>
                    </w:rPr>
                    <w:t>12</w:t>
                  </w:r>
                </w:p>
              </w:tc>
              <w:tc>
                <w:tcPr>
                  <w:tcW w:w="1263" w:type="dxa"/>
                  <w:shd w:val="clear" w:color="auto" w:fill="37897E" w:themeFill="text2"/>
                  <w:vAlign w:val="center"/>
                </w:tcPr>
                <w:p w14:paraId="44B35DAD" w14:textId="77777777" w:rsidR="009517EA" w:rsidRPr="00307DE3" w:rsidRDefault="009517EA" w:rsidP="00F33685">
                  <w:pPr>
                    <w:spacing w:before="60" w:after="60" w:line="240" w:lineRule="auto"/>
                    <w:ind w:right="222"/>
                    <w:jc w:val="right"/>
                    <w:rPr>
                      <w:b/>
                      <w:color w:val="FFFFFF" w:themeColor="background1"/>
                      <w:sz w:val="18"/>
                      <w:szCs w:val="18"/>
                    </w:rPr>
                  </w:pPr>
                  <w:r w:rsidRPr="00307DE3">
                    <w:rPr>
                      <w:b/>
                      <w:color w:val="FFFFFF" w:themeColor="background1"/>
                      <w:sz w:val="18"/>
                      <w:szCs w:val="18"/>
                    </w:rPr>
                    <w:t>2012</w:t>
                  </w:r>
                  <w:r>
                    <w:rPr>
                      <w:b/>
                      <w:color w:val="FFFFFF" w:themeColor="background1"/>
                      <w:sz w:val="18"/>
                      <w:szCs w:val="18"/>
                    </w:rPr>
                    <w:t>–</w:t>
                  </w:r>
                  <w:r w:rsidRPr="00307DE3">
                    <w:rPr>
                      <w:b/>
                      <w:color w:val="FFFFFF" w:themeColor="background1"/>
                      <w:sz w:val="18"/>
                      <w:szCs w:val="18"/>
                    </w:rPr>
                    <w:t>13</w:t>
                  </w:r>
                </w:p>
              </w:tc>
              <w:tc>
                <w:tcPr>
                  <w:tcW w:w="1263" w:type="dxa"/>
                  <w:shd w:val="clear" w:color="auto" w:fill="37897E" w:themeFill="text2"/>
                  <w:vAlign w:val="center"/>
                </w:tcPr>
                <w:p w14:paraId="44B35DAE" w14:textId="77777777" w:rsidR="009517EA" w:rsidRPr="00307DE3" w:rsidRDefault="009517EA" w:rsidP="009517EA">
                  <w:pPr>
                    <w:spacing w:before="60" w:after="60" w:line="240" w:lineRule="auto"/>
                    <w:ind w:right="299"/>
                    <w:jc w:val="right"/>
                    <w:rPr>
                      <w:b/>
                      <w:color w:val="FFFFFF" w:themeColor="background1"/>
                      <w:sz w:val="18"/>
                      <w:szCs w:val="18"/>
                    </w:rPr>
                  </w:pPr>
                  <w:r w:rsidRPr="00307DE3">
                    <w:rPr>
                      <w:b/>
                      <w:color w:val="FFFFFF" w:themeColor="background1"/>
                      <w:sz w:val="18"/>
                      <w:szCs w:val="18"/>
                    </w:rPr>
                    <w:t>2013</w:t>
                  </w:r>
                  <w:r>
                    <w:rPr>
                      <w:b/>
                      <w:color w:val="FFFFFF" w:themeColor="background1"/>
                      <w:sz w:val="18"/>
                      <w:szCs w:val="18"/>
                    </w:rPr>
                    <w:t>–</w:t>
                  </w:r>
                  <w:r w:rsidRPr="00307DE3">
                    <w:rPr>
                      <w:b/>
                      <w:color w:val="FFFFFF" w:themeColor="background1"/>
                      <w:sz w:val="18"/>
                      <w:szCs w:val="18"/>
                    </w:rPr>
                    <w:t>14</w:t>
                  </w:r>
                </w:p>
              </w:tc>
            </w:tr>
            <w:tr w:rsidR="009517EA" w:rsidRPr="00307DE3" w14:paraId="44B35DB7" w14:textId="77777777" w:rsidTr="009517EA">
              <w:trPr>
                <w:trHeight w:val="754"/>
              </w:trPr>
              <w:tc>
                <w:tcPr>
                  <w:tcW w:w="975" w:type="dxa"/>
                  <w:tcBorders>
                    <w:right w:val="nil"/>
                  </w:tcBorders>
                  <w:shd w:val="clear" w:color="auto" w:fill="76C8BD" w:themeFill="text2" w:themeFillTint="99"/>
                </w:tcPr>
                <w:p w14:paraId="44B35DB0" w14:textId="77777777" w:rsidR="009517EA" w:rsidRPr="00307DE3" w:rsidRDefault="009517EA" w:rsidP="009517EA">
                  <w:pPr>
                    <w:spacing w:before="60" w:after="60" w:line="240" w:lineRule="auto"/>
                    <w:jc w:val="center"/>
                    <w:rPr>
                      <w:b/>
                      <w:noProof/>
                      <w:color w:val="FFFFFF" w:themeColor="background1"/>
                      <w:sz w:val="18"/>
                      <w:szCs w:val="18"/>
                    </w:rPr>
                  </w:pPr>
                  <w:r w:rsidRPr="00307DE3">
                    <w:rPr>
                      <w:b/>
                      <w:noProof/>
                      <w:color w:val="FFFFFF" w:themeColor="background1"/>
                      <w:sz w:val="18"/>
                      <w:szCs w:val="18"/>
                    </w:rPr>
                    <w:drawing>
                      <wp:inline distT="0" distB="0" distL="0" distR="0" wp14:anchorId="44B36373" wp14:editId="44B36374">
                        <wp:extent cx="361996" cy="31600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gital switchover-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7035" cy="329132"/>
                                </a:xfrm>
                                <a:prstGeom prst="rect">
                                  <a:avLst/>
                                </a:prstGeom>
                              </pic:spPr>
                            </pic:pic>
                          </a:graphicData>
                        </a:graphic>
                      </wp:inline>
                    </w:drawing>
                  </w:r>
                </w:p>
              </w:tc>
              <w:tc>
                <w:tcPr>
                  <w:tcW w:w="2409" w:type="dxa"/>
                  <w:tcBorders>
                    <w:left w:val="nil"/>
                  </w:tcBorders>
                  <w:shd w:val="clear" w:color="auto" w:fill="76C8BD" w:themeFill="text2" w:themeFillTint="99"/>
                  <w:vAlign w:val="center"/>
                </w:tcPr>
                <w:p w14:paraId="44B35DB1" w14:textId="77777777" w:rsidR="009517EA" w:rsidRPr="00307DE3" w:rsidRDefault="009517EA" w:rsidP="009517EA">
                  <w:pPr>
                    <w:spacing w:before="60" w:after="60" w:line="240" w:lineRule="auto"/>
                    <w:rPr>
                      <w:b/>
                      <w:color w:val="FFFFFF" w:themeColor="background1"/>
                      <w:sz w:val="18"/>
                      <w:szCs w:val="18"/>
                    </w:rPr>
                  </w:pPr>
                  <w:r w:rsidRPr="00307DE3">
                    <w:rPr>
                      <w:rFonts w:cs="Arial"/>
                      <w:b/>
                      <w:color w:val="FFFFFF" w:themeColor="background1"/>
                      <w:sz w:val="18"/>
                      <w:szCs w:val="18"/>
                    </w:rPr>
                    <w:t>Written complaints and enquiries received</w:t>
                  </w:r>
                </w:p>
              </w:tc>
              <w:tc>
                <w:tcPr>
                  <w:tcW w:w="1262" w:type="dxa"/>
                  <w:shd w:val="clear" w:color="auto" w:fill="D1ECE9" w:themeFill="text2" w:themeFillTint="33"/>
                  <w:vAlign w:val="center"/>
                </w:tcPr>
                <w:p w14:paraId="44B35DB2" w14:textId="77777777" w:rsidR="009517EA" w:rsidRPr="00307DE3" w:rsidRDefault="009517EA" w:rsidP="00F33685">
                  <w:pPr>
                    <w:spacing w:before="60" w:after="60" w:line="240" w:lineRule="auto"/>
                    <w:ind w:right="222"/>
                    <w:jc w:val="right"/>
                    <w:rPr>
                      <w:sz w:val="18"/>
                      <w:szCs w:val="18"/>
                    </w:rPr>
                  </w:pPr>
                  <w:r w:rsidRPr="00307DE3">
                    <w:rPr>
                      <w:sz w:val="18"/>
                      <w:szCs w:val="18"/>
                    </w:rPr>
                    <w:t>1,676</w:t>
                  </w:r>
                </w:p>
              </w:tc>
              <w:tc>
                <w:tcPr>
                  <w:tcW w:w="1263" w:type="dxa"/>
                  <w:shd w:val="clear" w:color="auto" w:fill="D1ECE9" w:themeFill="text2" w:themeFillTint="33"/>
                  <w:vAlign w:val="center"/>
                </w:tcPr>
                <w:p w14:paraId="44B35DB3" w14:textId="77777777" w:rsidR="009517EA" w:rsidRPr="00307DE3" w:rsidRDefault="009517EA" w:rsidP="00F33685">
                  <w:pPr>
                    <w:spacing w:before="60" w:after="60" w:line="240" w:lineRule="auto"/>
                    <w:ind w:right="222"/>
                    <w:jc w:val="right"/>
                    <w:rPr>
                      <w:sz w:val="18"/>
                      <w:szCs w:val="18"/>
                    </w:rPr>
                  </w:pPr>
                  <w:r w:rsidRPr="00307DE3">
                    <w:rPr>
                      <w:sz w:val="18"/>
                      <w:szCs w:val="18"/>
                    </w:rPr>
                    <w:t>1,512</w:t>
                  </w:r>
                </w:p>
              </w:tc>
              <w:tc>
                <w:tcPr>
                  <w:tcW w:w="1263" w:type="dxa"/>
                  <w:shd w:val="clear" w:color="auto" w:fill="D1ECE9" w:themeFill="text2" w:themeFillTint="33"/>
                  <w:vAlign w:val="center"/>
                </w:tcPr>
                <w:p w14:paraId="44B35DB4" w14:textId="77777777" w:rsidR="009517EA" w:rsidRPr="00307DE3" w:rsidRDefault="009517EA" w:rsidP="00F33685">
                  <w:pPr>
                    <w:spacing w:before="60" w:after="60" w:line="240" w:lineRule="auto"/>
                    <w:ind w:right="222"/>
                    <w:jc w:val="right"/>
                    <w:rPr>
                      <w:sz w:val="18"/>
                      <w:szCs w:val="18"/>
                    </w:rPr>
                  </w:pPr>
                  <w:r w:rsidRPr="00307DE3">
                    <w:rPr>
                      <w:sz w:val="18"/>
                      <w:szCs w:val="18"/>
                    </w:rPr>
                    <w:t>2,273</w:t>
                  </w:r>
                </w:p>
              </w:tc>
              <w:tc>
                <w:tcPr>
                  <w:tcW w:w="1263" w:type="dxa"/>
                  <w:shd w:val="clear" w:color="auto" w:fill="D1ECE9" w:themeFill="text2" w:themeFillTint="33"/>
                  <w:vAlign w:val="center"/>
                </w:tcPr>
                <w:p w14:paraId="44B35DB5" w14:textId="77777777" w:rsidR="009517EA" w:rsidRPr="00307DE3" w:rsidRDefault="009517EA" w:rsidP="00F33685">
                  <w:pPr>
                    <w:spacing w:before="60" w:after="60" w:line="240" w:lineRule="auto"/>
                    <w:ind w:right="222"/>
                    <w:jc w:val="right"/>
                    <w:rPr>
                      <w:sz w:val="18"/>
                      <w:szCs w:val="18"/>
                    </w:rPr>
                  </w:pPr>
                  <w:r w:rsidRPr="00307DE3">
                    <w:rPr>
                      <w:sz w:val="18"/>
                      <w:szCs w:val="18"/>
                    </w:rPr>
                    <w:t>2,178</w:t>
                  </w:r>
                  <w:r w:rsidRPr="00002C66">
                    <w:rPr>
                      <w:rFonts w:cs="Arial"/>
                      <w:sz w:val="16"/>
                      <w:szCs w:val="16"/>
                      <w:vertAlign w:val="superscript"/>
                    </w:rPr>
                    <w:t>†</w:t>
                  </w:r>
                </w:p>
              </w:tc>
              <w:tc>
                <w:tcPr>
                  <w:tcW w:w="1263" w:type="dxa"/>
                  <w:shd w:val="clear" w:color="auto" w:fill="D1ECE9" w:themeFill="text2" w:themeFillTint="33"/>
                  <w:vAlign w:val="center"/>
                </w:tcPr>
                <w:p w14:paraId="44B35DB6" w14:textId="77777777" w:rsidR="009517EA" w:rsidRPr="00307DE3" w:rsidRDefault="009517EA" w:rsidP="009517EA">
                  <w:pPr>
                    <w:spacing w:before="60" w:after="60" w:line="240" w:lineRule="auto"/>
                    <w:ind w:right="299"/>
                    <w:jc w:val="right"/>
                    <w:rPr>
                      <w:sz w:val="18"/>
                      <w:szCs w:val="18"/>
                    </w:rPr>
                  </w:pPr>
                  <w:r w:rsidRPr="00307DE3">
                    <w:rPr>
                      <w:sz w:val="18"/>
                      <w:szCs w:val="18"/>
                    </w:rPr>
                    <w:t>1,59</w:t>
                  </w:r>
                  <w:r>
                    <w:rPr>
                      <w:sz w:val="18"/>
                      <w:szCs w:val="18"/>
                    </w:rPr>
                    <w:t>3</w:t>
                  </w:r>
                </w:p>
              </w:tc>
            </w:tr>
            <w:tr w:rsidR="009517EA" w:rsidRPr="00307DE3" w14:paraId="44B35DBF" w14:textId="77777777" w:rsidTr="009517EA">
              <w:trPr>
                <w:trHeight w:val="775"/>
              </w:trPr>
              <w:tc>
                <w:tcPr>
                  <w:tcW w:w="975" w:type="dxa"/>
                  <w:tcBorders>
                    <w:right w:val="nil"/>
                  </w:tcBorders>
                  <w:shd w:val="clear" w:color="auto" w:fill="76C8BD" w:themeFill="text2" w:themeFillTint="99"/>
                </w:tcPr>
                <w:p w14:paraId="44B35DB8" w14:textId="77777777" w:rsidR="009517EA" w:rsidRPr="00307DE3" w:rsidRDefault="00265415" w:rsidP="009517EA">
                  <w:pPr>
                    <w:spacing w:before="60" w:after="60" w:line="240" w:lineRule="auto"/>
                    <w:jc w:val="center"/>
                    <w:rPr>
                      <w:b/>
                      <w:color w:val="FFFFFF" w:themeColor="background1"/>
                      <w:sz w:val="18"/>
                      <w:szCs w:val="18"/>
                    </w:rPr>
                  </w:pPr>
                  <w:r>
                    <w:rPr>
                      <w:b/>
                      <w:noProof/>
                      <w:color w:val="FFFFFF" w:themeColor="background1"/>
                      <w:sz w:val="18"/>
                      <w:szCs w:val="18"/>
                    </w:rPr>
                    <w:drawing>
                      <wp:inline distT="0" distB="0" distL="0" distR="0" wp14:anchorId="44B36375" wp14:editId="44B36376">
                        <wp:extent cx="285472" cy="390525"/>
                        <wp:effectExtent l="0" t="0" r="63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con-18.png"/>
                                <pic:cNvPicPr/>
                              </pic:nvPicPr>
                              <pic:blipFill>
                                <a:blip r:embed="rId22">
                                  <a:extLst>
                                    <a:ext uri="{28A0092B-C50C-407E-A947-70E740481C1C}">
                                      <a14:useLocalDpi xmlns:a14="http://schemas.microsoft.com/office/drawing/2010/main" val="0"/>
                                    </a:ext>
                                  </a:extLst>
                                </a:blip>
                                <a:stretch>
                                  <a:fillRect/>
                                </a:stretch>
                              </pic:blipFill>
                              <pic:spPr>
                                <a:xfrm>
                                  <a:off x="0" y="0"/>
                                  <a:ext cx="288734" cy="394988"/>
                                </a:xfrm>
                                <a:prstGeom prst="rect">
                                  <a:avLst/>
                                </a:prstGeom>
                              </pic:spPr>
                            </pic:pic>
                          </a:graphicData>
                        </a:graphic>
                      </wp:inline>
                    </w:drawing>
                  </w:r>
                </w:p>
              </w:tc>
              <w:tc>
                <w:tcPr>
                  <w:tcW w:w="2409" w:type="dxa"/>
                  <w:tcBorders>
                    <w:left w:val="nil"/>
                  </w:tcBorders>
                  <w:shd w:val="clear" w:color="auto" w:fill="76C8BD" w:themeFill="text2" w:themeFillTint="99"/>
                  <w:vAlign w:val="center"/>
                </w:tcPr>
                <w:p w14:paraId="44B35DB9" w14:textId="77777777" w:rsidR="009517EA" w:rsidRPr="00307DE3" w:rsidRDefault="009517EA" w:rsidP="009517EA">
                  <w:pPr>
                    <w:spacing w:before="60" w:after="60" w:line="240" w:lineRule="auto"/>
                    <w:rPr>
                      <w:b/>
                      <w:color w:val="FFFFFF" w:themeColor="background1"/>
                      <w:sz w:val="18"/>
                      <w:szCs w:val="18"/>
                    </w:rPr>
                  </w:pPr>
                  <w:r w:rsidRPr="00307DE3">
                    <w:rPr>
                      <w:rFonts w:cs="Arial"/>
                      <w:b/>
                      <w:color w:val="FFFFFF" w:themeColor="background1"/>
                      <w:sz w:val="18"/>
                      <w:szCs w:val="18"/>
                    </w:rPr>
                    <w:t>Investigations completed</w:t>
                  </w:r>
                </w:p>
              </w:tc>
              <w:tc>
                <w:tcPr>
                  <w:tcW w:w="1262" w:type="dxa"/>
                  <w:shd w:val="clear" w:color="auto" w:fill="D1ECE9" w:themeFill="text2" w:themeFillTint="33"/>
                  <w:vAlign w:val="center"/>
                </w:tcPr>
                <w:p w14:paraId="44B35DBA" w14:textId="77777777" w:rsidR="009517EA" w:rsidRPr="00307DE3" w:rsidRDefault="009517EA" w:rsidP="00F33685">
                  <w:pPr>
                    <w:spacing w:before="60" w:after="60" w:line="240" w:lineRule="auto"/>
                    <w:ind w:right="222"/>
                    <w:jc w:val="right"/>
                    <w:rPr>
                      <w:sz w:val="18"/>
                      <w:szCs w:val="18"/>
                    </w:rPr>
                  </w:pPr>
                  <w:r w:rsidRPr="00307DE3">
                    <w:rPr>
                      <w:sz w:val="18"/>
                      <w:szCs w:val="18"/>
                    </w:rPr>
                    <w:t>189</w:t>
                  </w:r>
                </w:p>
              </w:tc>
              <w:tc>
                <w:tcPr>
                  <w:tcW w:w="1263" w:type="dxa"/>
                  <w:shd w:val="clear" w:color="auto" w:fill="D1ECE9" w:themeFill="text2" w:themeFillTint="33"/>
                  <w:vAlign w:val="center"/>
                </w:tcPr>
                <w:p w14:paraId="44B35DBB" w14:textId="77777777" w:rsidR="009517EA" w:rsidRPr="00307DE3" w:rsidRDefault="009517EA" w:rsidP="00F33685">
                  <w:pPr>
                    <w:spacing w:before="60" w:after="60" w:line="240" w:lineRule="auto"/>
                    <w:ind w:right="222"/>
                    <w:jc w:val="right"/>
                    <w:rPr>
                      <w:sz w:val="18"/>
                      <w:szCs w:val="18"/>
                    </w:rPr>
                  </w:pPr>
                  <w:r w:rsidRPr="00307DE3">
                    <w:rPr>
                      <w:sz w:val="18"/>
                      <w:szCs w:val="18"/>
                    </w:rPr>
                    <w:t>197</w:t>
                  </w:r>
                </w:p>
              </w:tc>
              <w:tc>
                <w:tcPr>
                  <w:tcW w:w="1263" w:type="dxa"/>
                  <w:shd w:val="clear" w:color="auto" w:fill="D1ECE9" w:themeFill="text2" w:themeFillTint="33"/>
                  <w:vAlign w:val="center"/>
                </w:tcPr>
                <w:p w14:paraId="44B35DBC" w14:textId="77777777" w:rsidR="009517EA" w:rsidRPr="00307DE3" w:rsidRDefault="009517EA" w:rsidP="00F33685">
                  <w:pPr>
                    <w:spacing w:before="60" w:after="60" w:line="240" w:lineRule="auto"/>
                    <w:ind w:right="222"/>
                    <w:jc w:val="right"/>
                    <w:rPr>
                      <w:sz w:val="18"/>
                      <w:szCs w:val="18"/>
                    </w:rPr>
                  </w:pPr>
                  <w:r w:rsidRPr="00307DE3">
                    <w:rPr>
                      <w:sz w:val="18"/>
                      <w:szCs w:val="18"/>
                    </w:rPr>
                    <w:t>231</w:t>
                  </w:r>
                </w:p>
              </w:tc>
              <w:tc>
                <w:tcPr>
                  <w:tcW w:w="1263" w:type="dxa"/>
                  <w:shd w:val="clear" w:color="auto" w:fill="D1ECE9" w:themeFill="text2" w:themeFillTint="33"/>
                  <w:vAlign w:val="center"/>
                </w:tcPr>
                <w:p w14:paraId="44B35DBD" w14:textId="77777777" w:rsidR="009517EA" w:rsidRPr="00307DE3" w:rsidRDefault="009517EA" w:rsidP="00F33685">
                  <w:pPr>
                    <w:spacing w:before="60" w:after="60" w:line="240" w:lineRule="auto"/>
                    <w:ind w:right="222"/>
                    <w:jc w:val="right"/>
                    <w:rPr>
                      <w:sz w:val="18"/>
                      <w:szCs w:val="18"/>
                    </w:rPr>
                  </w:pPr>
                  <w:r w:rsidRPr="00307DE3">
                    <w:rPr>
                      <w:sz w:val="18"/>
                      <w:szCs w:val="18"/>
                    </w:rPr>
                    <w:t>212</w:t>
                  </w:r>
                </w:p>
              </w:tc>
              <w:tc>
                <w:tcPr>
                  <w:tcW w:w="1263" w:type="dxa"/>
                  <w:shd w:val="clear" w:color="auto" w:fill="D1ECE9" w:themeFill="text2" w:themeFillTint="33"/>
                  <w:vAlign w:val="center"/>
                </w:tcPr>
                <w:p w14:paraId="44B35DBE" w14:textId="77777777" w:rsidR="009517EA" w:rsidRPr="00307DE3" w:rsidRDefault="009517EA" w:rsidP="009517EA">
                  <w:pPr>
                    <w:spacing w:before="60" w:after="60" w:line="240" w:lineRule="auto"/>
                    <w:ind w:right="299"/>
                    <w:jc w:val="right"/>
                    <w:rPr>
                      <w:sz w:val="18"/>
                      <w:szCs w:val="18"/>
                    </w:rPr>
                  </w:pPr>
                  <w:r w:rsidRPr="00307DE3">
                    <w:rPr>
                      <w:sz w:val="18"/>
                      <w:szCs w:val="18"/>
                    </w:rPr>
                    <w:t>180</w:t>
                  </w:r>
                  <w:r w:rsidRPr="00E141F1">
                    <w:rPr>
                      <w:rFonts w:cs="Arial"/>
                      <w:sz w:val="18"/>
                      <w:szCs w:val="18"/>
                      <w:vertAlign w:val="superscript"/>
                    </w:rPr>
                    <w:t>‡</w:t>
                  </w:r>
                </w:p>
              </w:tc>
            </w:tr>
            <w:tr w:rsidR="009517EA" w:rsidRPr="00307DE3" w14:paraId="44B35DC7" w14:textId="77777777" w:rsidTr="009517EA">
              <w:trPr>
                <w:trHeight w:val="754"/>
              </w:trPr>
              <w:tc>
                <w:tcPr>
                  <w:tcW w:w="975" w:type="dxa"/>
                  <w:tcBorders>
                    <w:right w:val="nil"/>
                  </w:tcBorders>
                  <w:shd w:val="clear" w:color="auto" w:fill="76C8BD" w:themeFill="text2" w:themeFillTint="99"/>
                </w:tcPr>
                <w:p w14:paraId="44B35DC0" w14:textId="77777777" w:rsidR="009517EA" w:rsidRPr="00307DE3" w:rsidRDefault="009517EA" w:rsidP="009517EA">
                  <w:pPr>
                    <w:spacing w:before="60" w:after="60" w:line="240" w:lineRule="auto"/>
                    <w:jc w:val="center"/>
                    <w:rPr>
                      <w:b/>
                      <w:color w:val="FFFFFF" w:themeColor="background1"/>
                      <w:sz w:val="18"/>
                      <w:szCs w:val="18"/>
                    </w:rPr>
                  </w:pPr>
                  <w:r w:rsidRPr="00307DE3">
                    <w:rPr>
                      <w:b/>
                      <w:noProof/>
                      <w:color w:val="FFFFFF" w:themeColor="background1"/>
                      <w:sz w:val="18"/>
                      <w:szCs w:val="18"/>
                    </w:rPr>
                    <w:drawing>
                      <wp:inline distT="0" distB="0" distL="0" distR="0" wp14:anchorId="44B36377" wp14:editId="44B36378">
                        <wp:extent cx="348903" cy="338537"/>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gital switchover-1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771" cy="350052"/>
                                </a:xfrm>
                                <a:prstGeom prst="rect">
                                  <a:avLst/>
                                </a:prstGeom>
                              </pic:spPr>
                            </pic:pic>
                          </a:graphicData>
                        </a:graphic>
                      </wp:inline>
                    </w:drawing>
                  </w:r>
                </w:p>
              </w:tc>
              <w:tc>
                <w:tcPr>
                  <w:tcW w:w="2409" w:type="dxa"/>
                  <w:tcBorders>
                    <w:left w:val="nil"/>
                  </w:tcBorders>
                  <w:shd w:val="clear" w:color="auto" w:fill="76C8BD" w:themeFill="text2" w:themeFillTint="99"/>
                  <w:vAlign w:val="center"/>
                </w:tcPr>
                <w:p w14:paraId="44B35DC1" w14:textId="77777777" w:rsidR="009517EA" w:rsidRPr="00307DE3" w:rsidRDefault="009517EA" w:rsidP="009517EA">
                  <w:pPr>
                    <w:spacing w:before="60" w:after="60" w:line="240" w:lineRule="auto"/>
                    <w:rPr>
                      <w:b/>
                      <w:color w:val="FFFFFF" w:themeColor="background1"/>
                      <w:sz w:val="18"/>
                      <w:szCs w:val="18"/>
                    </w:rPr>
                  </w:pPr>
                  <w:r w:rsidRPr="00307DE3">
                    <w:rPr>
                      <w:rFonts w:cs="Arial"/>
                      <w:b/>
                      <w:color w:val="FFFFFF" w:themeColor="background1"/>
                      <w:sz w:val="18"/>
                      <w:szCs w:val="18"/>
                    </w:rPr>
                    <w:t xml:space="preserve">Investigations resulting </w:t>
                  </w:r>
                  <w:r>
                    <w:rPr>
                      <w:rFonts w:cs="Arial"/>
                      <w:b/>
                      <w:color w:val="FFFFFF" w:themeColor="background1"/>
                      <w:sz w:val="18"/>
                      <w:szCs w:val="18"/>
                    </w:rPr>
                    <w:br/>
                  </w:r>
                  <w:r w:rsidRPr="00307DE3">
                    <w:rPr>
                      <w:rFonts w:cs="Arial"/>
                      <w:b/>
                      <w:color w:val="FFFFFF" w:themeColor="background1"/>
                      <w:sz w:val="18"/>
                      <w:szCs w:val="18"/>
                    </w:rPr>
                    <w:t>in a breach finding*</w:t>
                  </w:r>
                </w:p>
              </w:tc>
              <w:tc>
                <w:tcPr>
                  <w:tcW w:w="1262" w:type="dxa"/>
                  <w:shd w:val="clear" w:color="auto" w:fill="D1ECE9" w:themeFill="text2" w:themeFillTint="33"/>
                  <w:vAlign w:val="center"/>
                </w:tcPr>
                <w:p w14:paraId="44B35DC2" w14:textId="77777777" w:rsidR="009517EA" w:rsidRPr="00307DE3" w:rsidRDefault="009517EA" w:rsidP="00F33685">
                  <w:pPr>
                    <w:spacing w:before="60" w:after="60" w:line="240" w:lineRule="auto"/>
                    <w:ind w:right="222"/>
                    <w:jc w:val="right"/>
                    <w:rPr>
                      <w:sz w:val="18"/>
                      <w:szCs w:val="18"/>
                    </w:rPr>
                  </w:pPr>
                  <w:r w:rsidRPr="00307DE3">
                    <w:rPr>
                      <w:sz w:val="18"/>
                      <w:szCs w:val="18"/>
                    </w:rPr>
                    <w:t>74</w:t>
                  </w:r>
                </w:p>
              </w:tc>
              <w:tc>
                <w:tcPr>
                  <w:tcW w:w="1263" w:type="dxa"/>
                  <w:shd w:val="clear" w:color="auto" w:fill="D1ECE9" w:themeFill="text2" w:themeFillTint="33"/>
                  <w:vAlign w:val="center"/>
                </w:tcPr>
                <w:p w14:paraId="44B35DC3" w14:textId="77777777" w:rsidR="009517EA" w:rsidRPr="00307DE3" w:rsidRDefault="009517EA" w:rsidP="00F33685">
                  <w:pPr>
                    <w:spacing w:before="60" w:after="60" w:line="240" w:lineRule="auto"/>
                    <w:ind w:right="222"/>
                    <w:jc w:val="right"/>
                    <w:rPr>
                      <w:sz w:val="18"/>
                      <w:szCs w:val="18"/>
                    </w:rPr>
                  </w:pPr>
                  <w:r w:rsidRPr="00307DE3">
                    <w:rPr>
                      <w:sz w:val="18"/>
                      <w:szCs w:val="18"/>
                    </w:rPr>
                    <w:t>72</w:t>
                  </w:r>
                </w:p>
              </w:tc>
              <w:tc>
                <w:tcPr>
                  <w:tcW w:w="1263" w:type="dxa"/>
                  <w:shd w:val="clear" w:color="auto" w:fill="D1ECE9" w:themeFill="text2" w:themeFillTint="33"/>
                  <w:vAlign w:val="center"/>
                </w:tcPr>
                <w:p w14:paraId="44B35DC4" w14:textId="77777777" w:rsidR="009517EA" w:rsidRPr="00307DE3" w:rsidRDefault="009517EA" w:rsidP="00F33685">
                  <w:pPr>
                    <w:spacing w:before="60" w:after="60" w:line="240" w:lineRule="auto"/>
                    <w:ind w:right="222"/>
                    <w:jc w:val="right"/>
                    <w:rPr>
                      <w:sz w:val="18"/>
                      <w:szCs w:val="18"/>
                    </w:rPr>
                  </w:pPr>
                  <w:r w:rsidRPr="00307DE3">
                    <w:rPr>
                      <w:sz w:val="18"/>
                      <w:szCs w:val="18"/>
                    </w:rPr>
                    <w:t>71</w:t>
                  </w:r>
                </w:p>
              </w:tc>
              <w:tc>
                <w:tcPr>
                  <w:tcW w:w="1263" w:type="dxa"/>
                  <w:shd w:val="clear" w:color="auto" w:fill="D1ECE9" w:themeFill="text2" w:themeFillTint="33"/>
                  <w:vAlign w:val="center"/>
                </w:tcPr>
                <w:p w14:paraId="44B35DC5" w14:textId="77777777" w:rsidR="009517EA" w:rsidRPr="00307DE3" w:rsidRDefault="009517EA" w:rsidP="00F33685">
                  <w:pPr>
                    <w:spacing w:before="60" w:after="60" w:line="240" w:lineRule="auto"/>
                    <w:ind w:right="222"/>
                    <w:jc w:val="right"/>
                    <w:rPr>
                      <w:sz w:val="18"/>
                      <w:szCs w:val="18"/>
                    </w:rPr>
                  </w:pPr>
                  <w:r w:rsidRPr="00307DE3">
                    <w:rPr>
                      <w:sz w:val="18"/>
                      <w:szCs w:val="18"/>
                    </w:rPr>
                    <w:t>67</w:t>
                  </w:r>
                </w:p>
              </w:tc>
              <w:tc>
                <w:tcPr>
                  <w:tcW w:w="1263" w:type="dxa"/>
                  <w:shd w:val="clear" w:color="auto" w:fill="D1ECE9" w:themeFill="text2" w:themeFillTint="33"/>
                  <w:vAlign w:val="center"/>
                </w:tcPr>
                <w:p w14:paraId="44B35DC6" w14:textId="77777777" w:rsidR="009517EA" w:rsidRPr="00307DE3" w:rsidRDefault="009517EA" w:rsidP="009517EA">
                  <w:pPr>
                    <w:spacing w:before="60" w:after="60" w:line="240" w:lineRule="auto"/>
                    <w:ind w:right="299"/>
                    <w:jc w:val="right"/>
                    <w:rPr>
                      <w:sz w:val="18"/>
                      <w:szCs w:val="18"/>
                    </w:rPr>
                  </w:pPr>
                  <w:r w:rsidRPr="00307DE3">
                    <w:rPr>
                      <w:sz w:val="18"/>
                      <w:szCs w:val="18"/>
                    </w:rPr>
                    <w:t>45</w:t>
                  </w:r>
                </w:p>
              </w:tc>
            </w:tr>
            <w:tr w:rsidR="009517EA" w:rsidRPr="00307DE3" w14:paraId="44B35DCF" w14:textId="77777777" w:rsidTr="009517EA">
              <w:trPr>
                <w:trHeight w:val="754"/>
              </w:trPr>
              <w:tc>
                <w:tcPr>
                  <w:tcW w:w="975" w:type="dxa"/>
                  <w:tcBorders>
                    <w:bottom w:val="single" w:sz="18" w:space="0" w:color="FFFFFF" w:themeColor="background1"/>
                    <w:right w:val="nil"/>
                  </w:tcBorders>
                  <w:shd w:val="clear" w:color="auto" w:fill="76C8BD" w:themeFill="text2" w:themeFillTint="99"/>
                </w:tcPr>
                <w:p w14:paraId="44B35DC8" w14:textId="77777777" w:rsidR="009517EA" w:rsidRPr="00307DE3" w:rsidRDefault="009517EA" w:rsidP="009517EA">
                  <w:pPr>
                    <w:spacing w:before="60" w:after="60" w:line="240" w:lineRule="auto"/>
                    <w:jc w:val="center"/>
                    <w:rPr>
                      <w:b/>
                      <w:color w:val="FFFFFF" w:themeColor="background1"/>
                      <w:sz w:val="18"/>
                      <w:szCs w:val="18"/>
                    </w:rPr>
                  </w:pPr>
                  <w:r w:rsidRPr="00307DE3">
                    <w:rPr>
                      <w:b/>
                      <w:noProof/>
                      <w:color w:val="FFFFFF" w:themeColor="background1"/>
                      <w:sz w:val="18"/>
                      <w:szCs w:val="18"/>
                    </w:rPr>
                    <w:drawing>
                      <wp:inline distT="0" distB="0" distL="0" distR="0" wp14:anchorId="44B36379" wp14:editId="44B3637A">
                        <wp:extent cx="291216" cy="334569"/>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gital switchover-1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8725" cy="343196"/>
                                </a:xfrm>
                                <a:prstGeom prst="rect">
                                  <a:avLst/>
                                </a:prstGeom>
                              </pic:spPr>
                            </pic:pic>
                          </a:graphicData>
                        </a:graphic>
                      </wp:inline>
                    </w:drawing>
                  </w:r>
                </w:p>
              </w:tc>
              <w:tc>
                <w:tcPr>
                  <w:tcW w:w="2409" w:type="dxa"/>
                  <w:tcBorders>
                    <w:left w:val="nil"/>
                  </w:tcBorders>
                  <w:shd w:val="clear" w:color="auto" w:fill="76C8BD" w:themeFill="text2" w:themeFillTint="99"/>
                  <w:vAlign w:val="center"/>
                </w:tcPr>
                <w:p w14:paraId="44B35DC9" w14:textId="77777777" w:rsidR="009517EA" w:rsidRPr="00307DE3" w:rsidRDefault="009517EA" w:rsidP="009517EA">
                  <w:pPr>
                    <w:spacing w:before="60" w:after="60" w:line="240" w:lineRule="auto"/>
                    <w:rPr>
                      <w:b/>
                      <w:color w:val="FFFFFF" w:themeColor="background1"/>
                      <w:sz w:val="18"/>
                      <w:szCs w:val="18"/>
                    </w:rPr>
                  </w:pPr>
                  <w:r w:rsidRPr="00307DE3">
                    <w:rPr>
                      <w:rFonts w:cs="Arial"/>
                      <w:b/>
                      <w:color w:val="FFFFFF" w:themeColor="background1"/>
                      <w:sz w:val="18"/>
                      <w:szCs w:val="18"/>
                    </w:rPr>
                    <w:t xml:space="preserve">Investigations resulting </w:t>
                  </w:r>
                  <w:r>
                    <w:rPr>
                      <w:rFonts w:cs="Arial"/>
                      <w:b/>
                      <w:color w:val="FFFFFF" w:themeColor="background1"/>
                      <w:sz w:val="18"/>
                      <w:szCs w:val="18"/>
                    </w:rPr>
                    <w:br/>
                  </w:r>
                  <w:r w:rsidRPr="00307DE3">
                    <w:rPr>
                      <w:rFonts w:cs="Arial"/>
                      <w:b/>
                      <w:color w:val="FFFFFF" w:themeColor="background1"/>
                      <w:sz w:val="18"/>
                      <w:szCs w:val="18"/>
                    </w:rPr>
                    <w:t>in a non-breach finding*</w:t>
                  </w:r>
                </w:p>
              </w:tc>
              <w:tc>
                <w:tcPr>
                  <w:tcW w:w="1262" w:type="dxa"/>
                  <w:shd w:val="clear" w:color="auto" w:fill="D1ECE9" w:themeFill="text2" w:themeFillTint="33"/>
                  <w:vAlign w:val="center"/>
                </w:tcPr>
                <w:p w14:paraId="44B35DCA" w14:textId="77777777" w:rsidR="009517EA" w:rsidRPr="00307DE3" w:rsidRDefault="009517EA" w:rsidP="00F33685">
                  <w:pPr>
                    <w:spacing w:before="60" w:after="60" w:line="240" w:lineRule="auto"/>
                    <w:ind w:right="222"/>
                    <w:jc w:val="right"/>
                    <w:rPr>
                      <w:sz w:val="18"/>
                      <w:szCs w:val="18"/>
                    </w:rPr>
                  </w:pPr>
                  <w:r w:rsidRPr="00307DE3">
                    <w:rPr>
                      <w:sz w:val="18"/>
                      <w:szCs w:val="18"/>
                    </w:rPr>
                    <w:t>111</w:t>
                  </w:r>
                </w:p>
              </w:tc>
              <w:tc>
                <w:tcPr>
                  <w:tcW w:w="1263" w:type="dxa"/>
                  <w:shd w:val="clear" w:color="auto" w:fill="D1ECE9" w:themeFill="text2" w:themeFillTint="33"/>
                  <w:vAlign w:val="center"/>
                </w:tcPr>
                <w:p w14:paraId="44B35DCB" w14:textId="77777777" w:rsidR="009517EA" w:rsidRPr="00307DE3" w:rsidRDefault="009517EA" w:rsidP="00F33685">
                  <w:pPr>
                    <w:spacing w:before="60" w:after="60" w:line="240" w:lineRule="auto"/>
                    <w:ind w:right="222"/>
                    <w:jc w:val="right"/>
                    <w:rPr>
                      <w:sz w:val="18"/>
                      <w:szCs w:val="18"/>
                    </w:rPr>
                  </w:pPr>
                  <w:r w:rsidRPr="00307DE3">
                    <w:rPr>
                      <w:sz w:val="18"/>
                      <w:szCs w:val="18"/>
                    </w:rPr>
                    <w:t>115</w:t>
                  </w:r>
                </w:p>
              </w:tc>
              <w:tc>
                <w:tcPr>
                  <w:tcW w:w="1263" w:type="dxa"/>
                  <w:shd w:val="clear" w:color="auto" w:fill="D1ECE9" w:themeFill="text2" w:themeFillTint="33"/>
                  <w:vAlign w:val="center"/>
                </w:tcPr>
                <w:p w14:paraId="44B35DCC" w14:textId="77777777" w:rsidR="009517EA" w:rsidRPr="00307DE3" w:rsidRDefault="009517EA" w:rsidP="00F33685">
                  <w:pPr>
                    <w:spacing w:before="60" w:after="60" w:line="240" w:lineRule="auto"/>
                    <w:ind w:right="222"/>
                    <w:jc w:val="right"/>
                    <w:rPr>
                      <w:sz w:val="18"/>
                      <w:szCs w:val="18"/>
                    </w:rPr>
                  </w:pPr>
                  <w:r w:rsidRPr="00307DE3">
                    <w:rPr>
                      <w:sz w:val="18"/>
                      <w:szCs w:val="18"/>
                    </w:rPr>
                    <w:t>155</w:t>
                  </w:r>
                </w:p>
              </w:tc>
              <w:tc>
                <w:tcPr>
                  <w:tcW w:w="1263" w:type="dxa"/>
                  <w:shd w:val="clear" w:color="auto" w:fill="D1ECE9" w:themeFill="text2" w:themeFillTint="33"/>
                  <w:vAlign w:val="center"/>
                </w:tcPr>
                <w:p w14:paraId="44B35DCD" w14:textId="77777777" w:rsidR="009517EA" w:rsidRPr="00307DE3" w:rsidRDefault="009517EA" w:rsidP="00F33685">
                  <w:pPr>
                    <w:spacing w:before="60" w:after="60" w:line="240" w:lineRule="auto"/>
                    <w:ind w:right="222"/>
                    <w:jc w:val="right"/>
                    <w:rPr>
                      <w:sz w:val="18"/>
                      <w:szCs w:val="18"/>
                    </w:rPr>
                  </w:pPr>
                  <w:r w:rsidRPr="00307DE3">
                    <w:rPr>
                      <w:sz w:val="18"/>
                      <w:szCs w:val="18"/>
                    </w:rPr>
                    <w:t>135</w:t>
                  </w:r>
                </w:p>
              </w:tc>
              <w:tc>
                <w:tcPr>
                  <w:tcW w:w="1263" w:type="dxa"/>
                  <w:shd w:val="clear" w:color="auto" w:fill="D1ECE9" w:themeFill="text2" w:themeFillTint="33"/>
                  <w:vAlign w:val="center"/>
                </w:tcPr>
                <w:p w14:paraId="44B35DCE" w14:textId="77777777" w:rsidR="009517EA" w:rsidRPr="00307DE3" w:rsidRDefault="009517EA" w:rsidP="009517EA">
                  <w:pPr>
                    <w:spacing w:before="60" w:after="60" w:line="240" w:lineRule="auto"/>
                    <w:ind w:right="299"/>
                    <w:jc w:val="right"/>
                    <w:rPr>
                      <w:sz w:val="18"/>
                      <w:szCs w:val="18"/>
                    </w:rPr>
                  </w:pPr>
                  <w:r w:rsidRPr="00307DE3">
                    <w:rPr>
                      <w:sz w:val="18"/>
                      <w:szCs w:val="18"/>
                    </w:rPr>
                    <w:t>132</w:t>
                  </w:r>
                </w:p>
              </w:tc>
            </w:tr>
          </w:tbl>
          <w:p w14:paraId="44B35DD0" w14:textId="77777777" w:rsidR="009517EA" w:rsidRDefault="009517EA" w:rsidP="009517EA"/>
        </w:tc>
      </w:tr>
      <w:tr w:rsidR="009517EA" w:rsidRPr="009C1CB9" w14:paraId="44B35DD7" w14:textId="77777777" w:rsidTr="009517EA">
        <w:trPr>
          <w:trHeight w:val="291"/>
        </w:trPr>
        <w:tc>
          <w:tcPr>
            <w:tcW w:w="9645" w:type="dxa"/>
            <w:tcBorders>
              <w:bottom w:val="single" w:sz="2" w:space="0" w:color="505050"/>
            </w:tcBorders>
            <w:shd w:val="clear" w:color="auto" w:fill="auto"/>
          </w:tcPr>
          <w:p w14:paraId="44B35DD2" w14:textId="77777777" w:rsidR="009517EA" w:rsidRPr="00D25F01" w:rsidRDefault="009517EA" w:rsidP="00A3675A">
            <w:pPr>
              <w:keepNext/>
              <w:spacing w:before="60" w:after="20" w:line="240" w:lineRule="auto"/>
              <w:rPr>
                <w:rFonts w:cs="Arial"/>
                <w:i/>
                <w:sz w:val="16"/>
                <w:szCs w:val="16"/>
              </w:rPr>
            </w:pPr>
            <w:r w:rsidRPr="00D25F01">
              <w:rPr>
                <w:rFonts w:cs="Arial"/>
                <w:i/>
                <w:sz w:val="16"/>
                <w:szCs w:val="16"/>
              </w:rPr>
              <w:t xml:space="preserve">*Investigations against a code of practice, licence condition, standard and/or provision of the </w:t>
            </w:r>
            <w:r w:rsidRPr="00A3675A">
              <w:rPr>
                <w:rFonts w:cs="Arial"/>
                <w:sz w:val="16"/>
                <w:szCs w:val="16"/>
              </w:rPr>
              <w:t>Broadcasting Services Act 1992</w:t>
            </w:r>
            <w:r w:rsidRPr="00D25F01">
              <w:rPr>
                <w:rFonts w:cs="Arial"/>
                <w:i/>
                <w:sz w:val="16"/>
                <w:szCs w:val="16"/>
              </w:rPr>
              <w:t>.</w:t>
            </w:r>
          </w:p>
          <w:p w14:paraId="44B35DD3" w14:textId="77777777" w:rsidR="009517EA" w:rsidRPr="00D25F01" w:rsidRDefault="009517EA" w:rsidP="00A3675A">
            <w:pPr>
              <w:keepNext/>
              <w:spacing w:after="20" w:line="240" w:lineRule="auto"/>
              <w:rPr>
                <w:rFonts w:cs="Arial"/>
                <w:i/>
                <w:sz w:val="16"/>
                <w:szCs w:val="16"/>
              </w:rPr>
            </w:pPr>
            <w:r w:rsidRPr="00002C66">
              <w:rPr>
                <w:rFonts w:cs="Arial"/>
                <w:i/>
                <w:sz w:val="16"/>
                <w:szCs w:val="16"/>
                <w:vertAlign w:val="superscript"/>
              </w:rPr>
              <w:t>†</w:t>
            </w:r>
            <w:r w:rsidRPr="00D25F01">
              <w:rPr>
                <w:rFonts w:cs="Arial"/>
                <w:i/>
                <w:sz w:val="16"/>
                <w:szCs w:val="16"/>
              </w:rPr>
              <w:t xml:space="preserve">This does not include 2,680 complaints and enquiries received about 2DAY’s </w:t>
            </w:r>
            <w:r w:rsidRPr="00A3675A">
              <w:rPr>
                <w:rFonts w:cs="Arial"/>
                <w:sz w:val="16"/>
                <w:szCs w:val="16"/>
              </w:rPr>
              <w:t>Summer 30</w:t>
            </w:r>
            <w:r w:rsidRPr="00D25F01">
              <w:rPr>
                <w:rFonts w:cs="Arial"/>
                <w:i/>
                <w:sz w:val="16"/>
                <w:szCs w:val="16"/>
              </w:rPr>
              <w:t xml:space="preserve"> program broadcast on 4 December 2012.</w:t>
            </w:r>
          </w:p>
          <w:p w14:paraId="44B35DD4" w14:textId="77777777" w:rsidR="009517EA" w:rsidRPr="00D25F01" w:rsidRDefault="009517EA" w:rsidP="00A3675A">
            <w:pPr>
              <w:keepNext/>
              <w:spacing w:after="20" w:line="240" w:lineRule="auto"/>
              <w:rPr>
                <w:rFonts w:cs="Arial"/>
                <w:i/>
                <w:sz w:val="16"/>
                <w:szCs w:val="16"/>
              </w:rPr>
            </w:pPr>
            <w:r w:rsidRPr="00002C66">
              <w:rPr>
                <w:rFonts w:cs="Arial"/>
                <w:i/>
                <w:sz w:val="16"/>
                <w:szCs w:val="16"/>
                <w:vertAlign w:val="superscript"/>
              </w:rPr>
              <w:t>‡</w:t>
            </w:r>
            <w:r w:rsidRPr="00D25F01">
              <w:rPr>
                <w:rFonts w:cs="Arial"/>
                <w:i/>
                <w:sz w:val="16"/>
                <w:szCs w:val="16"/>
              </w:rPr>
              <w:t>Two investigations resulted in no findings and a third investigation was concluded.</w:t>
            </w:r>
          </w:p>
          <w:p w14:paraId="44B35DD5" w14:textId="77777777" w:rsidR="00A3675A" w:rsidRDefault="009517EA" w:rsidP="00A3675A">
            <w:pPr>
              <w:keepNext/>
              <w:spacing w:after="20" w:line="240" w:lineRule="auto"/>
              <w:rPr>
                <w:rFonts w:cs="Arial"/>
                <w:i/>
                <w:sz w:val="16"/>
                <w:szCs w:val="16"/>
              </w:rPr>
            </w:pPr>
            <w:r w:rsidRPr="00D25F01">
              <w:rPr>
                <w:rFonts w:cs="Arial"/>
                <w:i/>
                <w:sz w:val="16"/>
                <w:szCs w:val="16"/>
              </w:rPr>
              <w:t>Note: Sum of categories does not equal total number of investigations completed due to exclusion of completed investigations with no finding; for example, where the complaint is withdrawn.</w:t>
            </w:r>
          </w:p>
          <w:p w14:paraId="44B35DD6" w14:textId="77777777" w:rsidR="009517EA" w:rsidRPr="001F0EB6" w:rsidRDefault="009517EA" w:rsidP="00A3675A">
            <w:pPr>
              <w:keepNext/>
              <w:spacing w:line="240" w:lineRule="auto"/>
              <w:rPr>
                <w:i/>
              </w:rPr>
            </w:pPr>
            <w:r w:rsidRPr="00D25F01">
              <w:rPr>
                <w:rFonts w:cs="Arial"/>
                <w:i/>
                <w:sz w:val="16"/>
                <w:szCs w:val="16"/>
              </w:rPr>
              <w:t>Source: Broadcasting complaints to the ACMA.</w:t>
            </w:r>
          </w:p>
        </w:tc>
      </w:tr>
    </w:tbl>
    <w:p w14:paraId="44B35DD8" w14:textId="77777777" w:rsidR="009517EA" w:rsidRDefault="009517EA" w:rsidP="009517EA"/>
    <w:p w14:paraId="44B35DD9" w14:textId="77777777" w:rsidR="009517EA" w:rsidRPr="00E141F1" w:rsidRDefault="00A3675A" w:rsidP="00A3675A">
      <w:pPr>
        <w:pStyle w:val="Heading2"/>
        <w:tabs>
          <w:tab w:val="left" w:pos="851"/>
        </w:tabs>
        <w:ind w:left="851" w:hanging="851"/>
      </w:pPr>
      <w:bookmarkStart w:id="59" w:name="_Toc399331825"/>
      <w:bookmarkStart w:id="60" w:name="_Toc399337006"/>
      <w:bookmarkStart w:id="61" w:name="_Toc402337612"/>
      <w:r>
        <w:t>4.10</w:t>
      </w:r>
      <w:r>
        <w:tab/>
      </w:r>
      <w:r w:rsidR="009517EA" w:rsidRPr="00E141F1">
        <w:t>Investigating complaints about online content</w:t>
      </w:r>
      <w:bookmarkEnd w:id="59"/>
      <w:bookmarkEnd w:id="60"/>
      <w:bookmarkEnd w:id="61"/>
    </w:p>
    <w:p w14:paraId="44B35DDA" w14:textId="77777777" w:rsidR="009517EA" w:rsidRPr="00E141F1" w:rsidRDefault="009517EA" w:rsidP="009517EA">
      <w:r>
        <w:t>The Online Content Scheme is established under S</w:t>
      </w:r>
      <w:r w:rsidRPr="00E141F1">
        <w:t xml:space="preserve">chedules 5 and 7 to the BSA and dovetails with industry codes of practice. Under the scheme, the ACMA must investigate all valid complaints about online content where the complainant considers that the content may be prohibited. </w:t>
      </w:r>
    </w:p>
    <w:p w14:paraId="44B35DDB" w14:textId="77777777" w:rsidR="009517EA" w:rsidRPr="00E141F1" w:rsidRDefault="009517EA" w:rsidP="009517EA"/>
    <w:p w14:paraId="44B35DDC" w14:textId="77777777" w:rsidR="009517EA" w:rsidRDefault="009517EA" w:rsidP="009517EA">
      <w:r w:rsidRPr="00E141F1">
        <w:t xml:space="preserve">Prohibited online content is defined by reference to the National Classification Scheme established under the </w:t>
      </w:r>
      <w:r w:rsidRPr="00E141F1">
        <w:rPr>
          <w:i/>
        </w:rPr>
        <w:t>Classification (Publications, Films and Computer Games) Act 1995</w:t>
      </w:r>
      <w:r w:rsidRPr="00E141F1">
        <w:t>. Content that is classified RC (Refused Classification) and X 18+ is prohibited and, in certain circumstance</w:t>
      </w:r>
      <w:r w:rsidR="00ED664F">
        <w:t>s, content that is classified R </w:t>
      </w:r>
      <w:r w:rsidRPr="00E141F1">
        <w:t xml:space="preserve">18+ and MA 15+ is also prohibited. Content that has not been formally classified by the National Classification Board, but has been </w:t>
      </w:r>
      <w:r>
        <w:t>assessed</w:t>
      </w:r>
      <w:r w:rsidRPr="00E141F1">
        <w:t xml:space="preserve"> by the ACMA as likely to be prohibited, is termed ‘potential prohibited’ content under the BSA.</w:t>
      </w:r>
      <w:r w:rsidRPr="00E141F1">
        <w:rPr>
          <w:rStyle w:val="EndnoteReference"/>
          <w:rFonts w:cs="Arial"/>
        </w:rPr>
        <w:endnoteReference w:id="9"/>
      </w:r>
    </w:p>
    <w:p w14:paraId="44B35DDD" w14:textId="77777777" w:rsidR="00A3675A" w:rsidRPr="00E141F1" w:rsidRDefault="00A3675A" w:rsidP="009517EA"/>
    <w:p w14:paraId="44B35DDE" w14:textId="77777777" w:rsidR="009517EA" w:rsidRDefault="009517EA" w:rsidP="00ED664F">
      <w:pPr>
        <w:keepLines/>
        <w:spacing w:after="240"/>
      </w:pPr>
      <w:r w:rsidRPr="00E141F1">
        <w:t>During 201</w:t>
      </w:r>
      <w:r>
        <w:t>3</w:t>
      </w:r>
      <w:r w:rsidRPr="00E141F1">
        <w:t>–1</w:t>
      </w:r>
      <w:r>
        <w:t>4</w:t>
      </w:r>
      <w:r w:rsidRPr="00E141F1">
        <w:t xml:space="preserve">, the ACMA received </w:t>
      </w:r>
      <w:r>
        <w:t>4,051</w:t>
      </w:r>
      <w:r w:rsidRPr="00E141F1">
        <w:t xml:space="preserve"> complaints (compared to </w:t>
      </w:r>
      <w:r>
        <w:t>4,633</w:t>
      </w:r>
      <w:r w:rsidRPr="00E141F1">
        <w:t xml:space="preserve"> during 201</w:t>
      </w:r>
      <w:r>
        <w:t>2</w:t>
      </w:r>
      <w:r w:rsidRPr="00E141F1">
        <w:t>–1</w:t>
      </w:r>
      <w:r>
        <w:t>3</w:t>
      </w:r>
      <w:r w:rsidRPr="00E141F1">
        <w:t xml:space="preserve">) and finalised investigations into </w:t>
      </w:r>
      <w:r>
        <w:t>11,164</w:t>
      </w:r>
      <w:r w:rsidRPr="00E141F1">
        <w:t xml:space="preserve"> items of content as at 30 June 201</w:t>
      </w:r>
      <w:r>
        <w:t>4 (a complaint may result in the investigation of multiple items of content). The introduction of new software and processes facilitated the investigation of a much greater number of items of child sexual abuse material</w:t>
      </w:r>
      <w:r w:rsidR="00917B8E">
        <w:t xml:space="preserve"> with</w:t>
      </w:r>
      <w:r w:rsidR="005C6CAF">
        <w:t xml:space="preserve"> </w:t>
      </w:r>
      <w:r>
        <w:t>8,981</w:t>
      </w:r>
      <w:r w:rsidRPr="00E141F1">
        <w:t xml:space="preserve"> individual items </w:t>
      </w:r>
      <w:r w:rsidR="00917B8E">
        <w:t>being</w:t>
      </w:r>
      <w:r w:rsidR="00917B8E" w:rsidRPr="00E141F1">
        <w:t xml:space="preserve"> </w:t>
      </w:r>
      <w:r w:rsidRPr="00E141F1">
        <w:t>assessed as prohibited or potent</w:t>
      </w:r>
      <w:r>
        <w:t>ial prohibited online content. Of these, a</w:t>
      </w:r>
      <w:r w:rsidRPr="00E141F1">
        <w:t xml:space="preserve">pproximately </w:t>
      </w:r>
      <w:r>
        <w:t>88</w:t>
      </w:r>
      <w:r w:rsidRPr="00E141F1">
        <w:t xml:space="preserve"> per cent of online content items actioned were </w:t>
      </w:r>
      <w:r>
        <w:t xml:space="preserve">assessed and/or </w:t>
      </w:r>
      <w:r w:rsidRPr="00E141F1">
        <w:t>classified as RC.</w:t>
      </w:r>
    </w:p>
    <w:p w14:paraId="44B35DDF" w14:textId="77777777" w:rsidR="009517EA" w:rsidRDefault="009517EA" w:rsidP="009517EA">
      <w:r w:rsidRPr="00E141F1">
        <w:t xml:space="preserve">If prohibited content is hosted in or provided from Australia, the ACMA must direct the content service provider to remove or prevent access to it (depending on its nature). If prohibited or potential prohibited content is hosted overseas, the ACMA notifies the suppliers of optional end-user </w:t>
      </w:r>
      <w:r>
        <w:t>(PC-based) industry</w:t>
      </w:r>
      <w:r w:rsidRPr="00E141F1">
        <w:t xml:space="preserve"> accredited filters. These filters have been tested and accredited by the I</w:t>
      </w:r>
      <w:r>
        <w:t>nternet Industry Association (whose functions have now been subsumed by Communications Alliance)</w:t>
      </w:r>
      <w:r w:rsidRPr="00E141F1">
        <w:t xml:space="preserve">, as part of the Family Friendly Filter scheme, in accordance with the Internet and Mobile Content Code. </w:t>
      </w:r>
    </w:p>
    <w:p w14:paraId="44B35DE0" w14:textId="77777777" w:rsidR="009517EA" w:rsidRDefault="009517EA" w:rsidP="009517EA"/>
    <w:p w14:paraId="44B35DE1" w14:textId="77777777" w:rsidR="009517EA" w:rsidRDefault="009517EA" w:rsidP="009517EA">
      <w:r w:rsidRPr="00E141F1">
        <w:t>During 201</w:t>
      </w:r>
      <w:r>
        <w:t>3</w:t>
      </w:r>
      <w:r w:rsidRPr="00E141F1">
        <w:t>–</w:t>
      </w:r>
      <w:r>
        <w:t>14</w:t>
      </w:r>
      <w:r w:rsidRPr="00E141F1">
        <w:t>,</w:t>
      </w:r>
      <w:r w:rsidRPr="00E141F1">
        <w:rPr>
          <w:color w:val="CC0099"/>
        </w:rPr>
        <w:t xml:space="preserve"> </w:t>
      </w:r>
      <w:r w:rsidRPr="00E141F1">
        <w:t xml:space="preserve">a total of </w:t>
      </w:r>
      <w:r>
        <w:t>8,980</w:t>
      </w:r>
      <w:r w:rsidRPr="00E141F1">
        <w:t xml:space="preserve"> overseas-hosted prohibited or potential prohibited items were referred to suppliers of optional end-user industry-accredited filters (</w:t>
      </w:r>
      <w:r>
        <w:fldChar w:fldCharType="begin"/>
      </w:r>
      <w:r>
        <w:instrText xml:space="preserve"> REF _Ref398717025 \h </w:instrText>
      </w:r>
      <w:r>
        <w:fldChar w:fldCharType="separate"/>
      </w:r>
      <w:r w:rsidR="006B4FBE">
        <w:rPr>
          <w:noProof/>
        </w:rPr>
        <w:t>Table</w:t>
      </w:r>
      <w:r w:rsidR="006B4FBE">
        <w:t xml:space="preserve"> 4.</w:t>
      </w:r>
      <w:r w:rsidR="006B4FBE">
        <w:rPr>
          <w:noProof/>
        </w:rPr>
        <w:t>5</w:t>
      </w:r>
      <w:r>
        <w:fldChar w:fldCharType="end"/>
      </w:r>
      <w:r>
        <w:t>). The ACMA also issued one</w:t>
      </w:r>
      <w:r w:rsidRPr="00E141F1">
        <w:t xml:space="preserve"> final ‘take-down’ notice for</w:t>
      </w:r>
      <w:r>
        <w:t xml:space="preserve"> an item</w:t>
      </w:r>
      <w:r w:rsidRPr="00E141F1">
        <w:t xml:space="preserve"> of Australian-hosted prohibited content. </w:t>
      </w:r>
      <w:r>
        <w:t>The</w:t>
      </w:r>
      <w:r w:rsidRPr="00E141F1">
        <w:t xml:space="preserve"> ISP issued with a notice removed the content within the required time frame, maintaining 100 per cent compliance with ‘take-down’ </w:t>
      </w:r>
      <w:r>
        <w:t>notices across the life of the Online Content Scheme</w:t>
      </w:r>
      <w:r w:rsidRPr="00E141F1">
        <w:t>.</w:t>
      </w:r>
    </w:p>
    <w:p w14:paraId="44B35DE2" w14:textId="77777777" w:rsidR="009517EA" w:rsidRDefault="009517EA" w:rsidP="009517EA"/>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DE4" w14:textId="77777777" w:rsidTr="009517EA">
        <w:trPr>
          <w:trHeight w:val="570"/>
        </w:trPr>
        <w:tc>
          <w:tcPr>
            <w:tcW w:w="9645" w:type="dxa"/>
            <w:tcBorders>
              <w:top w:val="single" w:sz="2" w:space="0" w:color="505050"/>
            </w:tcBorders>
            <w:shd w:val="clear" w:color="auto" w:fill="auto"/>
            <w:vAlign w:val="center"/>
          </w:tcPr>
          <w:p w14:paraId="44B35DE3" w14:textId="77777777" w:rsidR="009517EA" w:rsidRPr="00A74B5E" w:rsidRDefault="009517EA" w:rsidP="00A3675A">
            <w:pPr>
              <w:pStyle w:val="Caption"/>
              <w:keepNext/>
            </w:pPr>
            <w:bookmarkStart w:id="62" w:name="_Ref398717025"/>
            <w:r>
              <w:rPr>
                <w:noProof/>
              </w:rPr>
              <w:t>Table</w:t>
            </w:r>
            <w:r>
              <w:t xml:space="preserve"> 4.</w:t>
            </w:r>
            <w:r w:rsidR="00FC1A17">
              <w:fldChar w:fldCharType="begin"/>
            </w:r>
            <w:r w:rsidR="00FC1A17">
              <w:instrText xml:space="preserve"> SEQ Table \* ARABIC </w:instrText>
            </w:r>
            <w:r w:rsidR="00FC1A17">
              <w:fldChar w:fldCharType="separate"/>
            </w:r>
            <w:r w:rsidR="006B4FBE">
              <w:rPr>
                <w:noProof/>
              </w:rPr>
              <w:t>5</w:t>
            </w:r>
            <w:r w:rsidR="00FC1A17">
              <w:rPr>
                <w:noProof/>
              </w:rPr>
              <w:fldChar w:fldCharType="end"/>
            </w:r>
            <w:bookmarkEnd w:id="62"/>
            <w:r>
              <w:rPr>
                <w:noProof/>
              </w:rPr>
              <w:t xml:space="preserve"> Internet content investigations by financial year</w:t>
            </w:r>
          </w:p>
        </w:tc>
      </w:tr>
      <w:tr w:rsidR="009517EA" w:rsidRPr="00E141F1" w14:paraId="44B35E49" w14:textId="77777777" w:rsidTr="009517EA">
        <w:trPr>
          <w:trHeight w:val="3086"/>
        </w:trPr>
        <w:tc>
          <w:tcPr>
            <w:tcW w:w="9645" w:type="dxa"/>
            <w:shd w:val="clear" w:color="auto" w:fill="auto"/>
            <w:tcMar>
              <w:left w:w="28" w:type="dxa"/>
            </w:tcMar>
          </w:tcPr>
          <w:tbl>
            <w:tblPr>
              <w:tblpPr w:leftFromText="180" w:rightFromText="180" w:vertAnchor="text" w:horzAnchor="margin" w:tblpY="-51"/>
              <w:tblOverlap w:val="never"/>
              <w:tblW w:w="94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85" w:type="dxa"/>
                <w:right w:w="0" w:type="dxa"/>
              </w:tblCellMar>
              <w:tblLook w:val="01E0" w:firstRow="1" w:lastRow="1" w:firstColumn="1" w:lastColumn="1" w:noHBand="0" w:noVBand="0"/>
            </w:tblPr>
            <w:tblGrid>
              <w:gridCol w:w="848"/>
              <w:gridCol w:w="1674"/>
              <w:gridCol w:w="1157"/>
              <w:gridCol w:w="1158"/>
              <w:gridCol w:w="1158"/>
              <w:gridCol w:w="1157"/>
              <w:gridCol w:w="1158"/>
              <w:gridCol w:w="1158"/>
            </w:tblGrid>
            <w:tr w:rsidR="008E42A7" w:rsidRPr="00196D41" w14:paraId="44B35DEC" w14:textId="77777777" w:rsidTr="0084039C">
              <w:trPr>
                <w:trHeight w:val="467"/>
              </w:trPr>
              <w:tc>
                <w:tcPr>
                  <w:tcW w:w="2522" w:type="dxa"/>
                  <w:gridSpan w:val="2"/>
                  <w:tcBorders>
                    <w:bottom w:val="single" w:sz="24" w:space="0" w:color="FFFFFF"/>
                  </w:tcBorders>
                  <w:shd w:val="clear" w:color="auto" w:fill="auto"/>
                  <w:tcMar>
                    <w:top w:w="34" w:type="dxa"/>
                    <w:left w:w="113" w:type="dxa"/>
                  </w:tcMar>
                </w:tcPr>
                <w:p w14:paraId="44B35DE5" w14:textId="77777777" w:rsidR="008E42A7" w:rsidRPr="00196D41" w:rsidRDefault="008E42A7" w:rsidP="008E42A7">
                  <w:pPr>
                    <w:keepNext/>
                    <w:keepLines/>
                    <w:spacing w:before="60" w:after="60" w:line="240" w:lineRule="auto"/>
                    <w:rPr>
                      <w:rFonts w:cs="Arial"/>
                      <w:b/>
                      <w:sz w:val="18"/>
                      <w:szCs w:val="18"/>
                      <w:highlight w:val="yellow"/>
                    </w:rPr>
                  </w:pPr>
                </w:p>
              </w:tc>
              <w:tc>
                <w:tcPr>
                  <w:tcW w:w="1157" w:type="dxa"/>
                  <w:tcBorders>
                    <w:bottom w:val="single" w:sz="24" w:space="0" w:color="FFFFFF"/>
                  </w:tcBorders>
                  <w:shd w:val="clear" w:color="auto" w:fill="37897E"/>
                  <w:vAlign w:val="center"/>
                </w:tcPr>
                <w:p w14:paraId="44B35DE6" w14:textId="77777777" w:rsidR="008E42A7" w:rsidRPr="00196D41" w:rsidDel="00560996" w:rsidRDefault="008E42A7" w:rsidP="008E42A7">
                  <w:pPr>
                    <w:keepNext/>
                    <w:keepLines/>
                    <w:spacing w:before="60" w:after="60" w:line="240" w:lineRule="auto"/>
                    <w:ind w:right="254"/>
                    <w:jc w:val="right"/>
                    <w:rPr>
                      <w:rFonts w:cs="Arial"/>
                      <w:b/>
                      <w:color w:val="FFFFFF"/>
                      <w:sz w:val="18"/>
                      <w:szCs w:val="18"/>
                    </w:rPr>
                  </w:pPr>
                  <w:r w:rsidRPr="00196D41">
                    <w:rPr>
                      <w:rFonts w:cs="Arial"/>
                      <w:b/>
                      <w:color w:val="FFFFFF"/>
                      <w:sz w:val="18"/>
                      <w:szCs w:val="18"/>
                    </w:rPr>
                    <w:t>2009–10</w:t>
                  </w:r>
                </w:p>
              </w:tc>
              <w:tc>
                <w:tcPr>
                  <w:tcW w:w="1158" w:type="dxa"/>
                  <w:tcBorders>
                    <w:bottom w:val="single" w:sz="24" w:space="0" w:color="FFFFFF"/>
                  </w:tcBorders>
                  <w:shd w:val="clear" w:color="auto" w:fill="37897E"/>
                  <w:vAlign w:val="center"/>
                </w:tcPr>
                <w:p w14:paraId="44B35DE7" w14:textId="77777777" w:rsidR="008E42A7" w:rsidRPr="00196D41" w:rsidDel="00560996" w:rsidRDefault="008E42A7" w:rsidP="008E42A7">
                  <w:pPr>
                    <w:keepNext/>
                    <w:keepLines/>
                    <w:spacing w:before="60" w:after="60" w:line="240" w:lineRule="auto"/>
                    <w:ind w:right="254"/>
                    <w:jc w:val="right"/>
                    <w:rPr>
                      <w:rFonts w:cs="Arial"/>
                      <w:b/>
                      <w:color w:val="FFFFFF"/>
                      <w:sz w:val="18"/>
                      <w:szCs w:val="18"/>
                    </w:rPr>
                  </w:pPr>
                  <w:r w:rsidRPr="00196D41">
                    <w:rPr>
                      <w:rFonts w:cs="Arial"/>
                      <w:b/>
                      <w:color w:val="FFFFFF"/>
                      <w:sz w:val="18"/>
                      <w:szCs w:val="18"/>
                    </w:rPr>
                    <w:t>2010–11</w:t>
                  </w:r>
                </w:p>
              </w:tc>
              <w:tc>
                <w:tcPr>
                  <w:tcW w:w="1158" w:type="dxa"/>
                  <w:tcBorders>
                    <w:bottom w:val="single" w:sz="24" w:space="0" w:color="FFFFFF"/>
                  </w:tcBorders>
                  <w:shd w:val="clear" w:color="auto" w:fill="37897E"/>
                  <w:vAlign w:val="center"/>
                </w:tcPr>
                <w:p w14:paraId="44B35DE8" w14:textId="77777777" w:rsidR="008E42A7" w:rsidRPr="00196D41" w:rsidDel="00560996" w:rsidRDefault="008E42A7" w:rsidP="008E42A7">
                  <w:pPr>
                    <w:keepNext/>
                    <w:keepLines/>
                    <w:spacing w:before="60" w:after="60" w:line="240" w:lineRule="auto"/>
                    <w:ind w:right="254"/>
                    <w:jc w:val="right"/>
                    <w:rPr>
                      <w:rFonts w:cs="Arial"/>
                      <w:b/>
                      <w:color w:val="FFFFFF"/>
                      <w:sz w:val="18"/>
                      <w:szCs w:val="18"/>
                    </w:rPr>
                  </w:pPr>
                  <w:r w:rsidRPr="00196D41">
                    <w:rPr>
                      <w:rFonts w:cs="Arial"/>
                      <w:b/>
                      <w:color w:val="FFFFFF"/>
                      <w:sz w:val="18"/>
                      <w:szCs w:val="18"/>
                    </w:rPr>
                    <w:t>2011–12</w:t>
                  </w:r>
                </w:p>
              </w:tc>
              <w:tc>
                <w:tcPr>
                  <w:tcW w:w="1157" w:type="dxa"/>
                  <w:tcBorders>
                    <w:bottom w:val="single" w:sz="24" w:space="0" w:color="FFFFFF"/>
                  </w:tcBorders>
                  <w:shd w:val="clear" w:color="auto" w:fill="37897E"/>
                  <w:vAlign w:val="center"/>
                </w:tcPr>
                <w:p w14:paraId="44B35DE9" w14:textId="77777777" w:rsidR="008E42A7" w:rsidRPr="00196D41" w:rsidRDefault="008E42A7" w:rsidP="008E42A7">
                  <w:pPr>
                    <w:keepNext/>
                    <w:keepLines/>
                    <w:spacing w:before="60" w:after="60" w:line="240" w:lineRule="auto"/>
                    <w:ind w:right="254"/>
                    <w:jc w:val="right"/>
                    <w:rPr>
                      <w:rFonts w:cs="Arial"/>
                      <w:b/>
                      <w:color w:val="FFFFFF"/>
                      <w:sz w:val="18"/>
                      <w:szCs w:val="18"/>
                    </w:rPr>
                  </w:pPr>
                  <w:r w:rsidRPr="00196D41">
                    <w:rPr>
                      <w:rFonts w:cs="Arial"/>
                      <w:b/>
                      <w:color w:val="FFFFFF"/>
                      <w:sz w:val="18"/>
                      <w:szCs w:val="18"/>
                    </w:rPr>
                    <w:t>2012–13</w:t>
                  </w:r>
                </w:p>
              </w:tc>
              <w:tc>
                <w:tcPr>
                  <w:tcW w:w="1158" w:type="dxa"/>
                  <w:tcBorders>
                    <w:bottom w:val="single" w:sz="24" w:space="0" w:color="FFFFFF"/>
                  </w:tcBorders>
                  <w:shd w:val="clear" w:color="auto" w:fill="37897E"/>
                  <w:tcMar>
                    <w:left w:w="113" w:type="dxa"/>
                  </w:tcMar>
                  <w:vAlign w:val="center"/>
                </w:tcPr>
                <w:p w14:paraId="44B35DEA" w14:textId="77777777" w:rsidR="008E42A7" w:rsidRPr="00196D41" w:rsidRDefault="008E42A7" w:rsidP="008E42A7">
                  <w:pPr>
                    <w:keepNext/>
                    <w:keepLines/>
                    <w:spacing w:before="60" w:after="60" w:line="240" w:lineRule="auto"/>
                    <w:ind w:right="254"/>
                    <w:jc w:val="right"/>
                    <w:rPr>
                      <w:rFonts w:cs="Arial"/>
                      <w:b/>
                      <w:color w:val="FFFFFF"/>
                      <w:sz w:val="18"/>
                      <w:szCs w:val="18"/>
                    </w:rPr>
                  </w:pPr>
                  <w:r w:rsidRPr="00196D41">
                    <w:rPr>
                      <w:rFonts w:cs="Arial"/>
                      <w:b/>
                      <w:color w:val="FFFFFF"/>
                      <w:sz w:val="18"/>
                      <w:szCs w:val="18"/>
                    </w:rPr>
                    <w:t>2013–14</w:t>
                  </w:r>
                </w:p>
              </w:tc>
              <w:tc>
                <w:tcPr>
                  <w:tcW w:w="1158" w:type="dxa"/>
                  <w:tcBorders>
                    <w:bottom w:val="single" w:sz="24" w:space="0" w:color="FFFFFF"/>
                  </w:tcBorders>
                  <w:shd w:val="clear" w:color="auto" w:fill="37897E"/>
                  <w:vAlign w:val="center"/>
                </w:tcPr>
                <w:p w14:paraId="44B35DEB" w14:textId="77777777" w:rsidR="008E42A7" w:rsidRPr="00196D41" w:rsidRDefault="008E42A7" w:rsidP="008E42A7">
                  <w:pPr>
                    <w:keepNext/>
                    <w:keepLines/>
                    <w:spacing w:before="60" w:after="60" w:line="240" w:lineRule="auto"/>
                    <w:ind w:right="142"/>
                    <w:jc w:val="right"/>
                    <w:rPr>
                      <w:rFonts w:cs="Arial"/>
                      <w:b/>
                      <w:color w:val="FFFFFF"/>
                      <w:sz w:val="18"/>
                      <w:szCs w:val="18"/>
                    </w:rPr>
                  </w:pPr>
                  <w:r w:rsidRPr="00196D41">
                    <w:rPr>
                      <w:rFonts w:cs="Arial"/>
                      <w:b/>
                      <w:color w:val="FFFFFF"/>
                      <w:sz w:val="18"/>
                      <w:szCs w:val="18"/>
                    </w:rPr>
                    <w:t>% change from</w:t>
                  </w:r>
                  <w:r w:rsidRPr="00196D41">
                    <w:rPr>
                      <w:rFonts w:cs="Arial"/>
                      <w:b/>
                      <w:color w:val="FFFFFF"/>
                      <w:sz w:val="18"/>
                      <w:szCs w:val="18"/>
                    </w:rPr>
                    <w:br/>
                    <w:t xml:space="preserve">2012–13 </w:t>
                  </w:r>
                  <w:r w:rsidRPr="00196D41">
                    <w:rPr>
                      <w:rFonts w:cs="Arial"/>
                      <w:b/>
                      <w:color w:val="FFFFFF"/>
                      <w:sz w:val="18"/>
                      <w:szCs w:val="18"/>
                    </w:rPr>
                    <w:br/>
                    <w:t>to 2013–14</w:t>
                  </w:r>
                </w:p>
              </w:tc>
            </w:tr>
            <w:tr w:rsidR="008E42A7" w:rsidRPr="00196D41" w14:paraId="44B35DF5" w14:textId="77777777" w:rsidTr="0084039C">
              <w:trPr>
                <w:trHeight w:val="660"/>
              </w:trPr>
              <w:tc>
                <w:tcPr>
                  <w:tcW w:w="848" w:type="dxa"/>
                  <w:tcBorders>
                    <w:bottom w:val="single" w:sz="24" w:space="0" w:color="FFFFFF"/>
                    <w:right w:val="nil"/>
                  </w:tcBorders>
                  <w:shd w:val="clear" w:color="auto" w:fill="76C8BD"/>
                  <w:tcMar>
                    <w:left w:w="113" w:type="dxa"/>
                  </w:tcMar>
                </w:tcPr>
                <w:p w14:paraId="44B35DED" w14:textId="77777777" w:rsidR="008E42A7" w:rsidRPr="00196D41" w:rsidRDefault="008E42A7" w:rsidP="008E42A7">
                  <w:pPr>
                    <w:keepNext/>
                    <w:keepLines/>
                    <w:spacing w:before="60" w:after="60" w:line="240" w:lineRule="auto"/>
                    <w:jc w:val="center"/>
                    <w:rPr>
                      <w:rFonts w:cs="Arial"/>
                      <w:color w:val="FFFFFF"/>
                      <w:sz w:val="18"/>
                      <w:szCs w:val="18"/>
                      <w:highlight w:val="yellow"/>
                    </w:rPr>
                  </w:pPr>
                  <w:r w:rsidRPr="00196D41">
                    <w:rPr>
                      <w:rFonts w:cs="Arial"/>
                      <w:b/>
                      <w:noProof/>
                      <w:color w:val="FFFFFF"/>
                      <w:sz w:val="18"/>
                      <w:szCs w:val="18"/>
                    </w:rPr>
                    <w:drawing>
                      <wp:inline distT="0" distB="0" distL="0" distR="0" wp14:anchorId="44B3637B" wp14:editId="44B3637C">
                        <wp:extent cx="359695" cy="31432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gital switchover-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7411" cy="321068"/>
                                </a:xfrm>
                                <a:prstGeom prst="rect">
                                  <a:avLst/>
                                </a:prstGeom>
                              </pic:spPr>
                            </pic:pic>
                          </a:graphicData>
                        </a:graphic>
                      </wp:inline>
                    </w:drawing>
                  </w:r>
                </w:p>
              </w:tc>
              <w:tc>
                <w:tcPr>
                  <w:tcW w:w="1674" w:type="dxa"/>
                  <w:tcBorders>
                    <w:left w:val="nil"/>
                    <w:bottom w:val="single" w:sz="24" w:space="0" w:color="FFFFFF"/>
                    <w:right w:val="nil"/>
                  </w:tcBorders>
                  <w:shd w:val="clear" w:color="auto" w:fill="76C8BD"/>
                  <w:vAlign w:val="center"/>
                </w:tcPr>
                <w:p w14:paraId="44B35DEE" w14:textId="77777777" w:rsidR="008E42A7" w:rsidRPr="00196D41" w:rsidRDefault="008E42A7" w:rsidP="008E42A7">
                  <w:pPr>
                    <w:keepNext/>
                    <w:keepLines/>
                    <w:spacing w:before="60" w:after="60" w:line="240" w:lineRule="auto"/>
                    <w:rPr>
                      <w:rFonts w:cs="Arial"/>
                      <w:b/>
                      <w:color w:val="FFFFFF"/>
                      <w:sz w:val="18"/>
                      <w:szCs w:val="18"/>
                    </w:rPr>
                  </w:pPr>
                  <w:r w:rsidRPr="00196D41">
                    <w:rPr>
                      <w:rFonts w:cs="Arial"/>
                      <w:b/>
                      <w:color w:val="FFFFFF"/>
                      <w:sz w:val="18"/>
                      <w:szCs w:val="18"/>
                    </w:rPr>
                    <w:t xml:space="preserve">Complaints </w:t>
                  </w:r>
                </w:p>
              </w:tc>
              <w:tc>
                <w:tcPr>
                  <w:tcW w:w="1157" w:type="dxa"/>
                  <w:tcBorders>
                    <w:left w:val="nil"/>
                    <w:bottom w:val="single" w:sz="24" w:space="0" w:color="FFFFFF"/>
                    <w:right w:val="nil"/>
                  </w:tcBorders>
                  <w:shd w:val="clear" w:color="auto" w:fill="76C8BD"/>
                </w:tcPr>
                <w:p w14:paraId="44B35DEF"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DF0"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DF1"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7" w:type="dxa"/>
                  <w:tcBorders>
                    <w:left w:val="nil"/>
                    <w:bottom w:val="single" w:sz="24" w:space="0" w:color="FFFFFF"/>
                    <w:right w:val="nil"/>
                  </w:tcBorders>
                  <w:shd w:val="clear" w:color="auto" w:fill="76C8BD"/>
                </w:tcPr>
                <w:p w14:paraId="44B35DF2"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Mar>
                    <w:left w:w="113" w:type="dxa"/>
                  </w:tcMar>
                </w:tcPr>
                <w:p w14:paraId="44B35DF3"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single" w:sz="24" w:space="0" w:color="FFFFFF"/>
                  </w:tcBorders>
                  <w:shd w:val="clear" w:color="auto" w:fill="76C8BD"/>
                  <w:vAlign w:val="center"/>
                </w:tcPr>
                <w:p w14:paraId="44B35DF4" w14:textId="77777777" w:rsidR="008E42A7" w:rsidRPr="00196D41" w:rsidRDefault="008E42A7" w:rsidP="008E42A7">
                  <w:pPr>
                    <w:keepNext/>
                    <w:keepLines/>
                    <w:spacing w:before="60" w:after="60" w:line="240" w:lineRule="auto"/>
                    <w:ind w:right="142"/>
                    <w:jc w:val="right"/>
                    <w:rPr>
                      <w:rFonts w:cs="Arial"/>
                      <w:color w:val="FFFFFF"/>
                      <w:sz w:val="18"/>
                      <w:szCs w:val="18"/>
                      <w:highlight w:val="yellow"/>
                    </w:rPr>
                  </w:pPr>
                </w:p>
              </w:tc>
            </w:tr>
            <w:tr w:rsidR="008E42A7" w:rsidRPr="00196D41" w14:paraId="44B35DFD" w14:textId="77777777" w:rsidTr="0084039C">
              <w:trPr>
                <w:trHeight w:val="660"/>
              </w:trPr>
              <w:tc>
                <w:tcPr>
                  <w:tcW w:w="2522" w:type="dxa"/>
                  <w:gridSpan w:val="2"/>
                  <w:shd w:val="clear" w:color="auto" w:fill="D1ECE9"/>
                  <w:tcMar>
                    <w:left w:w="113" w:type="dxa"/>
                  </w:tcMar>
                  <w:vAlign w:val="center"/>
                </w:tcPr>
                <w:p w14:paraId="44B35DF6"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Received</w:t>
                  </w:r>
                  <w:r w:rsidRPr="00196D41">
                    <w:rPr>
                      <w:rFonts w:cs="Arial"/>
                      <w:b/>
                      <w:sz w:val="18"/>
                      <w:szCs w:val="18"/>
                    </w:rPr>
                    <w:t>*</w:t>
                  </w:r>
                </w:p>
              </w:tc>
              <w:tc>
                <w:tcPr>
                  <w:tcW w:w="1157" w:type="dxa"/>
                  <w:shd w:val="clear" w:color="auto" w:fill="D1ECE9"/>
                  <w:vAlign w:val="center"/>
                </w:tcPr>
                <w:p w14:paraId="44B35DF7"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3,212</w:t>
                  </w:r>
                </w:p>
              </w:tc>
              <w:tc>
                <w:tcPr>
                  <w:tcW w:w="1158" w:type="dxa"/>
                  <w:shd w:val="clear" w:color="auto" w:fill="D1ECE9"/>
                  <w:vAlign w:val="center"/>
                </w:tcPr>
                <w:p w14:paraId="44B35DF8"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4,865</w:t>
                  </w:r>
                </w:p>
              </w:tc>
              <w:tc>
                <w:tcPr>
                  <w:tcW w:w="1158" w:type="dxa"/>
                  <w:shd w:val="clear" w:color="auto" w:fill="D1ECE9"/>
                  <w:vAlign w:val="center"/>
                </w:tcPr>
                <w:p w14:paraId="44B35DF9"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5,026</w:t>
                  </w:r>
                </w:p>
              </w:tc>
              <w:tc>
                <w:tcPr>
                  <w:tcW w:w="1157" w:type="dxa"/>
                  <w:shd w:val="clear" w:color="auto" w:fill="D1ECE9"/>
                  <w:vAlign w:val="center"/>
                </w:tcPr>
                <w:p w14:paraId="44B35DFA"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4,633</w:t>
                  </w:r>
                </w:p>
              </w:tc>
              <w:tc>
                <w:tcPr>
                  <w:tcW w:w="1158" w:type="dxa"/>
                  <w:shd w:val="clear" w:color="auto" w:fill="D1ECE9"/>
                  <w:tcMar>
                    <w:left w:w="113" w:type="dxa"/>
                  </w:tcMar>
                  <w:vAlign w:val="center"/>
                </w:tcPr>
                <w:p w14:paraId="44B35DFB"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4,051</w:t>
                  </w:r>
                </w:p>
              </w:tc>
              <w:tc>
                <w:tcPr>
                  <w:tcW w:w="1158" w:type="dxa"/>
                  <w:shd w:val="clear" w:color="auto" w:fill="D1ECE9"/>
                  <w:vAlign w:val="center"/>
                </w:tcPr>
                <w:p w14:paraId="44B35DFC" w14:textId="77777777" w:rsidR="008E42A7" w:rsidRPr="00196D41" w:rsidRDefault="008E42A7" w:rsidP="008E42A7">
                  <w:pPr>
                    <w:keepNext/>
                    <w:keepLines/>
                    <w:spacing w:before="60" w:after="60" w:line="240" w:lineRule="auto"/>
                    <w:ind w:right="142"/>
                    <w:jc w:val="right"/>
                    <w:rPr>
                      <w:rFonts w:cs="Arial"/>
                      <w:sz w:val="18"/>
                      <w:szCs w:val="18"/>
                    </w:rPr>
                  </w:pPr>
                  <w:r w:rsidRPr="00196D41">
                    <w:rPr>
                      <w:rFonts w:cs="Arial"/>
                      <w:sz w:val="18"/>
                      <w:szCs w:val="18"/>
                    </w:rPr>
                    <w:t>–13</w:t>
                  </w:r>
                </w:p>
              </w:tc>
            </w:tr>
            <w:tr w:rsidR="008E42A7" w:rsidRPr="00196D41" w14:paraId="44B35E05" w14:textId="77777777" w:rsidTr="0084039C">
              <w:trPr>
                <w:trHeight w:val="660"/>
              </w:trPr>
              <w:tc>
                <w:tcPr>
                  <w:tcW w:w="2522" w:type="dxa"/>
                  <w:gridSpan w:val="2"/>
                  <w:tcBorders>
                    <w:bottom w:val="single" w:sz="24" w:space="0" w:color="FFFFFF"/>
                  </w:tcBorders>
                  <w:shd w:val="clear" w:color="auto" w:fill="D1ECE9"/>
                  <w:tcMar>
                    <w:left w:w="113" w:type="dxa"/>
                  </w:tcMar>
                  <w:vAlign w:val="center"/>
                </w:tcPr>
                <w:p w14:paraId="44B35DFE"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Invalid</w:t>
                  </w:r>
                  <w:r w:rsidRPr="00196D41">
                    <w:rPr>
                      <w:rFonts w:cs="Arial"/>
                      <w:sz w:val="18"/>
                      <w:szCs w:val="18"/>
                      <w:vertAlign w:val="superscript"/>
                    </w:rPr>
                    <w:t xml:space="preserve">† </w:t>
                  </w:r>
                </w:p>
              </w:tc>
              <w:tc>
                <w:tcPr>
                  <w:tcW w:w="1157" w:type="dxa"/>
                  <w:tcBorders>
                    <w:bottom w:val="single" w:sz="24" w:space="0" w:color="FFFFFF"/>
                  </w:tcBorders>
                  <w:shd w:val="clear" w:color="auto" w:fill="D1ECE9"/>
                  <w:vAlign w:val="center"/>
                </w:tcPr>
                <w:p w14:paraId="44B35DFF"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118</w:t>
                  </w:r>
                </w:p>
              </w:tc>
              <w:tc>
                <w:tcPr>
                  <w:tcW w:w="1158" w:type="dxa"/>
                  <w:tcBorders>
                    <w:bottom w:val="single" w:sz="24" w:space="0" w:color="FFFFFF"/>
                  </w:tcBorders>
                  <w:shd w:val="clear" w:color="auto" w:fill="D1ECE9"/>
                  <w:vAlign w:val="center"/>
                </w:tcPr>
                <w:p w14:paraId="44B35E00"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217</w:t>
                  </w:r>
                </w:p>
              </w:tc>
              <w:tc>
                <w:tcPr>
                  <w:tcW w:w="1158" w:type="dxa"/>
                  <w:tcBorders>
                    <w:bottom w:val="single" w:sz="24" w:space="0" w:color="FFFFFF"/>
                  </w:tcBorders>
                  <w:shd w:val="clear" w:color="auto" w:fill="D1ECE9"/>
                  <w:vAlign w:val="center"/>
                </w:tcPr>
                <w:p w14:paraId="44B35E01"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329</w:t>
                  </w:r>
                </w:p>
              </w:tc>
              <w:tc>
                <w:tcPr>
                  <w:tcW w:w="1157" w:type="dxa"/>
                  <w:tcBorders>
                    <w:bottom w:val="single" w:sz="24" w:space="0" w:color="FFFFFF"/>
                  </w:tcBorders>
                  <w:shd w:val="clear" w:color="auto" w:fill="D1ECE9"/>
                  <w:vAlign w:val="center"/>
                </w:tcPr>
                <w:p w14:paraId="44B35E02"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115</w:t>
                  </w:r>
                </w:p>
              </w:tc>
              <w:tc>
                <w:tcPr>
                  <w:tcW w:w="1158" w:type="dxa"/>
                  <w:tcBorders>
                    <w:bottom w:val="single" w:sz="24" w:space="0" w:color="FFFFFF"/>
                  </w:tcBorders>
                  <w:shd w:val="clear" w:color="auto" w:fill="D1ECE9"/>
                  <w:tcMar>
                    <w:left w:w="113" w:type="dxa"/>
                  </w:tcMar>
                  <w:vAlign w:val="center"/>
                </w:tcPr>
                <w:p w14:paraId="44B35E03"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50</w:t>
                  </w:r>
                </w:p>
              </w:tc>
              <w:tc>
                <w:tcPr>
                  <w:tcW w:w="1158" w:type="dxa"/>
                  <w:tcBorders>
                    <w:bottom w:val="single" w:sz="24" w:space="0" w:color="FFFFFF"/>
                  </w:tcBorders>
                  <w:shd w:val="clear" w:color="auto" w:fill="D1ECE9"/>
                  <w:vAlign w:val="center"/>
                </w:tcPr>
                <w:p w14:paraId="44B35E04" w14:textId="77777777" w:rsidR="008E42A7" w:rsidRPr="00196D41" w:rsidRDefault="008E42A7" w:rsidP="008E42A7">
                  <w:pPr>
                    <w:keepNext/>
                    <w:keepLines/>
                    <w:tabs>
                      <w:tab w:val="left" w:pos="766"/>
                    </w:tabs>
                    <w:spacing w:before="60" w:after="60" w:line="240" w:lineRule="auto"/>
                    <w:ind w:right="142"/>
                    <w:jc w:val="right"/>
                    <w:rPr>
                      <w:rFonts w:cs="Arial"/>
                      <w:sz w:val="18"/>
                      <w:szCs w:val="18"/>
                    </w:rPr>
                  </w:pPr>
                  <w:r w:rsidRPr="00196D41">
                    <w:rPr>
                      <w:rFonts w:cs="Arial"/>
                      <w:sz w:val="18"/>
                      <w:szCs w:val="18"/>
                    </w:rPr>
                    <w:t>–57</w:t>
                  </w:r>
                </w:p>
              </w:tc>
            </w:tr>
            <w:tr w:rsidR="008E42A7" w:rsidRPr="00196D41" w14:paraId="44B35E0E" w14:textId="77777777" w:rsidTr="0084039C">
              <w:trPr>
                <w:trHeight w:val="660"/>
              </w:trPr>
              <w:tc>
                <w:tcPr>
                  <w:tcW w:w="848" w:type="dxa"/>
                  <w:tcBorders>
                    <w:bottom w:val="single" w:sz="24" w:space="0" w:color="FFFFFF"/>
                    <w:right w:val="nil"/>
                  </w:tcBorders>
                  <w:shd w:val="clear" w:color="auto" w:fill="76C8BD"/>
                  <w:tcMar>
                    <w:left w:w="113" w:type="dxa"/>
                  </w:tcMar>
                </w:tcPr>
                <w:p w14:paraId="44B35E06" w14:textId="77777777" w:rsidR="008E42A7" w:rsidRPr="00196D41" w:rsidRDefault="008E42A7" w:rsidP="008E42A7">
                  <w:pPr>
                    <w:keepNext/>
                    <w:keepLines/>
                    <w:spacing w:before="60" w:after="60" w:line="240" w:lineRule="auto"/>
                    <w:jc w:val="center"/>
                    <w:rPr>
                      <w:rFonts w:cs="Arial"/>
                      <w:b/>
                      <w:color w:val="FFFFFF"/>
                      <w:sz w:val="18"/>
                      <w:szCs w:val="18"/>
                    </w:rPr>
                  </w:pPr>
                  <w:r w:rsidRPr="00196D41">
                    <w:rPr>
                      <w:rFonts w:cs="Arial"/>
                      <w:b/>
                      <w:noProof/>
                      <w:color w:val="FFFFFF"/>
                      <w:sz w:val="18"/>
                      <w:szCs w:val="18"/>
                    </w:rPr>
                    <w:drawing>
                      <wp:inline distT="0" distB="0" distL="0" distR="0" wp14:anchorId="44B3637D" wp14:editId="44B3637E">
                        <wp:extent cx="313323" cy="4286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con-18.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6171" cy="432522"/>
                                </a:xfrm>
                                <a:prstGeom prst="rect">
                                  <a:avLst/>
                                </a:prstGeom>
                              </pic:spPr>
                            </pic:pic>
                          </a:graphicData>
                        </a:graphic>
                      </wp:inline>
                    </w:drawing>
                  </w:r>
                </w:p>
              </w:tc>
              <w:tc>
                <w:tcPr>
                  <w:tcW w:w="1674" w:type="dxa"/>
                  <w:tcBorders>
                    <w:left w:val="nil"/>
                    <w:bottom w:val="single" w:sz="24" w:space="0" w:color="FFFFFF"/>
                    <w:right w:val="nil"/>
                  </w:tcBorders>
                  <w:shd w:val="clear" w:color="auto" w:fill="76C8BD"/>
                  <w:vAlign w:val="center"/>
                </w:tcPr>
                <w:p w14:paraId="44B35E07" w14:textId="77777777" w:rsidR="008E42A7" w:rsidRPr="00196D41" w:rsidRDefault="008E42A7" w:rsidP="008E42A7">
                  <w:pPr>
                    <w:keepNext/>
                    <w:keepLines/>
                    <w:spacing w:before="60" w:after="60" w:line="240" w:lineRule="auto"/>
                    <w:rPr>
                      <w:rFonts w:cs="Arial"/>
                      <w:color w:val="FFFFFF"/>
                      <w:sz w:val="18"/>
                      <w:szCs w:val="18"/>
                      <w:highlight w:val="yellow"/>
                    </w:rPr>
                  </w:pPr>
                  <w:r w:rsidRPr="00196D41">
                    <w:rPr>
                      <w:rFonts w:cs="Arial"/>
                      <w:b/>
                      <w:color w:val="FFFFFF"/>
                      <w:sz w:val="18"/>
                      <w:szCs w:val="18"/>
                    </w:rPr>
                    <w:t>Investigations</w:t>
                  </w:r>
                </w:p>
              </w:tc>
              <w:tc>
                <w:tcPr>
                  <w:tcW w:w="1157" w:type="dxa"/>
                  <w:tcBorders>
                    <w:left w:val="nil"/>
                    <w:bottom w:val="single" w:sz="24" w:space="0" w:color="FFFFFF"/>
                    <w:right w:val="nil"/>
                  </w:tcBorders>
                  <w:shd w:val="clear" w:color="auto" w:fill="76C8BD"/>
                </w:tcPr>
                <w:p w14:paraId="44B35E08"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E09"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E0A"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7" w:type="dxa"/>
                  <w:tcBorders>
                    <w:left w:val="nil"/>
                    <w:bottom w:val="single" w:sz="24" w:space="0" w:color="FFFFFF"/>
                    <w:right w:val="nil"/>
                  </w:tcBorders>
                  <w:shd w:val="clear" w:color="auto" w:fill="76C8BD"/>
                </w:tcPr>
                <w:p w14:paraId="44B35E0B"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Mar>
                    <w:left w:w="113" w:type="dxa"/>
                  </w:tcMar>
                </w:tcPr>
                <w:p w14:paraId="44B35E0C"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tcBorders>
                  <w:shd w:val="clear" w:color="auto" w:fill="76C8BD"/>
                  <w:vAlign w:val="center"/>
                </w:tcPr>
                <w:p w14:paraId="44B35E0D" w14:textId="77777777" w:rsidR="008E42A7" w:rsidRPr="00196D41" w:rsidRDefault="008E42A7" w:rsidP="008E42A7">
                  <w:pPr>
                    <w:keepNext/>
                    <w:keepLines/>
                    <w:spacing w:before="60" w:after="60" w:line="240" w:lineRule="auto"/>
                    <w:ind w:right="142"/>
                    <w:jc w:val="right"/>
                    <w:rPr>
                      <w:rFonts w:cs="Arial"/>
                      <w:color w:val="FFFFFF"/>
                      <w:sz w:val="18"/>
                      <w:szCs w:val="18"/>
                      <w:highlight w:val="yellow"/>
                    </w:rPr>
                  </w:pPr>
                </w:p>
              </w:tc>
            </w:tr>
            <w:tr w:rsidR="008E42A7" w:rsidRPr="00196D41" w14:paraId="44B35E16" w14:textId="77777777" w:rsidTr="0084039C">
              <w:trPr>
                <w:trHeight w:val="660"/>
              </w:trPr>
              <w:tc>
                <w:tcPr>
                  <w:tcW w:w="2522" w:type="dxa"/>
                  <w:gridSpan w:val="2"/>
                  <w:shd w:val="clear" w:color="auto" w:fill="D1ECE9"/>
                  <w:tcMar>
                    <w:left w:w="113" w:type="dxa"/>
                  </w:tcMar>
                  <w:vAlign w:val="center"/>
                </w:tcPr>
                <w:p w14:paraId="44B35E0F"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Terminated</w:t>
                  </w:r>
                  <w:r w:rsidRPr="00196D41">
                    <w:rPr>
                      <w:rFonts w:cs="Arial"/>
                      <w:sz w:val="18"/>
                      <w:szCs w:val="18"/>
                      <w:vertAlign w:val="superscript"/>
                    </w:rPr>
                    <w:t>‡</w:t>
                  </w:r>
                  <w:r w:rsidRPr="00196D41">
                    <w:rPr>
                      <w:rFonts w:cs="Arial"/>
                      <w:i/>
                      <w:sz w:val="18"/>
                      <w:szCs w:val="18"/>
                    </w:rPr>
                    <w:t xml:space="preserve"> </w:t>
                  </w:r>
                </w:p>
              </w:tc>
              <w:tc>
                <w:tcPr>
                  <w:tcW w:w="1157" w:type="dxa"/>
                  <w:shd w:val="clear" w:color="auto" w:fill="D1ECE9"/>
                  <w:vAlign w:val="center"/>
                </w:tcPr>
                <w:p w14:paraId="44B35E10"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175</w:t>
                  </w:r>
                </w:p>
              </w:tc>
              <w:tc>
                <w:tcPr>
                  <w:tcW w:w="1158" w:type="dxa"/>
                  <w:shd w:val="clear" w:color="auto" w:fill="D1ECE9"/>
                  <w:vAlign w:val="center"/>
                </w:tcPr>
                <w:p w14:paraId="44B35E11"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174</w:t>
                  </w:r>
                </w:p>
              </w:tc>
              <w:tc>
                <w:tcPr>
                  <w:tcW w:w="1158" w:type="dxa"/>
                  <w:shd w:val="clear" w:color="auto" w:fill="D1ECE9"/>
                  <w:vAlign w:val="center"/>
                </w:tcPr>
                <w:p w14:paraId="44B35E12"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210</w:t>
                  </w:r>
                </w:p>
              </w:tc>
              <w:tc>
                <w:tcPr>
                  <w:tcW w:w="1157" w:type="dxa"/>
                  <w:shd w:val="clear" w:color="auto" w:fill="D1ECE9"/>
                  <w:vAlign w:val="center"/>
                </w:tcPr>
                <w:p w14:paraId="44B35E13"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556</w:t>
                  </w:r>
                </w:p>
              </w:tc>
              <w:tc>
                <w:tcPr>
                  <w:tcW w:w="1158" w:type="dxa"/>
                  <w:shd w:val="clear" w:color="auto" w:fill="D1ECE9"/>
                  <w:tcMar>
                    <w:left w:w="113" w:type="dxa"/>
                  </w:tcMar>
                  <w:vAlign w:val="center"/>
                </w:tcPr>
                <w:p w14:paraId="44B35E14"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578</w:t>
                  </w:r>
                </w:p>
              </w:tc>
              <w:tc>
                <w:tcPr>
                  <w:tcW w:w="1158" w:type="dxa"/>
                  <w:shd w:val="clear" w:color="auto" w:fill="D1ECE9"/>
                  <w:vAlign w:val="center"/>
                </w:tcPr>
                <w:p w14:paraId="44B35E15" w14:textId="77777777" w:rsidR="008E42A7" w:rsidRPr="00196D41" w:rsidRDefault="008E42A7" w:rsidP="008E42A7">
                  <w:pPr>
                    <w:keepNext/>
                    <w:keepLines/>
                    <w:spacing w:before="60" w:after="60" w:line="240" w:lineRule="auto"/>
                    <w:ind w:right="142"/>
                    <w:jc w:val="right"/>
                    <w:rPr>
                      <w:rFonts w:cs="Arial"/>
                      <w:sz w:val="18"/>
                      <w:szCs w:val="18"/>
                    </w:rPr>
                  </w:pPr>
                  <w:r w:rsidRPr="00196D41">
                    <w:rPr>
                      <w:rFonts w:cs="Arial"/>
                      <w:sz w:val="18"/>
                      <w:szCs w:val="18"/>
                    </w:rPr>
                    <w:t>+4</w:t>
                  </w:r>
                </w:p>
              </w:tc>
            </w:tr>
            <w:tr w:rsidR="008E42A7" w:rsidRPr="00196D41" w14:paraId="44B35E1E" w14:textId="77777777" w:rsidTr="0084039C">
              <w:trPr>
                <w:trHeight w:val="660"/>
              </w:trPr>
              <w:tc>
                <w:tcPr>
                  <w:tcW w:w="2522" w:type="dxa"/>
                  <w:gridSpan w:val="2"/>
                  <w:shd w:val="clear" w:color="auto" w:fill="D1ECE9"/>
                  <w:tcMar>
                    <w:left w:w="113" w:type="dxa"/>
                  </w:tcMar>
                  <w:vAlign w:val="center"/>
                </w:tcPr>
                <w:p w14:paraId="44B35E17"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Completed</w:t>
                  </w:r>
                  <w:r w:rsidRPr="00196D41">
                    <w:rPr>
                      <w:rFonts w:cs="Arial"/>
                      <w:sz w:val="18"/>
                      <w:szCs w:val="18"/>
                      <w:vertAlign w:val="superscript"/>
                    </w:rPr>
                    <w:t>§</w:t>
                  </w:r>
                </w:p>
              </w:tc>
              <w:tc>
                <w:tcPr>
                  <w:tcW w:w="1157" w:type="dxa"/>
                  <w:shd w:val="clear" w:color="auto" w:fill="D1ECE9"/>
                  <w:vAlign w:val="center"/>
                </w:tcPr>
                <w:p w14:paraId="44B35E18"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2,782</w:t>
                  </w:r>
                </w:p>
              </w:tc>
              <w:tc>
                <w:tcPr>
                  <w:tcW w:w="1158" w:type="dxa"/>
                  <w:shd w:val="clear" w:color="auto" w:fill="D1ECE9"/>
                  <w:vAlign w:val="center"/>
                </w:tcPr>
                <w:p w14:paraId="44B35E19"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3,994</w:t>
                  </w:r>
                </w:p>
              </w:tc>
              <w:tc>
                <w:tcPr>
                  <w:tcW w:w="1158" w:type="dxa"/>
                  <w:shd w:val="clear" w:color="auto" w:fill="D1ECE9"/>
                  <w:vAlign w:val="center"/>
                </w:tcPr>
                <w:p w14:paraId="44B35E1A"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5,403</w:t>
                  </w:r>
                </w:p>
              </w:tc>
              <w:tc>
                <w:tcPr>
                  <w:tcW w:w="1157" w:type="dxa"/>
                  <w:shd w:val="clear" w:color="auto" w:fill="D1ECE9"/>
                  <w:vAlign w:val="center"/>
                </w:tcPr>
                <w:p w14:paraId="44B35E1B"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3,143</w:t>
                  </w:r>
                </w:p>
              </w:tc>
              <w:tc>
                <w:tcPr>
                  <w:tcW w:w="1158" w:type="dxa"/>
                  <w:shd w:val="clear" w:color="auto" w:fill="D1ECE9"/>
                  <w:tcMar>
                    <w:left w:w="113" w:type="dxa"/>
                  </w:tcMar>
                  <w:vAlign w:val="center"/>
                </w:tcPr>
                <w:p w14:paraId="44B35E1C"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10,586</w:t>
                  </w:r>
                </w:p>
              </w:tc>
              <w:tc>
                <w:tcPr>
                  <w:tcW w:w="1158" w:type="dxa"/>
                  <w:shd w:val="clear" w:color="auto" w:fill="D1ECE9"/>
                  <w:vAlign w:val="center"/>
                </w:tcPr>
                <w:p w14:paraId="44B35E1D" w14:textId="77777777" w:rsidR="008E42A7" w:rsidRPr="00196D41" w:rsidRDefault="008E42A7" w:rsidP="008E42A7">
                  <w:pPr>
                    <w:keepNext/>
                    <w:keepLines/>
                    <w:tabs>
                      <w:tab w:val="left" w:pos="766"/>
                    </w:tabs>
                    <w:spacing w:before="60" w:after="60" w:line="240" w:lineRule="auto"/>
                    <w:ind w:right="142"/>
                    <w:jc w:val="right"/>
                    <w:rPr>
                      <w:rFonts w:cs="Arial"/>
                      <w:sz w:val="18"/>
                      <w:szCs w:val="18"/>
                    </w:rPr>
                  </w:pPr>
                  <w:r w:rsidRPr="00196D41">
                    <w:rPr>
                      <w:rFonts w:cs="Arial"/>
                      <w:sz w:val="18"/>
                      <w:szCs w:val="18"/>
                    </w:rPr>
                    <w:t>+237</w:t>
                  </w:r>
                </w:p>
              </w:tc>
            </w:tr>
            <w:tr w:rsidR="008E42A7" w:rsidRPr="00196D41" w14:paraId="44B35E26" w14:textId="77777777" w:rsidTr="0084039C">
              <w:trPr>
                <w:trHeight w:val="660"/>
              </w:trPr>
              <w:tc>
                <w:tcPr>
                  <w:tcW w:w="2522" w:type="dxa"/>
                  <w:gridSpan w:val="2"/>
                  <w:tcBorders>
                    <w:bottom w:val="single" w:sz="24" w:space="0" w:color="FFFFFF"/>
                  </w:tcBorders>
                  <w:shd w:val="clear" w:color="auto" w:fill="D1ECE9"/>
                  <w:tcMar>
                    <w:left w:w="113" w:type="dxa"/>
                  </w:tcMar>
                  <w:vAlign w:val="center"/>
                </w:tcPr>
                <w:p w14:paraId="44B35E1F" w14:textId="77777777" w:rsidR="008E42A7" w:rsidRPr="00196D41" w:rsidRDefault="008E42A7" w:rsidP="008E42A7">
                  <w:pPr>
                    <w:keepNext/>
                    <w:keepLines/>
                    <w:spacing w:before="60" w:after="60" w:line="240" w:lineRule="auto"/>
                    <w:rPr>
                      <w:rFonts w:cs="Arial"/>
                      <w:b/>
                      <w:sz w:val="18"/>
                      <w:szCs w:val="18"/>
                    </w:rPr>
                  </w:pPr>
                  <w:r w:rsidRPr="00196D41">
                    <w:rPr>
                      <w:rFonts w:cs="Arial"/>
                      <w:b/>
                      <w:sz w:val="18"/>
                      <w:szCs w:val="18"/>
                    </w:rPr>
                    <w:t>Total items</w:t>
                  </w:r>
                  <w:r w:rsidRPr="00196D41">
                    <w:rPr>
                      <w:rFonts w:ascii="Cambria Math" w:eastAsia="Malgun Gothic" w:hAnsi="Cambria Math" w:cs="Cambria Math" w:hint="eastAsia"/>
                      <w:b/>
                      <w:sz w:val="18"/>
                      <w:szCs w:val="18"/>
                      <w:vertAlign w:val="superscript"/>
                    </w:rPr>
                    <w:t>∥</w:t>
                  </w:r>
                  <w:r w:rsidRPr="00196D41">
                    <w:rPr>
                      <w:rFonts w:cs="Arial"/>
                      <w:b/>
                      <w:sz w:val="18"/>
                      <w:szCs w:val="18"/>
                    </w:rPr>
                    <w:t xml:space="preserve"> investigated</w:t>
                  </w:r>
                </w:p>
              </w:tc>
              <w:tc>
                <w:tcPr>
                  <w:tcW w:w="1157" w:type="dxa"/>
                  <w:tcBorders>
                    <w:bottom w:val="single" w:sz="24" w:space="0" w:color="FFFFFF"/>
                  </w:tcBorders>
                  <w:shd w:val="clear" w:color="auto" w:fill="D1ECE9"/>
                  <w:vAlign w:val="center"/>
                </w:tcPr>
                <w:p w14:paraId="44B35E20" w14:textId="77777777" w:rsidR="008E42A7" w:rsidRPr="00196D41" w:rsidDel="00560996" w:rsidRDefault="008E42A7" w:rsidP="008E42A7">
                  <w:pPr>
                    <w:keepNext/>
                    <w:keepLines/>
                    <w:spacing w:before="60" w:after="60" w:line="240" w:lineRule="auto"/>
                    <w:ind w:right="254"/>
                    <w:jc w:val="right"/>
                    <w:rPr>
                      <w:rFonts w:cs="Arial"/>
                      <w:b/>
                      <w:sz w:val="18"/>
                      <w:szCs w:val="18"/>
                    </w:rPr>
                  </w:pPr>
                  <w:r w:rsidRPr="00196D41">
                    <w:rPr>
                      <w:rFonts w:cs="Arial"/>
                      <w:b/>
                      <w:sz w:val="18"/>
                      <w:szCs w:val="18"/>
                    </w:rPr>
                    <w:t>3,828</w:t>
                  </w:r>
                </w:p>
              </w:tc>
              <w:tc>
                <w:tcPr>
                  <w:tcW w:w="1158" w:type="dxa"/>
                  <w:tcBorders>
                    <w:bottom w:val="single" w:sz="24" w:space="0" w:color="FFFFFF"/>
                  </w:tcBorders>
                  <w:shd w:val="clear" w:color="auto" w:fill="D1ECE9"/>
                  <w:vAlign w:val="center"/>
                </w:tcPr>
                <w:p w14:paraId="44B35E21" w14:textId="77777777" w:rsidR="008E42A7" w:rsidRPr="00196D41" w:rsidDel="00560996" w:rsidRDefault="008E42A7" w:rsidP="008E42A7">
                  <w:pPr>
                    <w:keepNext/>
                    <w:keepLines/>
                    <w:spacing w:before="60" w:after="60" w:line="240" w:lineRule="auto"/>
                    <w:ind w:right="254"/>
                    <w:jc w:val="right"/>
                    <w:rPr>
                      <w:rFonts w:cs="Arial"/>
                      <w:b/>
                      <w:sz w:val="18"/>
                      <w:szCs w:val="18"/>
                    </w:rPr>
                  </w:pPr>
                  <w:r w:rsidRPr="00196D41">
                    <w:rPr>
                      <w:rFonts w:cs="Arial"/>
                      <w:b/>
                      <w:sz w:val="18"/>
                      <w:szCs w:val="18"/>
                    </w:rPr>
                    <w:t>6,587</w:t>
                  </w:r>
                </w:p>
              </w:tc>
              <w:tc>
                <w:tcPr>
                  <w:tcW w:w="1158" w:type="dxa"/>
                  <w:tcBorders>
                    <w:bottom w:val="single" w:sz="24" w:space="0" w:color="FFFFFF"/>
                  </w:tcBorders>
                  <w:shd w:val="clear" w:color="auto" w:fill="D1ECE9"/>
                  <w:vAlign w:val="center"/>
                </w:tcPr>
                <w:p w14:paraId="44B35E22" w14:textId="77777777" w:rsidR="008E42A7" w:rsidRPr="00196D41" w:rsidDel="00560996" w:rsidRDefault="008E42A7" w:rsidP="008E42A7">
                  <w:pPr>
                    <w:keepNext/>
                    <w:keepLines/>
                    <w:spacing w:before="60" w:after="60" w:line="240" w:lineRule="auto"/>
                    <w:ind w:right="254"/>
                    <w:jc w:val="right"/>
                    <w:rPr>
                      <w:rFonts w:cs="Arial"/>
                      <w:b/>
                      <w:sz w:val="18"/>
                      <w:szCs w:val="18"/>
                    </w:rPr>
                  </w:pPr>
                  <w:r w:rsidRPr="00196D41">
                    <w:rPr>
                      <w:rFonts w:cs="Arial"/>
                      <w:b/>
                      <w:sz w:val="18"/>
                      <w:szCs w:val="18"/>
                    </w:rPr>
                    <w:t>6,265</w:t>
                  </w:r>
                </w:p>
              </w:tc>
              <w:tc>
                <w:tcPr>
                  <w:tcW w:w="1157" w:type="dxa"/>
                  <w:tcBorders>
                    <w:bottom w:val="single" w:sz="24" w:space="0" w:color="FFFFFF"/>
                  </w:tcBorders>
                  <w:shd w:val="clear" w:color="auto" w:fill="D1ECE9"/>
                  <w:vAlign w:val="center"/>
                </w:tcPr>
                <w:p w14:paraId="44B35E23" w14:textId="77777777" w:rsidR="008E42A7" w:rsidRPr="00196D41" w:rsidRDefault="008E42A7" w:rsidP="008E42A7">
                  <w:pPr>
                    <w:keepNext/>
                    <w:keepLines/>
                    <w:spacing w:before="60" w:after="60" w:line="240" w:lineRule="auto"/>
                    <w:ind w:right="254"/>
                    <w:jc w:val="right"/>
                    <w:rPr>
                      <w:rFonts w:cs="Arial"/>
                      <w:b/>
                      <w:sz w:val="18"/>
                      <w:szCs w:val="18"/>
                    </w:rPr>
                  </w:pPr>
                  <w:r w:rsidRPr="00196D41">
                    <w:rPr>
                      <w:rFonts w:cs="Arial"/>
                      <w:b/>
                      <w:sz w:val="18"/>
                      <w:szCs w:val="18"/>
                    </w:rPr>
                    <w:t xml:space="preserve">3,793 </w:t>
                  </w:r>
                </w:p>
              </w:tc>
              <w:tc>
                <w:tcPr>
                  <w:tcW w:w="1158" w:type="dxa"/>
                  <w:tcBorders>
                    <w:bottom w:val="single" w:sz="24" w:space="0" w:color="FFFFFF"/>
                  </w:tcBorders>
                  <w:shd w:val="clear" w:color="auto" w:fill="D1ECE9"/>
                  <w:tcMar>
                    <w:left w:w="113" w:type="dxa"/>
                  </w:tcMar>
                  <w:vAlign w:val="center"/>
                </w:tcPr>
                <w:p w14:paraId="44B35E24" w14:textId="77777777" w:rsidR="008E42A7" w:rsidRPr="00196D41" w:rsidRDefault="008E42A7" w:rsidP="008E42A7">
                  <w:pPr>
                    <w:keepNext/>
                    <w:keepLines/>
                    <w:spacing w:before="60" w:after="60" w:line="240" w:lineRule="auto"/>
                    <w:ind w:right="254"/>
                    <w:jc w:val="right"/>
                    <w:rPr>
                      <w:rFonts w:cs="Arial"/>
                      <w:b/>
                      <w:sz w:val="18"/>
                      <w:szCs w:val="18"/>
                    </w:rPr>
                  </w:pPr>
                  <w:r w:rsidRPr="00196D41">
                    <w:rPr>
                      <w:rFonts w:cs="Arial"/>
                      <w:b/>
                      <w:sz w:val="18"/>
                      <w:szCs w:val="18"/>
                    </w:rPr>
                    <w:t xml:space="preserve">11,164 </w:t>
                  </w:r>
                </w:p>
              </w:tc>
              <w:tc>
                <w:tcPr>
                  <w:tcW w:w="1158" w:type="dxa"/>
                  <w:tcBorders>
                    <w:bottom w:val="single" w:sz="24" w:space="0" w:color="FFFFFF"/>
                  </w:tcBorders>
                  <w:shd w:val="clear" w:color="auto" w:fill="D1ECE9"/>
                  <w:vAlign w:val="center"/>
                </w:tcPr>
                <w:p w14:paraId="44B35E25" w14:textId="77777777" w:rsidR="008E42A7" w:rsidRPr="00196D41" w:rsidRDefault="008E42A7" w:rsidP="008E42A7">
                  <w:pPr>
                    <w:keepNext/>
                    <w:keepLines/>
                    <w:spacing w:before="60" w:after="60" w:line="240" w:lineRule="auto"/>
                    <w:ind w:right="142"/>
                    <w:jc w:val="right"/>
                    <w:rPr>
                      <w:rFonts w:cs="Arial"/>
                      <w:b/>
                      <w:sz w:val="18"/>
                      <w:szCs w:val="18"/>
                    </w:rPr>
                  </w:pPr>
                  <w:r w:rsidRPr="00196D41">
                    <w:rPr>
                      <w:rFonts w:cs="Arial"/>
                      <w:b/>
                      <w:sz w:val="18"/>
                      <w:szCs w:val="18"/>
                    </w:rPr>
                    <w:t>+194</w:t>
                  </w:r>
                </w:p>
              </w:tc>
            </w:tr>
            <w:tr w:rsidR="008E42A7" w:rsidRPr="00196D41" w14:paraId="44B35E2F" w14:textId="77777777" w:rsidTr="0084039C">
              <w:trPr>
                <w:trHeight w:val="660"/>
              </w:trPr>
              <w:tc>
                <w:tcPr>
                  <w:tcW w:w="848" w:type="dxa"/>
                  <w:tcBorders>
                    <w:bottom w:val="single" w:sz="24" w:space="0" w:color="FFFFFF"/>
                    <w:right w:val="nil"/>
                  </w:tcBorders>
                  <w:shd w:val="clear" w:color="auto" w:fill="76C8BD"/>
                  <w:tcMar>
                    <w:left w:w="113" w:type="dxa"/>
                  </w:tcMar>
                </w:tcPr>
                <w:p w14:paraId="44B35E27" w14:textId="77777777" w:rsidR="008E42A7" w:rsidRPr="00196D41" w:rsidRDefault="008E42A7" w:rsidP="008E42A7">
                  <w:pPr>
                    <w:keepNext/>
                    <w:keepLines/>
                    <w:spacing w:before="60" w:after="60" w:line="240" w:lineRule="auto"/>
                    <w:jc w:val="center"/>
                    <w:rPr>
                      <w:rFonts w:cs="Arial"/>
                      <w:b/>
                      <w:color w:val="FFFFFF"/>
                      <w:sz w:val="18"/>
                      <w:szCs w:val="18"/>
                    </w:rPr>
                  </w:pPr>
                  <w:r w:rsidRPr="00196D41">
                    <w:rPr>
                      <w:b/>
                      <w:noProof/>
                      <w:color w:val="FFFFFF"/>
                      <w:sz w:val="18"/>
                      <w:szCs w:val="18"/>
                    </w:rPr>
                    <w:drawing>
                      <wp:inline distT="0" distB="0" distL="0" distR="0" wp14:anchorId="44B3637F" wp14:editId="44B36380">
                        <wp:extent cx="342900" cy="337931"/>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5025" cy="349880"/>
                                </a:xfrm>
                                <a:prstGeom prst="rect">
                                  <a:avLst/>
                                </a:prstGeom>
                                <a:noFill/>
                                <a:ln>
                                  <a:noFill/>
                                </a:ln>
                              </pic:spPr>
                            </pic:pic>
                          </a:graphicData>
                        </a:graphic>
                      </wp:inline>
                    </w:drawing>
                  </w:r>
                </w:p>
              </w:tc>
              <w:tc>
                <w:tcPr>
                  <w:tcW w:w="1674" w:type="dxa"/>
                  <w:tcBorders>
                    <w:left w:val="nil"/>
                    <w:bottom w:val="single" w:sz="24" w:space="0" w:color="FFFFFF"/>
                    <w:right w:val="nil"/>
                  </w:tcBorders>
                  <w:shd w:val="clear" w:color="auto" w:fill="76C8BD"/>
                  <w:vAlign w:val="center"/>
                </w:tcPr>
                <w:p w14:paraId="44B35E28" w14:textId="77777777" w:rsidR="008E42A7" w:rsidRPr="00196D41" w:rsidRDefault="008E42A7" w:rsidP="008E42A7">
                  <w:pPr>
                    <w:keepNext/>
                    <w:keepLines/>
                    <w:spacing w:before="60" w:after="60" w:line="240" w:lineRule="auto"/>
                    <w:rPr>
                      <w:rFonts w:cs="Arial"/>
                      <w:color w:val="FFFFFF"/>
                      <w:sz w:val="18"/>
                      <w:szCs w:val="18"/>
                      <w:highlight w:val="yellow"/>
                    </w:rPr>
                  </w:pPr>
                  <w:r w:rsidRPr="00196D41">
                    <w:rPr>
                      <w:rFonts w:cs="Arial"/>
                      <w:b/>
                      <w:color w:val="FFFFFF"/>
                      <w:sz w:val="18"/>
                      <w:szCs w:val="18"/>
                    </w:rPr>
                    <w:t>Action taken</w:t>
                  </w:r>
                </w:p>
              </w:tc>
              <w:tc>
                <w:tcPr>
                  <w:tcW w:w="1157" w:type="dxa"/>
                  <w:tcBorders>
                    <w:left w:val="nil"/>
                    <w:bottom w:val="single" w:sz="24" w:space="0" w:color="FFFFFF"/>
                    <w:right w:val="nil"/>
                  </w:tcBorders>
                  <w:shd w:val="clear" w:color="auto" w:fill="76C8BD"/>
                </w:tcPr>
                <w:p w14:paraId="44B35E29"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E2A"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Pr>
                <w:p w14:paraId="44B35E2B" w14:textId="77777777" w:rsidR="008E42A7" w:rsidRPr="00196D41" w:rsidDel="00560996" w:rsidRDefault="008E42A7" w:rsidP="008E42A7">
                  <w:pPr>
                    <w:keepNext/>
                    <w:keepLines/>
                    <w:spacing w:before="60" w:after="60" w:line="240" w:lineRule="auto"/>
                    <w:ind w:right="254"/>
                    <w:jc w:val="right"/>
                    <w:rPr>
                      <w:rFonts w:cs="Arial"/>
                      <w:color w:val="FFFFFF"/>
                      <w:sz w:val="18"/>
                      <w:szCs w:val="18"/>
                      <w:highlight w:val="yellow"/>
                    </w:rPr>
                  </w:pPr>
                </w:p>
              </w:tc>
              <w:tc>
                <w:tcPr>
                  <w:tcW w:w="1157" w:type="dxa"/>
                  <w:tcBorders>
                    <w:left w:val="nil"/>
                    <w:bottom w:val="single" w:sz="24" w:space="0" w:color="FFFFFF"/>
                    <w:right w:val="nil"/>
                  </w:tcBorders>
                  <w:shd w:val="clear" w:color="auto" w:fill="76C8BD"/>
                </w:tcPr>
                <w:p w14:paraId="44B35E2C"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right w:val="nil"/>
                  </w:tcBorders>
                  <w:shd w:val="clear" w:color="auto" w:fill="76C8BD"/>
                  <w:tcMar>
                    <w:left w:w="113" w:type="dxa"/>
                  </w:tcMar>
                </w:tcPr>
                <w:p w14:paraId="44B35E2D" w14:textId="77777777" w:rsidR="008E42A7" w:rsidRPr="00196D41" w:rsidRDefault="008E42A7" w:rsidP="008E42A7">
                  <w:pPr>
                    <w:keepNext/>
                    <w:keepLines/>
                    <w:spacing w:before="60" w:after="60" w:line="240" w:lineRule="auto"/>
                    <w:ind w:right="254"/>
                    <w:jc w:val="right"/>
                    <w:rPr>
                      <w:rFonts w:cs="Arial"/>
                      <w:color w:val="FFFFFF"/>
                      <w:sz w:val="18"/>
                      <w:szCs w:val="18"/>
                      <w:highlight w:val="yellow"/>
                    </w:rPr>
                  </w:pPr>
                </w:p>
              </w:tc>
              <w:tc>
                <w:tcPr>
                  <w:tcW w:w="1158" w:type="dxa"/>
                  <w:tcBorders>
                    <w:left w:val="nil"/>
                    <w:bottom w:val="single" w:sz="24" w:space="0" w:color="FFFFFF"/>
                  </w:tcBorders>
                  <w:shd w:val="clear" w:color="auto" w:fill="76C8BD"/>
                  <w:vAlign w:val="center"/>
                </w:tcPr>
                <w:p w14:paraId="44B35E2E" w14:textId="77777777" w:rsidR="008E42A7" w:rsidRPr="00196D41" w:rsidRDefault="008E42A7" w:rsidP="008E42A7">
                  <w:pPr>
                    <w:keepNext/>
                    <w:keepLines/>
                    <w:spacing w:before="60" w:after="60" w:line="240" w:lineRule="auto"/>
                    <w:ind w:right="142"/>
                    <w:jc w:val="right"/>
                    <w:rPr>
                      <w:rFonts w:cs="Arial"/>
                      <w:color w:val="FFFFFF"/>
                      <w:sz w:val="18"/>
                      <w:szCs w:val="18"/>
                      <w:highlight w:val="yellow"/>
                    </w:rPr>
                  </w:pPr>
                </w:p>
              </w:tc>
            </w:tr>
            <w:tr w:rsidR="008E42A7" w:rsidRPr="00196D41" w14:paraId="44B35E37" w14:textId="77777777" w:rsidTr="0084039C">
              <w:trPr>
                <w:trHeight w:val="660"/>
              </w:trPr>
              <w:tc>
                <w:tcPr>
                  <w:tcW w:w="2522" w:type="dxa"/>
                  <w:gridSpan w:val="2"/>
                  <w:shd w:val="clear" w:color="auto" w:fill="D1ECE9"/>
                  <w:tcMar>
                    <w:left w:w="113" w:type="dxa"/>
                  </w:tcMar>
                  <w:vAlign w:val="center"/>
                </w:tcPr>
                <w:p w14:paraId="44B35E30"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Items actioned</w:t>
                  </w:r>
                  <w:r w:rsidRPr="00196D41">
                    <w:rPr>
                      <w:rFonts w:eastAsia="Malgun Gothic" w:cs="Arial"/>
                      <w:sz w:val="18"/>
                      <w:szCs w:val="18"/>
                      <w:vertAlign w:val="superscript"/>
                    </w:rPr>
                    <w:t>#</w:t>
                  </w:r>
                  <w:r w:rsidRPr="00196D41">
                    <w:rPr>
                      <w:rFonts w:cs="Arial"/>
                      <w:sz w:val="18"/>
                      <w:szCs w:val="18"/>
                    </w:rPr>
                    <w:t xml:space="preserve"> (hosted in, </w:t>
                  </w:r>
                  <w:r w:rsidRPr="00196D41">
                    <w:rPr>
                      <w:rFonts w:cs="Arial"/>
                      <w:sz w:val="18"/>
                      <w:szCs w:val="18"/>
                    </w:rPr>
                    <w:br/>
                    <w:t>or provided from, Australia)</w:t>
                  </w:r>
                </w:p>
              </w:tc>
              <w:tc>
                <w:tcPr>
                  <w:tcW w:w="1157" w:type="dxa"/>
                  <w:shd w:val="clear" w:color="auto" w:fill="D1ECE9"/>
                  <w:vAlign w:val="center"/>
                </w:tcPr>
                <w:p w14:paraId="44B35E31"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25</w:t>
                  </w:r>
                </w:p>
              </w:tc>
              <w:tc>
                <w:tcPr>
                  <w:tcW w:w="1158" w:type="dxa"/>
                  <w:shd w:val="clear" w:color="auto" w:fill="D1ECE9"/>
                  <w:vAlign w:val="center"/>
                </w:tcPr>
                <w:p w14:paraId="44B35E32"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12</w:t>
                  </w:r>
                </w:p>
              </w:tc>
              <w:tc>
                <w:tcPr>
                  <w:tcW w:w="1158" w:type="dxa"/>
                  <w:shd w:val="clear" w:color="auto" w:fill="D1ECE9"/>
                  <w:vAlign w:val="center"/>
                </w:tcPr>
                <w:p w14:paraId="44B35E33"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7</w:t>
                  </w:r>
                </w:p>
              </w:tc>
              <w:tc>
                <w:tcPr>
                  <w:tcW w:w="1157" w:type="dxa"/>
                  <w:shd w:val="clear" w:color="auto" w:fill="D1ECE9"/>
                  <w:vAlign w:val="center"/>
                </w:tcPr>
                <w:p w14:paraId="44B35E34"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8**</w:t>
                  </w:r>
                </w:p>
              </w:tc>
              <w:tc>
                <w:tcPr>
                  <w:tcW w:w="1158" w:type="dxa"/>
                  <w:shd w:val="clear" w:color="auto" w:fill="D1ECE9"/>
                  <w:tcMar>
                    <w:left w:w="113" w:type="dxa"/>
                  </w:tcMar>
                  <w:vAlign w:val="center"/>
                </w:tcPr>
                <w:p w14:paraId="44B35E35"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w:t>
                  </w:r>
                </w:p>
              </w:tc>
              <w:tc>
                <w:tcPr>
                  <w:tcW w:w="1158" w:type="dxa"/>
                  <w:shd w:val="clear" w:color="auto" w:fill="D1ECE9"/>
                  <w:vAlign w:val="center"/>
                </w:tcPr>
                <w:p w14:paraId="44B35E36" w14:textId="77777777" w:rsidR="008E42A7" w:rsidRPr="00196D41" w:rsidRDefault="008E42A7" w:rsidP="008E42A7">
                  <w:pPr>
                    <w:keepNext/>
                    <w:keepLines/>
                    <w:spacing w:before="60" w:after="60" w:line="240" w:lineRule="auto"/>
                    <w:ind w:right="142"/>
                    <w:jc w:val="right"/>
                    <w:rPr>
                      <w:rFonts w:cs="Arial"/>
                      <w:sz w:val="18"/>
                      <w:szCs w:val="18"/>
                    </w:rPr>
                  </w:pPr>
                  <w:r w:rsidRPr="00196D41">
                    <w:rPr>
                      <w:rFonts w:cs="Arial"/>
                      <w:sz w:val="18"/>
                      <w:szCs w:val="18"/>
                    </w:rPr>
                    <w:t>–88</w:t>
                  </w:r>
                </w:p>
              </w:tc>
            </w:tr>
            <w:tr w:rsidR="008E42A7" w:rsidRPr="00196D41" w14:paraId="44B35E3F" w14:textId="77777777" w:rsidTr="0084039C">
              <w:trPr>
                <w:trHeight w:val="660"/>
              </w:trPr>
              <w:tc>
                <w:tcPr>
                  <w:tcW w:w="2522" w:type="dxa"/>
                  <w:gridSpan w:val="2"/>
                  <w:shd w:val="clear" w:color="auto" w:fill="D1ECE9"/>
                  <w:tcMar>
                    <w:left w:w="113" w:type="dxa"/>
                  </w:tcMar>
                  <w:vAlign w:val="center"/>
                </w:tcPr>
                <w:p w14:paraId="44B35E38"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 xml:space="preserve">Items actioned </w:t>
                  </w:r>
                  <w:r>
                    <w:rPr>
                      <w:rFonts w:cs="Arial"/>
                      <w:sz w:val="18"/>
                      <w:szCs w:val="18"/>
                    </w:rPr>
                    <w:br/>
                  </w:r>
                  <w:r w:rsidRPr="00196D41">
                    <w:rPr>
                      <w:rFonts w:cs="Arial"/>
                      <w:sz w:val="18"/>
                      <w:szCs w:val="18"/>
                    </w:rPr>
                    <w:t>(overseas-hosted)</w:t>
                  </w:r>
                </w:p>
              </w:tc>
              <w:tc>
                <w:tcPr>
                  <w:tcW w:w="1157" w:type="dxa"/>
                  <w:shd w:val="clear" w:color="auto" w:fill="D1ECE9"/>
                  <w:vAlign w:val="center"/>
                </w:tcPr>
                <w:p w14:paraId="44B35E39"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1,907</w:t>
                  </w:r>
                </w:p>
              </w:tc>
              <w:tc>
                <w:tcPr>
                  <w:tcW w:w="1158" w:type="dxa"/>
                  <w:shd w:val="clear" w:color="auto" w:fill="D1ECE9"/>
                  <w:vAlign w:val="center"/>
                </w:tcPr>
                <w:p w14:paraId="44B35E3A"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1,945</w:t>
                  </w:r>
                </w:p>
              </w:tc>
              <w:tc>
                <w:tcPr>
                  <w:tcW w:w="1158" w:type="dxa"/>
                  <w:shd w:val="clear" w:color="auto" w:fill="D1ECE9"/>
                  <w:vAlign w:val="center"/>
                </w:tcPr>
                <w:p w14:paraId="44B35E3B"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2,004</w:t>
                  </w:r>
                </w:p>
              </w:tc>
              <w:tc>
                <w:tcPr>
                  <w:tcW w:w="1157" w:type="dxa"/>
                  <w:shd w:val="clear" w:color="auto" w:fill="D1ECE9"/>
                  <w:vAlign w:val="center"/>
                </w:tcPr>
                <w:p w14:paraId="44B35E3C"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1,845</w:t>
                  </w:r>
                </w:p>
              </w:tc>
              <w:tc>
                <w:tcPr>
                  <w:tcW w:w="1158" w:type="dxa"/>
                  <w:shd w:val="clear" w:color="auto" w:fill="D1ECE9"/>
                  <w:tcMar>
                    <w:left w:w="113" w:type="dxa"/>
                  </w:tcMar>
                  <w:vAlign w:val="center"/>
                </w:tcPr>
                <w:p w14:paraId="44B35E3D"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8,980</w:t>
                  </w:r>
                </w:p>
              </w:tc>
              <w:tc>
                <w:tcPr>
                  <w:tcW w:w="1158" w:type="dxa"/>
                  <w:shd w:val="clear" w:color="auto" w:fill="D1ECE9"/>
                  <w:vAlign w:val="center"/>
                </w:tcPr>
                <w:p w14:paraId="44B35E3E" w14:textId="77777777" w:rsidR="008E42A7" w:rsidRPr="00196D41" w:rsidRDefault="008E42A7" w:rsidP="008E42A7">
                  <w:pPr>
                    <w:keepNext/>
                    <w:keepLines/>
                    <w:spacing w:before="60" w:after="60" w:line="240" w:lineRule="auto"/>
                    <w:ind w:right="142"/>
                    <w:jc w:val="right"/>
                    <w:rPr>
                      <w:rFonts w:cs="Arial"/>
                      <w:sz w:val="18"/>
                      <w:szCs w:val="18"/>
                    </w:rPr>
                  </w:pPr>
                  <w:r w:rsidRPr="00196D41">
                    <w:rPr>
                      <w:rFonts w:cs="Arial"/>
                      <w:sz w:val="18"/>
                      <w:szCs w:val="18"/>
                    </w:rPr>
                    <w:t>+387</w:t>
                  </w:r>
                </w:p>
              </w:tc>
            </w:tr>
            <w:tr w:rsidR="008E42A7" w:rsidRPr="00196D41" w14:paraId="44B35E47" w14:textId="77777777" w:rsidTr="0084039C">
              <w:trPr>
                <w:trHeight w:val="660"/>
              </w:trPr>
              <w:tc>
                <w:tcPr>
                  <w:tcW w:w="2522" w:type="dxa"/>
                  <w:gridSpan w:val="2"/>
                  <w:shd w:val="clear" w:color="auto" w:fill="D1ECE9"/>
                  <w:tcMar>
                    <w:left w:w="113" w:type="dxa"/>
                  </w:tcMar>
                  <w:vAlign w:val="center"/>
                </w:tcPr>
                <w:p w14:paraId="44B35E40" w14:textId="77777777" w:rsidR="008E42A7" w:rsidRPr="00196D41" w:rsidRDefault="008E42A7" w:rsidP="008E42A7">
                  <w:pPr>
                    <w:keepNext/>
                    <w:keepLines/>
                    <w:spacing w:before="60" w:after="60" w:line="240" w:lineRule="auto"/>
                    <w:rPr>
                      <w:rFonts w:cs="Arial"/>
                      <w:sz w:val="18"/>
                      <w:szCs w:val="18"/>
                    </w:rPr>
                  </w:pPr>
                  <w:r w:rsidRPr="00196D41">
                    <w:rPr>
                      <w:rFonts w:cs="Arial"/>
                      <w:sz w:val="18"/>
                      <w:szCs w:val="18"/>
                    </w:rPr>
                    <w:t>Items of online child abuse and other illegal material referred to law enforcement</w:t>
                  </w:r>
                </w:p>
              </w:tc>
              <w:tc>
                <w:tcPr>
                  <w:tcW w:w="1157" w:type="dxa"/>
                  <w:shd w:val="clear" w:color="auto" w:fill="D1ECE9"/>
                  <w:vAlign w:val="center"/>
                </w:tcPr>
                <w:p w14:paraId="44B35E41"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1,092</w:t>
                  </w:r>
                </w:p>
              </w:tc>
              <w:tc>
                <w:tcPr>
                  <w:tcW w:w="1158" w:type="dxa"/>
                  <w:shd w:val="clear" w:color="auto" w:fill="D1ECE9"/>
                  <w:vAlign w:val="center"/>
                </w:tcPr>
                <w:p w14:paraId="44B35E42"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1,071</w:t>
                  </w:r>
                </w:p>
              </w:tc>
              <w:tc>
                <w:tcPr>
                  <w:tcW w:w="1158" w:type="dxa"/>
                  <w:shd w:val="clear" w:color="auto" w:fill="D1ECE9"/>
                  <w:vAlign w:val="center"/>
                </w:tcPr>
                <w:p w14:paraId="44B35E43" w14:textId="77777777" w:rsidR="008E42A7" w:rsidRPr="00196D41" w:rsidDel="00560996" w:rsidRDefault="008E42A7" w:rsidP="008E42A7">
                  <w:pPr>
                    <w:keepNext/>
                    <w:keepLines/>
                    <w:spacing w:before="60" w:after="60" w:line="240" w:lineRule="auto"/>
                    <w:ind w:right="254"/>
                    <w:jc w:val="right"/>
                    <w:rPr>
                      <w:rFonts w:cs="Arial"/>
                      <w:sz w:val="18"/>
                      <w:szCs w:val="18"/>
                    </w:rPr>
                  </w:pPr>
                  <w:r w:rsidRPr="00196D41">
                    <w:rPr>
                      <w:rFonts w:cs="Arial"/>
                      <w:sz w:val="18"/>
                      <w:szCs w:val="18"/>
                    </w:rPr>
                    <w:t>1,130</w:t>
                  </w:r>
                </w:p>
              </w:tc>
              <w:tc>
                <w:tcPr>
                  <w:tcW w:w="1157" w:type="dxa"/>
                  <w:shd w:val="clear" w:color="auto" w:fill="D1ECE9"/>
                  <w:vAlign w:val="center"/>
                </w:tcPr>
                <w:p w14:paraId="44B35E44"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1,182</w:t>
                  </w:r>
                </w:p>
              </w:tc>
              <w:tc>
                <w:tcPr>
                  <w:tcW w:w="1158" w:type="dxa"/>
                  <w:shd w:val="clear" w:color="auto" w:fill="D1ECE9"/>
                  <w:tcMar>
                    <w:left w:w="113" w:type="dxa"/>
                  </w:tcMar>
                  <w:vAlign w:val="center"/>
                </w:tcPr>
                <w:p w14:paraId="44B35E45" w14:textId="77777777" w:rsidR="008E42A7" w:rsidRPr="00196D41" w:rsidRDefault="008E42A7" w:rsidP="008E42A7">
                  <w:pPr>
                    <w:keepNext/>
                    <w:keepLines/>
                    <w:spacing w:before="60" w:after="60" w:line="240" w:lineRule="auto"/>
                    <w:ind w:right="254"/>
                    <w:jc w:val="right"/>
                    <w:rPr>
                      <w:rFonts w:cs="Arial"/>
                      <w:sz w:val="18"/>
                      <w:szCs w:val="18"/>
                    </w:rPr>
                  </w:pPr>
                  <w:r w:rsidRPr="00196D41">
                    <w:rPr>
                      <w:rFonts w:cs="Arial"/>
                      <w:sz w:val="18"/>
                      <w:szCs w:val="18"/>
                    </w:rPr>
                    <w:t>7,670</w:t>
                  </w:r>
                </w:p>
              </w:tc>
              <w:tc>
                <w:tcPr>
                  <w:tcW w:w="1158" w:type="dxa"/>
                  <w:shd w:val="clear" w:color="auto" w:fill="D1ECE9"/>
                  <w:vAlign w:val="center"/>
                </w:tcPr>
                <w:p w14:paraId="44B35E46" w14:textId="77777777" w:rsidR="008E42A7" w:rsidRPr="00196D41" w:rsidRDefault="008E42A7" w:rsidP="008E42A7">
                  <w:pPr>
                    <w:keepNext/>
                    <w:keepLines/>
                    <w:spacing w:before="60" w:after="60" w:line="240" w:lineRule="auto"/>
                    <w:ind w:right="142"/>
                    <w:jc w:val="right"/>
                    <w:rPr>
                      <w:rFonts w:cs="Arial"/>
                      <w:sz w:val="18"/>
                      <w:szCs w:val="18"/>
                    </w:rPr>
                  </w:pPr>
                  <w:r w:rsidRPr="00196D41">
                    <w:rPr>
                      <w:rFonts w:cs="Arial"/>
                      <w:sz w:val="18"/>
                      <w:szCs w:val="18"/>
                    </w:rPr>
                    <w:t>+549</w:t>
                  </w:r>
                </w:p>
              </w:tc>
            </w:tr>
          </w:tbl>
          <w:p w14:paraId="44B35E48" w14:textId="77777777" w:rsidR="009517EA" w:rsidRPr="00E141F1" w:rsidRDefault="009517EA" w:rsidP="009517EA">
            <w:pPr>
              <w:keepNext/>
              <w:keepLines/>
              <w:rPr>
                <w:rFonts w:cs="Arial"/>
              </w:rPr>
            </w:pPr>
          </w:p>
        </w:tc>
      </w:tr>
      <w:tr w:rsidR="009517EA" w14:paraId="44B35E52" w14:textId="77777777" w:rsidTr="009517EA">
        <w:trPr>
          <w:trHeight w:val="291"/>
        </w:trPr>
        <w:tc>
          <w:tcPr>
            <w:tcW w:w="9645" w:type="dxa"/>
            <w:tcBorders>
              <w:bottom w:val="single" w:sz="2" w:space="0" w:color="505050"/>
            </w:tcBorders>
            <w:shd w:val="clear" w:color="auto" w:fill="auto"/>
          </w:tcPr>
          <w:p w14:paraId="44B35E4A" w14:textId="77777777" w:rsidR="009517EA" w:rsidRPr="00E141F1" w:rsidRDefault="009517EA" w:rsidP="008E42A7">
            <w:pPr>
              <w:keepNext/>
              <w:spacing w:before="120" w:after="20" w:line="240" w:lineRule="auto"/>
              <w:rPr>
                <w:rFonts w:cs="Arial"/>
                <w:i/>
                <w:sz w:val="16"/>
                <w:szCs w:val="16"/>
              </w:rPr>
            </w:pPr>
            <w:r w:rsidRPr="00E141F1">
              <w:rPr>
                <w:rFonts w:cs="Arial"/>
                <w:i/>
                <w:sz w:val="16"/>
                <w:szCs w:val="16"/>
              </w:rPr>
              <w:t xml:space="preserve">*A complaint may not reach investigation stage if the complainant is not eligible to make a complaint or if the complaint is about a matter that the ACMA cannot investigate. </w:t>
            </w:r>
          </w:p>
          <w:p w14:paraId="44B35E4B" w14:textId="77777777" w:rsidR="009517EA" w:rsidRPr="00D25F01" w:rsidRDefault="009517EA" w:rsidP="00A3675A">
            <w:pPr>
              <w:keepNext/>
              <w:spacing w:after="20" w:line="240" w:lineRule="auto"/>
              <w:rPr>
                <w:rFonts w:cs="Arial"/>
                <w:i/>
                <w:sz w:val="16"/>
                <w:szCs w:val="16"/>
              </w:rPr>
            </w:pPr>
            <w:r w:rsidRPr="00002C66">
              <w:rPr>
                <w:rFonts w:cs="Arial"/>
                <w:i/>
                <w:sz w:val="16"/>
                <w:szCs w:val="16"/>
                <w:vertAlign w:val="superscript"/>
              </w:rPr>
              <w:t>†</w:t>
            </w:r>
            <w:r w:rsidRPr="00E141F1">
              <w:rPr>
                <w:rFonts w:cs="Arial"/>
                <w:i/>
                <w:sz w:val="16"/>
                <w:szCs w:val="16"/>
              </w:rPr>
              <w:t>A complaint is not investigated if the complaint is invalid. A complaint is invalid if it does not contain the required information set out at subclause 37(4) of Schedule 7 to the BSA, or has been made by a person not entitled to make a complaint.</w:t>
            </w:r>
          </w:p>
          <w:p w14:paraId="44B35E4C" w14:textId="77777777" w:rsidR="009517EA" w:rsidRPr="00E141F1" w:rsidRDefault="009517EA" w:rsidP="00A3675A">
            <w:pPr>
              <w:keepNext/>
              <w:spacing w:after="20" w:line="240" w:lineRule="auto"/>
              <w:rPr>
                <w:rFonts w:cs="Arial"/>
                <w:i/>
                <w:sz w:val="16"/>
                <w:szCs w:val="16"/>
              </w:rPr>
            </w:pPr>
            <w:r w:rsidRPr="00002C66">
              <w:rPr>
                <w:rFonts w:cs="Arial"/>
                <w:i/>
                <w:sz w:val="16"/>
                <w:szCs w:val="16"/>
                <w:vertAlign w:val="superscript"/>
              </w:rPr>
              <w:t>‡</w:t>
            </w:r>
            <w:r w:rsidRPr="00E141F1">
              <w:rPr>
                <w:rFonts w:cs="Arial"/>
                <w:i/>
                <w:sz w:val="16"/>
                <w:szCs w:val="16"/>
              </w:rPr>
              <w:t xml:space="preserve">An investigation may be terminated if the ACMA is of the opinion that is does not have sufficient information to conclude the investigation. </w:t>
            </w:r>
          </w:p>
          <w:p w14:paraId="44B35E4D" w14:textId="77777777" w:rsidR="009517EA" w:rsidRPr="00E141F1" w:rsidRDefault="009517EA" w:rsidP="00A3675A">
            <w:pPr>
              <w:keepNext/>
              <w:spacing w:after="20" w:line="240" w:lineRule="auto"/>
              <w:rPr>
                <w:rFonts w:cs="Arial"/>
                <w:i/>
                <w:sz w:val="16"/>
                <w:szCs w:val="16"/>
              </w:rPr>
            </w:pPr>
            <w:r w:rsidRPr="00002C66">
              <w:rPr>
                <w:rFonts w:cs="Arial"/>
                <w:i/>
                <w:sz w:val="16"/>
                <w:szCs w:val="16"/>
                <w:vertAlign w:val="superscript"/>
              </w:rPr>
              <w:t>§</w:t>
            </w:r>
            <w:r w:rsidRPr="00E141F1">
              <w:rPr>
                <w:rFonts w:cs="Arial"/>
                <w:i/>
                <w:sz w:val="16"/>
                <w:szCs w:val="16"/>
              </w:rPr>
              <w:t xml:space="preserve">An investigation may relate to one or many items of content. An investigation may be terminated if the ACMA does not have sufficient information to conduct its </w:t>
            </w:r>
            <w:r w:rsidRPr="00EE355A">
              <w:rPr>
                <w:rFonts w:cs="Arial"/>
                <w:i/>
                <w:sz w:val="16"/>
                <w:szCs w:val="16"/>
              </w:rPr>
              <w:t>investigation.</w:t>
            </w:r>
          </w:p>
          <w:p w14:paraId="44B35E4E" w14:textId="77777777" w:rsidR="009517EA" w:rsidRPr="00E141F1" w:rsidRDefault="009517EA" w:rsidP="00A3675A">
            <w:pPr>
              <w:keepNext/>
              <w:spacing w:after="20" w:line="240" w:lineRule="auto"/>
              <w:rPr>
                <w:rFonts w:cs="Arial"/>
                <w:i/>
                <w:sz w:val="16"/>
                <w:szCs w:val="16"/>
              </w:rPr>
            </w:pPr>
            <w:r w:rsidRPr="00002C66">
              <w:rPr>
                <w:rFonts w:ascii="Cambria Math" w:hAnsi="Cambria Math" w:cs="Cambria Math"/>
                <w:i/>
                <w:sz w:val="16"/>
                <w:szCs w:val="16"/>
                <w:vertAlign w:val="superscript"/>
              </w:rPr>
              <w:t>∥</w:t>
            </w:r>
            <w:r w:rsidRPr="00E141F1">
              <w:rPr>
                <w:rFonts w:cs="Arial"/>
                <w:i/>
                <w:sz w:val="16"/>
                <w:szCs w:val="16"/>
              </w:rPr>
              <w:t>An item relates to an individual page, image or other file.</w:t>
            </w:r>
          </w:p>
          <w:p w14:paraId="44B35E4F" w14:textId="77777777" w:rsidR="009517EA" w:rsidRPr="00E141F1" w:rsidRDefault="009517EA" w:rsidP="00A3675A">
            <w:pPr>
              <w:keepNext/>
              <w:spacing w:after="20" w:line="240" w:lineRule="auto"/>
              <w:rPr>
                <w:rFonts w:cs="Arial"/>
                <w:i/>
                <w:sz w:val="16"/>
                <w:szCs w:val="16"/>
              </w:rPr>
            </w:pPr>
            <w:r w:rsidRPr="00002C66">
              <w:rPr>
                <w:rFonts w:cs="Arial"/>
                <w:i/>
                <w:sz w:val="16"/>
                <w:szCs w:val="16"/>
                <w:vertAlign w:val="superscript"/>
              </w:rPr>
              <w:t>#</w:t>
            </w:r>
            <w:r w:rsidRPr="00E141F1">
              <w:rPr>
                <w:rFonts w:cs="Arial"/>
                <w:i/>
                <w:sz w:val="16"/>
                <w:szCs w:val="16"/>
              </w:rPr>
              <w:t>Action is taken on items assessed as prohibited or potential prohibited.</w:t>
            </w:r>
          </w:p>
          <w:p w14:paraId="44B35E50" w14:textId="77777777" w:rsidR="009517EA" w:rsidRDefault="009517EA" w:rsidP="00A3675A">
            <w:pPr>
              <w:keepNext/>
              <w:spacing w:after="20" w:line="240" w:lineRule="auto"/>
              <w:rPr>
                <w:rFonts w:cs="Arial"/>
                <w:i/>
                <w:sz w:val="16"/>
                <w:szCs w:val="16"/>
              </w:rPr>
            </w:pPr>
            <w:r w:rsidRPr="00002C66">
              <w:rPr>
                <w:rFonts w:cs="Arial"/>
                <w:i/>
                <w:sz w:val="16"/>
                <w:szCs w:val="16"/>
              </w:rPr>
              <w:t>**</w:t>
            </w:r>
            <w:r w:rsidRPr="00E141F1">
              <w:rPr>
                <w:rFonts w:cs="Arial"/>
                <w:i/>
                <w:sz w:val="16"/>
                <w:szCs w:val="16"/>
              </w:rPr>
              <w:t>Three items of content were removed upon referral to law enforcement prior to any take-down notices being issued by the ACMA.</w:t>
            </w:r>
          </w:p>
          <w:p w14:paraId="44B35E51" w14:textId="77777777" w:rsidR="009517EA" w:rsidRPr="000A7D65" w:rsidRDefault="009517EA" w:rsidP="00A3675A">
            <w:pPr>
              <w:keepNext/>
              <w:spacing w:line="240" w:lineRule="auto"/>
              <w:rPr>
                <w:rFonts w:cs="Arial"/>
                <w:i/>
                <w:sz w:val="16"/>
                <w:szCs w:val="16"/>
              </w:rPr>
            </w:pPr>
            <w:r w:rsidRPr="00E141F1">
              <w:rPr>
                <w:rFonts w:cs="Arial"/>
                <w:i/>
                <w:sz w:val="16"/>
                <w:szCs w:val="16"/>
              </w:rPr>
              <w:t>Source: Online content complaints actioned by the ACMA.</w:t>
            </w:r>
          </w:p>
        </w:tc>
      </w:tr>
    </w:tbl>
    <w:p w14:paraId="44B35E53" w14:textId="77777777" w:rsidR="009517EA" w:rsidRDefault="009517EA" w:rsidP="009517EA"/>
    <w:p w14:paraId="44B35E54" w14:textId="77777777" w:rsidR="009517EA" w:rsidRPr="00E141F1" w:rsidRDefault="009517EA" w:rsidP="009517EA">
      <w:pPr>
        <w:pStyle w:val="Heading3"/>
        <w:rPr>
          <w:b w:val="0"/>
        </w:rPr>
      </w:pPr>
      <w:bookmarkStart w:id="63" w:name="_Toc399331826"/>
      <w:bookmarkStart w:id="64" w:name="_Toc399337007"/>
      <w:bookmarkStart w:id="65" w:name="_Toc402337613"/>
      <w:r>
        <w:rPr>
          <w:noProof/>
        </w:rPr>
        <w:drawing>
          <wp:anchor distT="0" distB="540385" distL="180340" distR="114300" simplePos="0" relativeHeight="251658244" behindDoc="1" locked="0" layoutInCell="1" allowOverlap="1" wp14:anchorId="44B36381" wp14:editId="6E92090A">
            <wp:simplePos x="0" y="0"/>
            <wp:positionH relativeFrom="column">
              <wp:posOffset>4213489</wp:posOffset>
            </wp:positionH>
            <wp:positionV relativeFrom="paragraph">
              <wp:posOffset>39370</wp:posOffset>
            </wp:positionV>
            <wp:extent cx="1861200" cy="1717200"/>
            <wp:effectExtent l="0" t="0" r="5715" b="0"/>
            <wp:wrapSquare wrapText="bothSides"/>
            <wp:docPr id="9" name="Picture 3" descr="Saying no to illegal content on the internet" title="INHOPE - International Association of Internet Ho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1861200" cy="171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141F1">
        <w:t>International cooperation to remove online illegal content</w:t>
      </w:r>
      <w:bookmarkEnd w:id="63"/>
      <w:bookmarkEnd w:id="64"/>
      <w:bookmarkEnd w:id="65"/>
    </w:p>
    <w:p w14:paraId="44B35E55" w14:textId="77777777" w:rsidR="009517EA" w:rsidRPr="00C95936" w:rsidRDefault="009517EA" w:rsidP="009517EA">
      <w:r w:rsidRPr="00E141F1">
        <w:t xml:space="preserve">The ACMA places a high priority on acting promptly and effectively against </w:t>
      </w:r>
      <w:r>
        <w:t>child sexual abuse material</w:t>
      </w:r>
      <w:r w:rsidRPr="00E141F1">
        <w:t>. The ACMA refers this content to either an Australian law enforcem</w:t>
      </w:r>
      <w:r>
        <w:t>ent agency or a law enforcement-</w:t>
      </w:r>
      <w:r w:rsidRPr="00E141F1">
        <w:t>endorsed overseas agency through the International Association of Internet Hotlines (INHOPE), of which the ACMA is a long-term member. INHOPE coordinates a network of international hotlines to take swift action in response to reports of illegal content.</w:t>
      </w:r>
      <w:r>
        <w:t xml:space="preserve"> INHOPE acts as a rapid law enforcement notification and take-down channel across international borders. In 2013–14, the ACMA referred 7,670 items of </w:t>
      </w:r>
      <w:r w:rsidR="009B75CE">
        <w:t xml:space="preserve">online </w:t>
      </w:r>
      <w:r>
        <w:t xml:space="preserve">child abuse and other illegal material to law enforcement agencies, nearly a 550 per cent increase on the previous year—7,540 items of child sexual abuse material were notified through INHOPE for take-down. </w:t>
      </w:r>
      <w:r w:rsidRPr="001F0EB6">
        <w:t>The increase is a result of a rising number of complaints to the ACMA, coupled with the ACMA</w:t>
      </w:r>
      <w:r w:rsidRPr="001F0EB6">
        <w:rPr>
          <w:rFonts w:hint="eastAsia"/>
        </w:rPr>
        <w:t>’</w:t>
      </w:r>
      <w:r w:rsidRPr="001F0EB6">
        <w:t>s commitment to pursuing the removal of such material.</w:t>
      </w:r>
    </w:p>
    <w:p w14:paraId="44B35E56" w14:textId="77777777" w:rsidR="009517EA" w:rsidRPr="00557658" w:rsidRDefault="009517EA" w:rsidP="009517EA">
      <w:pPr>
        <w:spacing w:line="240" w:lineRule="auto"/>
        <w:rPr>
          <w:rFonts w:cs="Arial"/>
        </w:rPr>
      </w:pPr>
    </w:p>
    <w:p w14:paraId="44B35E57" w14:textId="77777777" w:rsidR="009517EA" w:rsidRPr="0087789A" w:rsidRDefault="00A3675A" w:rsidP="00A3675A">
      <w:pPr>
        <w:pStyle w:val="Heading2"/>
        <w:tabs>
          <w:tab w:val="left" w:pos="851"/>
        </w:tabs>
        <w:ind w:left="851" w:hanging="851"/>
      </w:pPr>
      <w:bookmarkStart w:id="66" w:name="_Toc399331827"/>
      <w:bookmarkStart w:id="67" w:name="_Toc399337008"/>
      <w:bookmarkStart w:id="68" w:name="_Toc402337614"/>
      <w:r>
        <w:t>4.11</w:t>
      </w:r>
      <w:r>
        <w:tab/>
      </w:r>
      <w:r w:rsidR="009517EA" w:rsidRPr="0087789A">
        <w:t>Interactive gambling</w:t>
      </w:r>
      <w:bookmarkEnd w:id="66"/>
      <w:bookmarkEnd w:id="67"/>
      <w:bookmarkEnd w:id="68"/>
    </w:p>
    <w:p w14:paraId="44B35E58" w14:textId="77777777" w:rsidR="009517EA" w:rsidRDefault="009517EA" w:rsidP="009517EA">
      <w:pPr>
        <w:rPr>
          <w:rFonts w:cs="Arial"/>
        </w:rPr>
      </w:pPr>
      <w:r w:rsidRPr="00EF3768">
        <w:rPr>
          <w:rFonts w:cs="Arial"/>
        </w:rPr>
        <w:t xml:space="preserve">The </w:t>
      </w:r>
      <w:r w:rsidRPr="00EF3768">
        <w:rPr>
          <w:rFonts w:cs="Arial"/>
          <w:i/>
        </w:rPr>
        <w:t>Interactive Gambling Act 2001</w:t>
      </w:r>
      <w:r w:rsidRPr="00EF3768">
        <w:rPr>
          <w:rFonts w:cs="Arial"/>
        </w:rPr>
        <w:t xml:space="preserve"> (IGA) prohibits certain internet gambling content, as well as the advertising of such content. IGA complaints received and actioned by the ACMA in the reporting period are </w:t>
      </w:r>
      <w:r>
        <w:rPr>
          <w:rFonts w:cs="Arial"/>
        </w:rPr>
        <w:t xml:space="preserve">outlined in </w:t>
      </w:r>
      <w:r>
        <w:rPr>
          <w:rFonts w:cs="Arial"/>
        </w:rPr>
        <w:fldChar w:fldCharType="begin"/>
      </w:r>
      <w:r>
        <w:rPr>
          <w:rFonts w:cs="Arial"/>
        </w:rPr>
        <w:instrText xml:space="preserve"> REF _Ref398717111 \h </w:instrText>
      </w:r>
      <w:r>
        <w:rPr>
          <w:rFonts w:cs="Arial"/>
        </w:rPr>
      </w:r>
      <w:r>
        <w:rPr>
          <w:rFonts w:cs="Arial"/>
        </w:rPr>
        <w:fldChar w:fldCharType="separate"/>
      </w:r>
      <w:r w:rsidR="006B4FBE">
        <w:rPr>
          <w:noProof/>
        </w:rPr>
        <w:t>Table</w:t>
      </w:r>
      <w:r w:rsidR="006B4FBE">
        <w:t xml:space="preserve"> 4.</w:t>
      </w:r>
      <w:r w:rsidR="006B4FBE">
        <w:rPr>
          <w:noProof/>
        </w:rPr>
        <w:t>6</w:t>
      </w:r>
      <w:r>
        <w:rPr>
          <w:rFonts w:cs="Arial"/>
        </w:rPr>
        <w:fldChar w:fldCharType="end"/>
      </w:r>
      <w:r w:rsidRPr="00EF3768">
        <w:rPr>
          <w:rFonts w:cs="Arial"/>
        </w:rPr>
        <w:t>.</w:t>
      </w:r>
      <w:r>
        <w:rPr>
          <w:rFonts w:cs="Arial"/>
        </w:rPr>
        <w:t xml:space="preserve"> </w:t>
      </w:r>
      <w:r w:rsidRPr="002B66E1">
        <w:rPr>
          <w:rFonts w:cs="Arial"/>
        </w:rPr>
        <w:t>Under the IGA, the ACMA must not investigate Australian</w:t>
      </w:r>
      <w:r w:rsidR="00380C1B">
        <w:rPr>
          <w:rFonts w:cs="Arial"/>
        </w:rPr>
        <w:t>-</w:t>
      </w:r>
      <w:r w:rsidRPr="002B66E1">
        <w:rPr>
          <w:rFonts w:cs="Arial"/>
        </w:rPr>
        <w:t xml:space="preserve">hosted content, but if it is warranted to do so, must refer </w:t>
      </w:r>
      <w:r w:rsidR="00870720">
        <w:rPr>
          <w:rFonts w:cs="Arial"/>
        </w:rPr>
        <w:t>complaints</w:t>
      </w:r>
      <w:r w:rsidRPr="002B66E1">
        <w:rPr>
          <w:rFonts w:cs="Arial"/>
        </w:rPr>
        <w:t xml:space="preserve"> to an Australian police force for investigation.</w:t>
      </w:r>
      <w:r>
        <w:rPr>
          <w:rFonts w:cs="Arial"/>
        </w:rPr>
        <w:t xml:space="preserve"> The total number of complaints and enquir</w:t>
      </w:r>
      <w:r w:rsidR="00867D97">
        <w:rPr>
          <w:rFonts w:cs="Arial"/>
        </w:rPr>
        <w:t>i</w:t>
      </w:r>
      <w:r>
        <w:rPr>
          <w:rFonts w:cs="Arial"/>
        </w:rPr>
        <w:t xml:space="preserve">es received by the ACMA during 2013–14 was 121, which was the same as received in 2012–13. </w:t>
      </w:r>
    </w:p>
    <w:p w14:paraId="44B35E59" w14:textId="77777777" w:rsidR="009517EA" w:rsidRPr="0087789A" w:rsidRDefault="009517EA" w:rsidP="009517EA">
      <w:pPr>
        <w:rPr>
          <w:rFonts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9517EA" w14:paraId="44B35E5B" w14:textId="77777777" w:rsidTr="009517EA">
        <w:trPr>
          <w:trHeight w:val="570"/>
        </w:trPr>
        <w:tc>
          <w:tcPr>
            <w:tcW w:w="9645" w:type="dxa"/>
            <w:tcBorders>
              <w:top w:val="single" w:sz="2" w:space="0" w:color="505050"/>
            </w:tcBorders>
            <w:shd w:val="clear" w:color="auto" w:fill="auto"/>
            <w:vAlign w:val="center"/>
          </w:tcPr>
          <w:p w14:paraId="44B35E5A" w14:textId="77777777" w:rsidR="009517EA" w:rsidRPr="00A74B5E" w:rsidRDefault="009517EA" w:rsidP="00A3675A">
            <w:pPr>
              <w:pStyle w:val="Caption"/>
            </w:pPr>
            <w:bookmarkStart w:id="69" w:name="_Toc236149612"/>
            <w:bookmarkStart w:id="70" w:name="_Toc236153828"/>
            <w:bookmarkStart w:id="71" w:name="_Ref398717111"/>
            <w:r>
              <w:rPr>
                <w:noProof/>
              </w:rPr>
              <w:t>Table</w:t>
            </w:r>
            <w:r>
              <w:t xml:space="preserve"> 4.</w:t>
            </w:r>
            <w:r w:rsidR="00FC1A17">
              <w:fldChar w:fldCharType="begin"/>
            </w:r>
            <w:r w:rsidR="00FC1A17">
              <w:instrText xml:space="preserve"> SEQ Table \* ARABIC </w:instrText>
            </w:r>
            <w:r w:rsidR="00FC1A17">
              <w:fldChar w:fldCharType="separate"/>
            </w:r>
            <w:r w:rsidR="006B4FBE">
              <w:rPr>
                <w:noProof/>
              </w:rPr>
              <w:t>6</w:t>
            </w:r>
            <w:bookmarkEnd w:id="69"/>
            <w:bookmarkEnd w:id="70"/>
            <w:r w:rsidR="00FC1A17">
              <w:rPr>
                <w:noProof/>
              </w:rPr>
              <w:fldChar w:fldCharType="end"/>
            </w:r>
            <w:bookmarkEnd w:id="71"/>
            <w:r>
              <w:rPr>
                <w:noProof/>
              </w:rPr>
              <w:t xml:space="preserve"> Interactive gambling</w:t>
            </w:r>
          </w:p>
        </w:tc>
      </w:tr>
      <w:tr w:rsidR="009517EA" w14:paraId="44B35E74" w14:textId="77777777" w:rsidTr="009517EA">
        <w:trPr>
          <w:trHeight w:val="2732"/>
        </w:trPr>
        <w:tc>
          <w:tcPr>
            <w:tcW w:w="9645" w:type="dxa"/>
            <w:shd w:val="clear" w:color="auto" w:fill="auto"/>
            <w:tcMar>
              <w:left w:w="28" w:type="dxa"/>
            </w:tcMar>
          </w:tcPr>
          <w:tbl>
            <w:tblPr>
              <w:tblStyle w:val="TableGrid"/>
              <w:tblW w:w="9611" w:type="dxa"/>
              <w:tblBorders>
                <w:top w:val="single" w:sz="24" w:space="0" w:color="FFFFFF" w:themeColor="background1"/>
                <w:left w:val="none" w:sz="0" w:space="0" w:color="auto"/>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left w:w="85" w:type="dxa"/>
                <w:right w:w="57" w:type="dxa"/>
              </w:tblCellMar>
              <w:tblLook w:val="04A0" w:firstRow="1" w:lastRow="0" w:firstColumn="1" w:lastColumn="0" w:noHBand="0" w:noVBand="1"/>
            </w:tblPr>
            <w:tblGrid>
              <w:gridCol w:w="1615"/>
              <w:gridCol w:w="6275"/>
              <w:gridCol w:w="1369"/>
              <w:gridCol w:w="352"/>
            </w:tblGrid>
            <w:tr w:rsidR="009517EA" w:rsidRPr="00307DE3" w14:paraId="44B35E60" w14:textId="77777777" w:rsidTr="009517EA">
              <w:trPr>
                <w:trHeight w:val="460"/>
              </w:trPr>
              <w:tc>
                <w:tcPr>
                  <w:tcW w:w="1673" w:type="dxa"/>
                  <w:tcBorders>
                    <w:bottom w:val="single" w:sz="24" w:space="0" w:color="FFFFFF" w:themeColor="background1"/>
                    <w:right w:val="nil"/>
                  </w:tcBorders>
                  <w:shd w:val="clear" w:color="auto" w:fill="37897E" w:themeFill="text2"/>
                </w:tcPr>
                <w:p w14:paraId="44B35E5C" w14:textId="77777777" w:rsidR="009517EA" w:rsidRPr="00307DE3" w:rsidRDefault="009517EA" w:rsidP="009517EA">
                  <w:pPr>
                    <w:spacing w:before="60" w:after="60" w:line="240" w:lineRule="auto"/>
                    <w:rPr>
                      <w:b/>
                      <w:color w:val="FFFFFF" w:themeColor="background1"/>
                      <w:sz w:val="18"/>
                      <w:szCs w:val="18"/>
                    </w:rPr>
                  </w:pPr>
                  <w:r>
                    <w:rPr>
                      <w:b/>
                      <w:noProof/>
                      <w:color w:val="FFFFFF" w:themeColor="background1"/>
                      <w:sz w:val="18"/>
                      <w:szCs w:val="18"/>
                    </w:rPr>
                    <w:drawing>
                      <wp:inline distT="0" distB="0" distL="0" distR="0" wp14:anchorId="44B36383" wp14:editId="44B36384">
                        <wp:extent cx="792480" cy="63309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hapter 4-16-16.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92480" cy="633095"/>
                                </a:xfrm>
                                <a:prstGeom prst="rect">
                                  <a:avLst/>
                                </a:prstGeom>
                              </pic:spPr>
                            </pic:pic>
                          </a:graphicData>
                        </a:graphic>
                      </wp:inline>
                    </w:drawing>
                  </w:r>
                </w:p>
              </w:tc>
              <w:tc>
                <w:tcPr>
                  <w:tcW w:w="6521" w:type="dxa"/>
                  <w:tcBorders>
                    <w:left w:val="nil"/>
                    <w:bottom w:val="single" w:sz="24" w:space="0" w:color="FFFFFF" w:themeColor="background1"/>
                  </w:tcBorders>
                  <w:shd w:val="clear" w:color="auto" w:fill="37897E" w:themeFill="text2"/>
                  <w:vAlign w:val="center"/>
                </w:tcPr>
                <w:p w14:paraId="44B35E5D" w14:textId="77777777" w:rsidR="009517EA" w:rsidRPr="00870585" w:rsidRDefault="009517EA" w:rsidP="00A3675A">
                  <w:pPr>
                    <w:spacing w:before="60" w:after="60" w:line="240" w:lineRule="auto"/>
                    <w:rPr>
                      <w:sz w:val="18"/>
                      <w:szCs w:val="18"/>
                    </w:rPr>
                  </w:pPr>
                  <w:r>
                    <w:rPr>
                      <w:b/>
                      <w:color w:val="FFFFFF" w:themeColor="background1"/>
                      <w:sz w:val="18"/>
                      <w:szCs w:val="18"/>
                    </w:rPr>
                    <w:t>Interactive gambling</w:t>
                  </w:r>
                </w:p>
              </w:tc>
              <w:tc>
                <w:tcPr>
                  <w:tcW w:w="1417" w:type="dxa"/>
                  <w:shd w:val="clear" w:color="auto" w:fill="37897E" w:themeFill="text2"/>
                  <w:vAlign w:val="center"/>
                </w:tcPr>
                <w:p w14:paraId="44B35E5E" w14:textId="77777777" w:rsidR="009517EA" w:rsidRPr="00870585" w:rsidRDefault="009517EA" w:rsidP="00A3675A">
                  <w:pPr>
                    <w:spacing w:before="60" w:after="60" w:line="240" w:lineRule="auto"/>
                    <w:ind w:right="299"/>
                    <w:jc w:val="right"/>
                    <w:rPr>
                      <w:sz w:val="18"/>
                      <w:szCs w:val="18"/>
                    </w:rPr>
                  </w:pPr>
                  <w:r>
                    <w:rPr>
                      <w:b/>
                      <w:color w:val="FFFFFF" w:themeColor="background1"/>
                      <w:sz w:val="18"/>
                      <w:szCs w:val="18"/>
                    </w:rPr>
                    <w:t>2013</w:t>
                  </w:r>
                  <w:r w:rsidR="00194997">
                    <w:rPr>
                      <w:b/>
                      <w:color w:val="FFFFFF" w:themeColor="background1"/>
                      <w:sz w:val="18"/>
                      <w:szCs w:val="18"/>
                    </w:rPr>
                    <w:t>–</w:t>
                  </w:r>
                  <w:r>
                    <w:rPr>
                      <w:b/>
                      <w:color w:val="FFFFFF" w:themeColor="background1"/>
                      <w:sz w:val="18"/>
                      <w:szCs w:val="18"/>
                    </w:rPr>
                    <w:t>14</w:t>
                  </w:r>
                </w:p>
              </w:tc>
              <w:tc>
                <w:tcPr>
                  <w:tcW w:w="360" w:type="dxa"/>
                </w:tcPr>
                <w:p w14:paraId="44B35E5F" w14:textId="77777777" w:rsidR="009517EA" w:rsidRPr="00307DE3" w:rsidRDefault="009517EA" w:rsidP="009517EA">
                  <w:pPr>
                    <w:spacing w:line="240" w:lineRule="auto"/>
                  </w:pPr>
                </w:p>
              </w:tc>
            </w:tr>
            <w:tr w:rsidR="009517EA" w:rsidRPr="00307DE3" w14:paraId="44B35E63" w14:textId="77777777" w:rsidTr="009517EA">
              <w:trPr>
                <w:gridAfter w:val="1"/>
                <w:wAfter w:w="360" w:type="dxa"/>
                <w:trHeight w:val="567"/>
              </w:trPr>
              <w:tc>
                <w:tcPr>
                  <w:tcW w:w="8194" w:type="dxa"/>
                  <w:gridSpan w:val="2"/>
                  <w:tcBorders>
                    <w:top w:val="single" w:sz="24" w:space="0" w:color="FFFFFF" w:themeColor="background1"/>
                  </w:tcBorders>
                  <w:shd w:val="clear" w:color="auto" w:fill="76C8BD" w:themeFill="text2" w:themeFillTint="99"/>
                  <w:vAlign w:val="center"/>
                </w:tcPr>
                <w:p w14:paraId="44B35E61" w14:textId="77777777" w:rsidR="009517EA" w:rsidRPr="00870585" w:rsidRDefault="009517EA" w:rsidP="009517EA">
                  <w:pPr>
                    <w:spacing w:before="60" w:after="60" w:line="240" w:lineRule="auto"/>
                    <w:rPr>
                      <w:b/>
                      <w:color w:val="FFFFFF" w:themeColor="background1"/>
                      <w:sz w:val="18"/>
                      <w:szCs w:val="18"/>
                    </w:rPr>
                  </w:pPr>
                  <w:r w:rsidRPr="00870585">
                    <w:rPr>
                      <w:rFonts w:cs="Arial"/>
                      <w:b/>
                      <w:color w:val="FFFFFF" w:themeColor="background1"/>
                      <w:sz w:val="18"/>
                      <w:szCs w:val="18"/>
                    </w:rPr>
                    <w:t>Complaints and general enquir</w:t>
                  </w:r>
                  <w:r w:rsidR="005709A0">
                    <w:rPr>
                      <w:rFonts w:cs="Arial"/>
                      <w:b/>
                      <w:color w:val="FFFFFF" w:themeColor="background1"/>
                      <w:sz w:val="18"/>
                      <w:szCs w:val="18"/>
                    </w:rPr>
                    <w:t>i</w:t>
                  </w:r>
                  <w:r w:rsidRPr="00870585">
                    <w:rPr>
                      <w:rFonts w:cs="Arial"/>
                      <w:b/>
                      <w:color w:val="FFFFFF" w:themeColor="background1"/>
                      <w:sz w:val="18"/>
                      <w:szCs w:val="18"/>
                    </w:rPr>
                    <w:t xml:space="preserve">es </w:t>
                  </w:r>
                </w:p>
              </w:tc>
              <w:tc>
                <w:tcPr>
                  <w:tcW w:w="1417" w:type="dxa"/>
                  <w:shd w:val="clear" w:color="auto" w:fill="76C8BD" w:themeFill="text2" w:themeFillTint="99"/>
                  <w:vAlign w:val="center"/>
                </w:tcPr>
                <w:p w14:paraId="44B35E62" w14:textId="77777777" w:rsidR="009517EA" w:rsidRPr="00870585" w:rsidRDefault="009517EA" w:rsidP="009517EA">
                  <w:pPr>
                    <w:spacing w:before="60" w:after="60" w:line="240" w:lineRule="auto"/>
                    <w:ind w:right="299"/>
                    <w:jc w:val="right"/>
                    <w:rPr>
                      <w:b/>
                      <w:sz w:val="18"/>
                      <w:szCs w:val="18"/>
                    </w:rPr>
                  </w:pPr>
                  <w:r w:rsidRPr="00870585">
                    <w:rPr>
                      <w:b/>
                      <w:color w:val="FFFFFF" w:themeColor="background1"/>
                      <w:sz w:val="18"/>
                      <w:szCs w:val="18"/>
                    </w:rPr>
                    <w:t>121</w:t>
                  </w:r>
                </w:p>
              </w:tc>
            </w:tr>
            <w:tr w:rsidR="009517EA" w:rsidRPr="00307DE3" w14:paraId="44B35E66" w14:textId="77777777" w:rsidTr="009517EA">
              <w:trPr>
                <w:gridAfter w:val="1"/>
                <w:wAfter w:w="360" w:type="dxa"/>
                <w:trHeight w:val="567"/>
              </w:trPr>
              <w:tc>
                <w:tcPr>
                  <w:tcW w:w="8194" w:type="dxa"/>
                  <w:gridSpan w:val="2"/>
                  <w:shd w:val="clear" w:color="auto" w:fill="D1ECE9" w:themeFill="accent1" w:themeFillTint="33"/>
                  <w:vAlign w:val="center"/>
                </w:tcPr>
                <w:p w14:paraId="44B35E64" w14:textId="77777777" w:rsidR="009517EA" w:rsidRPr="00870585" w:rsidRDefault="009517EA" w:rsidP="009517EA">
                  <w:pPr>
                    <w:spacing w:before="60" w:after="60" w:line="240" w:lineRule="auto"/>
                    <w:rPr>
                      <w:sz w:val="18"/>
                      <w:szCs w:val="18"/>
                    </w:rPr>
                  </w:pPr>
                  <w:r w:rsidRPr="00870585">
                    <w:rPr>
                      <w:rFonts w:cs="Arial"/>
                      <w:sz w:val="18"/>
                      <w:szCs w:val="18"/>
                    </w:rPr>
                    <w:t>Investigations of overseas</w:t>
                  </w:r>
                  <w:r w:rsidR="00380C1B">
                    <w:rPr>
                      <w:rFonts w:cs="Arial"/>
                      <w:sz w:val="18"/>
                      <w:szCs w:val="18"/>
                    </w:rPr>
                    <w:t>-</w:t>
                  </w:r>
                  <w:r w:rsidRPr="00870585">
                    <w:rPr>
                      <w:rFonts w:cs="Arial"/>
                      <w:sz w:val="18"/>
                      <w:szCs w:val="18"/>
                    </w:rPr>
                    <w:t>hosted gambling content</w:t>
                  </w:r>
                </w:p>
              </w:tc>
              <w:tc>
                <w:tcPr>
                  <w:tcW w:w="1417" w:type="dxa"/>
                  <w:shd w:val="clear" w:color="auto" w:fill="D1ECE9" w:themeFill="accent1" w:themeFillTint="33"/>
                  <w:vAlign w:val="center"/>
                </w:tcPr>
                <w:p w14:paraId="44B35E65" w14:textId="77777777" w:rsidR="009517EA" w:rsidRPr="00307DE3" w:rsidRDefault="009517EA" w:rsidP="009517EA">
                  <w:pPr>
                    <w:spacing w:before="60" w:after="60" w:line="240" w:lineRule="auto"/>
                    <w:ind w:right="299"/>
                    <w:jc w:val="right"/>
                    <w:rPr>
                      <w:sz w:val="18"/>
                      <w:szCs w:val="18"/>
                    </w:rPr>
                  </w:pPr>
                  <w:r>
                    <w:rPr>
                      <w:sz w:val="18"/>
                      <w:szCs w:val="18"/>
                    </w:rPr>
                    <w:t>23</w:t>
                  </w:r>
                </w:p>
              </w:tc>
            </w:tr>
            <w:tr w:rsidR="009517EA" w:rsidRPr="00307DE3" w14:paraId="44B35E69" w14:textId="77777777" w:rsidTr="009517EA">
              <w:trPr>
                <w:gridAfter w:val="1"/>
                <w:wAfter w:w="360" w:type="dxa"/>
                <w:trHeight w:val="567"/>
              </w:trPr>
              <w:tc>
                <w:tcPr>
                  <w:tcW w:w="8194" w:type="dxa"/>
                  <w:gridSpan w:val="2"/>
                  <w:shd w:val="clear" w:color="auto" w:fill="D1ECE9" w:themeFill="accent1" w:themeFillTint="33"/>
                  <w:vAlign w:val="center"/>
                </w:tcPr>
                <w:p w14:paraId="44B35E67" w14:textId="77777777" w:rsidR="009517EA" w:rsidRPr="00870585" w:rsidRDefault="009517EA" w:rsidP="009517EA">
                  <w:pPr>
                    <w:spacing w:before="60" w:after="60" w:line="240" w:lineRule="auto"/>
                    <w:rPr>
                      <w:sz w:val="18"/>
                      <w:szCs w:val="18"/>
                    </w:rPr>
                  </w:pPr>
                  <w:r w:rsidRPr="00870585">
                    <w:rPr>
                      <w:rFonts w:cs="Arial"/>
                      <w:sz w:val="18"/>
                      <w:szCs w:val="18"/>
                    </w:rPr>
                    <w:t>Prohibited internet gambling content found to be in breach of the IGA, notified to accredited filter providers and the AFP</w:t>
                  </w:r>
                </w:p>
              </w:tc>
              <w:tc>
                <w:tcPr>
                  <w:tcW w:w="1417" w:type="dxa"/>
                  <w:shd w:val="clear" w:color="auto" w:fill="D1ECE9" w:themeFill="accent1" w:themeFillTint="33"/>
                  <w:vAlign w:val="center"/>
                </w:tcPr>
                <w:p w14:paraId="44B35E68" w14:textId="77777777" w:rsidR="009517EA" w:rsidRPr="00307DE3" w:rsidRDefault="009517EA" w:rsidP="009517EA">
                  <w:pPr>
                    <w:spacing w:before="60" w:after="60" w:line="240" w:lineRule="auto"/>
                    <w:ind w:right="299"/>
                    <w:jc w:val="right"/>
                    <w:rPr>
                      <w:sz w:val="18"/>
                      <w:szCs w:val="18"/>
                    </w:rPr>
                  </w:pPr>
                  <w:r>
                    <w:rPr>
                      <w:sz w:val="18"/>
                      <w:szCs w:val="18"/>
                    </w:rPr>
                    <w:t>11</w:t>
                  </w:r>
                </w:p>
              </w:tc>
            </w:tr>
            <w:tr w:rsidR="009517EA" w:rsidRPr="00307DE3" w14:paraId="44B35E6C" w14:textId="77777777" w:rsidTr="009517EA">
              <w:trPr>
                <w:gridAfter w:val="1"/>
                <w:wAfter w:w="360" w:type="dxa"/>
                <w:trHeight w:val="567"/>
              </w:trPr>
              <w:tc>
                <w:tcPr>
                  <w:tcW w:w="8194" w:type="dxa"/>
                  <w:gridSpan w:val="2"/>
                  <w:shd w:val="clear" w:color="auto" w:fill="D1ECE9" w:themeFill="accent1" w:themeFillTint="33"/>
                  <w:vAlign w:val="center"/>
                </w:tcPr>
                <w:p w14:paraId="44B35E6A" w14:textId="77777777" w:rsidR="009517EA" w:rsidRPr="00870585" w:rsidRDefault="009517EA" w:rsidP="009517EA">
                  <w:pPr>
                    <w:spacing w:before="60" w:after="60" w:line="240" w:lineRule="auto"/>
                    <w:rPr>
                      <w:sz w:val="18"/>
                      <w:szCs w:val="18"/>
                    </w:rPr>
                  </w:pPr>
                  <w:r w:rsidRPr="00870585">
                    <w:rPr>
                      <w:rFonts w:cs="Arial"/>
                      <w:sz w:val="18"/>
                      <w:szCs w:val="18"/>
                    </w:rPr>
                    <w:t>Assessments of Australian</w:t>
                  </w:r>
                  <w:r w:rsidR="00380C1B">
                    <w:rPr>
                      <w:rFonts w:cs="Arial"/>
                      <w:sz w:val="18"/>
                      <w:szCs w:val="18"/>
                    </w:rPr>
                    <w:t>-</w:t>
                  </w:r>
                  <w:r w:rsidRPr="00870585">
                    <w:rPr>
                      <w:rFonts w:cs="Arial"/>
                      <w:sz w:val="18"/>
                      <w:szCs w:val="18"/>
                    </w:rPr>
                    <w:t>hosted gambling content</w:t>
                  </w:r>
                </w:p>
              </w:tc>
              <w:tc>
                <w:tcPr>
                  <w:tcW w:w="1417" w:type="dxa"/>
                  <w:shd w:val="clear" w:color="auto" w:fill="D1ECE9" w:themeFill="accent1" w:themeFillTint="33"/>
                  <w:vAlign w:val="center"/>
                </w:tcPr>
                <w:p w14:paraId="44B35E6B" w14:textId="77777777" w:rsidR="009517EA" w:rsidRPr="00307DE3" w:rsidRDefault="009517EA" w:rsidP="009517EA">
                  <w:pPr>
                    <w:spacing w:before="60" w:after="60" w:line="240" w:lineRule="auto"/>
                    <w:ind w:right="299"/>
                    <w:jc w:val="right"/>
                    <w:rPr>
                      <w:sz w:val="18"/>
                      <w:szCs w:val="18"/>
                    </w:rPr>
                  </w:pPr>
                  <w:r>
                    <w:rPr>
                      <w:sz w:val="18"/>
                      <w:szCs w:val="18"/>
                    </w:rPr>
                    <w:t>25</w:t>
                  </w:r>
                </w:p>
              </w:tc>
            </w:tr>
            <w:tr w:rsidR="009517EA" w:rsidRPr="00307DE3" w14:paraId="44B35E6F" w14:textId="77777777" w:rsidTr="009517EA">
              <w:trPr>
                <w:gridAfter w:val="1"/>
                <w:wAfter w:w="360" w:type="dxa"/>
                <w:trHeight w:val="567"/>
              </w:trPr>
              <w:tc>
                <w:tcPr>
                  <w:tcW w:w="8194" w:type="dxa"/>
                  <w:gridSpan w:val="2"/>
                  <w:shd w:val="clear" w:color="auto" w:fill="D1ECE9" w:themeFill="accent1" w:themeFillTint="33"/>
                  <w:vAlign w:val="center"/>
                </w:tcPr>
                <w:p w14:paraId="44B35E6D" w14:textId="77777777" w:rsidR="009517EA" w:rsidRPr="00870585" w:rsidRDefault="009517EA" w:rsidP="009517EA">
                  <w:pPr>
                    <w:spacing w:before="60" w:after="60" w:line="240" w:lineRule="auto"/>
                    <w:rPr>
                      <w:rFonts w:cs="Arial"/>
                      <w:sz w:val="18"/>
                      <w:szCs w:val="18"/>
                    </w:rPr>
                  </w:pPr>
                  <w:r w:rsidRPr="00870585">
                    <w:rPr>
                      <w:rFonts w:cs="Arial"/>
                      <w:sz w:val="18"/>
                      <w:szCs w:val="18"/>
                    </w:rPr>
                    <w:t>Potential prohibited content referred to the AFP</w:t>
                  </w:r>
                </w:p>
              </w:tc>
              <w:tc>
                <w:tcPr>
                  <w:tcW w:w="1417" w:type="dxa"/>
                  <w:shd w:val="clear" w:color="auto" w:fill="D1ECE9" w:themeFill="accent1" w:themeFillTint="33"/>
                  <w:vAlign w:val="center"/>
                </w:tcPr>
                <w:p w14:paraId="44B35E6E" w14:textId="77777777" w:rsidR="009517EA" w:rsidRPr="00307DE3" w:rsidRDefault="009517EA" w:rsidP="009517EA">
                  <w:pPr>
                    <w:spacing w:before="60" w:after="60" w:line="240" w:lineRule="auto"/>
                    <w:ind w:right="299"/>
                    <w:jc w:val="right"/>
                    <w:rPr>
                      <w:sz w:val="18"/>
                      <w:szCs w:val="18"/>
                    </w:rPr>
                  </w:pPr>
                  <w:r>
                    <w:rPr>
                      <w:sz w:val="18"/>
                      <w:szCs w:val="18"/>
                    </w:rPr>
                    <w:t>10</w:t>
                  </w:r>
                </w:p>
              </w:tc>
            </w:tr>
            <w:tr w:rsidR="009517EA" w:rsidRPr="00307DE3" w14:paraId="44B35E72" w14:textId="77777777" w:rsidTr="009517EA">
              <w:trPr>
                <w:gridAfter w:val="1"/>
                <w:wAfter w:w="360" w:type="dxa"/>
                <w:trHeight w:val="567"/>
              </w:trPr>
              <w:tc>
                <w:tcPr>
                  <w:tcW w:w="8194" w:type="dxa"/>
                  <w:gridSpan w:val="2"/>
                  <w:tcBorders>
                    <w:bottom w:val="single" w:sz="18" w:space="0" w:color="FFFFFF" w:themeColor="background1"/>
                  </w:tcBorders>
                  <w:shd w:val="clear" w:color="auto" w:fill="D1ECE9" w:themeFill="accent1" w:themeFillTint="33"/>
                  <w:vAlign w:val="center"/>
                </w:tcPr>
                <w:p w14:paraId="44B35E70" w14:textId="77777777" w:rsidR="009517EA" w:rsidRPr="00870585" w:rsidRDefault="009517EA" w:rsidP="009517EA">
                  <w:pPr>
                    <w:spacing w:before="60" w:after="60" w:line="240" w:lineRule="auto"/>
                    <w:rPr>
                      <w:rFonts w:cs="Arial"/>
                      <w:sz w:val="18"/>
                      <w:szCs w:val="18"/>
                    </w:rPr>
                  </w:pPr>
                  <w:r w:rsidRPr="00870585">
                    <w:rPr>
                      <w:rFonts w:cs="Arial"/>
                      <w:sz w:val="18"/>
                      <w:szCs w:val="18"/>
                    </w:rPr>
                    <w:t>Investigations into the broadcast of interactive gambling advertisements</w:t>
                  </w:r>
                  <w:r w:rsidRPr="00870585">
                    <w:rPr>
                      <w:rStyle w:val="FootnoteReference"/>
                      <w:rFonts w:cs="Arial"/>
                      <w:sz w:val="18"/>
                      <w:szCs w:val="18"/>
                    </w:rPr>
                    <w:t>*</w:t>
                  </w:r>
                </w:p>
              </w:tc>
              <w:tc>
                <w:tcPr>
                  <w:tcW w:w="1417" w:type="dxa"/>
                  <w:shd w:val="clear" w:color="auto" w:fill="D1ECE9" w:themeFill="accent1" w:themeFillTint="33"/>
                  <w:vAlign w:val="center"/>
                </w:tcPr>
                <w:p w14:paraId="44B35E71" w14:textId="77777777" w:rsidR="009517EA" w:rsidRPr="00307DE3" w:rsidRDefault="009517EA" w:rsidP="009517EA">
                  <w:pPr>
                    <w:spacing w:before="60" w:after="60" w:line="240" w:lineRule="auto"/>
                    <w:ind w:right="299"/>
                    <w:jc w:val="right"/>
                    <w:rPr>
                      <w:sz w:val="18"/>
                      <w:szCs w:val="18"/>
                    </w:rPr>
                  </w:pPr>
                  <w:r>
                    <w:rPr>
                      <w:sz w:val="18"/>
                      <w:szCs w:val="18"/>
                    </w:rPr>
                    <w:t>0</w:t>
                  </w:r>
                </w:p>
              </w:tc>
            </w:tr>
          </w:tbl>
          <w:p w14:paraId="44B35E73" w14:textId="77777777" w:rsidR="009517EA" w:rsidRDefault="009517EA" w:rsidP="009517EA"/>
        </w:tc>
      </w:tr>
      <w:tr w:rsidR="009517EA" w:rsidRPr="009C1CB9" w14:paraId="44B35E76" w14:textId="77777777" w:rsidTr="009517EA">
        <w:trPr>
          <w:trHeight w:val="291"/>
        </w:trPr>
        <w:tc>
          <w:tcPr>
            <w:tcW w:w="9645" w:type="dxa"/>
            <w:tcBorders>
              <w:bottom w:val="single" w:sz="2" w:space="0" w:color="505050"/>
            </w:tcBorders>
            <w:shd w:val="clear" w:color="auto" w:fill="auto"/>
          </w:tcPr>
          <w:p w14:paraId="44B35E75" w14:textId="77777777" w:rsidR="009517EA" w:rsidRPr="001F0EB6" w:rsidRDefault="009517EA" w:rsidP="00A3675A">
            <w:pPr>
              <w:keepNext/>
              <w:spacing w:before="60" w:line="240" w:lineRule="auto"/>
              <w:rPr>
                <w:i/>
              </w:rPr>
            </w:pPr>
            <w:r w:rsidRPr="00D25F01">
              <w:rPr>
                <w:rFonts w:cs="Arial"/>
                <w:i/>
                <w:sz w:val="16"/>
                <w:szCs w:val="16"/>
              </w:rPr>
              <w:t>*Under the IGA, the ACMA only investigates interactive gambling advertisements that are broadcast on television or radio. The Department of Communications takes responsibility for all other advertising, such as online or in print.</w:t>
            </w:r>
            <w:r w:rsidRPr="00CB423B" w:rsidDel="00870585">
              <w:rPr>
                <w:i/>
                <w:sz w:val="16"/>
                <w:szCs w:val="16"/>
              </w:rPr>
              <w:t xml:space="preserve"> </w:t>
            </w:r>
          </w:p>
        </w:tc>
      </w:tr>
    </w:tbl>
    <w:p w14:paraId="44B35E77" w14:textId="77777777" w:rsidR="009517EA" w:rsidRDefault="009517EA" w:rsidP="009517EA"/>
    <w:p w14:paraId="44B35E78" w14:textId="77777777" w:rsidR="004E1506" w:rsidRDefault="004E1506" w:rsidP="00804B11">
      <w:pPr>
        <w:pStyle w:val="Heading1"/>
        <w:sectPr w:rsidR="004E1506" w:rsidSect="008A0A9C">
          <w:headerReference w:type="even" r:id="rId29"/>
          <w:headerReference w:type="default" r:id="rId30"/>
          <w:footerReference w:type="even" r:id="rId31"/>
          <w:footerReference w:type="default" r:id="rId32"/>
          <w:headerReference w:type="first" r:id="rId33"/>
          <w:footerReference w:type="first" r:id="rId34"/>
          <w:endnotePr>
            <w:numFmt w:val="decimal"/>
            <w:numRestart w:val="eachSect"/>
          </w:endnotePr>
          <w:pgSz w:w="11906" w:h="16838" w:code="9"/>
          <w:pgMar w:top="1945" w:right="1134" w:bottom="868" w:left="1134" w:header="709" w:footer="119" w:gutter="284"/>
          <w:pgNumType w:start="89"/>
          <w:cols w:space="708"/>
          <w:docGrid w:linePitch="360"/>
        </w:sectPr>
      </w:pPr>
      <w:bookmarkStart w:id="72" w:name="_Toc287540293"/>
      <w:bookmarkStart w:id="73" w:name="_Toc371589120"/>
      <w:bookmarkStart w:id="74" w:name="_Toc373149182"/>
      <w:bookmarkStart w:id="75" w:name="_Toc341428451"/>
      <w:bookmarkStart w:id="76" w:name="_Toc371589139"/>
      <w:bookmarkStart w:id="77" w:name="_Toc373149201"/>
      <w:bookmarkEnd w:id="72"/>
      <w:bookmarkEnd w:id="73"/>
      <w:bookmarkEnd w:id="74"/>
    </w:p>
    <w:bookmarkEnd w:id="75"/>
    <w:bookmarkEnd w:id="76"/>
    <w:bookmarkEnd w:id="77"/>
    <w:bookmarkEnd w:id="6"/>
    <w:bookmarkEnd w:id="7"/>
    <w:bookmarkEnd w:id="8"/>
    <w:p w14:paraId="44B362EA" w14:textId="77777777" w:rsidR="00804B11" w:rsidRPr="00804B11" w:rsidRDefault="00804B11" w:rsidP="00F143A5">
      <w:pPr>
        <w:keepNext/>
        <w:keepLines/>
      </w:pPr>
    </w:p>
    <w:sectPr w:rsidR="00804B11" w:rsidRPr="00804B11" w:rsidSect="00DA3275">
      <w:endnotePr>
        <w:numFmt w:val="decimal"/>
        <w:numRestart w:val="eachSect"/>
      </w:endnotePr>
      <w:type w:val="continuous"/>
      <w:pgSz w:w="11906" w:h="16838" w:code="9"/>
      <w:pgMar w:top="1945" w:right="1134" w:bottom="868" w:left="1134" w:header="709" w:footer="11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32C2" w14:textId="77777777" w:rsidR="001B4E1C" w:rsidRDefault="001B4E1C">
      <w:r>
        <w:separator/>
      </w:r>
    </w:p>
  </w:endnote>
  <w:endnote w:type="continuationSeparator" w:id="0">
    <w:p w14:paraId="13125DC7" w14:textId="77777777" w:rsidR="001B4E1C" w:rsidRDefault="001B4E1C">
      <w:r>
        <w:continuationSeparator/>
      </w:r>
    </w:p>
  </w:endnote>
  <w:endnote w:type="continuationNotice" w:id="1">
    <w:p w14:paraId="36F29045" w14:textId="77777777" w:rsidR="001B4E1C" w:rsidRDefault="001B4E1C">
      <w:pPr>
        <w:spacing w:line="240" w:lineRule="auto"/>
      </w:pPr>
    </w:p>
  </w:endnote>
  <w:endnote w:id="2">
    <w:p w14:paraId="44B3641C" w14:textId="77777777" w:rsidR="001B4E1C" w:rsidRDefault="001B4E1C" w:rsidP="00A3675A">
      <w:pPr>
        <w:keepNext/>
        <w:keepLines/>
        <w:spacing w:after="80"/>
        <w:rPr>
          <w:b/>
        </w:rPr>
      </w:pPr>
      <w:r w:rsidRPr="001B5D0B">
        <w:rPr>
          <w:b/>
        </w:rPr>
        <w:t>Endnotes</w:t>
      </w:r>
    </w:p>
    <w:p w14:paraId="44B3641D" w14:textId="77777777" w:rsidR="001B4E1C" w:rsidRPr="00DC4959" w:rsidRDefault="001B4E1C" w:rsidP="00A3675A">
      <w:pPr>
        <w:pStyle w:val="EndnoteText"/>
        <w:keepNext/>
        <w:keepLines/>
        <w:rPr>
          <w:rFonts w:ascii="Arial" w:hAnsi="Arial" w:cs="Arial"/>
          <w:sz w:val="16"/>
          <w:szCs w:val="16"/>
          <w:lang w:val="en-US"/>
        </w:rPr>
      </w:pPr>
      <w:r w:rsidRPr="00C4421B">
        <w:rPr>
          <w:rStyle w:val="EndnoteReference"/>
          <w:rFonts w:ascii="Arial" w:hAnsi="Arial" w:cs="Arial"/>
          <w:sz w:val="16"/>
          <w:szCs w:val="16"/>
        </w:rPr>
        <w:endnoteRef/>
      </w:r>
      <w:r>
        <w:rPr>
          <w:rFonts w:ascii="Arial" w:hAnsi="Arial" w:cs="Arial"/>
          <w:sz w:val="16"/>
          <w:szCs w:val="16"/>
          <w:lang w:val="en-US"/>
        </w:rPr>
        <w:t xml:space="preserve"> </w:t>
      </w:r>
      <w:r w:rsidRPr="00C4421B">
        <w:rPr>
          <w:rFonts w:ascii="Arial" w:hAnsi="Arial" w:cs="Arial"/>
          <w:sz w:val="16"/>
          <w:szCs w:val="16"/>
          <w:lang w:val="en-US"/>
        </w:rPr>
        <w:t>While the scheme imposes a spending obligation on licensees and channel providers for Australian and New Zealand programs, there is no broadcasting requirement.</w:t>
      </w:r>
    </w:p>
  </w:endnote>
  <w:endnote w:id="3">
    <w:p w14:paraId="44B3641E" w14:textId="77777777" w:rsidR="001B4E1C" w:rsidRPr="003D5BA6" w:rsidRDefault="001B4E1C" w:rsidP="00A3675A">
      <w:pPr>
        <w:pStyle w:val="EndnoteText"/>
        <w:keepNext/>
        <w:keepLines/>
        <w:rPr>
          <w:rFonts w:ascii="Arial" w:hAnsi="Arial" w:cs="Arial"/>
          <w:sz w:val="16"/>
          <w:szCs w:val="16"/>
          <w:lang w:val="en-US"/>
        </w:rPr>
      </w:pPr>
      <w:r w:rsidRPr="00F305A9">
        <w:rPr>
          <w:rStyle w:val="EndnoteReference"/>
          <w:rFonts w:ascii="Arial" w:hAnsi="Arial" w:cs="Arial"/>
          <w:sz w:val="16"/>
          <w:szCs w:val="16"/>
        </w:rPr>
        <w:endnoteRef/>
      </w:r>
      <w:r>
        <w:rPr>
          <w:rFonts w:ascii="Arial" w:hAnsi="Arial" w:cs="Arial"/>
          <w:sz w:val="16"/>
          <w:szCs w:val="16"/>
          <w:lang w:val="en-US"/>
        </w:rPr>
        <w:t xml:space="preserve"> </w:t>
      </w:r>
      <w:r w:rsidRPr="00131775">
        <w:rPr>
          <w:rFonts w:ascii="Arial" w:hAnsi="Arial" w:cs="Arial"/>
          <w:sz w:val="16"/>
          <w:szCs w:val="16"/>
          <w:lang w:val="en-US"/>
        </w:rPr>
        <w:t>This is the most recent available data at time of publication</w:t>
      </w:r>
      <w:r w:rsidRPr="004E6D0E">
        <w:rPr>
          <w:rFonts w:ascii="Arial" w:hAnsi="Arial" w:cs="Arial"/>
          <w:sz w:val="16"/>
          <w:szCs w:val="16"/>
          <w:lang w:val="en-US"/>
        </w:rPr>
        <w:t>.</w:t>
      </w:r>
    </w:p>
  </w:endnote>
  <w:endnote w:id="4">
    <w:p w14:paraId="44B3641F" w14:textId="77777777" w:rsidR="001B4E1C" w:rsidRPr="003D5BA6" w:rsidRDefault="001B4E1C" w:rsidP="00A3675A">
      <w:pPr>
        <w:pStyle w:val="EndnoteText"/>
        <w:keepNext/>
        <w:keepLines/>
        <w:rPr>
          <w:rFonts w:ascii="Arial" w:hAnsi="Arial" w:cs="Arial"/>
          <w:sz w:val="16"/>
          <w:szCs w:val="16"/>
          <w:lang w:val="en-US"/>
        </w:rPr>
      </w:pPr>
      <w:r w:rsidRPr="00F305A9">
        <w:rPr>
          <w:rStyle w:val="EndnoteReference"/>
          <w:rFonts w:ascii="Arial" w:hAnsi="Arial" w:cs="Arial"/>
          <w:sz w:val="16"/>
          <w:szCs w:val="16"/>
        </w:rPr>
        <w:endnoteRef/>
      </w:r>
      <w:r>
        <w:rPr>
          <w:rFonts w:ascii="Arial" w:hAnsi="Arial" w:cs="Arial"/>
          <w:sz w:val="16"/>
          <w:szCs w:val="16"/>
          <w:lang w:val="en-US"/>
        </w:rPr>
        <w:t xml:space="preserve"> As above.</w:t>
      </w:r>
    </w:p>
  </w:endnote>
  <w:endnote w:id="5">
    <w:p w14:paraId="44B36420" w14:textId="77777777" w:rsidR="001B4E1C" w:rsidRPr="008D712C" w:rsidRDefault="001B4E1C" w:rsidP="00A3675A">
      <w:pPr>
        <w:pStyle w:val="EndnoteText"/>
        <w:keepNext/>
        <w:keepLines/>
        <w:rPr>
          <w:rFonts w:ascii="Arial" w:hAnsi="Arial" w:cs="Arial"/>
          <w:sz w:val="16"/>
          <w:szCs w:val="16"/>
          <w:lang w:val="en-US"/>
        </w:rPr>
      </w:pPr>
      <w:r w:rsidRPr="00F305A9">
        <w:rPr>
          <w:rStyle w:val="EndnoteReference"/>
          <w:rFonts w:ascii="Arial" w:hAnsi="Arial" w:cs="Arial"/>
          <w:sz w:val="16"/>
          <w:szCs w:val="16"/>
        </w:rPr>
        <w:endnoteRef/>
      </w:r>
      <w:r>
        <w:rPr>
          <w:rFonts w:ascii="Arial" w:hAnsi="Arial" w:cs="Arial"/>
          <w:sz w:val="16"/>
          <w:szCs w:val="16"/>
        </w:rPr>
        <w:t xml:space="preserve"> </w:t>
      </w:r>
      <w:r w:rsidRPr="00735C67">
        <w:rPr>
          <w:rFonts w:ascii="Arial" w:hAnsi="Arial" w:cs="Arial"/>
          <w:sz w:val="16"/>
          <w:szCs w:val="16"/>
        </w:rPr>
        <w:t>The investigat</w:t>
      </w:r>
      <w:r>
        <w:rPr>
          <w:rFonts w:ascii="Arial" w:hAnsi="Arial" w:cs="Arial"/>
          <w:sz w:val="16"/>
          <w:szCs w:val="16"/>
        </w:rPr>
        <w:t>i</w:t>
      </w:r>
      <w:r w:rsidRPr="00735C67">
        <w:rPr>
          <w:rFonts w:ascii="Arial" w:hAnsi="Arial" w:cs="Arial"/>
          <w:sz w:val="16"/>
          <w:szCs w:val="16"/>
        </w:rPr>
        <w:t xml:space="preserve">on drew from a number of sources including </w:t>
      </w:r>
      <w:r>
        <w:rPr>
          <w:rFonts w:ascii="Arial" w:hAnsi="Arial" w:cs="Arial"/>
          <w:sz w:val="16"/>
          <w:szCs w:val="16"/>
        </w:rPr>
        <w:t>a survey of regional Australian</w:t>
      </w:r>
      <w:r w:rsidRPr="00735C67">
        <w:rPr>
          <w:rFonts w:ascii="Arial" w:hAnsi="Arial" w:cs="Arial"/>
          <w:sz w:val="16"/>
          <w:szCs w:val="16"/>
        </w:rPr>
        <w:t xml:space="preserve"> audience rating data, local content case studies, a peer-reviewed economic analysis and consultation process involving both the public and the regional broadcasting industry.</w:t>
      </w:r>
      <w:r>
        <w:rPr>
          <w:rFonts w:ascii="Arial" w:hAnsi="Arial" w:cs="Arial"/>
          <w:sz w:val="16"/>
          <w:szCs w:val="16"/>
          <w:lang w:val="en-US"/>
        </w:rPr>
        <w:t xml:space="preserve"> </w:t>
      </w:r>
    </w:p>
  </w:endnote>
  <w:endnote w:id="6">
    <w:p w14:paraId="44B36421" w14:textId="77777777" w:rsidR="001B4E1C" w:rsidRPr="001F0EB6" w:rsidRDefault="001B4E1C" w:rsidP="00D25F01">
      <w:pPr>
        <w:pStyle w:val="EndnoteText"/>
        <w:rPr>
          <w:rFonts w:ascii="Arial" w:hAnsi="Arial" w:cs="Arial"/>
          <w:sz w:val="16"/>
          <w:szCs w:val="16"/>
        </w:rPr>
      </w:pPr>
      <w:r w:rsidRPr="00F305A9">
        <w:rPr>
          <w:rStyle w:val="EndnoteReference"/>
          <w:rFonts w:ascii="Arial" w:hAnsi="Arial" w:cs="Arial"/>
          <w:sz w:val="16"/>
          <w:szCs w:val="16"/>
        </w:rPr>
        <w:endnoteRef/>
      </w:r>
      <w:r>
        <w:rPr>
          <w:rFonts w:ascii="Arial" w:hAnsi="Arial" w:cs="Arial"/>
          <w:sz w:val="16"/>
          <w:szCs w:val="16"/>
        </w:rPr>
        <w:t xml:space="preserve"> </w:t>
      </w:r>
      <w:r w:rsidRPr="001F0EB6">
        <w:rPr>
          <w:rFonts w:ascii="Arial" w:hAnsi="Arial" w:cs="Arial"/>
          <w:sz w:val="16"/>
          <w:szCs w:val="16"/>
        </w:rPr>
        <w:t>This number excludes regional commercial radio broadcasting services licensed under section 40 of the BSA, regional racing services, or remote licences as these services are exempt from the local content licence condition.</w:t>
      </w:r>
    </w:p>
  </w:endnote>
  <w:endnote w:id="7">
    <w:p w14:paraId="44B36422" w14:textId="77777777" w:rsidR="001B4E1C" w:rsidRPr="00D41B98" w:rsidRDefault="001B4E1C" w:rsidP="003B7696">
      <w:pPr>
        <w:pStyle w:val="EndnoteText"/>
        <w:rPr>
          <w:rFonts w:ascii="Arial" w:hAnsi="Arial" w:cs="Arial"/>
          <w:sz w:val="16"/>
          <w:szCs w:val="16"/>
          <w:lang w:val="en-US"/>
        </w:rPr>
      </w:pPr>
      <w:r w:rsidRPr="001F0EB6">
        <w:rPr>
          <w:rStyle w:val="EndnoteReference"/>
          <w:rFonts w:ascii="Arial" w:hAnsi="Arial" w:cs="Arial"/>
          <w:sz w:val="16"/>
          <w:szCs w:val="16"/>
        </w:rPr>
        <w:endnoteRef/>
      </w:r>
      <w:r>
        <w:rPr>
          <w:rFonts w:ascii="Arial" w:hAnsi="Arial" w:cs="Arial"/>
          <w:sz w:val="16"/>
          <w:szCs w:val="16"/>
          <w:lang w:val="en-US"/>
        </w:rPr>
        <w:t xml:space="preserve"> </w:t>
      </w:r>
      <w:r w:rsidRPr="00131775">
        <w:rPr>
          <w:rFonts w:ascii="Arial" w:hAnsi="Arial" w:cs="Arial"/>
          <w:sz w:val="16"/>
          <w:szCs w:val="16"/>
          <w:lang w:val="en-US"/>
        </w:rPr>
        <w:t>This is the most recent available data at time of publication</w:t>
      </w:r>
      <w:r w:rsidRPr="004E6D0E">
        <w:rPr>
          <w:rFonts w:ascii="Arial" w:hAnsi="Arial" w:cs="Arial"/>
          <w:sz w:val="16"/>
          <w:szCs w:val="16"/>
          <w:lang w:val="en-US"/>
        </w:rPr>
        <w:t>.</w:t>
      </w:r>
    </w:p>
  </w:endnote>
  <w:endnote w:id="8">
    <w:p w14:paraId="44B36423" w14:textId="77777777" w:rsidR="001B4E1C" w:rsidRPr="00D41B98" w:rsidRDefault="001B4E1C" w:rsidP="00D25F01">
      <w:pPr>
        <w:pStyle w:val="EndnoteText"/>
        <w:rPr>
          <w:rFonts w:ascii="Arial" w:hAnsi="Arial" w:cs="Arial"/>
          <w:sz w:val="16"/>
          <w:szCs w:val="16"/>
          <w:lang w:val="en-US"/>
        </w:rPr>
      </w:pPr>
      <w:r w:rsidRPr="001F0EB6">
        <w:rPr>
          <w:rStyle w:val="EndnoteReference"/>
          <w:rFonts w:ascii="Arial" w:hAnsi="Arial" w:cs="Arial"/>
          <w:sz w:val="16"/>
          <w:szCs w:val="16"/>
        </w:rPr>
        <w:endnoteRef/>
      </w:r>
      <w:r>
        <w:rPr>
          <w:rFonts w:ascii="Arial" w:hAnsi="Arial" w:cs="Arial"/>
          <w:sz w:val="16"/>
          <w:szCs w:val="16"/>
        </w:rPr>
        <w:t xml:space="preserve"> </w:t>
      </w:r>
      <w:r w:rsidRPr="001F0EB6">
        <w:rPr>
          <w:rFonts w:ascii="Arial" w:hAnsi="Arial" w:cs="Arial"/>
          <w:sz w:val="16"/>
          <w:szCs w:val="16"/>
        </w:rPr>
        <w:t xml:space="preserve">Except regional commercial radio broadcasting services licensed under section 40 of the BSA, regional racing services, or remote licences </w:t>
      </w:r>
      <w:r>
        <w:rPr>
          <w:rFonts w:ascii="Arial" w:hAnsi="Arial" w:cs="Arial"/>
          <w:sz w:val="16"/>
          <w:szCs w:val="16"/>
        </w:rPr>
        <w:t>that</w:t>
      </w:r>
      <w:r w:rsidRPr="001F0EB6">
        <w:rPr>
          <w:rFonts w:ascii="Arial" w:hAnsi="Arial" w:cs="Arial"/>
          <w:sz w:val="16"/>
          <w:szCs w:val="16"/>
        </w:rPr>
        <w:t xml:space="preserve"> are exempt from the minimum service standards and local presence obligations that apply following a trigger </w:t>
      </w:r>
      <w:r w:rsidRPr="00D41B98">
        <w:rPr>
          <w:rFonts w:ascii="Arial" w:hAnsi="Arial" w:cs="Arial"/>
          <w:sz w:val="16"/>
          <w:szCs w:val="16"/>
          <w:lang w:val="en-US"/>
        </w:rPr>
        <w:t>event.</w:t>
      </w:r>
    </w:p>
  </w:endnote>
  <w:endnote w:id="9">
    <w:p w14:paraId="44B36424" w14:textId="77777777" w:rsidR="001B4E1C" w:rsidRPr="001B5D0B" w:rsidRDefault="001B4E1C" w:rsidP="00D25F01">
      <w:pPr>
        <w:pStyle w:val="EndnoteText"/>
        <w:rPr>
          <w:rFonts w:ascii="Arial" w:hAnsi="Arial" w:cs="Arial"/>
          <w:sz w:val="16"/>
          <w:szCs w:val="16"/>
        </w:rPr>
      </w:pPr>
      <w:r w:rsidRPr="001B5D0B">
        <w:rPr>
          <w:rStyle w:val="EndnoteReference"/>
          <w:rFonts w:ascii="Arial" w:hAnsi="Arial" w:cs="Arial"/>
          <w:sz w:val="16"/>
          <w:szCs w:val="16"/>
        </w:rPr>
        <w:endnoteRef/>
      </w:r>
      <w:r w:rsidRPr="001B5D0B">
        <w:rPr>
          <w:rFonts w:ascii="Arial" w:hAnsi="Arial" w:cs="Arial"/>
          <w:sz w:val="16"/>
          <w:szCs w:val="16"/>
        </w:rPr>
        <w:t xml:space="preserve"> Potential prohibited content is defined at clause 21 of Schedule 7 of the BSA.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1B4E1C" w:rsidRPr="00915B1C" w14:paraId="44B363D6" w14:textId="77777777" w:rsidTr="00915B1C">
      <w:tc>
        <w:tcPr>
          <w:tcW w:w="1311" w:type="dxa"/>
          <w:tcBorders>
            <w:top w:val="single" w:sz="2" w:space="0" w:color="auto"/>
          </w:tcBorders>
          <w:shd w:val="clear" w:color="auto" w:fill="auto"/>
        </w:tcPr>
        <w:p w14:paraId="44B363D4" w14:textId="77777777" w:rsidR="001B4E1C" w:rsidRPr="00915B1C" w:rsidRDefault="001B4E1C" w:rsidP="00332011">
          <w:pPr>
            <w:pStyle w:val="Footer"/>
            <w:rPr>
              <w:sz w:val="2"/>
              <w:szCs w:val="2"/>
            </w:rPr>
          </w:pPr>
        </w:p>
      </w:tc>
      <w:tc>
        <w:tcPr>
          <w:tcW w:w="6381" w:type="dxa"/>
          <w:shd w:val="clear" w:color="auto" w:fill="auto"/>
        </w:tcPr>
        <w:p w14:paraId="44B363D5" w14:textId="77777777" w:rsidR="001B4E1C" w:rsidRPr="00915B1C" w:rsidRDefault="001B4E1C" w:rsidP="00332011">
          <w:pPr>
            <w:pStyle w:val="Footer"/>
            <w:rPr>
              <w:sz w:val="2"/>
              <w:szCs w:val="2"/>
            </w:rPr>
          </w:pPr>
        </w:p>
      </w:tc>
    </w:tr>
    <w:tr w:rsidR="001B4E1C" w14:paraId="44B363D8" w14:textId="77777777" w:rsidTr="00915B1C">
      <w:tc>
        <w:tcPr>
          <w:tcW w:w="7692" w:type="dxa"/>
          <w:gridSpan w:val="2"/>
          <w:shd w:val="clear" w:color="auto" w:fill="auto"/>
        </w:tcPr>
        <w:p w14:paraId="44B363D7" w14:textId="77777777" w:rsidR="001B4E1C" w:rsidRPr="00575AC5" w:rsidRDefault="001B4E1C"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3142FE">
            <w:rPr>
              <w:noProof/>
              <w:color w:val="505050"/>
            </w:rPr>
            <w:t>102</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44B363D9" w14:textId="77777777" w:rsidR="001B4E1C" w:rsidRDefault="001B4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8A0A9C" w:rsidRPr="00915B1C" w14:paraId="276C036B" w14:textId="77777777" w:rsidTr="002367DF">
      <w:tc>
        <w:tcPr>
          <w:tcW w:w="6355" w:type="dxa"/>
          <w:shd w:val="clear" w:color="auto" w:fill="auto"/>
        </w:tcPr>
        <w:p w14:paraId="257CC50D" w14:textId="77777777" w:rsidR="008A0A9C" w:rsidRPr="00915B1C" w:rsidRDefault="008A0A9C" w:rsidP="008A0A9C">
          <w:pPr>
            <w:pStyle w:val="Footer"/>
            <w:ind w:right="28"/>
            <w:jc w:val="right"/>
            <w:rPr>
              <w:sz w:val="2"/>
              <w:szCs w:val="2"/>
            </w:rPr>
          </w:pPr>
        </w:p>
      </w:tc>
      <w:tc>
        <w:tcPr>
          <w:tcW w:w="1328" w:type="dxa"/>
          <w:tcBorders>
            <w:top w:val="single" w:sz="2" w:space="0" w:color="auto"/>
          </w:tcBorders>
          <w:shd w:val="clear" w:color="auto" w:fill="auto"/>
        </w:tcPr>
        <w:p w14:paraId="3EA051B9" w14:textId="77777777" w:rsidR="008A0A9C" w:rsidRPr="00915B1C" w:rsidRDefault="008A0A9C" w:rsidP="008A0A9C">
          <w:pPr>
            <w:pStyle w:val="Footer"/>
            <w:ind w:right="28"/>
            <w:jc w:val="right"/>
            <w:rPr>
              <w:sz w:val="2"/>
              <w:szCs w:val="2"/>
            </w:rPr>
          </w:pPr>
        </w:p>
      </w:tc>
    </w:tr>
    <w:tr w:rsidR="008A0A9C" w14:paraId="2CFE0F61" w14:textId="77777777" w:rsidTr="002367DF">
      <w:tc>
        <w:tcPr>
          <w:tcW w:w="7683" w:type="dxa"/>
          <w:gridSpan w:val="2"/>
          <w:shd w:val="clear" w:color="auto" w:fill="auto"/>
        </w:tcPr>
        <w:p w14:paraId="75CBF835" w14:textId="77777777" w:rsidR="008A0A9C" w:rsidRPr="00575AC5" w:rsidRDefault="008A0A9C" w:rsidP="008A0A9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3142FE">
            <w:rPr>
              <w:noProof/>
              <w:color w:val="505050"/>
            </w:rPr>
            <w:t>89</w:t>
          </w:r>
          <w:r w:rsidRPr="00575AC5">
            <w:rPr>
              <w:color w:val="505050"/>
            </w:rPr>
            <w:fldChar w:fldCharType="end"/>
          </w:r>
        </w:p>
      </w:tc>
    </w:tr>
  </w:tbl>
  <w:p w14:paraId="396E80D8" w14:textId="77777777" w:rsidR="008A0A9C" w:rsidRDefault="008A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3F8B" w14:textId="77777777" w:rsidR="003142FE" w:rsidRDefault="0031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01615" w14:textId="77777777" w:rsidR="001B4E1C" w:rsidRDefault="001B4E1C">
      <w:r>
        <w:separator/>
      </w:r>
    </w:p>
  </w:footnote>
  <w:footnote w:type="continuationSeparator" w:id="0">
    <w:p w14:paraId="58DCF560" w14:textId="77777777" w:rsidR="001B4E1C" w:rsidRDefault="001B4E1C">
      <w:r>
        <w:continuationSeparator/>
      </w:r>
    </w:p>
  </w:footnote>
  <w:footnote w:type="continuationNotice" w:id="1">
    <w:p w14:paraId="32AE0BFF" w14:textId="77777777" w:rsidR="001B4E1C" w:rsidRDefault="001B4E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63D0" w14:textId="77777777" w:rsidR="001B4E1C" w:rsidRDefault="001B4E1C">
    <w:pPr>
      <w:pStyle w:val="Header"/>
    </w:pPr>
  </w:p>
  <w:p w14:paraId="44B363D1" w14:textId="77777777" w:rsidR="001B4E1C" w:rsidRDefault="001B4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63D2" w14:textId="77777777" w:rsidR="001B4E1C" w:rsidRDefault="001B4E1C">
    <w:pPr>
      <w:pStyle w:val="Header"/>
    </w:pPr>
  </w:p>
  <w:p w14:paraId="44B363D3" w14:textId="77777777" w:rsidR="001B4E1C" w:rsidRDefault="001B4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D93D" w14:textId="77777777" w:rsidR="003142FE" w:rsidRDefault="0031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D3E1EFE"/>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4446A2D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E417349"/>
    <w:multiLevelType w:val="multilevel"/>
    <w:tmpl w:val="1228068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782E5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F45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8749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4194"/>
    <w:multiLevelType w:val="hybridMultilevel"/>
    <w:tmpl w:val="35B27CCA"/>
    <w:lvl w:ilvl="0" w:tplc="C7686166">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317BE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EE06A73"/>
    <w:multiLevelType w:val="multilevel"/>
    <w:tmpl w:val="7CD21020"/>
    <w:lvl w:ilvl="0">
      <w:start w:val="3"/>
      <w:numFmt w:val="decimal"/>
      <w:lvlText w:val="%1"/>
      <w:lvlJc w:val="left"/>
      <w:pPr>
        <w:ind w:left="360" w:hanging="360"/>
      </w:pPr>
      <w:rPr>
        <w:rFonts w:cs="Times New Roman" w:hint="default"/>
        <w:b w:val="0"/>
        <w:sz w:val="20"/>
      </w:rPr>
    </w:lvl>
    <w:lvl w:ilvl="1">
      <w:start w:val="1"/>
      <w:numFmt w:val="decimal"/>
      <w:lvlText w:val="%1.%2"/>
      <w:lvlJc w:val="left"/>
      <w:pPr>
        <w:ind w:left="720" w:hanging="720"/>
      </w:pPr>
      <w:rPr>
        <w:rFonts w:cs="Times New Roman" w:hint="default"/>
        <w:b w:val="0"/>
        <w:sz w:val="20"/>
      </w:rPr>
    </w:lvl>
    <w:lvl w:ilvl="2">
      <w:start w:val="1"/>
      <w:numFmt w:val="decimal"/>
      <w:lvlText w:val="%1.%2.%3"/>
      <w:lvlJc w:val="left"/>
      <w:pPr>
        <w:ind w:left="720" w:hanging="720"/>
      </w:pPr>
      <w:rPr>
        <w:rFonts w:cs="Times New Roman" w:hint="default"/>
        <w:b w:val="0"/>
        <w:sz w:val="20"/>
      </w:rPr>
    </w:lvl>
    <w:lvl w:ilvl="3">
      <w:start w:val="1"/>
      <w:numFmt w:val="decimal"/>
      <w:lvlText w:val="%1.%2.%3.%4"/>
      <w:lvlJc w:val="left"/>
      <w:pPr>
        <w:ind w:left="1080" w:hanging="1080"/>
      </w:pPr>
      <w:rPr>
        <w:rFonts w:cs="Times New Roman" w:hint="default"/>
        <w:b w:val="0"/>
        <w:sz w:val="20"/>
      </w:rPr>
    </w:lvl>
    <w:lvl w:ilvl="4">
      <w:start w:val="1"/>
      <w:numFmt w:val="decimal"/>
      <w:lvlText w:val="%1.%2.%3.%4.%5"/>
      <w:lvlJc w:val="left"/>
      <w:pPr>
        <w:ind w:left="1440" w:hanging="1440"/>
      </w:pPr>
      <w:rPr>
        <w:rFonts w:cs="Times New Roman" w:hint="default"/>
        <w:b w:val="0"/>
        <w:sz w:val="20"/>
      </w:rPr>
    </w:lvl>
    <w:lvl w:ilvl="5">
      <w:start w:val="1"/>
      <w:numFmt w:val="decimal"/>
      <w:lvlText w:val="%1.%2.%3.%4.%5.%6"/>
      <w:lvlJc w:val="left"/>
      <w:pPr>
        <w:ind w:left="1440" w:hanging="1440"/>
      </w:pPr>
      <w:rPr>
        <w:rFonts w:cs="Times New Roman" w:hint="default"/>
        <w:b w:val="0"/>
        <w:sz w:val="20"/>
      </w:rPr>
    </w:lvl>
    <w:lvl w:ilvl="6">
      <w:start w:val="1"/>
      <w:numFmt w:val="decimal"/>
      <w:lvlText w:val="%1.%2.%3.%4.%5.%6.%7"/>
      <w:lvlJc w:val="left"/>
      <w:pPr>
        <w:ind w:left="1800" w:hanging="1800"/>
      </w:pPr>
      <w:rPr>
        <w:rFonts w:cs="Times New Roman" w:hint="default"/>
        <w:b w:val="0"/>
        <w:sz w:val="20"/>
      </w:rPr>
    </w:lvl>
    <w:lvl w:ilvl="7">
      <w:start w:val="1"/>
      <w:numFmt w:val="decimal"/>
      <w:lvlText w:val="%1.%2.%3.%4.%5.%6.%7.%8"/>
      <w:lvlJc w:val="left"/>
      <w:pPr>
        <w:ind w:left="1800" w:hanging="1800"/>
      </w:pPr>
      <w:rPr>
        <w:rFonts w:cs="Times New Roman" w:hint="default"/>
        <w:b w:val="0"/>
        <w:sz w:val="20"/>
      </w:rPr>
    </w:lvl>
    <w:lvl w:ilvl="8">
      <w:start w:val="1"/>
      <w:numFmt w:val="decimal"/>
      <w:lvlText w:val="%1.%2.%3.%4.%5.%6.%7.%8.%9"/>
      <w:lvlJc w:val="left"/>
      <w:pPr>
        <w:ind w:left="2160" w:hanging="2160"/>
      </w:pPr>
      <w:rPr>
        <w:rFonts w:cs="Times New Roman" w:hint="default"/>
        <w:b w:val="0"/>
        <w:sz w:val="20"/>
      </w:rPr>
    </w:lvl>
  </w:abstractNum>
  <w:abstractNum w:abstractNumId="13" w15:restartNumberingAfterBreak="0">
    <w:nsid w:val="3F294072"/>
    <w:multiLevelType w:val="hybridMultilevel"/>
    <w:tmpl w:val="3EF24F20"/>
    <w:lvl w:ilvl="0" w:tplc="C7686166">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7642A7"/>
    <w:multiLevelType w:val="multilevel"/>
    <w:tmpl w:val="7E6436D6"/>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3AC34E4"/>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D426BD"/>
    <w:multiLevelType w:val="hybridMultilevel"/>
    <w:tmpl w:val="C672B630"/>
    <w:lvl w:ilvl="0" w:tplc="CFBCF618">
      <w:start w:val="1"/>
      <w:numFmt w:val="bullet"/>
      <w:pStyle w:val="Bulleted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CD64FAE"/>
    <w:multiLevelType w:val="hybridMultilevel"/>
    <w:tmpl w:val="BF78F5A2"/>
    <w:lvl w:ilvl="0" w:tplc="0C09000F">
      <w:start w:val="1"/>
      <w:numFmt w:val="bullet"/>
      <w:pStyle w:val="ACMAHeading1"/>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5DE31D8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BD43E1"/>
    <w:multiLevelType w:val="hybridMultilevel"/>
    <w:tmpl w:val="BBF2B704"/>
    <w:lvl w:ilvl="0" w:tplc="C7686166">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AA31A4"/>
    <w:multiLevelType w:val="multilevel"/>
    <w:tmpl w:val="AB9865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327938"/>
    <w:multiLevelType w:val="hybridMultilevel"/>
    <w:tmpl w:val="5136FBB6"/>
    <w:lvl w:ilvl="0" w:tplc="C7686166">
      <w:start w:val="1"/>
      <w:numFmt w:val="bullet"/>
      <w:lvlText w:val="&gt;"/>
      <w:lvlJc w:val="left"/>
      <w:pPr>
        <w:ind w:left="417" w:hanging="360"/>
      </w:pPr>
      <w:rPr>
        <w:rFonts w:ascii="Calibri" w:hAnsi="Calibri" w:hint="default"/>
        <w:b w:val="0"/>
        <w:i w:val="0"/>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2" w15:restartNumberingAfterBreak="0">
    <w:nsid w:val="760C7632"/>
    <w:multiLevelType w:val="hybridMultilevel"/>
    <w:tmpl w:val="3AFA06B4"/>
    <w:lvl w:ilvl="0" w:tplc="C7686166">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2A7D0D"/>
    <w:multiLevelType w:val="multilevel"/>
    <w:tmpl w:val="1228068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2C3B3A"/>
    <w:multiLevelType w:val="hybridMultilevel"/>
    <w:tmpl w:val="CEF40FF0"/>
    <w:lvl w:ilvl="0" w:tplc="C7686166">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7"/>
  </w:num>
  <w:num w:numId="6">
    <w:abstractNumId w:val="11"/>
  </w:num>
  <w:num w:numId="7">
    <w:abstractNumId w:val="8"/>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9"/>
  </w:num>
  <w:num w:numId="11">
    <w:abstractNumId w:val="24"/>
  </w:num>
  <w:num w:numId="12">
    <w:abstractNumId w:val="9"/>
  </w:num>
  <w:num w:numId="13">
    <w:abstractNumId w:val="21"/>
  </w:num>
  <w:num w:numId="14">
    <w:abstractNumId w:val="22"/>
  </w:num>
  <w:num w:numId="15">
    <w:abstractNumId w:val="3"/>
  </w:num>
  <w:num w:numId="16">
    <w:abstractNumId w:val="20"/>
  </w:num>
  <w:num w:numId="17">
    <w:abstractNumId w:val="4"/>
  </w:num>
  <w:num w:numId="18">
    <w:abstractNumId w:val="5"/>
  </w:num>
  <w:num w:numId="19">
    <w:abstractNumId w:val="20"/>
    <w:lvlOverride w:ilvl="0">
      <w:lvl w:ilvl="0">
        <w:start w:val="1"/>
        <w:numFmt w:val="decimal"/>
        <w:lvlText w:val="Chapter %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4"/>
    <w:lvlOverride w:ilvl="0">
      <w:lvl w:ilvl="0">
        <w:start w:val="1"/>
        <w:numFmt w:val="decimal"/>
        <w:lvlText w:val="%1."/>
        <w:lvlJc w:val="left"/>
        <w:pPr>
          <w:ind w:left="360" w:hanging="360"/>
        </w:pPr>
        <w:rPr>
          <w:rFonts w:hint="default"/>
        </w:rPr>
      </w:lvl>
    </w:lvlOverride>
    <w:lvlOverride w:ilvl="1">
      <w:lvl w:ilvl="1">
        <w:start w:val="1"/>
        <w:numFmt w:val="decimal"/>
        <w:lvlRestart w:val="0"/>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3"/>
  </w:num>
  <w:num w:numId="22">
    <w:abstractNumId w:val="7"/>
  </w:num>
  <w:num w:numId="23">
    <w:abstractNumId w:val="20"/>
    <w:lvlOverride w:ilvl="0">
      <w:lvl w:ilvl="0">
        <w:start w:val="1"/>
        <w:numFmt w:val="decimal"/>
        <w:lvlText w:val="Chapter %1"/>
        <w:lvlJc w:val="left"/>
        <w:pPr>
          <w:ind w:left="357" w:hanging="357"/>
        </w:pPr>
        <w:rPr>
          <w:rFonts w:hint="default"/>
          <w:color w:val="37897E" w:themeColor="text2"/>
        </w:rPr>
      </w:lvl>
    </w:lvlOverride>
    <w:lvlOverride w:ilvl="1">
      <w:lvl w:ilvl="1">
        <w:start w:val="1"/>
        <w:numFmt w:val="decimal"/>
        <w:lvlRestart w:val="0"/>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4">
    <w:abstractNumId w:val="15"/>
  </w:num>
  <w:num w:numId="25">
    <w:abstractNumId w:val="18"/>
  </w:num>
  <w:num w:numId="26">
    <w:abstractNumId w:val="10"/>
  </w:num>
  <w:num w:numId="27">
    <w:abstractNumId w:val="3"/>
  </w:num>
  <w:num w:numId="28">
    <w:abstractNumId w:val="6"/>
  </w:num>
  <w:num w:numId="29">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0"/>
    <w:lvlOverride w:ilvl="0">
      <w:lvl w:ilvl="0">
        <w:start w:val="1"/>
        <w:numFmt w:val="decimal"/>
        <w:lvlText w:val="Chapter %1"/>
        <w:lvlJc w:val="left"/>
        <w:pPr>
          <w:ind w:left="360" w:hanging="360"/>
        </w:pPr>
        <w:rPr>
          <w:rFonts w:hint="default"/>
          <w:color w:val="37897E" w:themeColor="text2"/>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3"/>
  </w:num>
  <w:num w:numId="32">
    <w:abstractNumId w:val="3"/>
  </w:num>
  <w:num w:numId="33">
    <w:abstractNumId w:val="3"/>
  </w:num>
  <w:num w:numId="34">
    <w:abstractNumId w:val="12"/>
  </w:num>
  <w:num w:numId="3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evenAndOddHeaders/>
  <w:drawingGridHorizontalSpacing w:val="100"/>
  <w:displayHorizontalDrawingGridEvery w:val="2"/>
  <w:characterSpacingControl w:val="doNotCompress"/>
  <w:hdrShapeDefaults>
    <o:shapedefaults v:ext="edit" spidmax="70657">
      <o:colormru v:ext="edit" colors="red,#4d4d4f"/>
    </o:shapedefaults>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0"/>
    <w:rsid w:val="00000CE1"/>
    <w:rsid w:val="00002932"/>
    <w:rsid w:val="00002C66"/>
    <w:rsid w:val="00003655"/>
    <w:rsid w:val="00004A80"/>
    <w:rsid w:val="00005DDD"/>
    <w:rsid w:val="00007B21"/>
    <w:rsid w:val="0001041A"/>
    <w:rsid w:val="00010667"/>
    <w:rsid w:val="000110C2"/>
    <w:rsid w:val="0001180F"/>
    <w:rsid w:val="00012710"/>
    <w:rsid w:val="00013277"/>
    <w:rsid w:val="0001597C"/>
    <w:rsid w:val="00015AE7"/>
    <w:rsid w:val="00016E21"/>
    <w:rsid w:val="00016E98"/>
    <w:rsid w:val="0001719C"/>
    <w:rsid w:val="000229DA"/>
    <w:rsid w:val="0002548D"/>
    <w:rsid w:val="00026C2B"/>
    <w:rsid w:val="00026F91"/>
    <w:rsid w:val="0002712E"/>
    <w:rsid w:val="00030B91"/>
    <w:rsid w:val="00030FA2"/>
    <w:rsid w:val="00031391"/>
    <w:rsid w:val="00032D84"/>
    <w:rsid w:val="000341B3"/>
    <w:rsid w:val="00034716"/>
    <w:rsid w:val="00035186"/>
    <w:rsid w:val="00035578"/>
    <w:rsid w:val="00036542"/>
    <w:rsid w:val="00036D8E"/>
    <w:rsid w:val="000413E0"/>
    <w:rsid w:val="00041A52"/>
    <w:rsid w:val="00041B4E"/>
    <w:rsid w:val="00042D82"/>
    <w:rsid w:val="00045D2D"/>
    <w:rsid w:val="00047491"/>
    <w:rsid w:val="0005045A"/>
    <w:rsid w:val="00051C1E"/>
    <w:rsid w:val="00051DCB"/>
    <w:rsid w:val="000521F0"/>
    <w:rsid w:val="000539F9"/>
    <w:rsid w:val="000546B9"/>
    <w:rsid w:val="00054C27"/>
    <w:rsid w:val="00055471"/>
    <w:rsid w:val="00055EC3"/>
    <w:rsid w:val="000563CE"/>
    <w:rsid w:val="000621A9"/>
    <w:rsid w:val="00062A7F"/>
    <w:rsid w:val="00064268"/>
    <w:rsid w:val="000659B6"/>
    <w:rsid w:val="00065AEA"/>
    <w:rsid w:val="00070690"/>
    <w:rsid w:val="00070CA7"/>
    <w:rsid w:val="0007150D"/>
    <w:rsid w:val="00072C28"/>
    <w:rsid w:val="00073016"/>
    <w:rsid w:val="00075216"/>
    <w:rsid w:val="00075B96"/>
    <w:rsid w:val="00075DA4"/>
    <w:rsid w:val="00076196"/>
    <w:rsid w:val="0008060E"/>
    <w:rsid w:val="000808BF"/>
    <w:rsid w:val="0008196A"/>
    <w:rsid w:val="00084227"/>
    <w:rsid w:val="000906AA"/>
    <w:rsid w:val="000915ED"/>
    <w:rsid w:val="000919DE"/>
    <w:rsid w:val="0009209D"/>
    <w:rsid w:val="00092129"/>
    <w:rsid w:val="0009372E"/>
    <w:rsid w:val="000951FF"/>
    <w:rsid w:val="0009579B"/>
    <w:rsid w:val="00096589"/>
    <w:rsid w:val="000965F9"/>
    <w:rsid w:val="000969BD"/>
    <w:rsid w:val="000969BF"/>
    <w:rsid w:val="00097B83"/>
    <w:rsid w:val="000A0A9B"/>
    <w:rsid w:val="000A0B69"/>
    <w:rsid w:val="000A0C22"/>
    <w:rsid w:val="000A281F"/>
    <w:rsid w:val="000A3B18"/>
    <w:rsid w:val="000A3C43"/>
    <w:rsid w:val="000A3C4B"/>
    <w:rsid w:val="000A3D7A"/>
    <w:rsid w:val="000A4A51"/>
    <w:rsid w:val="000A4EC9"/>
    <w:rsid w:val="000A4FA7"/>
    <w:rsid w:val="000A533B"/>
    <w:rsid w:val="000A5D2B"/>
    <w:rsid w:val="000A6202"/>
    <w:rsid w:val="000A7BB2"/>
    <w:rsid w:val="000B0A71"/>
    <w:rsid w:val="000B0AD4"/>
    <w:rsid w:val="000B1C89"/>
    <w:rsid w:val="000B1E9A"/>
    <w:rsid w:val="000B336F"/>
    <w:rsid w:val="000B5DE3"/>
    <w:rsid w:val="000B7C93"/>
    <w:rsid w:val="000B7D99"/>
    <w:rsid w:val="000C230C"/>
    <w:rsid w:val="000C230D"/>
    <w:rsid w:val="000C5B24"/>
    <w:rsid w:val="000C6DCC"/>
    <w:rsid w:val="000D0246"/>
    <w:rsid w:val="000D150A"/>
    <w:rsid w:val="000D506A"/>
    <w:rsid w:val="000D5CC2"/>
    <w:rsid w:val="000D5F7B"/>
    <w:rsid w:val="000D71D9"/>
    <w:rsid w:val="000D76E0"/>
    <w:rsid w:val="000D7B86"/>
    <w:rsid w:val="000D7C39"/>
    <w:rsid w:val="000D7E8B"/>
    <w:rsid w:val="000E0E9C"/>
    <w:rsid w:val="000E2C78"/>
    <w:rsid w:val="000E3472"/>
    <w:rsid w:val="000E4449"/>
    <w:rsid w:val="000E4500"/>
    <w:rsid w:val="000E6097"/>
    <w:rsid w:val="000E64C7"/>
    <w:rsid w:val="000E65D0"/>
    <w:rsid w:val="000F0C0C"/>
    <w:rsid w:val="000F13F5"/>
    <w:rsid w:val="000F5ABB"/>
    <w:rsid w:val="000F763A"/>
    <w:rsid w:val="000F7BF0"/>
    <w:rsid w:val="00102787"/>
    <w:rsid w:val="001029E5"/>
    <w:rsid w:val="00102A17"/>
    <w:rsid w:val="001031BE"/>
    <w:rsid w:val="00105F3C"/>
    <w:rsid w:val="001106E7"/>
    <w:rsid w:val="001116B6"/>
    <w:rsid w:val="00111FCE"/>
    <w:rsid w:val="00112406"/>
    <w:rsid w:val="00112A54"/>
    <w:rsid w:val="00112CB6"/>
    <w:rsid w:val="00113D5D"/>
    <w:rsid w:val="00121C22"/>
    <w:rsid w:val="00121C8E"/>
    <w:rsid w:val="0012201A"/>
    <w:rsid w:val="00122A32"/>
    <w:rsid w:val="0012489B"/>
    <w:rsid w:val="00130017"/>
    <w:rsid w:val="00130F91"/>
    <w:rsid w:val="001311DD"/>
    <w:rsid w:val="0013297F"/>
    <w:rsid w:val="00133713"/>
    <w:rsid w:val="0013516E"/>
    <w:rsid w:val="00136227"/>
    <w:rsid w:val="00137424"/>
    <w:rsid w:val="00137800"/>
    <w:rsid w:val="00137BE3"/>
    <w:rsid w:val="00137CB0"/>
    <w:rsid w:val="001412D4"/>
    <w:rsid w:val="001417C6"/>
    <w:rsid w:val="00141985"/>
    <w:rsid w:val="00141AD9"/>
    <w:rsid w:val="00146E13"/>
    <w:rsid w:val="001472C2"/>
    <w:rsid w:val="001473BF"/>
    <w:rsid w:val="0015171D"/>
    <w:rsid w:val="00152903"/>
    <w:rsid w:val="00152ABD"/>
    <w:rsid w:val="0015614F"/>
    <w:rsid w:val="001570F9"/>
    <w:rsid w:val="001577C2"/>
    <w:rsid w:val="001577F3"/>
    <w:rsid w:val="00160047"/>
    <w:rsid w:val="00160E13"/>
    <w:rsid w:val="00161478"/>
    <w:rsid w:val="001633C4"/>
    <w:rsid w:val="00167FC1"/>
    <w:rsid w:val="001700B4"/>
    <w:rsid w:val="00170AB8"/>
    <w:rsid w:val="00170D28"/>
    <w:rsid w:val="00171591"/>
    <w:rsid w:val="00171FF2"/>
    <w:rsid w:val="001720E3"/>
    <w:rsid w:val="00172912"/>
    <w:rsid w:val="00173981"/>
    <w:rsid w:val="001749D9"/>
    <w:rsid w:val="00176D90"/>
    <w:rsid w:val="0017719D"/>
    <w:rsid w:val="0017739E"/>
    <w:rsid w:val="0017759E"/>
    <w:rsid w:val="001800AE"/>
    <w:rsid w:val="00181272"/>
    <w:rsid w:val="00182BFE"/>
    <w:rsid w:val="00182F6F"/>
    <w:rsid w:val="00183136"/>
    <w:rsid w:val="0018383D"/>
    <w:rsid w:val="00184E62"/>
    <w:rsid w:val="0018675A"/>
    <w:rsid w:val="001867FC"/>
    <w:rsid w:val="00187194"/>
    <w:rsid w:val="001872FB"/>
    <w:rsid w:val="001875B7"/>
    <w:rsid w:val="001875C7"/>
    <w:rsid w:val="00187CB3"/>
    <w:rsid w:val="00194997"/>
    <w:rsid w:val="00194E13"/>
    <w:rsid w:val="00194F9D"/>
    <w:rsid w:val="001976E3"/>
    <w:rsid w:val="001A21A7"/>
    <w:rsid w:val="001A459B"/>
    <w:rsid w:val="001A480E"/>
    <w:rsid w:val="001A5B64"/>
    <w:rsid w:val="001A7888"/>
    <w:rsid w:val="001A7948"/>
    <w:rsid w:val="001B28B7"/>
    <w:rsid w:val="001B2C20"/>
    <w:rsid w:val="001B4E1C"/>
    <w:rsid w:val="001B58AA"/>
    <w:rsid w:val="001B6D06"/>
    <w:rsid w:val="001B7428"/>
    <w:rsid w:val="001B7E48"/>
    <w:rsid w:val="001C17CE"/>
    <w:rsid w:val="001C3411"/>
    <w:rsid w:val="001C36CA"/>
    <w:rsid w:val="001C386B"/>
    <w:rsid w:val="001C44D1"/>
    <w:rsid w:val="001C6330"/>
    <w:rsid w:val="001C6606"/>
    <w:rsid w:val="001C6AEE"/>
    <w:rsid w:val="001C6BD7"/>
    <w:rsid w:val="001C70EB"/>
    <w:rsid w:val="001C7630"/>
    <w:rsid w:val="001D0D25"/>
    <w:rsid w:val="001D2042"/>
    <w:rsid w:val="001D2D0D"/>
    <w:rsid w:val="001D4905"/>
    <w:rsid w:val="001D6D15"/>
    <w:rsid w:val="001E1AD7"/>
    <w:rsid w:val="001E4519"/>
    <w:rsid w:val="001F0AB9"/>
    <w:rsid w:val="001F521A"/>
    <w:rsid w:val="001F5BDC"/>
    <w:rsid w:val="001F5BE5"/>
    <w:rsid w:val="001F7558"/>
    <w:rsid w:val="001F760E"/>
    <w:rsid w:val="00200266"/>
    <w:rsid w:val="00201AF7"/>
    <w:rsid w:val="002024A0"/>
    <w:rsid w:val="002033C4"/>
    <w:rsid w:val="00203BD6"/>
    <w:rsid w:val="00203ED9"/>
    <w:rsid w:val="00205B57"/>
    <w:rsid w:val="00207AD5"/>
    <w:rsid w:val="00210453"/>
    <w:rsid w:val="002122D4"/>
    <w:rsid w:val="00212A90"/>
    <w:rsid w:val="00213A2A"/>
    <w:rsid w:val="002157E0"/>
    <w:rsid w:val="00221C44"/>
    <w:rsid w:val="00221F04"/>
    <w:rsid w:val="0022334F"/>
    <w:rsid w:val="00224D22"/>
    <w:rsid w:val="00225F3A"/>
    <w:rsid w:val="00226819"/>
    <w:rsid w:val="00226E4A"/>
    <w:rsid w:val="00226F03"/>
    <w:rsid w:val="0022784C"/>
    <w:rsid w:val="002319F2"/>
    <w:rsid w:val="00233101"/>
    <w:rsid w:val="00233817"/>
    <w:rsid w:val="00234102"/>
    <w:rsid w:val="00234568"/>
    <w:rsid w:val="002367FF"/>
    <w:rsid w:val="00237A9A"/>
    <w:rsid w:val="00237C94"/>
    <w:rsid w:val="00240A86"/>
    <w:rsid w:val="00240CE9"/>
    <w:rsid w:val="00240FDB"/>
    <w:rsid w:val="00242917"/>
    <w:rsid w:val="00242D87"/>
    <w:rsid w:val="00242DE6"/>
    <w:rsid w:val="00243A3A"/>
    <w:rsid w:val="0024454C"/>
    <w:rsid w:val="00246089"/>
    <w:rsid w:val="00246702"/>
    <w:rsid w:val="00247C59"/>
    <w:rsid w:val="00247F2E"/>
    <w:rsid w:val="00250ADC"/>
    <w:rsid w:val="002517E4"/>
    <w:rsid w:val="00253A61"/>
    <w:rsid w:val="00254A67"/>
    <w:rsid w:val="00254C22"/>
    <w:rsid w:val="00257553"/>
    <w:rsid w:val="00257DBC"/>
    <w:rsid w:val="00261993"/>
    <w:rsid w:val="00262128"/>
    <w:rsid w:val="0026410D"/>
    <w:rsid w:val="00265415"/>
    <w:rsid w:val="00266B0C"/>
    <w:rsid w:val="00266D44"/>
    <w:rsid w:val="00267120"/>
    <w:rsid w:val="002704A2"/>
    <w:rsid w:val="0027165D"/>
    <w:rsid w:val="00271935"/>
    <w:rsid w:val="00273CEB"/>
    <w:rsid w:val="00273CFC"/>
    <w:rsid w:val="00274736"/>
    <w:rsid w:val="00276261"/>
    <w:rsid w:val="0027752C"/>
    <w:rsid w:val="00277D5D"/>
    <w:rsid w:val="00281103"/>
    <w:rsid w:val="002813E7"/>
    <w:rsid w:val="00281699"/>
    <w:rsid w:val="00281C89"/>
    <w:rsid w:val="0028282F"/>
    <w:rsid w:val="00285034"/>
    <w:rsid w:val="002875A5"/>
    <w:rsid w:val="002904C7"/>
    <w:rsid w:val="00290851"/>
    <w:rsid w:val="00293DB6"/>
    <w:rsid w:val="00294203"/>
    <w:rsid w:val="00294437"/>
    <w:rsid w:val="00295CBF"/>
    <w:rsid w:val="00296F36"/>
    <w:rsid w:val="0029750C"/>
    <w:rsid w:val="002976F4"/>
    <w:rsid w:val="00297FC5"/>
    <w:rsid w:val="002A0417"/>
    <w:rsid w:val="002A16D8"/>
    <w:rsid w:val="002A1714"/>
    <w:rsid w:val="002A1BC8"/>
    <w:rsid w:val="002A2A5E"/>
    <w:rsid w:val="002A3EF2"/>
    <w:rsid w:val="002A440B"/>
    <w:rsid w:val="002A7856"/>
    <w:rsid w:val="002B0136"/>
    <w:rsid w:val="002B01F9"/>
    <w:rsid w:val="002B060C"/>
    <w:rsid w:val="002B0DED"/>
    <w:rsid w:val="002B19A2"/>
    <w:rsid w:val="002B19DA"/>
    <w:rsid w:val="002B32FD"/>
    <w:rsid w:val="002B381A"/>
    <w:rsid w:val="002B4072"/>
    <w:rsid w:val="002B448D"/>
    <w:rsid w:val="002B4FCC"/>
    <w:rsid w:val="002B7408"/>
    <w:rsid w:val="002B7CFD"/>
    <w:rsid w:val="002C0A52"/>
    <w:rsid w:val="002C2F81"/>
    <w:rsid w:val="002D1912"/>
    <w:rsid w:val="002D2E2C"/>
    <w:rsid w:val="002D3600"/>
    <w:rsid w:val="002D4104"/>
    <w:rsid w:val="002D440C"/>
    <w:rsid w:val="002D4C8F"/>
    <w:rsid w:val="002D571C"/>
    <w:rsid w:val="002E1AE4"/>
    <w:rsid w:val="002E211F"/>
    <w:rsid w:val="002E2E5B"/>
    <w:rsid w:val="002E3915"/>
    <w:rsid w:val="002E4DDC"/>
    <w:rsid w:val="002E4DF9"/>
    <w:rsid w:val="002E508E"/>
    <w:rsid w:val="002E688B"/>
    <w:rsid w:val="002F09A6"/>
    <w:rsid w:val="002F0A84"/>
    <w:rsid w:val="002F1F8A"/>
    <w:rsid w:val="002F2915"/>
    <w:rsid w:val="002F4EE1"/>
    <w:rsid w:val="002F5590"/>
    <w:rsid w:val="002F6285"/>
    <w:rsid w:val="002F7B9E"/>
    <w:rsid w:val="003006DF"/>
    <w:rsid w:val="00301DBF"/>
    <w:rsid w:val="00302480"/>
    <w:rsid w:val="00305C35"/>
    <w:rsid w:val="003063FE"/>
    <w:rsid w:val="00310498"/>
    <w:rsid w:val="0031058D"/>
    <w:rsid w:val="00310FC3"/>
    <w:rsid w:val="00312112"/>
    <w:rsid w:val="00312750"/>
    <w:rsid w:val="00312EE7"/>
    <w:rsid w:val="003138D5"/>
    <w:rsid w:val="003142FE"/>
    <w:rsid w:val="003165E6"/>
    <w:rsid w:val="0031756E"/>
    <w:rsid w:val="00322C2C"/>
    <w:rsid w:val="003231D5"/>
    <w:rsid w:val="003233ED"/>
    <w:rsid w:val="00324D9F"/>
    <w:rsid w:val="0032534E"/>
    <w:rsid w:val="003258AE"/>
    <w:rsid w:val="00327948"/>
    <w:rsid w:val="0033000F"/>
    <w:rsid w:val="003313F6"/>
    <w:rsid w:val="00332011"/>
    <w:rsid w:val="00332518"/>
    <w:rsid w:val="00332557"/>
    <w:rsid w:val="00332FF7"/>
    <w:rsid w:val="003332ED"/>
    <w:rsid w:val="00333779"/>
    <w:rsid w:val="0033494D"/>
    <w:rsid w:val="00334C6F"/>
    <w:rsid w:val="00335129"/>
    <w:rsid w:val="003367C4"/>
    <w:rsid w:val="003368DC"/>
    <w:rsid w:val="00336ED5"/>
    <w:rsid w:val="003377CE"/>
    <w:rsid w:val="003378D0"/>
    <w:rsid w:val="003416D4"/>
    <w:rsid w:val="00343423"/>
    <w:rsid w:val="00343DD2"/>
    <w:rsid w:val="00345927"/>
    <w:rsid w:val="00350584"/>
    <w:rsid w:val="00351857"/>
    <w:rsid w:val="00351C0D"/>
    <w:rsid w:val="00352D50"/>
    <w:rsid w:val="0035475F"/>
    <w:rsid w:val="00360910"/>
    <w:rsid w:val="00360D2E"/>
    <w:rsid w:val="003610E1"/>
    <w:rsid w:val="003635AF"/>
    <w:rsid w:val="00363738"/>
    <w:rsid w:val="00363C5F"/>
    <w:rsid w:val="003641F2"/>
    <w:rsid w:val="003671BE"/>
    <w:rsid w:val="00367A68"/>
    <w:rsid w:val="00372485"/>
    <w:rsid w:val="003725E4"/>
    <w:rsid w:val="00373200"/>
    <w:rsid w:val="00374672"/>
    <w:rsid w:val="00375C81"/>
    <w:rsid w:val="00375EF5"/>
    <w:rsid w:val="003767A5"/>
    <w:rsid w:val="00377005"/>
    <w:rsid w:val="0037748D"/>
    <w:rsid w:val="00380C1B"/>
    <w:rsid w:val="00380E9F"/>
    <w:rsid w:val="00385254"/>
    <w:rsid w:val="00385D7B"/>
    <w:rsid w:val="00386B61"/>
    <w:rsid w:val="003878EF"/>
    <w:rsid w:val="00390C23"/>
    <w:rsid w:val="003920EE"/>
    <w:rsid w:val="00392528"/>
    <w:rsid w:val="003925BD"/>
    <w:rsid w:val="00393B17"/>
    <w:rsid w:val="00397BDE"/>
    <w:rsid w:val="003A1B99"/>
    <w:rsid w:val="003A4DA9"/>
    <w:rsid w:val="003A5F5B"/>
    <w:rsid w:val="003A65A5"/>
    <w:rsid w:val="003A789A"/>
    <w:rsid w:val="003B0AED"/>
    <w:rsid w:val="003B134A"/>
    <w:rsid w:val="003B182F"/>
    <w:rsid w:val="003B1CC0"/>
    <w:rsid w:val="003B376D"/>
    <w:rsid w:val="003B6A7A"/>
    <w:rsid w:val="003B6C69"/>
    <w:rsid w:val="003B6EDD"/>
    <w:rsid w:val="003B7696"/>
    <w:rsid w:val="003C0C28"/>
    <w:rsid w:val="003C171B"/>
    <w:rsid w:val="003C30E4"/>
    <w:rsid w:val="003C6D13"/>
    <w:rsid w:val="003C77E0"/>
    <w:rsid w:val="003C78E2"/>
    <w:rsid w:val="003D0126"/>
    <w:rsid w:val="003D17D7"/>
    <w:rsid w:val="003D1B71"/>
    <w:rsid w:val="003D1CC0"/>
    <w:rsid w:val="003D2678"/>
    <w:rsid w:val="003D37F5"/>
    <w:rsid w:val="003D3CB2"/>
    <w:rsid w:val="003D5BA6"/>
    <w:rsid w:val="003D6230"/>
    <w:rsid w:val="003D6434"/>
    <w:rsid w:val="003D71A3"/>
    <w:rsid w:val="003E007C"/>
    <w:rsid w:val="003E0630"/>
    <w:rsid w:val="003E08CF"/>
    <w:rsid w:val="003E3E54"/>
    <w:rsid w:val="003E43B4"/>
    <w:rsid w:val="003E4993"/>
    <w:rsid w:val="003E6B75"/>
    <w:rsid w:val="003F139A"/>
    <w:rsid w:val="003F16F6"/>
    <w:rsid w:val="003F2CA0"/>
    <w:rsid w:val="003F2E87"/>
    <w:rsid w:val="003F4DC7"/>
    <w:rsid w:val="003F5235"/>
    <w:rsid w:val="003F5C6C"/>
    <w:rsid w:val="003F7E98"/>
    <w:rsid w:val="00402011"/>
    <w:rsid w:val="004027E4"/>
    <w:rsid w:val="00402B5A"/>
    <w:rsid w:val="004034F6"/>
    <w:rsid w:val="00404078"/>
    <w:rsid w:val="00404E57"/>
    <w:rsid w:val="0041071D"/>
    <w:rsid w:val="004110A6"/>
    <w:rsid w:val="004133A7"/>
    <w:rsid w:val="00414AFC"/>
    <w:rsid w:val="004151A7"/>
    <w:rsid w:val="00415310"/>
    <w:rsid w:val="00416F2B"/>
    <w:rsid w:val="00417265"/>
    <w:rsid w:val="00421709"/>
    <w:rsid w:val="00421CB0"/>
    <w:rsid w:val="004223C1"/>
    <w:rsid w:val="00423763"/>
    <w:rsid w:val="00423C3A"/>
    <w:rsid w:val="00423D21"/>
    <w:rsid w:val="0042584A"/>
    <w:rsid w:val="0042762F"/>
    <w:rsid w:val="00427B4B"/>
    <w:rsid w:val="00427C33"/>
    <w:rsid w:val="00427DC7"/>
    <w:rsid w:val="00431613"/>
    <w:rsid w:val="004325D8"/>
    <w:rsid w:val="0043297A"/>
    <w:rsid w:val="00432EB2"/>
    <w:rsid w:val="00434073"/>
    <w:rsid w:val="00435BA4"/>
    <w:rsid w:val="0043714F"/>
    <w:rsid w:val="00441304"/>
    <w:rsid w:val="0044358A"/>
    <w:rsid w:val="00443740"/>
    <w:rsid w:val="004438B5"/>
    <w:rsid w:val="00444676"/>
    <w:rsid w:val="00444E7A"/>
    <w:rsid w:val="0045184F"/>
    <w:rsid w:val="00453192"/>
    <w:rsid w:val="004535C0"/>
    <w:rsid w:val="00453AE4"/>
    <w:rsid w:val="00454069"/>
    <w:rsid w:val="00454596"/>
    <w:rsid w:val="00455DBE"/>
    <w:rsid w:val="0045605D"/>
    <w:rsid w:val="00466222"/>
    <w:rsid w:val="00466725"/>
    <w:rsid w:val="00466E7C"/>
    <w:rsid w:val="00474374"/>
    <w:rsid w:val="004778D9"/>
    <w:rsid w:val="0048031A"/>
    <w:rsid w:val="00481695"/>
    <w:rsid w:val="00481A50"/>
    <w:rsid w:val="004835ED"/>
    <w:rsid w:val="00484282"/>
    <w:rsid w:val="00486EFB"/>
    <w:rsid w:val="0049016B"/>
    <w:rsid w:val="004902BA"/>
    <w:rsid w:val="00490A91"/>
    <w:rsid w:val="00491110"/>
    <w:rsid w:val="004916AC"/>
    <w:rsid w:val="004925BA"/>
    <w:rsid w:val="00494F7C"/>
    <w:rsid w:val="0049542E"/>
    <w:rsid w:val="00497E41"/>
    <w:rsid w:val="004A0284"/>
    <w:rsid w:val="004A3E84"/>
    <w:rsid w:val="004A43B6"/>
    <w:rsid w:val="004A56BB"/>
    <w:rsid w:val="004A5CFE"/>
    <w:rsid w:val="004A687C"/>
    <w:rsid w:val="004A6A57"/>
    <w:rsid w:val="004B1751"/>
    <w:rsid w:val="004B1FDE"/>
    <w:rsid w:val="004B3724"/>
    <w:rsid w:val="004B393D"/>
    <w:rsid w:val="004B4266"/>
    <w:rsid w:val="004B457E"/>
    <w:rsid w:val="004B4EBF"/>
    <w:rsid w:val="004B5990"/>
    <w:rsid w:val="004B63C3"/>
    <w:rsid w:val="004C0253"/>
    <w:rsid w:val="004C2665"/>
    <w:rsid w:val="004C479B"/>
    <w:rsid w:val="004C672C"/>
    <w:rsid w:val="004D29EE"/>
    <w:rsid w:val="004D56FF"/>
    <w:rsid w:val="004E0364"/>
    <w:rsid w:val="004E13E9"/>
    <w:rsid w:val="004E1506"/>
    <w:rsid w:val="004E164C"/>
    <w:rsid w:val="004E29B4"/>
    <w:rsid w:val="004E2A8F"/>
    <w:rsid w:val="004E39D3"/>
    <w:rsid w:val="004E3A38"/>
    <w:rsid w:val="004E508A"/>
    <w:rsid w:val="004E5CF5"/>
    <w:rsid w:val="004E616D"/>
    <w:rsid w:val="004E6D0E"/>
    <w:rsid w:val="004F06F0"/>
    <w:rsid w:val="004F0719"/>
    <w:rsid w:val="004F1259"/>
    <w:rsid w:val="004F1BDE"/>
    <w:rsid w:val="004F25AF"/>
    <w:rsid w:val="004F6865"/>
    <w:rsid w:val="004F7400"/>
    <w:rsid w:val="004F76A3"/>
    <w:rsid w:val="004F76EB"/>
    <w:rsid w:val="004F7E17"/>
    <w:rsid w:val="004F7F44"/>
    <w:rsid w:val="00500064"/>
    <w:rsid w:val="00500909"/>
    <w:rsid w:val="005009A5"/>
    <w:rsid w:val="00501975"/>
    <w:rsid w:val="00502271"/>
    <w:rsid w:val="005037B4"/>
    <w:rsid w:val="00504FC7"/>
    <w:rsid w:val="0050595F"/>
    <w:rsid w:val="005079BF"/>
    <w:rsid w:val="0051001C"/>
    <w:rsid w:val="00512A4D"/>
    <w:rsid w:val="0052356D"/>
    <w:rsid w:val="00524DA7"/>
    <w:rsid w:val="00525710"/>
    <w:rsid w:val="00525C4D"/>
    <w:rsid w:val="00526C2E"/>
    <w:rsid w:val="0052771F"/>
    <w:rsid w:val="00531B9A"/>
    <w:rsid w:val="00531D15"/>
    <w:rsid w:val="0053350D"/>
    <w:rsid w:val="0053447A"/>
    <w:rsid w:val="0053475D"/>
    <w:rsid w:val="00534FF9"/>
    <w:rsid w:val="00536BA8"/>
    <w:rsid w:val="0054012D"/>
    <w:rsid w:val="00542377"/>
    <w:rsid w:val="00543FFE"/>
    <w:rsid w:val="005441F0"/>
    <w:rsid w:val="00545C76"/>
    <w:rsid w:val="005461BC"/>
    <w:rsid w:val="00547938"/>
    <w:rsid w:val="005518B9"/>
    <w:rsid w:val="00554719"/>
    <w:rsid w:val="00556F82"/>
    <w:rsid w:val="0056020B"/>
    <w:rsid w:val="00561395"/>
    <w:rsid w:val="0056177B"/>
    <w:rsid w:val="00561781"/>
    <w:rsid w:val="00563EF1"/>
    <w:rsid w:val="00566AB4"/>
    <w:rsid w:val="00570880"/>
    <w:rsid w:val="005709A0"/>
    <w:rsid w:val="00570F19"/>
    <w:rsid w:val="0057150E"/>
    <w:rsid w:val="005729C5"/>
    <w:rsid w:val="00575AC5"/>
    <w:rsid w:val="00575D48"/>
    <w:rsid w:val="0057605D"/>
    <w:rsid w:val="00576F2E"/>
    <w:rsid w:val="00577917"/>
    <w:rsid w:val="00581347"/>
    <w:rsid w:val="005835DA"/>
    <w:rsid w:val="00584109"/>
    <w:rsid w:val="005841C4"/>
    <w:rsid w:val="005849F8"/>
    <w:rsid w:val="00585C43"/>
    <w:rsid w:val="005916CD"/>
    <w:rsid w:val="00592199"/>
    <w:rsid w:val="005938DF"/>
    <w:rsid w:val="00593B2F"/>
    <w:rsid w:val="00595CA8"/>
    <w:rsid w:val="005A0228"/>
    <w:rsid w:val="005A099B"/>
    <w:rsid w:val="005A10E0"/>
    <w:rsid w:val="005A1C17"/>
    <w:rsid w:val="005A2782"/>
    <w:rsid w:val="005A2A18"/>
    <w:rsid w:val="005A2D9C"/>
    <w:rsid w:val="005A3888"/>
    <w:rsid w:val="005A5800"/>
    <w:rsid w:val="005A6A11"/>
    <w:rsid w:val="005B1C47"/>
    <w:rsid w:val="005B2928"/>
    <w:rsid w:val="005B2DF5"/>
    <w:rsid w:val="005B5A46"/>
    <w:rsid w:val="005B6A4D"/>
    <w:rsid w:val="005B7B12"/>
    <w:rsid w:val="005C09CB"/>
    <w:rsid w:val="005C09F0"/>
    <w:rsid w:val="005C17B4"/>
    <w:rsid w:val="005C18CE"/>
    <w:rsid w:val="005C3B68"/>
    <w:rsid w:val="005C489B"/>
    <w:rsid w:val="005C6CAF"/>
    <w:rsid w:val="005D05A6"/>
    <w:rsid w:val="005D2502"/>
    <w:rsid w:val="005D42DA"/>
    <w:rsid w:val="005D49BF"/>
    <w:rsid w:val="005D5854"/>
    <w:rsid w:val="005D6F4E"/>
    <w:rsid w:val="005D7295"/>
    <w:rsid w:val="005D7B14"/>
    <w:rsid w:val="005E0313"/>
    <w:rsid w:val="005E1966"/>
    <w:rsid w:val="005E3ACD"/>
    <w:rsid w:val="005E5472"/>
    <w:rsid w:val="005E5685"/>
    <w:rsid w:val="005E56DD"/>
    <w:rsid w:val="005E6EE0"/>
    <w:rsid w:val="005E781C"/>
    <w:rsid w:val="005E7A57"/>
    <w:rsid w:val="005F010C"/>
    <w:rsid w:val="005F0305"/>
    <w:rsid w:val="005F24B0"/>
    <w:rsid w:val="005F25CE"/>
    <w:rsid w:val="005F38F0"/>
    <w:rsid w:val="005F39F9"/>
    <w:rsid w:val="005F51C2"/>
    <w:rsid w:val="005F5A7D"/>
    <w:rsid w:val="005F792C"/>
    <w:rsid w:val="0060084F"/>
    <w:rsid w:val="00602E56"/>
    <w:rsid w:val="00602FD3"/>
    <w:rsid w:val="006052CF"/>
    <w:rsid w:val="006056B6"/>
    <w:rsid w:val="00607195"/>
    <w:rsid w:val="00607B8D"/>
    <w:rsid w:val="006102CF"/>
    <w:rsid w:val="00610713"/>
    <w:rsid w:val="00611F5C"/>
    <w:rsid w:val="00612165"/>
    <w:rsid w:val="006136E1"/>
    <w:rsid w:val="006141AA"/>
    <w:rsid w:val="006162CF"/>
    <w:rsid w:val="006162FB"/>
    <w:rsid w:val="00616C69"/>
    <w:rsid w:val="00616C99"/>
    <w:rsid w:val="00616E09"/>
    <w:rsid w:val="00621986"/>
    <w:rsid w:val="00625B1F"/>
    <w:rsid w:val="00627D4E"/>
    <w:rsid w:val="00630697"/>
    <w:rsid w:val="006308C4"/>
    <w:rsid w:val="00630B2C"/>
    <w:rsid w:val="00632D8A"/>
    <w:rsid w:val="00634478"/>
    <w:rsid w:val="006351C0"/>
    <w:rsid w:val="0063587E"/>
    <w:rsid w:val="00635CEF"/>
    <w:rsid w:val="006364DA"/>
    <w:rsid w:val="006365F2"/>
    <w:rsid w:val="00637C4F"/>
    <w:rsid w:val="0064055E"/>
    <w:rsid w:val="00640A38"/>
    <w:rsid w:val="00640C44"/>
    <w:rsid w:val="00640D2D"/>
    <w:rsid w:val="006441D8"/>
    <w:rsid w:val="00644373"/>
    <w:rsid w:val="00645915"/>
    <w:rsid w:val="00651428"/>
    <w:rsid w:val="006519C3"/>
    <w:rsid w:val="006529B2"/>
    <w:rsid w:val="00652B30"/>
    <w:rsid w:val="006550CF"/>
    <w:rsid w:val="0065618F"/>
    <w:rsid w:val="00656345"/>
    <w:rsid w:val="00656DC6"/>
    <w:rsid w:val="00657E21"/>
    <w:rsid w:val="00664110"/>
    <w:rsid w:val="006642A6"/>
    <w:rsid w:val="006645D6"/>
    <w:rsid w:val="00664D17"/>
    <w:rsid w:val="00665394"/>
    <w:rsid w:val="00666520"/>
    <w:rsid w:val="00667C5B"/>
    <w:rsid w:val="00674A4C"/>
    <w:rsid w:val="0068044A"/>
    <w:rsid w:val="0068083C"/>
    <w:rsid w:val="0068534B"/>
    <w:rsid w:val="00692BFA"/>
    <w:rsid w:val="00692CDE"/>
    <w:rsid w:val="00693073"/>
    <w:rsid w:val="006938C8"/>
    <w:rsid w:val="00693B15"/>
    <w:rsid w:val="00693B83"/>
    <w:rsid w:val="006977FF"/>
    <w:rsid w:val="00697AEB"/>
    <w:rsid w:val="006A01FA"/>
    <w:rsid w:val="006A0E20"/>
    <w:rsid w:val="006A0E9E"/>
    <w:rsid w:val="006A13F1"/>
    <w:rsid w:val="006A13FF"/>
    <w:rsid w:val="006A25C7"/>
    <w:rsid w:val="006A319C"/>
    <w:rsid w:val="006A3505"/>
    <w:rsid w:val="006A3852"/>
    <w:rsid w:val="006A3BFE"/>
    <w:rsid w:val="006A4AAD"/>
    <w:rsid w:val="006A612A"/>
    <w:rsid w:val="006A6DA2"/>
    <w:rsid w:val="006A7AB2"/>
    <w:rsid w:val="006B22C5"/>
    <w:rsid w:val="006B2F48"/>
    <w:rsid w:val="006B30FC"/>
    <w:rsid w:val="006B4356"/>
    <w:rsid w:val="006B4FBE"/>
    <w:rsid w:val="006B5717"/>
    <w:rsid w:val="006B5B7B"/>
    <w:rsid w:val="006B7731"/>
    <w:rsid w:val="006C0CEB"/>
    <w:rsid w:val="006C0FAC"/>
    <w:rsid w:val="006C1004"/>
    <w:rsid w:val="006C26B2"/>
    <w:rsid w:val="006C3B1E"/>
    <w:rsid w:val="006C47FD"/>
    <w:rsid w:val="006C69B5"/>
    <w:rsid w:val="006C6BEC"/>
    <w:rsid w:val="006C7F64"/>
    <w:rsid w:val="006D1756"/>
    <w:rsid w:val="006D27CB"/>
    <w:rsid w:val="006D2F08"/>
    <w:rsid w:val="006D4327"/>
    <w:rsid w:val="006D43E0"/>
    <w:rsid w:val="006D79B4"/>
    <w:rsid w:val="006E0154"/>
    <w:rsid w:val="006E1801"/>
    <w:rsid w:val="006E1A9C"/>
    <w:rsid w:val="006E2A9D"/>
    <w:rsid w:val="006E33D2"/>
    <w:rsid w:val="006E43C5"/>
    <w:rsid w:val="006E4B1B"/>
    <w:rsid w:val="006E5445"/>
    <w:rsid w:val="006E6A0F"/>
    <w:rsid w:val="006E7D93"/>
    <w:rsid w:val="006F0609"/>
    <w:rsid w:val="006F4A11"/>
    <w:rsid w:val="006F6FB0"/>
    <w:rsid w:val="007004A1"/>
    <w:rsid w:val="007015B1"/>
    <w:rsid w:val="007029A3"/>
    <w:rsid w:val="007058F0"/>
    <w:rsid w:val="00706361"/>
    <w:rsid w:val="00706E4E"/>
    <w:rsid w:val="00707574"/>
    <w:rsid w:val="0070791C"/>
    <w:rsid w:val="00707B41"/>
    <w:rsid w:val="00712372"/>
    <w:rsid w:val="0071268A"/>
    <w:rsid w:val="00712FEB"/>
    <w:rsid w:val="0071383C"/>
    <w:rsid w:val="00714063"/>
    <w:rsid w:val="007141A7"/>
    <w:rsid w:val="00714E8C"/>
    <w:rsid w:val="007167AA"/>
    <w:rsid w:val="00717519"/>
    <w:rsid w:val="00721B55"/>
    <w:rsid w:val="00723625"/>
    <w:rsid w:val="007241A8"/>
    <w:rsid w:val="00724980"/>
    <w:rsid w:val="007259FF"/>
    <w:rsid w:val="00726B5C"/>
    <w:rsid w:val="00726CE4"/>
    <w:rsid w:val="00727256"/>
    <w:rsid w:val="007310DB"/>
    <w:rsid w:val="00732975"/>
    <w:rsid w:val="00732B18"/>
    <w:rsid w:val="00732C5C"/>
    <w:rsid w:val="00734143"/>
    <w:rsid w:val="00740B28"/>
    <w:rsid w:val="00740EAC"/>
    <w:rsid w:val="0074215D"/>
    <w:rsid w:val="00744956"/>
    <w:rsid w:val="00744A82"/>
    <w:rsid w:val="00744D88"/>
    <w:rsid w:val="00745A5C"/>
    <w:rsid w:val="0074605F"/>
    <w:rsid w:val="0074704D"/>
    <w:rsid w:val="007479ED"/>
    <w:rsid w:val="00747E94"/>
    <w:rsid w:val="00750CCD"/>
    <w:rsid w:val="00751B9D"/>
    <w:rsid w:val="00752955"/>
    <w:rsid w:val="00752D39"/>
    <w:rsid w:val="00752F4A"/>
    <w:rsid w:val="007559B6"/>
    <w:rsid w:val="00760011"/>
    <w:rsid w:val="00760ED5"/>
    <w:rsid w:val="00762772"/>
    <w:rsid w:val="007630B4"/>
    <w:rsid w:val="00763DDA"/>
    <w:rsid w:val="007658B8"/>
    <w:rsid w:val="00766749"/>
    <w:rsid w:val="00767C1B"/>
    <w:rsid w:val="00770786"/>
    <w:rsid w:val="0077110C"/>
    <w:rsid w:val="007714A9"/>
    <w:rsid w:val="00772454"/>
    <w:rsid w:val="00773316"/>
    <w:rsid w:val="00773D0F"/>
    <w:rsid w:val="00774750"/>
    <w:rsid w:val="00774F88"/>
    <w:rsid w:val="007768CF"/>
    <w:rsid w:val="00776C85"/>
    <w:rsid w:val="00777B78"/>
    <w:rsid w:val="00777BA2"/>
    <w:rsid w:val="00781408"/>
    <w:rsid w:val="00781948"/>
    <w:rsid w:val="007834A0"/>
    <w:rsid w:val="00784F7F"/>
    <w:rsid w:val="007856E6"/>
    <w:rsid w:val="007868F4"/>
    <w:rsid w:val="00786E7B"/>
    <w:rsid w:val="007871A9"/>
    <w:rsid w:val="007871E6"/>
    <w:rsid w:val="00790B54"/>
    <w:rsid w:val="00791650"/>
    <w:rsid w:val="00793BF6"/>
    <w:rsid w:val="00794761"/>
    <w:rsid w:val="00796D06"/>
    <w:rsid w:val="00796D52"/>
    <w:rsid w:val="00796F25"/>
    <w:rsid w:val="00797A7A"/>
    <w:rsid w:val="007A104A"/>
    <w:rsid w:val="007A2A1D"/>
    <w:rsid w:val="007A2C4A"/>
    <w:rsid w:val="007A2E98"/>
    <w:rsid w:val="007A3BA3"/>
    <w:rsid w:val="007A7ABD"/>
    <w:rsid w:val="007B1499"/>
    <w:rsid w:val="007B1BBF"/>
    <w:rsid w:val="007B2960"/>
    <w:rsid w:val="007B2A20"/>
    <w:rsid w:val="007B355D"/>
    <w:rsid w:val="007B6083"/>
    <w:rsid w:val="007B6316"/>
    <w:rsid w:val="007B6BB0"/>
    <w:rsid w:val="007B7980"/>
    <w:rsid w:val="007B7AE4"/>
    <w:rsid w:val="007C1AE6"/>
    <w:rsid w:val="007C51AD"/>
    <w:rsid w:val="007C5956"/>
    <w:rsid w:val="007C5D5A"/>
    <w:rsid w:val="007C607F"/>
    <w:rsid w:val="007C6223"/>
    <w:rsid w:val="007C6D78"/>
    <w:rsid w:val="007C79DD"/>
    <w:rsid w:val="007D0392"/>
    <w:rsid w:val="007D130B"/>
    <w:rsid w:val="007D138A"/>
    <w:rsid w:val="007D1A97"/>
    <w:rsid w:val="007D255F"/>
    <w:rsid w:val="007D27F8"/>
    <w:rsid w:val="007D2CD6"/>
    <w:rsid w:val="007D3063"/>
    <w:rsid w:val="007D3448"/>
    <w:rsid w:val="007D466D"/>
    <w:rsid w:val="007D4B30"/>
    <w:rsid w:val="007D59DC"/>
    <w:rsid w:val="007D62C7"/>
    <w:rsid w:val="007D76C9"/>
    <w:rsid w:val="007E0EC0"/>
    <w:rsid w:val="007E5D2E"/>
    <w:rsid w:val="007E659A"/>
    <w:rsid w:val="007E6EBC"/>
    <w:rsid w:val="007E753D"/>
    <w:rsid w:val="007E7683"/>
    <w:rsid w:val="007E7E5B"/>
    <w:rsid w:val="007F0EBD"/>
    <w:rsid w:val="007F2102"/>
    <w:rsid w:val="007F2254"/>
    <w:rsid w:val="007F49FA"/>
    <w:rsid w:val="007F4B14"/>
    <w:rsid w:val="007F5FB2"/>
    <w:rsid w:val="007F5FE7"/>
    <w:rsid w:val="007F69C3"/>
    <w:rsid w:val="007F6E9A"/>
    <w:rsid w:val="008009D4"/>
    <w:rsid w:val="008011B9"/>
    <w:rsid w:val="008044D4"/>
    <w:rsid w:val="00804B11"/>
    <w:rsid w:val="00810AB4"/>
    <w:rsid w:val="008114DC"/>
    <w:rsid w:val="00811F3E"/>
    <w:rsid w:val="00813260"/>
    <w:rsid w:val="00815B3C"/>
    <w:rsid w:val="008161FF"/>
    <w:rsid w:val="00816D8E"/>
    <w:rsid w:val="00816F1A"/>
    <w:rsid w:val="00817B56"/>
    <w:rsid w:val="008203D7"/>
    <w:rsid w:val="00821A88"/>
    <w:rsid w:val="0082495D"/>
    <w:rsid w:val="00824C2A"/>
    <w:rsid w:val="00830BCD"/>
    <w:rsid w:val="008312EA"/>
    <w:rsid w:val="008316DD"/>
    <w:rsid w:val="00832901"/>
    <w:rsid w:val="00836675"/>
    <w:rsid w:val="0084033C"/>
    <w:rsid w:val="0084039C"/>
    <w:rsid w:val="00841BAB"/>
    <w:rsid w:val="00843930"/>
    <w:rsid w:val="008463DE"/>
    <w:rsid w:val="008464DF"/>
    <w:rsid w:val="00850202"/>
    <w:rsid w:val="00850220"/>
    <w:rsid w:val="008514A8"/>
    <w:rsid w:val="00852545"/>
    <w:rsid w:val="00856798"/>
    <w:rsid w:val="00856DA8"/>
    <w:rsid w:val="00856EDC"/>
    <w:rsid w:val="00857E5F"/>
    <w:rsid w:val="00861872"/>
    <w:rsid w:val="008618B1"/>
    <w:rsid w:val="008623B5"/>
    <w:rsid w:val="00866DE4"/>
    <w:rsid w:val="0086703D"/>
    <w:rsid w:val="00867D97"/>
    <w:rsid w:val="00870720"/>
    <w:rsid w:val="00870F8A"/>
    <w:rsid w:val="008710E1"/>
    <w:rsid w:val="00871CAE"/>
    <w:rsid w:val="00872CFC"/>
    <w:rsid w:val="00873F36"/>
    <w:rsid w:val="00875B90"/>
    <w:rsid w:val="0087728D"/>
    <w:rsid w:val="00877D00"/>
    <w:rsid w:val="0088010B"/>
    <w:rsid w:val="008832EA"/>
    <w:rsid w:val="00883628"/>
    <w:rsid w:val="0088484F"/>
    <w:rsid w:val="00884ADF"/>
    <w:rsid w:val="00885544"/>
    <w:rsid w:val="00885C3E"/>
    <w:rsid w:val="00885D47"/>
    <w:rsid w:val="0088634E"/>
    <w:rsid w:val="0089092A"/>
    <w:rsid w:val="00890E84"/>
    <w:rsid w:val="00890FD1"/>
    <w:rsid w:val="00891D5D"/>
    <w:rsid w:val="00892284"/>
    <w:rsid w:val="00893AB8"/>
    <w:rsid w:val="008946EB"/>
    <w:rsid w:val="008959CA"/>
    <w:rsid w:val="00897B6B"/>
    <w:rsid w:val="008A04C8"/>
    <w:rsid w:val="008A0A9C"/>
    <w:rsid w:val="008A38C9"/>
    <w:rsid w:val="008A42BF"/>
    <w:rsid w:val="008A53F5"/>
    <w:rsid w:val="008A5462"/>
    <w:rsid w:val="008A652A"/>
    <w:rsid w:val="008A6913"/>
    <w:rsid w:val="008B2EE1"/>
    <w:rsid w:val="008B570C"/>
    <w:rsid w:val="008B70F3"/>
    <w:rsid w:val="008B76DF"/>
    <w:rsid w:val="008B7A09"/>
    <w:rsid w:val="008C1720"/>
    <w:rsid w:val="008C172F"/>
    <w:rsid w:val="008C4489"/>
    <w:rsid w:val="008D1DC4"/>
    <w:rsid w:val="008D1F39"/>
    <w:rsid w:val="008D4B66"/>
    <w:rsid w:val="008D5535"/>
    <w:rsid w:val="008E2175"/>
    <w:rsid w:val="008E2DA5"/>
    <w:rsid w:val="008E42A7"/>
    <w:rsid w:val="008E42D8"/>
    <w:rsid w:val="008E4314"/>
    <w:rsid w:val="008E4767"/>
    <w:rsid w:val="008E4D64"/>
    <w:rsid w:val="008E5B96"/>
    <w:rsid w:val="008E644C"/>
    <w:rsid w:val="008F00F2"/>
    <w:rsid w:val="008F0DDD"/>
    <w:rsid w:val="008F119D"/>
    <w:rsid w:val="008F461F"/>
    <w:rsid w:val="008F4AE6"/>
    <w:rsid w:val="008F66CF"/>
    <w:rsid w:val="00900E18"/>
    <w:rsid w:val="00903285"/>
    <w:rsid w:val="00904714"/>
    <w:rsid w:val="009057EC"/>
    <w:rsid w:val="0090698F"/>
    <w:rsid w:val="00906F40"/>
    <w:rsid w:val="00906FC0"/>
    <w:rsid w:val="0090731E"/>
    <w:rsid w:val="00911642"/>
    <w:rsid w:val="00911D28"/>
    <w:rsid w:val="00912EB3"/>
    <w:rsid w:val="00915B1C"/>
    <w:rsid w:val="00916326"/>
    <w:rsid w:val="00916ADC"/>
    <w:rsid w:val="009174F3"/>
    <w:rsid w:val="0091797D"/>
    <w:rsid w:val="00917B8E"/>
    <w:rsid w:val="00923CBA"/>
    <w:rsid w:val="0092547F"/>
    <w:rsid w:val="0092666C"/>
    <w:rsid w:val="00926703"/>
    <w:rsid w:val="009271CA"/>
    <w:rsid w:val="00927691"/>
    <w:rsid w:val="00927A5F"/>
    <w:rsid w:val="00927FD6"/>
    <w:rsid w:val="009331D7"/>
    <w:rsid w:val="00934A61"/>
    <w:rsid w:val="00936036"/>
    <w:rsid w:val="0093760B"/>
    <w:rsid w:val="0094066D"/>
    <w:rsid w:val="009412D6"/>
    <w:rsid w:val="00941FB0"/>
    <w:rsid w:val="009426D4"/>
    <w:rsid w:val="0094304E"/>
    <w:rsid w:val="00945325"/>
    <w:rsid w:val="009456DC"/>
    <w:rsid w:val="009460B0"/>
    <w:rsid w:val="009471D1"/>
    <w:rsid w:val="00947833"/>
    <w:rsid w:val="00947F25"/>
    <w:rsid w:val="0095050A"/>
    <w:rsid w:val="00950B2C"/>
    <w:rsid w:val="009517EA"/>
    <w:rsid w:val="00953677"/>
    <w:rsid w:val="0095490B"/>
    <w:rsid w:val="00955070"/>
    <w:rsid w:val="00955742"/>
    <w:rsid w:val="00960280"/>
    <w:rsid w:val="009606A6"/>
    <w:rsid w:val="0096448E"/>
    <w:rsid w:val="00964589"/>
    <w:rsid w:val="009656ED"/>
    <w:rsid w:val="00966B72"/>
    <w:rsid w:val="00967ACC"/>
    <w:rsid w:val="009709C1"/>
    <w:rsid w:val="00974363"/>
    <w:rsid w:val="00975F91"/>
    <w:rsid w:val="0097603E"/>
    <w:rsid w:val="00977F29"/>
    <w:rsid w:val="00980AA3"/>
    <w:rsid w:val="0098139C"/>
    <w:rsid w:val="009819D2"/>
    <w:rsid w:val="009824C6"/>
    <w:rsid w:val="00983E47"/>
    <w:rsid w:val="0098477F"/>
    <w:rsid w:val="00985702"/>
    <w:rsid w:val="00985F78"/>
    <w:rsid w:val="0099214D"/>
    <w:rsid w:val="0099260A"/>
    <w:rsid w:val="0099312C"/>
    <w:rsid w:val="009942FB"/>
    <w:rsid w:val="0099577C"/>
    <w:rsid w:val="009975B5"/>
    <w:rsid w:val="009A0FF3"/>
    <w:rsid w:val="009A1558"/>
    <w:rsid w:val="009A36E7"/>
    <w:rsid w:val="009A3CBB"/>
    <w:rsid w:val="009B1299"/>
    <w:rsid w:val="009B4E9E"/>
    <w:rsid w:val="009B5318"/>
    <w:rsid w:val="009B561C"/>
    <w:rsid w:val="009B5ECC"/>
    <w:rsid w:val="009B6258"/>
    <w:rsid w:val="009B639D"/>
    <w:rsid w:val="009B75CE"/>
    <w:rsid w:val="009C1690"/>
    <w:rsid w:val="009C28C3"/>
    <w:rsid w:val="009C3980"/>
    <w:rsid w:val="009C6095"/>
    <w:rsid w:val="009C6881"/>
    <w:rsid w:val="009C7759"/>
    <w:rsid w:val="009C7983"/>
    <w:rsid w:val="009D0945"/>
    <w:rsid w:val="009D5445"/>
    <w:rsid w:val="009D60C5"/>
    <w:rsid w:val="009D673D"/>
    <w:rsid w:val="009D6C71"/>
    <w:rsid w:val="009D7493"/>
    <w:rsid w:val="009E0631"/>
    <w:rsid w:val="009E16D0"/>
    <w:rsid w:val="009E18C0"/>
    <w:rsid w:val="009E1F20"/>
    <w:rsid w:val="009E2C37"/>
    <w:rsid w:val="009E38FD"/>
    <w:rsid w:val="009E49F5"/>
    <w:rsid w:val="009E6E5F"/>
    <w:rsid w:val="009E7576"/>
    <w:rsid w:val="009F07A7"/>
    <w:rsid w:val="009F112A"/>
    <w:rsid w:val="009F13D6"/>
    <w:rsid w:val="009F2B22"/>
    <w:rsid w:val="009F2E99"/>
    <w:rsid w:val="009F336B"/>
    <w:rsid w:val="009F3BDD"/>
    <w:rsid w:val="009F4C6B"/>
    <w:rsid w:val="009F5C75"/>
    <w:rsid w:val="009F74C5"/>
    <w:rsid w:val="009F78A8"/>
    <w:rsid w:val="00A030E3"/>
    <w:rsid w:val="00A039BB"/>
    <w:rsid w:val="00A05068"/>
    <w:rsid w:val="00A05F45"/>
    <w:rsid w:val="00A05F59"/>
    <w:rsid w:val="00A07096"/>
    <w:rsid w:val="00A07318"/>
    <w:rsid w:val="00A079D7"/>
    <w:rsid w:val="00A07EC3"/>
    <w:rsid w:val="00A11370"/>
    <w:rsid w:val="00A12427"/>
    <w:rsid w:val="00A12E1B"/>
    <w:rsid w:val="00A14A15"/>
    <w:rsid w:val="00A14F99"/>
    <w:rsid w:val="00A15DE6"/>
    <w:rsid w:val="00A17648"/>
    <w:rsid w:val="00A17B2A"/>
    <w:rsid w:val="00A2088C"/>
    <w:rsid w:val="00A211DD"/>
    <w:rsid w:val="00A224CE"/>
    <w:rsid w:val="00A22522"/>
    <w:rsid w:val="00A22A2B"/>
    <w:rsid w:val="00A23128"/>
    <w:rsid w:val="00A239B3"/>
    <w:rsid w:val="00A23B4C"/>
    <w:rsid w:val="00A24F5C"/>
    <w:rsid w:val="00A25463"/>
    <w:rsid w:val="00A2747D"/>
    <w:rsid w:val="00A2782C"/>
    <w:rsid w:val="00A310E0"/>
    <w:rsid w:val="00A31BD0"/>
    <w:rsid w:val="00A33283"/>
    <w:rsid w:val="00A33806"/>
    <w:rsid w:val="00A33BD5"/>
    <w:rsid w:val="00A35763"/>
    <w:rsid w:val="00A36528"/>
    <w:rsid w:val="00A3675A"/>
    <w:rsid w:val="00A36CD2"/>
    <w:rsid w:val="00A40871"/>
    <w:rsid w:val="00A41141"/>
    <w:rsid w:val="00A4172A"/>
    <w:rsid w:val="00A440E0"/>
    <w:rsid w:val="00A455F8"/>
    <w:rsid w:val="00A456A1"/>
    <w:rsid w:val="00A47333"/>
    <w:rsid w:val="00A516C2"/>
    <w:rsid w:val="00A51CBD"/>
    <w:rsid w:val="00A5255F"/>
    <w:rsid w:val="00A532EA"/>
    <w:rsid w:val="00A54B00"/>
    <w:rsid w:val="00A54C37"/>
    <w:rsid w:val="00A56E08"/>
    <w:rsid w:val="00A639E3"/>
    <w:rsid w:val="00A65088"/>
    <w:rsid w:val="00A66949"/>
    <w:rsid w:val="00A7082B"/>
    <w:rsid w:val="00A70926"/>
    <w:rsid w:val="00A70ADF"/>
    <w:rsid w:val="00A71466"/>
    <w:rsid w:val="00A72ECD"/>
    <w:rsid w:val="00A730F1"/>
    <w:rsid w:val="00A742BC"/>
    <w:rsid w:val="00A74582"/>
    <w:rsid w:val="00A74B5E"/>
    <w:rsid w:val="00A77795"/>
    <w:rsid w:val="00A80607"/>
    <w:rsid w:val="00A81952"/>
    <w:rsid w:val="00A81BED"/>
    <w:rsid w:val="00A81EC4"/>
    <w:rsid w:val="00A836CF"/>
    <w:rsid w:val="00A8394A"/>
    <w:rsid w:val="00A84172"/>
    <w:rsid w:val="00A8563A"/>
    <w:rsid w:val="00A878E1"/>
    <w:rsid w:val="00A87BA2"/>
    <w:rsid w:val="00A90C11"/>
    <w:rsid w:val="00A90DB9"/>
    <w:rsid w:val="00A914F7"/>
    <w:rsid w:val="00A947BE"/>
    <w:rsid w:val="00A9628D"/>
    <w:rsid w:val="00A967B3"/>
    <w:rsid w:val="00A967FD"/>
    <w:rsid w:val="00AA13F9"/>
    <w:rsid w:val="00AA1AAE"/>
    <w:rsid w:val="00AA2D1F"/>
    <w:rsid w:val="00AA3467"/>
    <w:rsid w:val="00AA374D"/>
    <w:rsid w:val="00AA3798"/>
    <w:rsid w:val="00AA3D7D"/>
    <w:rsid w:val="00AA528F"/>
    <w:rsid w:val="00AA5DED"/>
    <w:rsid w:val="00AB0B7F"/>
    <w:rsid w:val="00AB156C"/>
    <w:rsid w:val="00AB3ECE"/>
    <w:rsid w:val="00AB510B"/>
    <w:rsid w:val="00AB7E41"/>
    <w:rsid w:val="00AC359C"/>
    <w:rsid w:val="00AC411F"/>
    <w:rsid w:val="00AC5701"/>
    <w:rsid w:val="00AC65D8"/>
    <w:rsid w:val="00AD01F1"/>
    <w:rsid w:val="00AD2C20"/>
    <w:rsid w:val="00AD3082"/>
    <w:rsid w:val="00AD38DA"/>
    <w:rsid w:val="00AD4AD0"/>
    <w:rsid w:val="00AD5197"/>
    <w:rsid w:val="00AD60CD"/>
    <w:rsid w:val="00AD6831"/>
    <w:rsid w:val="00AD6B5B"/>
    <w:rsid w:val="00AD6C8C"/>
    <w:rsid w:val="00AE0028"/>
    <w:rsid w:val="00AE091D"/>
    <w:rsid w:val="00AE53A1"/>
    <w:rsid w:val="00AE578A"/>
    <w:rsid w:val="00AE67DC"/>
    <w:rsid w:val="00AE6A8E"/>
    <w:rsid w:val="00AE7CDE"/>
    <w:rsid w:val="00AF09BE"/>
    <w:rsid w:val="00AF2484"/>
    <w:rsid w:val="00AF63E7"/>
    <w:rsid w:val="00AF7A73"/>
    <w:rsid w:val="00AF7BFB"/>
    <w:rsid w:val="00B0165D"/>
    <w:rsid w:val="00B02257"/>
    <w:rsid w:val="00B031F3"/>
    <w:rsid w:val="00B04AB1"/>
    <w:rsid w:val="00B05190"/>
    <w:rsid w:val="00B052A4"/>
    <w:rsid w:val="00B05E69"/>
    <w:rsid w:val="00B069AA"/>
    <w:rsid w:val="00B06CE4"/>
    <w:rsid w:val="00B07293"/>
    <w:rsid w:val="00B10FF1"/>
    <w:rsid w:val="00B1208A"/>
    <w:rsid w:val="00B125DE"/>
    <w:rsid w:val="00B13FDD"/>
    <w:rsid w:val="00B168D6"/>
    <w:rsid w:val="00B16DC8"/>
    <w:rsid w:val="00B206EE"/>
    <w:rsid w:val="00B22EB2"/>
    <w:rsid w:val="00B23044"/>
    <w:rsid w:val="00B24800"/>
    <w:rsid w:val="00B27442"/>
    <w:rsid w:val="00B3071A"/>
    <w:rsid w:val="00B31167"/>
    <w:rsid w:val="00B31210"/>
    <w:rsid w:val="00B31230"/>
    <w:rsid w:val="00B31A43"/>
    <w:rsid w:val="00B31A86"/>
    <w:rsid w:val="00B32689"/>
    <w:rsid w:val="00B3290B"/>
    <w:rsid w:val="00B329D8"/>
    <w:rsid w:val="00B32BB9"/>
    <w:rsid w:val="00B33AE1"/>
    <w:rsid w:val="00B3499B"/>
    <w:rsid w:val="00B37C38"/>
    <w:rsid w:val="00B40AEB"/>
    <w:rsid w:val="00B41374"/>
    <w:rsid w:val="00B42672"/>
    <w:rsid w:val="00B426B8"/>
    <w:rsid w:val="00B4288C"/>
    <w:rsid w:val="00B42CA4"/>
    <w:rsid w:val="00B43170"/>
    <w:rsid w:val="00B44100"/>
    <w:rsid w:val="00B443B1"/>
    <w:rsid w:val="00B444FD"/>
    <w:rsid w:val="00B451A9"/>
    <w:rsid w:val="00B46137"/>
    <w:rsid w:val="00B468A2"/>
    <w:rsid w:val="00B46CBA"/>
    <w:rsid w:val="00B46F94"/>
    <w:rsid w:val="00B5444E"/>
    <w:rsid w:val="00B54BE0"/>
    <w:rsid w:val="00B5630F"/>
    <w:rsid w:val="00B574A1"/>
    <w:rsid w:val="00B61F03"/>
    <w:rsid w:val="00B626E4"/>
    <w:rsid w:val="00B6275D"/>
    <w:rsid w:val="00B635A0"/>
    <w:rsid w:val="00B6625F"/>
    <w:rsid w:val="00B70BBE"/>
    <w:rsid w:val="00B72BD4"/>
    <w:rsid w:val="00B72F4A"/>
    <w:rsid w:val="00B74E35"/>
    <w:rsid w:val="00B75832"/>
    <w:rsid w:val="00B773D5"/>
    <w:rsid w:val="00B82A0C"/>
    <w:rsid w:val="00B83C27"/>
    <w:rsid w:val="00B84047"/>
    <w:rsid w:val="00B84637"/>
    <w:rsid w:val="00B84794"/>
    <w:rsid w:val="00B84BC3"/>
    <w:rsid w:val="00B84BDD"/>
    <w:rsid w:val="00B850FA"/>
    <w:rsid w:val="00B92812"/>
    <w:rsid w:val="00B93160"/>
    <w:rsid w:val="00B93F1E"/>
    <w:rsid w:val="00B955D4"/>
    <w:rsid w:val="00B97972"/>
    <w:rsid w:val="00BA036A"/>
    <w:rsid w:val="00BA1800"/>
    <w:rsid w:val="00BA5146"/>
    <w:rsid w:val="00BA53C6"/>
    <w:rsid w:val="00BA54EA"/>
    <w:rsid w:val="00BA6097"/>
    <w:rsid w:val="00BA732F"/>
    <w:rsid w:val="00BA7B24"/>
    <w:rsid w:val="00BB3A8C"/>
    <w:rsid w:val="00BB6804"/>
    <w:rsid w:val="00BB7686"/>
    <w:rsid w:val="00BB7B12"/>
    <w:rsid w:val="00BC0B7B"/>
    <w:rsid w:val="00BC1F2A"/>
    <w:rsid w:val="00BC23F9"/>
    <w:rsid w:val="00BC3421"/>
    <w:rsid w:val="00BC4E3E"/>
    <w:rsid w:val="00BC6A0C"/>
    <w:rsid w:val="00BC732C"/>
    <w:rsid w:val="00BD0C0A"/>
    <w:rsid w:val="00BD188C"/>
    <w:rsid w:val="00BD2D65"/>
    <w:rsid w:val="00BD37CC"/>
    <w:rsid w:val="00BD3EF4"/>
    <w:rsid w:val="00BD69E0"/>
    <w:rsid w:val="00BD7885"/>
    <w:rsid w:val="00BE0B8F"/>
    <w:rsid w:val="00BE24F3"/>
    <w:rsid w:val="00BE2580"/>
    <w:rsid w:val="00BE266D"/>
    <w:rsid w:val="00BE2844"/>
    <w:rsid w:val="00BE391D"/>
    <w:rsid w:val="00BE4C11"/>
    <w:rsid w:val="00BE71C0"/>
    <w:rsid w:val="00BE7892"/>
    <w:rsid w:val="00BF2495"/>
    <w:rsid w:val="00BF2572"/>
    <w:rsid w:val="00BF25B0"/>
    <w:rsid w:val="00BF2ADF"/>
    <w:rsid w:val="00BF4F55"/>
    <w:rsid w:val="00BF596C"/>
    <w:rsid w:val="00BF662E"/>
    <w:rsid w:val="00BF6AB8"/>
    <w:rsid w:val="00BF6AFC"/>
    <w:rsid w:val="00BF6C41"/>
    <w:rsid w:val="00C0054D"/>
    <w:rsid w:val="00C0060B"/>
    <w:rsid w:val="00C01A8B"/>
    <w:rsid w:val="00C0277D"/>
    <w:rsid w:val="00C0428E"/>
    <w:rsid w:val="00C06162"/>
    <w:rsid w:val="00C069E9"/>
    <w:rsid w:val="00C06A06"/>
    <w:rsid w:val="00C07326"/>
    <w:rsid w:val="00C07E6B"/>
    <w:rsid w:val="00C104A8"/>
    <w:rsid w:val="00C10513"/>
    <w:rsid w:val="00C10919"/>
    <w:rsid w:val="00C14454"/>
    <w:rsid w:val="00C14E29"/>
    <w:rsid w:val="00C1573C"/>
    <w:rsid w:val="00C17598"/>
    <w:rsid w:val="00C20685"/>
    <w:rsid w:val="00C21B72"/>
    <w:rsid w:val="00C22BA8"/>
    <w:rsid w:val="00C23E1A"/>
    <w:rsid w:val="00C24A53"/>
    <w:rsid w:val="00C24B92"/>
    <w:rsid w:val="00C24F8E"/>
    <w:rsid w:val="00C2619C"/>
    <w:rsid w:val="00C276BD"/>
    <w:rsid w:val="00C3017E"/>
    <w:rsid w:val="00C3243A"/>
    <w:rsid w:val="00C338BE"/>
    <w:rsid w:val="00C34D8C"/>
    <w:rsid w:val="00C36582"/>
    <w:rsid w:val="00C40DCD"/>
    <w:rsid w:val="00C40EAB"/>
    <w:rsid w:val="00C41EBF"/>
    <w:rsid w:val="00C42C4B"/>
    <w:rsid w:val="00C43B53"/>
    <w:rsid w:val="00C4421B"/>
    <w:rsid w:val="00C45155"/>
    <w:rsid w:val="00C46121"/>
    <w:rsid w:val="00C47954"/>
    <w:rsid w:val="00C47CC7"/>
    <w:rsid w:val="00C47EB9"/>
    <w:rsid w:val="00C529A6"/>
    <w:rsid w:val="00C542F6"/>
    <w:rsid w:val="00C5498F"/>
    <w:rsid w:val="00C577C4"/>
    <w:rsid w:val="00C61001"/>
    <w:rsid w:val="00C6120A"/>
    <w:rsid w:val="00C63072"/>
    <w:rsid w:val="00C64CD0"/>
    <w:rsid w:val="00C64D8B"/>
    <w:rsid w:val="00C6684F"/>
    <w:rsid w:val="00C66B4D"/>
    <w:rsid w:val="00C708C2"/>
    <w:rsid w:val="00C70E70"/>
    <w:rsid w:val="00C72DD9"/>
    <w:rsid w:val="00C7566F"/>
    <w:rsid w:val="00C75F8D"/>
    <w:rsid w:val="00C777FC"/>
    <w:rsid w:val="00C81F3E"/>
    <w:rsid w:val="00C8206E"/>
    <w:rsid w:val="00C83F95"/>
    <w:rsid w:val="00C921B9"/>
    <w:rsid w:val="00C93448"/>
    <w:rsid w:val="00C968C1"/>
    <w:rsid w:val="00C97736"/>
    <w:rsid w:val="00CA5DA5"/>
    <w:rsid w:val="00CA687C"/>
    <w:rsid w:val="00CB0E33"/>
    <w:rsid w:val="00CB1E82"/>
    <w:rsid w:val="00CB3CCC"/>
    <w:rsid w:val="00CB4BA8"/>
    <w:rsid w:val="00CB52D7"/>
    <w:rsid w:val="00CB58E8"/>
    <w:rsid w:val="00CB604A"/>
    <w:rsid w:val="00CC3371"/>
    <w:rsid w:val="00CC38B1"/>
    <w:rsid w:val="00CC61B8"/>
    <w:rsid w:val="00CC6732"/>
    <w:rsid w:val="00CD2488"/>
    <w:rsid w:val="00CD2BCB"/>
    <w:rsid w:val="00CD2FB7"/>
    <w:rsid w:val="00CD3DBE"/>
    <w:rsid w:val="00CD5207"/>
    <w:rsid w:val="00CD5B18"/>
    <w:rsid w:val="00CD6A11"/>
    <w:rsid w:val="00CE12A8"/>
    <w:rsid w:val="00CE51A8"/>
    <w:rsid w:val="00CE75E2"/>
    <w:rsid w:val="00CE7FE0"/>
    <w:rsid w:val="00CF057F"/>
    <w:rsid w:val="00CF16DD"/>
    <w:rsid w:val="00CF369B"/>
    <w:rsid w:val="00CF5A89"/>
    <w:rsid w:val="00D002EB"/>
    <w:rsid w:val="00D06018"/>
    <w:rsid w:val="00D06436"/>
    <w:rsid w:val="00D07100"/>
    <w:rsid w:val="00D11B65"/>
    <w:rsid w:val="00D15810"/>
    <w:rsid w:val="00D16D4E"/>
    <w:rsid w:val="00D216CD"/>
    <w:rsid w:val="00D235C2"/>
    <w:rsid w:val="00D23AB2"/>
    <w:rsid w:val="00D242E8"/>
    <w:rsid w:val="00D25F01"/>
    <w:rsid w:val="00D274A2"/>
    <w:rsid w:val="00D27B93"/>
    <w:rsid w:val="00D27F41"/>
    <w:rsid w:val="00D300AA"/>
    <w:rsid w:val="00D30929"/>
    <w:rsid w:val="00D31DA8"/>
    <w:rsid w:val="00D3323B"/>
    <w:rsid w:val="00D35B97"/>
    <w:rsid w:val="00D36441"/>
    <w:rsid w:val="00D373F3"/>
    <w:rsid w:val="00D404ED"/>
    <w:rsid w:val="00D4064E"/>
    <w:rsid w:val="00D41B98"/>
    <w:rsid w:val="00D44E9B"/>
    <w:rsid w:val="00D45851"/>
    <w:rsid w:val="00D47A3B"/>
    <w:rsid w:val="00D47B78"/>
    <w:rsid w:val="00D47D44"/>
    <w:rsid w:val="00D50DB9"/>
    <w:rsid w:val="00D52C43"/>
    <w:rsid w:val="00D533B3"/>
    <w:rsid w:val="00D55761"/>
    <w:rsid w:val="00D57FCD"/>
    <w:rsid w:val="00D61074"/>
    <w:rsid w:val="00D613E7"/>
    <w:rsid w:val="00D62F1A"/>
    <w:rsid w:val="00D63224"/>
    <w:rsid w:val="00D632CE"/>
    <w:rsid w:val="00D6507F"/>
    <w:rsid w:val="00D65489"/>
    <w:rsid w:val="00D666BD"/>
    <w:rsid w:val="00D6684A"/>
    <w:rsid w:val="00D71CF0"/>
    <w:rsid w:val="00D72918"/>
    <w:rsid w:val="00D73270"/>
    <w:rsid w:val="00D75674"/>
    <w:rsid w:val="00D75BA2"/>
    <w:rsid w:val="00D75C53"/>
    <w:rsid w:val="00D804AB"/>
    <w:rsid w:val="00D81900"/>
    <w:rsid w:val="00D8207A"/>
    <w:rsid w:val="00D8389D"/>
    <w:rsid w:val="00D85226"/>
    <w:rsid w:val="00D861F1"/>
    <w:rsid w:val="00D87B94"/>
    <w:rsid w:val="00D91E3B"/>
    <w:rsid w:val="00D922AA"/>
    <w:rsid w:val="00D92D49"/>
    <w:rsid w:val="00D93CA0"/>
    <w:rsid w:val="00D9494A"/>
    <w:rsid w:val="00D94A10"/>
    <w:rsid w:val="00D96013"/>
    <w:rsid w:val="00DA3275"/>
    <w:rsid w:val="00DA4885"/>
    <w:rsid w:val="00DA4E41"/>
    <w:rsid w:val="00DA4E5F"/>
    <w:rsid w:val="00DA5294"/>
    <w:rsid w:val="00DB0681"/>
    <w:rsid w:val="00DB117A"/>
    <w:rsid w:val="00DB437C"/>
    <w:rsid w:val="00DB5173"/>
    <w:rsid w:val="00DB685F"/>
    <w:rsid w:val="00DB68E8"/>
    <w:rsid w:val="00DB7873"/>
    <w:rsid w:val="00DB79D1"/>
    <w:rsid w:val="00DC022F"/>
    <w:rsid w:val="00DC155D"/>
    <w:rsid w:val="00DC187B"/>
    <w:rsid w:val="00DC3DFD"/>
    <w:rsid w:val="00DC7732"/>
    <w:rsid w:val="00DD2150"/>
    <w:rsid w:val="00DD4654"/>
    <w:rsid w:val="00DD73C2"/>
    <w:rsid w:val="00DD7B8E"/>
    <w:rsid w:val="00DE1E21"/>
    <w:rsid w:val="00DE319B"/>
    <w:rsid w:val="00DE4446"/>
    <w:rsid w:val="00DE6123"/>
    <w:rsid w:val="00DE6DCE"/>
    <w:rsid w:val="00DE7661"/>
    <w:rsid w:val="00DE7D2D"/>
    <w:rsid w:val="00DF0121"/>
    <w:rsid w:val="00DF34FE"/>
    <w:rsid w:val="00DF41EE"/>
    <w:rsid w:val="00DF4DF2"/>
    <w:rsid w:val="00DF7741"/>
    <w:rsid w:val="00DF78E7"/>
    <w:rsid w:val="00E00B5D"/>
    <w:rsid w:val="00E00DFE"/>
    <w:rsid w:val="00E02C24"/>
    <w:rsid w:val="00E03930"/>
    <w:rsid w:val="00E0657C"/>
    <w:rsid w:val="00E10996"/>
    <w:rsid w:val="00E110E0"/>
    <w:rsid w:val="00E1149A"/>
    <w:rsid w:val="00E11B0F"/>
    <w:rsid w:val="00E11E78"/>
    <w:rsid w:val="00E11EC2"/>
    <w:rsid w:val="00E14A7B"/>
    <w:rsid w:val="00E150F6"/>
    <w:rsid w:val="00E15371"/>
    <w:rsid w:val="00E15D26"/>
    <w:rsid w:val="00E17418"/>
    <w:rsid w:val="00E1769C"/>
    <w:rsid w:val="00E2335C"/>
    <w:rsid w:val="00E24104"/>
    <w:rsid w:val="00E2736B"/>
    <w:rsid w:val="00E27EB3"/>
    <w:rsid w:val="00E30BFD"/>
    <w:rsid w:val="00E310C4"/>
    <w:rsid w:val="00E325C8"/>
    <w:rsid w:val="00E32860"/>
    <w:rsid w:val="00E32861"/>
    <w:rsid w:val="00E34C78"/>
    <w:rsid w:val="00E37B36"/>
    <w:rsid w:val="00E41ECB"/>
    <w:rsid w:val="00E41F8C"/>
    <w:rsid w:val="00E42747"/>
    <w:rsid w:val="00E42DB1"/>
    <w:rsid w:val="00E42E48"/>
    <w:rsid w:val="00E43FCE"/>
    <w:rsid w:val="00E44899"/>
    <w:rsid w:val="00E4524C"/>
    <w:rsid w:val="00E45F05"/>
    <w:rsid w:val="00E46A63"/>
    <w:rsid w:val="00E475F3"/>
    <w:rsid w:val="00E47F83"/>
    <w:rsid w:val="00E5108E"/>
    <w:rsid w:val="00E541A4"/>
    <w:rsid w:val="00E547B0"/>
    <w:rsid w:val="00E54FDB"/>
    <w:rsid w:val="00E5551B"/>
    <w:rsid w:val="00E557A5"/>
    <w:rsid w:val="00E563D7"/>
    <w:rsid w:val="00E56931"/>
    <w:rsid w:val="00E5747A"/>
    <w:rsid w:val="00E631B3"/>
    <w:rsid w:val="00E65479"/>
    <w:rsid w:val="00E663F4"/>
    <w:rsid w:val="00E666F2"/>
    <w:rsid w:val="00E667C1"/>
    <w:rsid w:val="00E66DD4"/>
    <w:rsid w:val="00E674CB"/>
    <w:rsid w:val="00E74326"/>
    <w:rsid w:val="00E748CC"/>
    <w:rsid w:val="00E75415"/>
    <w:rsid w:val="00E754FD"/>
    <w:rsid w:val="00E80658"/>
    <w:rsid w:val="00E80D7D"/>
    <w:rsid w:val="00E80F96"/>
    <w:rsid w:val="00E82C10"/>
    <w:rsid w:val="00E846D3"/>
    <w:rsid w:val="00E84B59"/>
    <w:rsid w:val="00E90838"/>
    <w:rsid w:val="00E91109"/>
    <w:rsid w:val="00E91F33"/>
    <w:rsid w:val="00E92456"/>
    <w:rsid w:val="00E9358F"/>
    <w:rsid w:val="00E93629"/>
    <w:rsid w:val="00E93C0F"/>
    <w:rsid w:val="00E94758"/>
    <w:rsid w:val="00E94CEC"/>
    <w:rsid w:val="00E95F73"/>
    <w:rsid w:val="00E96083"/>
    <w:rsid w:val="00E962AB"/>
    <w:rsid w:val="00E97385"/>
    <w:rsid w:val="00EA01F3"/>
    <w:rsid w:val="00EA0260"/>
    <w:rsid w:val="00EA04EF"/>
    <w:rsid w:val="00EA140F"/>
    <w:rsid w:val="00EA382C"/>
    <w:rsid w:val="00EA5EB6"/>
    <w:rsid w:val="00EA6070"/>
    <w:rsid w:val="00EA6F19"/>
    <w:rsid w:val="00EB098D"/>
    <w:rsid w:val="00EB0D89"/>
    <w:rsid w:val="00EB1DD3"/>
    <w:rsid w:val="00EB412E"/>
    <w:rsid w:val="00EB7090"/>
    <w:rsid w:val="00EC0FD5"/>
    <w:rsid w:val="00EC1355"/>
    <w:rsid w:val="00EC5B2E"/>
    <w:rsid w:val="00EC5CD7"/>
    <w:rsid w:val="00EC6CB9"/>
    <w:rsid w:val="00EC7C0C"/>
    <w:rsid w:val="00ED041C"/>
    <w:rsid w:val="00ED3916"/>
    <w:rsid w:val="00ED3E68"/>
    <w:rsid w:val="00ED42DD"/>
    <w:rsid w:val="00ED4517"/>
    <w:rsid w:val="00ED5640"/>
    <w:rsid w:val="00ED664F"/>
    <w:rsid w:val="00ED7476"/>
    <w:rsid w:val="00EE045F"/>
    <w:rsid w:val="00EE2755"/>
    <w:rsid w:val="00EE3A80"/>
    <w:rsid w:val="00EE59F2"/>
    <w:rsid w:val="00EE5FB3"/>
    <w:rsid w:val="00EE7F79"/>
    <w:rsid w:val="00EF0A5D"/>
    <w:rsid w:val="00EF0CA4"/>
    <w:rsid w:val="00EF1AA6"/>
    <w:rsid w:val="00EF235A"/>
    <w:rsid w:val="00EF447E"/>
    <w:rsid w:val="00EF459A"/>
    <w:rsid w:val="00EF4941"/>
    <w:rsid w:val="00EF6374"/>
    <w:rsid w:val="00EF7382"/>
    <w:rsid w:val="00EF754D"/>
    <w:rsid w:val="00EF761A"/>
    <w:rsid w:val="00EF76D4"/>
    <w:rsid w:val="00EF7AD5"/>
    <w:rsid w:val="00F0153E"/>
    <w:rsid w:val="00F01AE5"/>
    <w:rsid w:val="00F030D1"/>
    <w:rsid w:val="00F04071"/>
    <w:rsid w:val="00F079B0"/>
    <w:rsid w:val="00F1149E"/>
    <w:rsid w:val="00F1265D"/>
    <w:rsid w:val="00F127B0"/>
    <w:rsid w:val="00F143A5"/>
    <w:rsid w:val="00F15BD7"/>
    <w:rsid w:val="00F17962"/>
    <w:rsid w:val="00F179D4"/>
    <w:rsid w:val="00F21CB8"/>
    <w:rsid w:val="00F21FD1"/>
    <w:rsid w:val="00F236E7"/>
    <w:rsid w:val="00F24616"/>
    <w:rsid w:val="00F247A6"/>
    <w:rsid w:val="00F26117"/>
    <w:rsid w:val="00F33685"/>
    <w:rsid w:val="00F33C56"/>
    <w:rsid w:val="00F33CDF"/>
    <w:rsid w:val="00F347C7"/>
    <w:rsid w:val="00F34848"/>
    <w:rsid w:val="00F35172"/>
    <w:rsid w:val="00F36E8A"/>
    <w:rsid w:val="00F36FC2"/>
    <w:rsid w:val="00F4103E"/>
    <w:rsid w:val="00F411CE"/>
    <w:rsid w:val="00F4130F"/>
    <w:rsid w:val="00F41A66"/>
    <w:rsid w:val="00F42D46"/>
    <w:rsid w:val="00F43EC1"/>
    <w:rsid w:val="00F4496C"/>
    <w:rsid w:val="00F45A74"/>
    <w:rsid w:val="00F46E75"/>
    <w:rsid w:val="00F47566"/>
    <w:rsid w:val="00F47588"/>
    <w:rsid w:val="00F5253A"/>
    <w:rsid w:val="00F55628"/>
    <w:rsid w:val="00F5799B"/>
    <w:rsid w:val="00F60F00"/>
    <w:rsid w:val="00F614C0"/>
    <w:rsid w:val="00F637C0"/>
    <w:rsid w:val="00F65432"/>
    <w:rsid w:val="00F66087"/>
    <w:rsid w:val="00F6609B"/>
    <w:rsid w:val="00F7121F"/>
    <w:rsid w:val="00F75903"/>
    <w:rsid w:val="00F75BF3"/>
    <w:rsid w:val="00F75FDE"/>
    <w:rsid w:val="00F77827"/>
    <w:rsid w:val="00F80BCE"/>
    <w:rsid w:val="00F81B0B"/>
    <w:rsid w:val="00F825BD"/>
    <w:rsid w:val="00F82F15"/>
    <w:rsid w:val="00F83074"/>
    <w:rsid w:val="00F83848"/>
    <w:rsid w:val="00F8701D"/>
    <w:rsid w:val="00F95841"/>
    <w:rsid w:val="00F97A25"/>
    <w:rsid w:val="00FA1B7D"/>
    <w:rsid w:val="00FA1E2E"/>
    <w:rsid w:val="00FA2DF0"/>
    <w:rsid w:val="00FB00FE"/>
    <w:rsid w:val="00FB0B4F"/>
    <w:rsid w:val="00FB1DB4"/>
    <w:rsid w:val="00FB245E"/>
    <w:rsid w:val="00FB2AC3"/>
    <w:rsid w:val="00FB5C92"/>
    <w:rsid w:val="00FB6CE0"/>
    <w:rsid w:val="00FC1A17"/>
    <w:rsid w:val="00FC21E2"/>
    <w:rsid w:val="00FC297B"/>
    <w:rsid w:val="00FC4E21"/>
    <w:rsid w:val="00FC5D3C"/>
    <w:rsid w:val="00FC5F6D"/>
    <w:rsid w:val="00FC67A2"/>
    <w:rsid w:val="00FC6A79"/>
    <w:rsid w:val="00FD0C7F"/>
    <w:rsid w:val="00FD2C2F"/>
    <w:rsid w:val="00FD3B31"/>
    <w:rsid w:val="00FD3E9E"/>
    <w:rsid w:val="00FD47BB"/>
    <w:rsid w:val="00FD78E1"/>
    <w:rsid w:val="00FE0DDE"/>
    <w:rsid w:val="00FE1823"/>
    <w:rsid w:val="00FE22D2"/>
    <w:rsid w:val="00FE487A"/>
    <w:rsid w:val="00FE5D48"/>
    <w:rsid w:val="00FE7F4F"/>
    <w:rsid w:val="00FF0541"/>
    <w:rsid w:val="00FF0569"/>
    <w:rsid w:val="00FF08D6"/>
    <w:rsid w:val="00FF08F4"/>
    <w:rsid w:val="00FF0A8E"/>
    <w:rsid w:val="00FF115B"/>
    <w:rsid w:val="00FF3303"/>
    <w:rsid w:val="00FF3C69"/>
    <w:rsid w:val="00FF3E5E"/>
    <w:rsid w:val="00FF5649"/>
    <w:rsid w:val="00FF6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colormru v:ext="edit" colors="red,#4d4d4f"/>
    </o:shapedefaults>
    <o:shapelayout v:ext="edit">
      <o:idmap v:ext="edit" data="1"/>
    </o:shapelayout>
  </w:shapeDefaults>
  <w:decimalSymbol w:val="."/>
  <w:listSeparator w:val=","/>
  <w14:docId w14:val="44B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link w:val="Heading1Char"/>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A07096"/>
    <w:pPr>
      <w:keepNext/>
      <w:spacing w:before="60" w:after="60"/>
      <w:outlineLvl w:val="1"/>
    </w:pPr>
    <w:rPr>
      <w:rFonts w:cs="Arial"/>
      <w:b/>
      <w:bCs/>
      <w:iCs/>
      <w:sz w:val="28"/>
      <w:szCs w:val="28"/>
    </w:rPr>
  </w:style>
  <w:style w:type="paragraph" w:styleId="Heading3">
    <w:name w:val="heading 3"/>
    <w:basedOn w:val="Normal"/>
    <w:next w:val="Normal"/>
    <w:link w:val="Heading3Char"/>
    <w:qFormat/>
    <w:rsid w:val="00A07096"/>
    <w:pPr>
      <w:keepNext/>
      <w:spacing w:before="60" w:after="60"/>
      <w:outlineLvl w:val="2"/>
    </w:pPr>
    <w:rPr>
      <w:rFonts w:cs="Arial"/>
      <w:b/>
      <w:bCs/>
      <w:szCs w:val="26"/>
    </w:rPr>
  </w:style>
  <w:style w:type="paragraph" w:styleId="Heading4">
    <w:name w:val="heading 4"/>
    <w:basedOn w:val="Normal"/>
    <w:next w:val="Normal"/>
    <w:link w:val="Heading4Char"/>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E4C11"/>
    <w:pPr>
      <w:spacing w:before="240" w:after="60"/>
      <w:outlineLvl w:val="4"/>
    </w:pPr>
    <w:rPr>
      <w:b/>
      <w:bCs/>
      <w:i/>
      <w:iCs/>
      <w:sz w:val="26"/>
      <w:szCs w:val="26"/>
    </w:rPr>
  </w:style>
  <w:style w:type="paragraph" w:styleId="Heading6">
    <w:name w:val="heading 6"/>
    <w:basedOn w:val="Normal"/>
    <w:next w:val="Normal"/>
    <w:link w:val="Heading6Char"/>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E4C11"/>
    <w:pPr>
      <w:spacing w:before="240" w:after="60"/>
      <w:outlineLvl w:val="6"/>
    </w:pPr>
    <w:rPr>
      <w:rFonts w:ascii="Times New Roman" w:hAnsi="Times New Roman"/>
      <w:sz w:val="24"/>
    </w:rPr>
  </w:style>
  <w:style w:type="paragraph" w:styleId="Heading8">
    <w:name w:val="heading 8"/>
    <w:basedOn w:val="Normal"/>
    <w:next w:val="Normal"/>
    <w:link w:val="Heading8Char"/>
    <w:qFormat/>
    <w:rsid w:val="00BE4C11"/>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3"/>
      </w:numPr>
      <w:spacing w:after="80"/>
    </w:pPr>
  </w:style>
  <w:style w:type="paragraph" w:styleId="ListNumber2">
    <w:name w:val="List Number 2"/>
    <w:basedOn w:val="Normal"/>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uiPriority w:val="99"/>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uiPriority w:val="99"/>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566AB4"/>
    <w:rPr>
      <w:rFonts w:ascii="Arial" w:hAnsi="Arial"/>
      <w:vertAlign w:val="superscript"/>
    </w:rPr>
  </w:style>
  <w:style w:type="paragraph" w:styleId="FootnoteText">
    <w:name w:val="footnote text"/>
    <w:aliases w:val="ACMA Footnote Text,ALTS FOOTNOTE,(NECG) Footnote Text,Footnote text,AR Footnote Text,AR Footnote Text Char Char Char Char Char,Footnote Text Char2,Footnote Text Char1 Char Char,Footnote Text Char Char Char Char,Footnote Text Char1 Char,f"/>
    <w:basedOn w:val="Normal"/>
    <w:link w:val="FootnoteTextChar"/>
    <w:uiPriority w:val="99"/>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rsid w:val="00EE7F79"/>
    <w:rPr>
      <w:b/>
      <w:bCs/>
    </w:rPr>
  </w:style>
  <w:style w:type="character" w:customStyle="1" w:styleId="CommentSubjectChar">
    <w:name w:val="Comment Subject Char"/>
    <w:basedOn w:val="CommentTextChar"/>
    <w:link w:val="CommentSubject"/>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Default">
    <w:name w:val="Default"/>
    <w:rsid w:val="00A84172"/>
    <w:pPr>
      <w:autoSpaceDE w:val="0"/>
      <w:autoSpaceDN w:val="0"/>
      <w:adjustRightInd w:val="0"/>
    </w:pPr>
    <w:rPr>
      <w:rFonts w:ascii="Arial" w:eastAsiaTheme="minorHAnsi" w:hAnsi="Arial" w:cs="Arial"/>
      <w:color w:val="000000"/>
      <w:sz w:val="24"/>
      <w:szCs w:val="24"/>
      <w:lang w:eastAsia="en-US"/>
    </w:rPr>
  </w:style>
  <w:style w:type="paragraph" w:customStyle="1" w:styleId="Researchquote">
    <w:name w:val="Research quote"/>
    <w:basedOn w:val="Normal"/>
    <w:qFormat/>
    <w:rsid w:val="00072C28"/>
    <w:pPr>
      <w:spacing w:before="120" w:after="120"/>
      <w:ind w:left="680" w:right="567"/>
    </w:pPr>
    <w:rPr>
      <w:rFonts w:cs="Arial"/>
      <w:sz w:val="18"/>
      <w:szCs w:val="18"/>
    </w:rPr>
  </w:style>
  <w:style w:type="character" w:customStyle="1" w:styleId="Heading2Char">
    <w:name w:val="Heading 2 Char"/>
    <w:basedOn w:val="DefaultParagraphFont"/>
    <w:link w:val="Heading2"/>
    <w:rsid w:val="00804B11"/>
    <w:rPr>
      <w:rFonts w:ascii="Arial" w:hAnsi="Arial" w:cs="Arial"/>
      <w:b/>
      <w:bCs/>
      <w:iCs/>
      <w:sz w:val="28"/>
      <w:szCs w:val="28"/>
    </w:rPr>
  </w:style>
  <w:style w:type="character" w:customStyle="1" w:styleId="Heading1Char">
    <w:name w:val="Heading 1 Char"/>
    <w:basedOn w:val="DefaultParagraphFont"/>
    <w:link w:val="Heading1"/>
    <w:rsid w:val="00804B11"/>
    <w:rPr>
      <w:rFonts w:ascii="Arial" w:hAnsi="Arial" w:cs="Arial"/>
      <w:bCs/>
      <w:color w:val="4D4D4F"/>
      <w:kern w:val="32"/>
      <w:sz w:val="53"/>
      <w:szCs w:val="32"/>
    </w:rPr>
  </w:style>
  <w:style w:type="character" w:customStyle="1" w:styleId="Heading3Char">
    <w:name w:val="Heading 3 Char"/>
    <w:basedOn w:val="DefaultParagraphFont"/>
    <w:link w:val="Heading3"/>
    <w:rsid w:val="009517EA"/>
    <w:rPr>
      <w:rFonts w:ascii="Arial" w:hAnsi="Arial" w:cs="Arial"/>
      <w:b/>
      <w:bCs/>
      <w:szCs w:val="26"/>
    </w:rPr>
  </w:style>
  <w:style w:type="paragraph" w:styleId="EndnoteText">
    <w:name w:val="endnote text"/>
    <w:basedOn w:val="Normal"/>
    <w:link w:val="EndnoteTextChar"/>
    <w:unhideWhenUsed/>
    <w:rsid w:val="009517EA"/>
    <w:pPr>
      <w:spacing w:line="240" w:lineRule="auto"/>
    </w:pPr>
    <w:rPr>
      <w:rFonts w:ascii="HelveticaNeueLT Std Lt" w:hAnsi="HelveticaNeueLT Std Lt"/>
      <w:szCs w:val="20"/>
    </w:rPr>
  </w:style>
  <w:style w:type="character" w:customStyle="1" w:styleId="EndnoteTextChar">
    <w:name w:val="Endnote Text Char"/>
    <w:basedOn w:val="DefaultParagraphFont"/>
    <w:link w:val="EndnoteText"/>
    <w:rsid w:val="009517EA"/>
    <w:rPr>
      <w:rFonts w:ascii="HelveticaNeueLT Std Lt" w:hAnsi="HelveticaNeueLT Std Lt"/>
    </w:rPr>
  </w:style>
  <w:style w:type="character" w:styleId="EndnoteReference">
    <w:name w:val="endnote reference"/>
    <w:basedOn w:val="DefaultParagraphFont"/>
    <w:unhideWhenUsed/>
    <w:rsid w:val="009517EA"/>
    <w:rPr>
      <w:vertAlign w:val="superscript"/>
    </w:rPr>
  </w:style>
  <w:style w:type="paragraph" w:customStyle="1" w:styleId="ACMATableText">
    <w:name w:val="ACMA Table Text"/>
    <w:rsid w:val="003367C4"/>
    <w:pPr>
      <w:spacing w:before="40" w:after="40"/>
    </w:pPr>
    <w:rPr>
      <w:rFonts w:ascii="Arial" w:hAnsi="Arial"/>
      <w:lang w:eastAsia="en-US"/>
    </w:rPr>
  </w:style>
  <w:style w:type="paragraph" w:styleId="PlainText">
    <w:name w:val="Plain Text"/>
    <w:basedOn w:val="Normal"/>
    <w:link w:val="PlainTextChar"/>
    <w:uiPriority w:val="99"/>
    <w:unhideWhenUsed/>
    <w:rsid w:val="003367C4"/>
    <w:pPr>
      <w:spacing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367C4"/>
    <w:rPr>
      <w:rFonts w:ascii="Consolas" w:eastAsiaTheme="minorHAnsi" w:hAnsi="Consolas" w:cs="Consolas"/>
      <w:sz w:val="21"/>
      <w:szCs w:val="21"/>
    </w:rPr>
  </w:style>
  <w:style w:type="character" w:customStyle="1" w:styleId="Heading4Char">
    <w:name w:val="Heading 4 Char"/>
    <w:basedOn w:val="DefaultParagraphFont"/>
    <w:link w:val="Heading4"/>
    <w:rsid w:val="00E44899"/>
    <w:rPr>
      <w:b/>
      <w:bCs/>
      <w:sz w:val="28"/>
      <w:szCs w:val="28"/>
    </w:rPr>
  </w:style>
  <w:style w:type="character" w:customStyle="1" w:styleId="Heading5Char">
    <w:name w:val="Heading 5 Char"/>
    <w:basedOn w:val="DefaultParagraphFont"/>
    <w:link w:val="Heading5"/>
    <w:rsid w:val="00E44899"/>
    <w:rPr>
      <w:rFonts w:ascii="Arial" w:hAnsi="Arial"/>
      <w:b/>
      <w:bCs/>
      <w:i/>
      <w:iCs/>
      <w:sz w:val="26"/>
      <w:szCs w:val="26"/>
    </w:rPr>
  </w:style>
  <w:style w:type="character" w:customStyle="1" w:styleId="Heading6Char">
    <w:name w:val="Heading 6 Char"/>
    <w:basedOn w:val="DefaultParagraphFont"/>
    <w:link w:val="Heading6"/>
    <w:rsid w:val="00E44899"/>
    <w:rPr>
      <w:b/>
      <w:bCs/>
      <w:sz w:val="22"/>
      <w:szCs w:val="22"/>
    </w:rPr>
  </w:style>
  <w:style w:type="character" w:customStyle="1" w:styleId="Heading7Char">
    <w:name w:val="Heading 7 Char"/>
    <w:basedOn w:val="DefaultParagraphFont"/>
    <w:link w:val="Heading7"/>
    <w:rsid w:val="00E44899"/>
    <w:rPr>
      <w:sz w:val="24"/>
      <w:szCs w:val="24"/>
    </w:rPr>
  </w:style>
  <w:style w:type="character" w:customStyle="1" w:styleId="Heading8Char">
    <w:name w:val="Heading 8 Char"/>
    <w:basedOn w:val="DefaultParagraphFont"/>
    <w:link w:val="Heading8"/>
    <w:rsid w:val="00E44899"/>
    <w:rPr>
      <w:i/>
      <w:iCs/>
      <w:sz w:val="24"/>
      <w:szCs w:val="24"/>
    </w:rPr>
  </w:style>
  <w:style w:type="character" w:customStyle="1" w:styleId="Heading9Char">
    <w:name w:val="Heading 9 Char"/>
    <w:basedOn w:val="DefaultParagraphFont"/>
    <w:link w:val="Heading9"/>
    <w:rsid w:val="00E44899"/>
    <w:rPr>
      <w:rFonts w:ascii="Arial" w:hAnsi="Arial" w:cs="Arial"/>
      <w:sz w:val="22"/>
      <w:szCs w:val="22"/>
    </w:rPr>
  </w:style>
  <w:style w:type="character" w:customStyle="1" w:styleId="HeaderChar">
    <w:name w:val="Header Char"/>
    <w:basedOn w:val="DefaultParagraphFont"/>
    <w:link w:val="Header"/>
    <w:semiHidden/>
    <w:rsid w:val="00E44899"/>
    <w:rPr>
      <w:rFonts w:ascii="Arial" w:hAnsi="Arial"/>
      <w:sz w:val="16"/>
      <w:szCs w:val="24"/>
    </w:rPr>
  </w:style>
  <w:style w:type="character" w:customStyle="1" w:styleId="FooterChar">
    <w:name w:val="Footer Char"/>
    <w:basedOn w:val="DefaultParagraphFont"/>
    <w:link w:val="Footer"/>
    <w:semiHidden/>
    <w:rsid w:val="00E44899"/>
    <w:rPr>
      <w:rFonts w:ascii="Arial" w:hAnsi="Arial"/>
      <w:sz w:val="16"/>
      <w:szCs w:val="24"/>
    </w:rPr>
  </w:style>
  <w:style w:type="character" w:customStyle="1" w:styleId="FootnoteTextChar">
    <w:name w:val="Footnote Text Char"/>
    <w:aliases w:val="ACMA Footnote Text Char,ALTS FOOTNOTE Char,(NECG) Footnote Text Char,Footnote text Char,AR Footnote Text Char,AR Footnote Text Char Char Char Char Char Char,Footnote Text Char2 Char,Footnote Text Char1 Char Char Char,f Char"/>
    <w:basedOn w:val="DefaultParagraphFont"/>
    <w:link w:val="FootnoteText"/>
    <w:uiPriority w:val="99"/>
    <w:rsid w:val="00E44899"/>
    <w:rPr>
      <w:rFonts w:ascii="Arial" w:hAnsi="Arial"/>
      <w:sz w:val="16"/>
      <w:szCs w:val="16"/>
    </w:rPr>
  </w:style>
  <w:style w:type="paragraph" w:styleId="ListParagraph">
    <w:name w:val="List Paragraph"/>
    <w:basedOn w:val="Normal"/>
    <w:uiPriority w:val="34"/>
    <w:qFormat/>
    <w:rsid w:val="00E44899"/>
    <w:pPr>
      <w:ind w:left="720"/>
      <w:contextualSpacing/>
    </w:pPr>
    <w:rPr>
      <w:rFonts w:ascii="HelveticaNeueLT Std Lt" w:hAnsi="HelveticaNeueLT Std Lt"/>
    </w:rPr>
  </w:style>
  <w:style w:type="character" w:styleId="Emphasis">
    <w:name w:val="Emphasis"/>
    <w:basedOn w:val="DefaultParagraphFont"/>
    <w:uiPriority w:val="20"/>
    <w:qFormat/>
    <w:rsid w:val="00E44899"/>
    <w:rPr>
      <w:i/>
      <w:iCs/>
    </w:rPr>
  </w:style>
  <w:style w:type="paragraph" w:customStyle="1" w:styleId="ACMABodyText">
    <w:name w:val="ACMA Body Text"/>
    <w:link w:val="ACMABodyTextChar"/>
    <w:rsid w:val="00E44899"/>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E44899"/>
    <w:rPr>
      <w:snapToGrid w:val="0"/>
      <w:sz w:val="24"/>
      <w:lang w:eastAsia="en-US"/>
    </w:rPr>
  </w:style>
  <w:style w:type="paragraph" w:customStyle="1" w:styleId="ACMAHeading1">
    <w:name w:val="ACMA Heading 1"/>
    <w:next w:val="ACMABodyText"/>
    <w:rsid w:val="00E44899"/>
    <w:pPr>
      <w:keepNext/>
      <w:numPr>
        <w:numId w:val="5"/>
      </w:numPr>
      <w:tabs>
        <w:tab w:val="clear" w:pos="360"/>
      </w:tabs>
      <w:suppressAutoHyphens/>
      <w:spacing w:before="320"/>
      <w:ind w:left="0" w:firstLine="0"/>
      <w:outlineLvl w:val="1"/>
    </w:pPr>
    <w:rPr>
      <w:rFonts w:ascii="Arial" w:hAnsi="Arial"/>
      <w:b/>
      <w:sz w:val="32"/>
      <w:szCs w:val="32"/>
      <w:lang w:val="en-US" w:eastAsia="en-US"/>
    </w:rPr>
  </w:style>
  <w:style w:type="paragraph" w:customStyle="1" w:styleId="ACMAHeading2">
    <w:name w:val="ACMA Heading 2"/>
    <w:next w:val="ACMABodyText"/>
    <w:rsid w:val="00E44899"/>
    <w:pPr>
      <w:keepNext/>
      <w:suppressAutoHyphens/>
      <w:spacing w:before="240"/>
      <w:outlineLvl w:val="2"/>
    </w:pPr>
    <w:rPr>
      <w:rFonts w:ascii="Arial" w:hAnsi="Arial"/>
      <w:b/>
      <w:sz w:val="26"/>
      <w:szCs w:val="26"/>
      <w:lang w:val="en-US" w:eastAsia="en-US"/>
    </w:rPr>
  </w:style>
  <w:style w:type="paragraph" w:customStyle="1" w:styleId="ACMAHeading3">
    <w:name w:val="ACMA Heading 3"/>
    <w:next w:val="ACMABodyText"/>
    <w:rsid w:val="00E44899"/>
    <w:pPr>
      <w:keepNext/>
      <w:suppressAutoHyphens/>
      <w:spacing w:before="240"/>
      <w:outlineLvl w:val="3"/>
    </w:pPr>
    <w:rPr>
      <w:rFonts w:ascii="Arial" w:hAnsi="Arial"/>
      <w:b/>
      <w:sz w:val="24"/>
      <w:lang w:val="en-US" w:eastAsia="en-US"/>
    </w:rPr>
  </w:style>
  <w:style w:type="paragraph" w:customStyle="1" w:styleId="ACMABulletLevel1">
    <w:name w:val="ACMA Bullet Level 1"/>
    <w:rsid w:val="00E44899"/>
    <w:pPr>
      <w:numPr>
        <w:numId w:val="6"/>
      </w:numPr>
      <w:tabs>
        <w:tab w:val="clear" w:pos="-31680"/>
        <w:tab w:val="num" w:pos="1008"/>
      </w:tabs>
      <w:spacing w:after="120"/>
      <w:ind w:left="1008" w:hanging="360"/>
    </w:pPr>
    <w:rPr>
      <w:sz w:val="24"/>
      <w:lang w:eastAsia="en-US"/>
    </w:rPr>
  </w:style>
  <w:style w:type="paragraph" w:customStyle="1" w:styleId="ACMAHeading4">
    <w:name w:val="ACMA Heading 4"/>
    <w:next w:val="ACMABodyText"/>
    <w:rsid w:val="00E44899"/>
    <w:pPr>
      <w:keepNext/>
      <w:suppressAutoHyphens/>
      <w:spacing w:before="80"/>
      <w:outlineLvl w:val="4"/>
    </w:pPr>
    <w:rPr>
      <w:rFonts w:ascii="Arial" w:hAnsi="Arial"/>
      <w:b/>
      <w:i/>
      <w:lang w:eastAsia="en-US"/>
    </w:rPr>
  </w:style>
  <w:style w:type="character" w:styleId="Strong">
    <w:name w:val="Strong"/>
    <w:basedOn w:val="DefaultParagraphFont"/>
    <w:uiPriority w:val="22"/>
    <w:qFormat/>
    <w:rsid w:val="00E44899"/>
    <w:rPr>
      <w:b/>
      <w:bCs/>
    </w:rPr>
  </w:style>
  <w:style w:type="character" w:customStyle="1" w:styleId="DocumentMapChar">
    <w:name w:val="Document Map Char"/>
    <w:basedOn w:val="DefaultParagraphFont"/>
    <w:link w:val="DocumentMap"/>
    <w:uiPriority w:val="99"/>
    <w:semiHidden/>
    <w:rsid w:val="00E44899"/>
    <w:rPr>
      <w:rFonts w:ascii="Tahoma" w:hAnsi="Tahoma" w:cs="Tahoma"/>
      <w:sz w:val="16"/>
      <w:szCs w:val="16"/>
    </w:rPr>
  </w:style>
  <w:style w:type="paragraph" w:styleId="DocumentMap">
    <w:name w:val="Document Map"/>
    <w:basedOn w:val="Normal"/>
    <w:link w:val="DocumentMapChar"/>
    <w:uiPriority w:val="99"/>
    <w:semiHidden/>
    <w:rsid w:val="00E44899"/>
    <w:pPr>
      <w:spacing w:line="240" w:lineRule="auto"/>
    </w:pPr>
    <w:rPr>
      <w:rFonts w:ascii="Tahoma" w:hAnsi="Tahoma" w:cs="Tahoma"/>
      <w:sz w:val="16"/>
      <w:szCs w:val="16"/>
    </w:rPr>
  </w:style>
  <w:style w:type="character" w:customStyle="1" w:styleId="DocumentMapChar1">
    <w:name w:val="Document Map Char1"/>
    <w:basedOn w:val="DefaultParagraphFont"/>
    <w:semiHidden/>
    <w:rsid w:val="00E44899"/>
    <w:rPr>
      <w:rFonts w:ascii="Segoe UI" w:hAnsi="Segoe UI" w:cs="Segoe UI"/>
      <w:sz w:val="16"/>
      <w:szCs w:val="16"/>
    </w:rPr>
  </w:style>
  <w:style w:type="paragraph" w:styleId="TOC4">
    <w:name w:val="toc 4"/>
    <w:basedOn w:val="Normal"/>
    <w:next w:val="Normal"/>
    <w:autoRedefine/>
    <w:uiPriority w:val="39"/>
    <w:unhideWhenUsed/>
    <w:rsid w:val="00E4489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4489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4489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4489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44899"/>
    <w:pPr>
      <w:spacing w:after="100" w:line="276" w:lineRule="auto"/>
      <w:ind w:left="1540"/>
    </w:pPr>
    <w:rPr>
      <w:rFonts w:asciiTheme="minorHAnsi" w:eastAsiaTheme="minorEastAsia" w:hAnsiTheme="minorHAnsi" w:cstheme="minorBidi"/>
      <w:sz w:val="22"/>
      <w:szCs w:val="22"/>
    </w:rPr>
  </w:style>
  <w:style w:type="paragraph" w:styleId="NormalWeb">
    <w:name w:val="Normal (Web)"/>
    <w:basedOn w:val="Normal"/>
    <w:uiPriority w:val="99"/>
    <w:unhideWhenUsed/>
    <w:rsid w:val="00E44899"/>
    <w:pPr>
      <w:spacing w:before="100" w:beforeAutospacing="1" w:after="100" w:afterAutospacing="1" w:line="240" w:lineRule="auto"/>
    </w:pPr>
    <w:rPr>
      <w:rFonts w:ascii="Times New Roman" w:hAnsi="Times New Roman"/>
      <w:sz w:val="24"/>
    </w:rPr>
  </w:style>
  <w:style w:type="paragraph" w:styleId="NoSpacing">
    <w:name w:val="No Spacing"/>
    <w:uiPriority w:val="1"/>
    <w:qFormat/>
    <w:rsid w:val="00E44899"/>
    <w:rPr>
      <w:rFonts w:asciiTheme="minorHAnsi" w:eastAsiaTheme="minorHAnsi" w:hAnsiTheme="minorHAnsi" w:cstheme="minorBidi"/>
      <w:sz w:val="22"/>
      <w:szCs w:val="22"/>
      <w:lang w:eastAsia="en-US"/>
    </w:rPr>
  </w:style>
  <w:style w:type="paragraph" w:customStyle="1" w:styleId="ACMANumberedList">
    <w:name w:val="ACMA Numbered List"/>
    <w:rsid w:val="00E44899"/>
    <w:pPr>
      <w:numPr>
        <w:numId w:val="7"/>
      </w:numPr>
      <w:spacing w:before="20" w:after="20"/>
    </w:pPr>
    <w:rPr>
      <w:sz w:val="24"/>
      <w:lang w:eastAsia="en-US"/>
    </w:rPr>
  </w:style>
  <w:style w:type="paragraph" w:customStyle="1" w:styleId="acmabodytext0">
    <w:name w:val="acmabodytext"/>
    <w:basedOn w:val="Normal"/>
    <w:rsid w:val="00E44899"/>
    <w:pPr>
      <w:snapToGrid w:val="0"/>
      <w:spacing w:before="80" w:after="120" w:line="280" w:lineRule="atLeast"/>
    </w:pPr>
    <w:rPr>
      <w:rFonts w:ascii="Times New Roman" w:hAnsi="Times New Roman"/>
      <w:sz w:val="24"/>
    </w:rPr>
  </w:style>
  <w:style w:type="paragraph" w:styleId="Title">
    <w:name w:val="Title"/>
    <w:basedOn w:val="Normal"/>
    <w:next w:val="Normal"/>
    <w:link w:val="TitleChar"/>
    <w:uiPriority w:val="10"/>
    <w:qFormat/>
    <w:rsid w:val="00E44899"/>
    <w:pPr>
      <w:pBdr>
        <w:bottom w:val="single" w:sz="8" w:space="4" w:color="37897E" w:themeColor="accent1"/>
      </w:pBdr>
      <w:spacing w:after="300" w:line="240" w:lineRule="auto"/>
      <w:contextualSpacing/>
    </w:pPr>
    <w:rPr>
      <w:rFonts w:asciiTheme="majorHAnsi" w:eastAsiaTheme="majorEastAsia" w:hAnsiTheme="majorHAnsi" w:cstheme="majorBidi"/>
      <w:color w:val="29665D" w:themeColor="text2" w:themeShade="BF"/>
      <w:spacing w:val="5"/>
      <w:kern w:val="28"/>
      <w:sz w:val="52"/>
      <w:szCs w:val="52"/>
      <w:lang w:eastAsia="en-US"/>
    </w:rPr>
  </w:style>
  <w:style w:type="character" w:customStyle="1" w:styleId="TitleChar">
    <w:name w:val="Title Char"/>
    <w:basedOn w:val="DefaultParagraphFont"/>
    <w:link w:val="Title"/>
    <w:uiPriority w:val="10"/>
    <w:rsid w:val="00E44899"/>
    <w:rPr>
      <w:rFonts w:asciiTheme="majorHAnsi" w:eastAsiaTheme="majorEastAsia" w:hAnsiTheme="majorHAnsi" w:cstheme="majorBidi"/>
      <w:color w:val="29665D" w:themeColor="text2" w:themeShade="BF"/>
      <w:spacing w:val="5"/>
      <w:kern w:val="28"/>
      <w:sz w:val="52"/>
      <w:szCs w:val="52"/>
      <w:lang w:eastAsia="en-US"/>
    </w:rPr>
  </w:style>
  <w:style w:type="paragraph" w:customStyle="1" w:styleId="ACMATableFootnote">
    <w:name w:val="ACMA_TableFootnote"/>
    <w:basedOn w:val="Normal"/>
    <w:uiPriority w:val="99"/>
    <w:rsid w:val="00E44899"/>
    <w:pPr>
      <w:tabs>
        <w:tab w:val="left" w:pos="142"/>
        <w:tab w:val="left" w:pos="283"/>
        <w:tab w:val="left" w:pos="567"/>
        <w:tab w:val="left" w:pos="850"/>
        <w:tab w:val="left" w:pos="1701"/>
        <w:tab w:val="left" w:pos="1956"/>
      </w:tabs>
      <w:suppressAutoHyphens/>
      <w:autoSpaceDE w:val="0"/>
      <w:autoSpaceDN w:val="0"/>
      <w:adjustRightInd w:val="0"/>
      <w:spacing w:line="288" w:lineRule="auto"/>
      <w:textAlignment w:val="center"/>
    </w:pPr>
    <w:rPr>
      <w:rFonts w:ascii="HelveticaNeueLT Std Lt" w:hAnsi="HelveticaNeueLT Std Lt" w:cs="HelveticaNeueLT Std Lt"/>
      <w:i/>
      <w:iCs/>
      <w:color w:val="808284"/>
      <w:sz w:val="14"/>
      <w:szCs w:val="14"/>
      <w:lang w:val="en-GB"/>
    </w:rPr>
  </w:style>
  <w:style w:type="paragraph" w:customStyle="1" w:styleId="BasicParagraph">
    <w:name w:val="[Basic Paragraph]"/>
    <w:basedOn w:val="Normal"/>
    <w:uiPriority w:val="99"/>
    <w:rsid w:val="00E44899"/>
    <w:pPr>
      <w:autoSpaceDE w:val="0"/>
      <w:autoSpaceDN w:val="0"/>
      <w:adjustRightInd w:val="0"/>
      <w:spacing w:line="288" w:lineRule="auto"/>
      <w:textAlignment w:val="center"/>
    </w:pPr>
    <w:rPr>
      <w:rFonts w:ascii="Times Regular" w:hAnsi="Times Regular" w:cs="Times Regular"/>
      <w:color w:val="000000"/>
      <w:sz w:val="24"/>
      <w:lang w:val="en-US"/>
    </w:rPr>
  </w:style>
  <w:style w:type="character" w:customStyle="1" w:styleId="BulletedlistChar">
    <w:name w:val="Bulleted list Char"/>
    <w:basedOn w:val="DefaultParagraphFont"/>
    <w:link w:val="Bulletedlist"/>
    <w:locked/>
    <w:rsid w:val="00E44899"/>
    <w:rPr>
      <w:rFonts w:ascii="HelveticaNeueLT Std Lt" w:hAnsi="HelveticaNeueLT Std Lt"/>
      <w:szCs w:val="24"/>
    </w:rPr>
  </w:style>
  <w:style w:type="paragraph" w:customStyle="1" w:styleId="Bulletedlist">
    <w:name w:val="Bulleted list"/>
    <w:basedOn w:val="ListParagraph"/>
    <w:link w:val="BulletedlistChar"/>
    <w:qFormat/>
    <w:rsid w:val="00E44899"/>
    <w:pPr>
      <w:numPr>
        <w:numId w:val="8"/>
      </w:numPr>
      <w:spacing w:before="120" w:after="120"/>
      <w:contextualSpacing w:val="0"/>
    </w:pPr>
  </w:style>
  <w:style w:type="character" w:customStyle="1" w:styleId="search-highlight1">
    <w:name w:val="search-highlight1"/>
    <w:basedOn w:val="DefaultParagraphFont"/>
    <w:rsid w:val="00E44899"/>
    <w:rPr>
      <w:shd w:val="clear" w:color="auto" w:fill="A0FFFF"/>
    </w:rPr>
  </w:style>
  <w:style w:type="paragraph" w:customStyle="1" w:styleId="IndexNote">
    <w:name w:val="IndexNote"/>
    <w:rsid w:val="00E44899"/>
    <w:pPr>
      <w:widowControl w:val="0"/>
      <w:autoSpaceDE w:val="0"/>
      <w:autoSpaceDN w:val="0"/>
      <w:adjustRightInd w:val="0"/>
    </w:pPr>
    <w:rPr>
      <w:rFonts w:eastAsiaTheme="minorEastAsia"/>
      <w:sz w:val="22"/>
      <w:szCs w:val="22"/>
    </w:rPr>
  </w:style>
  <w:style w:type="paragraph" w:customStyle="1" w:styleId="Main">
    <w:name w:val="Main"/>
    <w:uiPriority w:val="99"/>
    <w:rsid w:val="00E44899"/>
    <w:pPr>
      <w:widowControl w:val="0"/>
      <w:autoSpaceDE w:val="0"/>
      <w:autoSpaceDN w:val="0"/>
      <w:adjustRightInd w:val="0"/>
      <w:ind w:left="115" w:hanging="116"/>
    </w:pPr>
    <w:rPr>
      <w:rFonts w:eastAsiaTheme="minorEastAsia"/>
      <w:sz w:val="22"/>
      <w:szCs w:val="22"/>
    </w:rPr>
  </w:style>
  <w:style w:type="paragraph" w:customStyle="1" w:styleId="Sub1">
    <w:name w:val="Sub1"/>
    <w:uiPriority w:val="99"/>
    <w:rsid w:val="00E44899"/>
    <w:pPr>
      <w:widowControl w:val="0"/>
      <w:autoSpaceDE w:val="0"/>
      <w:autoSpaceDN w:val="0"/>
      <w:adjustRightInd w:val="0"/>
      <w:ind w:left="345" w:hanging="116"/>
    </w:pPr>
    <w:rPr>
      <w:rFonts w:eastAsiaTheme="minorEastAsia"/>
      <w:sz w:val="22"/>
      <w:szCs w:val="22"/>
    </w:rPr>
  </w:style>
  <w:style w:type="paragraph" w:styleId="Revision">
    <w:name w:val="Revision"/>
    <w:hidden/>
    <w:uiPriority w:val="99"/>
    <w:semiHidden/>
    <w:rsid w:val="00E44899"/>
    <w:rPr>
      <w:rFonts w:ascii="Arial" w:hAnsi="Arial"/>
      <w:szCs w:val="24"/>
    </w:rPr>
  </w:style>
  <w:style w:type="paragraph" w:customStyle="1" w:styleId="PreHeading1">
    <w:name w:val="Pre Heading 1"/>
    <w:basedOn w:val="Heading1"/>
    <w:qFormat/>
    <w:rsid w:val="007310DB"/>
  </w:style>
  <w:style w:type="paragraph" w:customStyle="1" w:styleId="PreHeading2">
    <w:name w:val="Pre Heading 2"/>
    <w:basedOn w:val="Heading2"/>
    <w:qFormat/>
    <w:rsid w:val="007310DB"/>
  </w:style>
  <w:style w:type="paragraph" w:customStyle="1" w:styleId="Heading1a">
    <w:name w:val="Heading 1a"/>
    <w:basedOn w:val="Heading1"/>
    <w:qFormat/>
    <w:rsid w:val="00D9494A"/>
    <w:rPr>
      <w:i/>
      <w:sz w:val="32"/>
    </w:rPr>
  </w:style>
  <w:style w:type="character" w:customStyle="1" w:styleId="ecxmsoendnotereference">
    <w:name w:val="ecxmsoendnotereference"/>
    <w:basedOn w:val="DefaultParagraphFont"/>
    <w:rsid w:val="00F2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cma.gov.au/theACMA/Consultations/Consultations/Completed/regional-television-local-content-investig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Communications Report">
      <a:dk1>
        <a:sysClr val="windowText" lastClr="000000"/>
      </a:dk1>
      <a:lt1>
        <a:sysClr val="window" lastClr="FFFFFF"/>
      </a:lt1>
      <a:dk2>
        <a:srgbClr val="37897E"/>
      </a:dk2>
      <a:lt2>
        <a:srgbClr val="EEECE1"/>
      </a:lt2>
      <a:accent1>
        <a:srgbClr val="37897E"/>
      </a:accent1>
      <a:accent2>
        <a:srgbClr val="52BAAB"/>
      </a:accent2>
      <a:accent3>
        <a:srgbClr val="D1ECE9"/>
      </a:accent3>
      <a:accent4>
        <a:srgbClr val="37897E"/>
      </a:accent4>
      <a:accent5>
        <a:srgbClr val="37897E"/>
      </a:accent5>
      <a:accent6>
        <a:srgbClr val="37897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8" ma:contentTypeDescription="Create a new document." ma:contentTypeScope="" ma:versionID="f650cfae075303751f2042ca97ace022">
  <xsd:schema xmlns:xsd="http://www.w3.org/2001/XMLSchema" xmlns:xs="http://www.w3.org/2001/XMLSchema" xmlns:p="http://schemas.microsoft.com/office/2006/metadata/properties" xmlns:ns3="ffcaacd4-51b0-487d-9500-5676dac395a7" targetNamespace="http://schemas.microsoft.com/office/2006/metadata/properties" ma:root="true" ma:fieldsID="1910f20b8da22a327ac4c90d83cb8201" ns3:_="">
    <xsd:import namespace="ffcaacd4-51b0-487d-9500-5676dac395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0C66-861F-4940-BF9B-CD9F9472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533E-EC30-4BC9-8D74-B2D61EAFBB12}">
  <ds:schemaRefs>
    <ds:schemaRef ds:uri="http://schemas.microsoft.com/sharepoint/v3/contenttype/forms"/>
  </ds:schemaRefs>
</ds:datastoreItem>
</file>

<file path=customXml/itemProps3.xml><?xml version="1.0" encoding="utf-8"?>
<ds:datastoreItem xmlns:ds="http://schemas.openxmlformats.org/officeDocument/2006/customXml" ds:itemID="{5E5EB8E9-BD05-4C05-9713-3B528E41C1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fcaacd4-51b0-487d-9500-5676dac395a7"/>
    <ds:schemaRef ds:uri="http://www.w3.org/XML/1998/namespace"/>
    <ds:schemaRef ds:uri="http://purl.org/dc/dcmitype/"/>
  </ds:schemaRefs>
</ds:datastoreItem>
</file>

<file path=customXml/itemProps4.xml><?xml version="1.0" encoding="utf-8"?>
<ds:datastoreItem xmlns:ds="http://schemas.openxmlformats.org/officeDocument/2006/customXml" ds:itemID="{1B512A43-C46A-499D-AEF0-861C3FDB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4439</Words>
  <Characters>25308</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2019-08-12T00:36:00Z</dcterms:created>
  <dcterms:modified xsi:type="dcterms:W3CDTF">2019-08-12T00:36:00Z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ies>
</file>