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8973" w:type="dxa"/>
        <w:tblLayout w:type="fixed"/>
        <w:tblCellMar>
          <w:left w:w="0" w:type="dxa"/>
          <w:right w:w="0" w:type="dxa"/>
        </w:tblCellMar>
        <w:tblLook w:val="01E0" w:firstRow="1" w:lastRow="1" w:firstColumn="1" w:lastColumn="1" w:noHBand="0" w:noVBand="0"/>
      </w:tblPr>
      <w:tblGrid>
        <w:gridCol w:w="8973"/>
      </w:tblGrid>
      <w:tr w:rsidR="001E2783" w:rsidRPr="001E2783" w14:paraId="0B725FB5" w14:textId="77777777" w:rsidTr="00915B1C">
        <w:tc>
          <w:tcPr>
            <w:tcW w:w="8973" w:type="dxa"/>
            <w:shd w:val="clear" w:color="auto" w:fill="auto"/>
          </w:tcPr>
          <w:p w14:paraId="136B0382" w14:textId="08902B52" w:rsidR="00CA5539" w:rsidRPr="001E2783" w:rsidRDefault="00CA5539" w:rsidP="00311E08">
            <w:pPr>
              <w:pStyle w:val="ReportTitle"/>
              <w:rPr>
                <w:rFonts w:cs="Arial"/>
                <w:color w:val="auto"/>
              </w:rPr>
            </w:pPr>
            <w:r w:rsidRPr="001E2783">
              <w:rPr>
                <w:rFonts w:ascii="Arial" w:hAnsi="Arial" w:cs="Arial"/>
                <w:color w:val="auto"/>
              </w:rPr>
              <w:t xml:space="preserve">Annual report </w:t>
            </w:r>
            <w:r w:rsidRPr="001E2783">
              <w:rPr>
                <w:rFonts w:ascii="Arial" w:hAnsi="Arial" w:cs="Arial"/>
                <w:color w:val="auto"/>
              </w:rPr>
              <w:br/>
              <w:t>2013–14</w:t>
            </w:r>
          </w:p>
        </w:tc>
      </w:tr>
      <w:tr w:rsidR="000969BF" w:rsidRPr="001E2783" w14:paraId="2EC0B343" w14:textId="77777777" w:rsidTr="00915B1C">
        <w:tc>
          <w:tcPr>
            <w:tcW w:w="8973" w:type="dxa"/>
            <w:shd w:val="clear" w:color="auto" w:fill="auto"/>
          </w:tcPr>
          <w:p w14:paraId="3DCE4F30" w14:textId="77777777" w:rsidR="000969BF" w:rsidRPr="001E2783" w:rsidRDefault="000969BF" w:rsidP="005D2502">
            <w:pPr>
              <w:pStyle w:val="ReportDate"/>
              <w:rPr>
                <w:rFonts w:cs="Arial"/>
                <w:color w:val="auto"/>
              </w:rPr>
            </w:pPr>
          </w:p>
        </w:tc>
      </w:tr>
    </w:tbl>
    <w:p w14:paraId="703ED1D2" w14:textId="77777777" w:rsidR="000969BF" w:rsidRPr="001E2783" w:rsidRDefault="000969BF" w:rsidP="000969BF">
      <w:pPr>
        <w:rPr>
          <w:rFonts w:cs="Arial"/>
        </w:rPr>
      </w:pPr>
    </w:p>
    <w:p w14:paraId="350450D0" w14:textId="77777777" w:rsidR="004E39D3" w:rsidRPr="001E2783" w:rsidRDefault="004E39D3" w:rsidP="0041071D">
      <w:pPr>
        <w:rPr>
          <w:rFonts w:cs="Arial"/>
        </w:rPr>
        <w:sectPr w:rsidR="004E39D3" w:rsidRPr="001E2783" w:rsidSect="00E54AEA">
          <w:headerReference w:type="even" r:id="rId8"/>
          <w:headerReference w:type="default" r:id="rId9"/>
          <w:footerReference w:type="even" r:id="rId10"/>
          <w:footerReference w:type="default" r:id="rId11"/>
          <w:headerReference w:type="first" r:id="rId12"/>
          <w:footerReference w:type="first" r:id="rId13"/>
          <w:pgSz w:w="11906" w:h="16838" w:code="9"/>
          <w:pgMar w:top="3924" w:right="1797" w:bottom="1440" w:left="1134" w:header="709" w:footer="709" w:gutter="0"/>
          <w:cols w:space="708"/>
          <w:docGrid w:linePitch="360"/>
        </w:sectPr>
      </w:pPr>
    </w:p>
    <w:tbl>
      <w:tblPr>
        <w:tblW w:w="8987" w:type="dxa"/>
        <w:tblLayout w:type="fixed"/>
        <w:tblCellMar>
          <w:left w:w="0" w:type="dxa"/>
          <w:right w:w="0" w:type="dxa"/>
        </w:tblCellMar>
        <w:tblLook w:val="01E0" w:firstRow="1" w:lastRow="1" w:firstColumn="1" w:lastColumn="1" w:noHBand="0" w:noVBand="0"/>
      </w:tblPr>
      <w:tblGrid>
        <w:gridCol w:w="8987"/>
      </w:tblGrid>
      <w:tr w:rsidR="001E2783" w:rsidRPr="001E2783" w14:paraId="353BF7B1" w14:textId="77777777" w:rsidTr="006E4B1B">
        <w:trPr>
          <w:trHeight w:val="5897"/>
        </w:trPr>
        <w:tc>
          <w:tcPr>
            <w:tcW w:w="8987" w:type="dxa"/>
            <w:shd w:val="clear" w:color="auto" w:fill="auto"/>
          </w:tcPr>
          <w:tbl>
            <w:tblPr>
              <w:tblW w:w="0" w:type="auto"/>
              <w:tblLayout w:type="fixed"/>
              <w:tblCellMar>
                <w:left w:w="0" w:type="dxa"/>
                <w:right w:w="0" w:type="dxa"/>
              </w:tblCellMar>
              <w:tblLook w:val="01E0" w:firstRow="1" w:lastRow="1" w:firstColumn="1" w:lastColumn="1" w:noHBand="0" w:noVBand="0"/>
            </w:tblPr>
            <w:tblGrid>
              <w:gridCol w:w="1491"/>
              <w:gridCol w:w="1694"/>
              <w:gridCol w:w="1764"/>
              <w:gridCol w:w="2011"/>
              <w:gridCol w:w="2012"/>
            </w:tblGrid>
            <w:tr w:rsidR="001E2783" w:rsidRPr="001E2783" w14:paraId="20A22EBB" w14:textId="77777777" w:rsidTr="00915B1C">
              <w:tc>
                <w:tcPr>
                  <w:tcW w:w="1491" w:type="dxa"/>
                  <w:shd w:val="clear" w:color="auto" w:fill="auto"/>
                  <w:tcMar>
                    <w:top w:w="28" w:type="dxa"/>
                  </w:tcMar>
                </w:tcPr>
                <w:p w14:paraId="019D0838" w14:textId="77777777" w:rsidR="004151A7" w:rsidRPr="001E2783" w:rsidRDefault="004151A7" w:rsidP="004151A7">
                  <w:pPr>
                    <w:pStyle w:val="CorporateAddresses"/>
                    <w:rPr>
                      <w:rFonts w:cs="Arial"/>
                      <w:b/>
                      <w:color w:val="auto"/>
                    </w:rPr>
                  </w:pPr>
                  <w:r w:rsidRPr="001E2783">
                    <w:rPr>
                      <w:rFonts w:cs="Arial"/>
                      <w:b/>
                      <w:color w:val="auto"/>
                    </w:rPr>
                    <w:lastRenderedPageBreak/>
                    <w:t>Canberra</w:t>
                  </w:r>
                </w:p>
                <w:p w14:paraId="0050F8DB" w14:textId="77777777" w:rsidR="004151A7" w:rsidRPr="001E2783" w:rsidRDefault="00AC4014" w:rsidP="004151A7">
                  <w:pPr>
                    <w:pStyle w:val="CorporateAddresses"/>
                    <w:rPr>
                      <w:rFonts w:cs="Arial"/>
                      <w:color w:val="auto"/>
                    </w:rPr>
                  </w:pPr>
                  <w:r w:rsidRPr="001E2783">
                    <w:rPr>
                      <w:rFonts w:cs="Arial"/>
                      <w:color w:val="auto"/>
                    </w:rPr>
                    <w:t>Red</w:t>
                  </w:r>
                  <w:r w:rsidR="004151A7" w:rsidRPr="001E2783">
                    <w:rPr>
                      <w:rFonts w:cs="Arial"/>
                      <w:color w:val="auto"/>
                    </w:rPr>
                    <w:t xml:space="preserve"> Building  </w:t>
                  </w:r>
                </w:p>
                <w:p w14:paraId="3D6798FD" w14:textId="77777777" w:rsidR="004151A7" w:rsidRPr="001E2783" w:rsidRDefault="004151A7" w:rsidP="004151A7">
                  <w:pPr>
                    <w:pStyle w:val="CorporateAddresses"/>
                    <w:rPr>
                      <w:rFonts w:cs="Arial"/>
                      <w:color w:val="auto"/>
                    </w:rPr>
                  </w:pPr>
                  <w:r w:rsidRPr="001E2783">
                    <w:rPr>
                      <w:rFonts w:cs="Arial"/>
                      <w:color w:val="auto"/>
                    </w:rPr>
                    <w:t>Benjamin Offices</w:t>
                  </w:r>
                </w:p>
                <w:p w14:paraId="4A65066D" w14:textId="77777777" w:rsidR="004151A7" w:rsidRPr="001E2783" w:rsidRDefault="004151A7" w:rsidP="004151A7">
                  <w:pPr>
                    <w:pStyle w:val="CorporateAddresses"/>
                    <w:rPr>
                      <w:rFonts w:cs="Arial"/>
                      <w:color w:val="auto"/>
                    </w:rPr>
                  </w:pPr>
                  <w:r w:rsidRPr="001E2783">
                    <w:rPr>
                      <w:rFonts w:cs="Arial"/>
                      <w:color w:val="auto"/>
                    </w:rPr>
                    <w:t xml:space="preserve">Chan Street </w:t>
                  </w:r>
                </w:p>
                <w:p w14:paraId="20B44FE0" w14:textId="77777777" w:rsidR="004151A7" w:rsidRPr="001E2783" w:rsidRDefault="004151A7" w:rsidP="004151A7">
                  <w:pPr>
                    <w:pStyle w:val="CorporateAddresses"/>
                    <w:rPr>
                      <w:rFonts w:cs="Arial"/>
                      <w:color w:val="auto"/>
                    </w:rPr>
                  </w:pPr>
                  <w:r w:rsidRPr="001E2783">
                    <w:rPr>
                      <w:rFonts w:cs="Arial"/>
                      <w:color w:val="auto"/>
                    </w:rPr>
                    <w:t>Belconnen ACT</w:t>
                  </w:r>
                </w:p>
                <w:p w14:paraId="40691AC5" w14:textId="77777777" w:rsidR="004151A7" w:rsidRPr="001E2783" w:rsidRDefault="004151A7" w:rsidP="004151A7">
                  <w:pPr>
                    <w:pStyle w:val="CorporateAddresses"/>
                    <w:rPr>
                      <w:rFonts w:cs="Arial"/>
                      <w:color w:val="auto"/>
                    </w:rPr>
                  </w:pPr>
                </w:p>
                <w:p w14:paraId="1B34BB9B" w14:textId="77777777" w:rsidR="004151A7" w:rsidRPr="001E2783" w:rsidRDefault="004151A7" w:rsidP="004151A7">
                  <w:pPr>
                    <w:pStyle w:val="CorporateAddresses"/>
                    <w:rPr>
                      <w:rFonts w:cs="Arial"/>
                      <w:color w:val="auto"/>
                    </w:rPr>
                  </w:pPr>
                  <w:r w:rsidRPr="001E2783">
                    <w:rPr>
                      <w:rFonts w:cs="Arial"/>
                      <w:color w:val="auto"/>
                    </w:rPr>
                    <w:t>PO Box 78</w:t>
                  </w:r>
                </w:p>
                <w:p w14:paraId="510DDA16" w14:textId="77777777" w:rsidR="004151A7" w:rsidRPr="001E2783" w:rsidRDefault="004151A7" w:rsidP="004151A7">
                  <w:pPr>
                    <w:pStyle w:val="CorporateAddresses"/>
                    <w:rPr>
                      <w:rFonts w:cs="Arial"/>
                      <w:color w:val="auto"/>
                    </w:rPr>
                  </w:pPr>
                  <w:r w:rsidRPr="001E2783">
                    <w:rPr>
                      <w:rFonts w:cs="Arial"/>
                      <w:color w:val="auto"/>
                    </w:rPr>
                    <w:t>Belconnen ACT 2616</w:t>
                  </w:r>
                </w:p>
                <w:p w14:paraId="1B74615A" w14:textId="77777777" w:rsidR="004151A7" w:rsidRPr="001E2783" w:rsidRDefault="004151A7" w:rsidP="004151A7">
                  <w:pPr>
                    <w:pStyle w:val="CorporateAddresses"/>
                    <w:rPr>
                      <w:rFonts w:cs="Arial"/>
                      <w:color w:val="auto"/>
                    </w:rPr>
                  </w:pPr>
                </w:p>
                <w:p w14:paraId="5AC767A0" w14:textId="77777777" w:rsidR="002B381A" w:rsidRPr="001E2783" w:rsidRDefault="002B381A" w:rsidP="004151A7">
                  <w:pPr>
                    <w:pStyle w:val="CorporateAddresses"/>
                    <w:rPr>
                      <w:rFonts w:cs="Arial"/>
                      <w:color w:val="auto"/>
                    </w:rPr>
                  </w:pPr>
                </w:p>
                <w:p w14:paraId="2EDF4C3A" w14:textId="77777777" w:rsidR="004151A7" w:rsidRPr="001E2783" w:rsidRDefault="004151A7" w:rsidP="004151A7">
                  <w:pPr>
                    <w:pStyle w:val="CorporateAddresses"/>
                    <w:rPr>
                      <w:rFonts w:cs="Arial"/>
                      <w:color w:val="auto"/>
                    </w:rPr>
                  </w:pPr>
                  <w:r w:rsidRPr="001E2783">
                    <w:rPr>
                      <w:rFonts w:cs="Arial"/>
                      <w:color w:val="auto"/>
                    </w:rPr>
                    <w:t xml:space="preserve">T </w:t>
                  </w:r>
                  <w:r w:rsidR="00111FCE" w:rsidRPr="001E2783">
                    <w:rPr>
                      <w:rFonts w:cs="Arial"/>
                      <w:color w:val="auto"/>
                    </w:rPr>
                    <w:t xml:space="preserve"> </w:t>
                  </w:r>
                  <w:r w:rsidRPr="001E2783">
                    <w:rPr>
                      <w:rFonts w:cs="Arial"/>
                      <w:color w:val="auto"/>
                    </w:rPr>
                    <w:t>+61 2 6219 5555</w:t>
                  </w:r>
                </w:p>
                <w:p w14:paraId="477C2483" w14:textId="77777777" w:rsidR="004151A7" w:rsidRPr="001E2783" w:rsidRDefault="004151A7" w:rsidP="004151A7">
                  <w:pPr>
                    <w:pStyle w:val="CorporateAddresses"/>
                    <w:rPr>
                      <w:rFonts w:cs="Arial"/>
                      <w:color w:val="auto"/>
                    </w:rPr>
                  </w:pPr>
                  <w:r w:rsidRPr="001E2783">
                    <w:rPr>
                      <w:rFonts w:cs="Arial"/>
                      <w:color w:val="auto"/>
                    </w:rPr>
                    <w:t xml:space="preserve">F </w:t>
                  </w:r>
                  <w:r w:rsidR="00111FCE" w:rsidRPr="001E2783">
                    <w:rPr>
                      <w:rFonts w:cs="Arial"/>
                      <w:color w:val="auto"/>
                    </w:rPr>
                    <w:t xml:space="preserve"> </w:t>
                  </w:r>
                  <w:r w:rsidRPr="001E2783">
                    <w:rPr>
                      <w:rFonts w:cs="Arial"/>
                      <w:color w:val="auto"/>
                    </w:rPr>
                    <w:t>+61 2 6219 5353</w:t>
                  </w:r>
                </w:p>
              </w:tc>
              <w:tc>
                <w:tcPr>
                  <w:tcW w:w="1694" w:type="dxa"/>
                  <w:shd w:val="clear" w:color="auto" w:fill="auto"/>
                </w:tcPr>
                <w:p w14:paraId="00918E76" w14:textId="77777777" w:rsidR="004151A7" w:rsidRPr="001E2783" w:rsidRDefault="004151A7" w:rsidP="004151A7">
                  <w:pPr>
                    <w:pStyle w:val="CorporateAddresses"/>
                    <w:rPr>
                      <w:rFonts w:cs="Arial"/>
                      <w:b/>
                      <w:color w:val="auto"/>
                    </w:rPr>
                  </w:pPr>
                  <w:r w:rsidRPr="001E2783">
                    <w:rPr>
                      <w:rFonts w:cs="Arial"/>
                      <w:b/>
                      <w:color w:val="auto"/>
                    </w:rPr>
                    <w:t>Melbourne</w:t>
                  </w:r>
                </w:p>
                <w:p w14:paraId="6B12E250" w14:textId="77777777" w:rsidR="004151A7" w:rsidRPr="001E2783" w:rsidRDefault="00CA5539" w:rsidP="004151A7">
                  <w:pPr>
                    <w:pStyle w:val="CorporateAddresses"/>
                    <w:rPr>
                      <w:rFonts w:cs="Arial"/>
                      <w:color w:val="auto"/>
                    </w:rPr>
                  </w:pPr>
                  <w:r w:rsidRPr="001E2783">
                    <w:rPr>
                      <w:rFonts w:cs="Arial"/>
                      <w:color w:val="auto"/>
                    </w:rPr>
                    <w:t>Level 32</w:t>
                  </w:r>
                  <w:r w:rsidR="004151A7" w:rsidRPr="001E2783">
                    <w:rPr>
                      <w:rFonts w:cs="Arial"/>
                      <w:color w:val="auto"/>
                    </w:rPr>
                    <w:t xml:space="preserve">  </w:t>
                  </w:r>
                </w:p>
                <w:p w14:paraId="4E80FFAA" w14:textId="77777777" w:rsidR="004151A7" w:rsidRPr="001E2783" w:rsidRDefault="004151A7" w:rsidP="004151A7">
                  <w:pPr>
                    <w:pStyle w:val="CorporateAddresses"/>
                    <w:rPr>
                      <w:rFonts w:cs="Arial"/>
                      <w:color w:val="auto"/>
                    </w:rPr>
                  </w:pPr>
                  <w:r w:rsidRPr="001E2783">
                    <w:rPr>
                      <w:rFonts w:cs="Arial"/>
                      <w:color w:val="auto"/>
                    </w:rPr>
                    <w:t>Melbourne Central Tower</w:t>
                  </w:r>
                </w:p>
                <w:p w14:paraId="45DCF1A7" w14:textId="77777777" w:rsidR="004151A7" w:rsidRPr="001E2783" w:rsidRDefault="004151A7" w:rsidP="004151A7">
                  <w:pPr>
                    <w:pStyle w:val="CorporateAddresses"/>
                    <w:rPr>
                      <w:rFonts w:cs="Arial"/>
                      <w:color w:val="auto"/>
                    </w:rPr>
                  </w:pPr>
                  <w:r w:rsidRPr="001E2783">
                    <w:rPr>
                      <w:rFonts w:cs="Arial"/>
                      <w:color w:val="auto"/>
                    </w:rPr>
                    <w:t>360 Elizabeth Street  Melbourne VIC</w:t>
                  </w:r>
                </w:p>
                <w:p w14:paraId="482F65CA" w14:textId="77777777" w:rsidR="004151A7" w:rsidRPr="001E2783" w:rsidRDefault="004151A7" w:rsidP="004151A7">
                  <w:pPr>
                    <w:pStyle w:val="CorporateAddresses"/>
                    <w:rPr>
                      <w:rFonts w:cs="Arial"/>
                      <w:color w:val="auto"/>
                    </w:rPr>
                  </w:pPr>
                </w:p>
                <w:p w14:paraId="5D60D338" w14:textId="77777777" w:rsidR="004151A7" w:rsidRPr="001E2783" w:rsidRDefault="004151A7" w:rsidP="004151A7">
                  <w:pPr>
                    <w:pStyle w:val="CorporateAddresses"/>
                    <w:rPr>
                      <w:rFonts w:cs="Arial"/>
                      <w:color w:val="auto"/>
                    </w:rPr>
                  </w:pPr>
                  <w:r w:rsidRPr="001E2783">
                    <w:rPr>
                      <w:rFonts w:cs="Arial"/>
                      <w:color w:val="auto"/>
                    </w:rPr>
                    <w:t>PO Box 13112</w:t>
                  </w:r>
                </w:p>
                <w:p w14:paraId="6693E734" w14:textId="77777777" w:rsidR="004151A7" w:rsidRPr="001E2783" w:rsidRDefault="004151A7" w:rsidP="004151A7">
                  <w:pPr>
                    <w:pStyle w:val="CorporateAddresses"/>
                    <w:rPr>
                      <w:rFonts w:cs="Arial"/>
                      <w:color w:val="auto"/>
                    </w:rPr>
                  </w:pPr>
                  <w:r w:rsidRPr="001E2783">
                    <w:rPr>
                      <w:rFonts w:cs="Arial"/>
                      <w:color w:val="auto"/>
                    </w:rPr>
                    <w:t xml:space="preserve">Law Courts  </w:t>
                  </w:r>
                </w:p>
                <w:p w14:paraId="5319AA41" w14:textId="77777777" w:rsidR="004151A7" w:rsidRPr="001E2783" w:rsidRDefault="004151A7" w:rsidP="004151A7">
                  <w:pPr>
                    <w:pStyle w:val="CorporateAddresses"/>
                    <w:rPr>
                      <w:rFonts w:cs="Arial"/>
                      <w:color w:val="auto"/>
                    </w:rPr>
                  </w:pPr>
                  <w:r w:rsidRPr="001E2783">
                    <w:rPr>
                      <w:rFonts w:cs="Arial"/>
                      <w:color w:val="auto"/>
                    </w:rPr>
                    <w:t>Melbourne VIC 8010</w:t>
                  </w:r>
                </w:p>
                <w:p w14:paraId="1AA55CD4" w14:textId="77777777" w:rsidR="004151A7" w:rsidRPr="001E2783" w:rsidRDefault="004151A7" w:rsidP="004151A7">
                  <w:pPr>
                    <w:pStyle w:val="CorporateAddresses"/>
                    <w:rPr>
                      <w:rFonts w:cs="Arial"/>
                      <w:color w:val="auto"/>
                    </w:rPr>
                  </w:pPr>
                </w:p>
                <w:p w14:paraId="54E6E2FE" w14:textId="77777777" w:rsidR="004151A7" w:rsidRPr="001E2783" w:rsidRDefault="004151A7" w:rsidP="004151A7">
                  <w:pPr>
                    <w:pStyle w:val="CorporateAddresses"/>
                    <w:rPr>
                      <w:rFonts w:cs="Arial"/>
                      <w:color w:val="auto"/>
                    </w:rPr>
                  </w:pPr>
                  <w:r w:rsidRPr="001E2783">
                    <w:rPr>
                      <w:rFonts w:cs="Arial"/>
                      <w:color w:val="auto"/>
                    </w:rPr>
                    <w:t xml:space="preserve">T </w:t>
                  </w:r>
                  <w:r w:rsidR="00111FCE" w:rsidRPr="001E2783">
                    <w:rPr>
                      <w:rFonts w:cs="Arial"/>
                      <w:color w:val="auto"/>
                    </w:rPr>
                    <w:t xml:space="preserve"> </w:t>
                  </w:r>
                  <w:r w:rsidRPr="001E2783">
                    <w:rPr>
                      <w:rFonts w:cs="Arial"/>
                      <w:color w:val="auto"/>
                    </w:rPr>
                    <w:t>+61 3 9963 6800</w:t>
                  </w:r>
                </w:p>
                <w:p w14:paraId="389F0A08" w14:textId="77777777" w:rsidR="004151A7" w:rsidRPr="001E2783" w:rsidRDefault="004151A7" w:rsidP="004151A7">
                  <w:pPr>
                    <w:pStyle w:val="CorporateAddresses"/>
                    <w:rPr>
                      <w:rFonts w:cs="Arial"/>
                      <w:color w:val="auto"/>
                    </w:rPr>
                  </w:pPr>
                  <w:r w:rsidRPr="001E2783">
                    <w:rPr>
                      <w:rFonts w:cs="Arial"/>
                      <w:color w:val="auto"/>
                    </w:rPr>
                    <w:t xml:space="preserve">F </w:t>
                  </w:r>
                  <w:r w:rsidR="00111FCE" w:rsidRPr="001E2783">
                    <w:rPr>
                      <w:rFonts w:cs="Arial"/>
                      <w:color w:val="auto"/>
                    </w:rPr>
                    <w:t xml:space="preserve"> </w:t>
                  </w:r>
                  <w:r w:rsidRPr="001E2783">
                    <w:rPr>
                      <w:rFonts w:cs="Arial"/>
                      <w:color w:val="auto"/>
                    </w:rPr>
                    <w:t>+61 3 9963 6899</w:t>
                  </w:r>
                </w:p>
              </w:tc>
              <w:tc>
                <w:tcPr>
                  <w:tcW w:w="1764" w:type="dxa"/>
                  <w:shd w:val="clear" w:color="auto" w:fill="auto"/>
                </w:tcPr>
                <w:p w14:paraId="4850B3FD" w14:textId="77777777" w:rsidR="004151A7" w:rsidRPr="001E2783" w:rsidRDefault="004151A7" w:rsidP="004151A7">
                  <w:pPr>
                    <w:pStyle w:val="CorporateAddresses"/>
                    <w:rPr>
                      <w:rFonts w:cs="Arial"/>
                      <w:b/>
                      <w:color w:val="auto"/>
                    </w:rPr>
                  </w:pPr>
                  <w:r w:rsidRPr="001E2783">
                    <w:rPr>
                      <w:rFonts w:cs="Arial"/>
                      <w:b/>
                      <w:color w:val="auto"/>
                    </w:rPr>
                    <w:t>Sydney</w:t>
                  </w:r>
                </w:p>
                <w:p w14:paraId="5B15DE01" w14:textId="77777777" w:rsidR="004151A7" w:rsidRPr="001E2783" w:rsidRDefault="00AF63E7" w:rsidP="004151A7">
                  <w:pPr>
                    <w:pStyle w:val="CorporateAddresses"/>
                    <w:rPr>
                      <w:rFonts w:cs="Arial"/>
                      <w:color w:val="auto"/>
                    </w:rPr>
                  </w:pPr>
                  <w:r w:rsidRPr="001E2783">
                    <w:rPr>
                      <w:rFonts w:cs="Arial"/>
                      <w:color w:val="auto"/>
                    </w:rPr>
                    <w:t>Level 5</w:t>
                  </w:r>
                  <w:r w:rsidR="004151A7" w:rsidRPr="001E2783">
                    <w:rPr>
                      <w:rFonts w:cs="Arial"/>
                      <w:color w:val="auto"/>
                    </w:rPr>
                    <w:t xml:space="preserve">  </w:t>
                  </w:r>
                </w:p>
                <w:p w14:paraId="70F2B82F" w14:textId="77777777" w:rsidR="004151A7" w:rsidRPr="001E2783" w:rsidRDefault="00AF63E7" w:rsidP="004151A7">
                  <w:pPr>
                    <w:pStyle w:val="CorporateAddresses"/>
                    <w:rPr>
                      <w:rFonts w:cs="Arial"/>
                      <w:color w:val="auto"/>
                    </w:rPr>
                  </w:pPr>
                  <w:r w:rsidRPr="001E2783">
                    <w:rPr>
                      <w:rFonts w:cs="Arial"/>
                      <w:color w:val="auto"/>
                    </w:rPr>
                    <w:t>The Bay Centre</w:t>
                  </w:r>
                </w:p>
                <w:p w14:paraId="2A90CB87" w14:textId="77777777" w:rsidR="004151A7" w:rsidRPr="001E2783" w:rsidRDefault="00AF63E7" w:rsidP="004151A7">
                  <w:pPr>
                    <w:pStyle w:val="CorporateAddresses"/>
                    <w:rPr>
                      <w:rFonts w:cs="Arial"/>
                      <w:color w:val="auto"/>
                    </w:rPr>
                  </w:pPr>
                  <w:r w:rsidRPr="001E2783">
                    <w:rPr>
                      <w:rFonts w:cs="Arial"/>
                      <w:color w:val="auto"/>
                    </w:rPr>
                    <w:t>65 Pirrama Road</w:t>
                  </w:r>
                  <w:r w:rsidR="004151A7" w:rsidRPr="001E2783">
                    <w:rPr>
                      <w:rFonts w:cs="Arial"/>
                      <w:color w:val="auto"/>
                    </w:rPr>
                    <w:t xml:space="preserve">  </w:t>
                  </w:r>
                </w:p>
                <w:p w14:paraId="0FDCB59D" w14:textId="77777777" w:rsidR="004151A7" w:rsidRPr="001E2783" w:rsidRDefault="00AF63E7" w:rsidP="004151A7">
                  <w:pPr>
                    <w:pStyle w:val="CorporateAddresses"/>
                    <w:rPr>
                      <w:rFonts w:cs="Arial"/>
                      <w:color w:val="auto"/>
                    </w:rPr>
                  </w:pPr>
                  <w:r w:rsidRPr="001E2783">
                    <w:rPr>
                      <w:rFonts w:cs="Arial"/>
                      <w:color w:val="auto"/>
                    </w:rPr>
                    <w:t>Pyrmont</w:t>
                  </w:r>
                  <w:r w:rsidR="004151A7" w:rsidRPr="001E2783">
                    <w:rPr>
                      <w:rFonts w:cs="Arial"/>
                      <w:color w:val="auto"/>
                    </w:rPr>
                    <w:t xml:space="preserve"> NSW</w:t>
                  </w:r>
                </w:p>
                <w:p w14:paraId="21300B06" w14:textId="77777777" w:rsidR="004151A7" w:rsidRPr="001E2783" w:rsidRDefault="004151A7" w:rsidP="004151A7">
                  <w:pPr>
                    <w:pStyle w:val="CorporateAddresses"/>
                    <w:rPr>
                      <w:rFonts w:cs="Arial"/>
                      <w:color w:val="auto"/>
                    </w:rPr>
                  </w:pPr>
                </w:p>
                <w:p w14:paraId="4B23A77E" w14:textId="77777777" w:rsidR="004151A7" w:rsidRPr="001E2783" w:rsidRDefault="004151A7" w:rsidP="004151A7">
                  <w:pPr>
                    <w:pStyle w:val="CorporateAddresses"/>
                    <w:rPr>
                      <w:rFonts w:cs="Arial"/>
                      <w:color w:val="auto"/>
                    </w:rPr>
                  </w:pPr>
                  <w:r w:rsidRPr="001E2783">
                    <w:rPr>
                      <w:rFonts w:cs="Arial"/>
                      <w:color w:val="auto"/>
                    </w:rPr>
                    <w:t>PO Box Q500</w:t>
                  </w:r>
                </w:p>
                <w:p w14:paraId="31DD5D19" w14:textId="77777777" w:rsidR="004151A7" w:rsidRPr="001E2783" w:rsidRDefault="004151A7" w:rsidP="004151A7">
                  <w:pPr>
                    <w:pStyle w:val="CorporateAddresses"/>
                    <w:rPr>
                      <w:rFonts w:cs="Arial"/>
                      <w:color w:val="auto"/>
                    </w:rPr>
                  </w:pPr>
                  <w:r w:rsidRPr="001E2783">
                    <w:rPr>
                      <w:rFonts w:cs="Arial"/>
                      <w:color w:val="auto"/>
                    </w:rPr>
                    <w:t xml:space="preserve">Queen Victoria Building  </w:t>
                  </w:r>
                </w:p>
                <w:p w14:paraId="14495722" w14:textId="77777777" w:rsidR="004151A7" w:rsidRPr="001E2783" w:rsidRDefault="004151A7" w:rsidP="004151A7">
                  <w:pPr>
                    <w:pStyle w:val="CorporateAddresses"/>
                    <w:rPr>
                      <w:rFonts w:cs="Arial"/>
                      <w:color w:val="auto"/>
                    </w:rPr>
                  </w:pPr>
                  <w:r w:rsidRPr="001E2783">
                    <w:rPr>
                      <w:rFonts w:cs="Arial"/>
                      <w:color w:val="auto"/>
                    </w:rPr>
                    <w:t>NSW 1230</w:t>
                  </w:r>
                </w:p>
                <w:p w14:paraId="5CA07F07" w14:textId="77777777" w:rsidR="004151A7" w:rsidRPr="001E2783" w:rsidRDefault="004151A7" w:rsidP="004151A7">
                  <w:pPr>
                    <w:pStyle w:val="CorporateAddresses"/>
                    <w:rPr>
                      <w:rFonts w:cs="Arial"/>
                      <w:color w:val="auto"/>
                    </w:rPr>
                  </w:pPr>
                </w:p>
                <w:p w14:paraId="14361AEB" w14:textId="77777777" w:rsidR="004151A7" w:rsidRPr="001E2783" w:rsidRDefault="004151A7" w:rsidP="004151A7">
                  <w:pPr>
                    <w:pStyle w:val="CorporateAddresses"/>
                    <w:rPr>
                      <w:rFonts w:cs="Arial"/>
                      <w:color w:val="auto"/>
                    </w:rPr>
                  </w:pPr>
                  <w:r w:rsidRPr="001E2783">
                    <w:rPr>
                      <w:rFonts w:cs="Arial"/>
                      <w:color w:val="auto"/>
                    </w:rPr>
                    <w:t xml:space="preserve">T </w:t>
                  </w:r>
                  <w:r w:rsidR="00111FCE" w:rsidRPr="001E2783">
                    <w:rPr>
                      <w:rFonts w:cs="Arial"/>
                      <w:color w:val="auto"/>
                    </w:rPr>
                    <w:t xml:space="preserve"> </w:t>
                  </w:r>
                  <w:r w:rsidRPr="001E2783">
                    <w:rPr>
                      <w:rFonts w:cs="Arial"/>
                      <w:color w:val="auto"/>
                    </w:rPr>
                    <w:t xml:space="preserve">+61 2 9334 7700  </w:t>
                  </w:r>
                </w:p>
                <w:p w14:paraId="7AB36802" w14:textId="77777777" w:rsidR="004151A7" w:rsidRPr="001E2783" w:rsidRDefault="00111FCE" w:rsidP="00915B1C">
                  <w:pPr>
                    <w:pStyle w:val="CorporateAddresses"/>
                    <w:spacing w:after="28"/>
                    <w:rPr>
                      <w:rFonts w:cs="Arial"/>
                      <w:color w:val="auto"/>
                    </w:rPr>
                  </w:pPr>
                  <w:r w:rsidRPr="001E2783">
                    <w:rPr>
                      <w:rFonts w:cs="Arial"/>
                      <w:color w:val="auto"/>
                    </w:rPr>
                    <w:t xml:space="preserve">    </w:t>
                  </w:r>
                  <w:r w:rsidR="004151A7" w:rsidRPr="001E2783">
                    <w:rPr>
                      <w:rFonts w:cs="Arial"/>
                      <w:color w:val="auto"/>
                    </w:rPr>
                    <w:t>1800 226 667</w:t>
                  </w:r>
                </w:p>
                <w:p w14:paraId="4FAA0F3C" w14:textId="77777777" w:rsidR="004151A7" w:rsidRPr="001E2783" w:rsidRDefault="004151A7" w:rsidP="004151A7">
                  <w:pPr>
                    <w:pStyle w:val="CorporateAddresses"/>
                    <w:rPr>
                      <w:rFonts w:cs="Arial"/>
                      <w:color w:val="auto"/>
                    </w:rPr>
                  </w:pPr>
                  <w:r w:rsidRPr="001E2783">
                    <w:rPr>
                      <w:rFonts w:cs="Arial"/>
                      <w:color w:val="auto"/>
                    </w:rPr>
                    <w:t xml:space="preserve">F </w:t>
                  </w:r>
                  <w:r w:rsidR="00111FCE" w:rsidRPr="001E2783">
                    <w:rPr>
                      <w:rFonts w:cs="Arial"/>
                      <w:color w:val="auto"/>
                    </w:rPr>
                    <w:t xml:space="preserve"> </w:t>
                  </w:r>
                  <w:r w:rsidRPr="001E2783">
                    <w:rPr>
                      <w:rFonts w:cs="Arial"/>
                      <w:color w:val="auto"/>
                    </w:rPr>
                    <w:t>+61 2 9334 7799</w:t>
                  </w:r>
                </w:p>
              </w:tc>
              <w:tc>
                <w:tcPr>
                  <w:tcW w:w="2011" w:type="dxa"/>
                  <w:shd w:val="clear" w:color="auto" w:fill="auto"/>
                </w:tcPr>
                <w:p w14:paraId="4A174A09" w14:textId="77777777" w:rsidR="004151A7" w:rsidRPr="001E2783" w:rsidRDefault="004151A7" w:rsidP="004151A7">
                  <w:pPr>
                    <w:pStyle w:val="CorporateAddresses"/>
                    <w:rPr>
                      <w:rFonts w:cs="Arial"/>
                      <w:color w:val="auto"/>
                    </w:rPr>
                  </w:pPr>
                </w:p>
              </w:tc>
              <w:tc>
                <w:tcPr>
                  <w:tcW w:w="2012" w:type="dxa"/>
                  <w:shd w:val="clear" w:color="auto" w:fill="auto"/>
                </w:tcPr>
                <w:p w14:paraId="7A8021EB" w14:textId="77777777" w:rsidR="004151A7" w:rsidRPr="001E2783" w:rsidRDefault="004151A7" w:rsidP="004151A7">
                  <w:pPr>
                    <w:pStyle w:val="CorporateAddresses"/>
                    <w:rPr>
                      <w:rFonts w:cs="Arial"/>
                      <w:color w:val="auto"/>
                    </w:rPr>
                  </w:pPr>
                </w:p>
              </w:tc>
            </w:tr>
          </w:tbl>
          <w:p w14:paraId="08E7873D" w14:textId="77777777" w:rsidR="00C64CD0" w:rsidRPr="001E2783" w:rsidRDefault="00C64CD0" w:rsidP="00E54AEA">
            <w:pPr>
              <w:pStyle w:val="CorporateAddresses"/>
              <w:rPr>
                <w:rFonts w:cs="Arial"/>
                <w:color w:val="auto"/>
              </w:rPr>
            </w:pPr>
          </w:p>
        </w:tc>
      </w:tr>
      <w:tr w:rsidR="001E2783" w:rsidRPr="001E2783" w14:paraId="072C0D44" w14:textId="77777777" w:rsidTr="006E4B1B">
        <w:trPr>
          <w:trHeight w:hRule="exact" w:val="6080"/>
        </w:trPr>
        <w:tc>
          <w:tcPr>
            <w:tcW w:w="8987" w:type="dxa"/>
            <w:shd w:val="clear" w:color="auto" w:fill="auto"/>
            <w:vAlign w:val="bottom"/>
          </w:tcPr>
          <w:p w14:paraId="589A148C" w14:textId="77777777" w:rsidR="00E54AEA" w:rsidRPr="001E2783" w:rsidRDefault="00E54AEA" w:rsidP="00E54AEA">
            <w:pPr>
              <w:pStyle w:val="Copyright"/>
              <w:rPr>
                <w:rFonts w:cs="Arial"/>
                <w:b/>
                <w:color w:val="auto"/>
                <w:sz w:val="16"/>
                <w:szCs w:val="16"/>
              </w:rPr>
            </w:pPr>
            <w:r w:rsidRPr="001E2783">
              <w:rPr>
                <w:rFonts w:cs="Arial"/>
                <w:b/>
                <w:color w:val="auto"/>
                <w:sz w:val="16"/>
                <w:szCs w:val="16"/>
              </w:rPr>
              <w:t>Copyright notice</w:t>
            </w:r>
          </w:p>
          <w:p w14:paraId="2A131122" w14:textId="77777777" w:rsidR="00E54AEA" w:rsidRPr="001E2783" w:rsidRDefault="00E54AEA" w:rsidP="00E54AEA">
            <w:pPr>
              <w:pStyle w:val="Copyright"/>
              <w:rPr>
                <w:rFonts w:cs="Arial"/>
                <w:b/>
                <w:color w:val="auto"/>
                <w:sz w:val="16"/>
                <w:szCs w:val="16"/>
              </w:rPr>
            </w:pPr>
          </w:p>
          <w:p w14:paraId="388509C3" w14:textId="77777777" w:rsidR="00E54AEA" w:rsidRPr="001E2783" w:rsidRDefault="00E54AEA" w:rsidP="00E54AEA">
            <w:pPr>
              <w:pStyle w:val="Copyright"/>
              <w:rPr>
                <w:rFonts w:cs="Arial"/>
                <w:b/>
                <w:color w:val="auto"/>
                <w:sz w:val="16"/>
                <w:szCs w:val="16"/>
              </w:rPr>
            </w:pPr>
          </w:p>
          <w:p w14:paraId="62D45175" w14:textId="77777777" w:rsidR="00E54AEA" w:rsidRPr="001E2783" w:rsidRDefault="00E54AEA" w:rsidP="00E54AEA">
            <w:pPr>
              <w:pStyle w:val="Copyright"/>
              <w:rPr>
                <w:rFonts w:cs="Arial"/>
                <w:b/>
                <w:color w:val="auto"/>
                <w:sz w:val="16"/>
                <w:szCs w:val="16"/>
              </w:rPr>
            </w:pPr>
          </w:p>
          <w:p w14:paraId="0645EA9F" w14:textId="77777777" w:rsidR="00E54AEA" w:rsidRPr="001E2783" w:rsidRDefault="00E54AEA" w:rsidP="00E54AEA">
            <w:pPr>
              <w:pStyle w:val="Copyright"/>
              <w:rPr>
                <w:rFonts w:cs="Arial"/>
                <w:b/>
                <w:color w:val="auto"/>
                <w:sz w:val="16"/>
                <w:szCs w:val="16"/>
              </w:rPr>
            </w:pPr>
            <w:r w:rsidRPr="001E2783">
              <w:rPr>
                <w:rFonts w:cs="Arial"/>
                <w:noProof/>
                <w:color w:val="auto"/>
              </w:rPr>
              <w:drawing>
                <wp:anchor distT="0" distB="0" distL="114300" distR="114300" simplePos="0" relativeHeight="251659264" behindDoc="0" locked="0" layoutInCell="1" allowOverlap="1" wp14:anchorId="2E22CC1B" wp14:editId="07FCECF9">
                  <wp:simplePos x="0" y="0"/>
                  <wp:positionH relativeFrom="column">
                    <wp:posOffset>3175</wp:posOffset>
                  </wp:positionH>
                  <wp:positionV relativeFrom="paragraph">
                    <wp:posOffset>-217805</wp:posOffset>
                  </wp:positionV>
                  <wp:extent cx="838200" cy="295275"/>
                  <wp:effectExtent l="19050" t="0" r="0" b="0"/>
                  <wp:wrapNone/>
                  <wp:docPr id="12" name="Picture 2" descr="by">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anchor>
              </w:drawing>
            </w:r>
          </w:p>
          <w:p w14:paraId="43468591" w14:textId="77777777" w:rsidR="00E54AEA" w:rsidRPr="001E2783" w:rsidRDefault="00E54AEA" w:rsidP="00E54AEA">
            <w:pPr>
              <w:pStyle w:val="Copyright"/>
              <w:rPr>
                <w:rFonts w:cs="Arial"/>
                <w:color w:val="auto"/>
              </w:rPr>
            </w:pPr>
          </w:p>
          <w:p w14:paraId="037EE12C" w14:textId="77777777" w:rsidR="00E54AEA" w:rsidRPr="00311E08" w:rsidRDefault="00311E08" w:rsidP="00E54AEA">
            <w:pPr>
              <w:pStyle w:val="Copyright"/>
              <w:rPr>
                <w:rStyle w:val="Hyperlink"/>
              </w:rPr>
            </w:pPr>
            <w:hyperlink r:id="rId16" w:history="1">
              <w:r w:rsidR="00E54AEA" w:rsidRPr="00311E08">
                <w:rPr>
                  <w:rStyle w:val="Hyperlink"/>
                  <w:rFonts w:cs="Arial"/>
                </w:rPr>
                <w:t>http://creativecommons.org/licenses/by/3.0/au/</w:t>
              </w:r>
            </w:hyperlink>
          </w:p>
          <w:p w14:paraId="35911220" w14:textId="77777777" w:rsidR="00E54AEA" w:rsidRPr="001E2783" w:rsidRDefault="00E54AEA" w:rsidP="00E54AEA">
            <w:pPr>
              <w:pStyle w:val="Copyright"/>
              <w:rPr>
                <w:rFonts w:cs="Arial"/>
                <w:color w:val="auto"/>
              </w:rPr>
            </w:pPr>
          </w:p>
          <w:p w14:paraId="197137DC" w14:textId="77777777" w:rsidR="00E54AEA" w:rsidRPr="001E2783" w:rsidRDefault="00E54AEA" w:rsidP="00E54AEA">
            <w:pPr>
              <w:pStyle w:val="Copyright"/>
              <w:ind w:right="1519"/>
              <w:rPr>
                <w:rFonts w:cs="Arial"/>
                <w:color w:val="auto"/>
              </w:rPr>
            </w:pPr>
            <w:r w:rsidRPr="001E2783">
              <w:rPr>
                <w:rFonts w:cs="Arial"/>
                <w:color w:val="auto"/>
              </w:rPr>
              <w:t xml:space="preserve">With the exception of coats of arms, logos, emblems, images, other third-party material or devices protected by a trademark, this content is licensed under the Creative Commons Australia Attribution 3.0 Licence. </w:t>
            </w:r>
          </w:p>
          <w:p w14:paraId="2778AB6B" w14:textId="77777777" w:rsidR="00E54AEA" w:rsidRPr="001E2783" w:rsidRDefault="00E54AEA" w:rsidP="00E54AEA">
            <w:pPr>
              <w:pStyle w:val="Copyright"/>
              <w:rPr>
                <w:rFonts w:cs="Arial"/>
                <w:color w:val="auto"/>
              </w:rPr>
            </w:pPr>
          </w:p>
          <w:p w14:paraId="5B55000F" w14:textId="77777777" w:rsidR="00E54AEA" w:rsidRPr="001E2783" w:rsidRDefault="00E54AEA" w:rsidP="00E54AEA">
            <w:pPr>
              <w:pStyle w:val="Copyright"/>
              <w:rPr>
                <w:rFonts w:cs="Arial"/>
                <w:color w:val="auto"/>
              </w:rPr>
            </w:pPr>
            <w:r w:rsidRPr="001E2783">
              <w:rPr>
                <w:rFonts w:cs="Arial"/>
                <w:color w:val="auto"/>
              </w:rPr>
              <w:t>We request attribution as: © Commonwealth of Australia (Australian Communic</w:t>
            </w:r>
            <w:r w:rsidR="00CA5539" w:rsidRPr="001E2783">
              <w:rPr>
                <w:rFonts w:cs="Arial"/>
                <w:color w:val="auto"/>
              </w:rPr>
              <w:t>ations and Media Authority) 2014</w:t>
            </w:r>
            <w:r w:rsidRPr="001E2783">
              <w:rPr>
                <w:rFonts w:cs="Arial"/>
                <w:color w:val="auto"/>
              </w:rPr>
              <w:t>.</w:t>
            </w:r>
          </w:p>
          <w:p w14:paraId="66F037A2" w14:textId="77777777" w:rsidR="00E54AEA" w:rsidRPr="001E2783" w:rsidRDefault="00E54AEA" w:rsidP="00E54AEA">
            <w:pPr>
              <w:pStyle w:val="Copyright"/>
              <w:rPr>
                <w:rFonts w:cs="Arial"/>
                <w:color w:val="auto"/>
              </w:rPr>
            </w:pPr>
          </w:p>
          <w:p w14:paraId="2893292E" w14:textId="77777777" w:rsidR="00E54AEA" w:rsidRPr="001E2783" w:rsidRDefault="00E54AEA" w:rsidP="00E54AEA">
            <w:pPr>
              <w:pStyle w:val="Copyright"/>
              <w:rPr>
                <w:rFonts w:cs="Arial"/>
                <w:color w:val="auto"/>
              </w:rPr>
            </w:pPr>
            <w:r w:rsidRPr="001E2783">
              <w:rPr>
                <w:rFonts w:cs="Arial"/>
                <w:color w:val="auto"/>
              </w:rPr>
              <w:t xml:space="preserve">All other rights are reserved.  </w:t>
            </w:r>
          </w:p>
          <w:p w14:paraId="309F8FB2" w14:textId="77777777" w:rsidR="00E54AEA" w:rsidRPr="001E2783" w:rsidRDefault="00E54AEA" w:rsidP="00E54AEA">
            <w:pPr>
              <w:pStyle w:val="Copyright"/>
              <w:ind w:right="2511"/>
              <w:rPr>
                <w:rFonts w:cs="Arial"/>
                <w:color w:val="auto"/>
              </w:rPr>
            </w:pPr>
          </w:p>
          <w:p w14:paraId="74586C2A" w14:textId="77777777" w:rsidR="00E54AEA" w:rsidRPr="001E2783" w:rsidRDefault="00E54AEA" w:rsidP="00E54AEA">
            <w:pPr>
              <w:pStyle w:val="Copyright"/>
              <w:rPr>
                <w:rFonts w:cs="Arial"/>
                <w:color w:val="auto"/>
              </w:rPr>
            </w:pPr>
            <w:r w:rsidRPr="001E2783">
              <w:rPr>
                <w:rFonts w:cs="Arial"/>
                <w:color w:val="auto"/>
              </w:rP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7F3A728D" w14:textId="77777777" w:rsidR="00E54AEA" w:rsidRPr="001E2783" w:rsidRDefault="00E54AEA" w:rsidP="00E54AEA">
            <w:pPr>
              <w:pStyle w:val="Copyright"/>
              <w:rPr>
                <w:rFonts w:cs="Arial"/>
                <w:color w:val="auto"/>
              </w:rPr>
            </w:pPr>
          </w:p>
          <w:p w14:paraId="00498FA0" w14:textId="77777777" w:rsidR="00E54AEA" w:rsidRPr="001E2783" w:rsidRDefault="00E54AEA" w:rsidP="00E54AEA">
            <w:pPr>
              <w:pStyle w:val="Copyright"/>
              <w:spacing w:after="80"/>
              <w:rPr>
                <w:rFonts w:cs="Arial"/>
                <w:color w:val="auto"/>
              </w:rPr>
            </w:pPr>
            <w:r w:rsidRPr="001E2783">
              <w:rPr>
                <w:rFonts w:cs="Arial"/>
                <w:color w:val="auto"/>
              </w:rPr>
              <w:t>Written enquiries may be sent to:</w:t>
            </w:r>
          </w:p>
          <w:p w14:paraId="21179F1B" w14:textId="77777777" w:rsidR="00E54AEA" w:rsidRPr="001E2783" w:rsidRDefault="00E54AEA" w:rsidP="00E54AEA">
            <w:pPr>
              <w:pStyle w:val="Copyright"/>
              <w:rPr>
                <w:rFonts w:cs="Arial"/>
                <w:color w:val="auto"/>
              </w:rPr>
            </w:pPr>
            <w:r w:rsidRPr="001E2783">
              <w:rPr>
                <w:rFonts w:cs="Arial"/>
                <w:color w:val="auto"/>
              </w:rPr>
              <w:t>Manager, Editorial Services</w:t>
            </w:r>
          </w:p>
          <w:p w14:paraId="223F8835" w14:textId="77777777" w:rsidR="00E54AEA" w:rsidRPr="001E2783" w:rsidRDefault="00E54AEA" w:rsidP="00E54AEA">
            <w:pPr>
              <w:pStyle w:val="Copyright"/>
              <w:rPr>
                <w:rFonts w:cs="Arial"/>
                <w:color w:val="auto"/>
              </w:rPr>
            </w:pPr>
            <w:r w:rsidRPr="001E2783">
              <w:rPr>
                <w:rFonts w:cs="Arial"/>
                <w:color w:val="auto"/>
              </w:rPr>
              <w:t>PO Box 13112</w:t>
            </w:r>
          </w:p>
          <w:p w14:paraId="7A59205C" w14:textId="77777777" w:rsidR="00E54AEA" w:rsidRPr="001E2783" w:rsidRDefault="00E54AEA" w:rsidP="00E54AEA">
            <w:pPr>
              <w:pStyle w:val="Copyright"/>
              <w:rPr>
                <w:rFonts w:cs="Arial"/>
                <w:color w:val="auto"/>
              </w:rPr>
            </w:pPr>
            <w:r w:rsidRPr="001E2783">
              <w:rPr>
                <w:rFonts w:cs="Arial"/>
                <w:color w:val="auto"/>
              </w:rPr>
              <w:t>Law Courts</w:t>
            </w:r>
          </w:p>
          <w:p w14:paraId="483B51B9" w14:textId="77777777" w:rsidR="00E54AEA" w:rsidRPr="001E2783" w:rsidRDefault="00E54AEA" w:rsidP="00E54AEA">
            <w:pPr>
              <w:pStyle w:val="Copyright"/>
              <w:rPr>
                <w:rFonts w:cs="Arial"/>
                <w:color w:val="auto"/>
              </w:rPr>
            </w:pPr>
            <w:r w:rsidRPr="001E2783">
              <w:rPr>
                <w:rFonts w:cs="Arial"/>
                <w:color w:val="auto"/>
              </w:rPr>
              <w:t>Melbourne VIC 8010</w:t>
            </w:r>
          </w:p>
          <w:p w14:paraId="26BAFA0E" w14:textId="77777777" w:rsidR="00E54AEA" w:rsidRPr="001E2783" w:rsidRDefault="00E54AEA" w:rsidP="00E54AEA">
            <w:pPr>
              <w:pStyle w:val="Copyright"/>
              <w:rPr>
                <w:rFonts w:cs="Arial"/>
                <w:color w:val="auto"/>
              </w:rPr>
            </w:pPr>
            <w:r w:rsidRPr="001E2783">
              <w:rPr>
                <w:rFonts w:cs="Arial"/>
                <w:color w:val="auto"/>
              </w:rPr>
              <w:t>Tel: 03 9963 6968</w:t>
            </w:r>
          </w:p>
          <w:p w14:paraId="6E17A860" w14:textId="77777777" w:rsidR="00E54AEA" w:rsidRPr="001E2783" w:rsidRDefault="00E54AEA" w:rsidP="00E54AEA">
            <w:pPr>
              <w:pStyle w:val="Copyright"/>
              <w:rPr>
                <w:rFonts w:cs="Arial"/>
                <w:color w:val="auto"/>
              </w:rPr>
            </w:pPr>
            <w:r w:rsidRPr="001E2783">
              <w:rPr>
                <w:rFonts w:cs="Arial"/>
                <w:color w:val="auto"/>
              </w:rPr>
              <w:t>Email: candinfo@acma.gov.au</w:t>
            </w:r>
          </w:p>
          <w:p w14:paraId="1CA35B0C" w14:textId="77777777" w:rsidR="00E54AEA" w:rsidRPr="001E2783" w:rsidRDefault="00E54AEA" w:rsidP="00E54AEA">
            <w:pPr>
              <w:pStyle w:val="Copyright"/>
              <w:rPr>
                <w:rFonts w:cs="Arial"/>
                <w:color w:val="auto"/>
              </w:rPr>
            </w:pPr>
          </w:p>
          <w:p w14:paraId="41E88BB0" w14:textId="77777777" w:rsidR="00E54AEA" w:rsidRPr="001E2783" w:rsidRDefault="00E54AEA" w:rsidP="00E54AEA">
            <w:pPr>
              <w:pStyle w:val="Copyright"/>
              <w:rPr>
                <w:rFonts w:cs="Arial"/>
                <w:color w:val="auto"/>
              </w:rPr>
            </w:pPr>
            <w:r w:rsidRPr="001E2783">
              <w:rPr>
                <w:rFonts w:cs="Arial"/>
                <w:color w:val="auto"/>
              </w:rPr>
              <w:t>ISSN 1834-1519</w:t>
            </w:r>
          </w:p>
          <w:p w14:paraId="1143BED9" w14:textId="77777777" w:rsidR="00E54AEA" w:rsidRPr="001E2783" w:rsidRDefault="00E54AEA" w:rsidP="00E54AEA">
            <w:pPr>
              <w:pStyle w:val="Copyright"/>
              <w:rPr>
                <w:rFonts w:cs="Arial"/>
                <w:color w:val="auto"/>
              </w:rPr>
            </w:pPr>
          </w:p>
          <w:p w14:paraId="6EFD517D" w14:textId="77777777" w:rsidR="00745A5C" w:rsidRPr="001E2783" w:rsidRDefault="00E54AEA" w:rsidP="00E54AEA">
            <w:pPr>
              <w:pStyle w:val="Copyright"/>
              <w:rPr>
                <w:rFonts w:cs="Arial"/>
                <w:color w:val="auto"/>
              </w:rPr>
            </w:pPr>
            <w:r w:rsidRPr="001E2783">
              <w:rPr>
                <w:rFonts w:cs="Arial"/>
                <w:b/>
                <w:color w:val="auto"/>
              </w:rPr>
              <w:t xml:space="preserve">This report is available on the ACMA website at </w:t>
            </w:r>
            <w:hyperlink r:id="rId17" w:history="1">
              <w:r w:rsidRPr="00311E08">
                <w:rPr>
                  <w:rStyle w:val="Hyperlink"/>
                  <w:rFonts w:cs="Arial"/>
                </w:rPr>
                <w:t>www.acma.gov.au/annualreport</w:t>
              </w:r>
            </w:hyperlink>
            <w:r w:rsidRPr="00311E08">
              <w:rPr>
                <w:rStyle w:val="Hyperlink"/>
              </w:rPr>
              <w:t>.</w:t>
            </w:r>
          </w:p>
        </w:tc>
      </w:tr>
    </w:tbl>
    <w:p w14:paraId="4005B010" w14:textId="77777777" w:rsidR="00FE1823" w:rsidRPr="001E2783" w:rsidRDefault="00FE1823" w:rsidP="0041071D">
      <w:pPr>
        <w:rPr>
          <w:rFonts w:cs="Arial"/>
        </w:rPr>
        <w:sectPr w:rsidR="00FE1823" w:rsidRPr="001E2783" w:rsidSect="00844240">
          <w:headerReference w:type="even" r:id="rId18"/>
          <w:headerReference w:type="default" r:id="rId19"/>
          <w:footerReference w:type="even" r:id="rId20"/>
          <w:footerReference w:type="default" r:id="rId21"/>
          <w:pgSz w:w="11906" w:h="16838" w:code="9"/>
          <w:pgMar w:top="3924" w:right="1797" w:bottom="697" w:left="1134" w:header="709" w:footer="119" w:gutter="0"/>
          <w:cols w:space="708"/>
          <w:docGrid w:linePitch="360"/>
        </w:sectPr>
      </w:pPr>
    </w:p>
    <w:p w14:paraId="2BDF24C3" w14:textId="77777777" w:rsidR="00294DC2" w:rsidRDefault="00294DC2">
      <w:pPr>
        <w:pStyle w:val="TOC9"/>
        <w:rPr>
          <w:rFonts w:asciiTheme="minorHAnsi" w:eastAsiaTheme="minorEastAsia" w:hAnsiTheme="minorHAnsi" w:cstheme="minorBidi"/>
          <w:b w:val="0"/>
          <w:color w:val="auto"/>
          <w:sz w:val="22"/>
          <w:szCs w:val="22"/>
        </w:rPr>
      </w:pPr>
      <w:r>
        <w:rPr>
          <w:rFonts w:cs="Arial"/>
          <w:b w:val="0"/>
          <w:spacing w:val="-14"/>
        </w:rPr>
        <w:lastRenderedPageBreak/>
        <w:fldChar w:fldCharType="begin"/>
      </w:r>
      <w:r>
        <w:rPr>
          <w:rFonts w:cs="Arial"/>
          <w:b w:val="0"/>
          <w:spacing w:val="-14"/>
        </w:rPr>
        <w:instrText xml:space="preserve"> TOC \o "1-3" \h \z \t "Exec Summary Heading,9" </w:instrText>
      </w:r>
      <w:r>
        <w:rPr>
          <w:rFonts w:cs="Arial"/>
          <w:b w:val="0"/>
          <w:spacing w:val="-14"/>
        </w:rPr>
        <w:fldChar w:fldCharType="separate"/>
      </w:r>
      <w:hyperlink w:anchor="_Toc400018462" w:history="1">
        <w:r w:rsidRPr="00FB5042">
          <w:rPr>
            <w:rStyle w:val="Hyperlink"/>
          </w:rPr>
          <w:t>Chairman’s foreword</w:t>
        </w:r>
        <w:r>
          <w:rPr>
            <w:webHidden/>
          </w:rPr>
          <w:tab/>
        </w:r>
        <w:r>
          <w:rPr>
            <w:webHidden/>
          </w:rPr>
          <w:fldChar w:fldCharType="begin"/>
        </w:r>
        <w:r>
          <w:rPr>
            <w:webHidden/>
          </w:rPr>
          <w:instrText xml:space="preserve"> PAGEREF _Toc400018462 \h </w:instrText>
        </w:r>
        <w:r>
          <w:rPr>
            <w:webHidden/>
          </w:rPr>
        </w:r>
        <w:r>
          <w:rPr>
            <w:webHidden/>
          </w:rPr>
          <w:fldChar w:fldCharType="separate"/>
        </w:r>
        <w:r>
          <w:rPr>
            <w:webHidden/>
          </w:rPr>
          <w:t>9</w:t>
        </w:r>
        <w:r>
          <w:rPr>
            <w:webHidden/>
          </w:rPr>
          <w:fldChar w:fldCharType="end"/>
        </w:r>
      </w:hyperlink>
    </w:p>
    <w:p w14:paraId="2A9228B4" w14:textId="77777777" w:rsidR="00294DC2" w:rsidRDefault="00311E08">
      <w:pPr>
        <w:pStyle w:val="TOC1"/>
        <w:rPr>
          <w:rFonts w:asciiTheme="minorHAnsi" w:eastAsiaTheme="minorEastAsia" w:hAnsiTheme="minorHAnsi" w:cstheme="minorBidi"/>
          <w:b w:val="0"/>
          <w:color w:val="auto"/>
          <w:spacing w:val="0"/>
          <w:sz w:val="22"/>
          <w:szCs w:val="22"/>
        </w:rPr>
      </w:pPr>
      <w:hyperlink w:anchor="_Toc400018463" w:history="1">
        <w:r w:rsidR="00294DC2" w:rsidRPr="00FB5042">
          <w:rPr>
            <w:rStyle w:val="Hyperlink"/>
          </w:rPr>
          <w:t>Highlights</w:t>
        </w:r>
        <w:r w:rsidR="00294DC2">
          <w:rPr>
            <w:webHidden/>
          </w:rPr>
          <w:tab/>
        </w:r>
        <w:r w:rsidR="00294DC2">
          <w:rPr>
            <w:webHidden/>
          </w:rPr>
          <w:fldChar w:fldCharType="begin"/>
        </w:r>
        <w:r w:rsidR="00294DC2">
          <w:rPr>
            <w:webHidden/>
          </w:rPr>
          <w:instrText xml:space="preserve"> PAGEREF _Toc400018463 \h </w:instrText>
        </w:r>
        <w:r w:rsidR="00294DC2">
          <w:rPr>
            <w:webHidden/>
          </w:rPr>
        </w:r>
        <w:r w:rsidR="00294DC2">
          <w:rPr>
            <w:webHidden/>
          </w:rPr>
          <w:fldChar w:fldCharType="separate"/>
        </w:r>
        <w:r w:rsidR="00294DC2">
          <w:rPr>
            <w:webHidden/>
          </w:rPr>
          <w:t>12</w:t>
        </w:r>
        <w:r w:rsidR="00294DC2">
          <w:rPr>
            <w:webHidden/>
          </w:rPr>
          <w:fldChar w:fldCharType="end"/>
        </w:r>
      </w:hyperlink>
    </w:p>
    <w:p w14:paraId="44304F64" w14:textId="77777777" w:rsidR="00294DC2" w:rsidRDefault="00311E08">
      <w:pPr>
        <w:pStyle w:val="TOC2"/>
        <w:rPr>
          <w:rFonts w:asciiTheme="minorHAnsi" w:eastAsiaTheme="minorEastAsia" w:hAnsiTheme="minorHAnsi" w:cstheme="minorBidi"/>
          <w:color w:val="auto"/>
          <w:spacing w:val="0"/>
          <w:sz w:val="22"/>
          <w:szCs w:val="22"/>
        </w:rPr>
      </w:pPr>
      <w:hyperlink w:anchor="_Toc400018464" w:history="1">
        <w:r w:rsidR="00294DC2" w:rsidRPr="00FB5042">
          <w:rPr>
            <w:rStyle w:val="Hyperlink"/>
          </w:rPr>
          <w:t>Spectrum management—beyond the digital dividend</w:t>
        </w:r>
        <w:r w:rsidR="00294DC2">
          <w:rPr>
            <w:webHidden/>
          </w:rPr>
          <w:tab/>
        </w:r>
        <w:r w:rsidR="00294DC2">
          <w:rPr>
            <w:webHidden/>
          </w:rPr>
          <w:fldChar w:fldCharType="begin"/>
        </w:r>
        <w:r w:rsidR="00294DC2">
          <w:rPr>
            <w:webHidden/>
          </w:rPr>
          <w:instrText xml:space="preserve"> PAGEREF _Toc400018464 \h </w:instrText>
        </w:r>
        <w:r w:rsidR="00294DC2">
          <w:rPr>
            <w:webHidden/>
          </w:rPr>
        </w:r>
        <w:r w:rsidR="00294DC2">
          <w:rPr>
            <w:webHidden/>
          </w:rPr>
          <w:fldChar w:fldCharType="separate"/>
        </w:r>
        <w:r w:rsidR="00294DC2">
          <w:rPr>
            <w:webHidden/>
          </w:rPr>
          <w:t>12</w:t>
        </w:r>
        <w:r w:rsidR="00294DC2">
          <w:rPr>
            <w:webHidden/>
          </w:rPr>
          <w:fldChar w:fldCharType="end"/>
        </w:r>
      </w:hyperlink>
    </w:p>
    <w:p w14:paraId="0C628C8B" w14:textId="77777777" w:rsidR="00294DC2" w:rsidRDefault="00311E08">
      <w:pPr>
        <w:pStyle w:val="TOC3"/>
        <w:rPr>
          <w:rFonts w:asciiTheme="minorHAnsi" w:eastAsiaTheme="minorEastAsia" w:hAnsiTheme="minorHAnsi" w:cstheme="minorBidi"/>
          <w:color w:val="auto"/>
        </w:rPr>
      </w:pPr>
      <w:hyperlink w:anchor="_Toc400018465" w:history="1">
        <w:r w:rsidR="00294DC2" w:rsidRPr="00FB5042">
          <w:rPr>
            <w:rStyle w:val="Hyperlink"/>
          </w:rPr>
          <w:t>Early access to the 700 MHz band</w:t>
        </w:r>
        <w:r w:rsidR="00294DC2">
          <w:rPr>
            <w:webHidden/>
          </w:rPr>
          <w:tab/>
        </w:r>
        <w:r w:rsidR="00294DC2">
          <w:rPr>
            <w:webHidden/>
          </w:rPr>
          <w:fldChar w:fldCharType="begin"/>
        </w:r>
        <w:r w:rsidR="00294DC2">
          <w:rPr>
            <w:webHidden/>
          </w:rPr>
          <w:instrText xml:space="preserve"> PAGEREF _Toc400018465 \h </w:instrText>
        </w:r>
        <w:r w:rsidR="00294DC2">
          <w:rPr>
            <w:webHidden/>
          </w:rPr>
        </w:r>
        <w:r w:rsidR="00294DC2">
          <w:rPr>
            <w:webHidden/>
          </w:rPr>
          <w:fldChar w:fldCharType="separate"/>
        </w:r>
        <w:r w:rsidR="00294DC2">
          <w:rPr>
            <w:webHidden/>
          </w:rPr>
          <w:t>12</w:t>
        </w:r>
        <w:r w:rsidR="00294DC2">
          <w:rPr>
            <w:webHidden/>
          </w:rPr>
          <w:fldChar w:fldCharType="end"/>
        </w:r>
      </w:hyperlink>
    </w:p>
    <w:p w14:paraId="3BB66279" w14:textId="77777777" w:rsidR="00294DC2" w:rsidRDefault="00311E08">
      <w:pPr>
        <w:pStyle w:val="TOC3"/>
        <w:rPr>
          <w:rFonts w:asciiTheme="minorHAnsi" w:eastAsiaTheme="minorEastAsia" w:hAnsiTheme="minorHAnsi" w:cstheme="minorBidi"/>
          <w:color w:val="auto"/>
        </w:rPr>
      </w:pPr>
      <w:hyperlink w:anchor="_Toc400018466" w:history="1">
        <w:r w:rsidR="00294DC2" w:rsidRPr="00FB5042">
          <w:rPr>
            <w:rStyle w:val="Hyperlink"/>
          </w:rPr>
          <w:t>Clearing television broadcasting from the 700 MHz band</w:t>
        </w:r>
        <w:r w:rsidR="00294DC2">
          <w:rPr>
            <w:webHidden/>
          </w:rPr>
          <w:tab/>
        </w:r>
        <w:r w:rsidR="00294DC2">
          <w:rPr>
            <w:webHidden/>
          </w:rPr>
          <w:fldChar w:fldCharType="begin"/>
        </w:r>
        <w:r w:rsidR="00294DC2">
          <w:rPr>
            <w:webHidden/>
          </w:rPr>
          <w:instrText xml:space="preserve"> PAGEREF _Toc400018466 \h </w:instrText>
        </w:r>
        <w:r w:rsidR="00294DC2">
          <w:rPr>
            <w:webHidden/>
          </w:rPr>
        </w:r>
        <w:r w:rsidR="00294DC2">
          <w:rPr>
            <w:webHidden/>
          </w:rPr>
          <w:fldChar w:fldCharType="separate"/>
        </w:r>
        <w:r w:rsidR="00294DC2">
          <w:rPr>
            <w:webHidden/>
          </w:rPr>
          <w:t>12</w:t>
        </w:r>
        <w:r w:rsidR="00294DC2">
          <w:rPr>
            <w:webHidden/>
          </w:rPr>
          <w:fldChar w:fldCharType="end"/>
        </w:r>
      </w:hyperlink>
    </w:p>
    <w:p w14:paraId="5EEC9BB7" w14:textId="77777777" w:rsidR="00294DC2" w:rsidRDefault="00311E08">
      <w:pPr>
        <w:pStyle w:val="TOC3"/>
        <w:rPr>
          <w:rFonts w:asciiTheme="minorHAnsi" w:eastAsiaTheme="minorEastAsia" w:hAnsiTheme="minorHAnsi" w:cstheme="minorBidi"/>
          <w:color w:val="auto"/>
        </w:rPr>
      </w:pPr>
      <w:hyperlink w:anchor="_Toc400018467" w:history="1">
        <w:r w:rsidR="00294DC2" w:rsidRPr="00FB5042">
          <w:rPr>
            <w:rStyle w:val="Hyperlink"/>
          </w:rPr>
          <w:t>Wireless microphones</w:t>
        </w:r>
        <w:r w:rsidR="00294DC2">
          <w:rPr>
            <w:webHidden/>
          </w:rPr>
          <w:tab/>
        </w:r>
        <w:r w:rsidR="00294DC2">
          <w:rPr>
            <w:webHidden/>
          </w:rPr>
          <w:fldChar w:fldCharType="begin"/>
        </w:r>
        <w:r w:rsidR="00294DC2">
          <w:rPr>
            <w:webHidden/>
          </w:rPr>
          <w:instrText xml:space="preserve"> PAGEREF _Toc400018467 \h </w:instrText>
        </w:r>
        <w:r w:rsidR="00294DC2">
          <w:rPr>
            <w:webHidden/>
          </w:rPr>
        </w:r>
        <w:r w:rsidR="00294DC2">
          <w:rPr>
            <w:webHidden/>
          </w:rPr>
          <w:fldChar w:fldCharType="separate"/>
        </w:r>
        <w:r w:rsidR="00294DC2">
          <w:rPr>
            <w:webHidden/>
          </w:rPr>
          <w:t>12</w:t>
        </w:r>
        <w:r w:rsidR="00294DC2">
          <w:rPr>
            <w:webHidden/>
          </w:rPr>
          <w:fldChar w:fldCharType="end"/>
        </w:r>
      </w:hyperlink>
    </w:p>
    <w:p w14:paraId="361E9A91" w14:textId="77777777" w:rsidR="00294DC2" w:rsidRDefault="00311E08">
      <w:pPr>
        <w:pStyle w:val="TOC3"/>
        <w:rPr>
          <w:rFonts w:asciiTheme="minorHAnsi" w:eastAsiaTheme="minorEastAsia" w:hAnsiTheme="minorHAnsi" w:cstheme="minorBidi"/>
          <w:color w:val="auto"/>
        </w:rPr>
      </w:pPr>
      <w:hyperlink w:anchor="_Toc400018468" w:history="1">
        <w:r w:rsidR="00294DC2" w:rsidRPr="00FB5042">
          <w:rPr>
            <w:rStyle w:val="Hyperlink"/>
          </w:rPr>
          <w:t>Relocation of electronic news-gathering services</w:t>
        </w:r>
        <w:r w:rsidR="00294DC2">
          <w:rPr>
            <w:webHidden/>
          </w:rPr>
          <w:tab/>
        </w:r>
        <w:r w:rsidR="00294DC2">
          <w:rPr>
            <w:webHidden/>
          </w:rPr>
          <w:fldChar w:fldCharType="begin"/>
        </w:r>
        <w:r w:rsidR="00294DC2">
          <w:rPr>
            <w:webHidden/>
          </w:rPr>
          <w:instrText xml:space="preserve"> PAGEREF _Toc400018468 \h </w:instrText>
        </w:r>
        <w:r w:rsidR="00294DC2">
          <w:rPr>
            <w:webHidden/>
          </w:rPr>
        </w:r>
        <w:r w:rsidR="00294DC2">
          <w:rPr>
            <w:webHidden/>
          </w:rPr>
          <w:fldChar w:fldCharType="separate"/>
        </w:r>
        <w:r w:rsidR="00294DC2">
          <w:rPr>
            <w:webHidden/>
          </w:rPr>
          <w:t>13</w:t>
        </w:r>
        <w:r w:rsidR="00294DC2">
          <w:rPr>
            <w:webHidden/>
          </w:rPr>
          <w:fldChar w:fldCharType="end"/>
        </w:r>
      </w:hyperlink>
    </w:p>
    <w:p w14:paraId="4F1C7368" w14:textId="77777777" w:rsidR="00294DC2" w:rsidRDefault="00311E08">
      <w:pPr>
        <w:pStyle w:val="TOC3"/>
        <w:rPr>
          <w:rFonts w:asciiTheme="minorHAnsi" w:eastAsiaTheme="minorEastAsia" w:hAnsiTheme="minorHAnsi" w:cstheme="minorBidi"/>
          <w:color w:val="auto"/>
        </w:rPr>
      </w:pPr>
      <w:hyperlink w:anchor="_Toc400018469" w:history="1">
        <w:r w:rsidR="00294DC2" w:rsidRPr="00FB5042">
          <w:rPr>
            <w:rStyle w:val="Hyperlink"/>
          </w:rPr>
          <w:t>Conversion of the 2.5 GHz mid-band gap</w:t>
        </w:r>
        <w:r w:rsidR="00294DC2">
          <w:rPr>
            <w:webHidden/>
          </w:rPr>
          <w:tab/>
        </w:r>
        <w:r w:rsidR="00294DC2">
          <w:rPr>
            <w:webHidden/>
          </w:rPr>
          <w:fldChar w:fldCharType="begin"/>
        </w:r>
        <w:r w:rsidR="00294DC2">
          <w:rPr>
            <w:webHidden/>
          </w:rPr>
          <w:instrText xml:space="preserve"> PAGEREF _Toc400018469 \h </w:instrText>
        </w:r>
        <w:r w:rsidR="00294DC2">
          <w:rPr>
            <w:webHidden/>
          </w:rPr>
        </w:r>
        <w:r w:rsidR="00294DC2">
          <w:rPr>
            <w:webHidden/>
          </w:rPr>
          <w:fldChar w:fldCharType="separate"/>
        </w:r>
        <w:r w:rsidR="00294DC2">
          <w:rPr>
            <w:webHidden/>
          </w:rPr>
          <w:t>13</w:t>
        </w:r>
        <w:r w:rsidR="00294DC2">
          <w:rPr>
            <w:webHidden/>
          </w:rPr>
          <w:fldChar w:fldCharType="end"/>
        </w:r>
      </w:hyperlink>
    </w:p>
    <w:p w14:paraId="1184489B" w14:textId="77777777" w:rsidR="00294DC2" w:rsidRDefault="00311E08">
      <w:pPr>
        <w:pStyle w:val="TOC2"/>
        <w:rPr>
          <w:rFonts w:asciiTheme="minorHAnsi" w:eastAsiaTheme="minorEastAsia" w:hAnsiTheme="minorHAnsi" w:cstheme="minorBidi"/>
          <w:color w:val="auto"/>
          <w:spacing w:val="0"/>
          <w:sz w:val="22"/>
          <w:szCs w:val="22"/>
        </w:rPr>
      </w:pPr>
      <w:hyperlink w:anchor="_Toc400018470" w:history="1">
        <w:r w:rsidR="00294DC2" w:rsidRPr="00FB5042">
          <w:rPr>
            <w:rStyle w:val="Hyperlink"/>
          </w:rPr>
          <w:t>Online content investigations and partnerships</w:t>
        </w:r>
        <w:r w:rsidR="00294DC2">
          <w:rPr>
            <w:webHidden/>
          </w:rPr>
          <w:tab/>
        </w:r>
        <w:r w:rsidR="00294DC2">
          <w:rPr>
            <w:webHidden/>
          </w:rPr>
          <w:fldChar w:fldCharType="begin"/>
        </w:r>
        <w:r w:rsidR="00294DC2">
          <w:rPr>
            <w:webHidden/>
          </w:rPr>
          <w:instrText xml:space="preserve"> PAGEREF _Toc400018470 \h </w:instrText>
        </w:r>
        <w:r w:rsidR="00294DC2">
          <w:rPr>
            <w:webHidden/>
          </w:rPr>
        </w:r>
        <w:r w:rsidR="00294DC2">
          <w:rPr>
            <w:webHidden/>
          </w:rPr>
          <w:fldChar w:fldCharType="separate"/>
        </w:r>
        <w:r w:rsidR="00294DC2">
          <w:rPr>
            <w:webHidden/>
          </w:rPr>
          <w:t>13</w:t>
        </w:r>
        <w:r w:rsidR="00294DC2">
          <w:rPr>
            <w:webHidden/>
          </w:rPr>
          <w:fldChar w:fldCharType="end"/>
        </w:r>
      </w:hyperlink>
    </w:p>
    <w:p w14:paraId="1AE22466" w14:textId="77777777" w:rsidR="00294DC2" w:rsidRDefault="00311E08">
      <w:pPr>
        <w:pStyle w:val="TOC2"/>
        <w:rPr>
          <w:rFonts w:asciiTheme="minorHAnsi" w:eastAsiaTheme="minorEastAsia" w:hAnsiTheme="minorHAnsi" w:cstheme="minorBidi"/>
          <w:color w:val="auto"/>
          <w:spacing w:val="0"/>
          <w:sz w:val="22"/>
          <w:szCs w:val="22"/>
        </w:rPr>
      </w:pPr>
      <w:hyperlink w:anchor="_Toc400018471" w:history="1">
        <w:r w:rsidR="00294DC2" w:rsidRPr="00FB5042">
          <w:rPr>
            <w:rStyle w:val="Hyperlink"/>
          </w:rPr>
          <w:t>Litigation</w:t>
        </w:r>
        <w:r w:rsidR="00294DC2">
          <w:rPr>
            <w:webHidden/>
          </w:rPr>
          <w:tab/>
        </w:r>
        <w:r w:rsidR="00294DC2">
          <w:rPr>
            <w:webHidden/>
          </w:rPr>
          <w:fldChar w:fldCharType="begin"/>
        </w:r>
        <w:r w:rsidR="00294DC2">
          <w:rPr>
            <w:webHidden/>
          </w:rPr>
          <w:instrText xml:space="preserve"> PAGEREF _Toc400018471 \h </w:instrText>
        </w:r>
        <w:r w:rsidR="00294DC2">
          <w:rPr>
            <w:webHidden/>
          </w:rPr>
        </w:r>
        <w:r w:rsidR="00294DC2">
          <w:rPr>
            <w:webHidden/>
          </w:rPr>
          <w:fldChar w:fldCharType="separate"/>
        </w:r>
        <w:r w:rsidR="00294DC2">
          <w:rPr>
            <w:webHidden/>
          </w:rPr>
          <w:t>13</w:t>
        </w:r>
        <w:r w:rsidR="00294DC2">
          <w:rPr>
            <w:webHidden/>
          </w:rPr>
          <w:fldChar w:fldCharType="end"/>
        </w:r>
      </w:hyperlink>
    </w:p>
    <w:p w14:paraId="709B1878" w14:textId="77777777" w:rsidR="00294DC2" w:rsidRDefault="00311E08">
      <w:pPr>
        <w:pStyle w:val="TOC2"/>
        <w:rPr>
          <w:rFonts w:asciiTheme="minorHAnsi" w:eastAsiaTheme="minorEastAsia" w:hAnsiTheme="minorHAnsi" w:cstheme="minorBidi"/>
          <w:color w:val="auto"/>
          <w:spacing w:val="0"/>
          <w:sz w:val="22"/>
          <w:szCs w:val="22"/>
        </w:rPr>
      </w:pPr>
      <w:hyperlink w:anchor="_Toc400018472" w:history="1">
        <w:r w:rsidR="00294DC2" w:rsidRPr="00FB5042">
          <w:rPr>
            <w:rStyle w:val="Hyperlink"/>
            <w:i/>
          </w:rPr>
          <w:t>Contemporary community safeguards inquiry</w:t>
        </w:r>
        <w:r w:rsidR="00294DC2">
          <w:rPr>
            <w:webHidden/>
          </w:rPr>
          <w:tab/>
        </w:r>
        <w:r w:rsidR="00294DC2">
          <w:rPr>
            <w:webHidden/>
          </w:rPr>
          <w:fldChar w:fldCharType="begin"/>
        </w:r>
        <w:r w:rsidR="00294DC2">
          <w:rPr>
            <w:webHidden/>
          </w:rPr>
          <w:instrText xml:space="preserve"> PAGEREF _Toc400018472 \h </w:instrText>
        </w:r>
        <w:r w:rsidR="00294DC2">
          <w:rPr>
            <w:webHidden/>
          </w:rPr>
        </w:r>
        <w:r w:rsidR="00294DC2">
          <w:rPr>
            <w:webHidden/>
          </w:rPr>
          <w:fldChar w:fldCharType="separate"/>
        </w:r>
        <w:r w:rsidR="00294DC2">
          <w:rPr>
            <w:webHidden/>
          </w:rPr>
          <w:t>14</w:t>
        </w:r>
        <w:r w:rsidR="00294DC2">
          <w:rPr>
            <w:webHidden/>
          </w:rPr>
          <w:fldChar w:fldCharType="end"/>
        </w:r>
      </w:hyperlink>
    </w:p>
    <w:p w14:paraId="0906B560" w14:textId="77777777" w:rsidR="00294DC2" w:rsidRDefault="00311E08">
      <w:pPr>
        <w:pStyle w:val="TOC2"/>
        <w:rPr>
          <w:rFonts w:asciiTheme="minorHAnsi" w:eastAsiaTheme="minorEastAsia" w:hAnsiTheme="minorHAnsi" w:cstheme="minorBidi"/>
          <w:color w:val="auto"/>
          <w:spacing w:val="0"/>
          <w:sz w:val="22"/>
          <w:szCs w:val="22"/>
        </w:rPr>
      </w:pPr>
      <w:hyperlink w:anchor="_Toc400018473" w:history="1">
        <w:r w:rsidR="00294DC2" w:rsidRPr="00FB5042">
          <w:rPr>
            <w:rStyle w:val="Hyperlink"/>
          </w:rPr>
          <w:t>Broadcasting investigations</w:t>
        </w:r>
        <w:r w:rsidR="00294DC2">
          <w:rPr>
            <w:webHidden/>
          </w:rPr>
          <w:tab/>
        </w:r>
        <w:r w:rsidR="00294DC2">
          <w:rPr>
            <w:webHidden/>
          </w:rPr>
          <w:fldChar w:fldCharType="begin"/>
        </w:r>
        <w:r w:rsidR="00294DC2">
          <w:rPr>
            <w:webHidden/>
          </w:rPr>
          <w:instrText xml:space="preserve"> PAGEREF _Toc400018473 \h </w:instrText>
        </w:r>
        <w:r w:rsidR="00294DC2">
          <w:rPr>
            <w:webHidden/>
          </w:rPr>
        </w:r>
        <w:r w:rsidR="00294DC2">
          <w:rPr>
            <w:webHidden/>
          </w:rPr>
          <w:fldChar w:fldCharType="separate"/>
        </w:r>
        <w:r w:rsidR="00294DC2">
          <w:rPr>
            <w:webHidden/>
          </w:rPr>
          <w:t>14</w:t>
        </w:r>
        <w:r w:rsidR="00294DC2">
          <w:rPr>
            <w:webHidden/>
          </w:rPr>
          <w:fldChar w:fldCharType="end"/>
        </w:r>
      </w:hyperlink>
    </w:p>
    <w:p w14:paraId="6168C810" w14:textId="77777777" w:rsidR="00294DC2" w:rsidRDefault="00311E08">
      <w:pPr>
        <w:pStyle w:val="TOC3"/>
        <w:rPr>
          <w:rFonts w:asciiTheme="minorHAnsi" w:eastAsiaTheme="minorEastAsia" w:hAnsiTheme="minorHAnsi" w:cstheme="minorBidi"/>
          <w:color w:val="auto"/>
        </w:rPr>
      </w:pPr>
      <w:hyperlink w:anchor="_Toc400018474" w:history="1">
        <w:r w:rsidR="00294DC2" w:rsidRPr="00FB5042">
          <w:rPr>
            <w:rStyle w:val="Hyperlink"/>
            <w:i/>
          </w:rPr>
          <w:t>‘All-Asian Mall’</w:t>
        </w:r>
        <w:r w:rsidR="00294DC2">
          <w:rPr>
            <w:webHidden/>
          </w:rPr>
          <w:tab/>
        </w:r>
        <w:r w:rsidR="00294DC2">
          <w:rPr>
            <w:webHidden/>
          </w:rPr>
          <w:fldChar w:fldCharType="begin"/>
        </w:r>
        <w:r w:rsidR="00294DC2">
          <w:rPr>
            <w:webHidden/>
          </w:rPr>
          <w:instrText xml:space="preserve"> PAGEREF _Toc400018474 \h </w:instrText>
        </w:r>
        <w:r w:rsidR="00294DC2">
          <w:rPr>
            <w:webHidden/>
          </w:rPr>
        </w:r>
        <w:r w:rsidR="00294DC2">
          <w:rPr>
            <w:webHidden/>
          </w:rPr>
          <w:fldChar w:fldCharType="separate"/>
        </w:r>
        <w:r w:rsidR="00294DC2">
          <w:rPr>
            <w:webHidden/>
          </w:rPr>
          <w:t>14</w:t>
        </w:r>
        <w:r w:rsidR="00294DC2">
          <w:rPr>
            <w:webHidden/>
          </w:rPr>
          <w:fldChar w:fldCharType="end"/>
        </w:r>
      </w:hyperlink>
    </w:p>
    <w:p w14:paraId="0BD003C1" w14:textId="77777777" w:rsidR="00294DC2" w:rsidRDefault="00311E08">
      <w:pPr>
        <w:pStyle w:val="TOC3"/>
        <w:rPr>
          <w:rFonts w:asciiTheme="minorHAnsi" w:eastAsiaTheme="minorEastAsia" w:hAnsiTheme="minorHAnsi" w:cstheme="minorBidi"/>
          <w:color w:val="auto"/>
        </w:rPr>
      </w:pPr>
      <w:hyperlink w:anchor="_Toc400018475" w:history="1">
        <w:r w:rsidR="00294DC2" w:rsidRPr="00FB5042">
          <w:rPr>
            <w:rStyle w:val="Hyperlink"/>
            <w:i/>
          </w:rPr>
          <w:t>The Hamster Decides</w:t>
        </w:r>
        <w:r w:rsidR="00294DC2">
          <w:rPr>
            <w:webHidden/>
          </w:rPr>
          <w:tab/>
        </w:r>
        <w:r w:rsidR="00294DC2">
          <w:rPr>
            <w:webHidden/>
          </w:rPr>
          <w:fldChar w:fldCharType="begin"/>
        </w:r>
        <w:r w:rsidR="00294DC2">
          <w:rPr>
            <w:webHidden/>
          </w:rPr>
          <w:instrText xml:space="preserve"> PAGEREF _Toc400018475 \h </w:instrText>
        </w:r>
        <w:r w:rsidR="00294DC2">
          <w:rPr>
            <w:webHidden/>
          </w:rPr>
        </w:r>
        <w:r w:rsidR="00294DC2">
          <w:rPr>
            <w:webHidden/>
          </w:rPr>
          <w:fldChar w:fldCharType="separate"/>
        </w:r>
        <w:r w:rsidR="00294DC2">
          <w:rPr>
            <w:webHidden/>
          </w:rPr>
          <w:t>14</w:t>
        </w:r>
        <w:r w:rsidR="00294DC2">
          <w:rPr>
            <w:webHidden/>
          </w:rPr>
          <w:fldChar w:fldCharType="end"/>
        </w:r>
      </w:hyperlink>
    </w:p>
    <w:p w14:paraId="462CB2D8" w14:textId="77777777" w:rsidR="00294DC2" w:rsidRDefault="00311E08">
      <w:pPr>
        <w:pStyle w:val="TOC2"/>
        <w:rPr>
          <w:rFonts w:asciiTheme="minorHAnsi" w:eastAsiaTheme="minorEastAsia" w:hAnsiTheme="minorHAnsi" w:cstheme="minorBidi"/>
          <w:color w:val="auto"/>
          <w:spacing w:val="0"/>
          <w:sz w:val="22"/>
          <w:szCs w:val="22"/>
        </w:rPr>
      </w:pPr>
      <w:hyperlink w:anchor="_Toc400018476" w:history="1">
        <w:r w:rsidR="00294DC2" w:rsidRPr="00FB5042">
          <w:rPr>
            <w:rStyle w:val="Hyperlink"/>
          </w:rPr>
          <w:t>Extending cybersafety into Indigenous communities</w:t>
        </w:r>
        <w:r w:rsidR="00294DC2">
          <w:rPr>
            <w:webHidden/>
          </w:rPr>
          <w:tab/>
        </w:r>
        <w:r w:rsidR="00294DC2">
          <w:rPr>
            <w:webHidden/>
          </w:rPr>
          <w:fldChar w:fldCharType="begin"/>
        </w:r>
        <w:r w:rsidR="00294DC2">
          <w:rPr>
            <w:webHidden/>
          </w:rPr>
          <w:instrText xml:space="preserve"> PAGEREF _Toc400018476 \h </w:instrText>
        </w:r>
        <w:r w:rsidR="00294DC2">
          <w:rPr>
            <w:webHidden/>
          </w:rPr>
        </w:r>
        <w:r w:rsidR="00294DC2">
          <w:rPr>
            <w:webHidden/>
          </w:rPr>
          <w:fldChar w:fldCharType="separate"/>
        </w:r>
        <w:r w:rsidR="00294DC2">
          <w:rPr>
            <w:webHidden/>
          </w:rPr>
          <w:t>15</w:t>
        </w:r>
        <w:r w:rsidR="00294DC2">
          <w:rPr>
            <w:webHidden/>
          </w:rPr>
          <w:fldChar w:fldCharType="end"/>
        </w:r>
      </w:hyperlink>
    </w:p>
    <w:p w14:paraId="3BD5D6FF" w14:textId="77777777" w:rsidR="00294DC2" w:rsidRDefault="00311E08">
      <w:pPr>
        <w:pStyle w:val="TOC2"/>
        <w:rPr>
          <w:rFonts w:asciiTheme="minorHAnsi" w:eastAsiaTheme="minorEastAsia" w:hAnsiTheme="minorHAnsi" w:cstheme="minorBidi"/>
          <w:color w:val="auto"/>
          <w:spacing w:val="0"/>
          <w:sz w:val="22"/>
          <w:szCs w:val="22"/>
        </w:rPr>
      </w:pPr>
      <w:hyperlink w:anchor="_Toc400018477" w:history="1">
        <w:r w:rsidR="00294DC2" w:rsidRPr="00FB5042">
          <w:rPr>
            <w:rStyle w:val="Hyperlink"/>
          </w:rPr>
          <w:t>Telecommunications consumer compliance</w:t>
        </w:r>
        <w:r w:rsidR="00294DC2">
          <w:rPr>
            <w:webHidden/>
          </w:rPr>
          <w:tab/>
        </w:r>
        <w:r w:rsidR="00294DC2">
          <w:rPr>
            <w:webHidden/>
          </w:rPr>
          <w:fldChar w:fldCharType="begin"/>
        </w:r>
        <w:r w:rsidR="00294DC2">
          <w:rPr>
            <w:webHidden/>
          </w:rPr>
          <w:instrText xml:space="preserve"> PAGEREF _Toc400018477 \h </w:instrText>
        </w:r>
        <w:r w:rsidR="00294DC2">
          <w:rPr>
            <w:webHidden/>
          </w:rPr>
        </w:r>
        <w:r w:rsidR="00294DC2">
          <w:rPr>
            <w:webHidden/>
          </w:rPr>
          <w:fldChar w:fldCharType="separate"/>
        </w:r>
        <w:r w:rsidR="00294DC2">
          <w:rPr>
            <w:webHidden/>
          </w:rPr>
          <w:t>15</w:t>
        </w:r>
        <w:r w:rsidR="00294DC2">
          <w:rPr>
            <w:webHidden/>
          </w:rPr>
          <w:fldChar w:fldCharType="end"/>
        </w:r>
      </w:hyperlink>
    </w:p>
    <w:p w14:paraId="15A5B5E7" w14:textId="77777777" w:rsidR="00294DC2" w:rsidRDefault="00311E08">
      <w:pPr>
        <w:pStyle w:val="TOC2"/>
        <w:rPr>
          <w:rFonts w:asciiTheme="minorHAnsi" w:eastAsiaTheme="minorEastAsia" w:hAnsiTheme="minorHAnsi" w:cstheme="minorBidi"/>
          <w:color w:val="auto"/>
          <w:spacing w:val="0"/>
          <w:sz w:val="22"/>
          <w:szCs w:val="22"/>
        </w:rPr>
      </w:pPr>
      <w:hyperlink w:anchor="_Toc400018478" w:history="1">
        <w:r w:rsidR="00294DC2" w:rsidRPr="00FB5042">
          <w:rPr>
            <w:rStyle w:val="Hyperlink"/>
          </w:rPr>
          <w:t>New identity-checking arrangements for prepaid mobile phone services</w:t>
        </w:r>
        <w:r w:rsidR="00294DC2">
          <w:rPr>
            <w:webHidden/>
          </w:rPr>
          <w:tab/>
        </w:r>
        <w:r w:rsidR="00294DC2">
          <w:rPr>
            <w:webHidden/>
          </w:rPr>
          <w:fldChar w:fldCharType="begin"/>
        </w:r>
        <w:r w:rsidR="00294DC2">
          <w:rPr>
            <w:webHidden/>
          </w:rPr>
          <w:instrText xml:space="preserve"> PAGEREF _Toc400018478 \h </w:instrText>
        </w:r>
        <w:r w:rsidR="00294DC2">
          <w:rPr>
            <w:webHidden/>
          </w:rPr>
        </w:r>
        <w:r w:rsidR="00294DC2">
          <w:rPr>
            <w:webHidden/>
          </w:rPr>
          <w:fldChar w:fldCharType="separate"/>
        </w:r>
        <w:r w:rsidR="00294DC2">
          <w:rPr>
            <w:webHidden/>
          </w:rPr>
          <w:t>16</w:t>
        </w:r>
        <w:r w:rsidR="00294DC2">
          <w:rPr>
            <w:webHidden/>
          </w:rPr>
          <w:fldChar w:fldCharType="end"/>
        </w:r>
      </w:hyperlink>
    </w:p>
    <w:p w14:paraId="11401A6A" w14:textId="77777777" w:rsidR="00294DC2" w:rsidRDefault="00311E08">
      <w:pPr>
        <w:pStyle w:val="TOC2"/>
        <w:rPr>
          <w:rFonts w:asciiTheme="minorHAnsi" w:eastAsiaTheme="minorEastAsia" w:hAnsiTheme="minorHAnsi" w:cstheme="minorBidi"/>
          <w:color w:val="auto"/>
          <w:spacing w:val="0"/>
          <w:sz w:val="22"/>
          <w:szCs w:val="22"/>
        </w:rPr>
      </w:pPr>
      <w:hyperlink w:anchor="_Toc400018479" w:history="1">
        <w:r w:rsidR="00294DC2" w:rsidRPr="00FB5042">
          <w:rPr>
            <w:rStyle w:val="Hyperlink"/>
          </w:rPr>
          <w:t>Research into the economic benefits of mobile broadband</w:t>
        </w:r>
        <w:r w:rsidR="00294DC2">
          <w:rPr>
            <w:webHidden/>
          </w:rPr>
          <w:tab/>
        </w:r>
        <w:r w:rsidR="00294DC2">
          <w:rPr>
            <w:webHidden/>
          </w:rPr>
          <w:fldChar w:fldCharType="begin"/>
        </w:r>
        <w:r w:rsidR="00294DC2">
          <w:rPr>
            <w:webHidden/>
          </w:rPr>
          <w:instrText xml:space="preserve"> PAGEREF _Toc400018479 \h </w:instrText>
        </w:r>
        <w:r w:rsidR="00294DC2">
          <w:rPr>
            <w:webHidden/>
          </w:rPr>
        </w:r>
        <w:r w:rsidR="00294DC2">
          <w:rPr>
            <w:webHidden/>
          </w:rPr>
          <w:fldChar w:fldCharType="separate"/>
        </w:r>
        <w:r w:rsidR="00294DC2">
          <w:rPr>
            <w:webHidden/>
          </w:rPr>
          <w:t>16</w:t>
        </w:r>
        <w:r w:rsidR="00294DC2">
          <w:rPr>
            <w:webHidden/>
          </w:rPr>
          <w:fldChar w:fldCharType="end"/>
        </w:r>
      </w:hyperlink>
    </w:p>
    <w:p w14:paraId="63421086" w14:textId="77777777" w:rsidR="00294DC2" w:rsidRDefault="00311E08">
      <w:pPr>
        <w:pStyle w:val="TOC2"/>
        <w:rPr>
          <w:rFonts w:asciiTheme="minorHAnsi" w:eastAsiaTheme="minorEastAsia" w:hAnsiTheme="minorHAnsi" w:cstheme="minorBidi"/>
          <w:color w:val="auto"/>
          <w:spacing w:val="0"/>
          <w:sz w:val="22"/>
          <w:szCs w:val="22"/>
        </w:rPr>
      </w:pPr>
      <w:hyperlink w:anchor="_Toc400018480" w:history="1">
        <w:r w:rsidR="00294DC2" w:rsidRPr="00FB5042">
          <w:rPr>
            <w:rStyle w:val="Hyperlink"/>
          </w:rPr>
          <w:t>Better targeted regulation</w:t>
        </w:r>
        <w:r w:rsidR="00294DC2">
          <w:rPr>
            <w:webHidden/>
          </w:rPr>
          <w:tab/>
        </w:r>
        <w:r w:rsidR="00294DC2">
          <w:rPr>
            <w:webHidden/>
          </w:rPr>
          <w:fldChar w:fldCharType="begin"/>
        </w:r>
        <w:r w:rsidR="00294DC2">
          <w:rPr>
            <w:webHidden/>
          </w:rPr>
          <w:instrText xml:space="preserve"> PAGEREF _Toc400018480 \h </w:instrText>
        </w:r>
        <w:r w:rsidR="00294DC2">
          <w:rPr>
            <w:webHidden/>
          </w:rPr>
        </w:r>
        <w:r w:rsidR="00294DC2">
          <w:rPr>
            <w:webHidden/>
          </w:rPr>
          <w:fldChar w:fldCharType="separate"/>
        </w:r>
        <w:r w:rsidR="00294DC2">
          <w:rPr>
            <w:webHidden/>
          </w:rPr>
          <w:t>16</w:t>
        </w:r>
        <w:r w:rsidR="00294DC2">
          <w:rPr>
            <w:webHidden/>
          </w:rPr>
          <w:fldChar w:fldCharType="end"/>
        </w:r>
      </w:hyperlink>
    </w:p>
    <w:p w14:paraId="7880D179" w14:textId="77777777" w:rsidR="00294DC2" w:rsidRDefault="00311E08">
      <w:pPr>
        <w:pStyle w:val="TOC2"/>
        <w:rPr>
          <w:rFonts w:asciiTheme="minorHAnsi" w:eastAsiaTheme="minorEastAsia" w:hAnsiTheme="minorHAnsi" w:cstheme="minorBidi"/>
          <w:color w:val="auto"/>
          <w:spacing w:val="0"/>
          <w:sz w:val="22"/>
          <w:szCs w:val="22"/>
        </w:rPr>
      </w:pPr>
      <w:hyperlink w:anchor="_Toc400018481" w:history="1">
        <w:r w:rsidR="00294DC2" w:rsidRPr="00FB5042">
          <w:rPr>
            <w:rStyle w:val="Hyperlink"/>
          </w:rPr>
          <w:t>New live odds codes registered</w:t>
        </w:r>
        <w:r w:rsidR="00294DC2">
          <w:rPr>
            <w:webHidden/>
          </w:rPr>
          <w:tab/>
        </w:r>
        <w:r w:rsidR="00294DC2">
          <w:rPr>
            <w:webHidden/>
          </w:rPr>
          <w:fldChar w:fldCharType="begin"/>
        </w:r>
        <w:r w:rsidR="00294DC2">
          <w:rPr>
            <w:webHidden/>
          </w:rPr>
          <w:instrText xml:space="preserve"> PAGEREF _Toc400018481 \h </w:instrText>
        </w:r>
        <w:r w:rsidR="00294DC2">
          <w:rPr>
            <w:webHidden/>
          </w:rPr>
        </w:r>
        <w:r w:rsidR="00294DC2">
          <w:rPr>
            <w:webHidden/>
          </w:rPr>
          <w:fldChar w:fldCharType="separate"/>
        </w:r>
        <w:r w:rsidR="00294DC2">
          <w:rPr>
            <w:webHidden/>
          </w:rPr>
          <w:t>17</w:t>
        </w:r>
        <w:r w:rsidR="00294DC2">
          <w:rPr>
            <w:webHidden/>
          </w:rPr>
          <w:fldChar w:fldCharType="end"/>
        </w:r>
      </w:hyperlink>
    </w:p>
    <w:p w14:paraId="00F10546" w14:textId="77777777" w:rsidR="00294DC2" w:rsidRDefault="00311E08">
      <w:pPr>
        <w:pStyle w:val="TOC2"/>
        <w:rPr>
          <w:rFonts w:asciiTheme="minorHAnsi" w:eastAsiaTheme="minorEastAsia" w:hAnsiTheme="minorHAnsi" w:cstheme="minorBidi"/>
          <w:color w:val="auto"/>
          <w:spacing w:val="0"/>
          <w:sz w:val="22"/>
          <w:szCs w:val="22"/>
        </w:rPr>
      </w:pPr>
      <w:hyperlink w:anchor="_Toc400018482" w:history="1">
        <w:r w:rsidR="00294DC2" w:rsidRPr="00FB5042">
          <w:rPr>
            <w:rStyle w:val="Hyperlink"/>
          </w:rPr>
          <w:t>Local television content in regional areas</w:t>
        </w:r>
        <w:r w:rsidR="00294DC2">
          <w:rPr>
            <w:webHidden/>
          </w:rPr>
          <w:tab/>
        </w:r>
        <w:r w:rsidR="00294DC2">
          <w:rPr>
            <w:webHidden/>
          </w:rPr>
          <w:fldChar w:fldCharType="begin"/>
        </w:r>
        <w:r w:rsidR="00294DC2">
          <w:rPr>
            <w:webHidden/>
          </w:rPr>
          <w:instrText xml:space="preserve"> PAGEREF _Toc400018482 \h </w:instrText>
        </w:r>
        <w:r w:rsidR="00294DC2">
          <w:rPr>
            <w:webHidden/>
          </w:rPr>
        </w:r>
        <w:r w:rsidR="00294DC2">
          <w:rPr>
            <w:webHidden/>
          </w:rPr>
          <w:fldChar w:fldCharType="separate"/>
        </w:r>
        <w:r w:rsidR="00294DC2">
          <w:rPr>
            <w:webHidden/>
          </w:rPr>
          <w:t>17</w:t>
        </w:r>
        <w:r w:rsidR="00294DC2">
          <w:rPr>
            <w:webHidden/>
          </w:rPr>
          <w:fldChar w:fldCharType="end"/>
        </w:r>
      </w:hyperlink>
    </w:p>
    <w:p w14:paraId="3963FAB7" w14:textId="77777777" w:rsidR="00294DC2" w:rsidRDefault="00311E08">
      <w:pPr>
        <w:pStyle w:val="TOC2"/>
        <w:rPr>
          <w:rFonts w:asciiTheme="minorHAnsi" w:eastAsiaTheme="minorEastAsia" w:hAnsiTheme="minorHAnsi" w:cstheme="minorBidi"/>
          <w:color w:val="auto"/>
          <w:spacing w:val="0"/>
          <w:sz w:val="22"/>
          <w:szCs w:val="22"/>
        </w:rPr>
      </w:pPr>
      <w:hyperlink w:anchor="_Toc400018483" w:history="1">
        <w:r w:rsidR="00294DC2" w:rsidRPr="00FB5042">
          <w:rPr>
            <w:rStyle w:val="Hyperlink"/>
          </w:rPr>
          <w:t>Customer Service Centre</w:t>
        </w:r>
        <w:r w:rsidR="00294DC2">
          <w:rPr>
            <w:webHidden/>
          </w:rPr>
          <w:tab/>
        </w:r>
        <w:r w:rsidR="00294DC2">
          <w:rPr>
            <w:webHidden/>
          </w:rPr>
          <w:fldChar w:fldCharType="begin"/>
        </w:r>
        <w:r w:rsidR="00294DC2">
          <w:rPr>
            <w:webHidden/>
          </w:rPr>
          <w:instrText xml:space="preserve"> PAGEREF _Toc400018483 \h </w:instrText>
        </w:r>
        <w:r w:rsidR="00294DC2">
          <w:rPr>
            <w:webHidden/>
          </w:rPr>
        </w:r>
        <w:r w:rsidR="00294DC2">
          <w:rPr>
            <w:webHidden/>
          </w:rPr>
          <w:fldChar w:fldCharType="separate"/>
        </w:r>
        <w:r w:rsidR="00294DC2">
          <w:rPr>
            <w:webHidden/>
          </w:rPr>
          <w:t>17</w:t>
        </w:r>
        <w:r w:rsidR="00294DC2">
          <w:rPr>
            <w:webHidden/>
          </w:rPr>
          <w:fldChar w:fldCharType="end"/>
        </w:r>
      </w:hyperlink>
    </w:p>
    <w:p w14:paraId="4B95FF5F" w14:textId="77777777" w:rsidR="00294DC2" w:rsidRDefault="00311E08">
      <w:pPr>
        <w:pStyle w:val="TOC1"/>
        <w:rPr>
          <w:rFonts w:asciiTheme="minorHAnsi" w:eastAsiaTheme="minorEastAsia" w:hAnsiTheme="minorHAnsi" w:cstheme="minorBidi"/>
          <w:b w:val="0"/>
          <w:color w:val="auto"/>
          <w:spacing w:val="0"/>
          <w:sz w:val="22"/>
          <w:szCs w:val="22"/>
        </w:rPr>
      </w:pPr>
      <w:hyperlink w:anchor="_Toc400018484" w:history="1">
        <w:r w:rsidR="00294DC2" w:rsidRPr="00FB5042">
          <w:rPr>
            <w:rStyle w:val="Hyperlink"/>
          </w:rPr>
          <w:t>Chapter 1: About the ACMA</w:t>
        </w:r>
        <w:r w:rsidR="00294DC2">
          <w:rPr>
            <w:webHidden/>
          </w:rPr>
          <w:tab/>
        </w:r>
        <w:r w:rsidR="00294DC2">
          <w:rPr>
            <w:webHidden/>
          </w:rPr>
          <w:fldChar w:fldCharType="begin"/>
        </w:r>
        <w:r w:rsidR="00294DC2">
          <w:rPr>
            <w:webHidden/>
          </w:rPr>
          <w:instrText xml:space="preserve"> PAGEREF _Toc400018484 \h </w:instrText>
        </w:r>
        <w:r w:rsidR="00294DC2">
          <w:rPr>
            <w:webHidden/>
          </w:rPr>
        </w:r>
        <w:r w:rsidR="00294DC2">
          <w:rPr>
            <w:webHidden/>
          </w:rPr>
          <w:fldChar w:fldCharType="separate"/>
        </w:r>
        <w:r w:rsidR="00294DC2">
          <w:rPr>
            <w:webHidden/>
          </w:rPr>
          <w:t>18</w:t>
        </w:r>
        <w:r w:rsidR="00294DC2">
          <w:rPr>
            <w:webHidden/>
          </w:rPr>
          <w:fldChar w:fldCharType="end"/>
        </w:r>
      </w:hyperlink>
    </w:p>
    <w:p w14:paraId="5472A9FD" w14:textId="77777777" w:rsidR="00294DC2" w:rsidRDefault="00311E08">
      <w:pPr>
        <w:pStyle w:val="TOC2"/>
        <w:rPr>
          <w:rFonts w:asciiTheme="minorHAnsi" w:eastAsiaTheme="minorEastAsia" w:hAnsiTheme="minorHAnsi" w:cstheme="minorBidi"/>
          <w:color w:val="auto"/>
          <w:spacing w:val="0"/>
          <w:sz w:val="22"/>
          <w:szCs w:val="22"/>
        </w:rPr>
      </w:pPr>
      <w:hyperlink w:anchor="_Toc400018485" w:history="1">
        <w:r w:rsidR="00294DC2" w:rsidRPr="00FB5042">
          <w:rPr>
            <w:rStyle w:val="Hyperlink"/>
          </w:rPr>
          <w:t>Functions and responsibilities</w:t>
        </w:r>
        <w:r w:rsidR="00294DC2">
          <w:rPr>
            <w:webHidden/>
          </w:rPr>
          <w:tab/>
        </w:r>
        <w:r w:rsidR="00294DC2">
          <w:rPr>
            <w:webHidden/>
          </w:rPr>
          <w:fldChar w:fldCharType="begin"/>
        </w:r>
        <w:r w:rsidR="00294DC2">
          <w:rPr>
            <w:webHidden/>
          </w:rPr>
          <w:instrText xml:space="preserve"> PAGEREF _Toc400018485 \h </w:instrText>
        </w:r>
        <w:r w:rsidR="00294DC2">
          <w:rPr>
            <w:webHidden/>
          </w:rPr>
        </w:r>
        <w:r w:rsidR="00294DC2">
          <w:rPr>
            <w:webHidden/>
          </w:rPr>
          <w:fldChar w:fldCharType="separate"/>
        </w:r>
        <w:r w:rsidR="00294DC2">
          <w:rPr>
            <w:webHidden/>
          </w:rPr>
          <w:t>18</w:t>
        </w:r>
        <w:r w:rsidR="00294DC2">
          <w:rPr>
            <w:webHidden/>
          </w:rPr>
          <w:fldChar w:fldCharType="end"/>
        </w:r>
      </w:hyperlink>
    </w:p>
    <w:p w14:paraId="4DF03DE1" w14:textId="77777777" w:rsidR="00294DC2" w:rsidRDefault="00311E08">
      <w:pPr>
        <w:pStyle w:val="TOC2"/>
        <w:rPr>
          <w:rFonts w:asciiTheme="minorHAnsi" w:eastAsiaTheme="minorEastAsia" w:hAnsiTheme="minorHAnsi" w:cstheme="minorBidi"/>
          <w:color w:val="auto"/>
          <w:spacing w:val="0"/>
          <w:sz w:val="22"/>
          <w:szCs w:val="22"/>
        </w:rPr>
      </w:pPr>
      <w:hyperlink w:anchor="_Toc400018486" w:history="1">
        <w:r w:rsidR="00294DC2" w:rsidRPr="00FB5042">
          <w:rPr>
            <w:rStyle w:val="Hyperlink"/>
          </w:rPr>
          <w:t>Structure</w:t>
        </w:r>
        <w:r w:rsidR="00294DC2">
          <w:rPr>
            <w:webHidden/>
          </w:rPr>
          <w:tab/>
        </w:r>
        <w:r w:rsidR="00294DC2">
          <w:rPr>
            <w:webHidden/>
          </w:rPr>
          <w:fldChar w:fldCharType="begin"/>
        </w:r>
        <w:r w:rsidR="00294DC2">
          <w:rPr>
            <w:webHidden/>
          </w:rPr>
          <w:instrText xml:space="preserve"> PAGEREF _Toc400018486 \h </w:instrText>
        </w:r>
        <w:r w:rsidR="00294DC2">
          <w:rPr>
            <w:webHidden/>
          </w:rPr>
        </w:r>
        <w:r w:rsidR="00294DC2">
          <w:rPr>
            <w:webHidden/>
          </w:rPr>
          <w:fldChar w:fldCharType="separate"/>
        </w:r>
        <w:r w:rsidR="00294DC2">
          <w:rPr>
            <w:webHidden/>
          </w:rPr>
          <w:t>19</w:t>
        </w:r>
        <w:r w:rsidR="00294DC2">
          <w:rPr>
            <w:webHidden/>
          </w:rPr>
          <w:fldChar w:fldCharType="end"/>
        </w:r>
      </w:hyperlink>
    </w:p>
    <w:p w14:paraId="1482BAF4" w14:textId="77777777" w:rsidR="00294DC2" w:rsidRDefault="00311E08">
      <w:pPr>
        <w:pStyle w:val="TOC3"/>
        <w:rPr>
          <w:rFonts w:asciiTheme="minorHAnsi" w:eastAsiaTheme="minorEastAsia" w:hAnsiTheme="minorHAnsi" w:cstheme="minorBidi"/>
          <w:color w:val="auto"/>
        </w:rPr>
      </w:pPr>
      <w:hyperlink w:anchor="_Toc400018487" w:history="1">
        <w:r w:rsidR="00294DC2" w:rsidRPr="00FB5042">
          <w:rPr>
            <w:rStyle w:val="Hyperlink"/>
          </w:rPr>
          <w:t>The Authority</w:t>
        </w:r>
        <w:r w:rsidR="00294DC2">
          <w:rPr>
            <w:webHidden/>
          </w:rPr>
          <w:tab/>
        </w:r>
        <w:r w:rsidR="00294DC2">
          <w:rPr>
            <w:webHidden/>
          </w:rPr>
          <w:fldChar w:fldCharType="begin"/>
        </w:r>
        <w:r w:rsidR="00294DC2">
          <w:rPr>
            <w:webHidden/>
          </w:rPr>
          <w:instrText xml:space="preserve"> PAGEREF _Toc400018487 \h </w:instrText>
        </w:r>
        <w:r w:rsidR="00294DC2">
          <w:rPr>
            <w:webHidden/>
          </w:rPr>
        </w:r>
        <w:r w:rsidR="00294DC2">
          <w:rPr>
            <w:webHidden/>
          </w:rPr>
          <w:fldChar w:fldCharType="separate"/>
        </w:r>
        <w:r w:rsidR="00294DC2">
          <w:rPr>
            <w:webHidden/>
          </w:rPr>
          <w:t>19</w:t>
        </w:r>
        <w:r w:rsidR="00294DC2">
          <w:rPr>
            <w:webHidden/>
          </w:rPr>
          <w:fldChar w:fldCharType="end"/>
        </w:r>
      </w:hyperlink>
    </w:p>
    <w:p w14:paraId="764AF0CA" w14:textId="77777777" w:rsidR="00294DC2" w:rsidRDefault="00311E08">
      <w:pPr>
        <w:pStyle w:val="TOC3"/>
        <w:rPr>
          <w:rFonts w:asciiTheme="minorHAnsi" w:eastAsiaTheme="minorEastAsia" w:hAnsiTheme="minorHAnsi" w:cstheme="minorBidi"/>
          <w:color w:val="auto"/>
        </w:rPr>
      </w:pPr>
      <w:hyperlink w:anchor="_Toc400018488" w:history="1">
        <w:r w:rsidR="00294DC2" w:rsidRPr="00FB5042">
          <w:rPr>
            <w:rStyle w:val="Hyperlink"/>
          </w:rPr>
          <w:t>About the Authority</w:t>
        </w:r>
        <w:r w:rsidR="00294DC2">
          <w:rPr>
            <w:webHidden/>
          </w:rPr>
          <w:tab/>
        </w:r>
        <w:r w:rsidR="00294DC2">
          <w:rPr>
            <w:webHidden/>
          </w:rPr>
          <w:fldChar w:fldCharType="begin"/>
        </w:r>
        <w:r w:rsidR="00294DC2">
          <w:rPr>
            <w:webHidden/>
          </w:rPr>
          <w:instrText xml:space="preserve"> PAGEREF _Toc400018488 \h </w:instrText>
        </w:r>
        <w:r w:rsidR="00294DC2">
          <w:rPr>
            <w:webHidden/>
          </w:rPr>
        </w:r>
        <w:r w:rsidR="00294DC2">
          <w:rPr>
            <w:webHidden/>
          </w:rPr>
          <w:fldChar w:fldCharType="separate"/>
        </w:r>
        <w:r w:rsidR="00294DC2">
          <w:rPr>
            <w:webHidden/>
          </w:rPr>
          <w:t>19</w:t>
        </w:r>
        <w:r w:rsidR="00294DC2">
          <w:rPr>
            <w:webHidden/>
          </w:rPr>
          <w:fldChar w:fldCharType="end"/>
        </w:r>
      </w:hyperlink>
    </w:p>
    <w:p w14:paraId="34046088" w14:textId="77777777" w:rsidR="00294DC2" w:rsidRDefault="00311E08">
      <w:pPr>
        <w:pStyle w:val="TOC3"/>
        <w:rPr>
          <w:rFonts w:asciiTheme="minorHAnsi" w:eastAsiaTheme="minorEastAsia" w:hAnsiTheme="minorHAnsi" w:cstheme="minorBidi"/>
          <w:color w:val="auto"/>
        </w:rPr>
      </w:pPr>
      <w:hyperlink w:anchor="_Toc400018489" w:history="1">
        <w:r w:rsidR="00294DC2" w:rsidRPr="00FB5042">
          <w:rPr>
            <w:rStyle w:val="Hyperlink"/>
          </w:rPr>
          <w:t>Corporate structure</w:t>
        </w:r>
        <w:r w:rsidR="00294DC2">
          <w:rPr>
            <w:webHidden/>
          </w:rPr>
          <w:tab/>
        </w:r>
        <w:r w:rsidR="00294DC2">
          <w:rPr>
            <w:webHidden/>
          </w:rPr>
          <w:fldChar w:fldCharType="begin"/>
        </w:r>
        <w:r w:rsidR="00294DC2">
          <w:rPr>
            <w:webHidden/>
          </w:rPr>
          <w:instrText xml:space="preserve"> PAGEREF _Toc400018489 \h </w:instrText>
        </w:r>
        <w:r w:rsidR="00294DC2">
          <w:rPr>
            <w:webHidden/>
          </w:rPr>
        </w:r>
        <w:r w:rsidR="00294DC2">
          <w:rPr>
            <w:webHidden/>
          </w:rPr>
          <w:fldChar w:fldCharType="separate"/>
        </w:r>
        <w:r w:rsidR="00294DC2">
          <w:rPr>
            <w:webHidden/>
          </w:rPr>
          <w:t>21</w:t>
        </w:r>
        <w:r w:rsidR="00294DC2">
          <w:rPr>
            <w:webHidden/>
          </w:rPr>
          <w:fldChar w:fldCharType="end"/>
        </w:r>
      </w:hyperlink>
    </w:p>
    <w:p w14:paraId="26F811A8" w14:textId="77777777" w:rsidR="00294DC2" w:rsidRDefault="00311E08">
      <w:pPr>
        <w:pStyle w:val="TOC2"/>
        <w:rPr>
          <w:rFonts w:asciiTheme="minorHAnsi" w:eastAsiaTheme="minorEastAsia" w:hAnsiTheme="minorHAnsi" w:cstheme="minorBidi"/>
          <w:color w:val="auto"/>
          <w:spacing w:val="0"/>
          <w:sz w:val="22"/>
          <w:szCs w:val="22"/>
        </w:rPr>
      </w:pPr>
      <w:hyperlink w:anchor="_Toc400018490" w:history="1">
        <w:r w:rsidR="00294DC2" w:rsidRPr="00FB5042">
          <w:rPr>
            <w:rStyle w:val="Hyperlink"/>
          </w:rPr>
          <w:t>Revenue collection</w:t>
        </w:r>
        <w:r w:rsidR="00294DC2">
          <w:rPr>
            <w:webHidden/>
          </w:rPr>
          <w:tab/>
        </w:r>
        <w:r w:rsidR="00294DC2">
          <w:rPr>
            <w:webHidden/>
          </w:rPr>
          <w:fldChar w:fldCharType="begin"/>
        </w:r>
        <w:r w:rsidR="00294DC2">
          <w:rPr>
            <w:webHidden/>
          </w:rPr>
          <w:instrText xml:space="preserve"> PAGEREF _Toc400018490 \h </w:instrText>
        </w:r>
        <w:r w:rsidR="00294DC2">
          <w:rPr>
            <w:webHidden/>
          </w:rPr>
        </w:r>
        <w:r w:rsidR="00294DC2">
          <w:rPr>
            <w:webHidden/>
          </w:rPr>
          <w:fldChar w:fldCharType="separate"/>
        </w:r>
        <w:r w:rsidR="00294DC2">
          <w:rPr>
            <w:webHidden/>
          </w:rPr>
          <w:t>24</w:t>
        </w:r>
        <w:r w:rsidR="00294DC2">
          <w:rPr>
            <w:webHidden/>
          </w:rPr>
          <w:fldChar w:fldCharType="end"/>
        </w:r>
      </w:hyperlink>
    </w:p>
    <w:p w14:paraId="15CA221D" w14:textId="77777777" w:rsidR="00294DC2" w:rsidRDefault="00311E08">
      <w:pPr>
        <w:pStyle w:val="TOC1"/>
        <w:rPr>
          <w:rFonts w:asciiTheme="minorHAnsi" w:eastAsiaTheme="minorEastAsia" w:hAnsiTheme="minorHAnsi" w:cstheme="minorBidi"/>
          <w:b w:val="0"/>
          <w:color w:val="auto"/>
          <w:spacing w:val="0"/>
          <w:sz w:val="22"/>
          <w:szCs w:val="22"/>
        </w:rPr>
      </w:pPr>
      <w:hyperlink w:anchor="_Toc400018491" w:history="1">
        <w:r w:rsidR="00294DC2" w:rsidRPr="00FB5042">
          <w:rPr>
            <w:rStyle w:val="Hyperlink"/>
          </w:rPr>
          <w:t>Chapter 2: Regulatory environment</w:t>
        </w:r>
        <w:r w:rsidR="00294DC2">
          <w:rPr>
            <w:webHidden/>
          </w:rPr>
          <w:tab/>
        </w:r>
        <w:r w:rsidR="00294DC2">
          <w:rPr>
            <w:webHidden/>
          </w:rPr>
          <w:fldChar w:fldCharType="begin"/>
        </w:r>
        <w:r w:rsidR="00294DC2">
          <w:rPr>
            <w:webHidden/>
          </w:rPr>
          <w:instrText xml:space="preserve"> PAGEREF _Toc400018491 \h </w:instrText>
        </w:r>
        <w:r w:rsidR="00294DC2">
          <w:rPr>
            <w:webHidden/>
          </w:rPr>
        </w:r>
        <w:r w:rsidR="00294DC2">
          <w:rPr>
            <w:webHidden/>
          </w:rPr>
          <w:fldChar w:fldCharType="separate"/>
        </w:r>
        <w:r w:rsidR="00294DC2">
          <w:rPr>
            <w:webHidden/>
          </w:rPr>
          <w:t>25</w:t>
        </w:r>
        <w:r w:rsidR="00294DC2">
          <w:rPr>
            <w:webHidden/>
          </w:rPr>
          <w:fldChar w:fldCharType="end"/>
        </w:r>
      </w:hyperlink>
    </w:p>
    <w:p w14:paraId="068B8256" w14:textId="77777777" w:rsidR="00294DC2" w:rsidRDefault="00311E08">
      <w:pPr>
        <w:pStyle w:val="TOC2"/>
        <w:rPr>
          <w:rFonts w:asciiTheme="minorHAnsi" w:eastAsiaTheme="minorEastAsia" w:hAnsiTheme="minorHAnsi" w:cstheme="minorBidi"/>
          <w:color w:val="auto"/>
          <w:spacing w:val="0"/>
          <w:sz w:val="22"/>
          <w:szCs w:val="22"/>
        </w:rPr>
      </w:pPr>
      <w:hyperlink w:anchor="_Toc400018492" w:history="1">
        <w:r w:rsidR="00294DC2" w:rsidRPr="00FB5042">
          <w:rPr>
            <w:rStyle w:val="Hyperlink"/>
          </w:rPr>
          <w:t>Regulatory functions</w:t>
        </w:r>
        <w:r w:rsidR="00294DC2">
          <w:rPr>
            <w:webHidden/>
          </w:rPr>
          <w:tab/>
        </w:r>
        <w:r w:rsidR="00294DC2">
          <w:rPr>
            <w:webHidden/>
          </w:rPr>
          <w:fldChar w:fldCharType="begin"/>
        </w:r>
        <w:r w:rsidR="00294DC2">
          <w:rPr>
            <w:webHidden/>
          </w:rPr>
          <w:instrText xml:space="preserve"> PAGEREF _Toc400018492 \h </w:instrText>
        </w:r>
        <w:r w:rsidR="00294DC2">
          <w:rPr>
            <w:webHidden/>
          </w:rPr>
        </w:r>
        <w:r w:rsidR="00294DC2">
          <w:rPr>
            <w:webHidden/>
          </w:rPr>
          <w:fldChar w:fldCharType="separate"/>
        </w:r>
        <w:r w:rsidR="00294DC2">
          <w:rPr>
            <w:webHidden/>
          </w:rPr>
          <w:t>26</w:t>
        </w:r>
        <w:r w:rsidR="00294DC2">
          <w:rPr>
            <w:webHidden/>
          </w:rPr>
          <w:fldChar w:fldCharType="end"/>
        </w:r>
      </w:hyperlink>
    </w:p>
    <w:p w14:paraId="3113E1E1" w14:textId="77777777" w:rsidR="00294DC2" w:rsidRDefault="00311E08">
      <w:pPr>
        <w:pStyle w:val="TOC3"/>
        <w:rPr>
          <w:rFonts w:asciiTheme="minorHAnsi" w:eastAsiaTheme="minorEastAsia" w:hAnsiTheme="minorHAnsi" w:cstheme="minorBidi"/>
          <w:color w:val="auto"/>
        </w:rPr>
      </w:pPr>
      <w:hyperlink w:anchor="_Toc400018493" w:history="1">
        <w:r w:rsidR="00294DC2" w:rsidRPr="00FB5042">
          <w:rPr>
            <w:rStyle w:val="Hyperlink"/>
          </w:rPr>
          <w:t>The ACMA’s response to emerging issues and regulatory pressures</w:t>
        </w:r>
        <w:r w:rsidR="00294DC2">
          <w:rPr>
            <w:webHidden/>
          </w:rPr>
          <w:tab/>
        </w:r>
        <w:r w:rsidR="00294DC2">
          <w:rPr>
            <w:webHidden/>
          </w:rPr>
          <w:fldChar w:fldCharType="begin"/>
        </w:r>
        <w:r w:rsidR="00294DC2">
          <w:rPr>
            <w:webHidden/>
          </w:rPr>
          <w:instrText xml:space="preserve"> PAGEREF _Toc400018493 \h </w:instrText>
        </w:r>
        <w:r w:rsidR="00294DC2">
          <w:rPr>
            <w:webHidden/>
          </w:rPr>
        </w:r>
        <w:r w:rsidR="00294DC2">
          <w:rPr>
            <w:webHidden/>
          </w:rPr>
          <w:fldChar w:fldCharType="separate"/>
        </w:r>
        <w:r w:rsidR="00294DC2">
          <w:rPr>
            <w:webHidden/>
          </w:rPr>
          <w:t>26</w:t>
        </w:r>
        <w:r w:rsidR="00294DC2">
          <w:rPr>
            <w:webHidden/>
          </w:rPr>
          <w:fldChar w:fldCharType="end"/>
        </w:r>
      </w:hyperlink>
    </w:p>
    <w:p w14:paraId="62CD36E6" w14:textId="77777777" w:rsidR="00294DC2" w:rsidRDefault="00311E08">
      <w:pPr>
        <w:pStyle w:val="TOC3"/>
        <w:rPr>
          <w:rFonts w:asciiTheme="minorHAnsi" w:eastAsiaTheme="minorEastAsia" w:hAnsiTheme="minorHAnsi" w:cstheme="minorBidi"/>
          <w:color w:val="auto"/>
        </w:rPr>
      </w:pPr>
      <w:hyperlink w:anchor="_Toc400018494" w:history="1">
        <w:r w:rsidR="00294DC2" w:rsidRPr="00FB5042">
          <w:rPr>
            <w:rStyle w:val="Hyperlink"/>
            <w:i/>
          </w:rPr>
          <w:t>Contemporary community safeguards inquiry</w:t>
        </w:r>
        <w:r w:rsidR="00294DC2">
          <w:rPr>
            <w:webHidden/>
          </w:rPr>
          <w:tab/>
        </w:r>
        <w:r w:rsidR="00294DC2">
          <w:rPr>
            <w:webHidden/>
          </w:rPr>
          <w:fldChar w:fldCharType="begin"/>
        </w:r>
        <w:r w:rsidR="00294DC2">
          <w:rPr>
            <w:webHidden/>
          </w:rPr>
          <w:instrText xml:space="preserve"> PAGEREF _Toc400018494 \h </w:instrText>
        </w:r>
        <w:r w:rsidR="00294DC2">
          <w:rPr>
            <w:webHidden/>
          </w:rPr>
        </w:r>
        <w:r w:rsidR="00294DC2">
          <w:rPr>
            <w:webHidden/>
          </w:rPr>
          <w:fldChar w:fldCharType="separate"/>
        </w:r>
        <w:r w:rsidR="00294DC2">
          <w:rPr>
            <w:webHidden/>
          </w:rPr>
          <w:t>26</w:t>
        </w:r>
        <w:r w:rsidR="00294DC2">
          <w:rPr>
            <w:webHidden/>
          </w:rPr>
          <w:fldChar w:fldCharType="end"/>
        </w:r>
      </w:hyperlink>
    </w:p>
    <w:p w14:paraId="75BFFE4D" w14:textId="77777777" w:rsidR="00294DC2" w:rsidRDefault="00311E08">
      <w:pPr>
        <w:pStyle w:val="TOC2"/>
        <w:rPr>
          <w:rFonts w:asciiTheme="minorHAnsi" w:eastAsiaTheme="minorEastAsia" w:hAnsiTheme="minorHAnsi" w:cstheme="minorBidi"/>
          <w:color w:val="auto"/>
          <w:spacing w:val="0"/>
          <w:sz w:val="22"/>
          <w:szCs w:val="22"/>
        </w:rPr>
      </w:pPr>
      <w:hyperlink w:anchor="_Toc400018495" w:history="1">
        <w:r w:rsidR="00294DC2" w:rsidRPr="00FB5042">
          <w:rPr>
            <w:rStyle w:val="Hyperlink"/>
          </w:rPr>
          <w:t>Better targeted regulation</w:t>
        </w:r>
        <w:r w:rsidR="00294DC2">
          <w:rPr>
            <w:webHidden/>
          </w:rPr>
          <w:tab/>
        </w:r>
        <w:r w:rsidR="00294DC2">
          <w:rPr>
            <w:webHidden/>
          </w:rPr>
          <w:fldChar w:fldCharType="begin"/>
        </w:r>
        <w:r w:rsidR="00294DC2">
          <w:rPr>
            <w:webHidden/>
          </w:rPr>
          <w:instrText xml:space="preserve"> PAGEREF _Toc400018495 \h </w:instrText>
        </w:r>
        <w:r w:rsidR="00294DC2">
          <w:rPr>
            <w:webHidden/>
          </w:rPr>
        </w:r>
        <w:r w:rsidR="00294DC2">
          <w:rPr>
            <w:webHidden/>
          </w:rPr>
          <w:fldChar w:fldCharType="separate"/>
        </w:r>
        <w:r w:rsidR="00294DC2">
          <w:rPr>
            <w:webHidden/>
          </w:rPr>
          <w:t>27</w:t>
        </w:r>
        <w:r w:rsidR="00294DC2">
          <w:rPr>
            <w:webHidden/>
          </w:rPr>
          <w:fldChar w:fldCharType="end"/>
        </w:r>
      </w:hyperlink>
    </w:p>
    <w:p w14:paraId="618BCDA0" w14:textId="77777777" w:rsidR="00294DC2" w:rsidRDefault="00311E08">
      <w:pPr>
        <w:pStyle w:val="TOC2"/>
        <w:rPr>
          <w:rFonts w:asciiTheme="minorHAnsi" w:eastAsiaTheme="minorEastAsia" w:hAnsiTheme="minorHAnsi" w:cstheme="minorBidi"/>
          <w:color w:val="auto"/>
          <w:spacing w:val="0"/>
          <w:sz w:val="22"/>
          <w:szCs w:val="22"/>
        </w:rPr>
      </w:pPr>
      <w:hyperlink w:anchor="_Toc400018496" w:history="1">
        <w:r w:rsidR="00294DC2" w:rsidRPr="00FB5042">
          <w:rPr>
            <w:rStyle w:val="Hyperlink"/>
          </w:rPr>
          <w:t>Sunsetting</w:t>
        </w:r>
        <w:r w:rsidR="00294DC2">
          <w:rPr>
            <w:webHidden/>
          </w:rPr>
          <w:tab/>
        </w:r>
        <w:r w:rsidR="00294DC2">
          <w:rPr>
            <w:webHidden/>
          </w:rPr>
          <w:fldChar w:fldCharType="begin"/>
        </w:r>
        <w:r w:rsidR="00294DC2">
          <w:rPr>
            <w:webHidden/>
          </w:rPr>
          <w:instrText xml:space="preserve"> PAGEREF _Toc400018496 \h </w:instrText>
        </w:r>
        <w:r w:rsidR="00294DC2">
          <w:rPr>
            <w:webHidden/>
          </w:rPr>
        </w:r>
        <w:r w:rsidR="00294DC2">
          <w:rPr>
            <w:webHidden/>
          </w:rPr>
          <w:fldChar w:fldCharType="separate"/>
        </w:r>
        <w:r w:rsidR="00294DC2">
          <w:rPr>
            <w:webHidden/>
          </w:rPr>
          <w:t>27</w:t>
        </w:r>
        <w:r w:rsidR="00294DC2">
          <w:rPr>
            <w:webHidden/>
          </w:rPr>
          <w:fldChar w:fldCharType="end"/>
        </w:r>
      </w:hyperlink>
    </w:p>
    <w:p w14:paraId="4B5C647E" w14:textId="77777777" w:rsidR="00294DC2" w:rsidRDefault="00311E08">
      <w:pPr>
        <w:pStyle w:val="TOC2"/>
        <w:rPr>
          <w:rFonts w:asciiTheme="minorHAnsi" w:eastAsiaTheme="minorEastAsia" w:hAnsiTheme="minorHAnsi" w:cstheme="minorBidi"/>
          <w:color w:val="auto"/>
          <w:spacing w:val="0"/>
          <w:sz w:val="22"/>
          <w:szCs w:val="22"/>
        </w:rPr>
      </w:pPr>
      <w:hyperlink w:anchor="_Toc400018497" w:history="1">
        <w:r w:rsidR="00294DC2" w:rsidRPr="00FB5042">
          <w:rPr>
            <w:rStyle w:val="Hyperlink"/>
          </w:rPr>
          <w:t>Ownership and control</w:t>
        </w:r>
        <w:r w:rsidR="00294DC2">
          <w:rPr>
            <w:webHidden/>
          </w:rPr>
          <w:tab/>
        </w:r>
        <w:r w:rsidR="00294DC2">
          <w:rPr>
            <w:webHidden/>
          </w:rPr>
          <w:fldChar w:fldCharType="begin"/>
        </w:r>
        <w:r w:rsidR="00294DC2">
          <w:rPr>
            <w:webHidden/>
          </w:rPr>
          <w:instrText xml:space="preserve"> PAGEREF _Toc400018497 \h </w:instrText>
        </w:r>
        <w:r w:rsidR="00294DC2">
          <w:rPr>
            <w:webHidden/>
          </w:rPr>
        </w:r>
        <w:r w:rsidR="00294DC2">
          <w:rPr>
            <w:webHidden/>
          </w:rPr>
          <w:fldChar w:fldCharType="separate"/>
        </w:r>
        <w:r w:rsidR="00294DC2">
          <w:rPr>
            <w:webHidden/>
          </w:rPr>
          <w:t>27</w:t>
        </w:r>
        <w:r w:rsidR="00294DC2">
          <w:rPr>
            <w:webHidden/>
          </w:rPr>
          <w:fldChar w:fldCharType="end"/>
        </w:r>
      </w:hyperlink>
    </w:p>
    <w:p w14:paraId="328808CC" w14:textId="77777777" w:rsidR="00294DC2" w:rsidRDefault="00311E08">
      <w:pPr>
        <w:pStyle w:val="TOC3"/>
        <w:rPr>
          <w:rFonts w:asciiTheme="minorHAnsi" w:eastAsiaTheme="minorEastAsia" w:hAnsiTheme="minorHAnsi" w:cstheme="minorBidi"/>
          <w:color w:val="auto"/>
        </w:rPr>
      </w:pPr>
      <w:hyperlink w:anchor="_Toc400018498" w:history="1">
        <w:r w:rsidR="00294DC2" w:rsidRPr="00FB5042">
          <w:rPr>
            <w:rStyle w:val="Hyperlink"/>
          </w:rPr>
          <w:t>Register of Controlled Media Groups</w:t>
        </w:r>
        <w:r w:rsidR="00294DC2">
          <w:rPr>
            <w:webHidden/>
          </w:rPr>
          <w:tab/>
        </w:r>
        <w:r w:rsidR="00294DC2">
          <w:rPr>
            <w:webHidden/>
          </w:rPr>
          <w:fldChar w:fldCharType="begin"/>
        </w:r>
        <w:r w:rsidR="00294DC2">
          <w:rPr>
            <w:webHidden/>
          </w:rPr>
          <w:instrText xml:space="preserve"> PAGEREF _Toc400018498 \h </w:instrText>
        </w:r>
        <w:r w:rsidR="00294DC2">
          <w:rPr>
            <w:webHidden/>
          </w:rPr>
        </w:r>
        <w:r w:rsidR="00294DC2">
          <w:rPr>
            <w:webHidden/>
          </w:rPr>
          <w:fldChar w:fldCharType="separate"/>
        </w:r>
        <w:r w:rsidR="00294DC2">
          <w:rPr>
            <w:webHidden/>
          </w:rPr>
          <w:t>28</w:t>
        </w:r>
        <w:r w:rsidR="00294DC2">
          <w:rPr>
            <w:webHidden/>
          </w:rPr>
          <w:fldChar w:fldCharType="end"/>
        </w:r>
      </w:hyperlink>
    </w:p>
    <w:p w14:paraId="27C6377A" w14:textId="77777777" w:rsidR="00294DC2" w:rsidRDefault="00311E08">
      <w:pPr>
        <w:pStyle w:val="TOC3"/>
        <w:rPr>
          <w:rFonts w:asciiTheme="minorHAnsi" w:eastAsiaTheme="minorEastAsia" w:hAnsiTheme="minorHAnsi" w:cstheme="minorBidi"/>
          <w:color w:val="auto"/>
        </w:rPr>
      </w:pPr>
      <w:hyperlink w:anchor="_Toc400018499" w:history="1">
        <w:r w:rsidR="00294DC2" w:rsidRPr="00FB5042">
          <w:rPr>
            <w:rStyle w:val="Hyperlink"/>
          </w:rPr>
          <w:t>Compliance with ownership and control provisions</w:t>
        </w:r>
        <w:r w:rsidR="00294DC2">
          <w:rPr>
            <w:webHidden/>
          </w:rPr>
          <w:tab/>
        </w:r>
        <w:r w:rsidR="00294DC2">
          <w:rPr>
            <w:webHidden/>
          </w:rPr>
          <w:fldChar w:fldCharType="begin"/>
        </w:r>
        <w:r w:rsidR="00294DC2">
          <w:rPr>
            <w:webHidden/>
          </w:rPr>
          <w:instrText xml:space="preserve"> PAGEREF _Toc400018499 \h </w:instrText>
        </w:r>
        <w:r w:rsidR="00294DC2">
          <w:rPr>
            <w:webHidden/>
          </w:rPr>
        </w:r>
        <w:r w:rsidR="00294DC2">
          <w:rPr>
            <w:webHidden/>
          </w:rPr>
          <w:fldChar w:fldCharType="separate"/>
        </w:r>
        <w:r w:rsidR="00294DC2">
          <w:rPr>
            <w:webHidden/>
          </w:rPr>
          <w:t>28</w:t>
        </w:r>
        <w:r w:rsidR="00294DC2">
          <w:rPr>
            <w:webHidden/>
          </w:rPr>
          <w:fldChar w:fldCharType="end"/>
        </w:r>
      </w:hyperlink>
    </w:p>
    <w:p w14:paraId="7A4B1417" w14:textId="77777777" w:rsidR="00294DC2" w:rsidRDefault="00311E08">
      <w:pPr>
        <w:pStyle w:val="TOC2"/>
        <w:rPr>
          <w:rFonts w:asciiTheme="minorHAnsi" w:eastAsiaTheme="minorEastAsia" w:hAnsiTheme="minorHAnsi" w:cstheme="minorBidi"/>
          <w:color w:val="auto"/>
          <w:spacing w:val="0"/>
          <w:sz w:val="22"/>
          <w:szCs w:val="22"/>
        </w:rPr>
      </w:pPr>
      <w:hyperlink w:anchor="_Toc400018500" w:history="1">
        <w:r w:rsidR="00294DC2" w:rsidRPr="00FB5042">
          <w:rPr>
            <w:rStyle w:val="Hyperlink"/>
          </w:rPr>
          <w:t>Local content</w:t>
        </w:r>
        <w:r w:rsidR="00294DC2">
          <w:rPr>
            <w:webHidden/>
          </w:rPr>
          <w:tab/>
        </w:r>
        <w:r w:rsidR="00294DC2">
          <w:rPr>
            <w:webHidden/>
          </w:rPr>
          <w:fldChar w:fldCharType="begin"/>
        </w:r>
        <w:r w:rsidR="00294DC2">
          <w:rPr>
            <w:webHidden/>
          </w:rPr>
          <w:instrText xml:space="preserve"> PAGEREF _Toc400018500 \h </w:instrText>
        </w:r>
        <w:r w:rsidR="00294DC2">
          <w:rPr>
            <w:webHidden/>
          </w:rPr>
        </w:r>
        <w:r w:rsidR="00294DC2">
          <w:rPr>
            <w:webHidden/>
          </w:rPr>
          <w:fldChar w:fldCharType="separate"/>
        </w:r>
        <w:r w:rsidR="00294DC2">
          <w:rPr>
            <w:webHidden/>
          </w:rPr>
          <w:t>28</w:t>
        </w:r>
        <w:r w:rsidR="00294DC2">
          <w:rPr>
            <w:webHidden/>
          </w:rPr>
          <w:fldChar w:fldCharType="end"/>
        </w:r>
      </w:hyperlink>
    </w:p>
    <w:p w14:paraId="2D4EAF37" w14:textId="77777777" w:rsidR="00294DC2" w:rsidRDefault="00311E08">
      <w:pPr>
        <w:pStyle w:val="TOC3"/>
        <w:rPr>
          <w:rFonts w:asciiTheme="minorHAnsi" w:eastAsiaTheme="minorEastAsia" w:hAnsiTheme="minorHAnsi" w:cstheme="minorBidi"/>
          <w:color w:val="auto"/>
        </w:rPr>
      </w:pPr>
      <w:hyperlink w:anchor="_Toc400018501" w:history="1">
        <w:r w:rsidR="00294DC2" w:rsidRPr="00FB5042">
          <w:rPr>
            <w:rStyle w:val="Hyperlink"/>
          </w:rPr>
          <w:t>Regional television</w:t>
        </w:r>
        <w:r w:rsidR="00294DC2">
          <w:rPr>
            <w:webHidden/>
          </w:rPr>
          <w:tab/>
        </w:r>
        <w:r w:rsidR="00294DC2">
          <w:rPr>
            <w:webHidden/>
          </w:rPr>
          <w:fldChar w:fldCharType="begin"/>
        </w:r>
        <w:r w:rsidR="00294DC2">
          <w:rPr>
            <w:webHidden/>
          </w:rPr>
          <w:instrText xml:space="preserve"> PAGEREF _Toc400018501 \h </w:instrText>
        </w:r>
        <w:r w:rsidR="00294DC2">
          <w:rPr>
            <w:webHidden/>
          </w:rPr>
        </w:r>
        <w:r w:rsidR="00294DC2">
          <w:rPr>
            <w:webHidden/>
          </w:rPr>
          <w:fldChar w:fldCharType="separate"/>
        </w:r>
        <w:r w:rsidR="00294DC2">
          <w:rPr>
            <w:webHidden/>
          </w:rPr>
          <w:t>28</w:t>
        </w:r>
        <w:r w:rsidR="00294DC2">
          <w:rPr>
            <w:webHidden/>
          </w:rPr>
          <w:fldChar w:fldCharType="end"/>
        </w:r>
      </w:hyperlink>
    </w:p>
    <w:p w14:paraId="3EA4AA5F" w14:textId="77777777" w:rsidR="00294DC2" w:rsidRDefault="00311E08">
      <w:pPr>
        <w:pStyle w:val="TOC3"/>
        <w:rPr>
          <w:rFonts w:asciiTheme="minorHAnsi" w:eastAsiaTheme="minorEastAsia" w:hAnsiTheme="minorHAnsi" w:cstheme="minorBidi"/>
          <w:color w:val="auto"/>
        </w:rPr>
      </w:pPr>
      <w:hyperlink w:anchor="_Toc400018502" w:history="1">
        <w:r w:rsidR="00294DC2" w:rsidRPr="00FB5042">
          <w:rPr>
            <w:rStyle w:val="Hyperlink"/>
          </w:rPr>
          <w:t>Regional radio</w:t>
        </w:r>
        <w:r w:rsidR="00294DC2">
          <w:rPr>
            <w:webHidden/>
          </w:rPr>
          <w:tab/>
        </w:r>
        <w:r w:rsidR="00294DC2">
          <w:rPr>
            <w:webHidden/>
          </w:rPr>
          <w:fldChar w:fldCharType="begin"/>
        </w:r>
        <w:r w:rsidR="00294DC2">
          <w:rPr>
            <w:webHidden/>
          </w:rPr>
          <w:instrText xml:space="preserve"> PAGEREF _Toc400018502 \h </w:instrText>
        </w:r>
        <w:r w:rsidR="00294DC2">
          <w:rPr>
            <w:webHidden/>
          </w:rPr>
        </w:r>
        <w:r w:rsidR="00294DC2">
          <w:rPr>
            <w:webHidden/>
          </w:rPr>
          <w:fldChar w:fldCharType="separate"/>
        </w:r>
        <w:r w:rsidR="00294DC2">
          <w:rPr>
            <w:webHidden/>
          </w:rPr>
          <w:t>31</w:t>
        </w:r>
        <w:r w:rsidR="00294DC2">
          <w:rPr>
            <w:webHidden/>
          </w:rPr>
          <w:fldChar w:fldCharType="end"/>
        </w:r>
      </w:hyperlink>
    </w:p>
    <w:p w14:paraId="4E28CCBC" w14:textId="77777777" w:rsidR="00294DC2" w:rsidRDefault="00311E08">
      <w:pPr>
        <w:pStyle w:val="TOC2"/>
        <w:rPr>
          <w:rFonts w:asciiTheme="minorHAnsi" w:eastAsiaTheme="minorEastAsia" w:hAnsiTheme="minorHAnsi" w:cstheme="minorBidi"/>
          <w:color w:val="auto"/>
          <w:spacing w:val="0"/>
          <w:sz w:val="22"/>
          <w:szCs w:val="22"/>
        </w:rPr>
      </w:pPr>
      <w:hyperlink w:anchor="_Toc400018503" w:history="1">
        <w:r w:rsidR="00294DC2" w:rsidRPr="00FB5042">
          <w:rPr>
            <w:rStyle w:val="Hyperlink"/>
          </w:rPr>
          <w:t>Digital broadcasting</w:t>
        </w:r>
        <w:r w:rsidR="00294DC2">
          <w:rPr>
            <w:webHidden/>
          </w:rPr>
          <w:tab/>
        </w:r>
        <w:r w:rsidR="00294DC2">
          <w:rPr>
            <w:webHidden/>
          </w:rPr>
          <w:fldChar w:fldCharType="begin"/>
        </w:r>
        <w:r w:rsidR="00294DC2">
          <w:rPr>
            <w:webHidden/>
          </w:rPr>
          <w:instrText xml:space="preserve"> PAGEREF _Toc400018503 \h </w:instrText>
        </w:r>
        <w:r w:rsidR="00294DC2">
          <w:rPr>
            <w:webHidden/>
          </w:rPr>
        </w:r>
        <w:r w:rsidR="00294DC2">
          <w:rPr>
            <w:webHidden/>
          </w:rPr>
          <w:fldChar w:fldCharType="separate"/>
        </w:r>
        <w:r w:rsidR="00294DC2">
          <w:rPr>
            <w:webHidden/>
          </w:rPr>
          <w:t>32</w:t>
        </w:r>
        <w:r w:rsidR="00294DC2">
          <w:rPr>
            <w:webHidden/>
          </w:rPr>
          <w:fldChar w:fldCharType="end"/>
        </w:r>
      </w:hyperlink>
    </w:p>
    <w:p w14:paraId="0E433A6B" w14:textId="77777777" w:rsidR="00294DC2" w:rsidRDefault="00311E08">
      <w:pPr>
        <w:pStyle w:val="TOC3"/>
        <w:rPr>
          <w:rFonts w:asciiTheme="minorHAnsi" w:eastAsiaTheme="minorEastAsia" w:hAnsiTheme="minorHAnsi" w:cstheme="minorBidi"/>
          <w:color w:val="auto"/>
        </w:rPr>
      </w:pPr>
      <w:hyperlink w:anchor="_Toc400018504" w:history="1">
        <w:r w:rsidR="00294DC2" w:rsidRPr="00FB5042">
          <w:rPr>
            <w:rStyle w:val="Hyperlink"/>
          </w:rPr>
          <w:t>Digital television</w:t>
        </w:r>
        <w:r w:rsidR="00294DC2">
          <w:rPr>
            <w:webHidden/>
          </w:rPr>
          <w:tab/>
        </w:r>
        <w:r w:rsidR="00294DC2">
          <w:rPr>
            <w:webHidden/>
          </w:rPr>
          <w:fldChar w:fldCharType="begin"/>
        </w:r>
        <w:r w:rsidR="00294DC2">
          <w:rPr>
            <w:webHidden/>
          </w:rPr>
          <w:instrText xml:space="preserve"> PAGEREF _Toc400018504 \h </w:instrText>
        </w:r>
        <w:r w:rsidR="00294DC2">
          <w:rPr>
            <w:webHidden/>
          </w:rPr>
        </w:r>
        <w:r w:rsidR="00294DC2">
          <w:rPr>
            <w:webHidden/>
          </w:rPr>
          <w:fldChar w:fldCharType="separate"/>
        </w:r>
        <w:r w:rsidR="00294DC2">
          <w:rPr>
            <w:webHidden/>
          </w:rPr>
          <w:t>32</w:t>
        </w:r>
        <w:r w:rsidR="00294DC2">
          <w:rPr>
            <w:webHidden/>
          </w:rPr>
          <w:fldChar w:fldCharType="end"/>
        </w:r>
      </w:hyperlink>
    </w:p>
    <w:p w14:paraId="4424C07C" w14:textId="77777777" w:rsidR="00294DC2" w:rsidRDefault="00311E08">
      <w:pPr>
        <w:pStyle w:val="TOC3"/>
        <w:rPr>
          <w:rFonts w:asciiTheme="minorHAnsi" w:eastAsiaTheme="minorEastAsia" w:hAnsiTheme="minorHAnsi" w:cstheme="minorBidi"/>
          <w:color w:val="auto"/>
        </w:rPr>
      </w:pPr>
      <w:hyperlink w:anchor="_Toc400018505" w:history="1">
        <w:r w:rsidR="00294DC2" w:rsidRPr="00FB5042">
          <w:rPr>
            <w:rStyle w:val="Hyperlink"/>
          </w:rPr>
          <w:t>Digital radio</w:t>
        </w:r>
        <w:r w:rsidR="00294DC2">
          <w:rPr>
            <w:webHidden/>
          </w:rPr>
          <w:tab/>
        </w:r>
        <w:r w:rsidR="00294DC2">
          <w:rPr>
            <w:webHidden/>
          </w:rPr>
          <w:fldChar w:fldCharType="begin"/>
        </w:r>
        <w:r w:rsidR="00294DC2">
          <w:rPr>
            <w:webHidden/>
          </w:rPr>
          <w:instrText xml:space="preserve"> PAGEREF _Toc400018505 \h </w:instrText>
        </w:r>
        <w:r w:rsidR="00294DC2">
          <w:rPr>
            <w:webHidden/>
          </w:rPr>
        </w:r>
        <w:r w:rsidR="00294DC2">
          <w:rPr>
            <w:webHidden/>
          </w:rPr>
          <w:fldChar w:fldCharType="separate"/>
        </w:r>
        <w:r w:rsidR="00294DC2">
          <w:rPr>
            <w:webHidden/>
          </w:rPr>
          <w:t>34</w:t>
        </w:r>
        <w:r w:rsidR="00294DC2">
          <w:rPr>
            <w:webHidden/>
          </w:rPr>
          <w:fldChar w:fldCharType="end"/>
        </w:r>
      </w:hyperlink>
    </w:p>
    <w:p w14:paraId="50F935EE" w14:textId="77777777" w:rsidR="00294DC2" w:rsidRDefault="00311E08">
      <w:pPr>
        <w:pStyle w:val="TOC2"/>
        <w:rPr>
          <w:rFonts w:asciiTheme="minorHAnsi" w:eastAsiaTheme="minorEastAsia" w:hAnsiTheme="minorHAnsi" w:cstheme="minorBidi"/>
          <w:color w:val="auto"/>
          <w:spacing w:val="0"/>
          <w:sz w:val="22"/>
          <w:szCs w:val="22"/>
        </w:rPr>
      </w:pPr>
      <w:hyperlink w:anchor="_Toc400018506" w:history="1">
        <w:r w:rsidR="00294DC2" w:rsidRPr="00FB5042">
          <w:rPr>
            <w:rStyle w:val="Hyperlink"/>
          </w:rPr>
          <w:t>Spectrum management</w:t>
        </w:r>
        <w:r w:rsidR="00294DC2">
          <w:rPr>
            <w:webHidden/>
          </w:rPr>
          <w:tab/>
        </w:r>
        <w:r w:rsidR="00294DC2">
          <w:rPr>
            <w:webHidden/>
          </w:rPr>
          <w:fldChar w:fldCharType="begin"/>
        </w:r>
        <w:r w:rsidR="00294DC2">
          <w:rPr>
            <w:webHidden/>
          </w:rPr>
          <w:instrText xml:space="preserve"> PAGEREF _Toc400018506 \h </w:instrText>
        </w:r>
        <w:r w:rsidR="00294DC2">
          <w:rPr>
            <w:webHidden/>
          </w:rPr>
        </w:r>
        <w:r w:rsidR="00294DC2">
          <w:rPr>
            <w:webHidden/>
          </w:rPr>
          <w:fldChar w:fldCharType="separate"/>
        </w:r>
        <w:r w:rsidR="00294DC2">
          <w:rPr>
            <w:webHidden/>
          </w:rPr>
          <w:t>34</w:t>
        </w:r>
        <w:r w:rsidR="00294DC2">
          <w:rPr>
            <w:webHidden/>
          </w:rPr>
          <w:fldChar w:fldCharType="end"/>
        </w:r>
      </w:hyperlink>
    </w:p>
    <w:p w14:paraId="0396BFFC" w14:textId="77777777" w:rsidR="00294DC2" w:rsidRDefault="00311E08">
      <w:pPr>
        <w:pStyle w:val="TOC3"/>
        <w:rPr>
          <w:rFonts w:asciiTheme="minorHAnsi" w:eastAsiaTheme="minorEastAsia" w:hAnsiTheme="minorHAnsi" w:cstheme="minorBidi"/>
          <w:color w:val="auto"/>
        </w:rPr>
      </w:pPr>
      <w:hyperlink w:anchor="_Toc400018507" w:history="1">
        <w:r w:rsidR="00294DC2" w:rsidRPr="00FB5042">
          <w:rPr>
            <w:rStyle w:val="Hyperlink"/>
          </w:rPr>
          <w:t>Expiring spectrum licences</w:t>
        </w:r>
        <w:r w:rsidR="00294DC2">
          <w:rPr>
            <w:webHidden/>
          </w:rPr>
          <w:tab/>
        </w:r>
        <w:r w:rsidR="00294DC2">
          <w:rPr>
            <w:webHidden/>
          </w:rPr>
          <w:fldChar w:fldCharType="begin"/>
        </w:r>
        <w:r w:rsidR="00294DC2">
          <w:rPr>
            <w:webHidden/>
          </w:rPr>
          <w:instrText xml:space="preserve"> PAGEREF _Toc400018507 \h </w:instrText>
        </w:r>
        <w:r w:rsidR="00294DC2">
          <w:rPr>
            <w:webHidden/>
          </w:rPr>
        </w:r>
        <w:r w:rsidR="00294DC2">
          <w:rPr>
            <w:webHidden/>
          </w:rPr>
          <w:fldChar w:fldCharType="separate"/>
        </w:r>
        <w:r w:rsidR="00294DC2">
          <w:rPr>
            <w:webHidden/>
          </w:rPr>
          <w:t>35</w:t>
        </w:r>
        <w:r w:rsidR="00294DC2">
          <w:rPr>
            <w:webHidden/>
          </w:rPr>
          <w:fldChar w:fldCharType="end"/>
        </w:r>
      </w:hyperlink>
    </w:p>
    <w:p w14:paraId="494FD5D4" w14:textId="77777777" w:rsidR="00294DC2" w:rsidRDefault="00311E08">
      <w:pPr>
        <w:pStyle w:val="TOC3"/>
        <w:rPr>
          <w:rFonts w:asciiTheme="minorHAnsi" w:eastAsiaTheme="minorEastAsia" w:hAnsiTheme="minorHAnsi" w:cstheme="minorBidi"/>
          <w:color w:val="auto"/>
        </w:rPr>
      </w:pPr>
      <w:hyperlink w:anchor="_Toc400018508" w:history="1">
        <w:r w:rsidR="00294DC2" w:rsidRPr="00FB5042">
          <w:rPr>
            <w:rStyle w:val="Hyperlink"/>
          </w:rPr>
          <w:t>Conversion of the 2.5 GHz mid-band gap</w:t>
        </w:r>
        <w:r w:rsidR="00294DC2">
          <w:rPr>
            <w:webHidden/>
          </w:rPr>
          <w:tab/>
        </w:r>
        <w:r w:rsidR="00294DC2">
          <w:rPr>
            <w:webHidden/>
          </w:rPr>
          <w:fldChar w:fldCharType="begin"/>
        </w:r>
        <w:r w:rsidR="00294DC2">
          <w:rPr>
            <w:webHidden/>
          </w:rPr>
          <w:instrText xml:space="preserve"> PAGEREF _Toc400018508 \h </w:instrText>
        </w:r>
        <w:r w:rsidR="00294DC2">
          <w:rPr>
            <w:webHidden/>
          </w:rPr>
        </w:r>
        <w:r w:rsidR="00294DC2">
          <w:rPr>
            <w:webHidden/>
          </w:rPr>
          <w:fldChar w:fldCharType="separate"/>
        </w:r>
        <w:r w:rsidR="00294DC2">
          <w:rPr>
            <w:webHidden/>
          </w:rPr>
          <w:t>36</w:t>
        </w:r>
        <w:r w:rsidR="00294DC2">
          <w:rPr>
            <w:webHidden/>
          </w:rPr>
          <w:fldChar w:fldCharType="end"/>
        </w:r>
      </w:hyperlink>
    </w:p>
    <w:p w14:paraId="16CAF119" w14:textId="77777777" w:rsidR="00294DC2" w:rsidRDefault="00311E08">
      <w:pPr>
        <w:pStyle w:val="TOC3"/>
        <w:rPr>
          <w:rFonts w:asciiTheme="minorHAnsi" w:eastAsiaTheme="minorEastAsia" w:hAnsiTheme="minorHAnsi" w:cstheme="minorBidi"/>
          <w:color w:val="auto"/>
        </w:rPr>
      </w:pPr>
      <w:hyperlink w:anchor="_Toc400018509" w:history="1">
        <w:r w:rsidR="00294DC2" w:rsidRPr="00FB5042">
          <w:rPr>
            <w:rStyle w:val="Hyperlink"/>
          </w:rPr>
          <w:t>Relocation of ENG services</w:t>
        </w:r>
        <w:r w:rsidR="00294DC2">
          <w:rPr>
            <w:webHidden/>
          </w:rPr>
          <w:tab/>
        </w:r>
        <w:r w:rsidR="00294DC2">
          <w:rPr>
            <w:webHidden/>
          </w:rPr>
          <w:fldChar w:fldCharType="begin"/>
        </w:r>
        <w:r w:rsidR="00294DC2">
          <w:rPr>
            <w:webHidden/>
          </w:rPr>
          <w:instrText xml:space="preserve"> PAGEREF _Toc400018509 \h </w:instrText>
        </w:r>
        <w:r w:rsidR="00294DC2">
          <w:rPr>
            <w:webHidden/>
          </w:rPr>
        </w:r>
        <w:r w:rsidR="00294DC2">
          <w:rPr>
            <w:webHidden/>
          </w:rPr>
          <w:fldChar w:fldCharType="separate"/>
        </w:r>
        <w:r w:rsidR="00294DC2">
          <w:rPr>
            <w:webHidden/>
          </w:rPr>
          <w:t>37</w:t>
        </w:r>
        <w:r w:rsidR="00294DC2">
          <w:rPr>
            <w:webHidden/>
          </w:rPr>
          <w:fldChar w:fldCharType="end"/>
        </w:r>
      </w:hyperlink>
    </w:p>
    <w:p w14:paraId="028FFFB6" w14:textId="77777777" w:rsidR="00294DC2" w:rsidRDefault="00311E08">
      <w:pPr>
        <w:pStyle w:val="TOC3"/>
        <w:rPr>
          <w:rFonts w:asciiTheme="minorHAnsi" w:eastAsiaTheme="minorEastAsia" w:hAnsiTheme="minorHAnsi" w:cstheme="minorBidi"/>
          <w:color w:val="auto"/>
        </w:rPr>
      </w:pPr>
      <w:hyperlink w:anchor="_Toc400018510" w:history="1">
        <w:r w:rsidR="00294DC2" w:rsidRPr="00FB5042">
          <w:rPr>
            <w:rStyle w:val="Hyperlink"/>
          </w:rPr>
          <w:t>Early access to the 700 MHz band</w:t>
        </w:r>
        <w:r w:rsidR="00294DC2">
          <w:rPr>
            <w:webHidden/>
          </w:rPr>
          <w:tab/>
        </w:r>
        <w:r w:rsidR="00294DC2">
          <w:rPr>
            <w:webHidden/>
          </w:rPr>
          <w:fldChar w:fldCharType="begin"/>
        </w:r>
        <w:r w:rsidR="00294DC2">
          <w:rPr>
            <w:webHidden/>
          </w:rPr>
          <w:instrText xml:space="preserve"> PAGEREF _Toc400018510 \h </w:instrText>
        </w:r>
        <w:r w:rsidR="00294DC2">
          <w:rPr>
            <w:webHidden/>
          </w:rPr>
        </w:r>
        <w:r w:rsidR="00294DC2">
          <w:rPr>
            <w:webHidden/>
          </w:rPr>
          <w:fldChar w:fldCharType="separate"/>
        </w:r>
        <w:r w:rsidR="00294DC2">
          <w:rPr>
            <w:webHidden/>
          </w:rPr>
          <w:t>37</w:t>
        </w:r>
        <w:r w:rsidR="00294DC2">
          <w:rPr>
            <w:webHidden/>
          </w:rPr>
          <w:fldChar w:fldCharType="end"/>
        </w:r>
      </w:hyperlink>
    </w:p>
    <w:p w14:paraId="6951A25C" w14:textId="77777777" w:rsidR="00294DC2" w:rsidRDefault="00311E08">
      <w:pPr>
        <w:pStyle w:val="TOC3"/>
        <w:rPr>
          <w:rFonts w:asciiTheme="minorHAnsi" w:eastAsiaTheme="minorEastAsia" w:hAnsiTheme="minorHAnsi" w:cstheme="minorBidi"/>
          <w:color w:val="auto"/>
        </w:rPr>
      </w:pPr>
      <w:hyperlink w:anchor="_Toc400018511" w:history="1">
        <w:r w:rsidR="00294DC2" w:rsidRPr="00FB5042">
          <w:rPr>
            <w:rStyle w:val="Hyperlink"/>
          </w:rPr>
          <w:t>Wireless microphones and the digital dividend</w:t>
        </w:r>
        <w:r w:rsidR="00294DC2">
          <w:rPr>
            <w:webHidden/>
          </w:rPr>
          <w:tab/>
        </w:r>
        <w:r w:rsidR="00294DC2">
          <w:rPr>
            <w:webHidden/>
          </w:rPr>
          <w:fldChar w:fldCharType="begin"/>
        </w:r>
        <w:r w:rsidR="00294DC2">
          <w:rPr>
            <w:webHidden/>
          </w:rPr>
          <w:instrText xml:space="preserve"> PAGEREF _Toc400018511 \h </w:instrText>
        </w:r>
        <w:r w:rsidR="00294DC2">
          <w:rPr>
            <w:webHidden/>
          </w:rPr>
        </w:r>
        <w:r w:rsidR="00294DC2">
          <w:rPr>
            <w:webHidden/>
          </w:rPr>
          <w:fldChar w:fldCharType="separate"/>
        </w:r>
        <w:r w:rsidR="00294DC2">
          <w:rPr>
            <w:webHidden/>
          </w:rPr>
          <w:t>37</w:t>
        </w:r>
        <w:r w:rsidR="00294DC2">
          <w:rPr>
            <w:webHidden/>
          </w:rPr>
          <w:fldChar w:fldCharType="end"/>
        </w:r>
      </w:hyperlink>
    </w:p>
    <w:p w14:paraId="7BCE9AEE" w14:textId="77777777" w:rsidR="00294DC2" w:rsidRDefault="00311E08">
      <w:pPr>
        <w:pStyle w:val="TOC3"/>
        <w:rPr>
          <w:rFonts w:asciiTheme="minorHAnsi" w:eastAsiaTheme="minorEastAsia" w:hAnsiTheme="minorHAnsi" w:cstheme="minorBidi"/>
          <w:color w:val="auto"/>
        </w:rPr>
      </w:pPr>
      <w:hyperlink w:anchor="_Toc400018512" w:history="1">
        <w:r w:rsidR="00294DC2" w:rsidRPr="00FB5042">
          <w:rPr>
            <w:rStyle w:val="Hyperlink"/>
          </w:rPr>
          <w:t>Five-year spectrum outlook</w:t>
        </w:r>
        <w:r w:rsidR="00294DC2">
          <w:rPr>
            <w:webHidden/>
          </w:rPr>
          <w:tab/>
        </w:r>
        <w:r w:rsidR="00294DC2">
          <w:rPr>
            <w:webHidden/>
          </w:rPr>
          <w:fldChar w:fldCharType="begin"/>
        </w:r>
        <w:r w:rsidR="00294DC2">
          <w:rPr>
            <w:webHidden/>
          </w:rPr>
          <w:instrText xml:space="preserve"> PAGEREF _Toc400018512 \h </w:instrText>
        </w:r>
        <w:r w:rsidR="00294DC2">
          <w:rPr>
            <w:webHidden/>
          </w:rPr>
        </w:r>
        <w:r w:rsidR="00294DC2">
          <w:rPr>
            <w:webHidden/>
          </w:rPr>
          <w:fldChar w:fldCharType="separate"/>
        </w:r>
        <w:r w:rsidR="00294DC2">
          <w:rPr>
            <w:webHidden/>
          </w:rPr>
          <w:t>38</w:t>
        </w:r>
        <w:r w:rsidR="00294DC2">
          <w:rPr>
            <w:webHidden/>
          </w:rPr>
          <w:fldChar w:fldCharType="end"/>
        </w:r>
      </w:hyperlink>
    </w:p>
    <w:p w14:paraId="401AA8CD" w14:textId="77777777" w:rsidR="00294DC2" w:rsidRDefault="00311E08">
      <w:pPr>
        <w:pStyle w:val="TOC3"/>
        <w:rPr>
          <w:rFonts w:asciiTheme="minorHAnsi" w:eastAsiaTheme="minorEastAsia" w:hAnsiTheme="minorHAnsi" w:cstheme="minorBidi"/>
          <w:color w:val="auto"/>
        </w:rPr>
      </w:pPr>
      <w:hyperlink w:anchor="_Toc400018513" w:history="1">
        <w:r w:rsidR="00294DC2" w:rsidRPr="00FB5042">
          <w:rPr>
            <w:rStyle w:val="Hyperlink"/>
          </w:rPr>
          <w:t>Mobile phone jammer trial at Lithgow Correctional Centre</w:t>
        </w:r>
        <w:r w:rsidR="00294DC2">
          <w:rPr>
            <w:webHidden/>
          </w:rPr>
          <w:tab/>
        </w:r>
        <w:r w:rsidR="00294DC2">
          <w:rPr>
            <w:webHidden/>
          </w:rPr>
          <w:fldChar w:fldCharType="begin"/>
        </w:r>
        <w:r w:rsidR="00294DC2">
          <w:rPr>
            <w:webHidden/>
          </w:rPr>
          <w:instrText xml:space="preserve"> PAGEREF _Toc400018513 \h </w:instrText>
        </w:r>
        <w:r w:rsidR="00294DC2">
          <w:rPr>
            <w:webHidden/>
          </w:rPr>
        </w:r>
        <w:r w:rsidR="00294DC2">
          <w:rPr>
            <w:webHidden/>
          </w:rPr>
          <w:fldChar w:fldCharType="separate"/>
        </w:r>
        <w:r w:rsidR="00294DC2">
          <w:rPr>
            <w:webHidden/>
          </w:rPr>
          <w:t>38</w:t>
        </w:r>
        <w:r w:rsidR="00294DC2">
          <w:rPr>
            <w:webHidden/>
          </w:rPr>
          <w:fldChar w:fldCharType="end"/>
        </w:r>
      </w:hyperlink>
    </w:p>
    <w:p w14:paraId="59CAA28D" w14:textId="77777777" w:rsidR="00294DC2" w:rsidRDefault="00311E08">
      <w:pPr>
        <w:pStyle w:val="TOC3"/>
        <w:rPr>
          <w:rFonts w:asciiTheme="minorHAnsi" w:eastAsiaTheme="minorEastAsia" w:hAnsiTheme="minorHAnsi" w:cstheme="minorBidi"/>
          <w:color w:val="auto"/>
        </w:rPr>
      </w:pPr>
      <w:hyperlink w:anchor="_Toc400018514" w:history="1">
        <w:r w:rsidR="00294DC2" w:rsidRPr="00FB5042">
          <w:rPr>
            <w:rStyle w:val="Hyperlink"/>
          </w:rPr>
          <w:t>Low-power open narrowcasting (LPON) services review</w:t>
        </w:r>
        <w:r w:rsidR="00294DC2">
          <w:rPr>
            <w:webHidden/>
          </w:rPr>
          <w:tab/>
        </w:r>
        <w:r w:rsidR="00294DC2">
          <w:rPr>
            <w:webHidden/>
          </w:rPr>
          <w:fldChar w:fldCharType="begin"/>
        </w:r>
        <w:r w:rsidR="00294DC2">
          <w:rPr>
            <w:webHidden/>
          </w:rPr>
          <w:instrText xml:space="preserve"> PAGEREF _Toc400018514 \h </w:instrText>
        </w:r>
        <w:r w:rsidR="00294DC2">
          <w:rPr>
            <w:webHidden/>
          </w:rPr>
        </w:r>
        <w:r w:rsidR="00294DC2">
          <w:rPr>
            <w:webHidden/>
          </w:rPr>
          <w:fldChar w:fldCharType="separate"/>
        </w:r>
        <w:r w:rsidR="00294DC2">
          <w:rPr>
            <w:webHidden/>
          </w:rPr>
          <w:t>39</w:t>
        </w:r>
        <w:r w:rsidR="00294DC2">
          <w:rPr>
            <w:webHidden/>
          </w:rPr>
          <w:fldChar w:fldCharType="end"/>
        </w:r>
      </w:hyperlink>
    </w:p>
    <w:p w14:paraId="4DCAF282" w14:textId="77777777" w:rsidR="00294DC2" w:rsidRDefault="00311E08">
      <w:pPr>
        <w:pStyle w:val="TOC3"/>
        <w:rPr>
          <w:rFonts w:asciiTheme="minorHAnsi" w:eastAsiaTheme="minorEastAsia" w:hAnsiTheme="minorHAnsi" w:cstheme="minorBidi"/>
          <w:color w:val="auto"/>
        </w:rPr>
      </w:pPr>
      <w:hyperlink w:anchor="_Toc400018515" w:history="1">
        <w:r w:rsidR="00294DC2" w:rsidRPr="00FB5042">
          <w:rPr>
            <w:rStyle w:val="Hyperlink"/>
          </w:rPr>
          <w:t>Deployment of body scanner devices at Australia’s international airports</w:t>
        </w:r>
        <w:r w:rsidR="00294DC2">
          <w:rPr>
            <w:webHidden/>
          </w:rPr>
          <w:tab/>
        </w:r>
        <w:r w:rsidR="00294DC2">
          <w:rPr>
            <w:webHidden/>
          </w:rPr>
          <w:fldChar w:fldCharType="begin"/>
        </w:r>
        <w:r w:rsidR="00294DC2">
          <w:rPr>
            <w:webHidden/>
          </w:rPr>
          <w:instrText xml:space="preserve"> PAGEREF _Toc400018515 \h </w:instrText>
        </w:r>
        <w:r w:rsidR="00294DC2">
          <w:rPr>
            <w:webHidden/>
          </w:rPr>
        </w:r>
        <w:r w:rsidR="00294DC2">
          <w:rPr>
            <w:webHidden/>
          </w:rPr>
          <w:fldChar w:fldCharType="separate"/>
        </w:r>
        <w:r w:rsidR="00294DC2">
          <w:rPr>
            <w:webHidden/>
          </w:rPr>
          <w:t>39</w:t>
        </w:r>
        <w:r w:rsidR="00294DC2">
          <w:rPr>
            <w:webHidden/>
          </w:rPr>
          <w:fldChar w:fldCharType="end"/>
        </w:r>
      </w:hyperlink>
    </w:p>
    <w:p w14:paraId="7DC645A8" w14:textId="77777777" w:rsidR="00294DC2" w:rsidRDefault="00311E08">
      <w:pPr>
        <w:pStyle w:val="TOC3"/>
        <w:rPr>
          <w:rFonts w:asciiTheme="minorHAnsi" w:eastAsiaTheme="minorEastAsia" w:hAnsiTheme="minorHAnsi" w:cstheme="minorBidi"/>
          <w:color w:val="auto"/>
        </w:rPr>
      </w:pPr>
      <w:hyperlink w:anchor="_Toc400018516" w:history="1">
        <w:r w:rsidR="00294DC2" w:rsidRPr="00FB5042">
          <w:rPr>
            <w:rStyle w:val="Hyperlink"/>
          </w:rPr>
          <w:t>Trial of advanced power limit for advanced amateurs</w:t>
        </w:r>
        <w:r w:rsidR="00294DC2">
          <w:rPr>
            <w:webHidden/>
          </w:rPr>
          <w:tab/>
        </w:r>
        <w:r w:rsidR="00294DC2">
          <w:rPr>
            <w:webHidden/>
          </w:rPr>
          <w:fldChar w:fldCharType="begin"/>
        </w:r>
        <w:r w:rsidR="00294DC2">
          <w:rPr>
            <w:webHidden/>
          </w:rPr>
          <w:instrText xml:space="preserve"> PAGEREF _Toc400018516 \h </w:instrText>
        </w:r>
        <w:r w:rsidR="00294DC2">
          <w:rPr>
            <w:webHidden/>
          </w:rPr>
        </w:r>
        <w:r w:rsidR="00294DC2">
          <w:rPr>
            <w:webHidden/>
          </w:rPr>
          <w:fldChar w:fldCharType="separate"/>
        </w:r>
        <w:r w:rsidR="00294DC2">
          <w:rPr>
            <w:webHidden/>
          </w:rPr>
          <w:t>39</w:t>
        </w:r>
        <w:r w:rsidR="00294DC2">
          <w:rPr>
            <w:webHidden/>
          </w:rPr>
          <w:fldChar w:fldCharType="end"/>
        </w:r>
      </w:hyperlink>
    </w:p>
    <w:p w14:paraId="3A6B3578" w14:textId="77777777" w:rsidR="00294DC2" w:rsidRDefault="00311E08">
      <w:pPr>
        <w:pStyle w:val="TOC3"/>
        <w:rPr>
          <w:rFonts w:asciiTheme="minorHAnsi" w:eastAsiaTheme="minorEastAsia" w:hAnsiTheme="minorHAnsi" w:cstheme="minorBidi"/>
          <w:color w:val="auto"/>
        </w:rPr>
      </w:pPr>
      <w:hyperlink w:anchor="_Toc400018517" w:history="1">
        <w:r w:rsidR="00294DC2" w:rsidRPr="00FB5042">
          <w:rPr>
            <w:rStyle w:val="Hyperlink"/>
          </w:rPr>
          <w:t>1800 MHz band</w:t>
        </w:r>
        <w:r w:rsidR="00294DC2">
          <w:rPr>
            <w:webHidden/>
          </w:rPr>
          <w:tab/>
        </w:r>
        <w:r w:rsidR="00294DC2">
          <w:rPr>
            <w:webHidden/>
          </w:rPr>
          <w:fldChar w:fldCharType="begin"/>
        </w:r>
        <w:r w:rsidR="00294DC2">
          <w:rPr>
            <w:webHidden/>
          </w:rPr>
          <w:instrText xml:space="preserve"> PAGEREF _Toc400018517 \h </w:instrText>
        </w:r>
        <w:r w:rsidR="00294DC2">
          <w:rPr>
            <w:webHidden/>
          </w:rPr>
        </w:r>
        <w:r w:rsidR="00294DC2">
          <w:rPr>
            <w:webHidden/>
          </w:rPr>
          <w:fldChar w:fldCharType="separate"/>
        </w:r>
        <w:r w:rsidR="00294DC2">
          <w:rPr>
            <w:webHidden/>
          </w:rPr>
          <w:t>39</w:t>
        </w:r>
        <w:r w:rsidR="00294DC2">
          <w:rPr>
            <w:webHidden/>
          </w:rPr>
          <w:fldChar w:fldCharType="end"/>
        </w:r>
      </w:hyperlink>
    </w:p>
    <w:p w14:paraId="3DEF04C0" w14:textId="77777777" w:rsidR="00294DC2" w:rsidRDefault="00311E08">
      <w:pPr>
        <w:pStyle w:val="TOC3"/>
        <w:rPr>
          <w:rFonts w:asciiTheme="minorHAnsi" w:eastAsiaTheme="minorEastAsia" w:hAnsiTheme="minorHAnsi" w:cstheme="minorBidi"/>
          <w:color w:val="auto"/>
        </w:rPr>
      </w:pPr>
      <w:hyperlink w:anchor="_Toc400018518" w:history="1">
        <w:r w:rsidR="00294DC2" w:rsidRPr="00FB5042">
          <w:rPr>
            <w:rStyle w:val="Hyperlink"/>
          </w:rPr>
          <w:t>European Space Agency Earth station coordination arrangements</w:t>
        </w:r>
        <w:r w:rsidR="00294DC2">
          <w:rPr>
            <w:webHidden/>
          </w:rPr>
          <w:tab/>
        </w:r>
        <w:r w:rsidR="00294DC2">
          <w:rPr>
            <w:webHidden/>
          </w:rPr>
          <w:fldChar w:fldCharType="begin"/>
        </w:r>
        <w:r w:rsidR="00294DC2">
          <w:rPr>
            <w:webHidden/>
          </w:rPr>
          <w:instrText xml:space="preserve"> PAGEREF _Toc400018518 \h </w:instrText>
        </w:r>
        <w:r w:rsidR="00294DC2">
          <w:rPr>
            <w:webHidden/>
          </w:rPr>
        </w:r>
        <w:r w:rsidR="00294DC2">
          <w:rPr>
            <w:webHidden/>
          </w:rPr>
          <w:fldChar w:fldCharType="separate"/>
        </w:r>
        <w:r w:rsidR="00294DC2">
          <w:rPr>
            <w:webHidden/>
          </w:rPr>
          <w:t>40</w:t>
        </w:r>
        <w:r w:rsidR="00294DC2">
          <w:rPr>
            <w:webHidden/>
          </w:rPr>
          <w:fldChar w:fldCharType="end"/>
        </w:r>
      </w:hyperlink>
    </w:p>
    <w:p w14:paraId="15961085" w14:textId="77777777" w:rsidR="00294DC2" w:rsidRDefault="00311E08">
      <w:pPr>
        <w:pStyle w:val="TOC3"/>
        <w:rPr>
          <w:rFonts w:asciiTheme="minorHAnsi" w:eastAsiaTheme="minorEastAsia" w:hAnsiTheme="minorHAnsi" w:cstheme="minorBidi"/>
          <w:color w:val="auto"/>
        </w:rPr>
      </w:pPr>
      <w:hyperlink w:anchor="_Toc400018519" w:history="1">
        <w:r w:rsidR="00294DC2" w:rsidRPr="00FB5042">
          <w:rPr>
            <w:rStyle w:val="Hyperlink"/>
          </w:rPr>
          <w:t>Satellite coordination</w:t>
        </w:r>
        <w:r w:rsidR="00294DC2">
          <w:rPr>
            <w:webHidden/>
          </w:rPr>
          <w:tab/>
        </w:r>
        <w:r w:rsidR="00294DC2">
          <w:rPr>
            <w:webHidden/>
          </w:rPr>
          <w:fldChar w:fldCharType="begin"/>
        </w:r>
        <w:r w:rsidR="00294DC2">
          <w:rPr>
            <w:webHidden/>
          </w:rPr>
          <w:instrText xml:space="preserve"> PAGEREF _Toc400018519 \h </w:instrText>
        </w:r>
        <w:r w:rsidR="00294DC2">
          <w:rPr>
            <w:webHidden/>
          </w:rPr>
        </w:r>
        <w:r w:rsidR="00294DC2">
          <w:rPr>
            <w:webHidden/>
          </w:rPr>
          <w:fldChar w:fldCharType="separate"/>
        </w:r>
        <w:r w:rsidR="00294DC2">
          <w:rPr>
            <w:webHidden/>
          </w:rPr>
          <w:t>40</w:t>
        </w:r>
        <w:r w:rsidR="00294DC2">
          <w:rPr>
            <w:webHidden/>
          </w:rPr>
          <w:fldChar w:fldCharType="end"/>
        </w:r>
      </w:hyperlink>
    </w:p>
    <w:p w14:paraId="39047ED5" w14:textId="77777777" w:rsidR="00294DC2" w:rsidRDefault="00311E08">
      <w:pPr>
        <w:pStyle w:val="TOC3"/>
        <w:rPr>
          <w:rFonts w:asciiTheme="minorHAnsi" w:eastAsiaTheme="minorEastAsia" w:hAnsiTheme="minorHAnsi" w:cstheme="minorBidi"/>
          <w:color w:val="auto"/>
        </w:rPr>
      </w:pPr>
      <w:hyperlink w:anchor="_Toc400018520" w:history="1">
        <w:r w:rsidR="00294DC2" w:rsidRPr="00FB5042">
          <w:rPr>
            <w:rStyle w:val="Hyperlink"/>
          </w:rPr>
          <w:t>Mobile broadband activities</w:t>
        </w:r>
        <w:r w:rsidR="00294DC2">
          <w:rPr>
            <w:webHidden/>
          </w:rPr>
          <w:tab/>
        </w:r>
        <w:r w:rsidR="00294DC2">
          <w:rPr>
            <w:webHidden/>
          </w:rPr>
          <w:fldChar w:fldCharType="begin"/>
        </w:r>
        <w:r w:rsidR="00294DC2">
          <w:rPr>
            <w:webHidden/>
          </w:rPr>
          <w:instrText xml:space="preserve"> PAGEREF _Toc400018520 \h </w:instrText>
        </w:r>
        <w:r w:rsidR="00294DC2">
          <w:rPr>
            <w:webHidden/>
          </w:rPr>
        </w:r>
        <w:r w:rsidR="00294DC2">
          <w:rPr>
            <w:webHidden/>
          </w:rPr>
          <w:fldChar w:fldCharType="separate"/>
        </w:r>
        <w:r w:rsidR="00294DC2">
          <w:rPr>
            <w:webHidden/>
          </w:rPr>
          <w:t>40</w:t>
        </w:r>
        <w:r w:rsidR="00294DC2">
          <w:rPr>
            <w:webHidden/>
          </w:rPr>
          <w:fldChar w:fldCharType="end"/>
        </w:r>
      </w:hyperlink>
    </w:p>
    <w:p w14:paraId="7C8273E9" w14:textId="77777777" w:rsidR="00294DC2" w:rsidRDefault="00311E08">
      <w:pPr>
        <w:pStyle w:val="TOC2"/>
        <w:rPr>
          <w:rFonts w:asciiTheme="minorHAnsi" w:eastAsiaTheme="minorEastAsia" w:hAnsiTheme="minorHAnsi" w:cstheme="minorBidi"/>
          <w:color w:val="auto"/>
          <w:spacing w:val="0"/>
          <w:sz w:val="22"/>
          <w:szCs w:val="22"/>
        </w:rPr>
      </w:pPr>
      <w:hyperlink w:anchor="_Toc400018521" w:history="1">
        <w:r w:rsidR="00294DC2" w:rsidRPr="00FB5042">
          <w:rPr>
            <w:rStyle w:val="Hyperlink"/>
          </w:rPr>
          <w:t>Allocation and licensing</w:t>
        </w:r>
        <w:r w:rsidR="00294DC2">
          <w:rPr>
            <w:webHidden/>
          </w:rPr>
          <w:tab/>
        </w:r>
        <w:r w:rsidR="00294DC2">
          <w:rPr>
            <w:webHidden/>
          </w:rPr>
          <w:fldChar w:fldCharType="begin"/>
        </w:r>
        <w:r w:rsidR="00294DC2">
          <w:rPr>
            <w:webHidden/>
          </w:rPr>
          <w:instrText xml:space="preserve"> PAGEREF _Toc400018521 \h </w:instrText>
        </w:r>
        <w:r w:rsidR="00294DC2">
          <w:rPr>
            <w:webHidden/>
          </w:rPr>
        </w:r>
        <w:r w:rsidR="00294DC2">
          <w:rPr>
            <w:webHidden/>
          </w:rPr>
          <w:fldChar w:fldCharType="separate"/>
        </w:r>
        <w:r w:rsidR="00294DC2">
          <w:rPr>
            <w:webHidden/>
          </w:rPr>
          <w:t>41</w:t>
        </w:r>
        <w:r w:rsidR="00294DC2">
          <w:rPr>
            <w:webHidden/>
          </w:rPr>
          <w:fldChar w:fldCharType="end"/>
        </w:r>
      </w:hyperlink>
    </w:p>
    <w:p w14:paraId="33A5BD3D" w14:textId="77777777" w:rsidR="00294DC2" w:rsidRDefault="00311E08">
      <w:pPr>
        <w:pStyle w:val="TOC3"/>
        <w:rPr>
          <w:rFonts w:asciiTheme="minorHAnsi" w:eastAsiaTheme="minorEastAsia" w:hAnsiTheme="minorHAnsi" w:cstheme="minorBidi"/>
          <w:color w:val="auto"/>
        </w:rPr>
      </w:pPr>
      <w:hyperlink w:anchor="_Toc400018522" w:history="1">
        <w:r w:rsidR="00294DC2" w:rsidRPr="00FB5042">
          <w:rPr>
            <w:rStyle w:val="Hyperlink"/>
          </w:rPr>
          <w:t>Radiocommunications licensing</w:t>
        </w:r>
        <w:r w:rsidR="00294DC2">
          <w:rPr>
            <w:webHidden/>
          </w:rPr>
          <w:tab/>
        </w:r>
        <w:r w:rsidR="00294DC2">
          <w:rPr>
            <w:webHidden/>
          </w:rPr>
          <w:fldChar w:fldCharType="begin"/>
        </w:r>
        <w:r w:rsidR="00294DC2">
          <w:rPr>
            <w:webHidden/>
          </w:rPr>
          <w:instrText xml:space="preserve"> PAGEREF _Toc400018522 \h </w:instrText>
        </w:r>
        <w:r w:rsidR="00294DC2">
          <w:rPr>
            <w:webHidden/>
          </w:rPr>
        </w:r>
        <w:r w:rsidR="00294DC2">
          <w:rPr>
            <w:webHidden/>
          </w:rPr>
          <w:fldChar w:fldCharType="separate"/>
        </w:r>
        <w:r w:rsidR="00294DC2">
          <w:rPr>
            <w:webHidden/>
          </w:rPr>
          <w:t>41</w:t>
        </w:r>
        <w:r w:rsidR="00294DC2">
          <w:rPr>
            <w:webHidden/>
          </w:rPr>
          <w:fldChar w:fldCharType="end"/>
        </w:r>
      </w:hyperlink>
    </w:p>
    <w:p w14:paraId="78598FEB" w14:textId="77777777" w:rsidR="00294DC2" w:rsidRDefault="00311E08">
      <w:pPr>
        <w:pStyle w:val="TOC3"/>
        <w:rPr>
          <w:rFonts w:asciiTheme="minorHAnsi" w:eastAsiaTheme="minorEastAsia" w:hAnsiTheme="minorHAnsi" w:cstheme="minorBidi"/>
          <w:color w:val="auto"/>
        </w:rPr>
      </w:pPr>
      <w:hyperlink w:anchor="_Toc400018523" w:history="1">
        <w:r w:rsidR="00294DC2" w:rsidRPr="00FB5042">
          <w:rPr>
            <w:rStyle w:val="Hyperlink"/>
          </w:rPr>
          <w:t>Broadcasting licence area plans and variations</w:t>
        </w:r>
        <w:r w:rsidR="00294DC2">
          <w:rPr>
            <w:webHidden/>
          </w:rPr>
          <w:tab/>
        </w:r>
        <w:r w:rsidR="00294DC2">
          <w:rPr>
            <w:webHidden/>
          </w:rPr>
          <w:fldChar w:fldCharType="begin"/>
        </w:r>
        <w:r w:rsidR="00294DC2">
          <w:rPr>
            <w:webHidden/>
          </w:rPr>
          <w:instrText xml:space="preserve"> PAGEREF _Toc400018523 \h </w:instrText>
        </w:r>
        <w:r w:rsidR="00294DC2">
          <w:rPr>
            <w:webHidden/>
          </w:rPr>
        </w:r>
        <w:r w:rsidR="00294DC2">
          <w:rPr>
            <w:webHidden/>
          </w:rPr>
          <w:fldChar w:fldCharType="separate"/>
        </w:r>
        <w:r w:rsidR="00294DC2">
          <w:rPr>
            <w:webHidden/>
          </w:rPr>
          <w:t>47</w:t>
        </w:r>
        <w:r w:rsidR="00294DC2">
          <w:rPr>
            <w:webHidden/>
          </w:rPr>
          <w:fldChar w:fldCharType="end"/>
        </w:r>
      </w:hyperlink>
    </w:p>
    <w:p w14:paraId="1EF32482" w14:textId="77777777" w:rsidR="00294DC2" w:rsidRDefault="00311E08">
      <w:pPr>
        <w:pStyle w:val="TOC3"/>
        <w:rPr>
          <w:rFonts w:asciiTheme="minorHAnsi" w:eastAsiaTheme="minorEastAsia" w:hAnsiTheme="minorHAnsi" w:cstheme="minorBidi"/>
          <w:color w:val="auto"/>
        </w:rPr>
      </w:pPr>
      <w:hyperlink w:anchor="_Toc400018524" w:history="1">
        <w:r w:rsidR="00294DC2" w:rsidRPr="00FB5042">
          <w:rPr>
            <w:rStyle w:val="Hyperlink"/>
          </w:rPr>
          <w:t>Broadcasting licensing</w:t>
        </w:r>
        <w:r w:rsidR="00294DC2">
          <w:rPr>
            <w:webHidden/>
          </w:rPr>
          <w:tab/>
        </w:r>
        <w:r w:rsidR="00294DC2">
          <w:rPr>
            <w:webHidden/>
          </w:rPr>
          <w:fldChar w:fldCharType="begin"/>
        </w:r>
        <w:r w:rsidR="00294DC2">
          <w:rPr>
            <w:webHidden/>
          </w:rPr>
          <w:instrText xml:space="preserve"> PAGEREF _Toc400018524 \h </w:instrText>
        </w:r>
        <w:r w:rsidR="00294DC2">
          <w:rPr>
            <w:webHidden/>
          </w:rPr>
        </w:r>
        <w:r w:rsidR="00294DC2">
          <w:rPr>
            <w:webHidden/>
          </w:rPr>
          <w:fldChar w:fldCharType="separate"/>
        </w:r>
        <w:r w:rsidR="00294DC2">
          <w:rPr>
            <w:webHidden/>
          </w:rPr>
          <w:t>49</w:t>
        </w:r>
        <w:r w:rsidR="00294DC2">
          <w:rPr>
            <w:webHidden/>
          </w:rPr>
          <w:fldChar w:fldCharType="end"/>
        </w:r>
      </w:hyperlink>
    </w:p>
    <w:p w14:paraId="70CC45B2" w14:textId="77777777" w:rsidR="00294DC2" w:rsidRDefault="00311E08">
      <w:pPr>
        <w:pStyle w:val="TOC3"/>
        <w:rPr>
          <w:rFonts w:asciiTheme="minorHAnsi" w:eastAsiaTheme="minorEastAsia" w:hAnsiTheme="minorHAnsi" w:cstheme="minorBidi"/>
          <w:color w:val="auto"/>
        </w:rPr>
      </w:pPr>
      <w:hyperlink w:anchor="_Toc400018525" w:history="1">
        <w:r w:rsidR="00294DC2" w:rsidRPr="00FB5042">
          <w:rPr>
            <w:rStyle w:val="Hyperlink"/>
          </w:rPr>
          <w:t>Telecommunications licensing</w:t>
        </w:r>
        <w:r w:rsidR="00294DC2">
          <w:rPr>
            <w:webHidden/>
          </w:rPr>
          <w:tab/>
        </w:r>
        <w:r w:rsidR="00294DC2">
          <w:rPr>
            <w:webHidden/>
          </w:rPr>
          <w:fldChar w:fldCharType="begin"/>
        </w:r>
        <w:r w:rsidR="00294DC2">
          <w:rPr>
            <w:webHidden/>
          </w:rPr>
          <w:instrText xml:space="preserve"> PAGEREF _Toc400018525 \h </w:instrText>
        </w:r>
        <w:r w:rsidR="00294DC2">
          <w:rPr>
            <w:webHidden/>
          </w:rPr>
        </w:r>
        <w:r w:rsidR="00294DC2">
          <w:rPr>
            <w:webHidden/>
          </w:rPr>
          <w:fldChar w:fldCharType="separate"/>
        </w:r>
        <w:r w:rsidR="00294DC2">
          <w:rPr>
            <w:webHidden/>
          </w:rPr>
          <w:t>50</w:t>
        </w:r>
        <w:r w:rsidR="00294DC2">
          <w:rPr>
            <w:webHidden/>
          </w:rPr>
          <w:fldChar w:fldCharType="end"/>
        </w:r>
      </w:hyperlink>
    </w:p>
    <w:p w14:paraId="679ABFE3" w14:textId="77777777" w:rsidR="00294DC2" w:rsidRDefault="00311E08">
      <w:pPr>
        <w:pStyle w:val="TOC2"/>
        <w:rPr>
          <w:rFonts w:asciiTheme="minorHAnsi" w:eastAsiaTheme="minorEastAsia" w:hAnsiTheme="minorHAnsi" w:cstheme="minorBidi"/>
          <w:color w:val="auto"/>
          <w:spacing w:val="0"/>
          <w:sz w:val="22"/>
          <w:szCs w:val="22"/>
        </w:rPr>
      </w:pPr>
      <w:hyperlink w:anchor="_Toc400018526" w:history="1">
        <w:r w:rsidR="00294DC2" w:rsidRPr="00FB5042">
          <w:rPr>
            <w:rStyle w:val="Hyperlink"/>
          </w:rPr>
          <w:t>Telecommunications numbering</w:t>
        </w:r>
        <w:r w:rsidR="00294DC2">
          <w:rPr>
            <w:webHidden/>
          </w:rPr>
          <w:tab/>
        </w:r>
        <w:r w:rsidR="00294DC2">
          <w:rPr>
            <w:webHidden/>
          </w:rPr>
          <w:fldChar w:fldCharType="begin"/>
        </w:r>
        <w:r w:rsidR="00294DC2">
          <w:rPr>
            <w:webHidden/>
          </w:rPr>
          <w:instrText xml:space="preserve"> PAGEREF _Toc400018526 \h </w:instrText>
        </w:r>
        <w:r w:rsidR="00294DC2">
          <w:rPr>
            <w:webHidden/>
          </w:rPr>
        </w:r>
        <w:r w:rsidR="00294DC2">
          <w:rPr>
            <w:webHidden/>
          </w:rPr>
          <w:fldChar w:fldCharType="separate"/>
        </w:r>
        <w:r w:rsidR="00294DC2">
          <w:rPr>
            <w:webHidden/>
          </w:rPr>
          <w:t>51</w:t>
        </w:r>
        <w:r w:rsidR="00294DC2">
          <w:rPr>
            <w:webHidden/>
          </w:rPr>
          <w:fldChar w:fldCharType="end"/>
        </w:r>
      </w:hyperlink>
    </w:p>
    <w:p w14:paraId="36C05BFB" w14:textId="77777777" w:rsidR="00294DC2" w:rsidRDefault="00311E08">
      <w:pPr>
        <w:pStyle w:val="TOC3"/>
        <w:rPr>
          <w:rFonts w:asciiTheme="minorHAnsi" w:eastAsiaTheme="minorEastAsia" w:hAnsiTheme="minorHAnsi" w:cstheme="minorBidi"/>
          <w:color w:val="auto"/>
        </w:rPr>
      </w:pPr>
      <w:hyperlink w:anchor="_Toc400018527" w:history="1">
        <w:r w:rsidR="00294DC2" w:rsidRPr="00FB5042">
          <w:rPr>
            <w:rStyle w:val="Hyperlink"/>
          </w:rPr>
          <w:t>Numbering reform activities</w:t>
        </w:r>
        <w:r w:rsidR="00294DC2">
          <w:rPr>
            <w:webHidden/>
          </w:rPr>
          <w:tab/>
        </w:r>
        <w:r w:rsidR="00294DC2">
          <w:rPr>
            <w:webHidden/>
          </w:rPr>
          <w:fldChar w:fldCharType="begin"/>
        </w:r>
        <w:r w:rsidR="00294DC2">
          <w:rPr>
            <w:webHidden/>
          </w:rPr>
          <w:instrText xml:space="preserve"> PAGEREF _Toc400018527 \h </w:instrText>
        </w:r>
        <w:r w:rsidR="00294DC2">
          <w:rPr>
            <w:webHidden/>
          </w:rPr>
        </w:r>
        <w:r w:rsidR="00294DC2">
          <w:rPr>
            <w:webHidden/>
          </w:rPr>
          <w:fldChar w:fldCharType="separate"/>
        </w:r>
        <w:r w:rsidR="00294DC2">
          <w:rPr>
            <w:webHidden/>
          </w:rPr>
          <w:t>51</w:t>
        </w:r>
        <w:r w:rsidR="00294DC2">
          <w:rPr>
            <w:webHidden/>
          </w:rPr>
          <w:fldChar w:fldCharType="end"/>
        </w:r>
      </w:hyperlink>
    </w:p>
    <w:p w14:paraId="0C9570F9" w14:textId="77777777" w:rsidR="00294DC2" w:rsidRDefault="00311E08">
      <w:pPr>
        <w:pStyle w:val="TOC3"/>
        <w:rPr>
          <w:rFonts w:asciiTheme="minorHAnsi" w:eastAsiaTheme="minorEastAsia" w:hAnsiTheme="minorHAnsi" w:cstheme="minorBidi"/>
          <w:color w:val="auto"/>
        </w:rPr>
      </w:pPr>
      <w:hyperlink w:anchor="_Toc400018528" w:history="1">
        <w:r w:rsidR="00294DC2" w:rsidRPr="00FB5042">
          <w:rPr>
            <w:rStyle w:val="Hyperlink"/>
          </w:rPr>
          <w:t>New arrangements for mobile calls to 1800 and 13/1300 numbers</w:t>
        </w:r>
        <w:r w:rsidR="00294DC2">
          <w:rPr>
            <w:webHidden/>
          </w:rPr>
          <w:tab/>
        </w:r>
        <w:r w:rsidR="00294DC2">
          <w:rPr>
            <w:webHidden/>
          </w:rPr>
          <w:fldChar w:fldCharType="begin"/>
        </w:r>
        <w:r w:rsidR="00294DC2">
          <w:rPr>
            <w:webHidden/>
          </w:rPr>
          <w:instrText xml:space="preserve"> PAGEREF _Toc400018528 \h </w:instrText>
        </w:r>
        <w:r w:rsidR="00294DC2">
          <w:rPr>
            <w:webHidden/>
          </w:rPr>
        </w:r>
        <w:r w:rsidR="00294DC2">
          <w:rPr>
            <w:webHidden/>
          </w:rPr>
          <w:fldChar w:fldCharType="separate"/>
        </w:r>
        <w:r w:rsidR="00294DC2">
          <w:rPr>
            <w:webHidden/>
          </w:rPr>
          <w:t>51</w:t>
        </w:r>
        <w:r w:rsidR="00294DC2">
          <w:rPr>
            <w:webHidden/>
          </w:rPr>
          <w:fldChar w:fldCharType="end"/>
        </w:r>
      </w:hyperlink>
    </w:p>
    <w:p w14:paraId="5C1BAA31" w14:textId="77777777" w:rsidR="00294DC2" w:rsidRDefault="00311E08">
      <w:pPr>
        <w:pStyle w:val="TOC3"/>
        <w:rPr>
          <w:rFonts w:asciiTheme="minorHAnsi" w:eastAsiaTheme="minorEastAsia" w:hAnsiTheme="minorHAnsi" w:cstheme="minorBidi"/>
          <w:color w:val="auto"/>
        </w:rPr>
      </w:pPr>
      <w:hyperlink w:anchor="_Toc400018529" w:history="1">
        <w:r w:rsidR="00294DC2" w:rsidRPr="00FB5042">
          <w:rPr>
            <w:rStyle w:val="Hyperlink"/>
          </w:rPr>
          <w:t>Numbering Advisory Committee</w:t>
        </w:r>
        <w:r w:rsidR="00294DC2">
          <w:rPr>
            <w:webHidden/>
          </w:rPr>
          <w:tab/>
        </w:r>
        <w:r w:rsidR="00294DC2">
          <w:rPr>
            <w:webHidden/>
          </w:rPr>
          <w:fldChar w:fldCharType="begin"/>
        </w:r>
        <w:r w:rsidR="00294DC2">
          <w:rPr>
            <w:webHidden/>
          </w:rPr>
          <w:instrText xml:space="preserve"> PAGEREF _Toc400018529 \h </w:instrText>
        </w:r>
        <w:r w:rsidR="00294DC2">
          <w:rPr>
            <w:webHidden/>
          </w:rPr>
        </w:r>
        <w:r w:rsidR="00294DC2">
          <w:rPr>
            <w:webHidden/>
          </w:rPr>
          <w:fldChar w:fldCharType="separate"/>
        </w:r>
        <w:r w:rsidR="00294DC2">
          <w:rPr>
            <w:webHidden/>
          </w:rPr>
          <w:t>52</w:t>
        </w:r>
        <w:r w:rsidR="00294DC2">
          <w:rPr>
            <w:webHidden/>
          </w:rPr>
          <w:fldChar w:fldCharType="end"/>
        </w:r>
      </w:hyperlink>
    </w:p>
    <w:p w14:paraId="2C5CFA4F" w14:textId="77777777" w:rsidR="00294DC2" w:rsidRDefault="00311E08">
      <w:pPr>
        <w:pStyle w:val="TOC3"/>
        <w:rPr>
          <w:rFonts w:asciiTheme="minorHAnsi" w:eastAsiaTheme="minorEastAsia" w:hAnsiTheme="minorHAnsi" w:cstheme="minorBidi"/>
          <w:color w:val="auto"/>
        </w:rPr>
      </w:pPr>
      <w:hyperlink w:anchor="_Toc400018530" w:history="1">
        <w:r w:rsidR="00294DC2" w:rsidRPr="00FB5042">
          <w:rPr>
            <w:rStyle w:val="Hyperlink"/>
          </w:rPr>
          <w:t>Number allocations register</w:t>
        </w:r>
        <w:r w:rsidR="00294DC2">
          <w:rPr>
            <w:webHidden/>
          </w:rPr>
          <w:tab/>
        </w:r>
        <w:r w:rsidR="00294DC2">
          <w:rPr>
            <w:webHidden/>
          </w:rPr>
          <w:fldChar w:fldCharType="begin"/>
        </w:r>
        <w:r w:rsidR="00294DC2">
          <w:rPr>
            <w:webHidden/>
          </w:rPr>
          <w:instrText xml:space="preserve"> PAGEREF _Toc400018530 \h </w:instrText>
        </w:r>
        <w:r w:rsidR="00294DC2">
          <w:rPr>
            <w:webHidden/>
          </w:rPr>
        </w:r>
        <w:r w:rsidR="00294DC2">
          <w:rPr>
            <w:webHidden/>
          </w:rPr>
          <w:fldChar w:fldCharType="separate"/>
        </w:r>
        <w:r w:rsidR="00294DC2">
          <w:rPr>
            <w:webHidden/>
          </w:rPr>
          <w:t>52</w:t>
        </w:r>
        <w:r w:rsidR="00294DC2">
          <w:rPr>
            <w:webHidden/>
          </w:rPr>
          <w:fldChar w:fldCharType="end"/>
        </w:r>
      </w:hyperlink>
    </w:p>
    <w:p w14:paraId="05FB80BE" w14:textId="77777777" w:rsidR="00294DC2" w:rsidRDefault="00311E08">
      <w:pPr>
        <w:pStyle w:val="TOC3"/>
        <w:rPr>
          <w:rFonts w:asciiTheme="minorHAnsi" w:eastAsiaTheme="minorEastAsia" w:hAnsiTheme="minorHAnsi" w:cstheme="minorBidi"/>
          <w:color w:val="auto"/>
        </w:rPr>
      </w:pPr>
      <w:hyperlink w:anchor="_Toc400018531" w:history="1">
        <w:r w:rsidR="00294DC2" w:rsidRPr="00FB5042">
          <w:rPr>
            <w:rStyle w:val="Hyperlink"/>
          </w:rPr>
          <w:t>Numbering transactions</w:t>
        </w:r>
        <w:r w:rsidR="00294DC2">
          <w:rPr>
            <w:webHidden/>
          </w:rPr>
          <w:tab/>
        </w:r>
        <w:r w:rsidR="00294DC2">
          <w:rPr>
            <w:webHidden/>
          </w:rPr>
          <w:fldChar w:fldCharType="begin"/>
        </w:r>
        <w:r w:rsidR="00294DC2">
          <w:rPr>
            <w:webHidden/>
          </w:rPr>
          <w:instrText xml:space="preserve"> PAGEREF _Toc400018531 \h </w:instrText>
        </w:r>
        <w:r w:rsidR="00294DC2">
          <w:rPr>
            <w:webHidden/>
          </w:rPr>
        </w:r>
        <w:r w:rsidR="00294DC2">
          <w:rPr>
            <w:webHidden/>
          </w:rPr>
          <w:fldChar w:fldCharType="separate"/>
        </w:r>
        <w:r w:rsidR="00294DC2">
          <w:rPr>
            <w:webHidden/>
          </w:rPr>
          <w:t>52</w:t>
        </w:r>
        <w:r w:rsidR="00294DC2">
          <w:rPr>
            <w:webHidden/>
          </w:rPr>
          <w:fldChar w:fldCharType="end"/>
        </w:r>
      </w:hyperlink>
    </w:p>
    <w:p w14:paraId="1C86BCE9" w14:textId="77777777" w:rsidR="00294DC2" w:rsidRDefault="00311E08">
      <w:pPr>
        <w:pStyle w:val="TOC3"/>
        <w:rPr>
          <w:rFonts w:asciiTheme="minorHAnsi" w:eastAsiaTheme="minorEastAsia" w:hAnsiTheme="minorHAnsi" w:cstheme="minorBidi"/>
          <w:color w:val="auto"/>
        </w:rPr>
      </w:pPr>
      <w:hyperlink w:anchor="_Toc400018532" w:history="1">
        <w:r w:rsidR="00294DC2" w:rsidRPr="00FB5042">
          <w:rPr>
            <w:rStyle w:val="Hyperlink"/>
          </w:rPr>
          <w:t>Portability</w:t>
        </w:r>
        <w:r w:rsidR="00294DC2">
          <w:rPr>
            <w:webHidden/>
          </w:rPr>
          <w:tab/>
        </w:r>
        <w:r w:rsidR="00294DC2">
          <w:rPr>
            <w:webHidden/>
          </w:rPr>
          <w:fldChar w:fldCharType="begin"/>
        </w:r>
        <w:r w:rsidR="00294DC2">
          <w:rPr>
            <w:webHidden/>
          </w:rPr>
          <w:instrText xml:space="preserve"> PAGEREF _Toc400018532 \h </w:instrText>
        </w:r>
        <w:r w:rsidR="00294DC2">
          <w:rPr>
            <w:webHidden/>
          </w:rPr>
        </w:r>
        <w:r w:rsidR="00294DC2">
          <w:rPr>
            <w:webHidden/>
          </w:rPr>
          <w:fldChar w:fldCharType="separate"/>
        </w:r>
        <w:r w:rsidR="00294DC2">
          <w:rPr>
            <w:webHidden/>
          </w:rPr>
          <w:t>54</w:t>
        </w:r>
        <w:r w:rsidR="00294DC2">
          <w:rPr>
            <w:webHidden/>
          </w:rPr>
          <w:fldChar w:fldCharType="end"/>
        </w:r>
      </w:hyperlink>
    </w:p>
    <w:p w14:paraId="7809FFD9" w14:textId="77777777" w:rsidR="00294DC2" w:rsidRDefault="00311E08">
      <w:pPr>
        <w:pStyle w:val="TOC3"/>
        <w:rPr>
          <w:rFonts w:asciiTheme="minorHAnsi" w:eastAsiaTheme="minorEastAsia" w:hAnsiTheme="minorHAnsi" w:cstheme="minorBidi"/>
          <w:color w:val="auto"/>
        </w:rPr>
      </w:pPr>
      <w:hyperlink w:anchor="_Toc400018533" w:history="1">
        <w:r w:rsidR="00294DC2" w:rsidRPr="00FB5042">
          <w:rPr>
            <w:rStyle w:val="Hyperlink"/>
          </w:rPr>
          <w:t>Pre-selection</w:t>
        </w:r>
        <w:r w:rsidR="00294DC2">
          <w:rPr>
            <w:webHidden/>
          </w:rPr>
          <w:tab/>
        </w:r>
        <w:r w:rsidR="00294DC2">
          <w:rPr>
            <w:webHidden/>
          </w:rPr>
          <w:fldChar w:fldCharType="begin"/>
        </w:r>
        <w:r w:rsidR="00294DC2">
          <w:rPr>
            <w:webHidden/>
          </w:rPr>
          <w:instrText xml:space="preserve"> PAGEREF _Toc400018533 \h </w:instrText>
        </w:r>
        <w:r w:rsidR="00294DC2">
          <w:rPr>
            <w:webHidden/>
          </w:rPr>
        </w:r>
        <w:r w:rsidR="00294DC2">
          <w:rPr>
            <w:webHidden/>
          </w:rPr>
          <w:fldChar w:fldCharType="separate"/>
        </w:r>
        <w:r w:rsidR="00294DC2">
          <w:rPr>
            <w:webHidden/>
          </w:rPr>
          <w:t>55</w:t>
        </w:r>
        <w:r w:rsidR="00294DC2">
          <w:rPr>
            <w:webHidden/>
          </w:rPr>
          <w:fldChar w:fldCharType="end"/>
        </w:r>
      </w:hyperlink>
    </w:p>
    <w:p w14:paraId="32A9136E" w14:textId="77777777" w:rsidR="00294DC2" w:rsidRDefault="00311E08">
      <w:pPr>
        <w:pStyle w:val="TOC2"/>
        <w:rPr>
          <w:rFonts w:asciiTheme="minorHAnsi" w:eastAsiaTheme="minorEastAsia" w:hAnsiTheme="minorHAnsi" w:cstheme="minorBidi"/>
          <w:color w:val="auto"/>
          <w:spacing w:val="0"/>
          <w:sz w:val="22"/>
          <w:szCs w:val="22"/>
        </w:rPr>
      </w:pPr>
      <w:hyperlink w:anchor="_Toc400018534" w:history="1">
        <w:r w:rsidR="00294DC2" w:rsidRPr="00FB5042">
          <w:rPr>
            <w:rStyle w:val="Hyperlink"/>
          </w:rPr>
          <w:t>Revenue and fees</w:t>
        </w:r>
        <w:r w:rsidR="00294DC2">
          <w:rPr>
            <w:webHidden/>
          </w:rPr>
          <w:tab/>
        </w:r>
        <w:r w:rsidR="00294DC2">
          <w:rPr>
            <w:webHidden/>
          </w:rPr>
          <w:fldChar w:fldCharType="begin"/>
        </w:r>
        <w:r w:rsidR="00294DC2">
          <w:rPr>
            <w:webHidden/>
          </w:rPr>
          <w:instrText xml:space="preserve"> PAGEREF _Toc400018534 \h </w:instrText>
        </w:r>
        <w:r w:rsidR="00294DC2">
          <w:rPr>
            <w:webHidden/>
          </w:rPr>
        </w:r>
        <w:r w:rsidR="00294DC2">
          <w:rPr>
            <w:webHidden/>
          </w:rPr>
          <w:fldChar w:fldCharType="separate"/>
        </w:r>
        <w:r w:rsidR="00294DC2">
          <w:rPr>
            <w:webHidden/>
          </w:rPr>
          <w:t>55</w:t>
        </w:r>
        <w:r w:rsidR="00294DC2">
          <w:rPr>
            <w:webHidden/>
          </w:rPr>
          <w:fldChar w:fldCharType="end"/>
        </w:r>
      </w:hyperlink>
    </w:p>
    <w:p w14:paraId="1B5B3682" w14:textId="77777777" w:rsidR="00294DC2" w:rsidRDefault="00311E08">
      <w:pPr>
        <w:pStyle w:val="TOC3"/>
        <w:rPr>
          <w:rFonts w:asciiTheme="minorHAnsi" w:eastAsiaTheme="minorEastAsia" w:hAnsiTheme="minorHAnsi" w:cstheme="minorBidi"/>
          <w:color w:val="auto"/>
        </w:rPr>
      </w:pPr>
      <w:hyperlink w:anchor="_Toc400018535" w:history="1">
        <w:r w:rsidR="00294DC2" w:rsidRPr="00FB5042">
          <w:rPr>
            <w:rStyle w:val="Hyperlink"/>
          </w:rPr>
          <w:t>Stakeholder engagement</w:t>
        </w:r>
        <w:r w:rsidR="00294DC2">
          <w:rPr>
            <w:webHidden/>
          </w:rPr>
          <w:tab/>
        </w:r>
        <w:r w:rsidR="00294DC2">
          <w:rPr>
            <w:webHidden/>
          </w:rPr>
          <w:fldChar w:fldCharType="begin"/>
        </w:r>
        <w:r w:rsidR="00294DC2">
          <w:rPr>
            <w:webHidden/>
          </w:rPr>
          <w:instrText xml:space="preserve"> PAGEREF _Toc400018535 \h </w:instrText>
        </w:r>
        <w:r w:rsidR="00294DC2">
          <w:rPr>
            <w:webHidden/>
          </w:rPr>
        </w:r>
        <w:r w:rsidR="00294DC2">
          <w:rPr>
            <w:webHidden/>
          </w:rPr>
          <w:fldChar w:fldCharType="separate"/>
        </w:r>
        <w:r w:rsidR="00294DC2">
          <w:rPr>
            <w:webHidden/>
          </w:rPr>
          <w:t>56</w:t>
        </w:r>
        <w:r w:rsidR="00294DC2">
          <w:rPr>
            <w:webHidden/>
          </w:rPr>
          <w:fldChar w:fldCharType="end"/>
        </w:r>
      </w:hyperlink>
    </w:p>
    <w:p w14:paraId="1546E103" w14:textId="77777777" w:rsidR="00294DC2" w:rsidRDefault="00311E08">
      <w:pPr>
        <w:pStyle w:val="TOC3"/>
        <w:rPr>
          <w:rFonts w:asciiTheme="minorHAnsi" w:eastAsiaTheme="minorEastAsia" w:hAnsiTheme="minorHAnsi" w:cstheme="minorBidi"/>
          <w:color w:val="auto"/>
        </w:rPr>
      </w:pPr>
      <w:hyperlink w:anchor="_Toc400018536" w:history="1">
        <w:r w:rsidR="00294DC2" w:rsidRPr="00FB5042">
          <w:rPr>
            <w:rStyle w:val="Hyperlink"/>
          </w:rPr>
          <w:t>Annual carrier licence charges</w:t>
        </w:r>
        <w:r w:rsidR="00294DC2">
          <w:rPr>
            <w:webHidden/>
          </w:rPr>
          <w:tab/>
        </w:r>
        <w:r w:rsidR="00294DC2">
          <w:rPr>
            <w:webHidden/>
          </w:rPr>
          <w:fldChar w:fldCharType="begin"/>
        </w:r>
        <w:r w:rsidR="00294DC2">
          <w:rPr>
            <w:webHidden/>
          </w:rPr>
          <w:instrText xml:space="preserve"> PAGEREF _Toc400018536 \h </w:instrText>
        </w:r>
        <w:r w:rsidR="00294DC2">
          <w:rPr>
            <w:webHidden/>
          </w:rPr>
        </w:r>
        <w:r w:rsidR="00294DC2">
          <w:rPr>
            <w:webHidden/>
          </w:rPr>
          <w:fldChar w:fldCharType="separate"/>
        </w:r>
        <w:r w:rsidR="00294DC2">
          <w:rPr>
            <w:webHidden/>
          </w:rPr>
          <w:t>57</w:t>
        </w:r>
        <w:r w:rsidR="00294DC2">
          <w:rPr>
            <w:webHidden/>
          </w:rPr>
          <w:fldChar w:fldCharType="end"/>
        </w:r>
      </w:hyperlink>
    </w:p>
    <w:p w14:paraId="5B32E404" w14:textId="77777777" w:rsidR="00294DC2" w:rsidRDefault="00311E08">
      <w:pPr>
        <w:pStyle w:val="TOC3"/>
        <w:rPr>
          <w:rFonts w:asciiTheme="minorHAnsi" w:eastAsiaTheme="minorEastAsia" w:hAnsiTheme="minorHAnsi" w:cstheme="minorBidi"/>
          <w:color w:val="auto"/>
        </w:rPr>
      </w:pPr>
      <w:hyperlink w:anchor="_Toc400018537" w:history="1">
        <w:r w:rsidR="00294DC2" w:rsidRPr="00FB5042">
          <w:rPr>
            <w:rStyle w:val="Hyperlink"/>
          </w:rPr>
          <w:t>Do Not Call Register access fees</w:t>
        </w:r>
        <w:r w:rsidR="00294DC2">
          <w:rPr>
            <w:webHidden/>
          </w:rPr>
          <w:tab/>
        </w:r>
        <w:r w:rsidR="00294DC2">
          <w:rPr>
            <w:webHidden/>
          </w:rPr>
          <w:fldChar w:fldCharType="begin"/>
        </w:r>
        <w:r w:rsidR="00294DC2">
          <w:rPr>
            <w:webHidden/>
          </w:rPr>
          <w:instrText xml:space="preserve"> PAGEREF _Toc400018537 \h </w:instrText>
        </w:r>
        <w:r w:rsidR="00294DC2">
          <w:rPr>
            <w:webHidden/>
          </w:rPr>
        </w:r>
        <w:r w:rsidR="00294DC2">
          <w:rPr>
            <w:webHidden/>
          </w:rPr>
          <w:fldChar w:fldCharType="separate"/>
        </w:r>
        <w:r w:rsidR="00294DC2">
          <w:rPr>
            <w:webHidden/>
          </w:rPr>
          <w:t>58</w:t>
        </w:r>
        <w:r w:rsidR="00294DC2">
          <w:rPr>
            <w:webHidden/>
          </w:rPr>
          <w:fldChar w:fldCharType="end"/>
        </w:r>
      </w:hyperlink>
    </w:p>
    <w:p w14:paraId="4A624292" w14:textId="77777777" w:rsidR="00294DC2" w:rsidRDefault="00311E08">
      <w:pPr>
        <w:pStyle w:val="TOC3"/>
        <w:rPr>
          <w:rFonts w:asciiTheme="minorHAnsi" w:eastAsiaTheme="minorEastAsia" w:hAnsiTheme="minorHAnsi" w:cstheme="minorBidi"/>
          <w:color w:val="auto"/>
        </w:rPr>
      </w:pPr>
      <w:hyperlink w:anchor="_Toc400018538" w:history="1">
        <w:r w:rsidR="00294DC2" w:rsidRPr="00FB5042">
          <w:rPr>
            <w:rStyle w:val="Hyperlink"/>
          </w:rPr>
          <w:t>Numbering charges</w:t>
        </w:r>
        <w:r w:rsidR="00294DC2">
          <w:rPr>
            <w:webHidden/>
          </w:rPr>
          <w:tab/>
        </w:r>
        <w:r w:rsidR="00294DC2">
          <w:rPr>
            <w:webHidden/>
          </w:rPr>
          <w:fldChar w:fldCharType="begin"/>
        </w:r>
        <w:r w:rsidR="00294DC2">
          <w:rPr>
            <w:webHidden/>
          </w:rPr>
          <w:instrText xml:space="preserve"> PAGEREF _Toc400018538 \h </w:instrText>
        </w:r>
        <w:r w:rsidR="00294DC2">
          <w:rPr>
            <w:webHidden/>
          </w:rPr>
        </w:r>
        <w:r w:rsidR="00294DC2">
          <w:rPr>
            <w:webHidden/>
          </w:rPr>
          <w:fldChar w:fldCharType="separate"/>
        </w:r>
        <w:r w:rsidR="00294DC2">
          <w:rPr>
            <w:webHidden/>
          </w:rPr>
          <w:t>58</w:t>
        </w:r>
        <w:r w:rsidR="00294DC2">
          <w:rPr>
            <w:webHidden/>
          </w:rPr>
          <w:fldChar w:fldCharType="end"/>
        </w:r>
      </w:hyperlink>
    </w:p>
    <w:p w14:paraId="36A0C211" w14:textId="77777777" w:rsidR="00294DC2" w:rsidRDefault="00311E08">
      <w:pPr>
        <w:pStyle w:val="TOC3"/>
        <w:rPr>
          <w:rFonts w:asciiTheme="minorHAnsi" w:eastAsiaTheme="minorEastAsia" w:hAnsiTheme="minorHAnsi" w:cstheme="minorBidi"/>
          <w:color w:val="auto"/>
        </w:rPr>
      </w:pPr>
      <w:hyperlink w:anchor="_Toc400018539" w:history="1">
        <w:r w:rsidR="00294DC2" w:rsidRPr="00FB5042">
          <w:rPr>
            <w:rStyle w:val="Hyperlink"/>
          </w:rPr>
          <w:t>Number auctions</w:t>
        </w:r>
        <w:r w:rsidR="00294DC2">
          <w:rPr>
            <w:webHidden/>
          </w:rPr>
          <w:tab/>
        </w:r>
        <w:r w:rsidR="00294DC2">
          <w:rPr>
            <w:webHidden/>
          </w:rPr>
          <w:fldChar w:fldCharType="begin"/>
        </w:r>
        <w:r w:rsidR="00294DC2">
          <w:rPr>
            <w:webHidden/>
          </w:rPr>
          <w:instrText xml:space="preserve"> PAGEREF _Toc400018539 \h </w:instrText>
        </w:r>
        <w:r w:rsidR="00294DC2">
          <w:rPr>
            <w:webHidden/>
          </w:rPr>
        </w:r>
        <w:r w:rsidR="00294DC2">
          <w:rPr>
            <w:webHidden/>
          </w:rPr>
          <w:fldChar w:fldCharType="separate"/>
        </w:r>
        <w:r w:rsidR="00294DC2">
          <w:rPr>
            <w:webHidden/>
          </w:rPr>
          <w:t>59</w:t>
        </w:r>
        <w:r w:rsidR="00294DC2">
          <w:rPr>
            <w:webHidden/>
          </w:rPr>
          <w:fldChar w:fldCharType="end"/>
        </w:r>
      </w:hyperlink>
    </w:p>
    <w:p w14:paraId="5041D6A6" w14:textId="77777777" w:rsidR="00294DC2" w:rsidRDefault="00311E08">
      <w:pPr>
        <w:pStyle w:val="TOC3"/>
        <w:rPr>
          <w:rFonts w:asciiTheme="minorHAnsi" w:eastAsiaTheme="minorEastAsia" w:hAnsiTheme="minorHAnsi" w:cstheme="minorBidi"/>
          <w:color w:val="auto"/>
        </w:rPr>
      </w:pPr>
      <w:hyperlink w:anchor="_Toc400018540" w:history="1">
        <w:r w:rsidR="00294DC2" w:rsidRPr="00FB5042">
          <w:rPr>
            <w:rStyle w:val="Hyperlink"/>
          </w:rPr>
          <w:t>Apparatus licence taxes</w:t>
        </w:r>
        <w:r w:rsidR="00294DC2">
          <w:rPr>
            <w:webHidden/>
          </w:rPr>
          <w:tab/>
        </w:r>
        <w:r w:rsidR="00294DC2">
          <w:rPr>
            <w:webHidden/>
          </w:rPr>
          <w:fldChar w:fldCharType="begin"/>
        </w:r>
        <w:r w:rsidR="00294DC2">
          <w:rPr>
            <w:webHidden/>
          </w:rPr>
          <w:instrText xml:space="preserve"> PAGEREF _Toc400018540 \h </w:instrText>
        </w:r>
        <w:r w:rsidR="00294DC2">
          <w:rPr>
            <w:webHidden/>
          </w:rPr>
        </w:r>
        <w:r w:rsidR="00294DC2">
          <w:rPr>
            <w:webHidden/>
          </w:rPr>
          <w:fldChar w:fldCharType="separate"/>
        </w:r>
        <w:r w:rsidR="00294DC2">
          <w:rPr>
            <w:webHidden/>
          </w:rPr>
          <w:t>59</w:t>
        </w:r>
        <w:r w:rsidR="00294DC2">
          <w:rPr>
            <w:webHidden/>
          </w:rPr>
          <w:fldChar w:fldCharType="end"/>
        </w:r>
      </w:hyperlink>
    </w:p>
    <w:p w14:paraId="08D47B4B" w14:textId="77777777" w:rsidR="00294DC2" w:rsidRDefault="00311E08">
      <w:pPr>
        <w:pStyle w:val="TOC3"/>
        <w:rPr>
          <w:rFonts w:asciiTheme="minorHAnsi" w:eastAsiaTheme="minorEastAsia" w:hAnsiTheme="minorHAnsi" w:cstheme="minorBidi"/>
          <w:color w:val="auto"/>
        </w:rPr>
      </w:pPr>
      <w:hyperlink w:anchor="_Toc400018541" w:history="1">
        <w:r w:rsidR="00294DC2" w:rsidRPr="00FB5042">
          <w:rPr>
            <w:rStyle w:val="Hyperlink"/>
          </w:rPr>
          <w:t>Spectrum licence tax</w:t>
        </w:r>
        <w:r w:rsidR="00294DC2">
          <w:rPr>
            <w:webHidden/>
          </w:rPr>
          <w:tab/>
        </w:r>
        <w:r w:rsidR="00294DC2">
          <w:rPr>
            <w:webHidden/>
          </w:rPr>
          <w:fldChar w:fldCharType="begin"/>
        </w:r>
        <w:r w:rsidR="00294DC2">
          <w:rPr>
            <w:webHidden/>
          </w:rPr>
          <w:instrText xml:space="preserve"> PAGEREF _Toc400018541 \h </w:instrText>
        </w:r>
        <w:r w:rsidR="00294DC2">
          <w:rPr>
            <w:webHidden/>
          </w:rPr>
        </w:r>
        <w:r w:rsidR="00294DC2">
          <w:rPr>
            <w:webHidden/>
          </w:rPr>
          <w:fldChar w:fldCharType="separate"/>
        </w:r>
        <w:r w:rsidR="00294DC2">
          <w:rPr>
            <w:webHidden/>
          </w:rPr>
          <w:t>59</w:t>
        </w:r>
        <w:r w:rsidR="00294DC2">
          <w:rPr>
            <w:webHidden/>
          </w:rPr>
          <w:fldChar w:fldCharType="end"/>
        </w:r>
      </w:hyperlink>
    </w:p>
    <w:p w14:paraId="5A8AAFAE" w14:textId="77777777" w:rsidR="00294DC2" w:rsidRDefault="00311E08">
      <w:pPr>
        <w:pStyle w:val="TOC3"/>
        <w:rPr>
          <w:rFonts w:asciiTheme="minorHAnsi" w:eastAsiaTheme="minorEastAsia" w:hAnsiTheme="minorHAnsi" w:cstheme="minorBidi"/>
          <w:color w:val="auto"/>
        </w:rPr>
      </w:pPr>
      <w:hyperlink w:anchor="_Toc400018542" w:history="1">
        <w:r w:rsidR="00294DC2" w:rsidRPr="00FB5042">
          <w:rPr>
            <w:rStyle w:val="Hyperlink"/>
          </w:rPr>
          <w:t>Broadcasting licence fees and datacasting charge</w:t>
        </w:r>
        <w:r w:rsidR="00294DC2">
          <w:rPr>
            <w:webHidden/>
          </w:rPr>
          <w:tab/>
        </w:r>
        <w:r w:rsidR="00294DC2">
          <w:rPr>
            <w:webHidden/>
          </w:rPr>
          <w:fldChar w:fldCharType="begin"/>
        </w:r>
        <w:r w:rsidR="00294DC2">
          <w:rPr>
            <w:webHidden/>
          </w:rPr>
          <w:instrText xml:space="preserve"> PAGEREF _Toc400018542 \h </w:instrText>
        </w:r>
        <w:r w:rsidR="00294DC2">
          <w:rPr>
            <w:webHidden/>
          </w:rPr>
        </w:r>
        <w:r w:rsidR="00294DC2">
          <w:rPr>
            <w:webHidden/>
          </w:rPr>
          <w:fldChar w:fldCharType="separate"/>
        </w:r>
        <w:r w:rsidR="00294DC2">
          <w:rPr>
            <w:webHidden/>
          </w:rPr>
          <w:t>59</w:t>
        </w:r>
        <w:r w:rsidR="00294DC2">
          <w:rPr>
            <w:webHidden/>
          </w:rPr>
          <w:fldChar w:fldCharType="end"/>
        </w:r>
      </w:hyperlink>
    </w:p>
    <w:p w14:paraId="15829256" w14:textId="77777777" w:rsidR="00294DC2" w:rsidRDefault="00311E08">
      <w:pPr>
        <w:pStyle w:val="TOC2"/>
        <w:rPr>
          <w:rFonts w:asciiTheme="minorHAnsi" w:eastAsiaTheme="minorEastAsia" w:hAnsiTheme="minorHAnsi" w:cstheme="minorBidi"/>
          <w:color w:val="auto"/>
          <w:spacing w:val="0"/>
          <w:sz w:val="22"/>
          <w:szCs w:val="22"/>
        </w:rPr>
      </w:pPr>
      <w:hyperlink w:anchor="_Toc400018543" w:history="1">
        <w:r w:rsidR="00294DC2" w:rsidRPr="00FB5042">
          <w:rPr>
            <w:rStyle w:val="Hyperlink"/>
          </w:rPr>
          <w:t>Technical regulation and related matters</w:t>
        </w:r>
        <w:r w:rsidR="00294DC2">
          <w:rPr>
            <w:webHidden/>
          </w:rPr>
          <w:tab/>
        </w:r>
        <w:r w:rsidR="00294DC2">
          <w:rPr>
            <w:webHidden/>
          </w:rPr>
          <w:fldChar w:fldCharType="begin"/>
        </w:r>
        <w:r w:rsidR="00294DC2">
          <w:rPr>
            <w:webHidden/>
          </w:rPr>
          <w:instrText xml:space="preserve"> PAGEREF _Toc400018543 \h </w:instrText>
        </w:r>
        <w:r w:rsidR="00294DC2">
          <w:rPr>
            <w:webHidden/>
          </w:rPr>
        </w:r>
        <w:r w:rsidR="00294DC2">
          <w:rPr>
            <w:webHidden/>
          </w:rPr>
          <w:fldChar w:fldCharType="separate"/>
        </w:r>
        <w:r w:rsidR="00294DC2">
          <w:rPr>
            <w:webHidden/>
          </w:rPr>
          <w:t>60</w:t>
        </w:r>
        <w:r w:rsidR="00294DC2">
          <w:rPr>
            <w:webHidden/>
          </w:rPr>
          <w:fldChar w:fldCharType="end"/>
        </w:r>
      </w:hyperlink>
    </w:p>
    <w:p w14:paraId="4D34A4D7" w14:textId="77777777" w:rsidR="00294DC2" w:rsidRDefault="00311E08">
      <w:pPr>
        <w:pStyle w:val="TOC3"/>
        <w:rPr>
          <w:rFonts w:asciiTheme="minorHAnsi" w:eastAsiaTheme="minorEastAsia" w:hAnsiTheme="minorHAnsi" w:cstheme="minorBidi"/>
          <w:color w:val="auto"/>
        </w:rPr>
      </w:pPr>
      <w:hyperlink w:anchor="_Toc400018544" w:history="1">
        <w:r w:rsidR="00294DC2" w:rsidRPr="00FB5042">
          <w:rPr>
            <w:rStyle w:val="Hyperlink"/>
          </w:rPr>
          <w:t>Regulatory arrangements—technical standards and labelling notices</w:t>
        </w:r>
        <w:r w:rsidR="00294DC2">
          <w:rPr>
            <w:webHidden/>
          </w:rPr>
          <w:tab/>
        </w:r>
        <w:r w:rsidR="00294DC2">
          <w:rPr>
            <w:webHidden/>
          </w:rPr>
          <w:fldChar w:fldCharType="begin"/>
        </w:r>
        <w:r w:rsidR="00294DC2">
          <w:rPr>
            <w:webHidden/>
          </w:rPr>
          <w:instrText xml:space="preserve"> PAGEREF _Toc400018544 \h </w:instrText>
        </w:r>
        <w:r w:rsidR="00294DC2">
          <w:rPr>
            <w:webHidden/>
          </w:rPr>
        </w:r>
        <w:r w:rsidR="00294DC2">
          <w:rPr>
            <w:webHidden/>
          </w:rPr>
          <w:fldChar w:fldCharType="separate"/>
        </w:r>
        <w:r w:rsidR="00294DC2">
          <w:rPr>
            <w:webHidden/>
          </w:rPr>
          <w:t>61</w:t>
        </w:r>
        <w:r w:rsidR="00294DC2">
          <w:rPr>
            <w:webHidden/>
          </w:rPr>
          <w:fldChar w:fldCharType="end"/>
        </w:r>
      </w:hyperlink>
    </w:p>
    <w:p w14:paraId="77A49D66" w14:textId="77777777" w:rsidR="00294DC2" w:rsidRDefault="00311E08">
      <w:pPr>
        <w:pStyle w:val="TOC3"/>
        <w:rPr>
          <w:rFonts w:asciiTheme="minorHAnsi" w:eastAsiaTheme="minorEastAsia" w:hAnsiTheme="minorHAnsi" w:cstheme="minorBidi"/>
          <w:color w:val="auto"/>
        </w:rPr>
      </w:pPr>
      <w:hyperlink w:anchor="_Toc400018545" w:history="1">
        <w:r w:rsidR="00294DC2" w:rsidRPr="00FB5042">
          <w:rPr>
            <w:rStyle w:val="Hyperlink"/>
          </w:rPr>
          <w:t>Telecommunications standards</w:t>
        </w:r>
        <w:r w:rsidR="00294DC2">
          <w:rPr>
            <w:webHidden/>
          </w:rPr>
          <w:tab/>
        </w:r>
        <w:r w:rsidR="00294DC2">
          <w:rPr>
            <w:webHidden/>
          </w:rPr>
          <w:fldChar w:fldCharType="begin"/>
        </w:r>
        <w:r w:rsidR="00294DC2">
          <w:rPr>
            <w:webHidden/>
          </w:rPr>
          <w:instrText xml:space="preserve"> PAGEREF _Toc400018545 \h </w:instrText>
        </w:r>
        <w:r w:rsidR="00294DC2">
          <w:rPr>
            <w:webHidden/>
          </w:rPr>
        </w:r>
        <w:r w:rsidR="00294DC2">
          <w:rPr>
            <w:webHidden/>
          </w:rPr>
          <w:fldChar w:fldCharType="separate"/>
        </w:r>
        <w:r w:rsidR="00294DC2">
          <w:rPr>
            <w:webHidden/>
          </w:rPr>
          <w:t>62</w:t>
        </w:r>
        <w:r w:rsidR="00294DC2">
          <w:rPr>
            <w:webHidden/>
          </w:rPr>
          <w:fldChar w:fldCharType="end"/>
        </w:r>
      </w:hyperlink>
    </w:p>
    <w:p w14:paraId="01375555" w14:textId="77777777" w:rsidR="00294DC2" w:rsidRDefault="00311E08">
      <w:pPr>
        <w:pStyle w:val="TOC3"/>
        <w:rPr>
          <w:rFonts w:asciiTheme="minorHAnsi" w:eastAsiaTheme="minorEastAsia" w:hAnsiTheme="minorHAnsi" w:cstheme="minorBidi"/>
          <w:color w:val="auto"/>
        </w:rPr>
      </w:pPr>
      <w:hyperlink w:anchor="_Toc400018546" w:history="1">
        <w:r w:rsidR="00294DC2" w:rsidRPr="00FB5042">
          <w:rPr>
            <w:rStyle w:val="Hyperlink"/>
          </w:rPr>
          <w:t>Radiocommunications standards</w:t>
        </w:r>
        <w:r w:rsidR="00294DC2">
          <w:rPr>
            <w:webHidden/>
          </w:rPr>
          <w:tab/>
        </w:r>
        <w:r w:rsidR="00294DC2">
          <w:rPr>
            <w:webHidden/>
          </w:rPr>
          <w:fldChar w:fldCharType="begin"/>
        </w:r>
        <w:r w:rsidR="00294DC2">
          <w:rPr>
            <w:webHidden/>
          </w:rPr>
          <w:instrText xml:space="preserve"> PAGEREF _Toc400018546 \h </w:instrText>
        </w:r>
        <w:r w:rsidR="00294DC2">
          <w:rPr>
            <w:webHidden/>
          </w:rPr>
        </w:r>
        <w:r w:rsidR="00294DC2">
          <w:rPr>
            <w:webHidden/>
          </w:rPr>
          <w:fldChar w:fldCharType="separate"/>
        </w:r>
        <w:r w:rsidR="00294DC2">
          <w:rPr>
            <w:webHidden/>
          </w:rPr>
          <w:t>62</w:t>
        </w:r>
        <w:r w:rsidR="00294DC2">
          <w:rPr>
            <w:webHidden/>
          </w:rPr>
          <w:fldChar w:fldCharType="end"/>
        </w:r>
      </w:hyperlink>
    </w:p>
    <w:p w14:paraId="42D15A59" w14:textId="77777777" w:rsidR="00294DC2" w:rsidRDefault="00311E08">
      <w:pPr>
        <w:pStyle w:val="TOC3"/>
        <w:rPr>
          <w:rFonts w:asciiTheme="minorHAnsi" w:eastAsiaTheme="minorEastAsia" w:hAnsiTheme="minorHAnsi" w:cstheme="minorBidi"/>
          <w:color w:val="auto"/>
        </w:rPr>
      </w:pPr>
      <w:hyperlink w:anchor="_Toc400018547" w:history="1">
        <w:r w:rsidR="00294DC2" w:rsidRPr="00FB5042">
          <w:rPr>
            <w:rStyle w:val="Hyperlink"/>
          </w:rPr>
          <w:t>Electromagnetic compatibility standards</w:t>
        </w:r>
        <w:r w:rsidR="00294DC2">
          <w:rPr>
            <w:webHidden/>
          </w:rPr>
          <w:tab/>
        </w:r>
        <w:r w:rsidR="00294DC2">
          <w:rPr>
            <w:webHidden/>
          </w:rPr>
          <w:fldChar w:fldCharType="begin"/>
        </w:r>
        <w:r w:rsidR="00294DC2">
          <w:rPr>
            <w:webHidden/>
          </w:rPr>
          <w:instrText xml:space="preserve"> PAGEREF _Toc400018547 \h </w:instrText>
        </w:r>
        <w:r w:rsidR="00294DC2">
          <w:rPr>
            <w:webHidden/>
          </w:rPr>
        </w:r>
        <w:r w:rsidR="00294DC2">
          <w:rPr>
            <w:webHidden/>
          </w:rPr>
          <w:fldChar w:fldCharType="separate"/>
        </w:r>
        <w:r w:rsidR="00294DC2">
          <w:rPr>
            <w:webHidden/>
          </w:rPr>
          <w:t>63</w:t>
        </w:r>
        <w:r w:rsidR="00294DC2">
          <w:rPr>
            <w:webHidden/>
          </w:rPr>
          <w:fldChar w:fldCharType="end"/>
        </w:r>
      </w:hyperlink>
    </w:p>
    <w:p w14:paraId="7483D236" w14:textId="77777777" w:rsidR="00294DC2" w:rsidRDefault="00311E08">
      <w:pPr>
        <w:pStyle w:val="TOC3"/>
        <w:rPr>
          <w:rFonts w:asciiTheme="minorHAnsi" w:eastAsiaTheme="minorEastAsia" w:hAnsiTheme="minorHAnsi" w:cstheme="minorBidi"/>
          <w:color w:val="auto"/>
        </w:rPr>
      </w:pPr>
      <w:hyperlink w:anchor="_Toc400018548" w:history="1">
        <w:r w:rsidR="00294DC2" w:rsidRPr="00FB5042">
          <w:rPr>
            <w:rStyle w:val="Hyperlink"/>
          </w:rPr>
          <w:t>Electromagnetic energy standards</w:t>
        </w:r>
        <w:r w:rsidR="00294DC2">
          <w:rPr>
            <w:webHidden/>
          </w:rPr>
          <w:tab/>
        </w:r>
        <w:r w:rsidR="00294DC2">
          <w:rPr>
            <w:webHidden/>
          </w:rPr>
          <w:fldChar w:fldCharType="begin"/>
        </w:r>
        <w:r w:rsidR="00294DC2">
          <w:rPr>
            <w:webHidden/>
          </w:rPr>
          <w:instrText xml:space="preserve"> PAGEREF _Toc400018548 \h </w:instrText>
        </w:r>
        <w:r w:rsidR="00294DC2">
          <w:rPr>
            <w:webHidden/>
          </w:rPr>
        </w:r>
        <w:r w:rsidR="00294DC2">
          <w:rPr>
            <w:webHidden/>
          </w:rPr>
          <w:fldChar w:fldCharType="separate"/>
        </w:r>
        <w:r w:rsidR="00294DC2">
          <w:rPr>
            <w:webHidden/>
          </w:rPr>
          <w:t>63</w:t>
        </w:r>
        <w:r w:rsidR="00294DC2">
          <w:rPr>
            <w:webHidden/>
          </w:rPr>
          <w:fldChar w:fldCharType="end"/>
        </w:r>
      </w:hyperlink>
    </w:p>
    <w:p w14:paraId="00244AAC" w14:textId="77777777" w:rsidR="00294DC2" w:rsidRDefault="00311E08">
      <w:pPr>
        <w:pStyle w:val="TOC3"/>
        <w:rPr>
          <w:rFonts w:asciiTheme="minorHAnsi" w:eastAsiaTheme="minorEastAsia" w:hAnsiTheme="minorHAnsi" w:cstheme="minorBidi"/>
          <w:color w:val="auto"/>
        </w:rPr>
      </w:pPr>
      <w:hyperlink w:anchor="_Toc400018549" w:history="1">
        <w:r w:rsidR="00294DC2" w:rsidRPr="00FB5042">
          <w:rPr>
            <w:rStyle w:val="Hyperlink"/>
          </w:rPr>
          <w:t>Broadcasting technical standards—digital television</w:t>
        </w:r>
        <w:r w:rsidR="00294DC2">
          <w:rPr>
            <w:webHidden/>
          </w:rPr>
          <w:tab/>
        </w:r>
        <w:r w:rsidR="00294DC2">
          <w:rPr>
            <w:webHidden/>
          </w:rPr>
          <w:fldChar w:fldCharType="begin"/>
        </w:r>
        <w:r w:rsidR="00294DC2">
          <w:rPr>
            <w:webHidden/>
          </w:rPr>
          <w:instrText xml:space="preserve"> PAGEREF _Toc400018549 \h </w:instrText>
        </w:r>
        <w:r w:rsidR="00294DC2">
          <w:rPr>
            <w:webHidden/>
          </w:rPr>
        </w:r>
        <w:r w:rsidR="00294DC2">
          <w:rPr>
            <w:webHidden/>
          </w:rPr>
          <w:fldChar w:fldCharType="separate"/>
        </w:r>
        <w:r w:rsidR="00294DC2">
          <w:rPr>
            <w:webHidden/>
          </w:rPr>
          <w:t>64</w:t>
        </w:r>
        <w:r w:rsidR="00294DC2">
          <w:rPr>
            <w:webHidden/>
          </w:rPr>
          <w:fldChar w:fldCharType="end"/>
        </w:r>
      </w:hyperlink>
    </w:p>
    <w:p w14:paraId="0B514F13" w14:textId="77777777" w:rsidR="00294DC2" w:rsidRDefault="00311E08">
      <w:pPr>
        <w:pStyle w:val="TOC3"/>
        <w:rPr>
          <w:rFonts w:asciiTheme="minorHAnsi" w:eastAsiaTheme="minorEastAsia" w:hAnsiTheme="minorHAnsi" w:cstheme="minorBidi"/>
          <w:color w:val="auto"/>
        </w:rPr>
      </w:pPr>
      <w:hyperlink w:anchor="_Toc400018550" w:history="1">
        <w:r w:rsidR="00294DC2" w:rsidRPr="00FB5042">
          <w:rPr>
            <w:rStyle w:val="Hyperlink"/>
          </w:rPr>
          <w:t>Cabling regulation</w:t>
        </w:r>
        <w:r w:rsidR="00294DC2">
          <w:rPr>
            <w:webHidden/>
          </w:rPr>
          <w:tab/>
        </w:r>
        <w:r w:rsidR="00294DC2">
          <w:rPr>
            <w:webHidden/>
          </w:rPr>
          <w:fldChar w:fldCharType="begin"/>
        </w:r>
        <w:r w:rsidR="00294DC2">
          <w:rPr>
            <w:webHidden/>
          </w:rPr>
          <w:instrText xml:space="preserve"> PAGEREF _Toc400018550 \h </w:instrText>
        </w:r>
        <w:r w:rsidR="00294DC2">
          <w:rPr>
            <w:webHidden/>
          </w:rPr>
        </w:r>
        <w:r w:rsidR="00294DC2">
          <w:rPr>
            <w:webHidden/>
          </w:rPr>
          <w:fldChar w:fldCharType="separate"/>
        </w:r>
        <w:r w:rsidR="00294DC2">
          <w:rPr>
            <w:webHidden/>
          </w:rPr>
          <w:t>64</w:t>
        </w:r>
        <w:r w:rsidR="00294DC2">
          <w:rPr>
            <w:webHidden/>
          </w:rPr>
          <w:fldChar w:fldCharType="end"/>
        </w:r>
      </w:hyperlink>
    </w:p>
    <w:p w14:paraId="49535449" w14:textId="77777777" w:rsidR="00294DC2" w:rsidRDefault="00311E08">
      <w:pPr>
        <w:pStyle w:val="TOC3"/>
        <w:rPr>
          <w:rFonts w:asciiTheme="minorHAnsi" w:eastAsiaTheme="minorEastAsia" w:hAnsiTheme="minorHAnsi" w:cstheme="minorBidi"/>
          <w:color w:val="auto"/>
        </w:rPr>
      </w:pPr>
      <w:hyperlink w:anchor="_Toc400018551" w:history="1">
        <w:r w:rsidR="00294DC2" w:rsidRPr="00FB5042">
          <w:rPr>
            <w:rStyle w:val="Hyperlink"/>
          </w:rPr>
          <w:t>Quality-of-service issues for standard telephone services</w:t>
        </w:r>
        <w:r w:rsidR="00294DC2">
          <w:rPr>
            <w:webHidden/>
          </w:rPr>
          <w:tab/>
        </w:r>
        <w:r w:rsidR="00294DC2">
          <w:rPr>
            <w:webHidden/>
          </w:rPr>
          <w:fldChar w:fldCharType="begin"/>
        </w:r>
        <w:r w:rsidR="00294DC2">
          <w:rPr>
            <w:webHidden/>
          </w:rPr>
          <w:instrText xml:space="preserve"> PAGEREF _Toc400018551 \h </w:instrText>
        </w:r>
        <w:r w:rsidR="00294DC2">
          <w:rPr>
            <w:webHidden/>
          </w:rPr>
        </w:r>
        <w:r w:rsidR="00294DC2">
          <w:rPr>
            <w:webHidden/>
          </w:rPr>
          <w:fldChar w:fldCharType="separate"/>
        </w:r>
        <w:r w:rsidR="00294DC2">
          <w:rPr>
            <w:webHidden/>
          </w:rPr>
          <w:t>65</w:t>
        </w:r>
        <w:r w:rsidR="00294DC2">
          <w:rPr>
            <w:webHidden/>
          </w:rPr>
          <w:fldChar w:fldCharType="end"/>
        </w:r>
      </w:hyperlink>
    </w:p>
    <w:p w14:paraId="1CD54835" w14:textId="77777777" w:rsidR="00294DC2" w:rsidRDefault="00311E08">
      <w:pPr>
        <w:pStyle w:val="TOC3"/>
        <w:rPr>
          <w:rFonts w:asciiTheme="minorHAnsi" w:eastAsiaTheme="minorEastAsia" w:hAnsiTheme="minorHAnsi" w:cstheme="minorBidi"/>
          <w:color w:val="auto"/>
        </w:rPr>
      </w:pPr>
      <w:hyperlink w:anchor="_Toc400018552" w:history="1">
        <w:r w:rsidR="00294DC2" w:rsidRPr="00FB5042">
          <w:rPr>
            <w:rStyle w:val="Hyperlink"/>
          </w:rPr>
          <w:t>Advice to the minister on NBN level playing field exemption requests</w:t>
        </w:r>
        <w:r w:rsidR="00294DC2">
          <w:rPr>
            <w:webHidden/>
          </w:rPr>
          <w:tab/>
        </w:r>
        <w:r w:rsidR="00294DC2">
          <w:rPr>
            <w:webHidden/>
          </w:rPr>
          <w:fldChar w:fldCharType="begin"/>
        </w:r>
        <w:r w:rsidR="00294DC2">
          <w:rPr>
            <w:webHidden/>
          </w:rPr>
          <w:instrText xml:space="preserve"> PAGEREF _Toc400018552 \h </w:instrText>
        </w:r>
        <w:r w:rsidR="00294DC2">
          <w:rPr>
            <w:webHidden/>
          </w:rPr>
        </w:r>
        <w:r w:rsidR="00294DC2">
          <w:rPr>
            <w:webHidden/>
          </w:rPr>
          <w:fldChar w:fldCharType="separate"/>
        </w:r>
        <w:r w:rsidR="00294DC2">
          <w:rPr>
            <w:webHidden/>
          </w:rPr>
          <w:t>66</w:t>
        </w:r>
        <w:r w:rsidR="00294DC2">
          <w:rPr>
            <w:webHidden/>
          </w:rPr>
          <w:fldChar w:fldCharType="end"/>
        </w:r>
      </w:hyperlink>
    </w:p>
    <w:p w14:paraId="3D3FDFB0" w14:textId="77777777" w:rsidR="00294DC2" w:rsidRDefault="00311E08">
      <w:pPr>
        <w:pStyle w:val="TOC3"/>
        <w:rPr>
          <w:rFonts w:asciiTheme="minorHAnsi" w:eastAsiaTheme="minorEastAsia" w:hAnsiTheme="minorHAnsi" w:cstheme="minorBidi"/>
          <w:color w:val="auto"/>
        </w:rPr>
      </w:pPr>
      <w:hyperlink w:anchor="_Toc400018553" w:history="1">
        <w:r w:rsidR="00294DC2" w:rsidRPr="00FB5042">
          <w:rPr>
            <w:rStyle w:val="Hyperlink"/>
          </w:rPr>
          <w:t>Telecommunications infrastructure regulation</w:t>
        </w:r>
        <w:r w:rsidR="00294DC2">
          <w:rPr>
            <w:webHidden/>
          </w:rPr>
          <w:tab/>
        </w:r>
        <w:r w:rsidR="00294DC2">
          <w:rPr>
            <w:webHidden/>
          </w:rPr>
          <w:fldChar w:fldCharType="begin"/>
        </w:r>
        <w:r w:rsidR="00294DC2">
          <w:rPr>
            <w:webHidden/>
          </w:rPr>
          <w:instrText xml:space="preserve"> PAGEREF _Toc400018553 \h </w:instrText>
        </w:r>
        <w:r w:rsidR="00294DC2">
          <w:rPr>
            <w:webHidden/>
          </w:rPr>
        </w:r>
        <w:r w:rsidR="00294DC2">
          <w:rPr>
            <w:webHidden/>
          </w:rPr>
          <w:fldChar w:fldCharType="separate"/>
        </w:r>
        <w:r w:rsidR="00294DC2">
          <w:rPr>
            <w:webHidden/>
          </w:rPr>
          <w:t>66</w:t>
        </w:r>
        <w:r w:rsidR="00294DC2">
          <w:rPr>
            <w:webHidden/>
          </w:rPr>
          <w:fldChar w:fldCharType="end"/>
        </w:r>
      </w:hyperlink>
    </w:p>
    <w:p w14:paraId="567532E3" w14:textId="77777777" w:rsidR="00294DC2" w:rsidRDefault="00311E08">
      <w:pPr>
        <w:pStyle w:val="TOC3"/>
        <w:rPr>
          <w:rFonts w:asciiTheme="minorHAnsi" w:eastAsiaTheme="minorEastAsia" w:hAnsiTheme="minorHAnsi" w:cstheme="minorBidi"/>
          <w:color w:val="auto"/>
        </w:rPr>
      </w:pPr>
      <w:hyperlink w:anchor="_Toc400018554" w:history="1">
        <w:r w:rsidR="00294DC2" w:rsidRPr="00FB5042">
          <w:rPr>
            <w:rStyle w:val="Hyperlink"/>
          </w:rPr>
          <w:t>Submarine cable protection</w:t>
        </w:r>
        <w:r w:rsidR="00294DC2">
          <w:rPr>
            <w:webHidden/>
          </w:rPr>
          <w:tab/>
        </w:r>
        <w:r w:rsidR="00294DC2">
          <w:rPr>
            <w:webHidden/>
          </w:rPr>
          <w:fldChar w:fldCharType="begin"/>
        </w:r>
        <w:r w:rsidR="00294DC2">
          <w:rPr>
            <w:webHidden/>
          </w:rPr>
          <w:instrText xml:space="preserve"> PAGEREF _Toc400018554 \h </w:instrText>
        </w:r>
        <w:r w:rsidR="00294DC2">
          <w:rPr>
            <w:webHidden/>
          </w:rPr>
        </w:r>
        <w:r w:rsidR="00294DC2">
          <w:rPr>
            <w:webHidden/>
          </w:rPr>
          <w:fldChar w:fldCharType="separate"/>
        </w:r>
        <w:r w:rsidR="00294DC2">
          <w:rPr>
            <w:webHidden/>
          </w:rPr>
          <w:t>67</w:t>
        </w:r>
        <w:r w:rsidR="00294DC2">
          <w:rPr>
            <w:webHidden/>
          </w:rPr>
          <w:fldChar w:fldCharType="end"/>
        </w:r>
      </w:hyperlink>
    </w:p>
    <w:p w14:paraId="692E0109" w14:textId="77777777" w:rsidR="00294DC2" w:rsidRDefault="00311E08">
      <w:pPr>
        <w:pStyle w:val="TOC2"/>
        <w:rPr>
          <w:rFonts w:asciiTheme="minorHAnsi" w:eastAsiaTheme="minorEastAsia" w:hAnsiTheme="minorHAnsi" w:cstheme="minorBidi"/>
          <w:color w:val="auto"/>
          <w:spacing w:val="0"/>
          <w:sz w:val="22"/>
          <w:szCs w:val="22"/>
        </w:rPr>
      </w:pPr>
      <w:hyperlink w:anchor="_Toc400018555" w:history="1">
        <w:r w:rsidR="00294DC2" w:rsidRPr="00FB5042">
          <w:rPr>
            <w:rStyle w:val="Hyperlink"/>
          </w:rPr>
          <w:t>Compliance and enforcement</w:t>
        </w:r>
        <w:r w:rsidR="00294DC2">
          <w:rPr>
            <w:webHidden/>
          </w:rPr>
          <w:tab/>
        </w:r>
        <w:r w:rsidR="00294DC2">
          <w:rPr>
            <w:webHidden/>
          </w:rPr>
          <w:fldChar w:fldCharType="begin"/>
        </w:r>
        <w:r w:rsidR="00294DC2">
          <w:rPr>
            <w:webHidden/>
          </w:rPr>
          <w:instrText xml:space="preserve"> PAGEREF _Toc400018555 \h </w:instrText>
        </w:r>
        <w:r w:rsidR="00294DC2">
          <w:rPr>
            <w:webHidden/>
          </w:rPr>
        </w:r>
        <w:r w:rsidR="00294DC2">
          <w:rPr>
            <w:webHidden/>
          </w:rPr>
          <w:fldChar w:fldCharType="separate"/>
        </w:r>
        <w:r w:rsidR="00294DC2">
          <w:rPr>
            <w:webHidden/>
          </w:rPr>
          <w:t>68</w:t>
        </w:r>
        <w:r w:rsidR="00294DC2">
          <w:rPr>
            <w:webHidden/>
          </w:rPr>
          <w:fldChar w:fldCharType="end"/>
        </w:r>
      </w:hyperlink>
    </w:p>
    <w:p w14:paraId="24EA968E" w14:textId="77777777" w:rsidR="00294DC2" w:rsidRDefault="00311E08">
      <w:pPr>
        <w:pStyle w:val="TOC3"/>
        <w:rPr>
          <w:rFonts w:asciiTheme="minorHAnsi" w:eastAsiaTheme="minorEastAsia" w:hAnsiTheme="minorHAnsi" w:cstheme="minorBidi"/>
          <w:color w:val="auto"/>
        </w:rPr>
      </w:pPr>
      <w:hyperlink w:anchor="_Toc400018556" w:history="1">
        <w:r w:rsidR="00294DC2" w:rsidRPr="00FB5042">
          <w:rPr>
            <w:rStyle w:val="Hyperlink"/>
          </w:rPr>
          <w:t>Radiocommunications compliance</w:t>
        </w:r>
        <w:r w:rsidR="00294DC2">
          <w:rPr>
            <w:webHidden/>
          </w:rPr>
          <w:tab/>
        </w:r>
        <w:r w:rsidR="00294DC2">
          <w:rPr>
            <w:webHidden/>
          </w:rPr>
          <w:fldChar w:fldCharType="begin"/>
        </w:r>
        <w:r w:rsidR="00294DC2">
          <w:rPr>
            <w:webHidden/>
          </w:rPr>
          <w:instrText xml:space="preserve"> PAGEREF _Toc400018556 \h </w:instrText>
        </w:r>
        <w:r w:rsidR="00294DC2">
          <w:rPr>
            <w:webHidden/>
          </w:rPr>
        </w:r>
        <w:r w:rsidR="00294DC2">
          <w:rPr>
            <w:webHidden/>
          </w:rPr>
          <w:fldChar w:fldCharType="separate"/>
        </w:r>
        <w:r w:rsidR="00294DC2">
          <w:rPr>
            <w:webHidden/>
          </w:rPr>
          <w:t>68</w:t>
        </w:r>
        <w:r w:rsidR="00294DC2">
          <w:rPr>
            <w:webHidden/>
          </w:rPr>
          <w:fldChar w:fldCharType="end"/>
        </w:r>
      </w:hyperlink>
    </w:p>
    <w:p w14:paraId="569E88B8" w14:textId="77777777" w:rsidR="00294DC2" w:rsidRDefault="00311E08">
      <w:pPr>
        <w:pStyle w:val="TOC3"/>
        <w:rPr>
          <w:rFonts w:asciiTheme="minorHAnsi" w:eastAsiaTheme="minorEastAsia" w:hAnsiTheme="minorHAnsi" w:cstheme="minorBidi"/>
          <w:color w:val="auto"/>
        </w:rPr>
      </w:pPr>
      <w:hyperlink w:anchor="_Toc400018557" w:history="1">
        <w:r w:rsidR="00294DC2" w:rsidRPr="00FB5042">
          <w:rPr>
            <w:rStyle w:val="Hyperlink"/>
          </w:rPr>
          <w:t>Cabling and labelling compliance</w:t>
        </w:r>
        <w:r w:rsidR="00294DC2">
          <w:rPr>
            <w:webHidden/>
          </w:rPr>
          <w:tab/>
        </w:r>
        <w:r w:rsidR="00294DC2">
          <w:rPr>
            <w:webHidden/>
          </w:rPr>
          <w:fldChar w:fldCharType="begin"/>
        </w:r>
        <w:r w:rsidR="00294DC2">
          <w:rPr>
            <w:webHidden/>
          </w:rPr>
          <w:instrText xml:space="preserve"> PAGEREF _Toc400018557 \h </w:instrText>
        </w:r>
        <w:r w:rsidR="00294DC2">
          <w:rPr>
            <w:webHidden/>
          </w:rPr>
        </w:r>
        <w:r w:rsidR="00294DC2">
          <w:rPr>
            <w:webHidden/>
          </w:rPr>
          <w:fldChar w:fldCharType="separate"/>
        </w:r>
        <w:r w:rsidR="00294DC2">
          <w:rPr>
            <w:webHidden/>
          </w:rPr>
          <w:t>76</w:t>
        </w:r>
        <w:r w:rsidR="00294DC2">
          <w:rPr>
            <w:webHidden/>
          </w:rPr>
          <w:fldChar w:fldCharType="end"/>
        </w:r>
      </w:hyperlink>
    </w:p>
    <w:p w14:paraId="1AEFF175" w14:textId="77777777" w:rsidR="00294DC2" w:rsidRDefault="00311E08">
      <w:pPr>
        <w:pStyle w:val="TOC3"/>
        <w:rPr>
          <w:rFonts w:asciiTheme="minorHAnsi" w:eastAsiaTheme="minorEastAsia" w:hAnsiTheme="minorHAnsi" w:cstheme="minorBidi"/>
          <w:color w:val="auto"/>
        </w:rPr>
      </w:pPr>
      <w:hyperlink w:anchor="_Toc400018558" w:history="1">
        <w:r w:rsidR="00294DC2" w:rsidRPr="00FB5042">
          <w:rPr>
            <w:rStyle w:val="Hyperlink"/>
          </w:rPr>
          <w:t>Telecommunications consumer compliance</w:t>
        </w:r>
        <w:r w:rsidR="00294DC2">
          <w:rPr>
            <w:webHidden/>
          </w:rPr>
          <w:tab/>
        </w:r>
        <w:r w:rsidR="00294DC2">
          <w:rPr>
            <w:webHidden/>
          </w:rPr>
          <w:fldChar w:fldCharType="begin"/>
        </w:r>
        <w:r w:rsidR="00294DC2">
          <w:rPr>
            <w:webHidden/>
          </w:rPr>
          <w:instrText xml:space="preserve"> PAGEREF _Toc400018558 \h </w:instrText>
        </w:r>
        <w:r w:rsidR="00294DC2">
          <w:rPr>
            <w:webHidden/>
          </w:rPr>
        </w:r>
        <w:r w:rsidR="00294DC2">
          <w:rPr>
            <w:webHidden/>
          </w:rPr>
          <w:fldChar w:fldCharType="separate"/>
        </w:r>
        <w:r w:rsidR="00294DC2">
          <w:rPr>
            <w:webHidden/>
          </w:rPr>
          <w:t>76</w:t>
        </w:r>
        <w:r w:rsidR="00294DC2">
          <w:rPr>
            <w:webHidden/>
          </w:rPr>
          <w:fldChar w:fldCharType="end"/>
        </w:r>
      </w:hyperlink>
    </w:p>
    <w:p w14:paraId="020EDD97" w14:textId="77777777" w:rsidR="00294DC2" w:rsidRDefault="00311E08">
      <w:pPr>
        <w:pStyle w:val="TOC3"/>
        <w:rPr>
          <w:rFonts w:asciiTheme="minorHAnsi" w:eastAsiaTheme="minorEastAsia" w:hAnsiTheme="minorHAnsi" w:cstheme="minorBidi"/>
          <w:color w:val="auto"/>
        </w:rPr>
      </w:pPr>
      <w:hyperlink w:anchor="_Toc400018559" w:history="1">
        <w:r w:rsidR="00294DC2" w:rsidRPr="00FB5042">
          <w:rPr>
            <w:rStyle w:val="Hyperlink"/>
          </w:rPr>
          <w:t>The TCP Code</w:t>
        </w:r>
        <w:r w:rsidR="00294DC2">
          <w:rPr>
            <w:webHidden/>
          </w:rPr>
          <w:tab/>
        </w:r>
        <w:r w:rsidR="00294DC2">
          <w:rPr>
            <w:webHidden/>
          </w:rPr>
          <w:fldChar w:fldCharType="begin"/>
        </w:r>
        <w:r w:rsidR="00294DC2">
          <w:rPr>
            <w:webHidden/>
          </w:rPr>
          <w:instrText xml:space="preserve"> PAGEREF _Toc400018559 \h </w:instrText>
        </w:r>
        <w:r w:rsidR="00294DC2">
          <w:rPr>
            <w:webHidden/>
          </w:rPr>
        </w:r>
        <w:r w:rsidR="00294DC2">
          <w:rPr>
            <w:webHidden/>
          </w:rPr>
          <w:fldChar w:fldCharType="separate"/>
        </w:r>
        <w:r w:rsidR="00294DC2">
          <w:rPr>
            <w:webHidden/>
          </w:rPr>
          <w:t>77</w:t>
        </w:r>
        <w:r w:rsidR="00294DC2">
          <w:rPr>
            <w:webHidden/>
          </w:rPr>
          <w:fldChar w:fldCharType="end"/>
        </w:r>
      </w:hyperlink>
    </w:p>
    <w:p w14:paraId="0F57934B" w14:textId="77777777" w:rsidR="00294DC2" w:rsidRDefault="00311E08">
      <w:pPr>
        <w:pStyle w:val="TOC3"/>
        <w:rPr>
          <w:rFonts w:asciiTheme="minorHAnsi" w:eastAsiaTheme="minorEastAsia" w:hAnsiTheme="minorHAnsi" w:cstheme="minorBidi"/>
          <w:color w:val="auto"/>
        </w:rPr>
      </w:pPr>
      <w:hyperlink w:anchor="_Toc400018560" w:history="1">
        <w:r w:rsidR="00294DC2" w:rsidRPr="00FB5042">
          <w:rPr>
            <w:rStyle w:val="Hyperlink"/>
          </w:rPr>
          <w:t>Mobile premium services</w:t>
        </w:r>
        <w:r w:rsidR="00294DC2">
          <w:rPr>
            <w:webHidden/>
          </w:rPr>
          <w:tab/>
        </w:r>
        <w:r w:rsidR="00294DC2">
          <w:rPr>
            <w:webHidden/>
          </w:rPr>
          <w:fldChar w:fldCharType="begin"/>
        </w:r>
        <w:r w:rsidR="00294DC2">
          <w:rPr>
            <w:webHidden/>
          </w:rPr>
          <w:instrText xml:space="preserve"> PAGEREF _Toc400018560 \h </w:instrText>
        </w:r>
        <w:r w:rsidR="00294DC2">
          <w:rPr>
            <w:webHidden/>
          </w:rPr>
        </w:r>
        <w:r w:rsidR="00294DC2">
          <w:rPr>
            <w:webHidden/>
          </w:rPr>
          <w:fldChar w:fldCharType="separate"/>
        </w:r>
        <w:r w:rsidR="00294DC2">
          <w:rPr>
            <w:webHidden/>
          </w:rPr>
          <w:t>82</w:t>
        </w:r>
        <w:r w:rsidR="00294DC2">
          <w:rPr>
            <w:webHidden/>
          </w:rPr>
          <w:fldChar w:fldCharType="end"/>
        </w:r>
      </w:hyperlink>
    </w:p>
    <w:p w14:paraId="2DBA68E2" w14:textId="77777777" w:rsidR="00294DC2" w:rsidRDefault="00311E08">
      <w:pPr>
        <w:pStyle w:val="TOC3"/>
        <w:rPr>
          <w:rFonts w:asciiTheme="minorHAnsi" w:eastAsiaTheme="minorEastAsia" w:hAnsiTheme="minorHAnsi" w:cstheme="minorBidi"/>
          <w:color w:val="auto"/>
        </w:rPr>
      </w:pPr>
      <w:hyperlink w:anchor="_Toc400018561" w:history="1">
        <w:r w:rsidR="00294DC2" w:rsidRPr="00FB5042">
          <w:rPr>
            <w:rStyle w:val="Hyperlink"/>
          </w:rPr>
          <w:t>Unsolicited communications compliance</w:t>
        </w:r>
        <w:r w:rsidR="00294DC2">
          <w:rPr>
            <w:webHidden/>
          </w:rPr>
          <w:tab/>
        </w:r>
        <w:r w:rsidR="00294DC2">
          <w:rPr>
            <w:webHidden/>
          </w:rPr>
          <w:fldChar w:fldCharType="begin"/>
        </w:r>
        <w:r w:rsidR="00294DC2">
          <w:rPr>
            <w:webHidden/>
          </w:rPr>
          <w:instrText xml:space="preserve"> PAGEREF _Toc400018561 \h </w:instrText>
        </w:r>
        <w:r w:rsidR="00294DC2">
          <w:rPr>
            <w:webHidden/>
          </w:rPr>
        </w:r>
        <w:r w:rsidR="00294DC2">
          <w:rPr>
            <w:webHidden/>
          </w:rPr>
          <w:fldChar w:fldCharType="separate"/>
        </w:r>
        <w:r w:rsidR="00294DC2">
          <w:rPr>
            <w:webHidden/>
          </w:rPr>
          <w:t>82</w:t>
        </w:r>
        <w:r w:rsidR="00294DC2">
          <w:rPr>
            <w:webHidden/>
          </w:rPr>
          <w:fldChar w:fldCharType="end"/>
        </w:r>
      </w:hyperlink>
    </w:p>
    <w:p w14:paraId="63567F44" w14:textId="77777777" w:rsidR="00294DC2" w:rsidRDefault="00311E08">
      <w:pPr>
        <w:pStyle w:val="TOC3"/>
        <w:rPr>
          <w:rFonts w:asciiTheme="minorHAnsi" w:eastAsiaTheme="minorEastAsia" w:hAnsiTheme="minorHAnsi" w:cstheme="minorBidi"/>
          <w:color w:val="auto"/>
        </w:rPr>
      </w:pPr>
      <w:hyperlink w:anchor="_Toc400018562" w:history="1">
        <w:r w:rsidR="00294DC2" w:rsidRPr="00FB5042">
          <w:rPr>
            <w:rStyle w:val="Hyperlink"/>
          </w:rPr>
          <w:t>Broadcasting compliance—complaints and investigations</w:t>
        </w:r>
        <w:r w:rsidR="00294DC2">
          <w:rPr>
            <w:webHidden/>
          </w:rPr>
          <w:tab/>
        </w:r>
        <w:r w:rsidR="00294DC2">
          <w:rPr>
            <w:webHidden/>
          </w:rPr>
          <w:fldChar w:fldCharType="begin"/>
        </w:r>
        <w:r w:rsidR="00294DC2">
          <w:rPr>
            <w:webHidden/>
          </w:rPr>
          <w:instrText xml:space="preserve"> PAGEREF _Toc400018562 \h </w:instrText>
        </w:r>
        <w:r w:rsidR="00294DC2">
          <w:rPr>
            <w:webHidden/>
          </w:rPr>
        </w:r>
        <w:r w:rsidR="00294DC2">
          <w:rPr>
            <w:webHidden/>
          </w:rPr>
          <w:fldChar w:fldCharType="separate"/>
        </w:r>
        <w:r w:rsidR="00294DC2">
          <w:rPr>
            <w:webHidden/>
          </w:rPr>
          <w:t>86</w:t>
        </w:r>
        <w:r w:rsidR="00294DC2">
          <w:rPr>
            <w:webHidden/>
          </w:rPr>
          <w:fldChar w:fldCharType="end"/>
        </w:r>
      </w:hyperlink>
    </w:p>
    <w:p w14:paraId="085D3364" w14:textId="77777777" w:rsidR="00294DC2" w:rsidRDefault="00311E08">
      <w:pPr>
        <w:pStyle w:val="TOC3"/>
        <w:rPr>
          <w:rFonts w:asciiTheme="minorHAnsi" w:eastAsiaTheme="minorEastAsia" w:hAnsiTheme="minorHAnsi" w:cstheme="minorBidi"/>
          <w:color w:val="auto"/>
        </w:rPr>
      </w:pPr>
      <w:hyperlink w:anchor="_Toc400018563" w:history="1">
        <w:r w:rsidR="00294DC2" w:rsidRPr="00FB5042">
          <w:rPr>
            <w:rStyle w:val="Hyperlink"/>
          </w:rPr>
          <w:t>Online content complaints</w:t>
        </w:r>
        <w:r w:rsidR="00294DC2">
          <w:rPr>
            <w:webHidden/>
          </w:rPr>
          <w:tab/>
        </w:r>
        <w:r w:rsidR="00294DC2">
          <w:rPr>
            <w:webHidden/>
          </w:rPr>
          <w:fldChar w:fldCharType="begin"/>
        </w:r>
        <w:r w:rsidR="00294DC2">
          <w:rPr>
            <w:webHidden/>
          </w:rPr>
          <w:instrText xml:space="preserve"> PAGEREF _Toc400018563 \h </w:instrText>
        </w:r>
        <w:r w:rsidR="00294DC2">
          <w:rPr>
            <w:webHidden/>
          </w:rPr>
        </w:r>
        <w:r w:rsidR="00294DC2">
          <w:rPr>
            <w:webHidden/>
          </w:rPr>
          <w:fldChar w:fldCharType="separate"/>
        </w:r>
        <w:r w:rsidR="00294DC2">
          <w:rPr>
            <w:webHidden/>
          </w:rPr>
          <w:t>95</w:t>
        </w:r>
        <w:r w:rsidR="00294DC2">
          <w:rPr>
            <w:webHidden/>
          </w:rPr>
          <w:fldChar w:fldCharType="end"/>
        </w:r>
      </w:hyperlink>
    </w:p>
    <w:p w14:paraId="7A893514" w14:textId="77777777" w:rsidR="00294DC2" w:rsidRDefault="00311E08">
      <w:pPr>
        <w:pStyle w:val="TOC3"/>
        <w:rPr>
          <w:rFonts w:asciiTheme="minorHAnsi" w:eastAsiaTheme="minorEastAsia" w:hAnsiTheme="minorHAnsi" w:cstheme="minorBidi"/>
          <w:color w:val="auto"/>
        </w:rPr>
      </w:pPr>
      <w:hyperlink w:anchor="_Toc400018564" w:history="1">
        <w:r w:rsidR="00294DC2" w:rsidRPr="00FB5042">
          <w:rPr>
            <w:rStyle w:val="Hyperlink"/>
          </w:rPr>
          <w:t>Interactive gambling</w:t>
        </w:r>
        <w:r w:rsidR="00294DC2">
          <w:rPr>
            <w:webHidden/>
          </w:rPr>
          <w:tab/>
        </w:r>
        <w:r w:rsidR="00294DC2">
          <w:rPr>
            <w:webHidden/>
          </w:rPr>
          <w:fldChar w:fldCharType="begin"/>
        </w:r>
        <w:r w:rsidR="00294DC2">
          <w:rPr>
            <w:webHidden/>
          </w:rPr>
          <w:instrText xml:space="preserve"> PAGEREF _Toc400018564 \h </w:instrText>
        </w:r>
        <w:r w:rsidR="00294DC2">
          <w:rPr>
            <w:webHidden/>
          </w:rPr>
        </w:r>
        <w:r w:rsidR="00294DC2">
          <w:rPr>
            <w:webHidden/>
          </w:rPr>
          <w:fldChar w:fldCharType="separate"/>
        </w:r>
        <w:r w:rsidR="00294DC2">
          <w:rPr>
            <w:webHidden/>
          </w:rPr>
          <w:t>99</w:t>
        </w:r>
        <w:r w:rsidR="00294DC2">
          <w:rPr>
            <w:webHidden/>
          </w:rPr>
          <w:fldChar w:fldCharType="end"/>
        </w:r>
      </w:hyperlink>
    </w:p>
    <w:p w14:paraId="7CC6317B" w14:textId="77777777" w:rsidR="00294DC2" w:rsidRDefault="00311E08">
      <w:pPr>
        <w:pStyle w:val="TOC2"/>
        <w:rPr>
          <w:rFonts w:asciiTheme="minorHAnsi" w:eastAsiaTheme="minorEastAsia" w:hAnsiTheme="minorHAnsi" w:cstheme="minorBidi"/>
          <w:color w:val="auto"/>
          <w:spacing w:val="0"/>
          <w:sz w:val="22"/>
          <w:szCs w:val="22"/>
        </w:rPr>
      </w:pPr>
      <w:hyperlink w:anchor="_Toc400018565" w:history="1">
        <w:r w:rsidR="00294DC2" w:rsidRPr="00FB5042">
          <w:rPr>
            <w:rStyle w:val="Hyperlink"/>
          </w:rPr>
          <w:t>National interest issues</w:t>
        </w:r>
        <w:r w:rsidR="00294DC2">
          <w:rPr>
            <w:webHidden/>
          </w:rPr>
          <w:tab/>
        </w:r>
        <w:r w:rsidR="00294DC2">
          <w:rPr>
            <w:webHidden/>
          </w:rPr>
          <w:fldChar w:fldCharType="begin"/>
        </w:r>
        <w:r w:rsidR="00294DC2">
          <w:rPr>
            <w:webHidden/>
          </w:rPr>
          <w:instrText xml:space="preserve"> PAGEREF _Toc400018565 \h </w:instrText>
        </w:r>
        <w:r w:rsidR="00294DC2">
          <w:rPr>
            <w:webHidden/>
          </w:rPr>
        </w:r>
        <w:r w:rsidR="00294DC2">
          <w:rPr>
            <w:webHidden/>
          </w:rPr>
          <w:fldChar w:fldCharType="separate"/>
        </w:r>
        <w:r w:rsidR="00294DC2">
          <w:rPr>
            <w:webHidden/>
          </w:rPr>
          <w:t>99</w:t>
        </w:r>
        <w:r w:rsidR="00294DC2">
          <w:rPr>
            <w:webHidden/>
          </w:rPr>
          <w:fldChar w:fldCharType="end"/>
        </w:r>
      </w:hyperlink>
    </w:p>
    <w:p w14:paraId="5A652734" w14:textId="77777777" w:rsidR="00294DC2" w:rsidRDefault="00311E08">
      <w:pPr>
        <w:pStyle w:val="TOC3"/>
        <w:rPr>
          <w:rFonts w:asciiTheme="minorHAnsi" w:eastAsiaTheme="minorEastAsia" w:hAnsiTheme="minorHAnsi" w:cstheme="minorBidi"/>
          <w:color w:val="auto"/>
        </w:rPr>
      </w:pPr>
      <w:hyperlink w:anchor="_Toc400018566" w:history="1">
        <w:r w:rsidR="00294DC2" w:rsidRPr="00FB5042">
          <w:rPr>
            <w:rStyle w:val="Hyperlink"/>
          </w:rPr>
          <w:t>Identity-checking requirements for prepaid mobile phone services</w:t>
        </w:r>
        <w:r w:rsidR="00294DC2">
          <w:rPr>
            <w:webHidden/>
          </w:rPr>
          <w:tab/>
        </w:r>
        <w:r w:rsidR="00294DC2">
          <w:rPr>
            <w:webHidden/>
          </w:rPr>
          <w:fldChar w:fldCharType="begin"/>
        </w:r>
        <w:r w:rsidR="00294DC2">
          <w:rPr>
            <w:webHidden/>
          </w:rPr>
          <w:instrText xml:space="preserve"> PAGEREF _Toc400018566 \h </w:instrText>
        </w:r>
        <w:r w:rsidR="00294DC2">
          <w:rPr>
            <w:webHidden/>
          </w:rPr>
        </w:r>
        <w:r w:rsidR="00294DC2">
          <w:rPr>
            <w:webHidden/>
          </w:rPr>
          <w:fldChar w:fldCharType="separate"/>
        </w:r>
        <w:r w:rsidR="00294DC2">
          <w:rPr>
            <w:webHidden/>
          </w:rPr>
          <w:t>99</w:t>
        </w:r>
        <w:r w:rsidR="00294DC2">
          <w:rPr>
            <w:webHidden/>
          </w:rPr>
          <w:fldChar w:fldCharType="end"/>
        </w:r>
      </w:hyperlink>
    </w:p>
    <w:p w14:paraId="759DE8E7" w14:textId="77777777" w:rsidR="00294DC2" w:rsidRDefault="00311E08">
      <w:pPr>
        <w:pStyle w:val="TOC3"/>
        <w:rPr>
          <w:rFonts w:asciiTheme="minorHAnsi" w:eastAsiaTheme="minorEastAsia" w:hAnsiTheme="minorHAnsi" w:cstheme="minorBidi"/>
          <w:color w:val="auto"/>
        </w:rPr>
      </w:pPr>
      <w:hyperlink w:anchor="_Toc400018567" w:history="1">
        <w:r w:rsidR="00294DC2" w:rsidRPr="00FB5042">
          <w:rPr>
            <w:rStyle w:val="Hyperlink"/>
          </w:rPr>
          <w:t>Interception exemption for trial services</w:t>
        </w:r>
        <w:r w:rsidR="00294DC2">
          <w:rPr>
            <w:webHidden/>
          </w:rPr>
          <w:tab/>
        </w:r>
        <w:r w:rsidR="00294DC2">
          <w:rPr>
            <w:webHidden/>
          </w:rPr>
          <w:fldChar w:fldCharType="begin"/>
        </w:r>
        <w:r w:rsidR="00294DC2">
          <w:rPr>
            <w:webHidden/>
          </w:rPr>
          <w:instrText xml:space="preserve"> PAGEREF _Toc400018567 \h </w:instrText>
        </w:r>
        <w:r w:rsidR="00294DC2">
          <w:rPr>
            <w:webHidden/>
          </w:rPr>
        </w:r>
        <w:r w:rsidR="00294DC2">
          <w:rPr>
            <w:webHidden/>
          </w:rPr>
          <w:fldChar w:fldCharType="separate"/>
        </w:r>
        <w:r w:rsidR="00294DC2">
          <w:rPr>
            <w:webHidden/>
          </w:rPr>
          <w:t>100</w:t>
        </w:r>
        <w:r w:rsidR="00294DC2">
          <w:rPr>
            <w:webHidden/>
          </w:rPr>
          <w:fldChar w:fldCharType="end"/>
        </w:r>
      </w:hyperlink>
    </w:p>
    <w:p w14:paraId="45FCDF27" w14:textId="25E477B9" w:rsidR="00294DC2" w:rsidRDefault="00311E08">
      <w:pPr>
        <w:pStyle w:val="TOC3"/>
        <w:rPr>
          <w:rFonts w:asciiTheme="minorHAnsi" w:eastAsiaTheme="minorEastAsia" w:hAnsiTheme="minorHAnsi" w:cstheme="minorBidi"/>
          <w:color w:val="auto"/>
        </w:rPr>
      </w:pPr>
      <w:hyperlink w:anchor="_Toc400018568" w:history="1">
        <w:r w:rsidR="00294DC2" w:rsidRPr="00FB5042">
          <w:rPr>
            <w:rStyle w:val="Hyperlink"/>
          </w:rPr>
          <w:t xml:space="preserve">Disclosure of customer information to law enforcement and </w:t>
        </w:r>
        <w:r w:rsidR="00294DC2">
          <w:rPr>
            <w:rStyle w:val="Hyperlink"/>
          </w:rPr>
          <w:br/>
        </w:r>
        <w:r w:rsidR="00294DC2" w:rsidRPr="00FB5042">
          <w:rPr>
            <w:rStyle w:val="Hyperlink"/>
          </w:rPr>
          <w:t>national security agencies</w:t>
        </w:r>
        <w:r w:rsidR="00294DC2">
          <w:rPr>
            <w:webHidden/>
          </w:rPr>
          <w:tab/>
        </w:r>
        <w:r w:rsidR="00294DC2">
          <w:rPr>
            <w:webHidden/>
          </w:rPr>
          <w:fldChar w:fldCharType="begin"/>
        </w:r>
        <w:r w:rsidR="00294DC2">
          <w:rPr>
            <w:webHidden/>
          </w:rPr>
          <w:instrText xml:space="preserve"> PAGEREF _Toc400018568 \h </w:instrText>
        </w:r>
        <w:r w:rsidR="00294DC2">
          <w:rPr>
            <w:webHidden/>
          </w:rPr>
        </w:r>
        <w:r w:rsidR="00294DC2">
          <w:rPr>
            <w:webHidden/>
          </w:rPr>
          <w:fldChar w:fldCharType="separate"/>
        </w:r>
        <w:r w:rsidR="00294DC2">
          <w:rPr>
            <w:webHidden/>
          </w:rPr>
          <w:t>100</w:t>
        </w:r>
        <w:r w:rsidR="00294DC2">
          <w:rPr>
            <w:webHidden/>
          </w:rPr>
          <w:fldChar w:fldCharType="end"/>
        </w:r>
      </w:hyperlink>
    </w:p>
    <w:p w14:paraId="1109B11D" w14:textId="48D1B95E" w:rsidR="00294DC2" w:rsidRDefault="00311E08">
      <w:pPr>
        <w:pStyle w:val="TOC3"/>
        <w:rPr>
          <w:rFonts w:asciiTheme="minorHAnsi" w:eastAsiaTheme="minorEastAsia" w:hAnsiTheme="minorHAnsi" w:cstheme="minorBidi"/>
          <w:color w:val="auto"/>
        </w:rPr>
      </w:pPr>
      <w:hyperlink w:anchor="_Toc400018569" w:history="1">
        <w:r w:rsidR="00294DC2" w:rsidRPr="00FB5042">
          <w:rPr>
            <w:rStyle w:val="Hyperlink"/>
          </w:rPr>
          <w:t xml:space="preserve">Disclosure of Integrated Public Number Database data for </w:t>
        </w:r>
        <w:r w:rsidR="00294DC2">
          <w:rPr>
            <w:rStyle w:val="Hyperlink"/>
          </w:rPr>
          <w:br/>
        </w:r>
        <w:r w:rsidR="00294DC2" w:rsidRPr="00FB5042">
          <w:rPr>
            <w:rStyle w:val="Hyperlink"/>
          </w:rPr>
          <w:t>telephone-based emergency warning systems</w:t>
        </w:r>
        <w:r w:rsidR="00294DC2">
          <w:rPr>
            <w:webHidden/>
          </w:rPr>
          <w:tab/>
        </w:r>
        <w:r w:rsidR="00294DC2">
          <w:rPr>
            <w:webHidden/>
          </w:rPr>
          <w:fldChar w:fldCharType="begin"/>
        </w:r>
        <w:r w:rsidR="00294DC2">
          <w:rPr>
            <w:webHidden/>
          </w:rPr>
          <w:instrText xml:space="preserve"> PAGEREF _Toc400018569 \h </w:instrText>
        </w:r>
        <w:r w:rsidR="00294DC2">
          <w:rPr>
            <w:webHidden/>
          </w:rPr>
        </w:r>
        <w:r w:rsidR="00294DC2">
          <w:rPr>
            <w:webHidden/>
          </w:rPr>
          <w:fldChar w:fldCharType="separate"/>
        </w:r>
        <w:r w:rsidR="00294DC2">
          <w:rPr>
            <w:webHidden/>
          </w:rPr>
          <w:t>100</w:t>
        </w:r>
        <w:r w:rsidR="00294DC2">
          <w:rPr>
            <w:webHidden/>
          </w:rPr>
          <w:fldChar w:fldCharType="end"/>
        </w:r>
      </w:hyperlink>
    </w:p>
    <w:p w14:paraId="3BDC6620" w14:textId="77777777" w:rsidR="00294DC2" w:rsidRDefault="00311E08">
      <w:pPr>
        <w:pStyle w:val="TOC3"/>
        <w:rPr>
          <w:rFonts w:asciiTheme="minorHAnsi" w:eastAsiaTheme="minorEastAsia" w:hAnsiTheme="minorHAnsi" w:cstheme="minorBidi"/>
          <w:color w:val="auto"/>
        </w:rPr>
      </w:pPr>
      <w:hyperlink w:anchor="_Toc400018570" w:history="1">
        <w:r w:rsidR="00294DC2" w:rsidRPr="00FB5042">
          <w:rPr>
            <w:rStyle w:val="Hyperlink"/>
          </w:rPr>
          <w:t>Emergency call service</w:t>
        </w:r>
        <w:r w:rsidR="00294DC2">
          <w:rPr>
            <w:webHidden/>
          </w:rPr>
          <w:tab/>
        </w:r>
        <w:r w:rsidR="00294DC2">
          <w:rPr>
            <w:webHidden/>
          </w:rPr>
          <w:fldChar w:fldCharType="begin"/>
        </w:r>
        <w:r w:rsidR="00294DC2">
          <w:rPr>
            <w:webHidden/>
          </w:rPr>
          <w:instrText xml:space="preserve"> PAGEREF _Toc400018570 \h </w:instrText>
        </w:r>
        <w:r w:rsidR="00294DC2">
          <w:rPr>
            <w:webHidden/>
          </w:rPr>
        </w:r>
        <w:r w:rsidR="00294DC2">
          <w:rPr>
            <w:webHidden/>
          </w:rPr>
          <w:fldChar w:fldCharType="separate"/>
        </w:r>
        <w:r w:rsidR="00294DC2">
          <w:rPr>
            <w:webHidden/>
          </w:rPr>
          <w:t>100</w:t>
        </w:r>
        <w:r w:rsidR="00294DC2">
          <w:rPr>
            <w:webHidden/>
          </w:rPr>
          <w:fldChar w:fldCharType="end"/>
        </w:r>
      </w:hyperlink>
    </w:p>
    <w:p w14:paraId="1146A322" w14:textId="77777777" w:rsidR="00294DC2" w:rsidRDefault="00311E08">
      <w:pPr>
        <w:pStyle w:val="TOC3"/>
        <w:rPr>
          <w:rFonts w:asciiTheme="minorHAnsi" w:eastAsiaTheme="minorEastAsia" w:hAnsiTheme="minorHAnsi" w:cstheme="minorBidi"/>
          <w:color w:val="auto"/>
        </w:rPr>
      </w:pPr>
      <w:hyperlink w:anchor="_Toc400018571" w:history="1">
        <w:r w:rsidR="00294DC2" w:rsidRPr="00FB5042">
          <w:rPr>
            <w:rStyle w:val="Hyperlink"/>
          </w:rPr>
          <w:t>Integrated Public Number Database</w:t>
        </w:r>
        <w:r w:rsidR="00294DC2">
          <w:rPr>
            <w:webHidden/>
          </w:rPr>
          <w:tab/>
        </w:r>
        <w:r w:rsidR="00294DC2">
          <w:rPr>
            <w:webHidden/>
          </w:rPr>
          <w:fldChar w:fldCharType="begin"/>
        </w:r>
        <w:r w:rsidR="00294DC2">
          <w:rPr>
            <w:webHidden/>
          </w:rPr>
          <w:instrText xml:space="preserve"> PAGEREF _Toc400018571 \h </w:instrText>
        </w:r>
        <w:r w:rsidR="00294DC2">
          <w:rPr>
            <w:webHidden/>
          </w:rPr>
        </w:r>
        <w:r w:rsidR="00294DC2">
          <w:rPr>
            <w:webHidden/>
          </w:rPr>
          <w:fldChar w:fldCharType="separate"/>
        </w:r>
        <w:r w:rsidR="00294DC2">
          <w:rPr>
            <w:webHidden/>
          </w:rPr>
          <w:t>102</w:t>
        </w:r>
        <w:r w:rsidR="00294DC2">
          <w:rPr>
            <w:webHidden/>
          </w:rPr>
          <w:fldChar w:fldCharType="end"/>
        </w:r>
      </w:hyperlink>
    </w:p>
    <w:p w14:paraId="5DED0A18" w14:textId="77777777" w:rsidR="00294DC2" w:rsidRDefault="00311E08">
      <w:pPr>
        <w:pStyle w:val="TOC3"/>
        <w:rPr>
          <w:rFonts w:asciiTheme="minorHAnsi" w:eastAsiaTheme="minorEastAsia" w:hAnsiTheme="minorHAnsi" w:cstheme="minorBidi"/>
          <w:color w:val="auto"/>
        </w:rPr>
      </w:pPr>
      <w:hyperlink w:anchor="_Toc400018572" w:history="1">
        <w:r w:rsidR="00294DC2" w:rsidRPr="00FB5042">
          <w:rPr>
            <w:rStyle w:val="Hyperlink"/>
          </w:rPr>
          <w:t>Cybersecurity</w:t>
        </w:r>
        <w:r w:rsidR="00294DC2">
          <w:rPr>
            <w:webHidden/>
          </w:rPr>
          <w:tab/>
        </w:r>
        <w:r w:rsidR="00294DC2">
          <w:rPr>
            <w:webHidden/>
          </w:rPr>
          <w:fldChar w:fldCharType="begin"/>
        </w:r>
        <w:r w:rsidR="00294DC2">
          <w:rPr>
            <w:webHidden/>
          </w:rPr>
          <w:instrText xml:space="preserve"> PAGEREF _Toc400018572 \h </w:instrText>
        </w:r>
        <w:r w:rsidR="00294DC2">
          <w:rPr>
            <w:webHidden/>
          </w:rPr>
        </w:r>
        <w:r w:rsidR="00294DC2">
          <w:rPr>
            <w:webHidden/>
          </w:rPr>
          <w:fldChar w:fldCharType="separate"/>
        </w:r>
        <w:r w:rsidR="00294DC2">
          <w:rPr>
            <w:webHidden/>
          </w:rPr>
          <w:t>103</w:t>
        </w:r>
        <w:r w:rsidR="00294DC2">
          <w:rPr>
            <w:webHidden/>
          </w:rPr>
          <w:fldChar w:fldCharType="end"/>
        </w:r>
      </w:hyperlink>
    </w:p>
    <w:p w14:paraId="69A92424" w14:textId="77777777" w:rsidR="00294DC2" w:rsidRDefault="00311E08">
      <w:pPr>
        <w:pStyle w:val="TOC2"/>
        <w:rPr>
          <w:rFonts w:asciiTheme="minorHAnsi" w:eastAsiaTheme="minorEastAsia" w:hAnsiTheme="minorHAnsi" w:cstheme="minorBidi"/>
          <w:color w:val="auto"/>
          <w:spacing w:val="0"/>
          <w:sz w:val="22"/>
          <w:szCs w:val="22"/>
        </w:rPr>
      </w:pPr>
      <w:hyperlink w:anchor="_Toc400018573" w:history="1">
        <w:r w:rsidR="00294DC2" w:rsidRPr="00FB5042">
          <w:rPr>
            <w:rStyle w:val="Hyperlink"/>
          </w:rPr>
          <w:t>International matters</w:t>
        </w:r>
        <w:r w:rsidR="00294DC2">
          <w:rPr>
            <w:webHidden/>
          </w:rPr>
          <w:tab/>
        </w:r>
        <w:r w:rsidR="00294DC2">
          <w:rPr>
            <w:webHidden/>
          </w:rPr>
          <w:fldChar w:fldCharType="begin"/>
        </w:r>
        <w:r w:rsidR="00294DC2">
          <w:rPr>
            <w:webHidden/>
          </w:rPr>
          <w:instrText xml:space="preserve"> PAGEREF _Toc400018573 \h </w:instrText>
        </w:r>
        <w:r w:rsidR="00294DC2">
          <w:rPr>
            <w:webHidden/>
          </w:rPr>
        </w:r>
        <w:r w:rsidR="00294DC2">
          <w:rPr>
            <w:webHidden/>
          </w:rPr>
          <w:fldChar w:fldCharType="separate"/>
        </w:r>
        <w:r w:rsidR="00294DC2">
          <w:rPr>
            <w:webHidden/>
          </w:rPr>
          <w:t>104</w:t>
        </w:r>
        <w:r w:rsidR="00294DC2">
          <w:rPr>
            <w:webHidden/>
          </w:rPr>
          <w:fldChar w:fldCharType="end"/>
        </w:r>
      </w:hyperlink>
    </w:p>
    <w:p w14:paraId="18DC68B9" w14:textId="77777777" w:rsidR="00294DC2" w:rsidRDefault="00311E08">
      <w:pPr>
        <w:pStyle w:val="TOC3"/>
        <w:rPr>
          <w:rFonts w:asciiTheme="minorHAnsi" w:eastAsiaTheme="minorEastAsia" w:hAnsiTheme="minorHAnsi" w:cstheme="minorBidi"/>
          <w:color w:val="auto"/>
        </w:rPr>
      </w:pPr>
      <w:hyperlink w:anchor="_Toc400018574" w:history="1">
        <w:r w:rsidR="00294DC2" w:rsidRPr="00FB5042">
          <w:rPr>
            <w:rStyle w:val="Hyperlink"/>
          </w:rPr>
          <w:t>International spectrum activities</w:t>
        </w:r>
        <w:r w:rsidR="00294DC2">
          <w:rPr>
            <w:webHidden/>
          </w:rPr>
          <w:tab/>
        </w:r>
        <w:r w:rsidR="00294DC2">
          <w:rPr>
            <w:webHidden/>
          </w:rPr>
          <w:fldChar w:fldCharType="begin"/>
        </w:r>
        <w:r w:rsidR="00294DC2">
          <w:rPr>
            <w:webHidden/>
          </w:rPr>
          <w:instrText xml:space="preserve"> PAGEREF _Toc400018574 \h </w:instrText>
        </w:r>
        <w:r w:rsidR="00294DC2">
          <w:rPr>
            <w:webHidden/>
          </w:rPr>
        </w:r>
        <w:r w:rsidR="00294DC2">
          <w:rPr>
            <w:webHidden/>
          </w:rPr>
          <w:fldChar w:fldCharType="separate"/>
        </w:r>
        <w:r w:rsidR="00294DC2">
          <w:rPr>
            <w:webHidden/>
          </w:rPr>
          <w:t>104</w:t>
        </w:r>
        <w:r w:rsidR="00294DC2">
          <w:rPr>
            <w:webHidden/>
          </w:rPr>
          <w:fldChar w:fldCharType="end"/>
        </w:r>
      </w:hyperlink>
    </w:p>
    <w:p w14:paraId="5AAA4D68" w14:textId="77777777" w:rsidR="00294DC2" w:rsidRDefault="00311E08">
      <w:pPr>
        <w:pStyle w:val="TOC3"/>
        <w:rPr>
          <w:rFonts w:asciiTheme="minorHAnsi" w:eastAsiaTheme="minorEastAsia" w:hAnsiTheme="minorHAnsi" w:cstheme="minorBidi"/>
          <w:color w:val="auto"/>
        </w:rPr>
      </w:pPr>
      <w:hyperlink w:anchor="_Toc400018575" w:history="1">
        <w:r w:rsidR="00294DC2" w:rsidRPr="00FB5042">
          <w:rPr>
            <w:rStyle w:val="Hyperlink"/>
          </w:rPr>
          <w:t>Other international activities</w:t>
        </w:r>
        <w:r w:rsidR="00294DC2">
          <w:rPr>
            <w:webHidden/>
          </w:rPr>
          <w:tab/>
        </w:r>
        <w:r w:rsidR="00294DC2">
          <w:rPr>
            <w:webHidden/>
          </w:rPr>
          <w:fldChar w:fldCharType="begin"/>
        </w:r>
        <w:r w:rsidR="00294DC2">
          <w:rPr>
            <w:webHidden/>
          </w:rPr>
          <w:instrText xml:space="preserve"> PAGEREF _Toc400018575 \h </w:instrText>
        </w:r>
        <w:r w:rsidR="00294DC2">
          <w:rPr>
            <w:webHidden/>
          </w:rPr>
        </w:r>
        <w:r w:rsidR="00294DC2">
          <w:rPr>
            <w:webHidden/>
          </w:rPr>
          <w:fldChar w:fldCharType="separate"/>
        </w:r>
        <w:r w:rsidR="00294DC2">
          <w:rPr>
            <w:webHidden/>
          </w:rPr>
          <w:t>105</w:t>
        </w:r>
        <w:r w:rsidR="00294DC2">
          <w:rPr>
            <w:webHidden/>
          </w:rPr>
          <w:fldChar w:fldCharType="end"/>
        </w:r>
      </w:hyperlink>
    </w:p>
    <w:p w14:paraId="52688491" w14:textId="30C117BA" w:rsidR="00294DC2" w:rsidRDefault="00311E08">
      <w:pPr>
        <w:pStyle w:val="TOC1"/>
        <w:rPr>
          <w:rFonts w:asciiTheme="minorHAnsi" w:eastAsiaTheme="minorEastAsia" w:hAnsiTheme="minorHAnsi" w:cstheme="minorBidi"/>
          <w:b w:val="0"/>
          <w:color w:val="auto"/>
          <w:spacing w:val="0"/>
          <w:sz w:val="22"/>
          <w:szCs w:val="22"/>
        </w:rPr>
      </w:pPr>
      <w:hyperlink w:anchor="_Toc400018576" w:history="1">
        <w:r w:rsidR="00294DC2" w:rsidRPr="00FB5042">
          <w:rPr>
            <w:rStyle w:val="Hyperlink"/>
          </w:rPr>
          <w:t xml:space="preserve">Chapter 3: Content regulation and consumer </w:t>
        </w:r>
        <w:r w:rsidR="00294DC2">
          <w:rPr>
            <w:rStyle w:val="Hyperlink"/>
          </w:rPr>
          <w:br/>
        </w:r>
        <w:r w:rsidR="00294DC2" w:rsidRPr="00FB5042">
          <w:rPr>
            <w:rStyle w:val="Hyperlink"/>
          </w:rPr>
          <w:t>information</w:t>
        </w:r>
        <w:r w:rsidR="00294DC2">
          <w:rPr>
            <w:webHidden/>
          </w:rPr>
          <w:tab/>
        </w:r>
        <w:r w:rsidR="00294DC2">
          <w:rPr>
            <w:webHidden/>
          </w:rPr>
          <w:fldChar w:fldCharType="begin"/>
        </w:r>
        <w:r w:rsidR="00294DC2">
          <w:rPr>
            <w:webHidden/>
          </w:rPr>
          <w:instrText xml:space="preserve"> PAGEREF _Toc400018576 \h </w:instrText>
        </w:r>
        <w:r w:rsidR="00294DC2">
          <w:rPr>
            <w:webHidden/>
          </w:rPr>
        </w:r>
        <w:r w:rsidR="00294DC2">
          <w:rPr>
            <w:webHidden/>
          </w:rPr>
          <w:fldChar w:fldCharType="separate"/>
        </w:r>
        <w:r w:rsidR="00294DC2">
          <w:rPr>
            <w:webHidden/>
          </w:rPr>
          <w:t>107</w:t>
        </w:r>
        <w:r w:rsidR="00294DC2">
          <w:rPr>
            <w:webHidden/>
          </w:rPr>
          <w:fldChar w:fldCharType="end"/>
        </w:r>
      </w:hyperlink>
    </w:p>
    <w:p w14:paraId="0EB29D33" w14:textId="77777777" w:rsidR="00294DC2" w:rsidRDefault="00311E08">
      <w:pPr>
        <w:pStyle w:val="TOC2"/>
        <w:rPr>
          <w:rFonts w:asciiTheme="minorHAnsi" w:eastAsiaTheme="minorEastAsia" w:hAnsiTheme="minorHAnsi" w:cstheme="minorBidi"/>
          <w:color w:val="auto"/>
          <w:spacing w:val="0"/>
          <w:sz w:val="22"/>
          <w:szCs w:val="22"/>
        </w:rPr>
      </w:pPr>
      <w:hyperlink w:anchor="_Toc400018577" w:history="1">
        <w:r w:rsidR="00294DC2" w:rsidRPr="00FB5042">
          <w:rPr>
            <w:rStyle w:val="Hyperlink"/>
          </w:rPr>
          <w:t>The ACMA’s role</w:t>
        </w:r>
        <w:r w:rsidR="00294DC2">
          <w:rPr>
            <w:webHidden/>
          </w:rPr>
          <w:tab/>
        </w:r>
        <w:r w:rsidR="00294DC2">
          <w:rPr>
            <w:webHidden/>
          </w:rPr>
          <w:fldChar w:fldCharType="begin"/>
        </w:r>
        <w:r w:rsidR="00294DC2">
          <w:rPr>
            <w:webHidden/>
          </w:rPr>
          <w:instrText xml:space="preserve"> PAGEREF _Toc400018577 \h </w:instrText>
        </w:r>
        <w:r w:rsidR="00294DC2">
          <w:rPr>
            <w:webHidden/>
          </w:rPr>
        </w:r>
        <w:r w:rsidR="00294DC2">
          <w:rPr>
            <w:webHidden/>
          </w:rPr>
          <w:fldChar w:fldCharType="separate"/>
        </w:r>
        <w:r w:rsidR="00294DC2">
          <w:rPr>
            <w:webHidden/>
          </w:rPr>
          <w:t>108</w:t>
        </w:r>
        <w:r w:rsidR="00294DC2">
          <w:rPr>
            <w:webHidden/>
          </w:rPr>
          <w:fldChar w:fldCharType="end"/>
        </w:r>
      </w:hyperlink>
    </w:p>
    <w:p w14:paraId="75455DEE" w14:textId="77777777" w:rsidR="00294DC2" w:rsidRDefault="00311E08">
      <w:pPr>
        <w:pStyle w:val="TOC3"/>
        <w:rPr>
          <w:rFonts w:asciiTheme="minorHAnsi" w:eastAsiaTheme="minorEastAsia" w:hAnsiTheme="minorHAnsi" w:cstheme="minorBidi"/>
          <w:color w:val="auto"/>
        </w:rPr>
      </w:pPr>
      <w:hyperlink w:anchor="_Toc400018578" w:history="1">
        <w:r w:rsidR="00294DC2" w:rsidRPr="00FB5042">
          <w:rPr>
            <w:rStyle w:val="Hyperlink"/>
          </w:rPr>
          <w:t>Australian content in advertising</w:t>
        </w:r>
        <w:r w:rsidR="00294DC2">
          <w:rPr>
            <w:webHidden/>
          </w:rPr>
          <w:tab/>
        </w:r>
        <w:r w:rsidR="00294DC2">
          <w:rPr>
            <w:webHidden/>
          </w:rPr>
          <w:fldChar w:fldCharType="begin"/>
        </w:r>
        <w:r w:rsidR="00294DC2">
          <w:rPr>
            <w:webHidden/>
          </w:rPr>
          <w:instrText xml:space="preserve"> PAGEREF _Toc400018578 \h </w:instrText>
        </w:r>
        <w:r w:rsidR="00294DC2">
          <w:rPr>
            <w:webHidden/>
          </w:rPr>
        </w:r>
        <w:r w:rsidR="00294DC2">
          <w:rPr>
            <w:webHidden/>
          </w:rPr>
          <w:fldChar w:fldCharType="separate"/>
        </w:r>
        <w:r w:rsidR="00294DC2">
          <w:rPr>
            <w:webHidden/>
          </w:rPr>
          <w:t>108</w:t>
        </w:r>
        <w:r w:rsidR="00294DC2">
          <w:rPr>
            <w:webHidden/>
          </w:rPr>
          <w:fldChar w:fldCharType="end"/>
        </w:r>
      </w:hyperlink>
    </w:p>
    <w:p w14:paraId="01315A57" w14:textId="77777777" w:rsidR="00294DC2" w:rsidRDefault="00311E08">
      <w:pPr>
        <w:pStyle w:val="TOC3"/>
        <w:rPr>
          <w:rFonts w:asciiTheme="minorHAnsi" w:eastAsiaTheme="minorEastAsia" w:hAnsiTheme="minorHAnsi" w:cstheme="minorBidi"/>
          <w:color w:val="auto"/>
        </w:rPr>
      </w:pPr>
      <w:hyperlink w:anchor="_Toc400018579" w:history="1">
        <w:r w:rsidR="00294DC2" w:rsidRPr="00FB5042">
          <w:rPr>
            <w:rStyle w:val="Hyperlink"/>
          </w:rPr>
          <w:t>Australian content</w:t>
        </w:r>
        <w:r w:rsidR="00294DC2">
          <w:rPr>
            <w:webHidden/>
          </w:rPr>
          <w:tab/>
        </w:r>
        <w:r w:rsidR="00294DC2">
          <w:rPr>
            <w:webHidden/>
          </w:rPr>
          <w:fldChar w:fldCharType="begin"/>
        </w:r>
        <w:r w:rsidR="00294DC2">
          <w:rPr>
            <w:webHidden/>
          </w:rPr>
          <w:instrText xml:space="preserve"> PAGEREF _Toc400018579 \h </w:instrText>
        </w:r>
        <w:r w:rsidR="00294DC2">
          <w:rPr>
            <w:webHidden/>
          </w:rPr>
        </w:r>
        <w:r w:rsidR="00294DC2">
          <w:rPr>
            <w:webHidden/>
          </w:rPr>
          <w:fldChar w:fldCharType="separate"/>
        </w:r>
        <w:r w:rsidR="00294DC2">
          <w:rPr>
            <w:webHidden/>
          </w:rPr>
          <w:t>108</w:t>
        </w:r>
        <w:r w:rsidR="00294DC2">
          <w:rPr>
            <w:webHidden/>
          </w:rPr>
          <w:fldChar w:fldCharType="end"/>
        </w:r>
      </w:hyperlink>
    </w:p>
    <w:p w14:paraId="5D637E37" w14:textId="77777777" w:rsidR="00294DC2" w:rsidRDefault="00311E08">
      <w:pPr>
        <w:pStyle w:val="TOC3"/>
        <w:rPr>
          <w:rFonts w:asciiTheme="minorHAnsi" w:eastAsiaTheme="minorEastAsia" w:hAnsiTheme="minorHAnsi" w:cstheme="minorBidi"/>
          <w:color w:val="auto"/>
        </w:rPr>
      </w:pPr>
      <w:hyperlink w:anchor="_Toc400018580" w:history="1">
        <w:r w:rsidR="00294DC2" w:rsidRPr="00FB5042">
          <w:rPr>
            <w:rStyle w:val="Hyperlink"/>
          </w:rPr>
          <w:t>Australian music code</w:t>
        </w:r>
        <w:r w:rsidR="00294DC2">
          <w:rPr>
            <w:webHidden/>
          </w:rPr>
          <w:tab/>
        </w:r>
        <w:r w:rsidR="00294DC2">
          <w:rPr>
            <w:webHidden/>
          </w:rPr>
          <w:fldChar w:fldCharType="begin"/>
        </w:r>
        <w:r w:rsidR="00294DC2">
          <w:rPr>
            <w:webHidden/>
          </w:rPr>
          <w:instrText xml:space="preserve"> PAGEREF _Toc400018580 \h </w:instrText>
        </w:r>
        <w:r w:rsidR="00294DC2">
          <w:rPr>
            <w:webHidden/>
          </w:rPr>
        </w:r>
        <w:r w:rsidR="00294DC2">
          <w:rPr>
            <w:webHidden/>
          </w:rPr>
          <w:fldChar w:fldCharType="separate"/>
        </w:r>
        <w:r w:rsidR="00294DC2">
          <w:rPr>
            <w:webHidden/>
          </w:rPr>
          <w:t>108</w:t>
        </w:r>
        <w:r w:rsidR="00294DC2">
          <w:rPr>
            <w:webHidden/>
          </w:rPr>
          <w:fldChar w:fldCharType="end"/>
        </w:r>
      </w:hyperlink>
    </w:p>
    <w:p w14:paraId="4CEDF02D" w14:textId="77777777" w:rsidR="00294DC2" w:rsidRDefault="00311E08">
      <w:pPr>
        <w:pStyle w:val="TOC3"/>
        <w:rPr>
          <w:rFonts w:asciiTheme="minorHAnsi" w:eastAsiaTheme="minorEastAsia" w:hAnsiTheme="minorHAnsi" w:cstheme="minorBidi"/>
          <w:color w:val="auto"/>
        </w:rPr>
      </w:pPr>
      <w:hyperlink w:anchor="_Toc400018581" w:history="1">
        <w:r w:rsidR="00294DC2" w:rsidRPr="00FB5042">
          <w:rPr>
            <w:rStyle w:val="Hyperlink"/>
          </w:rPr>
          <w:t>Children’s television</w:t>
        </w:r>
        <w:r w:rsidR="00294DC2">
          <w:rPr>
            <w:webHidden/>
          </w:rPr>
          <w:tab/>
        </w:r>
        <w:r w:rsidR="00294DC2">
          <w:rPr>
            <w:webHidden/>
          </w:rPr>
          <w:fldChar w:fldCharType="begin"/>
        </w:r>
        <w:r w:rsidR="00294DC2">
          <w:rPr>
            <w:webHidden/>
          </w:rPr>
          <w:instrText xml:space="preserve"> PAGEREF _Toc400018581 \h </w:instrText>
        </w:r>
        <w:r w:rsidR="00294DC2">
          <w:rPr>
            <w:webHidden/>
          </w:rPr>
        </w:r>
        <w:r w:rsidR="00294DC2">
          <w:rPr>
            <w:webHidden/>
          </w:rPr>
          <w:fldChar w:fldCharType="separate"/>
        </w:r>
        <w:r w:rsidR="00294DC2">
          <w:rPr>
            <w:webHidden/>
          </w:rPr>
          <w:t>109</w:t>
        </w:r>
        <w:r w:rsidR="00294DC2">
          <w:rPr>
            <w:webHidden/>
          </w:rPr>
          <w:fldChar w:fldCharType="end"/>
        </w:r>
      </w:hyperlink>
    </w:p>
    <w:p w14:paraId="5F23DEBD" w14:textId="77777777" w:rsidR="00294DC2" w:rsidRDefault="00311E08">
      <w:pPr>
        <w:pStyle w:val="TOC3"/>
        <w:rPr>
          <w:rFonts w:asciiTheme="minorHAnsi" w:eastAsiaTheme="minorEastAsia" w:hAnsiTheme="minorHAnsi" w:cstheme="minorBidi"/>
          <w:color w:val="auto"/>
        </w:rPr>
      </w:pPr>
      <w:hyperlink w:anchor="_Toc400018582" w:history="1">
        <w:r w:rsidR="00294DC2" w:rsidRPr="00FB5042">
          <w:rPr>
            <w:rStyle w:val="Hyperlink"/>
          </w:rPr>
          <w:t>Declaration of primary services</w:t>
        </w:r>
        <w:r w:rsidR="00294DC2">
          <w:rPr>
            <w:webHidden/>
          </w:rPr>
          <w:tab/>
        </w:r>
        <w:r w:rsidR="00294DC2">
          <w:rPr>
            <w:webHidden/>
          </w:rPr>
          <w:fldChar w:fldCharType="begin"/>
        </w:r>
        <w:r w:rsidR="00294DC2">
          <w:rPr>
            <w:webHidden/>
          </w:rPr>
          <w:instrText xml:space="preserve"> PAGEREF _Toc400018582 \h </w:instrText>
        </w:r>
        <w:r w:rsidR="00294DC2">
          <w:rPr>
            <w:webHidden/>
          </w:rPr>
        </w:r>
        <w:r w:rsidR="00294DC2">
          <w:rPr>
            <w:webHidden/>
          </w:rPr>
          <w:fldChar w:fldCharType="separate"/>
        </w:r>
        <w:r w:rsidR="00294DC2">
          <w:rPr>
            <w:webHidden/>
          </w:rPr>
          <w:t>110</w:t>
        </w:r>
        <w:r w:rsidR="00294DC2">
          <w:rPr>
            <w:webHidden/>
          </w:rPr>
          <w:fldChar w:fldCharType="end"/>
        </w:r>
      </w:hyperlink>
    </w:p>
    <w:p w14:paraId="7E24E42E" w14:textId="77777777" w:rsidR="00294DC2" w:rsidRDefault="00311E08">
      <w:pPr>
        <w:pStyle w:val="TOC3"/>
        <w:rPr>
          <w:rFonts w:asciiTheme="minorHAnsi" w:eastAsiaTheme="minorEastAsia" w:hAnsiTheme="minorHAnsi" w:cstheme="minorBidi"/>
          <w:color w:val="auto"/>
        </w:rPr>
      </w:pPr>
      <w:hyperlink w:anchor="_Toc400018583" w:history="1">
        <w:r w:rsidR="00294DC2" w:rsidRPr="00FB5042">
          <w:rPr>
            <w:rStyle w:val="Hyperlink"/>
          </w:rPr>
          <w:t>High definition broadcasting</w:t>
        </w:r>
        <w:r w:rsidR="00294DC2">
          <w:rPr>
            <w:webHidden/>
          </w:rPr>
          <w:tab/>
        </w:r>
        <w:r w:rsidR="00294DC2">
          <w:rPr>
            <w:webHidden/>
          </w:rPr>
          <w:fldChar w:fldCharType="begin"/>
        </w:r>
        <w:r w:rsidR="00294DC2">
          <w:rPr>
            <w:webHidden/>
          </w:rPr>
          <w:instrText xml:space="preserve"> PAGEREF _Toc400018583 \h </w:instrText>
        </w:r>
        <w:r w:rsidR="00294DC2">
          <w:rPr>
            <w:webHidden/>
          </w:rPr>
        </w:r>
        <w:r w:rsidR="00294DC2">
          <w:rPr>
            <w:webHidden/>
          </w:rPr>
          <w:fldChar w:fldCharType="separate"/>
        </w:r>
        <w:r w:rsidR="00294DC2">
          <w:rPr>
            <w:webHidden/>
          </w:rPr>
          <w:t>111</w:t>
        </w:r>
        <w:r w:rsidR="00294DC2">
          <w:rPr>
            <w:webHidden/>
          </w:rPr>
          <w:fldChar w:fldCharType="end"/>
        </w:r>
      </w:hyperlink>
    </w:p>
    <w:p w14:paraId="6852ABA6" w14:textId="77777777" w:rsidR="00294DC2" w:rsidRDefault="00311E08">
      <w:pPr>
        <w:pStyle w:val="TOC3"/>
        <w:rPr>
          <w:rFonts w:asciiTheme="minorHAnsi" w:eastAsiaTheme="minorEastAsia" w:hAnsiTheme="minorHAnsi" w:cstheme="minorBidi"/>
          <w:color w:val="auto"/>
        </w:rPr>
      </w:pPr>
      <w:hyperlink w:anchor="_Toc400018584" w:history="1">
        <w:r w:rsidR="00294DC2" w:rsidRPr="00FB5042">
          <w:rPr>
            <w:rStyle w:val="Hyperlink"/>
          </w:rPr>
          <w:t>Subscription television drama expenditure</w:t>
        </w:r>
        <w:r w:rsidR="00294DC2">
          <w:rPr>
            <w:webHidden/>
          </w:rPr>
          <w:tab/>
        </w:r>
        <w:r w:rsidR="00294DC2">
          <w:rPr>
            <w:webHidden/>
          </w:rPr>
          <w:fldChar w:fldCharType="begin"/>
        </w:r>
        <w:r w:rsidR="00294DC2">
          <w:rPr>
            <w:webHidden/>
          </w:rPr>
          <w:instrText xml:space="preserve"> PAGEREF _Toc400018584 \h </w:instrText>
        </w:r>
        <w:r w:rsidR="00294DC2">
          <w:rPr>
            <w:webHidden/>
          </w:rPr>
        </w:r>
        <w:r w:rsidR="00294DC2">
          <w:rPr>
            <w:webHidden/>
          </w:rPr>
          <w:fldChar w:fldCharType="separate"/>
        </w:r>
        <w:r w:rsidR="00294DC2">
          <w:rPr>
            <w:webHidden/>
          </w:rPr>
          <w:t>111</w:t>
        </w:r>
        <w:r w:rsidR="00294DC2">
          <w:rPr>
            <w:webHidden/>
          </w:rPr>
          <w:fldChar w:fldCharType="end"/>
        </w:r>
      </w:hyperlink>
    </w:p>
    <w:p w14:paraId="468FF1B8" w14:textId="77777777" w:rsidR="00294DC2" w:rsidRDefault="00311E08">
      <w:pPr>
        <w:pStyle w:val="TOC3"/>
        <w:rPr>
          <w:rFonts w:asciiTheme="minorHAnsi" w:eastAsiaTheme="minorEastAsia" w:hAnsiTheme="minorHAnsi" w:cstheme="minorBidi"/>
          <w:color w:val="auto"/>
        </w:rPr>
      </w:pPr>
      <w:hyperlink w:anchor="_Toc400018585" w:history="1">
        <w:r w:rsidR="00294DC2" w:rsidRPr="00FB5042">
          <w:rPr>
            <w:rStyle w:val="Hyperlink"/>
          </w:rPr>
          <w:t>Captioning</w:t>
        </w:r>
        <w:r w:rsidR="00294DC2">
          <w:rPr>
            <w:webHidden/>
          </w:rPr>
          <w:tab/>
        </w:r>
        <w:r w:rsidR="00294DC2">
          <w:rPr>
            <w:webHidden/>
          </w:rPr>
          <w:fldChar w:fldCharType="begin"/>
        </w:r>
        <w:r w:rsidR="00294DC2">
          <w:rPr>
            <w:webHidden/>
          </w:rPr>
          <w:instrText xml:space="preserve"> PAGEREF _Toc400018585 \h </w:instrText>
        </w:r>
        <w:r w:rsidR="00294DC2">
          <w:rPr>
            <w:webHidden/>
          </w:rPr>
        </w:r>
        <w:r w:rsidR="00294DC2">
          <w:rPr>
            <w:webHidden/>
          </w:rPr>
          <w:fldChar w:fldCharType="separate"/>
        </w:r>
        <w:r w:rsidR="00294DC2">
          <w:rPr>
            <w:webHidden/>
          </w:rPr>
          <w:t>112</w:t>
        </w:r>
        <w:r w:rsidR="00294DC2">
          <w:rPr>
            <w:webHidden/>
          </w:rPr>
          <w:fldChar w:fldCharType="end"/>
        </w:r>
      </w:hyperlink>
    </w:p>
    <w:p w14:paraId="1B3907B2" w14:textId="77777777" w:rsidR="00294DC2" w:rsidRDefault="00311E08">
      <w:pPr>
        <w:pStyle w:val="TOC2"/>
        <w:rPr>
          <w:rFonts w:asciiTheme="minorHAnsi" w:eastAsiaTheme="minorEastAsia" w:hAnsiTheme="minorHAnsi" w:cstheme="minorBidi"/>
          <w:color w:val="auto"/>
          <w:spacing w:val="0"/>
          <w:sz w:val="22"/>
          <w:szCs w:val="22"/>
        </w:rPr>
      </w:pPr>
      <w:hyperlink w:anchor="_Toc400018586" w:history="1">
        <w:r w:rsidR="00294DC2" w:rsidRPr="00FB5042">
          <w:rPr>
            <w:rStyle w:val="Hyperlink"/>
          </w:rPr>
          <w:t>Consumer safeguards</w:t>
        </w:r>
        <w:r w:rsidR="00294DC2">
          <w:rPr>
            <w:webHidden/>
          </w:rPr>
          <w:tab/>
        </w:r>
        <w:r w:rsidR="00294DC2">
          <w:rPr>
            <w:webHidden/>
          </w:rPr>
          <w:fldChar w:fldCharType="begin"/>
        </w:r>
        <w:r w:rsidR="00294DC2">
          <w:rPr>
            <w:webHidden/>
          </w:rPr>
          <w:instrText xml:space="preserve"> PAGEREF _Toc400018586 \h </w:instrText>
        </w:r>
        <w:r w:rsidR="00294DC2">
          <w:rPr>
            <w:webHidden/>
          </w:rPr>
        </w:r>
        <w:r w:rsidR="00294DC2">
          <w:rPr>
            <w:webHidden/>
          </w:rPr>
          <w:fldChar w:fldCharType="separate"/>
        </w:r>
        <w:r w:rsidR="00294DC2">
          <w:rPr>
            <w:webHidden/>
          </w:rPr>
          <w:t>114</w:t>
        </w:r>
        <w:r w:rsidR="00294DC2">
          <w:rPr>
            <w:webHidden/>
          </w:rPr>
          <w:fldChar w:fldCharType="end"/>
        </w:r>
      </w:hyperlink>
    </w:p>
    <w:p w14:paraId="75E9080F" w14:textId="77777777" w:rsidR="00294DC2" w:rsidRDefault="00311E08">
      <w:pPr>
        <w:pStyle w:val="TOC3"/>
        <w:rPr>
          <w:rFonts w:asciiTheme="minorHAnsi" w:eastAsiaTheme="minorEastAsia" w:hAnsiTheme="minorHAnsi" w:cstheme="minorBidi"/>
          <w:color w:val="auto"/>
        </w:rPr>
      </w:pPr>
      <w:hyperlink w:anchor="_Toc400018587" w:history="1">
        <w:r w:rsidR="00294DC2" w:rsidRPr="00FB5042">
          <w:rPr>
            <w:rStyle w:val="Hyperlink"/>
          </w:rPr>
          <w:t>International mobile roaming standard</w:t>
        </w:r>
        <w:r w:rsidR="00294DC2">
          <w:rPr>
            <w:webHidden/>
          </w:rPr>
          <w:tab/>
        </w:r>
        <w:r w:rsidR="00294DC2">
          <w:rPr>
            <w:webHidden/>
          </w:rPr>
          <w:fldChar w:fldCharType="begin"/>
        </w:r>
        <w:r w:rsidR="00294DC2">
          <w:rPr>
            <w:webHidden/>
          </w:rPr>
          <w:instrText xml:space="preserve"> PAGEREF _Toc400018587 \h </w:instrText>
        </w:r>
        <w:r w:rsidR="00294DC2">
          <w:rPr>
            <w:webHidden/>
          </w:rPr>
        </w:r>
        <w:r w:rsidR="00294DC2">
          <w:rPr>
            <w:webHidden/>
          </w:rPr>
          <w:fldChar w:fldCharType="separate"/>
        </w:r>
        <w:r w:rsidR="00294DC2">
          <w:rPr>
            <w:webHidden/>
          </w:rPr>
          <w:t>114</w:t>
        </w:r>
        <w:r w:rsidR="00294DC2">
          <w:rPr>
            <w:webHidden/>
          </w:rPr>
          <w:fldChar w:fldCharType="end"/>
        </w:r>
      </w:hyperlink>
    </w:p>
    <w:p w14:paraId="07E723D5" w14:textId="77777777" w:rsidR="00294DC2" w:rsidRDefault="00311E08">
      <w:pPr>
        <w:pStyle w:val="TOC3"/>
        <w:rPr>
          <w:rFonts w:asciiTheme="minorHAnsi" w:eastAsiaTheme="minorEastAsia" w:hAnsiTheme="minorHAnsi" w:cstheme="minorBidi"/>
          <w:color w:val="auto"/>
        </w:rPr>
      </w:pPr>
      <w:hyperlink w:anchor="_Toc400018588" w:history="1">
        <w:r w:rsidR="00294DC2" w:rsidRPr="00FB5042">
          <w:rPr>
            <w:rStyle w:val="Hyperlink"/>
          </w:rPr>
          <w:t>Telecommunications Industry Ombudsman scheme</w:t>
        </w:r>
        <w:r w:rsidR="00294DC2">
          <w:rPr>
            <w:webHidden/>
          </w:rPr>
          <w:tab/>
        </w:r>
        <w:r w:rsidR="00294DC2">
          <w:rPr>
            <w:webHidden/>
          </w:rPr>
          <w:fldChar w:fldCharType="begin"/>
        </w:r>
        <w:r w:rsidR="00294DC2">
          <w:rPr>
            <w:webHidden/>
          </w:rPr>
          <w:instrText xml:space="preserve"> PAGEREF _Toc400018588 \h </w:instrText>
        </w:r>
        <w:r w:rsidR="00294DC2">
          <w:rPr>
            <w:webHidden/>
          </w:rPr>
        </w:r>
        <w:r w:rsidR="00294DC2">
          <w:rPr>
            <w:webHidden/>
          </w:rPr>
          <w:fldChar w:fldCharType="separate"/>
        </w:r>
        <w:r w:rsidR="00294DC2">
          <w:rPr>
            <w:webHidden/>
          </w:rPr>
          <w:t>114</w:t>
        </w:r>
        <w:r w:rsidR="00294DC2">
          <w:rPr>
            <w:webHidden/>
          </w:rPr>
          <w:fldChar w:fldCharType="end"/>
        </w:r>
      </w:hyperlink>
    </w:p>
    <w:p w14:paraId="495669EF" w14:textId="77777777" w:rsidR="00294DC2" w:rsidRDefault="00311E08">
      <w:pPr>
        <w:pStyle w:val="TOC3"/>
        <w:rPr>
          <w:rFonts w:asciiTheme="minorHAnsi" w:eastAsiaTheme="minorEastAsia" w:hAnsiTheme="minorHAnsi" w:cstheme="minorBidi"/>
          <w:color w:val="auto"/>
        </w:rPr>
      </w:pPr>
      <w:hyperlink w:anchor="_Toc400018589" w:history="1">
        <w:r w:rsidR="00294DC2" w:rsidRPr="00FB5042">
          <w:rPr>
            <w:rStyle w:val="Hyperlink"/>
          </w:rPr>
          <w:t>Universal service obligation</w:t>
        </w:r>
        <w:r w:rsidR="00294DC2">
          <w:rPr>
            <w:webHidden/>
          </w:rPr>
          <w:tab/>
        </w:r>
        <w:r w:rsidR="00294DC2">
          <w:rPr>
            <w:webHidden/>
          </w:rPr>
          <w:fldChar w:fldCharType="begin"/>
        </w:r>
        <w:r w:rsidR="00294DC2">
          <w:rPr>
            <w:webHidden/>
          </w:rPr>
          <w:instrText xml:space="preserve"> PAGEREF _Toc400018589 \h </w:instrText>
        </w:r>
        <w:r w:rsidR="00294DC2">
          <w:rPr>
            <w:webHidden/>
          </w:rPr>
        </w:r>
        <w:r w:rsidR="00294DC2">
          <w:rPr>
            <w:webHidden/>
          </w:rPr>
          <w:fldChar w:fldCharType="separate"/>
        </w:r>
        <w:r w:rsidR="00294DC2">
          <w:rPr>
            <w:webHidden/>
          </w:rPr>
          <w:t>115</w:t>
        </w:r>
        <w:r w:rsidR="00294DC2">
          <w:rPr>
            <w:webHidden/>
          </w:rPr>
          <w:fldChar w:fldCharType="end"/>
        </w:r>
      </w:hyperlink>
    </w:p>
    <w:p w14:paraId="132AE193" w14:textId="77777777" w:rsidR="00294DC2" w:rsidRDefault="00311E08">
      <w:pPr>
        <w:pStyle w:val="TOC3"/>
        <w:rPr>
          <w:rFonts w:asciiTheme="minorHAnsi" w:eastAsiaTheme="minorEastAsia" w:hAnsiTheme="minorHAnsi" w:cstheme="minorBidi"/>
          <w:color w:val="auto"/>
        </w:rPr>
      </w:pPr>
      <w:hyperlink w:anchor="_Toc400018590" w:history="1">
        <w:r w:rsidR="00294DC2" w:rsidRPr="00FB5042">
          <w:rPr>
            <w:rStyle w:val="Hyperlink"/>
          </w:rPr>
          <w:t>Payphone performance</w:t>
        </w:r>
        <w:r w:rsidR="00294DC2">
          <w:rPr>
            <w:webHidden/>
          </w:rPr>
          <w:tab/>
        </w:r>
        <w:r w:rsidR="00294DC2">
          <w:rPr>
            <w:webHidden/>
          </w:rPr>
          <w:fldChar w:fldCharType="begin"/>
        </w:r>
        <w:r w:rsidR="00294DC2">
          <w:rPr>
            <w:webHidden/>
          </w:rPr>
          <w:instrText xml:space="preserve"> PAGEREF _Toc400018590 \h </w:instrText>
        </w:r>
        <w:r w:rsidR="00294DC2">
          <w:rPr>
            <w:webHidden/>
          </w:rPr>
        </w:r>
        <w:r w:rsidR="00294DC2">
          <w:rPr>
            <w:webHidden/>
          </w:rPr>
          <w:fldChar w:fldCharType="separate"/>
        </w:r>
        <w:r w:rsidR="00294DC2">
          <w:rPr>
            <w:webHidden/>
          </w:rPr>
          <w:t>116</w:t>
        </w:r>
        <w:r w:rsidR="00294DC2">
          <w:rPr>
            <w:webHidden/>
          </w:rPr>
          <w:fldChar w:fldCharType="end"/>
        </w:r>
      </w:hyperlink>
    </w:p>
    <w:p w14:paraId="6F1C7F85" w14:textId="77777777" w:rsidR="00294DC2" w:rsidRDefault="00311E08">
      <w:pPr>
        <w:pStyle w:val="TOC3"/>
        <w:rPr>
          <w:rFonts w:asciiTheme="minorHAnsi" w:eastAsiaTheme="minorEastAsia" w:hAnsiTheme="minorHAnsi" w:cstheme="minorBidi"/>
          <w:color w:val="auto"/>
        </w:rPr>
      </w:pPr>
      <w:hyperlink w:anchor="_Toc400018591" w:history="1">
        <w:r w:rsidR="00294DC2" w:rsidRPr="00FB5042">
          <w:rPr>
            <w:rStyle w:val="Hyperlink"/>
          </w:rPr>
          <w:t>Customer Service Guarantee</w:t>
        </w:r>
        <w:r w:rsidR="00294DC2">
          <w:rPr>
            <w:webHidden/>
          </w:rPr>
          <w:tab/>
        </w:r>
        <w:r w:rsidR="00294DC2">
          <w:rPr>
            <w:webHidden/>
          </w:rPr>
          <w:fldChar w:fldCharType="begin"/>
        </w:r>
        <w:r w:rsidR="00294DC2">
          <w:rPr>
            <w:webHidden/>
          </w:rPr>
          <w:instrText xml:space="preserve"> PAGEREF _Toc400018591 \h </w:instrText>
        </w:r>
        <w:r w:rsidR="00294DC2">
          <w:rPr>
            <w:webHidden/>
          </w:rPr>
        </w:r>
        <w:r w:rsidR="00294DC2">
          <w:rPr>
            <w:webHidden/>
          </w:rPr>
          <w:fldChar w:fldCharType="separate"/>
        </w:r>
        <w:r w:rsidR="00294DC2">
          <w:rPr>
            <w:webHidden/>
          </w:rPr>
          <w:t>116</w:t>
        </w:r>
        <w:r w:rsidR="00294DC2">
          <w:rPr>
            <w:webHidden/>
          </w:rPr>
          <w:fldChar w:fldCharType="end"/>
        </w:r>
      </w:hyperlink>
    </w:p>
    <w:p w14:paraId="3354F738" w14:textId="77777777" w:rsidR="00294DC2" w:rsidRDefault="00311E08">
      <w:pPr>
        <w:pStyle w:val="TOC3"/>
        <w:rPr>
          <w:rFonts w:asciiTheme="minorHAnsi" w:eastAsiaTheme="minorEastAsia" w:hAnsiTheme="minorHAnsi" w:cstheme="minorBidi"/>
          <w:color w:val="auto"/>
        </w:rPr>
      </w:pPr>
      <w:hyperlink w:anchor="_Toc400018592" w:history="1">
        <w:r w:rsidR="00294DC2" w:rsidRPr="00FB5042">
          <w:rPr>
            <w:rStyle w:val="Hyperlink"/>
          </w:rPr>
          <w:t>Network Reliability Framework</w:t>
        </w:r>
        <w:r w:rsidR="00294DC2">
          <w:rPr>
            <w:webHidden/>
          </w:rPr>
          <w:tab/>
        </w:r>
        <w:r w:rsidR="00294DC2">
          <w:rPr>
            <w:webHidden/>
          </w:rPr>
          <w:fldChar w:fldCharType="begin"/>
        </w:r>
        <w:r w:rsidR="00294DC2">
          <w:rPr>
            <w:webHidden/>
          </w:rPr>
          <w:instrText xml:space="preserve"> PAGEREF _Toc400018592 \h </w:instrText>
        </w:r>
        <w:r w:rsidR="00294DC2">
          <w:rPr>
            <w:webHidden/>
          </w:rPr>
        </w:r>
        <w:r w:rsidR="00294DC2">
          <w:rPr>
            <w:webHidden/>
          </w:rPr>
          <w:fldChar w:fldCharType="separate"/>
        </w:r>
        <w:r w:rsidR="00294DC2">
          <w:rPr>
            <w:webHidden/>
          </w:rPr>
          <w:t>117</w:t>
        </w:r>
        <w:r w:rsidR="00294DC2">
          <w:rPr>
            <w:webHidden/>
          </w:rPr>
          <w:fldChar w:fldCharType="end"/>
        </w:r>
      </w:hyperlink>
    </w:p>
    <w:p w14:paraId="5D9CFA61" w14:textId="77777777" w:rsidR="00294DC2" w:rsidRDefault="00311E08">
      <w:pPr>
        <w:pStyle w:val="TOC3"/>
        <w:rPr>
          <w:rFonts w:asciiTheme="minorHAnsi" w:eastAsiaTheme="minorEastAsia" w:hAnsiTheme="minorHAnsi" w:cstheme="minorBidi"/>
          <w:color w:val="auto"/>
        </w:rPr>
      </w:pPr>
      <w:hyperlink w:anchor="_Toc400018593" w:history="1">
        <w:r w:rsidR="00294DC2" w:rsidRPr="00FB5042">
          <w:rPr>
            <w:rStyle w:val="Hyperlink"/>
          </w:rPr>
          <w:t>Priority assistance</w:t>
        </w:r>
        <w:r w:rsidR="00294DC2">
          <w:rPr>
            <w:webHidden/>
          </w:rPr>
          <w:tab/>
        </w:r>
        <w:r w:rsidR="00294DC2">
          <w:rPr>
            <w:webHidden/>
          </w:rPr>
          <w:fldChar w:fldCharType="begin"/>
        </w:r>
        <w:r w:rsidR="00294DC2">
          <w:rPr>
            <w:webHidden/>
          </w:rPr>
          <w:instrText xml:space="preserve"> PAGEREF _Toc400018593 \h </w:instrText>
        </w:r>
        <w:r w:rsidR="00294DC2">
          <w:rPr>
            <w:webHidden/>
          </w:rPr>
        </w:r>
        <w:r w:rsidR="00294DC2">
          <w:rPr>
            <w:webHidden/>
          </w:rPr>
          <w:fldChar w:fldCharType="separate"/>
        </w:r>
        <w:r w:rsidR="00294DC2">
          <w:rPr>
            <w:webHidden/>
          </w:rPr>
          <w:t>117</w:t>
        </w:r>
        <w:r w:rsidR="00294DC2">
          <w:rPr>
            <w:webHidden/>
          </w:rPr>
          <w:fldChar w:fldCharType="end"/>
        </w:r>
      </w:hyperlink>
    </w:p>
    <w:p w14:paraId="6A3E4FAD" w14:textId="77777777" w:rsidR="00294DC2" w:rsidRDefault="00311E08">
      <w:pPr>
        <w:pStyle w:val="TOC3"/>
        <w:rPr>
          <w:rFonts w:asciiTheme="minorHAnsi" w:eastAsiaTheme="minorEastAsia" w:hAnsiTheme="minorHAnsi" w:cstheme="minorBidi"/>
          <w:color w:val="auto"/>
        </w:rPr>
      </w:pPr>
      <w:hyperlink w:anchor="_Toc400018594" w:history="1">
        <w:r w:rsidR="00294DC2" w:rsidRPr="00FB5042">
          <w:rPr>
            <w:rStyle w:val="Hyperlink"/>
          </w:rPr>
          <w:t>Informed consent arrangements for NBN battery back-up services</w:t>
        </w:r>
        <w:r w:rsidR="00294DC2">
          <w:rPr>
            <w:webHidden/>
          </w:rPr>
          <w:tab/>
        </w:r>
        <w:r w:rsidR="00294DC2">
          <w:rPr>
            <w:webHidden/>
          </w:rPr>
          <w:fldChar w:fldCharType="begin"/>
        </w:r>
        <w:r w:rsidR="00294DC2">
          <w:rPr>
            <w:webHidden/>
          </w:rPr>
          <w:instrText xml:space="preserve"> PAGEREF _Toc400018594 \h </w:instrText>
        </w:r>
        <w:r w:rsidR="00294DC2">
          <w:rPr>
            <w:webHidden/>
          </w:rPr>
        </w:r>
        <w:r w:rsidR="00294DC2">
          <w:rPr>
            <w:webHidden/>
          </w:rPr>
          <w:fldChar w:fldCharType="separate"/>
        </w:r>
        <w:r w:rsidR="00294DC2">
          <w:rPr>
            <w:webHidden/>
          </w:rPr>
          <w:t>118</w:t>
        </w:r>
        <w:r w:rsidR="00294DC2">
          <w:rPr>
            <w:webHidden/>
          </w:rPr>
          <w:fldChar w:fldCharType="end"/>
        </w:r>
      </w:hyperlink>
    </w:p>
    <w:p w14:paraId="73838406" w14:textId="77777777" w:rsidR="00294DC2" w:rsidRDefault="00311E08">
      <w:pPr>
        <w:pStyle w:val="TOC3"/>
        <w:rPr>
          <w:rFonts w:asciiTheme="minorHAnsi" w:eastAsiaTheme="minorEastAsia" w:hAnsiTheme="minorHAnsi" w:cstheme="minorBidi"/>
          <w:color w:val="auto"/>
        </w:rPr>
      </w:pPr>
      <w:hyperlink w:anchor="_Toc400018595" w:history="1">
        <w:r w:rsidR="00294DC2" w:rsidRPr="00FB5042">
          <w:rPr>
            <w:rStyle w:val="Hyperlink"/>
          </w:rPr>
          <w:t>Transition of legacy over-the-top services to the NBN</w:t>
        </w:r>
        <w:r w:rsidR="00294DC2">
          <w:rPr>
            <w:webHidden/>
          </w:rPr>
          <w:tab/>
        </w:r>
        <w:r w:rsidR="00294DC2">
          <w:rPr>
            <w:webHidden/>
          </w:rPr>
          <w:fldChar w:fldCharType="begin"/>
        </w:r>
        <w:r w:rsidR="00294DC2">
          <w:rPr>
            <w:webHidden/>
          </w:rPr>
          <w:instrText xml:space="preserve"> PAGEREF _Toc400018595 \h </w:instrText>
        </w:r>
        <w:r w:rsidR="00294DC2">
          <w:rPr>
            <w:webHidden/>
          </w:rPr>
        </w:r>
        <w:r w:rsidR="00294DC2">
          <w:rPr>
            <w:webHidden/>
          </w:rPr>
          <w:fldChar w:fldCharType="separate"/>
        </w:r>
        <w:r w:rsidR="00294DC2">
          <w:rPr>
            <w:webHidden/>
          </w:rPr>
          <w:t>118</w:t>
        </w:r>
        <w:r w:rsidR="00294DC2">
          <w:rPr>
            <w:webHidden/>
          </w:rPr>
          <w:fldChar w:fldCharType="end"/>
        </w:r>
      </w:hyperlink>
    </w:p>
    <w:p w14:paraId="176CD4C4" w14:textId="77777777" w:rsidR="00294DC2" w:rsidRDefault="00311E08">
      <w:pPr>
        <w:pStyle w:val="TOC3"/>
        <w:rPr>
          <w:rFonts w:asciiTheme="minorHAnsi" w:eastAsiaTheme="minorEastAsia" w:hAnsiTheme="minorHAnsi" w:cstheme="minorBidi"/>
          <w:color w:val="auto"/>
        </w:rPr>
      </w:pPr>
      <w:hyperlink w:anchor="_Toc400018596" w:history="1">
        <w:r w:rsidR="00294DC2" w:rsidRPr="00FB5042">
          <w:rPr>
            <w:rStyle w:val="Hyperlink"/>
          </w:rPr>
          <w:t>NBN-related web materials</w:t>
        </w:r>
        <w:r w:rsidR="00294DC2">
          <w:rPr>
            <w:webHidden/>
          </w:rPr>
          <w:tab/>
        </w:r>
        <w:r w:rsidR="00294DC2">
          <w:rPr>
            <w:webHidden/>
          </w:rPr>
          <w:fldChar w:fldCharType="begin"/>
        </w:r>
        <w:r w:rsidR="00294DC2">
          <w:rPr>
            <w:webHidden/>
          </w:rPr>
          <w:instrText xml:space="preserve"> PAGEREF _Toc400018596 \h </w:instrText>
        </w:r>
        <w:r w:rsidR="00294DC2">
          <w:rPr>
            <w:webHidden/>
          </w:rPr>
        </w:r>
        <w:r w:rsidR="00294DC2">
          <w:rPr>
            <w:webHidden/>
          </w:rPr>
          <w:fldChar w:fldCharType="separate"/>
        </w:r>
        <w:r w:rsidR="00294DC2">
          <w:rPr>
            <w:webHidden/>
          </w:rPr>
          <w:t>118</w:t>
        </w:r>
        <w:r w:rsidR="00294DC2">
          <w:rPr>
            <w:webHidden/>
          </w:rPr>
          <w:fldChar w:fldCharType="end"/>
        </w:r>
      </w:hyperlink>
    </w:p>
    <w:p w14:paraId="452B1CF9" w14:textId="77777777" w:rsidR="00294DC2" w:rsidRDefault="00311E08">
      <w:pPr>
        <w:pStyle w:val="TOC3"/>
        <w:rPr>
          <w:rFonts w:asciiTheme="minorHAnsi" w:eastAsiaTheme="minorEastAsia" w:hAnsiTheme="minorHAnsi" w:cstheme="minorBidi"/>
          <w:color w:val="auto"/>
        </w:rPr>
      </w:pPr>
      <w:hyperlink w:anchor="_Toc400018597" w:history="1">
        <w:r w:rsidR="00294DC2" w:rsidRPr="00FB5042">
          <w:rPr>
            <w:rStyle w:val="Hyperlink"/>
          </w:rPr>
          <w:t>Local presence plan</w:t>
        </w:r>
        <w:r w:rsidR="00294DC2">
          <w:rPr>
            <w:webHidden/>
          </w:rPr>
          <w:tab/>
        </w:r>
        <w:r w:rsidR="00294DC2">
          <w:rPr>
            <w:webHidden/>
          </w:rPr>
          <w:fldChar w:fldCharType="begin"/>
        </w:r>
        <w:r w:rsidR="00294DC2">
          <w:rPr>
            <w:webHidden/>
          </w:rPr>
          <w:instrText xml:space="preserve"> PAGEREF _Toc400018597 \h </w:instrText>
        </w:r>
        <w:r w:rsidR="00294DC2">
          <w:rPr>
            <w:webHidden/>
          </w:rPr>
        </w:r>
        <w:r w:rsidR="00294DC2">
          <w:rPr>
            <w:webHidden/>
          </w:rPr>
          <w:fldChar w:fldCharType="separate"/>
        </w:r>
        <w:r w:rsidR="00294DC2">
          <w:rPr>
            <w:webHidden/>
          </w:rPr>
          <w:t>118</w:t>
        </w:r>
        <w:r w:rsidR="00294DC2">
          <w:rPr>
            <w:webHidden/>
          </w:rPr>
          <w:fldChar w:fldCharType="end"/>
        </w:r>
      </w:hyperlink>
    </w:p>
    <w:p w14:paraId="22035806" w14:textId="77777777" w:rsidR="00294DC2" w:rsidRDefault="00311E08">
      <w:pPr>
        <w:pStyle w:val="TOC3"/>
        <w:rPr>
          <w:rFonts w:asciiTheme="minorHAnsi" w:eastAsiaTheme="minorEastAsia" w:hAnsiTheme="minorHAnsi" w:cstheme="minorBidi"/>
          <w:color w:val="auto"/>
        </w:rPr>
      </w:pPr>
      <w:hyperlink w:anchor="_Toc400018598" w:history="1">
        <w:r w:rsidR="00294DC2" w:rsidRPr="00FB5042">
          <w:rPr>
            <w:rStyle w:val="Hyperlink"/>
            <w:i/>
          </w:rPr>
          <w:t>Reconnecting the Customer</w:t>
        </w:r>
        <w:r w:rsidR="00294DC2" w:rsidRPr="00FB5042">
          <w:rPr>
            <w:rStyle w:val="Hyperlink"/>
          </w:rPr>
          <w:t xml:space="preserve"> Mobile Network Performance Forum</w:t>
        </w:r>
        <w:r w:rsidR="00294DC2">
          <w:rPr>
            <w:webHidden/>
          </w:rPr>
          <w:tab/>
        </w:r>
        <w:r w:rsidR="00294DC2">
          <w:rPr>
            <w:webHidden/>
          </w:rPr>
          <w:fldChar w:fldCharType="begin"/>
        </w:r>
        <w:r w:rsidR="00294DC2">
          <w:rPr>
            <w:webHidden/>
          </w:rPr>
          <w:instrText xml:space="preserve"> PAGEREF _Toc400018598 \h </w:instrText>
        </w:r>
        <w:r w:rsidR="00294DC2">
          <w:rPr>
            <w:webHidden/>
          </w:rPr>
        </w:r>
        <w:r w:rsidR="00294DC2">
          <w:rPr>
            <w:webHidden/>
          </w:rPr>
          <w:fldChar w:fldCharType="separate"/>
        </w:r>
        <w:r w:rsidR="00294DC2">
          <w:rPr>
            <w:webHidden/>
          </w:rPr>
          <w:t>118</w:t>
        </w:r>
        <w:r w:rsidR="00294DC2">
          <w:rPr>
            <w:webHidden/>
          </w:rPr>
          <w:fldChar w:fldCharType="end"/>
        </w:r>
      </w:hyperlink>
    </w:p>
    <w:p w14:paraId="7554904E" w14:textId="77777777" w:rsidR="00294DC2" w:rsidRDefault="00311E08">
      <w:pPr>
        <w:pStyle w:val="TOC3"/>
        <w:rPr>
          <w:rFonts w:asciiTheme="minorHAnsi" w:eastAsiaTheme="minorEastAsia" w:hAnsiTheme="minorHAnsi" w:cstheme="minorBidi"/>
          <w:color w:val="auto"/>
        </w:rPr>
      </w:pPr>
      <w:hyperlink w:anchor="_Toc400018599" w:history="1">
        <w:r w:rsidR="00294DC2" w:rsidRPr="00FB5042">
          <w:rPr>
            <w:rStyle w:val="Hyperlink"/>
          </w:rPr>
          <w:t>Consumer Consultative Forum</w:t>
        </w:r>
        <w:r w:rsidR="00294DC2">
          <w:rPr>
            <w:webHidden/>
          </w:rPr>
          <w:tab/>
        </w:r>
        <w:r w:rsidR="00294DC2">
          <w:rPr>
            <w:webHidden/>
          </w:rPr>
          <w:fldChar w:fldCharType="begin"/>
        </w:r>
        <w:r w:rsidR="00294DC2">
          <w:rPr>
            <w:webHidden/>
          </w:rPr>
          <w:instrText xml:space="preserve"> PAGEREF _Toc400018599 \h </w:instrText>
        </w:r>
        <w:r w:rsidR="00294DC2">
          <w:rPr>
            <w:webHidden/>
          </w:rPr>
        </w:r>
        <w:r w:rsidR="00294DC2">
          <w:rPr>
            <w:webHidden/>
          </w:rPr>
          <w:fldChar w:fldCharType="separate"/>
        </w:r>
        <w:r w:rsidR="00294DC2">
          <w:rPr>
            <w:webHidden/>
          </w:rPr>
          <w:t>119</w:t>
        </w:r>
        <w:r w:rsidR="00294DC2">
          <w:rPr>
            <w:webHidden/>
          </w:rPr>
          <w:fldChar w:fldCharType="end"/>
        </w:r>
      </w:hyperlink>
    </w:p>
    <w:p w14:paraId="4830EE08" w14:textId="77777777" w:rsidR="00294DC2" w:rsidRDefault="00311E08">
      <w:pPr>
        <w:pStyle w:val="TOC3"/>
        <w:rPr>
          <w:rFonts w:asciiTheme="minorHAnsi" w:eastAsiaTheme="minorEastAsia" w:hAnsiTheme="minorHAnsi" w:cstheme="minorBidi"/>
          <w:color w:val="auto"/>
        </w:rPr>
      </w:pPr>
      <w:hyperlink w:anchor="_Toc400018600" w:history="1">
        <w:r w:rsidR="00294DC2" w:rsidRPr="00FB5042">
          <w:rPr>
            <w:rStyle w:val="Hyperlink"/>
          </w:rPr>
          <w:t>Do Not Call Register</w:t>
        </w:r>
        <w:r w:rsidR="00294DC2">
          <w:rPr>
            <w:webHidden/>
          </w:rPr>
          <w:tab/>
        </w:r>
        <w:r w:rsidR="00294DC2">
          <w:rPr>
            <w:webHidden/>
          </w:rPr>
          <w:fldChar w:fldCharType="begin"/>
        </w:r>
        <w:r w:rsidR="00294DC2">
          <w:rPr>
            <w:webHidden/>
          </w:rPr>
          <w:instrText xml:space="preserve"> PAGEREF _Toc400018600 \h </w:instrText>
        </w:r>
        <w:r w:rsidR="00294DC2">
          <w:rPr>
            <w:webHidden/>
          </w:rPr>
        </w:r>
        <w:r w:rsidR="00294DC2">
          <w:rPr>
            <w:webHidden/>
          </w:rPr>
          <w:fldChar w:fldCharType="separate"/>
        </w:r>
        <w:r w:rsidR="00294DC2">
          <w:rPr>
            <w:webHidden/>
          </w:rPr>
          <w:t>119</w:t>
        </w:r>
        <w:r w:rsidR="00294DC2">
          <w:rPr>
            <w:webHidden/>
          </w:rPr>
          <w:fldChar w:fldCharType="end"/>
        </w:r>
      </w:hyperlink>
    </w:p>
    <w:p w14:paraId="18287FC0" w14:textId="77777777" w:rsidR="00294DC2" w:rsidRDefault="00311E08">
      <w:pPr>
        <w:pStyle w:val="TOC3"/>
        <w:rPr>
          <w:rFonts w:asciiTheme="minorHAnsi" w:eastAsiaTheme="minorEastAsia" w:hAnsiTheme="minorHAnsi" w:cstheme="minorBidi"/>
          <w:color w:val="auto"/>
        </w:rPr>
      </w:pPr>
      <w:hyperlink w:anchor="_Toc400018601" w:history="1">
        <w:r w:rsidR="00294DC2" w:rsidRPr="00FB5042">
          <w:rPr>
            <w:rStyle w:val="Hyperlink"/>
          </w:rPr>
          <w:t>Protection of consumer information</w:t>
        </w:r>
        <w:r w:rsidR="00294DC2">
          <w:rPr>
            <w:webHidden/>
          </w:rPr>
          <w:tab/>
        </w:r>
        <w:r w:rsidR="00294DC2">
          <w:rPr>
            <w:webHidden/>
          </w:rPr>
          <w:fldChar w:fldCharType="begin"/>
        </w:r>
        <w:r w:rsidR="00294DC2">
          <w:rPr>
            <w:webHidden/>
          </w:rPr>
          <w:instrText xml:space="preserve"> PAGEREF _Toc400018601 \h </w:instrText>
        </w:r>
        <w:r w:rsidR="00294DC2">
          <w:rPr>
            <w:webHidden/>
          </w:rPr>
        </w:r>
        <w:r w:rsidR="00294DC2">
          <w:rPr>
            <w:webHidden/>
          </w:rPr>
          <w:fldChar w:fldCharType="separate"/>
        </w:r>
        <w:r w:rsidR="00294DC2">
          <w:rPr>
            <w:webHidden/>
          </w:rPr>
          <w:t>120</w:t>
        </w:r>
        <w:r w:rsidR="00294DC2">
          <w:rPr>
            <w:webHidden/>
          </w:rPr>
          <w:fldChar w:fldCharType="end"/>
        </w:r>
      </w:hyperlink>
    </w:p>
    <w:p w14:paraId="64B9B03B" w14:textId="77777777" w:rsidR="00294DC2" w:rsidRDefault="00311E08">
      <w:pPr>
        <w:pStyle w:val="TOC3"/>
        <w:rPr>
          <w:rFonts w:asciiTheme="minorHAnsi" w:eastAsiaTheme="minorEastAsia" w:hAnsiTheme="minorHAnsi" w:cstheme="minorBidi"/>
          <w:color w:val="auto"/>
        </w:rPr>
      </w:pPr>
      <w:hyperlink w:anchor="_Toc400018602" w:history="1">
        <w:r w:rsidR="00294DC2" w:rsidRPr="00FB5042">
          <w:rPr>
            <w:rStyle w:val="Hyperlink"/>
          </w:rPr>
          <w:t>Review of ‘190’ phone service rules</w:t>
        </w:r>
        <w:r w:rsidR="00294DC2">
          <w:rPr>
            <w:webHidden/>
          </w:rPr>
          <w:tab/>
        </w:r>
        <w:r w:rsidR="00294DC2">
          <w:rPr>
            <w:webHidden/>
          </w:rPr>
          <w:fldChar w:fldCharType="begin"/>
        </w:r>
        <w:r w:rsidR="00294DC2">
          <w:rPr>
            <w:webHidden/>
          </w:rPr>
          <w:instrText xml:space="preserve"> PAGEREF _Toc400018602 \h </w:instrText>
        </w:r>
        <w:r w:rsidR="00294DC2">
          <w:rPr>
            <w:webHidden/>
          </w:rPr>
        </w:r>
        <w:r w:rsidR="00294DC2">
          <w:rPr>
            <w:webHidden/>
          </w:rPr>
          <w:fldChar w:fldCharType="separate"/>
        </w:r>
        <w:r w:rsidR="00294DC2">
          <w:rPr>
            <w:webHidden/>
          </w:rPr>
          <w:t>121</w:t>
        </w:r>
        <w:r w:rsidR="00294DC2">
          <w:rPr>
            <w:webHidden/>
          </w:rPr>
          <w:fldChar w:fldCharType="end"/>
        </w:r>
      </w:hyperlink>
    </w:p>
    <w:p w14:paraId="42AAAC36" w14:textId="77777777" w:rsidR="00294DC2" w:rsidRDefault="00311E08">
      <w:pPr>
        <w:pStyle w:val="TOC2"/>
        <w:rPr>
          <w:rFonts w:asciiTheme="minorHAnsi" w:eastAsiaTheme="minorEastAsia" w:hAnsiTheme="minorHAnsi" w:cstheme="minorBidi"/>
          <w:color w:val="auto"/>
          <w:spacing w:val="0"/>
          <w:sz w:val="22"/>
          <w:szCs w:val="22"/>
        </w:rPr>
      </w:pPr>
      <w:hyperlink w:anchor="_Toc400018603" w:history="1">
        <w:r w:rsidR="00294DC2" w:rsidRPr="00FB5042">
          <w:rPr>
            <w:rStyle w:val="Hyperlink"/>
          </w:rPr>
          <w:t>Community awareness</w:t>
        </w:r>
        <w:r w:rsidR="00294DC2">
          <w:rPr>
            <w:webHidden/>
          </w:rPr>
          <w:tab/>
        </w:r>
        <w:r w:rsidR="00294DC2">
          <w:rPr>
            <w:webHidden/>
          </w:rPr>
          <w:fldChar w:fldCharType="begin"/>
        </w:r>
        <w:r w:rsidR="00294DC2">
          <w:rPr>
            <w:webHidden/>
          </w:rPr>
          <w:instrText xml:space="preserve"> PAGEREF _Toc400018603 \h </w:instrText>
        </w:r>
        <w:r w:rsidR="00294DC2">
          <w:rPr>
            <w:webHidden/>
          </w:rPr>
        </w:r>
        <w:r w:rsidR="00294DC2">
          <w:rPr>
            <w:webHidden/>
          </w:rPr>
          <w:fldChar w:fldCharType="separate"/>
        </w:r>
        <w:r w:rsidR="00294DC2">
          <w:rPr>
            <w:webHidden/>
          </w:rPr>
          <w:t>121</w:t>
        </w:r>
        <w:r w:rsidR="00294DC2">
          <w:rPr>
            <w:webHidden/>
          </w:rPr>
          <w:fldChar w:fldCharType="end"/>
        </w:r>
      </w:hyperlink>
    </w:p>
    <w:p w14:paraId="289D7939" w14:textId="77777777" w:rsidR="00294DC2" w:rsidRDefault="00311E08">
      <w:pPr>
        <w:pStyle w:val="TOC3"/>
        <w:rPr>
          <w:rFonts w:asciiTheme="minorHAnsi" w:eastAsiaTheme="minorEastAsia" w:hAnsiTheme="minorHAnsi" w:cstheme="minorBidi"/>
          <w:color w:val="auto"/>
        </w:rPr>
      </w:pPr>
      <w:hyperlink w:anchor="_Toc400018604" w:history="1">
        <w:r w:rsidR="00294DC2" w:rsidRPr="00FB5042">
          <w:rPr>
            <w:rStyle w:val="Hyperlink"/>
          </w:rPr>
          <w:t>Cybersafety—the Cybersmart program</w:t>
        </w:r>
        <w:r w:rsidR="00294DC2">
          <w:rPr>
            <w:webHidden/>
          </w:rPr>
          <w:tab/>
        </w:r>
        <w:r w:rsidR="00294DC2">
          <w:rPr>
            <w:webHidden/>
          </w:rPr>
          <w:fldChar w:fldCharType="begin"/>
        </w:r>
        <w:r w:rsidR="00294DC2">
          <w:rPr>
            <w:webHidden/>
          </w:rPr>
          <w:instrText xml:space="preserve"> PAGEREF _Toc400018604 \h </w:instrText>
        </w:r>
        <w:r w:rsidR="00294DC2">
          <w:rPr>
            <w:webHidden/>
          </w:rPr>
        </w:r>
        <w:r w:rsidR="00294DC2">
          <w:rPr>
            <w:webHidden/>
          </w:rPr>
          <w:fldChar w:fldCharType="separate"/>
        </w:r>
        <w:r w:rsidR="00294DC2">
          <w:rPr>
            <w:webHidden/>
          </w:rPr>
          <w:t>121</w:t>
        </w:r>
        <w:r w:rsidR="00294DC2">
          <w:rPr>
            <w:webHidden/>
          </w:rPr>
          <w:fldChar w:fldCharType="end"/>
        </w:r>
      </w:hyperlink>
    </w:p>
    <w:p w14:paraId="3C403EDF" w14:textId="77777777" w:rsidR="00294DC2" w:rsidRDefault="00311E08">
      <w:pPr>
        <w:pStyle w:val="TOC3"/>
        <w:rPr>
          <w:rFonts w:asciiTheme="minorHAnsi" w:eastAsiaTheme="minorEastAsia" w:hAnsiTheme="minorHAnsi" w:cstheme="minorBidi"/>
          <w:color w:val="auto"/>
        </w:rPr>
      </w:pPr>
      <w:hyperlink w:anchor="_Toc400018605" w:history="1">
        <w:r w:rsidR="00294DC2" w:rsidRPr="00FB5042">
          <w:rPr>
            <w:rStyle w:val="Hyperlink"/>
            <w:i/>
          </w:rPr>
          <w:t>Digital citizens guide</w:t>
        </w:r>
        <w:r w:rsidR="00294DC2">
          <w:rPr>
            <w:webHidden/>
          </w:rPr>
          <w:tab/>
        </w:r>
        <w:r w:rsidR="00294DC2">
          <w:rPr>
            <w:webHidden/>
          </w:rPr>
          <w:fldChar w:fldCharType="begin"/>
        </w:r>
        <w:r w:rsidR="00294DC2">
          <w:rPr>
            <w:webHidden/>
          </w:rPr>
          <w:instrText xml:space="preserve"> PAGEREF _Toc400018605 \h </w:instrText>
        </w:r>
        <w:r w:rsidR="00294DC2">
          <w:rPr>
            <w:webHidden/>
          </w:rPr>
        </w:r>
        <w:r w:rsidR="00294DC2">
          <w:rPr>
            <w:webHidden/>
          </w:rPr>
          <w:fldChar w:fldCharType="separate"/>
        </w:r>
        <w:r w:rsidR="00294DC2">
          <w:rPr>
            <w:webHidden/>
          </w:rPr>
          <w:t>125</w:t>
        </w:r>
        <w:r w:rsidR="00294DC2">
          <w:rPr>
            <w:webHidden/>
          </w:rPr>
          <w:fldChar w:fldCharType="end"/>
        </w:r>
      </w:hyperlink>
    </w:p>
    <w:p w14:paraId="07B8CF93" w14:textId="77777777" w:rsidR="00294DC2" w:rsidRDefault="00311E08">
      <w:pPr>
        <w:pStyle w:val="TOC2"/>
        <w:rPr>
          <w:rFonts w:asciiTheme="minorHAnsi" w:eastAsiaTheme="minorEastAsia" w:hAnsiTheme="minorHAnsi" w:cstheme="minorBidi"/>
          <w:color w:val="auto"/>
          <w:spacing w:val="0"/>
          <w:sz w:val="22"/>
          <w:szCs w:val="22"/>
        </w:rPr>
      </w:pPr>
      <w:hyperlink w:anchor="_Toc400018606" w:history="1">
        <w:r w:rsidR="00294DC2" w:rsidRPr="00FB5042">
          <w:rPr>
            <w:rStyle w:val="Hyperlink"/>
          </w:rPr>
          <w:t>Research and reporting</w:t>
        </w:r>
        <w:r w:rsidR="00294DC2">
          <w:rPr>
            <w:webHidden/>
          </w:rPr>
          <w:tab/>
        </w:r>
        <w:r w:rsidR="00294DC2">
          <w:rPr>
            <w:webHidden/>
          </w:rPr>
          <w:fldChar w:fldCharType="begin"/>
        </w:r>
        <w:r w:rsidR="00294DC2">
          <w:rPr>
            <w:webHidden/>
          </w:rPr>
          <w:instrText xml:space="preserve"> PAGEREF _Toc400018606 \h </w:instrText>
        </w:r>
        <w:r w:rsidR="00294DC2">
          <w:rPr>
            <w:webHidden/>
          </w:rPr>
        </w:r>
        <w:r w:rsidR="00294DC2">
          <w:rPr>
            <w:webHidden/>
          </w:rPr>
          <w:fldChar w:fldCharType="separate"/>
        </w:r>
        <w:r w:rsidR="00294DC2">
          <w:rPr>
            <w:webHidden/>
          </w:rPr>
          <w:t>125</w:t>
        </w:r>
        <w:r w:rsidR="00294DC2">
          <w:rPr>
            <w:webHidden/>
          </w:rPr>
          <w:fldChar w:fldCharType="end"/>
        </w:r>
      </w:hyperlink>
    </w:p>
    <w:p w14:paraId="57FFF6B8" w14:textId="77777777" w:rsidR="00294DC2" w:rsidRDefault="00311E08">
      <w:pPr>
        <w:pStyle w:val="TOC3"/>
        <w:rPr>
          <w:rFonts w:asciiTheme="minorHAnsi" w:eastAsiaTheme="minorEastAsia" w:hAnsiTheme="minorHAnsi" w:cstheme="minorBidi"/>
          <w:color w:val="auto"/>
        </w:rPr>
      </w:pPr>
      <w:hyperlink w:anchor="_Toc400018607" w:history="1">
        <w:r w:rsidR="00294DC2" w:rsidRPr="00FB5042">
          <w:rPr>
            <w:rStyle w:val="Hyperlink"/>
          </w:rPr>
          <w:t>Market developments</w:t>
        </w:r>
        <w:r w:rsidR="00294DC2">
          <w:rPr>
            <w:webHidden/>
          </w:rPr>
          <w:tab/>
        </w:r>
        <w:r w:rsidR="00294DC2">
          <w:rPr>
            <w:webHidden/>
          </w:rPr>
          <w:fldChar w:fldCharType="begin"/>
        </w:r>
        <w:r w:rsidR="00294DC2">
          <w:rPr>
            <w:webHidden/>
          </w:rPr>
          <w:instrText xml:space="preserve"> PAGEREF _Toc400018607 \h </w:instrText>
        </w:r>
        <w:r w:rsidR="00294DC2">
          <w:rPr>
            <w:webHidden/>
          </w:rPr>
        </w:r>
        <w:r w:rsidR="00294DC2">
          <w:rPr>
            <w:webHidden/>
          </w:rPr>
          <w:fldChar w:fldCharType="separate"/>
        </w:r>
        <w:r w:rsidR="00294DC2">
          <w:rPr>
            <w:webHidden/>
          </w:rPr>
          <w:t>125</w:t>
        </w:r>
        <w:r w:rsidR="00294DC2">
          <w:rPr>
            <w:webHidden/>
          </w:rPr>
          <w:fldChar w:fldCharType="end"/>
        </w:r>
      </w:hyperlink>
    </w:p>
    <w:p w14:paraId="11A8D327" w14:textId="77777777" w:rsidR="00294DC2" w:rsidRDefault="00311E08">
      <w:pPr>
        <w:pStyle w:val="TOC3"/>
        <w:rPr>
          <w:rFonts w:asciiTheme="minorHAnsi" w:eastAsiaTheme="minorEastAsia" w:hAnsiTheme="minorHAnsi" w:cstheme="minorBidi"/>
          <w:color w:val="auto"/>
        </w:rPr>
      </w:pPr>
      <w:hyperlink w:anchor="_Toc400018608" w:history="1">
        <w:r w:rsidR="00294DC2" w:rsidRPr="00FB5042">
          <w:rPr>
            <w:rStyle w:val="Hyperlink"/>
          </w:rPr>
          <w:t>Media content and culture</w:t>
        </w:r>
        <w:r w:rsidR="00294DC2">
          <w:rPr>
            <w:webHidden/>
          </w:rPr>
          <w:tab/>
        </w:r>
        <w:r w:rsidR="00294DC2">
          <w:rPr>
            <w:webHidden/>
          </w:rPr>
          <w:fldChar w:fldCharType="begin"/>
        </w:r>
        <w:r w:rsidR="00294DC2">
          <w:rPr>
            <w:webHidden/>
          </w:rPr>
          <w:instrText xml:space="preserve"> PAGEREF _Toc400018608 \h </w:instrText>
        </w:r>
        <w:r w:rsidR="00294DC2">
          <w:rPr>
            <w:webHidden/>
          </w:rPr>
        </w:r>
        <w:r w:rsidR="00294DC2">
          <w:rPr>
            <w:webHidden/>
          </w:rPr>
          <w:fldChar w:fldCharType="separate"/>
        </w:r>
        <w:r w:rsidR="00294DC2">
          <w:rPr>
            <w:webHidden/>
          </w:rPr>
          <w:t>126</w:t>
        </w:r>
        <w:r w:rsidR="00294DC2">
          <w:rPr>
            <w:webHidden/>
          </w:rPr>
          <w:fldChar w:fldCharType="end"/>
        </w:r>
      </w:hyperlink>
    </w:p>
    <w:p w14:paraId="14B93EA3" w14:textId="77777777" w:rsidR="00294DC2" w:rsidRDefault="00311E08">
      <w:pPr>
        <w:pStyle w:val="TOC3"/>
        <w:rPr>
          <w:rFonts w:asciiTheme="minorHAnsi" w:eastAsiaTheme="minorEastAsia" w:hAnsiTheme="minorHAnsi" w:cstheme="minorBidi"/>
          <w:color w:val="auto"/>
        </w:rPr>
      </w:pPr>
      <w:hyperlink w:anchor="_Toc400018609" w:history="1">
        <w:r w:rsidR="00294DC2" w:rsidRPr="00FB5042">
          <w:rPr>
            <w:rStyle w:val="Hyperlink"/>
          </w:rPr>
          <w:t>Social and economic participation</w:t>
        </w:r>
        <w:r w:rsidR="00294DC2">
          <w:rPr>
            <w:webHidden/>
          </w:rPr>
          <w:tab/>
        </w:r>
        <w:r w:rsidR="00294DC2">
          <w:rPr>
            <w:webHidden/>
          </w:rPr>
          <w:fldChar w:fldCharType="begin"/>
        </w:r>
        <w:r w:rsidR="00294DC2">
          <w:rPr>
            <w:webHidden/>
          </w:rPr>
          <w:instrText xml:space="preserve"> PAGEREF _Toc400018609 \h </w:instrText>
        </w:r>
        <w:r w:rsidR="00294DC2">
          <w:rPr>
            <w:webHidden/>
          </w:rPr>
        </w:r>
        <w:r w:rsidR="00294DC2">
          <w:rPr>
            <w:webHidden/>
          </w:rPr>
          <w:fldChar w:fldCharType="separate"/>
        </w:r>
        <w:r w:rsidR="00294DC2">
          <w:rPr>
            <w:webHidden/>
          </w:rPr>
          <w:t>127</w:t>
        </w:r>
        <w:r w:rsidR="00294DC2">
          <w:rPr>
            <w:webHidden/>
          </w:rPr>
          <w:fldChar w:fldCharType="end"/>
        </w:r>
      </w:hyperlink>
    </w:p>
    <w:p w14:paraId="21A4A0EC" w14:textId="77777777" w:rsidR="00294DC2" w:rsidRDefault="00311E08">
      <w:pPr>
        <w:pStyle w:val="TOC3"/>
        <w:rPr>
          <w:rFonts w:asciiTheme="minorHAnsi" w:eastAsiaTheme="minorEastAsia" w:hAnsiTheme="minorHAnsi" w:cstheme="minorBidi"/>
          <w:color w:val="auto"/>
        </w:rPr>
      </w:pPr>
      <w:hyperlink w:anchor="_Toc400018610" w:history="1">
        <w:r w:rsidR="00294DC2" w:rsidRPr="00FB5042">
          <w:rPr>
            <w:rStyle w:val="Hyperlink"/>
          </w:rPr>
          <w:t>Citizen and consumer safeguards</w:t>
        </w:r>
        <w:r w:rsidR="00294DC2">
          <w:rPr>
            <w:webHidden/>
          </w:rPr>
          <w:tab/>
        </w:r>
        <w:r w:rsidR="00294DC2">
          <w:rPr>
            <w:webHidden/>
          </w:rPr>
          <w:fldChar w:fldCharType="begin"/>
        </w:r>
        <w:r w:rsidR="00294DC2">
          <w:rPr>
            <w:webHidden/>
          </w:rPr>
          <w:instrText xml:space="preserve"> PAGEREF _Toc400018610 \h </w:instrText>
        </w:r>
        <w:r w:rsidR="00294DC2">
          <w:rPr>
            <w:webHidden/>
          </w:rPr>
        </w:r>
        <w:r w:rsidR="00294DC2">
          <w:rPr>
            <w:webHidden/>
          </w:rPr>
          <w:fldChar w:fldCharType="separate"/>
        </w:r>
        <w:r w:rsidR="00294DC2">
          <w:rPr>
            <w:webHidden/>
          </w:rPr>
          <w:t>128</w:t>
        </w:r>
        <w:r w:rsidR="00294DC2">
          <w:rPr>
            <w:webHidden/>
          </w:rPr>
          <w:fldChar w:fldCharType="end"/>
        </w:r>
      </w:hyperlink>
    </w:p>
    <w:p w14:paraId="43BE4FEE" w14:textId="77777777" w:rsidR="00294DC2" w:rsidRDefault="00311E08">
      <w:pPr>
        <w:pStyle w:val="TOC3"/>
        <w:rPr>
          <w:rFonts w:asciiTheme="minorHAnsi" w:eastAsiaTheme="minorEastAsia" w:hAnsiTheme="minorHAnsi" w:cstheme="minorBidi"/>
          <w:color w:val="auto"/>
        </w:rPr>
      </w:pPr>
      <w:hyperlink w:anchor="_Toc400018611" w:history="1">
        <w:r w:rsidR="00294DC2" w:rsidRPr="00FB5042">
          <w:rPr>
            <w:rStyle w:val="Hyperlink"/>
          </w:rPr>
          <w:t>Regulatory best practice and development</w:t>
        </w:r>
        <w:r w:rsidR="00294DC2">
          <w:rPr>
            <w:webHidden/>
          </w:rPr>
          <w:tab/>
        </w:r>
        <w:r w:rsidR="00294DC2">
          <w:rPr>
            <w:webHidden/>
          </w:rPr>
          <w:fldChar w:fldCharType="begin"/>
        </w:r>
        <w:r w:rsidR="00294DC2">
          <w:rPr>
            <w:webHidden/>
          </w:rPr>
          <w:instrText xml:space="preserve"> PAGEREF _Toc400018611 \h </w:instrText>
        </w:r>
        <w:r w:rsidR="00294DC2">
          <w:rPr>
            <w:webHidden/>
          </w:rPr>
        </w:r>
        <w:r w:rsidR="00294DC2">
          <w:rPr>
            <w:webHidden/>
          </w:rPr>
          <w:fldChar w:fldCharType="separate"/>
        </w:r>
        <w:r w:rsidR="00294DC2">
          <w:rPr>
            <w:webHidden/>
          </w:rPr>
          <w:t>129</w:t>
        </w:r>
        <w:r w:rsidR="00294DC2">
          <w:rPr>
            <w:webHidden/>
          </w:rPr>
          <w:fldChar w:fldCharType="end"/>
        </w:r>
      </w:hyperlink>
    </w:p>
    <w:p w14:paraId="770D4143" w14:textId="77777777" w:rsidR="00294DC2" w:rsidRDefault="00311E08">
      <w:pPr>
        <w:pStyle w:val="TOC1"/>
        <w:rPr>
          <w:rFonts w:asciiTheme="minorHAnsi" w:eastAsiaTheme="minorEastAsia" w:hAnsiTheme="minorHAnsi" w:cstheme="minorBidi"/>
          <w:b w:val="0"/>
          <w:color w:val="auto"/>
          <w:spacing w:val="0"/>
          <w:sz w:val="22"/>
          <w:szCs w:val="22"/>
        </w:rPr>
      </w:pPr>
      <w:hyperlink w:anchor="_Toc400018612" w:history="1">
        <w:r w:rsidR="00294DC2" w:rsidRPr="00FB5042">
          <w:rPr>
            <w:rStyle w:val="Hyperlink"/>
          </w:rPr>
          <w:t>Chapter 4: Managing and developing our resources</w:t>
        </w:r>
        <w:r w:rsidR="00294DC2">
          <w:rPr>
            <w:webHidden/>
          </w:rPr>
          <w:tab/>
        </w:r>
        <w:r w:rsidR="00294DC2">
          <w:rPr>
            <w:webHidden/>
          </w:rPr>
          <w:fldChar w:fldCharType="begin"/>
        </w:r>
        <w:r w:rsidR="00294DC2">
          <w:rPr>
            <w:webHidden/>
          </w:rPr>
          <w:instrText xml:space="preserve"> PAGEREF _Toc400018612 \h </w:instrText>
        </w:r>
        <w:r w:rsidR="00294DC2">
          <w:rPr>
            <w:webHidden/>
          </w:rPr>
        </w:r>
        <w:r w:rsidR="00294DC2">
          <w:rPr>
            <w:webHidden/>
          </w:rPr>
          <w:fldChar w:fldCharType="separate"/>
        </w:r>
        <w:r w:rsidR="00294DC2">
          <w:rPr>
            <w:webHidden/>
          </w:rPr>
          <w:t>131</w:t>
        </w:r>
        <w:r w:rsidR="00294DC2">
          <w:rPr>
            <w:webHidden/>
          </w:rPr>
          <w:fldChar w:fldCharType="end"/>
        </w:r>
      </w:hyperlink>
    </w:p>
    <w:p w14:paraId="528DA571" w14:textId="77777777" w:rsidR="00294DC2" w:rsidRDefault="00311E08">
      <w:pPr>
        <w:pStyle w:val="TOC2"/>
        <w:rPr>
          <w:rFonts w:asciiTheme="minorHAnsi" w:eastAsiaTheme="minorEastAsia" w:hAnsiTheme="minorHAnsi" w:cstheme="minorBidi"/>
          <w:color w:val="auto"/>
          <w:spacing w:val="0"/>
          <w:sz w:val="22"/>
          <w:szCs w:val="22"/>
        </w:rPr>
      </w:pPr>
      <w:hyperlink w:anchor="_Toc400018613" w:history="1">
        <w:r w:rsidR="00294DC2" w:rsidRPr="00FB5042">
          <w:rPr>
            <w:rStyle w:val="Hyperlink"/>
          </w:rPr>
          <w:t>Governance</w:t>
        </w:r>
        <w:r w:rsidR="00294DC2">
          <w:rPr>
            <w:webHidden/>
          </w:rPr>
          <w:tab/>
        </w:r>
        <w:r w:rsidR="00294DC2">
          <w:rPr>
            <w:webHidden/>
          </w:rPr>
          <w:fldChar w:fldCharType="begin"/>
        </w:r>
        <w:r w:rsidR="00294DC2">
          <w:rPr>
            <w:webHidden/>
          </w:rPr>
          <w:instrText xml:space="preserve"> PAGEREF _Toc400018613 \h </w:instrText>
        </w:r>
        <w:r w:rsidR="00294DC2">
          <w:rPr>
            <w:webHidden/>
          </w:rPr>
        </w:r>
        <w:r w:rsidR="00294DC2">
          <w:rPr>
            <w:webHidden/>
          </w:rPr>
          <w:fldChar w:fldCharType="separate"/>
        </w:r>
        <w:r w:rsidR="00294DC2">
          <w:rPr>
            <w:webHidden/>
          </w:rPr>
          <w:t>131</w:t>
        </w:r>
        <w:r w:rsidR="00294DC2">
          <w:rPr>
            <w:webHidden/>
          </w:rPr>
          <w:fldChar w:fldCharType="end"/>
        </w:r>
      </w:hyperlink>
    </w:p>
    <w:p w14:paraId="1F10D4DE" w14:textId="77777777" w:rsidR="00294DC2" w:rsidRDefault="00311E08">
      <w:pPr>
        <w:pStyle w:val="TOC3"/>
        <w:rPr>
          <w:rFonts w:asciiTheme="minorHAnsi" w:eastAsiaTheme="minorEastAsia" w:hAnsiTheme="minorHAnsi" w:cstheme="minorBidi"/>
          <w:color w:val="auto"/>
        </w:rPr>
      </w:pPr>
      <w:hyperlink w:anchor="_Toc400018614" w:history="1">
        <w:r w:rsidR="00294DC2" w:rsidRPr="00FB5042">
          <w:rPr>
            <w:rStyle w:val="Hyperlink"/>
          </w:rPr>
          <w:t>Corporate planning</w:t>
        </w:r>
        <w:r w:rsidR="00294DC2">
          <w:rPr>
            <w:webHidden/>
          </w:rPr>
          <w:tab/>
        </w:r>
        <w:r w:rsidR="00294DC2">
          <w:rPr>
            <w:webHidden/>
          </w:rPr>
          <w:fldChar w:fldCharType="begin"/>
        </w:r>
        <w:r w:rsidR="00294DC2">
          <w:rPr>
            <w:webHidden/>
          </w:rPr>
          <w:instrText xml:space="preserve"> PAGEREF _Toc400018614 \h </w:instrText>
        </w:r>
        <w:r w:rsidR="00294DC2">
          <w:rPr>
            <w:webHidden/>
          </w:rPr>
        </w:r>
        <w:r w:rsidR="00294DC2">
          <w:rPr>
            <w:webHidden/>
          </w:rPr>
          <w:fldChar w:fldCharType="separate"/>
        </w:r>
        <w:r w:rsidR="00294DC2">
          <w:rPr>
            <w:webHidden/>
          </w:rPr>
          <w:t>131</w:t>
        </w:r>
        <w:r w:rsidR="00294DC2">
          <w:rPr>
            <w:webHidden/>
          </w:rPr>
          <w:fldChar w:fldCharType="end"/>
        </w:r>
      </w:hyperlink>
    </w:p>
    <w:p w14:paraId="63C302F1" w14:textId="77777777" w:rsidR="00294DC2" w:rsidRDefault="00311E08">
      <w:pPr>
        <w:pStyle w:val="TOC3"/>
        <w:rPr>
          <w:rFonts w:asciiTheme="minorHAnsi" w:eastAsiaTheme="minorEastAsia" w:hAnsiTheme="minorHAnsi" w:cstheme="minorBidi"/>
          <w:color w:val="auto"/>
        </w:rPr>
      </w:pPr>
      <w:hyperlink w:anchor="_Toc400018615" w:history="1">
        <w:r w:rsidR="00294DC2" w:rsidRPr="00FB5042">
          <w:rPr>
            <w:rStyle w:val="Hyperlink"/>
          </w:rPr>
          <w:t>Risk management</w:t>
        </w:r>
        <w:r w:rsidR="00294DC2">
          <w:rPr>
            <w:webHidden/>
          </w:rPr>
          <w:tab/>
        </w:r>
        <w:r w:rsidR="00294DC2">
          <w:rPr>
            <w:webHidden/>
          </w:rPr>
          <w:fldChar w:fldCharType="begin"/>
        </w:r>
        <w:r w:rsidR="00294DC2">
          <w:rPr>
            <w:webHidden/>
          </w:rPr>
          <w:instrText xml:space="preserve"> PAGEREF _Toc400018615 \h </w:instrText>
        </w:r>
        <w:r w:rsidR="00294DC2">
          <w:rPr>
            <w:webHidden/>
          </w:rPr>
        </w:r>
        <w:r w:rsidR="00294DC2">
          <w:rPr>
            <w:webHidden/>
          </w:rPr>
          <w:fldChar w:fldCharType="separate"/>
        </w:r>
        <w:r w:rsidR="00294DC2">
          <w:rPr>
            <w:webHidden/>
          </w:rPr>
          <w:t>131</w:t>
        </w:r>
        <w:r w:rsidR="00294DC2">
          <w:rPr>
            <w:webHidden/>
          </w:rPr>
          <w:fldChar w:fldCharType="end"/>
        </w:r>
      </w:hyperlink>
    </w:p>
    <w:p w14:paraId="4B54BD87" w14:textId="77777777" w:rsidR="00294DC2" w:rsidRDefault="00311E08">
      <w:pPr>
        <w:pStyle w:val="TOC3"/>
        <w:rPr>
          <w:rFonts w:asciiTheme="minorHAnsi" w:eastAsiaTheme="minorEastAsia" w:hAnsiTheme="minorHAnsi" w:cstheme="minorBidi"/>
          <w:color w:val="auto"/>
        </w:rPr>
      </w:pPr>
      <w:hyperlink w:anchor="_Toc400018616" w:history="1">
        <w:r w:rsidR="00294DC2" w:rsidRPr="00FB5042">
          <w:rPr>
            <w:rStyle w:val="Hyperlink"/>
          </w:rPr>
          <w:t>Audit</w:t>
        </w:r>
        <w:r w:rsidR="00294DC2">
          <w:rPr>
            <w:webHidden/>
          </w:rPr>
          <w:tab/>
        </w:r>
        <w:r w:rsidR="00294DC2">
          <w:rPr>
            <w:webHidden/>
          </w:rPr>
          <w:fldChar w:fldCharType="begin"/>
        </w:r>
        <w:r w:rsidR="00294DC2">
          <w:rPr>
            <w:webHidden/>
          </w:rPr>
          <w:instrText xml:space="preserve"> PAGEREF _Toc400018616 \h </w:instrText>
        </w:r>
        <w:r w:rsidR="00294DC2">
          <w:rPr>
            <w:webHidden/>
          </w:rPr>
        </w:r>
        <w:r w:rsidR="00294DC2">
          <w:rPr>
            <w:webHidden/>
          </w:rPr>
          <w:fldChar w:fldCharType="separate"/>
        </w:r>
        <w:r w:rsidR="00294DC2">
          <w:rPr>
            <w:webHidden/>
          </w:rPr>
          <w:t>132</w:t>
        </w:r>
        <w:r w:rsidR="00294DC2">
          <w:rPr>
            <w:webHidden/>
          </w:rPr>
          <w:fldChar w:fldCharType="end"/>
        </w:r>
      </w:hyperlink>
    </w:p>
    <w:p w14:paraId="0CF7C60D" w14:textId="77777777" w:rsidR="00294DC2" w:rsidRDefault="00311E08">
      <w:pPr>
        <w:pStyle w:val="TOC3"/>
        <w:rPr>
          <w:rFonts w:asciiTheme="minorHAnsi" w:eastAsiaTheme="minorEastAsia" w:hAnsiTheme="minorHAnsi" w:cstheme="minorBidi"/>
          <w:color w:val="auto"/>
        </w:rPr>
      </w:pPr>
      <w:hyperlink w:anchor="_Toc400018617" w:history="1">
        <w:r w:rsidR="00294DC2" w:rsidRPr="00FB5042">
          <w:rPr>
            <w:rStyle w:val="Hyperlink"/>
          </w:rPr>
          <w:t>Security</w:t>
        </w:r>
        <w:r w:rsidR="00294DC2">
          <w:rPr>
            <w:webHidden/>
          </w:rPr>
          <w:tab/>
        </w:r>
        <w:r w:rsidR="00294DC2">
          <w:rPr>
            <w:webHidden/>
          </w:rPr>
          <w:fldChar w:fldCharType="begin"/>
        </w:r>
        <w:r w:rsidR="00294DC2">
          <w:rPr>
            <w:webHidden/>
          </w:rPr>
          <w:instrText xml:space="preserve"> PAGEREF _Toc400018617 \h </w:instrText>
        </w:r>
        <w:r w:rsidR="00294DC2">
          <w:rPr>
            <w:webHidden/>
          </w:rPr>
        </w:r>
        <w:r w:rsidR="00294DC2">
          <w:rPr>
            <w:webHidden/>
          </w:rPr>
          <w:fldChar w:fldCharType="separate"/>
        </w:r>
        <w:r w:rsidR="00294DC2">
          <w:rPr>
            <w:webHidden/>
          </w:rPr>
          <w:t>132</w:t>
        </w:r>
        <w:r w:rsidR="00294DC2">
          <w:rPr>
            <w:webHidden/>
          </w:rPr>
          <w:fldChar w:fldCharType="end"/>
        </w:r>
      </w:hyperlink>
    </w:p>
    <w:p w14:paraId="1875AAAE" w14:textId="77777777" w:rsidR="00294DC2" w:rsidRDefault="00311E08">
      <w:pPr>
        <w:pStyle w:val="TOC2"/>
        <w:rPr>
          <w:rFonts w:asciiTheme="minorHAnsi" w:eastAsiaTheme="minorEastAsia" w:hAnsiTheme="minorHAnsi" w:cstheme="minorBidi"/>
          <w:color w:val="auto"/>
          <w:spacing w:val="0"/>
          <w:sz w:val="22"/>
          <w:szCs w:val="22"/>
        </w:rPr>
      </w:pPr>
      <w:hyperlink w:anchor="_Toc400018618" w:history="1">
        <w:r w:rsidR="00294DC2" w:rsidRPr="00FB5042">
          <w:rPr>
            <w:rStyle w:val="Hyperlink"/>
          </w:rPr>
          <w:t>Our people</w:t>
        </w:r>
        <w:r w:rsidR="00294DC2">
          <w:rPr>
            <w:webHidden/>
          </w:rPr>
          <w:tab/>
        </w:r>
        <w:r w:rsidR="00294DC2">
          <w:rPr>
            <w:webHidden/>
          </w:rPr>
          <w:fldChar w:fldCharType="begin"/>
        </w:r>
        <w:r w:rsidR="00294DC2">
          <w:rPr>
            <w:webHidden/>
          </w:rPr>
          <w:instrText xml:space="preserve"> PAGEREF _Toc400018618 \h </w:instrText>
        </w:r>
        <w:r w:rsidR="00294DC2">
          <w:rPr>
            <w:webHidden/>
          </w:rPr>
        </w:r>
        <w:r w:rsidR="00294DC2">
          <w:rPr>
            <w:webHidden/>
          </w:rPr>
          <w:fldChar w:fldCharType="separate"/>
        </w:r>
        <w:r w:rsidR="00294DC2">
          <w:rPr>
            <w:webHidden/>
          </w:rPr>
          <w:t>133</w:t>
        </w:r>
        <w:r w:rsidR="00294DC2">
          <w:rPr>
            <w:webHidden/>
          </w:rPr>
          <w:fldChar w:fldCharType="end"/>
        </w:r>
      </w:hyperlink>
    </w:p>
    <w:p w14:paraId="75219366" w14:textId="77777777" w:rsidR="00294DC2" w:rsidRDefault="00311E08">
      <w:pPr>
        <w:pStyle w:val="TOC3"/>
        <w:rPr>
          <w:rFonts w:asciiTheme="minorHAnsi" w:eastAsiaTheme="minorEastAsia" w:hAnsiTheme="minorHAnsi" w:cstheme="minorBidi"/>
          <w:color w:val="auto"/>
        </w:rPr>
      </w:pPr>
      <w:hyperlink w:anchor="_Toc400018619" w:history="1">
        <w:r w:rsidR="00294DC2" w:rsidRPr="00FB5042">
          <w:rPr>
            <w:rStyle w:val="Hyperlink"/>
          </w:rPr>
          <w:t>Performance payments</w:t>
        </w:r>
        <w:r w:rsidR="00294DC2">
          <w:rPr>
            <w:webHidden/>
          </w:rPr>
          <w:tab/>
        </w:r>
        <w:r w:rsidR="00294DC2">
          <w:rPr>
            <w:webHidden/>
          </w:rPr>
          <w:fldChar w:fldCharType="begin"/>
        </w:r>
        <w:r w:rsidR="00294DC2">
          <w:rPr>
            <w:webHidden/>
          </w:rPr>
          <w:instrText xml:space="preserve"> PAGEREF _Toc400018619 \h </w:instrText>
        </w:r>
        <w:r w:rsidR="00294DC2">
          <w:rPr>
            <w:webHidden/>
          </w:rPr>
        </w:r>
        <w:r w:rsidR="00294DC2">
          <w:rPr>
            <w:webHidden/>
          </w:rPr>
          <w:fldChar w:fldCharType="separate"/>
        </w:r>
        <w:r w:rsidR="00294DC2">
          <w:rPr>
            <w:webHidden/>
          </w:rPr>
          <w:t>133</w:t>
        </w:r>
        <w:r w:rsidR="00294DC2">
          <w:rPr>
            <w:webHidden/>
          </w:rPr>
          <w:fldChar w:fldCharType="end"/>
        </w:r>
      </w:hyperlink>
    </w:p>
    <w:p w14:paraId="2420A71E" w14:textId="77777777" w:rsidR="00294DC2" w:rsidRDefault="00311E08">
      <w:pPr>
        <w:pStyle w:val="TOC3"/>
        <w:rPr>
          <w:rFonts w:asciiTheme="minorHAnsi" w:eastAsiaTheme="minorEastAsia" w:hAnsiTheme="minorHAnsi" w:cstheme="minorBidi"/>
          <w:color w:val="auto"/>
        </w:rPr>
      </w:pPr>
      <w:hyperlink w:anchor="_Toc400018620" w:history="1">
        <w:r w:rsidR="00294DC2" w:rsidRPr="00FB5042">
          <w:rPr>
            <w:rStyle w:val="Hyperlink"/>
          </w:rPr>
          <w:t>Workplace Diversity Program</w:t>
        </w:r>
        <w:r w:rsidR="00294DC2">
          <w:rPr>
            <w:webHidden/>
          </w:rPr>
          <w:tab/>
        </w:r>
        <w:r w:rsidR="00294DC2">
          <w:rPr>
            <w:webHidden/>
          </w:rPr>
          <w:fldChar w:fldCharType="begin"/>
        </w:r>
        <w:r w:rsidR="00294DC2">
          <w:rPr>
            <w:webHidden/>
          </w:rPr>
          <w:instrText xml:space="preserve"> PAGEREF _Toc400018620 \h </w:instrText>
        </w:r>
        <w:r w:rsidR="00294DC2">
          <w:rPr>
            <w:webHidden/>
          </w:rPr>
        </w:r>
        <w:r w:rsidR="00294DC2">
          <w:rPr>
            <w:webHidden/>
          </w:rPr>
          <w:fldChar w:fldCharType="separate"/>
        </w:r>
        <w:r w:rsidR="00294DC2">
          <w:rPr>
            <w:webHidden/>
          </w:rPr>
          <w:t>134</w:t>
        </w:r>
        <w:r w:rsidR="00294DC2">
          <w:rPr>
            <w:webHidden/>
          </w:rPr>
          <w:fldChar w:fldCharType="end"/>
        </w:r>
      </w:hyperlink>
    </w:p>
    <w:p w14:paraId="13B7F581" w14:textId="77777777" w:rsidR="00294DC2" w:rsidRDefault="00311E08">
      <w:pPr>
        <w:pStyle w:val="TOC3"/>
        <w:rPr>
          <w:rFonts w:asciiTheme="minorHAnsi" w:eastAsiaTheme="minorEastAsia" w:hAnsiTheme="minorHAnsi" w:cstheme="minorBidi"/>
          <w:color w:val="auto"/>
        </w:rPr>
      </w:pPr>
      <w:hyperlink w:anchor="_Toc400018621" w:history="1">
        <w:r w:rsidR="00294DC2" w:rsidRPr="00FB5042">
          <w:rPr>
            <w:rStyle w:val="Hyperlink"/>
          </w:rPr>
          <w:t>Changes to disability reporting in annual reports</w:t>
        </w:r>
        <w:r w:rsidR="00294DC2">
          <w:rPr>
            <w:webHidden/>
          </w:rPr>
          <w:tab/>
        </w:r>
        <w:r w:rsidR="00294DC2">
          <w:rPr>
            <w:webHidden/>
          </w:rPr>
          <w:fldChar w:fldCharType="begin"/>
        </w:r>
        <w:r w:rsidR="00294DC2">
          <w:rPr>
            <w:webHidden/>
          </w:rPr>
          <w:instrText xml:space="preserve"> PAGEREF _Toc400018621 \h </w:instrText>
        </w:r>
        <w:r w:rsidR="00294DC2">
          <w:rPr>
            <w:webHidden/>
          </w:rPr>
        </w:r>
        <w:r w:rsidR="00294DC2">
          <w:rPr>
            <w:webHidden/>
          </w:rPr>
          <w:fldChar w:fldCharType="separate"/>
        </w:r>
        <w:r w:rsidR="00294DC2">
          <w:rPr>
            <w:webHidden/>
          </w:rPr>
          <w:t>134</w:t>
        </w:r>
        <w:r w:rsidR="00294DC2">
          <w:rPr>
            <w:webHidden/>
          </w:rPr>
          <w:fldChar w:fldCharType="end"/>
        </w:r>
      </w:hyperlink>
    </w:p>
    <w:p w14:paraId="135213E8" w14:textId="77777777" w:rsidR="00294DC2" w:rsidRDefault="00311E08">
      <w:pPr>
        <w:pStyle w:val="TOC3"/>
        <w:rPr>
          <w:rFonts w:asciiTheme="minorHAnsi" w:eastAsiaTheme="minorEastAsia" w:hAnsiTheme="minorHAnsi" w:cstheme="minorBidi"/>
          <w:color w:val="auto"/>
        </w:rPr>
      </w:pPr>
      <w:hyperlink w:anchor="_Toc400018622" w:history="1">
        <w:r w:rsidR="00294DC2" w:rsidRPr="00FB5042">
          <w:rPr>
            <w:rStyle w:val="Hyperlink"/>
          </w:rPr>
          <w:t>The ACMA Agency Multicultural Plan (AMP)</w:t>
        </w:r>
        <w:r w:rsidR="00294DC2">
          <w:rPr>
            <w:webHidden/>
          </w:rPr>
          <w:tab/>
        </w:r>
        <w:r w:rsidR="00294DC2">
          <w:rPr>
            <w:webHidden/>
          </w:rPr>
          <w:fldChar w:fldCharType="begin"/>
        </w:r>
        <w:r w:rsidR="00294DC2">
          <w:rPr>
            <w:webHidden/>
          </w:rPr>
          <w:instrText xml:space="preserve"> PAGEREF _Toc400018622 \h </w:instrText>
        </w:r>
        <w:r w:rsidR="00294DC2">
          <w:rPr>
            <w:webHidden/>
          </w:rPr>
        </w:r>
        <w:r w:rsidR="00294DC2">
          <w:rPr>
            <w:webHidden/>
          </w:rPr>
          <w:fldChar w:fldCharType="separate"/>
        </w:r>
        <w:r w:rsidR="00294DC2">
          <w:rPr>
            <w:webHidden/>
          </w:rPr>
          <w:t>134</w:t>
        </w:r>
        <w:r w:rsidR="00294DC2">
          <w:rPr>
            <w:webHidden/>
          </w:rPr>
          <w:fldChar w:fldCharType="end"/>
        </w:r>
      </w:hyperlink>
    </w:p>
    <w:p w14:paraId="4ED26E0B" w14:textId="77777777" w:rsidR="00294DC2" w:rsidRDefault="00311E08">
      <w:pPr>
        <w:pStyle w:val="TOC3"/>
        <w:rPr>
          <w:rFonts w:asciiTheme="minorHAnsi" w:eastAsiaTheme="minorEastAsia" w:hAnsiTheme="minorHAnsi" w:cstheme="minorBidi"/>
          <w:color w:val="auto"/>
        </w:rPr>
      </w:pPr>
      <w:hyperlink w:anchor="_Toc400018623" w:history="1">
        <w:r w:rsidR="00294DC2" w:rsidRPr="00FB5042">
          <w:rPr>
            <w:rStyle w:val="Hyperlink"/>
          </w:rPr>
          <w:t>Ethical standards</w:t>
        </w:r>
        <w:r w:rsidR="00294DC2">
          <w:rPr>
            <w:webHidden/>
          </w:rPr>
          <w:tab/>
        </w:r>
        <w:r w:rsidR="00294DC2">
          <w:rPr>
            <w:webHidden/>
          </w:rPr>
          <w:fldChar w:fldCharType="begin"/>
        </w:r>
        <w:r w:rsidR="00294DC2">
          <w:rPr>
            <w:webHidden/>
          </w:rPr>
          <w:instrText xml:space="preserve"> PAGEREF _Toc400018623 \h </w:instrText>
        </w:r>
        <w:r w:rsidR="00294DC2">
          <w:rPr>
            <w:webHidden/>
          </w:rPr>
        </w:r>
        <w:r w:rsidR="00294DC2">
          <w:rPr>
            <w:webHidden/>
          </w:rPr>
          <w:fldChar w:fldCharType="separate"/>
        </w:r>
        <w:r w:rsidR="00294DC2">
          <w:rPr>
            <w:webHidden/>
          </w:rPr>
          <w:t>135</w:t>
        </w:r>
        <w:r w:rsidR="00294DC2">
          <w:rPr>
            <w:webHidden/>
          </w:rPr>
          <w:fldChar w:fldCharType="end"/>
        </w:r>
      </w:hyperlink>
    </w:p>
    <w:p w14:paraId="79D46FC3" w14:textId="77777777" w:rsidR="00294DC2" w:rsidRDefault="00311E08">
      <w:pPr>
        <w:pStyle w:val="TOC3"/>
        <w:rPr>
          <w:rFonts w:asciiTheme="minorHAnsi" w:eastAsiaTheme="minorEastAsia" w:hAnsiTheme="minorHAnsi" w:cstheme="minorBidi"/>
          <w:color w:val="auto"/>
        </w:rPr>
      </w:pPr>
      <w:hyperlink w:anchor="_Toc400018624" w:history="1">
        <w:r w:rsidR="00294DC2" w:rsidRPr="00FB5042">
          <w:rPr>
            <w:rStyle w:val="Hyperlink"/>
          </w:rPr>
          <w:t>Health and safety</w:t>
        </w:r>
        <w:r w:rsidR="00294DC2">
          <w:rPr>
            <w:webHidden/>
          </w:rPr>
          <w:tab/>
        </w:r>
        <w:r w:rsidR="00294DC2">
          <w:rPr>
            <w:webHidden/>
          </w:rPr>
          <w:fldChar w:fldCharType="begin"/>
        </w:r>
        <w:r w:rsidR="00294DC2">
          <w:rPr>
            <w:webHidden/>
          </w:rPr>
          <w:instrText xml:space="preserve"> PAGEREF _Toc400018624 \h </w:instrText>
        </w:r>
        <w:r w:rsidR="00294DC2">
          <w:rPr>
            <w:webHidden/>
          </w:rPr>
        </w:r>
        <w:r w:rsidR="00294DC2">
          <w:rPr>
            <w:webHidden/>
          </w:rPr>
          <w:fldChar w:fldCharType="separate"/>
        </w:r>
        <w:r w:rsidR="00294DC2">
          <w:rPr>
            <w:webHidden/>
          </w:rPr>
          <w:t>135</w:t>
        </w:r>
        <w:r w:rsidR="00294DC2">
          <w:rPr>
            <w:webHidden/>
          </w:rPr>
          <w:fldChar w:fldCharType="end"/>
        </w:r>
      </w:hyperlink>
    </w:p>
    <w:p w14:paraId="65D08EE3" w14:textId="77777777" w:rsidR="00294DC2" w:rsidRDefault="00311E08">
      <w:pPr>
        <w:pStyle w:val="TOC3"/>
        <w:rPr>
          <w:rFonts w:asciiTheme="minorHAnsi" w:eastAsiaTheme="minorEastAsia" w:hAnsiTheme="minorHAnsi" w:cstheme="minorBidi"/>
          <w:color w:val="auto"/>
        </w:rPr>
      </w:pPr>
      <w:hyperlink w:anchor="_Toc400018625" w:history="1">
        <w:r w:rsidR="00294DC2" w:rsidRPr="00FB5042">
          <w:rPr>
            <w:rStyle w:val="Hyperlink"/>
          </w:rPr>
          <w:t>Consultation and workplace relations</w:t>
        </w:r>
        <w:r w:rsidR="00294DC2">
          <w:rPr>
            <w:webHidden/>
          </w:rPr>
          <w:tab/>
        </w:r>
        <w:r w:rsidR="00294DC2">
          <w:rPr>
            <w:webHidden/>
          </w:rPr>
          <w:fldChar w:fldCharType="begin"/>
        </w:r>
        <w:r w:rsidR="00294DC2">
          <w:rPr>
            <w:webHidden/>
          </w:rPr>
          <w:instrText xml:space="preserve"> PAGEREF _Toc400018625 \h </w:instrText>
        </w:r>
        <w:r w:rsidR="00294DC2">
          <w:rPr>
            <w:webHidden/>
          </w:rPr>
        </w:r>
        <w:r w:rsidR="00294DC2">
          <w:rPr>
            <w:webHidden/>
          </w:rPr>
          <w:fldChar w:fldCharType="separate"/>
        </w:r>
        <w:r w:rsidR="00294DC2">
          <w:rPr>
            <w:webHidden/>
          </w:rPr>
          <w:t>136</w:t>
        </w:r>
        <w:r w:rsidR="00294DC2">
          <w:rPr>
            <w:webHidden/>
          </w:rPr>
          <w:fldChar w:fldCharType="end"/>
        </w:r>
      </w:hyperlink>
    </w:p>
    <w:p w14:paraId="0D068ED5" w14:textId="77777777" w:rsidR="00294DC2" w:rsidRDefault="00311E08">
      <w:pPr>
        <w:pStyle w:val="TOC3"/>
        <w:rPr>
          <w:rFonts w:asciiTheme="minorHAnsi" w:eastAsiaTheme="minorEastAsia" w:hAnsiTheme="minorHAnsi" w:cstheme="minorBidi"/>
          <w:color w:val="auto"/>
        </w:rPr>
      </w:pPr>
      <w:hyperlink w:anchor="_Toc400018626" w:history="1">
        <w:r w:rsidR="00294DC2" w:rsidRPr="00FB5042">
          <w:rPr>
            <w:rStyle w:val="Hyperlink"/>
          </w:rPr>
          <w:t>Workforce planning</w:t>
        </w:r>
        <w:r w:rsidR="00294DC2">
          <w:rPr>
            <w:webHidden/>
          </w:rPr>
          <w:tab/>
        </w:r>
        <w:r w:rsidR="00294DC2">
          <w:rPr>
            <w:webHidden/>
          </w:rPr>
          <w:fldChar w:fldCharType="begin"/>
        </w:r>
        <w:r w:rsidR="00294DC2">
          <w:rPr>
            <w:webHidden/>
          </w:rPr>
          <w:instrText xml:space="preserve"> PAGEREF _Toc400018626 \h </w:instrText>
        </w:r>
        <w:r w:rsidR="00294DC2">
          <w:rPr>
            <w:webHidden/>
          </w:rPr>
        </w:r>
        <w:r w:rsidR="00294DC2">
          <w:rPr>
            <w:webHidden/>
          </w:rPr>
          <w:fldChar w:fldCharType="separate"/>
        </w:r>
        <w:r w:rsidR="00294DC2">
          <w:rPr>
            <w:webHidden/>
          </w:rPr>
          <w:t>136</w:t>
        </w:r>
        <w:r w:rsidR="00294DC2">
          <w:rPr>
            <w:webHidden/>
          </w:rPr>
          <w:fldChar w:fldCharType="end"/>
        </w:r>
      </w:hyperlink>
    </w:p>
    <w:p w14:paraId="4FA2383A" w14:textId="77777777" w:rsidR="00294DC2" w:rsidRDefault="00311E08">
      <w:pPr>
        <w:pStyle w:val="TOC3"/>
        <w:rPr>
          <w:rFonts w:asciiTheme="minorHAnsi" w:eastAsiaTheme="minorEastAsia" w:hAnsiTheme="minorHAnsi" w:cstheme="minorBidi"/>
          <w:color w:val="auto"/>
        </w:rPr>
      </w:pPr>
      <w:hyperlink w:anchor="_Toc400018627" w:history="1">
        <w:r w:rsidR="00294DC2" w:rsidRPr="00FB5042">
          <w:rPr>
            <w:rStyle w:val="Hyperlink"/>
          </w:rPr>
          <w:t>People and capability development</w:t>
        </w:r>
        <w:r w:rsidR="00294DC2">
          <w:rPr>
            <w:webHidden/>
          </w:rPr>
          <w:tab/>
        </w:r>
        <w:r w:rsidR="00294DC2">
          <w:rPr>
            <w:webHidden/>
          </w:rPr>
          <w:fldChar w:fldCharType="begin"/>
        </w:r>
        <w:r w:rsidR="00294DC2">
          <w:rPr>
            <w:webHidden/>
          </w:rPr>
          <w:instrText xml:space="preserve"> PAGEREF _Toc400018627 \h </w:instrText>
        </w:r>
        <w:r w:rsidR="00294DC2">
          <w:rPr>
            <w:webHidden/>
          </w:rPr>
        </w:r>
        <w:r w:rsidR="00294DC2">
          <w:rPr>
            <w:webHidden/>
          </w:rPr>
          <w:fldChar w:fldCharType="separate"/>
        </w:r>
        <w:r w:rsidR="00294DC2">
          <w:rPr>
            <w:webHidden/>
          </w:rPr>
          <w:t>137</w:t>
        </w:r>
        <w:r w:rsidR="00294DC2">
          <w:rPr>
            <w:webHidden/>
          </w:rPr>
          <w:fldChar w:fldCharType="end"/>
        </w:r>
      </w:hyperlink>
    </w:p>
    <w:p w14:paraId="1D53E16A" w14:textId="77777777" w:rsidR="00294DC2" w:rsidRDefault="00311E08">
      <w:pPr>
        <w:pStyle w:val="TOC3"/>
        <w:rPr>
          <w:rFonts w:asciiTheme="minorHAnsi" w:eastAsiaTheme="minorEastAsia" w:hAnsiTheme="minorHAnsi" w:cstheme="minorBidi"/>
          <w:color w:val="auto"/>
        </w:rPr>
      </w:pPr>
      <w:hyperlink w:anchor="_Toc400018628" w:history="1">
        <w:r w:rsidR="00294DC2" w:rsidRPr="00FB5042">
          <w:rPr>
            <w:rStyle w:val="Hyperlink"/>
          </w:rPr>
          <w:t>Outcomes of the examination of ACMA professional streams</w:t>
        </w:r>
        <w:r w:rsidR="00294DC2">
          <w:rPr>
            <w:webHidden/>
          </w:rPr>
          <w:tab/>
        </w:r>
        <w:r w:rsidR="00294DC2">
          <w:rPr>
            <w:webHidden/>
          </w:rPr>
          <w:fldChar w:fldCharType="begin"/>
        </w:r>
        <w:r w:rsidR="00294DC2">
          <w:rPr>
            <w:webHidden/>
          </w:rPr>
          <w:instrText xml:space="preserve"> PAGEREF _Toc400018628 \h </w:instrText>
        </w:r>
        <w:r w:rsidR="00294DC2">
          <w:rPr>
            <w:webHidden/>
          </w:rPr>
        </w:r>
        <w:r w:rsidR="00294DC2">
          <w:rPr>
            <w:webHidden/>
          </w:rPr>
          <w:fldChar w:fldCharType="separate"/>
        </w:r>
        <w:r w:rsidR="00294DC2">
          <w:rPr>
            <w:webHidden/>
          </w:rPr>
          <w:t>137</w:t>
        </w:r>
        <w:r w:rsidR="00294DC2">
          <w:rPr>
            <w:webHidden/>
          </w:rPr>
          <w:fldChar w:fldCharType="end"/>
        </w:r>
      </w:hyperlink>
    </w:p>
    <w:p w14:paraId="35FB58E7" w14:textId="77777777" w:rsidR="00294DC2" w:rsidRDefault="00311E08">
      <w:pPr>
        <w:pStyle w:val="TOC3"/>
        <w:rPr>
          <w:rFonts w:asciiTheme="minorHAnsi" w:eastAsiaTheme="minorEastAsia" w:hAnsiTheme="minorHAnsi" w:cstheme="minorBidi"/>
          <w:color w:val="auto"/>
        </w:rPr>
      </w:pPr>
      <w:hyperlink w:anchor="_Toc400018629" w:history="1">
        <w:r w:rsidR="00294DC2" w:rsidRPr="00FB5042">
          <w:rPr>
            <w:rStyle w:val="Hyperlink"/>
          </w:rPr>
          <w:t>Performance management</w:t>
        </w:r>
        <w:r w:rsidR="00294DC2">
          <w:rPr>
            <w:webHidden/>
          </w:rPr>
          <w:tab/>
        </w:r>
        <w:r w:rsidR="00294DC2">
          <w:rPr>
            <w:webHidden/>
          </w:rPr>
          <w:fldChar w:fldCharType="begin"/>
        </w:r>
        <w:r w:rsidR="00294DC2">
          <w:rPr>
            <w:webHidden/>
          </w:rPr>
          <w:instrText xml:space="preserve"> PAGEREF _Toc400018629 \h </w:instrText>
        </w:r>
        <w:r w:rsidR="00294DC2">
          <w:rPr>
            <w:webHidden/>
          </w:rPr>
        </w:r>
        <w:r w:rsidR="00294DC2">
          <w:rPr>
            <w:webHidden/>
          </w:rPr>
          <w:fldChar w:fldCharType="separate"/>
        </w:r>
        <w:r w:rsidR="00294DC2">
          <w:rPr>
            <w:webHidden/>
          </w:rPr>
          <w:t>138</w:t>
        </w:r>
        <w:r w:rsidR="00294DC2">
          <w:rPr>
            <w:webHidden/>
          </w:rPr>
          <w:fldChar w:fldCharType="end"/>
        </w:r>
      </w:hyperlink>
    </w:p>
    <w:p w14:paraId="068E7501" w14:textId="77777777" w:rsidR="00294DC2" w:rsidRDefault="00311E08">
      <w:pPr>
        <w:pStyle w:val="TOC3"/>
        <w:rPr>
          <w:rFonts w:asciiTheme="minorHAnsi" w:eastAsiaTheme="minorEastAsia" w:hAnsiTheme="minorHAnsi" w:cstheme="minorBidi"/>
          <w:color w:val="auto"/>
        </w:rPr>
      </w:pPr>
      <w:hyperlink w:anchor="_Toc400018630" w:history="1">
        <w:r w:rsidR="00294DC2" w:rsidRPr="00FB5042">
          <w:rPr>
            <w:rStyle w:val="Hyperlink"/>
          </w:rPr>
          <w:t>Creating Knowledge program</w:t>
        </w:r>
        <w:r w:rsidR="00294DC2">
          <w:rPr>
            <w:webHidden/>
          </w:rPr>
          <w:tab/>
        </w:r>
        <w:r w:rsidR="00294DC2">
          <w:rPr>
            <w:webHidden/>
          </w:rPr>
          <w:fldChar w:fldCharType="begin"/>
        </w:r>
        <w:r w:rsidR="00294DC2">
          <w:rPr>
            <w:webHidden/>
          </w:rPr>
          <w:instrText xml:space="preserve"> PAGEREF _Toc400018630 \h </w:instrText>
        </w:r>
        <w:r w:rsidR="00294DC2">
          <w:rPr>
            <w:webHidden/>
          </w:rPr>
        </w:r>
        <w:r w:rsidR="00294DC2">
          <w:rPr>
            <w:webHidden/>
          </w:rPr>
          <w:fldChar w:fldCharType="separate"/>
        </w:r>
        <w:r w:rsidR="00294DC2">
          <w:rPr>
            <w:webHidden/>
          </w:rPr>
          <w:t>138</w:t>
        </w:r>
        <w:r w:rsidR="00294DC2">
          <w:rPr>
            <w:webHidden/>
          </w:rPr>
          <w:fldChar w:fldCharType="end"/>
        </w:r>
      </w:hyperlink>
    </w:p>
    <w:p w14:paraId="222B6E19" w14:textId="77777777" w:rsidR="00294DC2" w:rsidRDefault="00311E08">
      <w:pPr>
        <w:pStyle w:val="TOC3"/>
        <w:rPr>
          <w:rFonts w:asciiTheme="minorHAnsi" w:eastAsiaTheme="minorEastAsia" w:hAnsiTheme="minorHAnsi" w:cstheme="minorBidi"/>
          <w:color w:val="auto"/>
        </w:rPr>
      </w:pPr>
      <w:hyperlink w:anchor="_Toc400018631" w:history="1">
        <w:r w:rsidR="00294DC2" w:rsidRPr="00FB5042">
          <w:rPr>
            <w:rStyle w:val="Hyperlink"/>
          </w:rPr>
          <w:t>Client Service Charter</w:t>
        </w:r>
        <w:r w:rsidR="00294DC2">
          <w:rPr>
            <w:webHidden/>
          </w:rPr>
          <w:tab/>
        </w:r>
        <w:r w:rsidR="00294DC2">
          <w:rPr>
            <w:webHidden/>
          </w:rPr>
          <w:fldChar w:fldCharType="begin"/>
        </w:r>
        <w:r w:rsidR="00294DC2">
          <w:rPr>
            <w:webHidden/>
          </w:rPr>
          <w:instrText xml:space="preserve"> PAGEREF _Toc400018631 \h </w:instrText>
        </w:r>
        <w:r w:rsidR="00294DC2">
          <w:rPr>
            <w:webHidden/>
          </w:rPr>
        </w:r>
        <w:r w:rsidR="00294DC2">
          <w:rPr>
            <w:webHidden/>
          </w:rPr>
          <w:fldChar w:fldCharType="separate"/>
        </w:r>
        <w:r w:rsidR="00294DC2">
          <w:rPr>
            <w:webHidden/>
          </w:rPr>
          <w:t>138</w:t>
        </w:r>
        <w:r w:rsidR="00294DC2">
          <w:rPr>
            <w:webHidden/>
          </w:rPr>
          <w:fldChar w:fldCharType="end"/>
        </w:r>
      </w:hyperlink>
    </w:p>
    <w:p w14:paraId="772B7A8A" w14:textId="77777777" w:rsidR="00294DC2" w:rsidRDefault="00311E08">
      <w:pPr>
        <w:pStyle w:val="TOC2"/>
        <w:rPr>
          <w:rFonts w:asciiTheme="minorHAnsi" w:eastAsiaTheme="minorEastAsia" w:hAnsiTheme="minorHAnsi" w:cstheme="minorBidi"/>
          <w:color w:val="auto"/>
          <w:spacing w:val="0"/>
          <w:sz w:val="22"/>
          <w:szCs w:val="22"/>
        </w:rPr>
      </w:pPr>
      <w:hyperlink w:anchor="_Toc400018632" w:history="1">
        <w:r w:rsidR="00294DC2" w:rsidRPr="00FB5042">
          <w:rPr>
            <w:rStyle w:val="Hyperlink"/>
          </w:rPr>
          <w:t>Information management</w:t>
        </w:r>
        <w:r w:rsidR="00294DC2">
          <w:rPr>
            <w:webHidden/>
          </w:rPr>
          <w:tab/>
        </w:r>
        <w:r w:rsidR="00294DC2">
          <w:rPr>
            <w:webHidden/>
          </w:rPr>
          <w:fldChar w:fldCharType="begin"/>
        </w:r>
        <w:r w:rsidR="00294DC2">
          <w:rPr>
            <w:webHidden/>
          </w:rPr>
          <w:instrText xml:space="preserve"> PAGEREF _Toc400018632 \h </w:instrText>
        </w:r>
        <w:r w:rsidR="00294DC2">
          <w:rPr>
            <w:webHidden/>
          </w:rPr>
        </w:r>
        <w:r w:rsidR="00294DC2">
          <w:rPr>
            <w:webHidden/>
          </w:rPr>
          <w:fldChar w:fldCharType="separate"/>
        </w:r>
        <w:r w:rsidR="00294DC2">
          <w:rPr>
            <w:webHidden/>
          </w:rPr>
          <w:t>139</w:t>
        </w:r>
        <w:r w:rsidR="00294DC2">
          <w:rPr>
            <w:webHidden/>
          </w:rPr>
          <w:fldChar w:fldCharType="end"/>
        </w:r>
      </w:hyperlink>
    </w:p>
    <w:p w14:paraId="5A08E895" w14:textId="77777777" w:rsidR="00294DC2" w:rsidRDefault="00311E08">
      <w:pPr>
        <w:pStyle w:val="TOC3"/>
        <w:rPr>
          <w:rFonts w:asciiTheme="minorHAnsi" w:eastAsiaTheme="minorEastAsia" w:hAnsiTheme="minorHAnsi" w:cstheme="minorBidi"/>
          <w:color w:val="auto"/>
        </w:rPr>
      </w:pPr>
      <w:hyperlink w:anchor="_Toc400018633" w:history="1">
        <w:r w:rsidR="00294DC2" w:rsidRPr="00FB5042">
          <w:rPr>
            <w:rStyle w:val="Hyperlink"/>
          </w:rPr>
          <w:t>Transformation agenda</w:t>
        </w:r>
        <w:r w:rsidR="00294DC2">
          <w:rPr>
            <w:webHidden/>
          </w:rPr>
          <w:tab/>
        </w:r>
        <w:r w:rsidR="00294DC2">
          <w:rPr>
            <w:webHidden/>
          </w:rPr>
          <w:fldChar w:fldCharType="begin"/>
        </w:r>
        <w:r w:rsidR="00294DC2">
          <w:rPr>
            <w:webHidden/>
          </w:rPr>
          <w:instrText xml:space="preserve"> PAGEREF _Toc400018633 \h </w:instrText>
        </w:r>
        <w:r w:rsidR="00294DC2">
          <w:rPr>
            <w:webHidden/>
          </w:rPr>
        </w:r>
        <w:r w:rsidR="00294DC2">
          <w:rPr>
            <w:webHidden/>
          </w:rPr>
          <w:fldChar w:fldCharType="separate"/>
        </w:r>
        <w:r w:rsidR="00294DC2">
          <w:rPr>
            <w:webHidden/>
          </w:rPr>
          <w:t>139</w:t>
        </w:r>
        <w:r w:rsidR="00294DC2">
          <w:rPr>
            <w:webHidden/>
          </w:rPr>
          <w:fldChar w:fldCharType="end"/>
        </w:r>
      </w:hyperlink>
    </w:p>
    <w:p w14:paraId="22CF7E10" w14:textId="77777777" w:rsidR="00294DC2" w:rsidRDefault="00311E08">
      <w:pPr>
        <w:pStyle w:val="TOC3"/>
        <w:rPr>
          <w:rFonts w:asciiTheme="minorHAnsi" w:eastAsiaTheme="minorEastAsia" w:hAnsiTheme="minorHAnsi" w:cstheme="minorBidi"/>
          <w:color w:val="auto"/>
        </w:rPr>
      </w:pPr>
      <w:hyperlink w:anchor="_Toc400018634" w:history="1">
        <w:r w:rsidR="00294DC2" w:rsidRPr="00FB5042">
          <w:rPr>
            <w:rStyle w:val="Hyperlink"/>
          </w:rPr>
          <w:t>Highlights</w:t>
        </w:r>
        <w:r w:rsidR="00294DC2">
          <w:rPr>
            <w:webHidden/>
          </w:rPr>
          <w:tab/>
        </w:r>
        <w:r w:rsidR="00294DC2">
          <w:rPr>
            <w:webHidden/>
          </w:rPr>
          <w:fldChar w:fldCharType="begin"/>
        </w:r>
        <w:r w:rsidR="00294DC2">
          <w:rPr>
            <w:webHidden/>
          </w:rPr>
          <w:instrText xml:space="preserve"> PAGEREF _Toc400018634 \h </w:instrText>
        </w:r>
        <w:r w:rsidR="00294DC2">
          <w:rPr>
            <w:webHidden/>
          </w:rPr>
        </w:r>
        <w:r w:rsidR="00294DC2">
          <w:rPr>
            <w:webHidden/>
          </w:rPr>
          <w:fldChar w:fldCharType="separate"/>
        </w:r>
        <w:r w:rsidR="00294DC2">
          <w:rPr>
            <w:webHidden/>
          </w:rPr>
          <w:t>139</w:t>
        </w:r>
        <w:r w:rsidR="00294DC2">
          <w:rPr>
            <w:webHidden/>
          </w:rPr>
          <w:fldChar w:fldCharType="end"/>
        </w:r>
      </w:hyperlink>
    </w:p>
    <w:p w14:paraId="0D23EECD" w14:textId="77777777" w:rsidR="00294DC2" w:rsidRDefault="00311E08">
      <w:pPr>
        <w:pStyle w:val="TOC2"/>
        <w:rPr>
          <w:rFonts w:asciiTheme="minorHAnsi" w:eastAsiaTheme="minorEastAsia" w:hAnsiTheme="minorHAnsi" w:cstheme="minorBidi"/>
          <w:color w:val="auto"/>
          <w:spacing w:val="0"/>
          <w:sz w:val="22"/>
          <w:szCs w:val="22"/>
        </w:rPr>
      </w:pPr>
      <w:hyperlink w:anchor="_Toc400018635" w:history="1">
        <w:r w:rsidR="00294DC2" w:rsidRPr="00FB5042">
          <w:rPr>
            <w:rStyle w:val="Hyperlink"/>
          </w:rPr>
          <w:t>Communications and engagement</w:t>
        </w:r>
        <w:r w:rsidR="00294DC2">
          <w:rPr>
            <w:webHidden/>
          </w:rPr>
          <w:tab/>
        </w:r>
        <w:r w:rsidR="00294DC2">
          <w:rPr>
            <w:webHidden/>
          </w:rPr>
          <w:fldChar w:fldCharType="begin"/>
        </w:r>
        <w:r w:rsidR="00294DC2">
          <w:rPr>
            <w:webHidden/>
          </w:rPr>
          <w:instrText xml:space="preserve"> PAGEREF _Toc400018635 \h </w:instrText>
        </w:r>
        <w:r w:rsidR="00294DC2">
          <w:rPr>
            <w:webHidden/>
          </w:rPr>
        </w:r>
        <w:r w:rsidR="00294DC2">
          <w:rPr>
            <w:webHidden/>
          </w:rPr>
          <w:fldChar w:fldCharType="separate"/>
        </w:r>
        <w:r w:rsidR="00294DC2">
          <w:rPr>
            <w:webHidden/>
          </w:rPr>
          <w:t>141</w:t>
        </w:r>
        <w:r w:rsidR="00294DC2">
          <w:rPr>
            <w:webHidden/>
          </w:rPr>
          <w:fldChar w:fldCharType="end"/>
        </w:r>
      </w:hyperlink>
    </w:p>
    <w:p w14:paraId="368CF0C9" w14:textId="77777777" w:rsidR="00294DC2" w:rsidRDefault="00311E08">
      <w:pPr>
        <w:pStyle w:val="TOC3"/>
        <w:rPr>
          <w:rFonts w:asciiTheme="minorHAnsi" w:eastAsiaTheme="minorEastAsia" w:hAnsiTheme="minorHAnsi" w:cstheme="minorBidi"/>
          <w:color w:val="auto"/>
        </w:rPr>
      </w:pPr>
      <w:hyperlink w:anchor="_Toc400018636" w:history="1">
        <w:r w:rsidR="00294DC2" w:rsidRPr="00FB5042">
          <w:rPr>
            <w:rStyle w:val="Hyperlink"/>
          </w:rPr>
          <w:t>Social media</w:t>
        </w:r>
        <w:r w:rsidR="00294DC2">
          <w:rPr>
            <w:webHidden/>
          </w:rPr>
          <w:tab/>
        </w:r>
        <w:r w:rsidR="00294DC2">
          <w:rPr>
            <w:webHidden/>
          </w:rPr>
          <w:fldChar w:fldCharType="begin"/>
        </w:r>
        <w:r w:rsidR="00294DC2">
          <w:rPr>
            <w:webHidden/>
          </w:rPr>
          <w:instrText xml:space="preserve"> PAGEREF _Toc400018636 \h </w:instrText>
        </w:r>
        <w:r w:rsidR="00294DC2">
          <w:rPr>
            <w:webHidden/>
          </w:rPr>
        </w:r>
        <w:r w:rsidR="00294DC2">
          <w:rPr>
            <w:webHidden/>
          </w:rPr>
          <w:fldChar w:fldCharType="separate"/>
        </w:r>
        <w:r w:rsidR="00294DC2">
          <w:rPr>
            <w:webHidden/>
          </w:rPr>
          <w:t>142</w:t>
        </w:r>
        <w:r w:rsidR="00294DC2">
          <w:rPr>
            <w:webHidden/>
          </w:rPr>
          <w:fldChar w:fldCharType="end"/>
        </w:r>
      </w:hyperlink>
    </w:p>
    <w:p w14:paraId="57FE1F57" w14:textId="77777777" w:rsidR="00294DC2" w:rsidRDefault="00311E08">
      <w:pPr>
        <w:pStyle w:val="TOC3"/>
        <w:rPr>
          <w:rFonts w:asciiTheme="minorHAnsi" w:eastAsiaTheme="minorEastAsia" w:hAnsiTheme="minorHAnsi" w:cstheme="minorBidi"/>
          <w:color w:val="auto"/>
        </w:rPr>
      </w:pPr>
      <w:hyperlink w:anchor="_Toc400018637" w:history="1">
        <w:r w:rsidR="00294DC2" w:rsidRPr="00FB5042">
          <w:rPr>
            <w:rStyle w:val="Hyperlink"/>
          </w:rPr>
          <w:t>Email outreach</w:t>
        </w:r>
        <w:r w:rsidR="00294DC2">
          <w:rPr>
            <w:webHidden/>
          </w:rPr>
          <w:tab/>
        </w:r>
        <w:r w:rsidR="00294DC2">
          <w:rPr>
            <w:webHidden/>
          </w:rPr>
          <w:fldChar w:fldCharType="begin"/>
        </w:r>
        <w:r w:rsidR="00294DC2">
          <w:rPr>
            <w:webHidden/>
          </w:rPr>
          <w:instrText xml:space="preserve"> PAGEREF _Toc400018637 \h </w:instrText>
        </w:r>
        <w:r w:rsidR="00294DC2">
          <w:rPr>
            <w:webHidden/>
          </w:rPr>
        </w:r>
        <w:r w:rsidR="00294DC2">
          <w:rPr>
            <w:webHidden/>
          </w:rPr>
          <w:fldChar w:fldCharType="separate"/>
        </w:r>
        <w:r w:rsidR="00294DC2">
          <w:rPr>
            <w:webHidden/>
          </w:rPr>
          <w:t>142</w:t>
        </w:r>
        <w:r w:rsidR="00294DC2">
          <w:rPr>
            <w:webHidden/>
          </w:rPr>
          <w:fldChar w:fldCharType="end"/>
        </w:r>
      </w:hyperlink>
    </w:p>
    <w:p w14:paraId="4B054205" w14:textId="77777777" w:rsidR="00294DC2" w:rsidRDefault="00311E08">
      <w:pPr>
        <w:pStyle w:val="TOC3"/>
        <w:rPr>
          <w:rFonts w:asciiTheme="minorHAnsi" w:eastAsiaTheme="minorEastAsia" w:hAnsiTheme="minorHAnsi" w:cstheme="minorBidi"/>
          <w:color w:val="auto"/>
        </w:rPr>
      </w:pPr>
      <w:hyperlink w:anchor="_Toc400018638" w:history="1">
        <w:r w:rsidR="00294DC2" w:rsidRPr="00FB5042">
          <w:rPr>
            <w:rStyle w:val="Hyperlink"/>
          </w:rPr>
          <w:t>Media engagement</w:t>
        </w:r>
        <w:r w:rsidR="00294DC2">
          <w:rPr>
            <w:webHidden/>
          </w:rPr>
          <w:tab/>
        </w:r>
        <w:r w:rsidR="00294DC2">
          <w:rPr>
            <w:webHidden/>
          </w:rPr>
          <w:fldChar w:fldCharType="begin"/>
        </w:r>
        <w:r w:rsidR="00294DC2">
          <w:rPr>
            <w:webHidden/>
          </w:rPr>
          <w:instrText xml:space="preserve"> PAGEREF _Toc400018638 \h </w:instrText>
        </w:r>
        <w:r w:rsidR="00294DC2">
          <w:rPr>
            <w:webHidden/>
          </w:rPr>
        </w:r>
        <w:r w:rsidR="00294DC2">
          <w:rPr>
            <w:webHidden/>
          </w:rPr>
          <w:fldChar w:fldCharType="separate"/>
        </w:r>
        <w:r w:rsidR="00294DC2">
          <w:rPr>
            <w:webHidden/>
          </w:rPr>
          <w:t>142</w:t>
        </w:r>
        <w:r w:rsidR="00294DC2">
          <w:rPr>
            <w:webHidden/>
          </w:rPr>
          <w:fldChar w:fldCharType="end"/>
        </w:r>
      </w:hyperlink>
    </w:p>
    <w:p w14:paraId="23C2857F" w14:textId="77777777" w:rsidR="00294DC2" w:rsidRDefault="00311E08">
      <w:pPr>
        <w:pStyle w:val="TOC3"/>
        <w:rPr>
          <w:rFonts w:asciiTheme="minorHAnsi" w:eastAsiaTheme="minorEastAsia" w:hAnsiTheme="minorHAnsi" w:cstheme="minorBidi"/>
          <w:color w:val="auto"/>
        </w:rPr>
      </w:pPr>
      <w:hyperlink w:anchor="_Toc400018639" w:history="1">
        <w:r w:rsidR="00294DC2" w:rsidRPr="00FB5042">
          <w:rPr>
            <w:rStyle w:val="Hyperlink"/>
          </w:rPr>
          <w:t>Award nominations</w:t>
        </w:r>
        <w:r w:rsidR="00294DC2">
          <w:rPr>
            <w:webHidden/>
          </w:rPr>
          <w:tab/>
        </w:r>
        <w:r w:rsidR="00294DC2">
          <w:rPr>
            <w:webHidden/>
          </w:rPr>
          <w:fldChar w:fldCharType="begin"/>
        </w:r>
        <w:r w:rsidR="00294DC2">
          <w:rPr>
            <w:webHidden/>
          </w:rPr>
          <w:instrText xml:space="preserve"> PAGEREF _Toc400018639 \h </w:instrText>
        </w:r>
        <w:r w:rsidR="00294DC2">
          <w:rPr>
            <w:webHidden/>
          </w:rPr>
        </w:r>
        <w:r w:rsidR="00294DC2">
          <w:rPr>
            <w:webHidden/>
          </w:rPr>
          <w:fldChar w:fldCharType="separate"/>
        </w:r>
        <w:r w:rsidR="00294DC2">
          <w:rPr>
            <w:webHidden/>
          </w:rPr>
          <w:t>142</w:t>
        </w:r>
        <w:r w:rsidR="00294DC2">
          <w:rPr>
            <w:webHidden/>
          </w:rPr>
          <w:fldChar w:fldCharType="end"/>
        </w:r>
      </w:hyperlink>
    </w:p>
    <w:p w14:paraId="78881E24" w14:textId="77777777" w:rsidR="00294DC2" w:rsidRDefault="00311E08">
      <w:pPr>
        <w:pStyle w:val="TOC2"/>
        <w:rPr>
          <w:rFonts w:asciiTheme="minorHAnsi" w:eastAsiaTheme="minorEastAsia" w:hAnsiTheme="minorHAnsi" w:cstheme="minorBidi"/>
          <w:color w:val="auto"/>
          <w:spacing w:val="0"/>
          <w:sz w:val="22"/>
          <w:szCs w:val="22"/>
        </w:rPr>
      </w:pPr>
      <w:hyperlink w:anchor="_Toc400018640" w:history="1">
        <w:r w:rsidR="00294DC2" w:rsidRPr="00FB5042">
          <w:rPr>
            <w:rStyle w:val="Hyperlink"/>
          </w:rPr>
          <w:t>Financial management</w:t>
        </w:r>
        <w:r w:rsidR="00294DC2">
          <w:rPr>
            <w:webHidden/>
          </w:rPr>
          <w:tab/>
        </w:r>
        <w:r w:rsidR="00294DC2">
          <w:rPr>
            <w:webHidden/>
          </w:rPr>
          <w:fldChar w:fldCharType="begin"/>
        </w:r>
        <w:r w:rsidR="00294DC2">
          <w:rPr>
            <w:webHidden/>
          </w:rPr>
          <w:instrText xml:space="preserve"> PAGEREF _Toc400018640 \h </w:instrText>
        </w:r>
        <w:r w:rsidR="00294DC2">
          <w:rPr>
            <w:webHidden/>
          </w:rPr>
        </w:r>
        <w:r w:rsidR="00294DC2">
          <w:rPr>
            <w:webHidden/>
          </w:rPr>
          <w:fldChar w:fldCharType="separate"/>
        </w:r>
        <w:r w:rsidR="00294DC2">
          <w:rPr>
            <w:webHidden/>
          </w:rPr>
          <w:t>142</w:t>
        </w:r>
        <w:r w:rsidR="00294DC2">
          <w:rPr>
            <w:webHidden/>
          </w:rPr>
          <w:fldChar w:fldCharType="end"/>
        </w:r>
      </w:hyperlink>
    </w:p>
    <w:p w14:paraId="18F95673" w14:textId="77777777" w:rsidR="00294DC2" w:rsidRDefault="00311E08">
      <w:pPr>
        <w:pStyle w:val="TOC3"/>
        <w:rPr>
          <w:rFonts w:asciiTheme="minorHAnsi" w:eastAsiaTheme="minorEastAsia" w:hAnsiTheme="minorHAnsi" w:cstheme="minorBidi"/>
          <w:color w:val="auto"/>
        </w:rPr>
      </w:pPr>
      <w:hyperlink w:anchor="_Toc400018641" w:history="1">
        <w:r w:rsidR="00294DC2" w:rsidRPr="00FB5042">
          <w:rPr>
            <w:rStyle w:val="Hyperlink"/>
          </w:rPr>
          <w:t>Procurement and contract management</w:t>
        </w:r>
        <w:r w:rsidR="00294DC2">
          <w:rPr>
            <w:webHidden/>
          </w:rPr>
          <w:tab/>
        </w:r>
        <w:r w:rsidR="00294DC2">
          <w:rPr>
            <w:webHidden/>
          </w:rPr>
          <w:fldChar w:fldCharType="begin"/>
        </w:r>
        <w:r w:rsidR="00294DC2">
          <w:rPr>
            <w:webHidden/>
          </w:rPr>
          <w:instrText xml:space="preserve"> PAGEREF _Toc400018641 \h </w:instrText>
        </w:r>
        <w:r w:rsidR="00294DC2">
          <w:rPr>
            <w:webHidden/>
          </w:rPr>
        </w:r>
        <w:r w:rsidR="00294DC2">
          <w:rPr>
            <w:webHidden/>
          </w:rPr>
          <w:fldChar w:fldCharType="separate"/>
        </w:r>
        <w:r w:rsidR="00294DC2">
          <w:rPr>
            <w:webHidden/>
          </w:rPr>
          <w:t>143</w:t>
        </w:r>
        <w:r w:rsidR="00294DC2">
          <w:rPr>
            <w:webHidden/>
          </w:rPr>
          <w:fldChar w:fldCharType="end"/>
        </w:r>
      </w:hyperlink>
    </w:p>
    <w:p w14:paraId="3076278F" w14:textId="77777777" w:rsidR="00294DC2" w:rsidRDefault="00311E08">
      <w:pPr>
        <w:pStyle w:val="TOC3"/>
        <w:rPr>
          <w:rFonts w:asciiTheme="minorHAnsi" w:eastAsiaTheme="minorEastAsia" w:hAnsiTheme="minorHAnsi" w:cstheme="minorBidi"/>
          <w:color w:val="auto"/>
        </w:rPr>
      </w:pPr>
      <w:hyperlink w:anchor="_Toc400018642" w:history="1">
        <w:r w:rsidR="00294DC2" w:rsidRPr="00FB5042">
          <w:rPr>
            <w:rStyle w:val="Hyperlink"/>
          </w:rPr>
          <w:t>Grant programs</w:t>
        </w:r>
        <w:r w:rsidR="00294DC2">
          <w:rPr>
            <w:webHidden/>
          </w:rPr>
          <w:tab/>
        </w:r>
        <w:r w:rsidR="00294DC2">
          <w:rPr>
            <w:webHidden/>
          </w:rPr>
          <w:fldChar w:fldCharType="begin"/>
        </w:r>
        <w:r w:rsidR="00294DC2">
          <w:rPr>
            <w:webHidden/>
          </w:rPr>
          <w:instrText xml:space="preserve"> PAGEREF _Toc400018642 \h </w:instrText>
        </w:r>
        <w:r w:rsidR="00294DC2">
          <w:rPr>
            <w:webHidden/>
          </w:rPr>
        </w:r>
        <w:r w:rsidR="00294DC2">
          <w:rPr>
            <w:webHidden/>
          </w:rPr>
          <w:fldChar w:fldCharType="separate"/>
        </w:r>
        <w:r w:rsidR="00294DC2">
          <w:rPr>
            <w:webHidden/>
          </w:rPr>
          <w:t>143</w:t>
        </w:r>
        <w:r w:rsidR="00294DC2">
          <w:rPr>
            <w:webHidden/>
          </w:rPr>
          <w:fldChar w:fldCharType="end"/>
        </w:r>
      </w:hyperlink>
    </w:p>
    <w:p w14:paraId="3FD8721D" w14:textId="77777777" w:rsidR="00294DC2" w:rsidRDefault="00311E08">
      <w:pPr>
        <w:pStyle w:val="TOC3"/>
        <w:rPr>
          <w:rFonts w:asciiTheme="minorHAnsi" w:eastAsiaTheme="minorEastAsia" w:hAnsiTheme="minorHAnsi" w:cstheme="minorBidi"/>
          <w:color w:val="auto"/>
        </w:rPr>
      </w:pPr>
      <w:hyperlink w:anchor="_Toc400018643" w:history="1">
        <w:r w:rsidR="00294DC2" w:rsidRPr="00FB5042">
          <w:rPr>
            <w:rStyle w:val="Hyperlink"/>
          </w:rPr>
          <w:t>Asset management</w:t>
        </w:r>
        <w:r w:rsidR="00294DC2">
          <w:rPr>
            <w:webHidden/>
          </w:rPr>
          <w:tab/>
        </w:r>
        <w:r w:rsidR="00294DC2">
          <w:rPr>
            <w:webHidden/>
          </w:rPr>
          <w:fldChar w:fldCharType="begin"/>
        </w:r>
        <w:r w:rsidR="00294DC2">
          <w:rPr>
            <w:webHidden/>
          </w:rPr>
          <w:instrText xml:space="preserve"> PAGEREF _Toc400018643 \h </w:instrText>
        </w:r>
        <w:r w:rsidR="00294DC2">
          <w:rPr>
            <w:webHidden/>
          </w:rPr>
        </w:r>
        <w:r w:rsidR="00294DC2">
          <w:rPr>
            <w:webHidden/>
          </w:rPr>
          <w:fldChar w:fldCharType="separate"/>
        </w:r>
        <w:r w:rsidR="00294DC2">
          <w:rPr>
            <w:webHidden/>
          </w:rPr>
          <w:t>143</w:t>
        </w:r>
        <w:r w:rsidR="00294DC2">
          <w:rPr>
            <w:webHidden/>
          </w:rPr>
          <w:fldChar w:fldCharType="end"/>
        </w:r>
      </w:hyperlink>
    </w:p>
    <w:p w14:paraId="6D9EA237" w14:textId="77777777" w:rsidR="00294DC2" w:rsidRDefault="00311E08">
      <w:pPr>
        <w:pStyle w:val="TOC2"/>
        <w:rPr>
          <w:rFonts w:asciiTheme="minorHAnsi" w:eastAsiaTheme="minorEastAsia" w:hAnsiTheme="minorHAnsi" w:cstheme="minorBidi"/>
          <w:color w:val="auto"/>
          <w:spacing w:val="0"/>
          <w:sz w:val="22"/>
          <w:szCs w:val="22"/>
        </w:rPr>
      </w:pPr>
      <w:hyperlink w:anchor="_Toc400018644" w:history="1">
        <w:r w:rsidR="00294DC2" w:rsidRPr="00FB5042">
          <w:rPr>
            <w:rStyle w:val="Hyperlink"/>
          </w:rPr>
          <w:t>Property management</w:t>
        </w:r>
        <w:r w:rsidR="00294DC2">
          <w:rPr>
            <w:webHidden/>
          </w:rPr>
          <w:tab/>
        </w:r>
        <w:r w:rsidR="00294DC2">
          <w:rPr>
            <w:webHidden/>
          </w:rPr>
          <w:fldChar w:fldCharType="begin"/>
        </w:r>
        <w:r w:rsidR="00294DC2">
          <w:rPr>
            <w:webHidden/>
          </w:rPr>
          <w:instrText xml:space="preserve"> PAGEREF _Toc400018644 \h </w:instrText>
        </w:r>
        <w:r w:rsidR="00294DC2">
          <w:rPr>
            <w:webHidden/>
          </w:rPr>
        </w:r>
        <w:r w:rsidR="00294DC2">
          <w:rPr>
            <w:webHidden/>
          </w:rPr>
          <w:fldChar w:fldCharType="separate"/>
        </w:r>
        <w:r w:rsidR="00294DC2">
          <w:rPr>
            <w:webHidden/>
          </w:rPr>
          <w:t>143</w:t>
        </w:r>
        <w:r w:rsidR="00294DC2">
          <w:rPr>
            <w:webHidden/>
          </w:rPr>
          <w:fldChar w:fldCharType="end"/>
        </w:r>
      </w:hyperlink>
    </w:p>
    <w:p w14:paraId="79C21675" w14:textId="77777777" w:rsidR="00294DC2" w:rsidRDefault="00311E08">
      <w:pPr>
        <w:pStyle w:val="TOC3"/>
        <w:rPr>
          <w:rFonts w:asciiTheme="minorHAnsi" w:eastAsiaTheme="minorEastAsia" w:hAnsiTheme="minorHAnsi" w:cstheme="minorBidi"/>
          <w:color w:val="auto"/>
        </w:rPr>
      </w:pPr>
      <w:hyperlink w:anchor="_Toc400018645" w:history="1">
        <w:r w:rsidR="00294DC2" w:rsidRPr="00FB5042">
          <w:rPr>
            <w:rStyle w:val="Hyperlink"/>
          </w:rPr>
          <w:t>Ecologically sustainable development and environmental performance</w:t>
        </w:r>
        <w:r w:rsidR="00294DC2">
          <w:rPr>
            <w:webHidden/>
          </w:rPr>
          <w:tab/>
        </w:r>
        <w:r w:rsidR="00294DC2">
          <w:rPr>
            <w:webHidden/>
          </w:rPr>
          <w:fldChar w:fldCharType="begin"/>
        </w:r>
        <w:r w:rsidR="00294DC2">
          <w:rPr>
            <w:webHidden/>
          </w:rPr>
          <w:instrText xml:space="preserve"> PAGEREF _Toc400018645 \h </w:instrText>
        </w:r>
        <w:r w:rsidR="00294DC2">
          <w:rPr>
            <w:webHidden/>
          </w:rPr>
        </w:r>
        <w:r w:rsidR="00294DC2">
          <w:rPr>
            <w:webHidden/>
          </w:rPr>
          <w:fldChar w:fldCharType="separate"/>
        </w:r>
        <w:r w:rsidR="00294DC2">
          <w:rPr>
            <w:webHidden/>
          </w:rPr>
          <w:t>144</w:t>
        </w:r>
        <w:r w:rsidR="00294DC2">
          <w:rPr>
            <w:webHidden/>
          </w:rPr>
          <w:fldChar w:fldCharType="end"/>
        </w:r>
      </w:hyperlink>
    </w:p>
    <w:p w14:paraId="509A16B7" w14:textId="77CAD57B" w:rsidR="00152903" w:rsidRPr="001E2783" w:rsidRDefault="00294DC2" w:rsidP="00332011">
      <w:pPr>
        <w:rPr>
          <w:rFonts w:cs="Arial"/>
        </w:rPr>
      </w:pPr>
      <w:r>
        <w:rPr>
          <w:rFonts w:cs="Arial"/>
          <w:b/>
          <w:noProof/>
          <w:spacing w:val="-14"/>
          <w:sz w:val="28"/>
          <w:szCs w:val="28"/>
        </w:rPr>
        <w:fldChar w:fldCharType="end"/>
      </w:r>
    </w:p>
    <w:p w14:paraId="42665CD2" w14:textId="77777777" w:rsidR="000A4A51" w:rsidRPr="001E2783" w:rsidRDefault="000A4A51">
      <w:pPr>
        <w:rPr>
          <w:rFonts w:cs="Arial"/>
        </w:rPr>
      </w:pPr>
    </w:p>
    <w:p w14:paraId="6C03C52B" w14:textId="77777777" w:rsidR="004D56FF" w:rsidRPr="001E2783" w:rsidRDefault="004D56FF">
      <w:pPr>
        <w:rPr>
          <w:rFonts w:cs="Arial"/>
        </w:rPr>
        <w:sectPr w:rsidR="004D56FF" w:rsidRPr="001E2783" w:rsidSect="00E54AEA">
          <w:headerReference w:type="even" r:id="rId22"/>
          <w:headerReference w:type="default" r:id="rId23"/>
          <w:footerReference w:type="even" r:id="rId24"/>
          <w:footerReference w:type="default" r:id="rId25"/>
          <w:footerReference w:type="first" r:id="rId26"/>
          <w:pgSz w:w="11906" w:h="16838" w:code="9"/>
          <w:pgMar w:top="3924" w:right="1797" w:bottom="1440" w:left="1134" w:header="709" w:footer="119" w:gutter="0"/>
          <w:cols w:space="708"/>
          <w:titlePg/>
          <w:docGrid w:linePitch="360"/>
        </w:sectPr>
      </w:pPr>
    </w:p>
    <w:p w14:paraId="67AFFD80" w14:textId="1392DA23" w:rsidR="00CC119D" w:rsidRPr="001E2783" w:rsidRDefault="008F60A8" w:rsidP="00CC119D">
      <w:pPr>
        <w:rPr>
          <w:rFonts w:cs="Arial"/>
        </w:rPr>
      </w:pPr>
      <w:r w:rsidRPr="001E2783">
        <w:rPr>
          <w:rFonts w:cs="Arial"/>
          <w:noProof/>
        </w:rPr>
        <w:drawing>
          <wp:inline distT="0" distB="0" distL="0" distR="0" wp14:anchorId="03C72BD6" wp14:editId="5714D343">
            <wp:extent cx="5669620" cy="8014836"/>
            <wp:effectExtent l="57150" t="0" r="64770" b="120015"/>
            <wp:docPr id="1" name="Picture 1" descr="30 September 2014&#10;&#10;The Hon. Malcolm Turnbull, MP&#10;Minister for Communications &#10;Parliament House&#10;Canberra  ACT  2600&#10;&#10;Dear Minister&#10;In accordance with subsection 57(1) of the Australian Communications and Media Authority Act 2005, I am pleased to present the annual report on the operations of the Australian Communications and Media Authority (the ACMA) for the 2013–14 reporting year.&#10;Please note that subsection 57(3) of that Act requires that you table the report in each House of Parliament within 15 days of receiving it.&#10;In line with the Commonwealth Fraud Control Guidelines 2011, I certify that the ACMA has fraud risk assessments and fraud control plans in place including appropriate fraud prevention, detection, investigation, reporting and data collection procedures and processes that meet the specific needs of the agency. The ACMA has taken all reasonable measures to minimise the incidence of fraud in the agency, and to investigate and recover the proceeds of fraud against the agency.&#10;&#10;Yours sincerely&#10;Chris Chapman&#10;Chairman&#10;" title="Letter of transmitt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5677298" cy="8025691"/>
                    </a:xfrm>
                    <a:prstGeom prst="rect">
                      <a:avLst/>
                    </a:prstGeom>
                    <a:effectLst>
                      <a:outerShdw blurRad="50800" dist="50800" dir="5400000" algn="ctr" rotWithShape="0">
                        <a:schemeClr val="bg1">
                          <a:lumMod val="85000"/>
                        </a:schemeClr>
                      </a:outerShdw>
                    </a:effectLst>
                  </pic:spPr>
                </pic:pic>
              </a:graphicData>
            </a:graphic>
          </wp:inline>
        </w:drawing>
      </w:r>
    </w:p>
    <w:p w14:paraId="659D1381" w14:textId="77777777" w:rsidR="00CC119D" w:rsidRPr="001E2783" w:rsidRDefault="00CC119D" w:rsidP="001A5F93">
      <w:pPr>
        <w:rPr>
          <w:rFonts w:cs="Arial"/>
        </w:rPr>
      </w:pPr>
      <w:r w:rsidRPr="001E2783">
        <w:rPr>
          <w:rFonts w:cs="Arial"/>
        </w:rPr>
        <w:br w:type="page"/>
      </w:r>
    </w:p>
    <w:p w14:paraId="56022D4E" w14:textId="77777777" w:rsidR="00CC119D" w:rsidRPr="001E2783" w:rsidRDefault="00CC119D" w:rsidP="001E2783">
      <w:pPr>
        <w:pStyle w:val="ExecSummaryHeading"/>
      </w:pPr>
      <w:bookmarkStart w:id="0" w:name="_Toc337727476"/>
      <w:bookmarkStart w:id="1" w:name="_Toc400018462"/>
      <w:r w:rsidRPr="001E2783">
        <w:t>Chairman’s foreword</w:t>
      </w:r>
      <w:bookmarkEnd w:id="0"/>
      <w:bookmarkEnd w:id="1"/>
      <w:r w:rsidRPr="001E2783">
        <w:t xml:space="preserve"> </w:t>
      </w:r>
    </w:p>
    <w:p w14:paraId="2C90E354" w14:textId="77777777" w:rsidR="00B06353" w:rsidRPr="001E2783" w:rsidRDefault="00B06353" w:rsidP="00B06353">
      <w:pPr>
        <w:rPr>
          <w:rFonts w:eastAsia="Calibri" w:cs="Arial"/>
          <w:lang w:eastAsia="en-US"/>
        </w:rPr>
      </w:pPr>
      <w:bookmarkStart w:id="2" w:name="_Toc266364870"/>
      <w:bookmarkStart w:id="3" w:name="_Toc337727487"/>
      <w:r w:rsidRPr="001E2783">
        <w:rPr>
          <w:rFonts w:eastAsia="Calibri" w:cs="Arial"/>
          <w:lang w:eastAsia="en-US"/>
        </w:rPr>
        <w:t>The Australian Communications and Media Authority, created as a ‘converged’ regulator, continued to engage energetically during 2013–14 with the challenge of constant pressures for change, bridging the ‘legacy worlds’ of telecommunications, broadcasting, radiocommunications and the internet to emerging technologies and social trends.</w:t>
      </w:r>
    </w:p>
    <w:p w14:paraId="4D6DC6C3" w14:textId="77777777" w:rsidR="00B06353" w:rsidRPr="001E2783" w:rsidRDefault="00B06353" w:rsidP="00B06353">
      <w:pPr>
        <w:rPr>
          <w:rFonts w:eastAsia="Calibri" w:cs="Arial"/>
          <w:lang w:eastAsia="en-US"/>
        </w:rPr>
      </w:pPr>
    </w:p>
    <w:p w14:paraId="076EF7FE" w14:textId="568AE5B2" w:rsidR="00B06353" w:rsidRPr="001E2783" w:rsidRDefault="00B06353" w:rsidP="00B06353">
      <w:pPr>
        <w:rPr>
          <w:rFonts w:eastAsia="Calibri" w:cs="Arial"/>
          <w:lang w:eastAsia="en-US"/>
        </w:rPr>
      </w:pPr>
      <w:r w:rsidRPr="001E2783">
        <w:rPr>
          <w:rFonts w:eastAsia="Calibri" w:cs="Arial"/>
          <w:lang w:eastAsia="en-US"/>
        </w:rPr>
        <w:t xml:space="preserve">The ACMA’s practical thought-leadership work in the ‘first principles’ </w:t>
      </w:r>
      <w:r w:rsidRPr="001E2783">
        <w:rPr>
          <w:rFonts w:eastAsia="Calibri" w:cs="Arial"/>
          <w:i/>
          <w:lang w:eastAsia="en-US"/>
        </w:rPr>
        <w:t>Contemporary community safeguards inquiry</w:t>
      </w:r>
      <w:r w:rsidRPr="001E2783">
        <w:rPr>
          <w:rFonts w:eastAsia="Calibri" w:cs="Arial"/>
          <w:lang w:eastAsia="en-US"/>
        </w:rPr>
        <w:t xml:space="preserve"> review of the framework of broadcasting codes regulation was brought to a successful resting point with publication in </w:t>
      </w:r>
      <w:r w:rsidR="006F65F9" w:rsidRPr="001E2783">
        <w:rPr>
          <w:rFonts w:eastAsia="Calibri" w:cs="Arial"/>
          <w:lang w:eastAsia="en-US"/>
        </w:rPr>
        <w:t>March</w:t>
      </w:r>
      <w:r w:rsidRPr="001E2783">
        <w:rPr>
          <w:rFonts w:eastAsia="Calibri" w:cs="Arial"/>
          <w:lang w:eastAsia="en-US"/>
        </w:rPr>
        <w:t xml:space="preserve"> 2014 of our consolidated report. This outlined the directions emerging from the inquiry, associated consultation and our very useful research findings.</w:t>
      </w:r>
    </w:p>
    <w:p w14:paraId="472C73E2" w14:textId="77777777" w:rsidR="00B06353" w:rsidRPr="001E2783" w:rsidRDefault="00B06353" w:rsidP="00B06353">
      <w:pPr>
        <w:rPr>
          <w:rFonts w:eastAsia="Calibri" w:cs="Arial"/>
          <w:lang w:eastAsia="en-US"/>
        </w:rPr>
      </w:pPr>
    </w:p>
    <w:p w14:paraId="0F66902D" w14:textId="77777777" w:rsidR="00B06353" w:rsidRPr="001E2783" w:rsidRDefault="00B06353" w:rsidP="00B06353">
      <w:pPr>
        <w:rPr>
          <w:rFonts w:eastAsia="Calibri" w:cs="Arial"/>
          <w:lang w:eastAsia="en-US"/>
        </w:rPr>
      </w:pPr>
      <w:r w:rsidRPr="001E2783">
        <w:rPr>
          <w:rFonts w:eastAsia="Calibri" w:cs="Arial"/>
          <w:lang w:eastAsia="en-US"/>
        </w:rPr>
        <w:t>Recent high-profile outcomes demonstrate the rigour of our work in broadcasting investigations, which are frequently matters of considerable public interest. In June 2014, the Federal Court of Australia dismissed three separate applications for judicial review of adverse investigation findings. These matters covered compliance with requirements in the Commercial Television Industry Code of Practice 2010 to present factual material accurately and represent viewpoints fairly.</w:t>
      </w:r>
    </w:p>
    <w:p w14:paraId="6CB5D77A" w14:textId="77777777" w:rsidR="00B06353" w:rsidRPr="001E2783" w:rsidRDefault="00B06353" w:rsidP="00B06353">
      <w:pPr>
        <w:rPr>
          <w:rFonts w:eastAsia="Calibri" w:cs="Arial"/>
          <w:lang w:eastAsia="en-US"/>
        </w:rPr>
      </w:pPr>
    </w:p>
    <w:p w14:paraId="171847F4" w14:textId="77777777" w:rsidR="00B06353" w:rsidRPr="001E2783" w:rsidRDefault="00B06353" w:rsidP="00B06353">
      <w:pPr>
        <w:rPr>
          <w:rFonts w:eastAsia="Calibri" w:cs="Arial"/>
          <w:lang w:eastAsia="en-US"/>
        </w:rPr>
      </w:pPr>
      <w:r w:rsidRPr="001E2783">
        <w:rPr>
          <w:rFonts w:eastAsia="Calibri" w:cs="Arial"/>
          <w:lang w:eastAsia="en-US"/>
        </w:rPr>
        <w:t xml:space="preserve">There was generally supportive stakeholder reception for another broadcasting investigation decision, finalised after careful consideration, on an ABC television broadcast of </w:t>
      </w:r>
      <w:r w:rsidRPr="001E2783">
        <w:rPr>
          <w:rFonts w:eastAsia="Calibri" w:cs="Arial"/>
          <w:i/>
          <w:lang w:eastAsia="en-US"/>
        </w:rPr>
        <w:t>The Hamster Decides</w:t>
      </w:r>
      <w:r w:rsidRPr="001E2783">
        <w:rPr>
          <w:rFonts w:eastAsia="Calibri" w:cs="Arial"/>
          <w:lang w:eastAsia="en-US"/>
        </w:rPr>
        <w:t>. The ACMA found this broadcast breached the ABC Code of Practice 2011 requirement that content that is likely to cause harm or offence must be justified by its editorial context.</w:t>
      </w:r>
    </w:p>
    <w:p w14:paraId="198D0D05" w14:textId="77777777" w:rsidR="00B06353" w:rsidRPr="001E2783" w:rsidRDefault="00B06353" w:rsidP="00B06353">
      <w:pPr>
        <w:rPr>
          <w:rFonts w:eastAsia="Calibri" w:cs="Arial"/>
          <w:lang w:eastAsia="en-US"/>
        </w:rPr>
      </w:pPr>
    </w:p>
    <w:p w14:paraId="53394731" w14:textId="77777777" w:rsidR="00B06353" w:rsidRPr="001E2783" w:rsidRDefault="00B06353" w:rsidP="00B06353">
      <w:pPr>
        <w:rPr>
          <w:rFonts w:eastAsia="Calibri" w:cs="Arial"/>
          <w:lang w:eastAsia="en-US"/>
        </w:rPr>
      </w:pPr>
      <w:r w:rsidRPr="001E2783">
        <w:rPr>
          <w:rFonts w:eastAsia="Calibri" w:cs="Arial"/>
          <w:lang w:eastAsia="en-US"/>
        </w:rPr>
        <w:t>The year also saw the launch of the research</w:t>
      </w:r>
      <w:r w:rsidRPr="001E2783">
        <w:rPr>
          <w:rFonts w:eastAsia="Calibri" w:cs="Arial"/>
          <w:b/>
          <w:lang w:eastAsia="en-US"/>
        </w:rPr>
        <w:t>acma</w:t>
      </w:r>
      <w:r w:rsidRPr="001E2783">
        <w:rPr>
          <w:rFonts w:eastAsia="Calibri" w:cs="Arial"/>
          <w:lang w:eastAsia="en-US"/>
        </w:rPr>
        <w:t xml:space="preserve"> brand program with the tagline ‘evidence that informs’, a neat and useful summary of our intent. This ACMA sub-brand is designed to communicate the conceptual</w:t>
      </w:r>
      <w:r w:rsidR="00EB30F9" w:rsidRPr="001E2783">
        <w:rPr>
          <w:rFonts w:eastAsia="Calibri" w:cs="Arial"/>
          <w:lang w:eastAsia="en-US"/>
        </w:rPr>
        <w:t xml:space="preserve"> </w:t>
      </w:r>
      <w:r w:rsidRPr="001E2783">
        <w:rPr>
          <w:rFonts w:eastAsia="Calibri" w:cs="Arial"/>
          <w:lang w:eastAsia="en-US"/>
        </w:rPr>
        <w:t>framework and context of our research</w:t>
      </w:r>
      <w:r w:rsidR="00EB30F9" w:rsidRPr="001E2783">
        <w:rPr>
          <w:rFonts w:eastAsia="Calibri" w:cs="Arial"/>
          <w:lang w:eastAsia="en-US"/>
        </w:rPr>
        <w:t xml:space="preserve"> </w:t>
      </w:r>
      <w:r w:rsidRPr="001E2783">
        <w:rPr>
          <w:rFonts w:eastAsia="Calibri" w:cs="Arial"/>
          <w:lang w:eastAsia="en-US"/>
        </w:rPr>
        <w:t>program, as well as to make accessible its</w:t>
      </w:r>
      <w:r w:rsidR="00EB30F9" w:rsidRPr="001E2783">
        <w:rPr>
          <w:rFonts w:eastAsia="Calibri" w:cs="Arial"/>
          <w:lang w:eastAsia="en-US"/>
        </w:rPr>
        <w:t xml:space="preserve"> </w:t>
      </w:r>
      <w:r w:rsidRPr="001E2783">
        <w:rPr>
          <w:rFonts w:eastAsia="Calibri" w:cs="Arial"/>
          <w:lang w:eastAsia="en-US"/>
        </w:rPr>
        <w:t>output, which examines a broad cross-section</w:t>
      </w:r>
      <w:r w:rsidR="00EB30F9" w:rsidRPr="001E2783">
        <w:rPr>
          <w:rFonts w:eastAsia="Calibri" w:cs="Arial"/>
          <w:lang w:eastAsia="en-US"/>
        </w:rPr>
        <w:t xml:space="preserve"> </w:t>
      </w:r>
      <w:r w:rsidRPr="001E2783">
        <w:rPr>
          <w:rFonts w:eastAsia="Calibri" w:cs="Arial"/>
          <w:lang w:eastAsia="en-US"/>
        </w:rPr>
        <w:t>of topical issues representing a suite of</w:t>
      </w:r>
      <w:r w:rsidR="00EB30F9" w:rsidRPr="001E2783">
        <w:rPr>
          <w:rFonts w:eastAsia="Calibri" w:cs="Arial"/>
          <w:lang w:eastAsia="en-US"/>
        </w:rPr>
        <w:t xml:space="preserve"> </w:t>
      </w:r>
      <w:r w:rsidRPr="001E2783">
        <w:rPr>
          <w:rFonts w:eastAsia="Calibri" w:cs="Arial"/>
          <w:lang w:eastAsia="en-US"/>
        </w:rPr>
        <w:t>research products for different audiences.</w:t>
      </w:r>
    </w:p>
    <w:p w14:paraId="576CFC7D" w14:textId="77777777" w:rsidR="00EB30F9" w:rsidRPr="001E2783" w:rsidRDefault="00EB30F9" w:rsidP="00B06353">
      <w:pPr>
        <w:rPr>
          <w:rFonts w:eastAsia="Calibri" w:cs="Arial"/>
          <w:lang w:eastAsia="en-US"/>
        </w:rPr>
      </w:pPr>
    </w:p>
    <w:p w14:paraId="0B1F3183" w14:textId="77777777" w:rsidR="00B06353" w:rsidRPr="001E2783" w:rsidRDefault="00B06353" w:rsidP="00B06353">
      <w:pPr>
        <w:rPr>
          <w:rFonts w:eastAsia="Calibri" w:cs="Arial"/>
          <w:lang w:eastAsia="en-US"/>
        </w:rPr>
      </w:pPr>
      <w:r w:rsidRPr="001E2783">
        <w:rPr>
          <w:rFonts w:eastAsia="Calibri" w:cs="Arial"/>
          <w:lang w:eastAsia="en-US"/>
        </w:rPr>
        <w:t>A key research</w:t>
      </w:r>
      <w:r w:rsidRPr="001E2783">
        <w:rPr>
          <w:rFonts w:eastAsia="Calibri" w:cs="Arial"/>
          <w:b/>
          <w:lang w:eastAsia="en-US"/>
        </w:rPr>
        <w:t>acma</w:t>
      </w:r>
      <w:r w:rsidRPr="001E2783">
        <w:rPr>
          <w:rFonts w:eastAsia="Calibri" w:cs="Arial"/>
          <w:lang w:eastAsia="en-US"/>
        </w:rPr>
        <w:t xml:space="preserve"> output was </w:t>
      </w:r>
      <w:r w:rsidRPr="001E2783">
        <w:rPr>
          <w:rFonts w:eastAsia="Calibri" w:cs="Arial"/>
          <w:i/>
          <w:lang w:eastAsia="en-US"/>
        </w:rPr>
        <w:t>The</w:t>
      </w:r>
      <w:r w:rsidR="00EB30F9" w:rsidRPr="001E2783">
        <w:rPr>
          <w:rFonts w:eastAsia="Calibri" w:cs="Arial"/>
          <w:i/>
          <w:lang w:eastAsia="en-US"/>
        </w:rPr>
        <w:t xml:space="preserve"> </w:t>
      </w:r>
      <w:r w:rsidRPr="001E2783">
        <w:rPr>
          <w:rFonts w:eastAsia="Calibri" w:cs="Arial"/>
          <w:i/>
          <w:lang w:eastAsia="en-US"/>
        </w:rPr>
        <w:t>economic impacts of mobile broadband on</w:t>
      </w:r>
      <w:r w:rsidR="00EB30F9" w:rsidRPr="001E2783">
        <w:rPr>
          <w:rFonts w:eastAsia="Calibri" w:cs="Arial"/>
          <w:i/>
          <w:lang w:eastAsia="en-US"/>
        </w:rPr>
        <w:t xml:space="preserve"> </w:t>
      </w:r>
      <w:r w:rsidRPr="001E2783">
        <w:rPr>
          <w:rFonts w:eastAsia="Calibri" w:cs="Arial"/>
          <w:i/>
          <w:lang w:eastAsia="en-US"/>
        </w:rPr>
        <w:t>the Australian economy, from 2006 to 2013</w:t>
      </w:r>
      <w:r w:rsidRPr="001E2783">
        <w:rPr>
          <w:rFonts w:eastAsia="Calibri" w:cs="Arial"/>
          <w:lang w:eastAsia="en-US"/>
        </w:rPr>
        <w:t>.</w:t>
      </w:r>
      <w:r w:rsidR="00EB30F9" w:rsidRPr="001E2783">
        <w:rPr>
          <w:rFonts w:eastAsia="Calibri" w:cs="Arial"/>
          <w:lang w:eastAsia="en-US"/>
        </w:rPr>
        <w:t xml:space="preserve"> </w:t>
      </w:r>
      <w:r w:rsidRPr="001E2783">
        <w:rPr>
          <w:rFonts w:eastAsia="Calibri" w:cs="Arial"/>
          <w:lang w:eastAsia="en-US"/>
        </w:rPr>
        <w:t>Among many other fascinating facts, the</w:t>
      </w:r>
      <w:r w:rsidR="00EB30F9" w:rsidRPr="001E2783">
        <w:rPr>
          <w:rFonts w:eastAsia="Calibri" w:cs="Arial"/>
          <w:lang w:eastAsia="en-US"/>
        </w:rPr>
        <w:t xml:space="preserve"> </w:t>
      </w:r>
      <w:r w:rsidRPr="001E2783">
        <w:rPr>
          <w:rFonts w:eastAsia="Calibri" w:cs="Arial"/>
          <w:lang w:eastAsia="en-US"/>
        </w:rPr>
        <w:t>report demonstrated that every Australian now</w:t>
      </w:r>
      <w:r w:rsidR="00EB30F9" w:rsidRPr="001E2783">
        <w:rPr>
          <w:rFonts w:eastAsia="Calibri" w:cs="Arial"/>
          <w:lang w:eastAsia="en-US"/>
        </w:rPr>
        <w:t xml:space="preserve"> </w:t>
      </w:r>
      <w:r w:rsidRPr="001E2783">
        <w:rPr>
          <w:rFonts w:eastAsia="Calibri" w:cs="Arial"/>
          <w:lang w:eastAsia="en-US"/>
        </w:rPr>
        <w:t>effectively has, on average, $652 more cash in</w:t>
      </w:r>
      <w:r w:rsidR="00EB30F9" w:rsidRPr="001E2783">
        <w:rPr>
          <w:rFonts w:eastAsia="Calibri" w:cs="Arial"/>
          <w:lang w:eastAsia="en-US"/>
        </w:rPr>
        <w:t xml:space="preserve"> </w:t>
      </w:r>
      <w:r w:rsidRPr="001E2783">
        <w:rPr>
          <w:rFonts w:eastAsia="Calibri" w:cs="Arial"/>
          <w:lang w:eastAsia="en-US"/>
        </w:rPr>
        <w:t>their pocket each year additional to what they</w:t>
      </w:r>
      <w:r w:rsidR="00EB30F9" w:rsidRPr="001E2783">
        <w:rPr>
          <w:rFonts w:eastAsia="Calibri" w:cs="Arial"/>
          <w:lang w:eastAsia="en-US"/>
        </w:rPr>
        <w:t xml:space="preserve"> </w:t>
      </w:r>
      <w:r w:rsidRPr="001E2783">
        <w:rPr>
          <w:rFonts w:eastAsia="Calibri" w:cs="Arial"/>
          <w:lang w:eastAsia="en-US"/>
        </w:rPr>
        <w:t>would have if mobile broadband spectrum was</w:t>
      </w:r>
      <w:r w:rsidR="00EB30F9" w:rsidRPr="001E2783">
        <w:rPr>
          <w:rFonts w:eastAsia="Calibri" w:cs="Arial"/>
          <w:lang w:eastAsia="en-US"/>
        </w:rPr>
        <w:t xml:space="preserve"> </w:t>
      </w:r>
      <w:r w:rsidRPr="001E2783">
        <w:rPr>
          <w:rFonts w:eastAsia="Calibri" w:cs="Arial"/>
          <w:lang w:eastAsia="en-US"/>
        </w:rPr>
        <w:t>not being released and utilised. The release of</w:t>
      </w:r>
      <w:r w:rsidR="00EB30F9" w:rsidRPr="001E2783">
        <w:rPr>
          <w:rFonts w:eastAsia="Calibri" w:cs="Arial"/>
          <w:lang w:eastAsia="en-US"/>
        </w:rPr>
        <w:t xml:space="preserve"> </w:t>
      </w:r>
      <w:r w:rsidRPr="001E2783">
        <w:rPr>
          <w:rFonts w:eastAsia="Calibri" w:cs="Arial"/>
          <w:lang w:eastAsia="en-US"/>
        </w:rPr>
        <w:t>this work was a particular highlight of another</w:t>
      </w:r>
      <w:r w:rsidR="00EB30F9" w:rsidRPr="001E2783">
        <w:rPr>
          <w:rFonts w:eastAsia="Calibri" w:cs="Arial"/>
          <w:lang w:eastAsia="en-US"/>
        </w:rPr>
        <w:t xml:space="preserve"> </w:t>
      </w:r>
      <w:r w:rsidRPr="001E2783">
        <w:rPr>
          <w:rFonts w:eastAsia="Calibri" w:cs="Arial"/>
          <w:lang w:eastAsia="en-US"/>
        </w:rPr>
        <w:t xml:space="preserve">in the highly successful series of </w:t>
      </w:r>
      <w:r w:rsidRPr="001E2783">
        <w:rPr>
          <w:rFonts w:eastAsia="Calibri" w:cs="Arial"/>
          <w:i/>
          <w:lang w:eastAsia="en-US"/>
        </w:rPr>
        <w:t>RadComms</w:t>
      </w:r>
      <w:r w:rsidR="00EB30F9" w:rsidRPr="001E2783">
        <w:rPr>
          <w:rFonts w:eastAsia="Calibri" w:cs="Arial"/>
          <w:lang w:eastAsia="en-US"/>
        </w:rPr>
        <w:t xml:space="preserve"> </w:t>
      </w:r>
      <w:r w:rsidRPr="001E2783">
        <w:rPr>
          <w:rFonts w:eastAsia="Calibri" w:cs="Arial"/>
          <w:lang w:eastAsia="en-US"/>
        </w:rPr>
        <w:t>conferences.</w:t>
      </w:r>
    </w:p>
    <w:p w14:paraId="46BB29DC" w14:textId="77777777" w:rsidR="00EB30F9" w:rsidRPr="001E2783" w:rsidRDefault="00EB30F9" w:rsidP="00B06353">
      <w:pPr>
        <w:rPr>
          <w:rFonts w:eastAsia="Calibri" w:cs="Arial"/>
          <w:lang w:eastAsia="en-US"/>
        </w:rPr>
      </w:pPr>
    </w:p>
    <w:p w14:paraId="1541AA67" w14:textId="77777777" w:rsidR="00B06353" w:rsidRPr="001E2783" w:rsidRDefault="00B06353" w:rsidP="00B06353">
      <w:pPr>
        <w:rPr>
          <w:rFonts w:eastAsia="Calibri" w:cs="Arial"/>
          <w:lang w:eastAsia="en-US"/>
        </w:rPr>
      </w:pPr>
      <w:r w:rsidRPr="001E2783">
        <w:rPr>
          <w:rFonts w:eastAsia="Calibri" w:cs="Arial"/>
          <w:lang w:eastAsia="en-US"/>
        </w:rPr>
        <w:t>The ACMA has undertaken a strategic</w:t>
      </w:r>
      <w:r w:rsidR="00EB30F9" w:rsidRPr="001E2783">
        <w:rPr>
          <w:rFonts w:eastAsia="Calibri" w:cs="Arial"/>
          <w:lang w:eastAsia="en-US"/>
        </w:rPr>
        <w:t xml:space="preserve"> </w:t>
      </w:r>
      <w:r w:rsidRPr="001E2783">
        <w:rPr>
          <w:rFonts w:eastAsia="Calibri" w:cs="Arial"/>
          <w:lang w:eastAsia="en-US"/>
        </w:rPr>
        <w:t>approach in supporting the growth of</w:t>
      </w:r>
      <w:r w:rsidR="00EB30F9" w:rsidRPr="001E2783">
        <w:rPr>
          <w:rFonts w:eastAsia="Calibri" w:cs="Arial"/>
          <w:lang w:eastAsia="en-US"/>
        </w:rPr>
        <w:t xml:space="preserve"> </w:t>
      </w:r>
      <w:r w:rsidRPr="001E2783">
        <w:rPr>
          <w:rFonts w:eastAsia="Calibri" w:cs="Arial"/>
          <w:lang w:eastAsia="en-US"/>
        </w:rPr>
        <w:t>mobile broadband demand to meet the</w:t>
      </w:r>
      <w:r w:rsidR="00EB30F9" w:rsidRPr="001E2783">
        <w:rPr>
          <w:rFonts w:eastAsia="Calibri" w:cs="Arial"/>
          <w:lang w:eastAsia="en-US"/>
        </w:rPr>
        <w:t xml:space="preserve"> </w:t>
      </w:r>
      <w:r w:rsidRPr="001E2783">
        <w:rPr>
          <w:rFonts w:eastAsia="Calibri" w:cs="Arial"/>
          <w:lang w:eastAsia="en-US"/>
        </w:rPr>
        <w:t>associated spectrum requirements. We</w:t>
      </w:r>
      <w:r w:rsidR="00EB30F9" w:rsidRPr="001E2783">
        <w:rPr>
          <w:rFonts w:eastAsia="Calibri" w:cs="Arial"/>
          <w:lang w:eastAsia="en-US"/>
        </w:rPr>
        <w:t xml:space="preserve"> </w:t>
      </w:r>
      <w:r w:rsidRPr="001E2783">
        <w:rPr>
          <w:rFonts w:eastAsia="Calibri" w:cs="Arial"/>
          <w:lang w:eastAsia="en-US"/>
        </w:rPr>
        <w:t>are actively engaged with the Department</w:t>
      </w:r>
      <w:r w:rsidR="00EB30F9" w:rsidRPr="001E2783">
        <w:rPr>
          <w:rFonts w:eastAsia="Calibri" w:cs="Arial"/>
          <w:lang w:eastAsia="en-US"/>
        </w:rPr>
        <w:t xml:space="preserve"> </w:t>
      </w:r>
      <w:r w:rsidRPr="001E2783">
        <w:rPr>
          <w:rFonts w:eastAsia="Calibri" w:cs="Arial"/>
          <w:lang w:eastAsia="en-US"/>
        </w:rPr>
        <w:t>of Communications’ review of Australia’s</w:t>
      </w:r>
      <w:r w:rsidR="00EB30F9" w:rsidRPr="001E2783">
        <w:rPr>
          <w:rFonts w:eastAsia="Calibri" w:cs="Arial"/>
          <w:lang w:eastAsia="en-US"/>
        </w:rPr>
        <w:t xml:space="preserve"> </w:t>
      </w:r>
      <w:r w:rsidRPr="001E2783">
        <w:rPr>
          <w:rFonts w:eastAsia="Calibri" w:cs="Arial"/>
          <w:lang w:eastAsia="en-US"/>
        </w:rPr>
        <w:t>spectrum policy and management framework,</w:t>
      </w:r>
      <w:r w:rsidR="00EB30F9" w:rsidRPr="001E2783">
        <w:rPr>
          <w:rFonts w:eastAsia="Calibri" w:cs="Arial"/>
          <w:lang w:eastAsia="en-US"/>
        </w:rPr>
        <w:t xml:space="preserve"> </w:t>
      </w:r>
      <w:r w:rsidRPr="001E2783">
        <w:rPr>
          <w:rFonts w:eastAsia="Calibri" w:cs="Arial"/>
          <w:lang w:eastAsia="en-US"/>
        </w:rPr>
        <w:t>which we see as a once-in-a-generation</w:t>
      </w:r>
      <w:r w:rsidR="00EB30F9" w:rsidRPr="001E2783">
        <w:rPr>
          <w:rFonts w:eastAsia="Calibri" w:cs="Arial"/>
          <w:lang w:eastAsia="en-US"/>
        </w:rPr>
        <w:t xml:space="preserve"> </w:t>
      </w:r>
      <w:r w:rsidRPr="001E2783">
        <w:rPr>
          <w:rFonts w:eastAsia="Calibri" w:cs="Arial"/>
          <w:lang w:eastAsia="en-US"/>
        </w:rPr>
        <w:t>opportunity to give Australia the necessary</w:t>
      </w:r>
      <w:r w:rsidR="00EB30F9" w:rsidRPr="001E2783">
        <w:rPr>
          <w:rFonts w:eastAsia="Calibri" w:cs="Arial"/>
          <w:lang w:eastAsia="en-US"/>
        </w:rPr>
        <w:t xml:space="preserve"> </w:t>
      </w:r>
      <w:r w:rsidRPr="001E2783">
        <w:rPr>
          <w:rFonts w:eastAsia="Calibri" w:cs="Arial"/>
          <w:lang w:eastAsia="en-US"/>
        </w:rPr>
        <w:t>toolkit to continue our leadership in spectrum</w:t>
      </w:r>
      <w:r w:rsidR="00EB30F9" w:rsidRPr="001E2783">
        <w:rPr>
          <w:rFonts w:eastAsia="Calibri" w:cs="Arial"/>
          <w:lang w:eastAsia="en-US"/>
        </w:rPr>
        <w:t xml:space="preserve"> </w:t>
      </w:r>
      <w:r w:rsidRPr="001E2783">
        <w:rPr>
          <w:rFonts w:eastAsia="Calibri" w:cs="Arial"/>
          <w:lang w:eastAsia="en-US"/>
        </w:rPr>
        <w:t>management.</w:t>
      </w:r>
    </w:p>
    <w:p w14:paraId="1332DDDA" w14:textId="77777777" w:rsidR="00EB30F9" w:rsidRPr="001E2783" w:rsidRDefault="00EB30F9" w:rsidP="00B06353">
      <w:pPr>
        <w:rPr>
          <w:rFonts w:eastAsia="Calibri" w:cs="Arial"/>
          <w:lang w:eastAsia="en-US"/>
        </w:rPr>
      </w:pPr>
    </w:p>
    <w:p w14:paraId="2175C306" w14:textId="77777777" w:rsidR="00B06353" w:rsidRPr="001E2783" w:rsidRDefault="00B06353" w:rsidP="00294DC2">
      <w:pPr>
        <w:pageBreakBefore/>
        <w:rPr>
          <w:rFonts w:eastAsia="Calibri" w:cs="Arial"/>
          <w:lang w:eastAsia="en-US"/>
        </w:rPr>
      </w:pPr>
      <w:r w:rsidRPr="001E2783">
        <w:rPr>
          <w:rFonts w:eastAsia="Calibri" w:cs="Arial"/>
          <w:lang w:eastAsia="en-US"/>
        </w:rPr>
        <w:t>Internationally, the ACMA continues to be an</w:t>
      </w:r>
      <w:r w:rsidR="00EB30F9" w:rsidRPr="001E2783">
        <w:rPr>
          <w:rFonts w:eastAsia="Calibri" w:cs="Arial"/>
          <w:lang w:eastAsia="en-US"/>
        </w:rPr>
        <w:t xml:space="preserve"> </w:t>
      </w:r>
      <w:r w:rsidRPr="001E2783">
        <w:rPr>
          <w:rFonts w:eastAsia="Calibri" w:cs="Arial"/>
          <w:lang w:eastAsia="en-US"/>
        </w:rPr>
        <w:t>active contributor on spectrum management</w:t>
      </w:r>
      <w:r w:rsidR="00EB30F9" w:rsidRPr="001E2783">
        <w:rPr>
          <w:rFonts w:eastAsia="Calibri" w:cs="Arial"/>
          <w:lang w:eastAsia="en-US"/>
        </w:rPr>
        <w:t xml:space="preserve"> </w:t>
      </w:r>
      <w:r w:rsidRPr="001E2783">
        <w:rPr>
          <w:rFonts w:eastAsia="Calibri" w:cs="Arial"/>
          <w:lang w:eastAsia="en-US"/>
        </w:rPr>
        <w:t>issues at forums such as the International</w:t>
      </w:r>
      <w:r w:rsidR="00EB30F9" w:rsidRPr="001E2783">
        <w:rPr>
          <w:rFonts w:eastAsia="Calibri" w:cs="Arial"/>
          <w:lang w:eastAsia="en-US"/>
        </w:rPr>
        <w:t xml:space="preserve"> </w:t>
      </w:r>
      <w:r w:rsidRPr="001E2783">
        <w:rPr>
          <w:rFonts w:eastAsia="Calibri" w:cs="Arial"/>
          <w:lang w:eastAsia="en-US"/>
        </w:rPr>
        <w:t>Telecommunication Union (ITU) and Asia–Pacific Telecommunity (APT). The ACMA</w:t>
      </w:r>
      <w:r w:rsidR="00EB30F9" w:rsidRPr="001E2783">
        <w:rPr>
          <w:rFonts w:eastAsia="Calibri" w:cs="Arial"/>
          <w:lang w:eastAsia="en-US"/>
        </w:rPr>
        <w:t xml:space="preserve"> </w:t>
      </w:r>
      <w:r w:rsidRPr="001E2783">
        <w:rPr>
          <w:rFonts w:eastAsia="Calibri" w:cs="Arial"/>
          <w:lang w:eastAsia="en-US"/>
        </w:rPr>
        <w:t>hosted the successful third meeting of the</w:t>
      </w:r>
      <w:r w:rsidR="00EB30F9" w:rsidRPr="001E2783">
        <w:rPr>
          <w:rFonts w:eastAsia="Calibri" w:cs="Arial"/>
          <w:lang w:eastAsia="en-US"/>
        </w:rPr>
        <w:t xml:space="preserve"> </w:t>
      </w:r>
      <w:r w:rsidRPr="001E2783">
        <w:rPr>
          <w:rFonts w:eastAsia="Calibri" w:cs="Arial"/>
          <w:lang w:eastAsia="en-US"/>
        </w:rPr>
        <w:t>APT Preparatory Group meeting</w:t>
      </w:r>
      <w:r w:rsidR="003D5FA8" w:rsidRPr="001E2783">
        <w:rPr>
          <w:rFonts w:eastAsia="Calibri" w:cs="Arial"/>
          <w:lang w:eastAsia="en-US"/>
        </w:rPr>
        <w:t xml:space="preserve"> (</w:t>
      </w:r>
      <w:r w:rsidRPr="001E2783">
        <w:rPr>
          <w:rFonts w:eastAsia="Calibri" w:cs="Arial"/>
          <w:lang w:eastAsia="en-US"/>
        </w:rPr>
        <w:t>better</w:t>
      </w:r>
      <w:r w:rsidR="00EB30F9" w:rsidRPr="001E2783">
        <w:rPr>
          <w:rFonts w:eastAsia="Calibri" w:cs="Arial"/>
          <w:lang w:eastAsia="en-US"/>
        </w:rPr>
        <w:t xml:space="preserve"> </w:t>
      </w:r>
      <w:r w:rsidRPr="001E2783">
        <w:rPr>
          <w:rFonts w:eastAsia="Calibri" w:cs="Arial"/>
          <w:lang w:eastAsia="en-US"/>
        </w:rPr>
        <w:t>known as APG15-3</w:t>
      </w:r>
      <w:r w:rsidR="003D5FA8" w:rsidRPr="001E2783">
        <w:rPr>
          <w:rFonts w:eastAsia="Calibri" w:cs="Arial"/>
          <w:lang w:eastAsia="en-US"/>
        </w:rPr>
        <w:t xml:space="preserve">) </w:t>
      </w:r>
      <w:r w:rsidRPr="001E2783">
        <w:rPr>
          <w:rFonts w:eastAsia="Calibri" w:cs="Arial"/>
          <w:lang w:eastAsia="en-US"/>
        </w:rPr>
        <w:t>for the 2015 World</w:t>
      </w:r>
      <w:r w:rsidR="00EB30F9" w:rsidRPr="001E2783">
        <w:rPr>
          <w:rFonts w:eastAsia="Calibri" w:cs="Arial"/>
          <w:lang w:eastAsia="en-US"/>
        </w:rPr>
        <w:t xml:space="preserve"> </w:t>
      </w:r>
      <w:r w:rsidRPr="001E2783">
        <w:rPr>
          <w:rFonts w:eastAsia="Calibri" w:cs="Arial"/>
          <w:lang w:eastAsia="en-US"/>
        </w:rPr>
        <w:t>Radiocommunication Conference (WRC), as</w:t>
      </w:r>
      <w:r w:rsidR="00EB30F9" w:rsidRPr="001E2783">
        <w:rPr>
          <w:rFonts w:eastAsia="Calibri" w:cs="Arial"/>
          <w:lang w:eastAsia="en-US"/>
        </w:rPr>
        <w:t xml:space="preserve"> </w:t>
      </w:r>
      <w:r w:rsidRPr="001E2783">
        <w:rPr>
          <w:rFonts w:eastAsia="Calibri" w:cs="Arial"/>
          <w:lang w:eastAsia="en-US"/>
        </w:rPr>
        <w:t>part of coordinating the Australian contribution</w:t>
      </w:r>
      <w:r w:rsidR="00EB30F9" w:rsidRPr="001E2783">
        <w:rPr>
          <w:rFonts w:eastAsia="Calibri" w:cs="Arial"/>
          <w:lang w:eastAsia="en-US"/>
        </w:rPr>
        <w:t xml:space="preserve"> </w:t>
      </w:r>
      <w:r w:rsidRPr="001E2783">
        <w:rPr>
          <w:rFonts w:eastAsia="Calibri" w:cs="Arial"/>
          <w:lang w:eastAsia="en-US"/>
        </w:rPr>
        <w:t>to the WRC in November 2015.</w:t>
      </w:r>
    </w:p>
    <w:p w14:paraId="3DC773F4" w14:textId="77777777" w:rsidR="00EB30F9" w:rsidRPr="001E2783" w:rsidRDefault="00EB30F9" w:rsidP="00B06353">
      <w:pPr>
        <w:rPr>
          <w:rFonts w:eastAsia="Calibri" w:cs="Arial"/>
          <w:lang w:eastAsia="en-US"/>
        </w:rPr>
      </w:pPr>
    </w:p>
    <w:p w14:paraId="27B82904" w14:textId="6B14BC22" w:rsidR="00B06353" w:rsidRPr="001E2783" w:rsidRDefault="00B06353" w:rsidP="00B06353">
      <w:pPr>
        <w:rPr>
          <w:rFonts w:eastAsia="Calibri" w:cs="Arial"/>
          <w:lang w:eastAsia="en-US"/>
        </w:rPr>
      </w:pPr>
      <w:r w:rsidRPr="001E2783">
        <w:rPr>
          <w:rFonts w:eastAsia="Calibri" w:cs="Arial"/>
          <w:lang w:eastAsia="en-US"/>
        </w:rPr>
        <w:t>The ACMA also made a very substantial</w:t>
      </w:r>
      <w:r w:rsidR="00EB30F9" w:rsidRPr="001E2783">
        <w:rPr>
          <w:rFonts w:eastAsia="Calibri" w:cs="Arial"/>
          <w:lang w:eastAsia="en-US"/>
        </w:rPr>
        <w:t xml:space="preserve"> </w:t>
      </w:r>
      <w:r w:rsidRPr="001E2783">
        <w:rPr>
          <w:rFonts w:eastAsia="Calibri" w:cs="Arial"/>
          <w:lang w:eastAsia="en-US"/>
        </w:rPr>
        <w:t>contribution to the Communications portfolio</w:t>
      </w:r>
      <w:r w:rsidR="00EB30F9" w:rsidRPr="001E2783">
        <w:rPr>
          <w:rFonts w:eastAsia="Calibri" w:cs="Arial"/>
          <w:lang w:eastAsia="en-US"/>
        </w:rPr>
        <w:t xml:space="preserve"> </w:t>
      </w:r>
      <w:r w:rsidRPr="001E2783">
        <w:rPr>
          <w:rFonts w:eastAsia="Calibri" w:cs="Arial"/>
          <w:lang w:eastAsia="en-US"/>
        </w:rPr>
        <w:t>deregulation agenda, marked particularly</w:t>
      </w:r>
      <w:r w:rsidR="00EB30F9" w:rsidRPr="001E2783">
        <w:rPr>
          <w:rFonts w:eastAsia="Calibri" w:cs="Arial"/>
          <w:lang w:eastAsia="en-US"/>
        </w:rPr>
        <w:t xml:space="preserve"> </w:t>
      </w:r>
      <w:r w:rsidRPr="001E2783">
        <w:rPr>
          <w:rFonts w:eastAsia="Calibri" w:cs="Arial"/>
          <w:lang w:eastAsia="en-US"/>
        </w:rPr>
        <w:t>by the first Repeal Day on 26 March—for</w:t>
      </w:r>
      <w:r w:rsidR="00EB30F9" w:rsidRPr="001E2783">
        <w:rPr>
          <w:rFonts w:eastAsia="Calibri" w:cs="Arial"/>
          <w:lang w:eastAsia="en-US"/>
        </w:rPr>
        <w:t xml:space="preserve"> </w:t>
      </w:r>
      <w:r w:rsidRPr="001E2783">
        <w:rPr>
          <w:rFonts w:eastAsia="Calibri" w:cs="Arial"/>
          <w:lang w:eastAsia="en-US"/>
        </w:rPr>
        <w:t>example, revoking 46 spent instruments and</w:t>
      </w:r>
      <w:r w:rsidR="00EB30F9" w:rsidRPr="001E2783">
        <w:rPr>
          <w:rFonts w:eastAsia="Calibri" w:cs="Arial"/>
          <w:lang w:eastAsia="en-US"/>
        </w:rPr>
        <w:t xml:space="preserve"> </w:t>
      </w:r>
      <w:r w:rsidRPr="001E2783">
        <w:rPr>
          <w:rFonts w:eastAsia="Calibri" w:cs="Arial"/>
          <w:lang w:eastAsia="en-US"/>
        </w:rPr>
        <w:t>removing nearly 1,000 pages of redundant</w:t>
      </w:r>
      <w:r w:rsidR="00EB30F9" w:rsidRPr="001E2783">
        <w:rPr>
          <w:rFonts w:eastAsia="Calibri" w:cs="Arial"/>
          <w:lang w:eastAsia="en-US"/>
        </w:rPr>
        <w:t xml:space="preserve"> </w:t>
      </w:r>
      <w:r w:rsidRPr="001E2783">
        <w:rPr>
          <w:rFonts w:eastAsia="Calibri" w:cs="Arial"/>
          <w:lang w:eastAsia="en-US"/>
        </w:rPr>
        <w:t>regulation. In other initiatives, we revoked the</w:t>
      </w:r>
      <w:r w:rsidR="00EB30F9" w:rsidRPr="001E2783">
        <w:rPr>
          <w:rFonts w:eastAsia="Calibri" w:cs="Arial"/>
          <w:lang w:eastAsia="en-US"/>
        </w:rPr>
        <w:t xml:space="preserve"> </w:t>
      </w:r>
      <w:r w:rsidRPr="001E2783">
        <w:rPr>
          <w:rFonts w:eastAsia="Calibri" w:cs="Arial"/>
          <w:lang w:eastAsia="en-US"/>
        </w:rPr>
        <w:t>Premium Services Determination, determined</w:t>
      </w:r>
      <w:r w:rsidR="00EB30F9" w:rsidRPr="001E2783">
        <w:rPr>
          <w:rFonts w:eastAsia="Calibri" w:cs="Arial"/>
          <w:lang w:eastAsia="en-US"/>
        </w:rPr>
        <w:t xml:space="preserve"> </w:t>
      </w:r>
      <w:r w:rsidRPr="001E2783">
        <w:rPr>
          <w:rFonts w:eastAsia="Calibri" w:cs="Arial"/>
          <w:lang w:eastAsia="en-US"/>
        </w:rPr>
        <w:t>more cost-effective and efficient identity</w:t>
      </w:r>
      <w:r w:rsidR="00EB30F9" w:rsidRPr="001E2783">
        <w:rPr>
          <w:rFonts w:eastAsia="Calibri" w:cs="Arial"/>
          <w:lang w:eastAsia="en-US"/>
        </w:rPr>
        <w:t>-</w:t>
      </w:r>
      <w:r w:rsidRPr="001E2783">
        <w:rPr>
          <w:rFonts w:eastAsia="Calibri" w:cs="Arial"/>
          <w:lang w:eastAsia="en-US"/>
        </w:rPr>
        <w:t>checking</w:t>
      </w:r>
      <w:r w:rsidR="00EB30F9" w:rsidRPr="001E2783">
        <w:rPr>
          <w:rFonts w:eastAsia="Calibri" w:cs="Arial"/>
          <w:lang w:eastAsia="en-US"/>
        </w:rPr>
        <w:t xml:space="preserve"> </w:t>
      </w:r>
      <w:r w:rsidRPr="001E2783">
        <w:rPr>
          <w:rFonts w:eastAsia="Calibri" w:cs="Arial"/>
          <w:lang w:eastAsia="en-US"/>
        </w:rPr>
        <w:t>arrangements for prepaid mobile</w:t>
      </w:r>
      <w:r w:rsidR="00EB30F9" w:rsidRPr="001E2783">
        <w:rPr>
          <w:rFonts w:eastAsia="Calibri" w:cs="Arial"/>
          <w:lang w:eastAsia="en-US"/>
        </w:rPr>
        <w:t xml:space="preserve"> </w:t>
      </w:r>
      <w:r w:rsidRPr="001E2783">
        <w:rPr>
          <w:rFonts w:eastAsia="Calibri" w:cs="Arial"/>
          <w:lang w:eastAsia="en-US"/>
        </w:rPr>
        <w:t>carriage services, and lessened industry</w:t>
      </w:r>
      <w:r w:rsidR="00EB30F9" w:rsidRPr="001E2783">
        <w:rPr>
          <w:rFonts w:eastAsia="Calibri" w:cs="Arial"/>
          <w:lang w:eastAsia="en-US"/>
        </w:rPr>
        <w:t xml:space="preserve"> </w:t>
      </w:r>
      <w:r w:rsidRPr="001E2783">
        <w:rPr>
          <w:rFonts w:eastAsia="Calibri" w:cs="Arial"/>
          <w:lang w:eastAsia="en-US"/>
        </w:rPr>
        <w:t>burdens for consumer safeguards regulatory</w:t>
      </w:r>
      <w:r w:rsidR="00EB30F9" w:rsidRPr="001E2783">
        <w:rPr>
          <w:rFonts w:eastAsia="Calibri" w:cs="Arial"/>
          <w:lang w:eastAsia="en-US"/>
        </w:rPr>
        <w:t xml:space="preserve"> </w:t>
      </w:r>
      <w:r w:rsidRPr="001E2783">
        <w:rPr>
          <w:rFonts w:eastAsia="Calibri" w:cs="Arial"/>
          <w:lang w:eastAsia="en-US"/>
        </w:rPr>
        <w:t>reporting by removing and reducing quarterly</w:t>
      </w:r>
      <w:r w:rsidR="00EB30F9" w:rsidRPr="001E2783">
        <w:rPr>
          <w:rFonts w:eastAsia="Calibri" w:cs="Arial"/>
          <w:lang w:eastAsia="en-US"/>
        </w:rPr>
        <w:t xml:space="preserve"> </w:t>
      </w:r>
      <w:r w:rsidRPr="001E2783">
        <w:rPr>
          <w:rFonts w:eastAsia="Calibri" w:cs="Arial"/>
          <w:lang w:eastAsia="en-US"/>
        </w:rPr>
        <w:t>reporting for the Customer</w:t>
      </w:r>
      <w:r w:rsidR="00EB30F9" w:rsidRPr="001E2783">
        <w:rPr>
          <w:rFonts w:eastAsia="Calibri" w:cs="Arial"/>
          <w:lang w:eastAsia="en-US"/>
        </w:rPr>
        <w:t xml:space="preserve"> </w:t>
      </w:r>
      <w:r w:rsidRPr="001E2783">
        <w:rPr>
          <w:rFonts w:eastAsia="Calibri" w:cs="Arial"/>
          <w:lang w:eastAsia="en-US"/>
        </w:rPr>
        <w:t>Service Guarantee and payphones.</w:t>
      </w:r>
    </w:p>
    <w:p w14:paraId="5F0A3BF8" w14:textId="77777777" w:rsidR="00EB30F9" w:rsidRPr="001E2783" w:rsidRDefault="00EB30F9" w:rsidP="00B06353">
      <w:pPr>
        <w:rPr>
          <w:rFonts w:eastAsia="Calibri" w:cs="Arial"/>
          <w:lang w:eastAsia="en-US"/>
        </w:rPr>
      </w:pPr>
    </w:p>
    <w:p w14:paraId="26AB77CE" w14:textId="77777777" w:rsidR="00B06353" w:rsidRPr="001E2783" w:rsidRDefault="00B06353" w:rsidP="00B06353">
      <w:pPr>
        <w:rPr>
          <w:rFonts w:eastAsia="Calibri" w:cs="Arial"/>
          <w:lang w:eastAsia="en-US"/>
        </w:rPr>
      </w:pPr>
      <w:r w:rsidRPr="001E2783">
        <w:rPr>
          <w:rFonts w:eastAsia="Calibri" w:cs="Arial"/>
          <w:lang w:eastAsia="en-US"/>
        </w:rPr>
        <w:t>During the reporting period, the ACMA</w:t>
      </w:r>
      <w:r w:rsidR="00EB30F9" w:rsidRPr="001E2783">
        <w:rPr>
          <w:rFonts w:eastAsia="Calibri" w:cs="Arial"/>
          <w:lang w:eastAsia="en-US"/>
        </w:rPr>
        <w:t xml:space="preserve"> </w:t>
      </w:r>
      <w:r w:rsidRPr="001E2783">
        <w:rPr>
          <w:rFonts w:eastAsia="Calibri" w:cs="Arial"/>
          <w:lang w:eastAsia="en-US"/>
        </w:rPr>
        <w:t>continued to actively assist the transition</w:t>
      </w:r>
      <w:r w:rsidR="00EB30F9" w:rsidRPr="001E2783">
        <w:rPr>
          <w:rFonts w:eastAsia="Calibri" w:cs="Arial"/>
          <w:lang w:eastAsia="en-US"/>
        </w:rPr>
        <w:t xml:space="preserve"> </w:t>
      </w:r>
      <w:r w:rsidRPr="001E2783">
        <w:rPr>
          <w:rFonts w:eastAsia="Calibri" w:cs="Arial"/>
          <w:lang w:eastAsia="en-US"/>
        </w:rPr>
        <w:t>to the NBN, working with all sectors of the</w:t>
      </w:r>
      <w:r w:rsidR="00EB30F9" w:rsidRPr="001E2783">
        <w:rPr>
          <w:rFonts w:eastAsia="Calibri" w:cs="Arial"/>
          <w:lang w:eastAsia="en-US"/>
        </w:rPr>
        <w:t xml:space="preserve"> </w:t>
      </w:r>
      <w:r w:rsidRPr="001E2783">
        <w:rPr>
          <w:rFonts w:eastAsia="Calibri" w:cs="Arial"/>
          <w:lang w:eastAsia="en-US"/>
        </w:rPr>
        <w:t>communications industry to enable consumers</w:t>
      </w:r>
      <w:r w:rsidR="00EB30F9" w:rsidRPr="001E2783">
        <w:rPr>
          <w:rFonts w:eastAsia="Calibri" w:cs="Arial"/>
          <w:lang w:eastAsia="en-US"/>
        </w:rPr>
        <w:t xml:space="preserve"> </w:t>
      </w:r>
      <w:r w:rsidRPr="001E2783">
        <w:rPr>
          <w:rFonts w:eastAsia="Calibri" w:cs="Arial"/>
          <w:lang w:eastAsia="en-US"/>
        </w:rPr>
        <w:t>to confidently move to the new broadband</w:t>
      </w:r>
      <w:r w:rsidR="00EB30F9" w:rsidRPr="001E2783">
        <w:rPr>
          <w:rFonts w:eastAsia="Calibri" w:cs="Arial"/>
          <w:lang w:eastAsia="en-US"/>
        </w:rPr>
        <w:t xml:space="preserve"> </w:t>
      </w:r>
      <w:r w:rsidRPr="001E2783">
        <w:rPr>
          <w:rFonts w:eastAsia="Calibri" w:cs="Arial"/>
          <w:lang w:eastAsia="en-US"/>
        </w:rPr>
        <w:t>environment. We have facilitated access to</w:t>
      </w:r>
      <w:r w:rsidR="00EB30F9" w:rsidRPr="001E2783">
        <w:rPr>
          <w:rFonts w:eastAsia="Calibri" w:cs="Arial"/>
          <w:lang w:eastAsia="en-US"/>
        </w:rPr>
        <w:t xml:space="preserve"> </w:t>
      </w:r>
      <w:r w:rsidRPr="001E2783">
        <w:rPr>
          <w:rFonts w:eastAsia="Calibri" w:cs="Arial"/>
          <w:lang w:eastAsia="en-US"/>
        </w:rPr>
        <w:t>critical spectrum, worked with industry and</w:t>
      </w:r>
      <w:r w:rsidR="00EB30F9" w:rsidRPr="001E2783">
        <w:rPr>
          <w:rFonts w:eastAsia="Calibri" w:cs="Arial"/>
          <w:lang w:eastAsia="en-US"/>
        </w:rPr>
        <w:t xml:space="preserve"> </w:t>
      </w:r>
      <w:r w:rsidRPr="001E2783">
        <w:rPr>
          <w:rFonts w:eastAsia="Calibri" w:cs="Arial"/>
          <w:lang w:eastAsia="en-US"/>
        </w:rPr>
        <w:t>consumer groups to update existing regulatory</w:t>
      </w:r>
      <w:r w:rsidR="00EB30F9" w:rsidRPr="001E2783">
        <w:rPr>
          <w:rFonts w:eastAsia="Calibri" w:cs="Arial"/>
          <w:lang w:eastAsia="en-US"/>
        </w:rPr>
        <w:t xml:space="preserve"> </w:t>
      </w:r>
      <w:r w:rsidRPr="001E2783">
        <w:rPr>
          <w:rFonts w:eastAsia="Calibri" w:cs="Arial"/>
          <w:lang w:eastAsia="en-US"/>
        </w:rPr>
        <w:t>arrangements for customer equipment and</w:t>
      </w:r>
      <w:r w:rsidR="00EB30F9" w:rsidRPr="001E2783">
        <w:rPr>
          <w:rFonts w:eastAsia="Calibri" w:cs="Arial"/>
          <w:lang w:eastAsia="en-US"/>
        </w:rPr>
        <w:t xml:space="preserve"> </w:t>
      </w:r>
      <w:r w:rsidRPr="001E2783">
        <w:rPr>
          <w:rFonts w:eastAsia="Calibri" w:cs="Arial"/>
          <w:lang w:eastAsia="en-US"/>
        </w:rPr>
        <w:t>quality of service, and developed a web portal</w:t>
      </w:r>
      <w:r w:rsidR="00EB30F9" w:rsidRPr="001E2783">
        <w:rPr>
          <w:rFonts w:eastAsia="Calibri" w:cs="Arial"/>
          <w:lang w:eastAsia="en-US"/>
        </w:rPr>
        <w:t xml:space="preserve"> </w:t>
      </w:r>
      <w:r w:rsidRPr="001E2783">
        <w:rPr>
          <w:rFonts w:eastAsia="Calibri" w:cs="Arial"/>
          <w:lang w:eastAsia="en-US"/>
        </w:rPr>
        <w:t>with relevant information about consumer</w:t>
      </w:r>
      <w:r w:rsidR="00EB30F9" w:rsidRPr="001E2783">
        <w:rPr>
          <w:rFonts w:eastAsia="Calibri" w:cs="Arial"/>
          <w:lang w:eastAsia="en-US"/>
        </w:rPr>
        <w:t xml:space="preserve"> </w:t>
      </w:r>
      <w:r w:rsidRPr="001E2783">
        <w:rPr>
          <w:rFonts w:eastAsia="Calibri" w:cs="Arial"/>
          <w:lang w:eastAsia="en-US"/>
        </w:rPr>
        <w:t>safeguards and industry obligations and</w:t>
      </w:r>
      <w:r w:rsidR="00EB30F9" w:rsidRPr="001E2783">
        <w:rPr>
          <w:rFonts w:eastAsia="Calibri" w:cs="Arial"/>
          <w:lang w:eastAsia="en-US"/>
        </w:rPr>
        <w:t xml:space="preserve"> </w:t>
      </w:r>
      <w:r w:rsidRPr="001E2783">
        <w:rPr>
          <w:rFonts w:eastAsia="Calibri" w:cs="Arial"/>
          <w:lang w:eastAsia="en-US"/>
        </w:rPr>
        <w:t>processes.</w:t>
      </w:r>
    </w:p>
    <w:p w14:paraId="1B1FE418" w14:textId="77777777" w:rsidR="00EB30F9" w:rsidRPr="001E2783" w:rsidRDefault="00EB30F9" w:rsidP="00B06353">
      <w:pPr>
        <w:rPr>
          <w:rFonts w:eastAsia="Calibri" w:cs="Arial"/>
          <w:lang w:eastAsia="en-US"/>
        </w:rPr>
      </w:pPr>
    </w:p>
    <w:p w14:paraId="317E206C" w14:textId="77777777" w:rsidR="00B06353" w:rsidRPr="001E2783" w:rsidRDefault="00B06353" w:rsidP="00B06353">
      <w:pPr>
        <w:rPr>
          <w:rFonts w:eastAsia="Calibri" w:cs="Arial"/>
          <w:lang w:eastAsia="en-US"/>
        </w:rPr>
      </w:pPr>
      <w:r w:rsidRPr="001E2783">
        <w:rPr>
          <w:rFonts w:eastAsia="Calibri" w:cs="Arial"/>
          <w:lang w:eastAsia="en-US"/>
        </w:rPr>
        <w:t>Working within the current framework</w:t>
      </w:r>
      <w:r w:rsidR="00EB30F9" w:rsidRPr="001E2783">
        <w:rPr>
          <w:rFonts w:eastAsia="Calibri" w:cs="Arial"/>
          <w:lang w:eastAsia="en-US"/>
        </w:rPr>
        <w:t xml:space="preserve"> </w:t>
      </w:r>
      <w:r w:rsidRPr="001E2783">
        <w:rPr>
          <w:rFonts w:eastAsia="Calibri" w:cs="Arial"/>
          <w:lang w:eastAsia="en-US"/>
        </w:rPr>
        <w:t>of traditional voice telephony, the ACMA</w:t>
      </w:r>
      <w:r w:rsidR="00EB30F9" w:rsidRPr="001E2783">
        <w:rPr>
          <w:rFonts w:eastAsia="Calibri" w:cs="Arial"/>
          <w:lang w:eastAsia="en-US"/>
        </w:rPr>
        <w:t xml:space="preserve"> </w:t>
      </w:r>
      <w:r w:rsidRPr="001E2783">
        <w:rPr>
          <w:rFonts w:eastAsia="Calibri" w:cs="Arial"/>
          <w:lang w:eastAsia="en-US"/>
        </w:rPr>
        <w:t>announced a new approach to mobile phone</w:t>
      </w:r>
      <w:r w:rsidR="00EB30F9" w:rsidRPr="001E2783">
        <w:rPr>
          <w:rFonts w:eastAsia="Calibri" w:cs="Arial"/>
          <w:lang w:eastAsia="en-US"/>
        </w:rPr>
        <w:t xml:space="preserve"> </w:t>
      </w:r>
      <w:r w:rsidRPr="001E2783">
        <w:rPr>
          <w:rFonts w:eastAsia="Calibri" w:cs="Arial"/>
          <w:lang w:eastAsia="en-US"/>
        </w:rPr>
        <w:t>call charges to 1800 and 13/1300 numbers.</w:t>
      </w:r>
      <w:r w:rsidR="00EB30F9" w:rsidRPr="001E2783">
        <w:rPr>
          <w:rFonts w:eastAsia="Calibri" w:cs="Arial"/>
          <w:lang w:eastAsia="en-US"/>
        </w:rPr>
        <w:t xml:space="preserve"> </w:t>
      </w:r>
      <w:r w:rsidRPr="001E2783">
        <w:rPr>
          <w:rFonts w:eastAsia="Calibri" w:cs="Arial"/>
          <w:lang w:eastAsia="en-US"/>
        </w:rPr>
        <w:t>Developed in close consultation with industry,</w:t>
      </w:r>
      <w:r w:rsidR="00EB30F9" w:rsidRPr="001E2783">
        <w:rPr>
          <w:rFonts w:eastAsia="Calibri" w:cs="Arial"/>
          <w:lang w:eastAsia="en-US"/>
        </w:rPr>
        <w:t xml:space="preserve"> </w:t>
      </w:r>
      <w:r w:rsidRPr="001E2783">
        <w:rPr>
          <w:rFonts w:eastAsia="Calibri" w:cs="Arial"/>
          <w:lang w:eastAsia="en-US"/>
        </w:rPr>
        <w:t>the new arrangements take account of market</w:t>
      </w:r>
      <w:r w:rsidR="00EB30F9" w:rsidRPr="001E2783">
        <w:rPr>
          <w:rFonts w:eastAsia="Calibri" w:cs="Arial"/>
          <w:lang w:eastAsia="en-US"/>
        </w:rPr>
        <w:t xml:space="preserve"> </w:t>
      </w:r>
      <w:r w:rsidRPr="001E2783">
        <w:rPr>
          <w:rFonts w:eastAsia="Calibri" w:cs="Arial"/>
          <w:lang w:eastAsia="en-US"/>
        </w:rPr>
        <w:t>changes in recent years and are intended</w:t>
      </w:r>
      <w:r w:rsidR="00EB30F9" w:rsidRPr="001E2783">
        <w:rPr>
          <w:rFonts w:eastAsia="Calibri" w:cs="Arial"/>
          <w:lang w:eastAsia="en-US"/>
        </w:rPr>
        <w:t xml:space="preserve"> </w:t>
      </w:r>
      <w:r w:rsidRPr="001E2783">
        <w:rPr>
          <w:rFonts w:eastAsia="Calibri" w:cs="Arial"/>
          <w:lang w:eastAsia="en-US"/>
        </w:rPr>
        <w:t>to deliver a range of consumer benefits—in</w:t>
      </w:r>
      <w:r w:rsidR="00EB30F9" w:rsidRPr="001E2783">
        <w:rPr>
          <w:rFonts w:eastAsia="Calibri" w:cs="Arial"/>
          <w:lang w:eastAsia="en-US"/>
        </w:rPr>
        <w:t xml:space="preserve"> </w:t>
      </w:r>
      <w:r w:rsidRPr="001E2783">
        <w:rPr>
          <w:rFonts w:eastAsia="Calibri" w:cs="Arial"/>
          <w:lang w:eastAsia="en-US"/>
        </w:rPr>
        <w:t>particular, low- or zero-cost calls. I find it</w:t>
      </w:r>
      <w:r w:rsidR="00EB30F9" w:rsidRPr="001E2783">
        <w:rPr>
          <w:rFonts w:eastAsia="Calibri" w:cs="Arial"/>
          <w:lang w:eastAsia="en-US"/>
        </w:rPr>
        <w:t xml:space="preserve"> </w:t>
      </w:r>
      <w:r w:rsidRPr="001E2783">
        <w:rPr>
          <w:rFonts w:eastAsia="Calibri" w:cs="Arial"/>
          <w:lang w:eastAsia="en-US"/>
        </w:rPr>
        <w:t>particularly satisfying to note that these</w:t>
      </w:r>
      <w:r w:rsidR="00EB30F9" w:rsidRPr="001E2783">
        <w:rPr>
          <w:rFonts w:eastAsia="Calibri" w:cs="Arial"/>
          <w:lang w:eastAsia="en-US"/>
        </w:rPr>
        <w:t xml:space="preserve"> </w:t>
      </w:r>
      <w:r w:rsidRPr="001E2783">
        <w:rPr>
          <w:rFonts w:eastAsia="Calibri" w:cs="Arial"/>
          <w:lang w:eastAsia="en-US"/>
        </w:rPr>
        <w:t>clear consumer wins have been achieved</w:t>
      </w:r>
      <w:r w:rsidR="00EB30F9" w:rsidRPr="001E2783">
        <w:rPr>
          <w:rFonts w:eastAsia="Calibri" w:cs="Arial"/>
          <w:lang w:eastAsia="en-US"/>
        </w:rPr>
        <w:t xml:space="preserve"> </w:t>
      </w:r>
      <w:r w:rsidRPr="001E2783">
        <w:rPr>
          <w:rFonts w:eastAsia="Calibri" w:cs="Arial"/>
          <w:lang w:eastAsia="en-US"/>
        </w:rPr>
        <w:t>without direct regulatory intervention. It was</w:t>
      </w:r>
      <w:r w:rsidR="00EB30F9" w:rsidRPr="001E2783">
        <w:rPr>
          <w:rFonts w:eastAsia="Calibri" w:cs="Arial"/>
          <w:lang w:eastAsia="en-US"/>
        </w:rPr>
        <w:t xml:space="preserve"> </w:t>
      </w:r>
      <w:r w:rsidRPr="001E2783">
        <w:rPr>
          <w:rFonts w:eastAsia="Calibri" w:cs="Arial"/>
          <w:lang w:eastAsia="en-US"/>
        </w:rPr>
        <w:t>a culmination of our facilitative approach</w:t>
      </w:r>
      <w:r w:rsidR="00EB30F9" w:rsidRPr="001E2783">
        <w:rPr>
          <w:rFonts w:eastAsia="Calibri" w:cs="Arial"/>
          <w:lang w:eastAsia="en-US"/>
        </w:rPr>
        <w:t xml:space="preserve"> </w:t>
      </w:r>
      <w:r w:rsidRPr="001E2783">
        <w:rPr>
          <w:rFonts w:eastAsia="Calibri" w:cs="Arial"/>
          <w:lang w:eastAsia="en-US"/>
        </w:rPr>
        <w:t>to this particular issue that we were able to</w:t>
      </w:r>
      <w:r w:rsidR="00EB30F9" w:rsidRPr="001E2783">
        <w:rPr>
          <w:rFonts w:eastAsia="Calibri" w:cs="Arial"/>
          <w:lang w:eastAsia="en-US"/>
        </w:rPr>
        <w:t xml:space="preserve"> </w:t>
      </w:r>
      <w:r w:rsidRPr="001E2783">
        <w:rPr>
          <w:rFonts w:eastAsia="Calibri" w:cs="Arial"/>
          <w:lang w:eastAsia="en-US"/>
        </w:rPr>
        <w:t>congratulate industry for not only coming on</w:t>
      </w:r>
      <w:r w:rsidR="00EB30F9" w:rsidRPr="001E2783">
        <w:rPr>
          <w:rFonts w:eastAsia="Calibri" w:cs="Arial"/>
          <w:lang w:eastAsia="en-US"/>
        </w:rPr>
        <w:t xml:space="preserve"> </w:t>
      </w:r>
      <w:r w:rsidRPr="001E2783">
        <w:rPr>
          <w:rFonts w:eastAsia="Calibri" w:cs="Arial"/>
          <w:lang w:eastAsia="en-US"/>
        </w:rPr>
        <w:t>board with updating the arrangements, but</w:t>
      </w:r>
      <w:r w:rsidR="00EB30F9" w:rsidRPr="001E2783">
        <w:rPr>
          <w:rFonts w:eastAsia="Calibri" w:cs="Arial"/>
          <w:lang w:eastAsia="en-US"/>
        </w:rPr>
        <w:t xml:space="preserve"> </w:t>
      </w:r>
      <w:r w:rsidRPr="001E2783">
        <w:rPr>
          <w:rFonts w:eastAsia="Calibri" w:cs="Arial"/>
          <w:lang w:eastAsia="en-US"/>
        </w:rPr>
        <w:t>also for adopting a leadership role that aligns</w:t>
      </w:r>
      <w:r w:rsidR="00EB30F9" w:rsidRPr="001E2783">
        <w:rPr>
          <w:rFonts w:eastAsia="Calibri" w:cs="Arial"/>
          <w:lang w:eastAsia="en-US"/>
        </w:rPr>
        <w:t xml:space="preserve"> </w:t>
      </w:r>
      <w:r w:rsidRPr="001E2783">
        <w:rPr>
          <w:rFonts w:eastAsia="Calibri" w:cs="Arial"/>
          <w:lang w:eastAsia="en-US"/>
        </w:rPr>
        <w:t>with the importance of mobile phone services</w:t>
      </w:r>
      <w:r w:rsidR="00EB30F9" w:rsidRPr="001E2783">
        <w:rPr>
          <w:rFonts w:eastAsia="Calibri" w:cs="Arial"/>
          <w:lang w:eastAsia="en-US"/>
        </w:rPr>
        <w:t xml:space="preserve"> </w:t>
      </w:r>
      <w:r w:rsidRPr="001E2783">
        <w:rPr>
          <w:rFonts w:eastAsia="Calibri" w:cs="Arial"/>
          <w:lang w:eastAsia="en-US"/>
        </w:rPr>
        <w:t>to so many people.</w:t>
      </w:r>
    </w:p>
    <w:p w14:paraId="4EAE8F73" w14:textId="77777777" w:rsidR="00EB30F9" w:rsidRPr="001E2783" w:rsidRDefault="00EB30F9" w:rsidP="00B06353">
      <w:pPr>
        <w:rPr>
          <w:rFonts w:eastAsia="Calibri" w:cs="Arial"/>
          <w:lang w:eastAsia="en-US"/>
        </w:rPr>
      </w:pPr>
    </w:p>
    <w:p w14:paraId="19C1FBCE" w14:textId="77777777" w:rsidR="00B06353" w:rsidRPr="001E2783" w:rsidRDefault="00B06353" w:rsidP="00B06353">
      <w:pPr>
        <w:rPr>
          <w:rFonts w:eastAsia="Calibri" w:cs="Arial"/>
          <w:lang w:eastAsia="en-US"/>
        </w:rPr>
      </w:pPr>
      <w:r w:rsidRPr="001E2783">
        <w:rPr>
          <w:rFonts w:eastAsia="Calibri" w:cs="Arial"/>
          <w:lang w:eastAsia="en-US"/>
        </w:rPr>
        <w:t>As an agile and flexible regulator, the ACMA</w:t>
      </w:r>
      <w:r w:rsidR="00EB30F9" w:rsidRPr="001E2783">
        <w:rPr>
          <w:rFonts w:eastAsia="Calibri" w:cs="Arial"/>
          <w:lang w:eastAsia="en-US"/>
        </w:rPr>
        <w:t xml:space="preserve"> </w:t>
      </w:r>
      <w:r w:rsidRPr="001E2783">
        <w:rPr>
          <w:rFonts w:eastAsia="Calibri" w:cs="Arial"/>
          <w:lang w:eastAsia="en-US"/>
        </w:rPr>
        <w:t>acts as a ‘bridge’ between what we have</w:t>
      </w:r>
      <w:r w:rsidR="00EB30F9" w:rsidRPr="001E2783">
        <w:rPr>
          <w:rFonts w:eastAsia="Calibri" w:cs="Arial"/>
          <w:lang w:eastAsia="en-US"/>
        </w:rPr>
        <w:t xml:space="preserve"> </w:t>
      </w:r>
      <w:r w:rsidRPr="001E2783">
        <w:rPr>
          <w:rFonts w:eastAsia="Calibri" w:cs="Arial"/>
          <w:lang w:eastAsia="en-US"/>
        </w:rPr>
        <w:t>described as the ‘broken concepts’ of the</w:t>
      </w:r>
      <w:r w:rsidR="00EB30F9" w:rsidRPr="001E2783">
        <w:rPr>
          <w:rFonts w:eastAsia="Calibri" w:cs="Arial"/>
          <w:lang w:eastAsia="en-US"/>
        </w:rPr>
        <w:t xml:space="preserve"> </w:t>
      </w:r>
      <w:r w:rsidRPr="001E2783">
        <w:rPr>
          <w:rFonts w:eastAsia="Calibri" w:cs="Arial"/>
          <w:lang w:eastAsia="en-US"/>
        </w:rPr>
        <w:t>non-converged legislation and the emerging</w:t>
      </w:r>
      <w:r w:rsidR="00EB30F9" w:rsidRPr="001E2783">
        <w:rPr>
          <w:rFonts w:eastAsia="Calibri" w:cs="Arial"/>
          <w:lang w:eastAsia="en-US"/>
        </w:rPr>
        <w:t xml:space="preserve"> </w:t>
      </w:r>
      <w:r w:rsidRPr="001E2783">
        <w:rPr>
          <w:rFonts w:eastAsia="Calibri" w:cs="Arial"/>
          <w:lang w:eastAsia="en-US"/>
        </w:rPr>
        <w:t>connections (exemplified by the rise of ‘over</w:t>
      </w:r>
      <w:r w:rsidR="00EB30F9" w:rsidRPr="001E2783">
        <w:rPr>
          <w:rFonts w:eastAsia="Calibri" w:cs="Arial"/>
          <w:lang w:eastAsia="en-US"/>
        </w:rPr>
        <w:t>-</w:t>
      </w:r>
      <w:r w:rsidRPr="001E2783">
        <w:rPr>
          <w:rFonts w:eastAsia="Calibri" w:cs="Arial"/>
          <w:lang w:eastAsia="en-US"/>
        </w:rPr>
        <w:t>the-top’ services and social media) of the</w:t>
      </w:r>
      <w:r w:rsidR="00EB30F9" w:rsidRPr="001E2783">
        <w:rPr>
          <w:rFonts w:eastAsia="Calibri" w:cs="Arial"/>
          <w:lang w:eastAsia="en-US"/>
        </w:rPr>
        <w:t xml:space="preserve"> </w:t>
      </w:r>
      <w:r w:rsidRPr="001E2783">
        <w:rPr>
          <w:rFonts w:eastAsia="Calibri" w:cs="Arial"/>
          <w:lang w:eastAsia="en-US"/>
        </w:rPr>
        <w:t>rapidly evolving networked society, which are</w:t>
      </w:r>
      <w:r w:rsidR="00EB30F9" w:rsidRPr="001E2783">
        <w:rPr>
          <w:rFonts w:eastAsia="Calibri" w:cs="Arial"/>
          <w:lang w:eastAsia="en-US"/>
        </w:rPr>
        <w:t xml:space="preserve"> </w:t>
      </w:r>
      <w:r w:rsidRPr="001E2783">
        <w:rPr>
          <w:rFonts w:eastAsia="Calibri" w:cs="Arial"/>
          <w:lang w:eastAsia="en-US"/>
        </w:rPr>
        <w:t>challenging both the regulatory system and the</w:t>
      </w:r>
      <w:r w:rsidR="00EB30F9" w:rsidRPr="001E2783">
        <w:rPr>
          <w:rFonts w:eastAsia="Calibri" w:cs="Arial"/>
          <w:lang w:eastAsia="en-US"/>
        </w:rPr>
        <w:t xml:space="preserve"> </w:t>
      </w:r>
      <w:r w:rsidRPr="001E2783">
        <w:rPr>
          <w:rFonts w:eastAsia="Calibri" w:cs="Arial"/>
          <w:lang w:eastAsia="en-US"/>
        </w:rPr>
        <w:t>market.</w:t>
      </w:r>
    </w:p>
    <w:p w14:paraId="41E5DD2F" w14:textId="77777777" w:rsidR="00EB30F9" w:rsidRPr="001E2783" w:rsidRDefault="00EB30F9" w:rsidP="00B06353">
      <w:pPr>
        <w:rPr>
          <w:rFonts w:eastAsia="Calibri" w:cs="Arial"/>
          <w:lang w:eastAsia="en-US"/>
        </w:rPr>
      </w:pPr>
    </w:p>
    <w:p w14:paraId="2A633BA0" w14:textId="77777777" w:rsidR="00B06353" w:rsidRPr="001E2783" w:rsidRDefault="00B06353" w:rsidP="00B06353">
      <w:pPr>
        <w:rPr>
          <w:rFonts w:eastAsia="Calibri" w:cs="Arial"/>
          <w:lang w:eastAsia="en-US"/>
        </w:rPr>
      </w:pPr>
      <w:r w:rsidRPr="001E2783">
        <w:rPr>
          <w:rFonts w:eastAsia="Calibri" w:cs="Arial"/>
          <w:lang w:eastAsia="en-US"/>
        </w:rPr>
        <w:t>This theme of facilitation is very important</w:t>
      </w:r>
      <w:r w:rsidR="00EB30F9" w:rsidRPr="001E2783">
        <w:rPr>
          <w:rFonts w:eastAsia="Calibri" w:cs="Arial"/>
          <w:lang w:eastAsia="en-US"/>
        </w:rPr>
        <w:t xml:space="preserve"> </w:t>
      </w:r>
      <w:r w:rsidRPr="001E2783">
        <w:rPr>
          <w:rFonts w:eastAsia="Calibri" w:cs="Arial"/>
          <w:lang w:eastAsia="en-US"/>
        </w:rPr>
        <w:t>to me and to the regulatory practice of the</w:t>
      </w:r>
      <w:r w:rsidR="00EB30F9" w:rsidRPr="001E2783">
        <w:rPr>
          <w:rFonts w:eastAsia="Calibri" w:cs="Arial"/>
          <w:lang w:eastAsia="en-US"/>
        </w:rPr>
        <w:t xml:space="preserve"> </w:t>
      </w:r>
      <w:r w:rsidRPr="001E2783">
        <w:rPr>
          <w:rFonts w:eastAsia="Calibri" w:cs="Arial"/>
          <w:lang w:eastAsia="en-US"/>
        </w:rPr>
        <w:t>ACMA, which is illustrated in our corporate</w:t>
      </w:r>
      <w:r w:rsidR="00EB30F9" w:rsidRPr="001E2783">
        <w:rPr>
          <w:rFonts w:eastAsia="Calibri" w:cs="Arial"/>
          <w:lang w:eastAsia="en-US"/>
        </w:rPr>
        <w:t xml:space="preserve"> </w:t>
      </w:r>
      <w:r w:rsidRPr="001E2783">
        <w:rPr>
          <w:rFonts w:eastAsia="Calibri" w:cs="Arial"/>
          <w:lang w:eastAsia="en-US"/>
        </w:rPr>
        <w:t>strapline—to ‘communicate, facilitate (and</w:t>
      </w:r>
      <w:r w:rsidR="00EB30F9" w:rsidRPr="001E2783">
        <w:rPr>
          <w:rFonts w:eastAsia="Calibri" w:cs="Arial"/>
          <w:lang w:eastAsia="en-US"/>
        </w:rPr>
        <w:t xml:space="preserve"> </w:t>
      </w:r>
      <w:r w:rsidRPr="001E2783">
        <w:rPr>
          <w:rFonts w:eastAsia="Calibri" w:cs="Arial"/>
          <w:lang w:eastAsia="en-US"/>
        </w:rPr>
        <w:t>then if all else fails) regulate’. We adopted this</w:t>
      </w:r>
      <w:r w:rsidR="00EB30F9" w:rsidRPr="001E2783">
        <w:rPr>
          <w:rFonts w:eastAsia="Calibri" w:cs="Arial"/>
          <w:lang w:eastAsia="en-US"/>
        </w:rPr>
        <w:t xml:space="preserve"> </w:t>
      </w:r>
      <w:r w:rsidRPr="001E2783">
        <w:rPr>
          <w:rFonts w:eastAsia="Calibri" w:cs="Arial"/>
          <w:lang w:eastAsia="en-US"/>
        </w:rPr>
        <w:t>strapline as part of an early acceptance of the</w:t>
      </w:r>
      <w:r w:rsidR="00EB30F9" w:rsidRPr="001E2783">
        <w:rPr>
          <w:rFonts w:eastAsia="Calibri" w:cs="Arial"/>
          <w:lang w:eastAsia="en-US"/>
        </w:rPr>
        <w:t xml:space="preserve"> </w:t>
      </w:r>
      <w:r w:rsidRPr="001E2783">
        <w:rPr>
          <w:rFonts w:eastAsia="Calibri" w:cs="Arial"/>
          <w:lang w:eastAsia="en-US"/>
        </w:rPr>
        <w:t>necessity to transform the ACMA and shift</w:t>
      </w:r>
      <w:r w:rsidR="00EB30F9" w:rsidRPr="001E2783">
        <w:rPr>
          <w:rFonts w:eastAsia="Calibri" w:cs="Arial"/>
          <w:lang w:eastAsia="en-US"/>
        </w:rPr>
        <w:t xml:space="preserve"> </w:t>
      </w:r>
      <w:r w:rsidRPr="001E2783">
        <w:rPr>
          <w:rFonts w:eastAsia="Calibri" w:cs="Arial"/>
          <w:lang w:eastAsia="en-US"/>
        </w:rPr>
        <w:t>from the traditional regulatory stance in the</w:t>
      </w:r>
      <w:r w:rsidR="00EB30F9" w:rsidRPr="001E2783">
        <w:rPr>
          <w:rFonts w:eastAsia="Calibri" w:cs="Arial"/>
          <w:lang w:eastAsia="en-US"/>
        </w:rPr>
        <w:t xml:space="preserve"> </w:t>
      </w:r>
      <w:r w:rsidRPr="001E2783">
        <w:rPr>
          <w:rFonts w:eastAsia="Calibri" w:cs="Arial"/>
          <w:lang w:eastAsia="en-US"/>
        </w:rPr>
        <w:t>face of a world of constant change. Indeed,</w:t>
      </w:r>
      <w:r w:rsidR="00EB30F9" w:rsidRPr="001E2783">
        <w:rPr>
          <w:rFonts w:eastAsia="Calibri" w:cs="Arial"/>
          <w:lang w:eastAsia="en-US"/>
        </w:rPr>
        <w:t xml:space="preserve"> </w:t>
      </w:r>
      <w:r w:rsidRPr="001E2783">
        <w:rPr>
          <w:rFonts w:eastAsia="Calibri" w:cs="Arial"/>
          <w:lang w:eastAsia="en-US"/>
        </w:rPr>
        <w:t>I feel that in our current environment, here in</w:t>
      </w:r>
      <w:r w:rsidR="00EB30F9" w:rsidRPr="001E2783">
        <w:rPr>
          <w:rFonts w:eastAsia="Calibri" w:cs="Arial"/>
          <w:lang w:eastAsia="en-US"/>
        </w:rPr>
        <w:t xml:space="preserve"> </w:t>
      </w:r>
      <w:r w:rsidRPr="001E2783">
        <w:rPr>
          <w:rFonts w:eastAsia="Calibri" w:cs="Arial"/>
          <w:lang w:eastAsia="en-US"/>
        </w:rPr>
        <w:t>Australia, regionally and probably globally, our</w:t>
      </w:r>
      <w:r w:rsidR="00EB30F9" w:rsidRPr="001E2783">
        <w:rPr>
          <w:rFonts w:eastAsia="Calibri" w:cs="Arial"/>
          <w:lang w:eastAsia="en-US"/>
        </w:rPr>
        <w:t xml:space="preserve"> </w:t>
      </w:r>
      <w:r w:rsidRPr="001E2783">
        <w:rPr>
          <w:rFonts w:eastAsia="Calibri" w:cs="Arial"/>
          <w:lang w:eastAsia="en-US"/>
        </w:rPr>
        <w:t>commitment to facilitate endures as perhaps</w:t>
      </w:r>
      <w:r w:rsidR="00EB30F9" w:rsidRPr="001E2783">
        <w:rPr>
          <w:rFonts w:eastAsia="Calibri" w:cs="Arial"/>
          <w:lang w:eastAsia="en-US"/>
        </w:rPr>
        <w:t xml:space="preserve"> </w:t>
      </w:r>
      <w:r w:rsidRPr="001E2783">
        <w:rPr>
          <w:rFonts w:eastAsia="Calibri" w:cs="Arial"/>
          <w:lang w:eastAsia="en-US"/>
        </w:rPr>
        <w:t>the most powerful element in that summary</w:t>
      </w:r>
      <w:r w:rsidR="00EB30F9" w:rsidRPr="001E2783">
        <w:rPr>
          <w:rFonts w:eastAsia="Calibri" w:cs="Arial"/>
          <w:lang w:eastAsia="en-US"/>
        </w:rPr>
        <w:t xml:space="preserve"> </w:t>
      </w:r>
      <w:r w:rsidRPr="001E2783">
        <w:rPr>
          <w:rFonts w:eastAsia="Calibri" w:cs="Arial"/>
          <w:lang w:eastAsia="en-US"/>
        </w:rPr>
        <w:t>statement.</w:t>
      </w:r>
    </w:p>
    <w:p w14:paraId="3BF34403" w14:textId="77777777" w:rsidR="00EB30F9" w:rsidRPr="001E2783" w:rsidRDefault="00EB30F9" w:rsidP="00B06353">
      <w:pPr>
        <w:rPr>
          <w:rFonts w:eastAsia="Calibri" w:cs="Arial"/>
          <w:lang w:eastAsia="en-US"/>
        </w:rPr>
      </w:pPr>
    </w:p>
    <w:p w14:paraId="7E850D97" w14:textId="77777777" w:rsidR="00B06353" w:rsidRPr="001E2783" w:rsidRDefault="00B06353" w:rsidP="00B06353">
      <w:pPr>
        <w:rPr>
          <w:rFonts w:eastAsia="Calibri" w:cs="Arial"/>
          <w:lang w:eastAsia="en-US"/>
        </w:rPr>
      </w:pPr>
      <w:r w:rsidRPr="001E2783">
        <w:rPr>
          <w:rFonts w:eastAsia="Calibri" w:cs="Arial"/>
          <w:lang w:eastAsia="en-US"/>
        </w:rPr>
        <w:t>The breadth of our portfolio, the depth of</w:t>
      </w:r>
      <w:r w:rsidR="00EB30F9" w:rsidRPr="001E2783">
        <w:rPr>
          <w:rFonts w:eastAsia="Calibri" w:cs="Arial"/>
          <w:lang w:eastAsia="en-US"/>
        </w:rPr>
        <w:t xml:space="preserve"> </w:t>
      </w:r>
      <w:r w:rsidRPr="001E2783">
        <w:rPr>
          <w:rFonts w:eastAsia="Calibri" w:cs="Arial"/>
          <w:lang w:eastAsia="en-US"/>
        </w:rPr>
        <w:t>our work and the quality of the results of our</w:t>
      </w:r>
      <w:r w:rsidR="00EB30F9" w:rsidRPr="001E2783">
        <w:rPr>
          <w:rFonts w:eastAsia="Calibri" w:cs="Arial"/>
          <w:lang w:eastAsia="en-US"/>
        </w:rPr>
        <w:t xml:space="preserve"> </w:t>
      </w:r>
      <w:r w:rsidRPr="001E2783">
        <w:rPr>
          <w:rFonts w:eastAsia="Calibri" w:cs="Arial"/>
          <w:lang w:eastAsia="en-US"/>
        </w:rPr>
        <w:t>endeavours never cease to amaze me—our</w:t>
      </w:r>
      <w:r w:rsidR="00EB30F9" w:rsidRPr="001E2783">
        <w:rPr>
          <w:rFonts w:eastAsia="Calibri" w:cs="Arial"/>
          <w:lang w:eastAsia="en-US"/>
        </w:rPr>
        <w:t xml:space="preserve"> </w:t>
      </w:r>
      <w:r w:rsidRPr="001E2783">
        <w:rPr>
          <w:rFonts w:eastAsia="Calibri" w:cs="Arial"/>
          <w:lang w:eastAsia="en-US"/>
        </w:rPr>
        <w:t>cybersafety work keeps delivering, the anti</w:t>
      </w:r>
      <w:r w:rsidR="00EB30F9" w:rsidRPr="001E2783">
        <w:rPr>
          <w:rFonts w:eastAsia="Calibri" w:cs="Arial"/>
          <w:lang w:eastAsia="en-US"/>
        </w:rPr>
        <w:t>-</w:t>
      </w:r>
      <w:r w:rsidRPr="001E2783">
        <w:rPr>
          <w:rFonts w:eastAsia="Calibri" w:cs="Arial"/>
          <w:lang w:eastAsia="en-US"/>
        </w:rPr>
        <w:t>spam</w:t>
      </w:r>
      <w:r w:rsidR="00EB30F9" w:rsidRPr="001E2783">
        <w:rPr>
          <w:rFonts w:eastAsia="Calibri" w:cs="Arial"/>
          <w:lang w:eastAsia="en-US"/>
        </w:rPr>
        <w:t xml:space="preserve"> </w:t>
      </w:r>
      <w:r w:rsidRPr="001E2783">
        <w:rPr>
          <w:rFonts w:eastAsia="Calibri" w:cs="Arial"/>
          <w:lang w:eastAsia="en-US"/>
        </w:rPr>
        <w:t>and Do Not Call Register teams keep</w:t>
      </w:r>
      <w:r w:rsidR="00EB30F9" w:rsidRPr="001E2783">
        <w:rPr>
          <w:rFonts w:eastAsia="Calibri" w:cs="Arial"/>
          <w:lang w:eastAsia="en-US"/>
        </w:rPr>
        <w:t xml:space="preserve"> </w:t>
      </w:r>
      <w:r w:rsidRPr="001E2783">
        <w:rPr>
          <w:rFonts w:eastAsia="Calibri" w:cs="Arial"/>
          <w:lang w:eastAsia="en-US"/>
        </w:rPr>
        <w:t>faith with enormous numbers of Australians,</w:t>
      </w:r>
      <w:r w:rsidR="00EB30F9" w:rsidRPr="001E2783">
        <w:rPr>
          <w:rFonts w:eastAsia="Calibri" w:cs="Arial"/>
          <w:lang w:eastAsia="en-US"/>
        </w:rPr>
        <w:t xml:space="preserve"> </w:t>
      </w:r>
      <w:r w:rsidRPr="001E2783">
        <w:rPr>
          <w:rFonts w:eastAsia="Calibri" w:cs="Arial"/>
          <w:lang w:eastAsia="en-US"/>
        </w:rPr>
        <w:t>and our internet complaints section copes</w:t>
      </w:r>
      <w:r w:rsidR="00EB30F9" w:rsidRPr="001E2783">
        <w:rPr>
          <w:rFonts w:eastAsia="Calibri" w:cs="Arial"/>
          <w:lang w:eastAsia="en-US"/>
        </w:rPr>
        <w:t xml:space="preserve"> </w:t>
      </w:r>
      <w:r w:rsidRPr="001E2783">
        <w:rPr>
          <w:rFonts w:eastAsia="Calibri" w:cs="Arial"/>
          <w:lang w:eastAsia="en-US"/>
        </w:rPr>
        <w:t>with higher and higher numbers of reports of</w:t>
      </w:r>
      <w:r w:rsidR="00EB30F9" w:rsidRPr="001E2783">
        <w:rPr>
          <w:rFonts w:eastAsia="Calibri" w:cs="Arial"/>
          <w:lang w:eastAsia="en-US"/>
        </w:rPr>
        <w:t xml:space="preserve"> </w:t>
      </w:r>
      <w:r w:rsidRPr="001E2783">
        <w:rPr>
          <w:rFonts w:eastAsia="Calibri" w:cs="Arial"/>
          <w:lang w:eastAsia="en-US"/>
        </w:rPr>
        <w:t>online child exploitation material through great</w:t>
      </w:r>
      <w:r w:rsidR="00EB30F9" w:rsidRPr="001E2783">
        <w:rPr>
          <w:rFonts w:eastAsia="Calibri" w:cs="Arial"/>
          <w:lang w:eastAsia="en-US"/>
        </w:rPr>
        <w:t xml:space="preserve"> </w:t>
      </w:r>
      <w:r w:rsidRPr="001E2783">
        <w:rPr>
          <w:rFonts w:eastAsia="Calibri" w:cs="Arial"/>
          <w:lang w:eastAsia="en-US"/>
        </w:rPr>
        <w:t>teamwork and innovative ICT deployment.</w:t>
      </w:r>
      <w:r w:rsidR="00EB30F9" w:rsidRPr="001E2783">
        <w:rPr>
          <w:rFonts w:eastAsia="Calibri" w:cs="Arial"/>
          <w:lang w:eastAsia="en-US"/>
        </w:rPr>
        <w:t xml:space="preserve"> </w:t>
      </w:r>
      <w:r w:rsidRPr="001E2783">
        <w:rPr>
          <w:rFonts w:eastAsia="Calibri" w:cs="Arial"/>
          <w:lang w:eastAsia="en-US"/>
        </w:rPr>
        <w:t>Our corporate service functions provide</w:t>
      </w:r>
      <w:r w:rsidR="00EB30F9" w:rsidRPr="001E2783">
        <w:rPr>
          <w:rFonts w:eastAsia="Calibri" w:cs="Arial"/>
          <w:lang w:eastAsia="en-US"/>
        </w:rPr>
        <w:t xml:space="preserve"> </w:t>
      </w:r>
      <w:r w:rsidRPr="001E2783">
        <w:rPr>
          <w:rFonts w:eastAsia="Calibri" w:cs="Arial"/>
          <w:lang w:eastAsia="en-US"/>
        </w:rPr>
        <w:t>an essential</w:t>
      </w:r>
      <w:r w:rsidR="003D5FA8" w:rsidRPr="001E2783">
        <w:rPr>
          <w:rFonts w:eastAsia="Calibri" w:cs="Arial"/>
          <w:lang w:eastAsia="en-US"/>
        </w:rPr>
        <w:t>,</w:t>
      </w:r>
      <w:r w:rsidRPr="001E2783">
        <w:rPr>
          <w:rFonts w:eastAsia="Calibri" w:cs="Arial"/>
          <w:lang w:eastAsia="en-US"/>
        </w:rPr>
        <w:t xml:space="preserve"> if usually invisible</w:t>
      </w:r>
      <w:r w:rsidR="003D5FA8" w:rsidRPr="001E2783">
        <w:rPr>
          <w:rFonts w:eastAsia="Calibri" w:cs="Arial"/>
          <w:lang w:eastAsia="en-US"/>
        </w:rPr>
        <w:t>,</w:t>
      </w:r>
      <w:r w:rsidRPr="001E2783">
        <w:rPr>
          <w:rFonts w:eastAsia="Calibri" w:cs="Arial"/>
          <w:lang w:eastAsia="en-US"/>
        </w:rPr>
        <w:t xml:space="preserve"> support and</w:t>
      </w:r>
      <w:r w:rsidR="00EB30F9" w:rsidRPr="001E2783">
        <w:rPr>
          <w:rFonts w:eastAsia="Calibri" w:cs="Arial"/>
          <w:lang w:eastAsia="en-US"/>
        </w:rPr>
        <w:t xml:space="preserve"> </w:t>
      </w:r>
      <w:r w:rsidRPr="001E2783">
        <w:rPr>
          <w:rFonts w:eastAsia="Calibri" w:cs="Arial"/>
          <w:lang w:eastAsia="en-US"/>
        </w:rPr>
        <w:t>backdrop to all our activities. For example, the</w:t>
      </w:r>
      <w:r w:rsidR="00EB30F9" w:rsidRPr="001E2783">
        <w:rPr>
          <w:rFonts w:eastAsia="Calibri" w:cs="Arial"/>
          <w:lang w:eastAsia="en-US"/>
        </w:rPr>
        <w:t xml:space="preserve"> </w:t>
      </w:r>
      <w:r w:rsidRPr="001E2783">
        <w:rPr>
          <w:rFonts w:eastAsia="Calibri" w:cs="Arial"/>
          <w:lang w:eastAsia="en-US"/>
        </w:rPr>
        <w:t>agency has accomplished two major office</w:t>
      </w:r>
      <w:r w:rsidR="00EB30F9" w:rsidRPr="001E2783">
        <w:rPr>
          <w:rFonts w:eastAsia="Calibri" w:cs="Arial"/>
          <w:lang w:eastAsia="en-US"/>
        </w:rPr>
        <w:t xml:space="preserve"> </w:t>
      </w:r>
      <w:r w:rsidRPr="001E2783">
        <w:rPr>
          <w:rFonts w:eastAsia="Calibri" w:cs="Arial"/>
          <w:lang w:eastAsia="en-US"/>
        </w:rPr>
        <w:t>relocations this year and has scarcely skipped</w:t>
      </w:r>
      <w:r w:rsidR="00EB30F9" w:rsidRPr="001E2783">
        <w:rPr>
          <w:rFonts w:eastAsia="Calibri" w:cs="Arial"/>
          <w:lang w:eastAsia="en-US"/>
        </w:rPr>
        <w:t xml:space="preserve"> </w:t>
      </w:r>
      <w:r w:rsidRPr="001E2783">
        <w:rPr>
          <w:rFonts w:eastAsia="Calibri" w:cs="Arial"/>
          <w:lang w:eastAsia="en-US"/>
        </w:rPr>
        <w:t>a beat, thanks in large part to their skills and</w:t>
      </w:r>
      <w:r w:rsidR="00EB30F9" w:rsidRPr="001E2783">
        <w:rPr>
          <w:rFonts w:eastAsia="Calibri" w:cs="Arial"/>
          <w:lang w:eastAsia="en-US"/>
        </w:rPr>
        <w:t xml:space="preserve"> </w:t>
      </w:r>
      <w:r w:rsidRPr="001E2783">
        <w:rPr>
          <w:rFonts w:eastAsia="Calibri" w:cs="Arial"/>
          <w:lang w:eastAsia="en-US"/>
        </w:rPr>
        <w:t>expertise.</w:t>
      </w:r>
    </w:p>
    <w:p w14:paraId="01FFE558" w14:textId="77777777" w:rsidR="00450FE1" w:rsidRPr="001E2783" w:rsidRDefault="00B06353" w:rsidP="00B06353">
      <w:pPr>
        <w:rPr>
          <w:rFonts w:eastAsia="Calibri" w:cs="Arial"/>
          <w:lang w:eastAsia="en-US"/>
        </w:rPr>
      </w:pPr>
      <w:r w:rsidRPr="001E2783">
        <w:rPr>
          <w:rFonts w:eastAsia="Calibri" w:cs="Arial"/>
          <w:lang w:eastAsia="en-US"/>
        </w:rPr>
        <w:t>I proudly present this report of the ACMA’s</w:t>
      </w:r>
      <w:r w:rsidR="00EB30F9" w:rsidRPr="001E2783">
        <w:rPr>
          <w:rFonts w:eastAsia="Calibri" w:cs="Arial"/>
          <w:lang w:eastAsia="en-US"/>
        </w:rPr>
        <w:t xml:space="preserve"> </w:t>
      </w:r>
      <w:r w:rsidRPr="001E2783">
        <w:rPr>
          <w:rFonts w:eastAsia="Calibri" w:cs="Arial"/>
          <w:lang w:eastAsia="en-US"/>
        </w:rPr>
        <w:t>work over the financial year just concluded.</w:t>
      </w:r>
    </w:p>
    <w:p w14:paraId="510E0263" w14:textId="77777777" w:rsidR="00EB30F9" w:rsidRPr="001E2783" w:rsidRDefault="00EB30F9" w:rsidP="00B06353">
      <w:pPr>
        <w:rPr>
          <w:rFonts w:eastAsia="Calibri" w:cs="Arial"/>
          <w:lang w:eastAsia="en-US"/>
        </w:rPr>
      </w:pPr>
    </w:p>
    <w:p w14:paraId="217E6A42" w14:textId="77777777" w:rsidR="00450FE1" w:rsidRPr="001E2783" w:rsidRDefault="00450FE1" w:rsidP="00450FE1">
      <w:pPr>
        <w:rPr>
          <w:rFonts w:cs="Arial"/>
        </w:rPr>
      </w:pPr>
      <w:r w:rsidRPr="001E2783">
        <w:rPr>
          <w:rFonts w:eastAsia="Calibri" w:cs="Arial"/>
          <w:lang w:eastAsia="en-US"/>
        </w:rPr>
        <w:t>Chris Chapman</w:t>
      </w:r>
      <w:r w:rsidRPr="001E2783">
        <w:rPr>
          <w:rFonts w:eastAsia="Calibri" w:cs="Arial"/>
          <w:lang w:eastAsia="en-US"/>
        </w:rPr>
        <w:br/>
        <w:t>Chairman</w:t>
      </w:r>
    </w:p>
    <w:p w14:paraId="3960DE54" w14:textId="77777777" w:rsidR="00AD5C37" w:rsidRPr="001E2783" w:rsidRDefault="00AD5C37" w:rsidP="00CC119D">
      <w:pPr>
        <w:pStyle w:val="Heading1"/>
        <w:spacing w:before="240"/>
        <w:rPr>
          <w:color w:val="auto"/>
        </w:rPr>
        <w:sectPr w:rsidR="00AD5C37" w:rsidRPr="001E2783" w:rsidSect="00294DC2">
          <w:headerReference w:type="even" r:id="rId28"/>
          <w:headerReference w:type="default" r:id="rId29"/>
          <w:footerReference w:type="even" r:id="rId30"/>
          <w:footerReference w:type="default" r:id="rId31"/>
          <w:pgSz w:w="11906" w:h="16838" w:code="9"/>
          <w:pgMar w:top="1945" w:right="3101" w:bottom="868" w:left="1134" w:header="709" w:footer="119" w:gutter="0"/>
          <w:cols w:space="708"/>
          <w:docGrid w:linePitch="360"/>
        </w:sectPr>
      </w:pPr>
    </w:p>
    <w:p w14:paraId="09BF2BBD" w14:textId="32887E45" w:rsidR="00CC119D" w:rsidRPr="00E73B1F" w:rsidRDefault="00CC119D" w:rsidP="00E73B1F">
      <w:pPr>
        <w:pStyle w:val="Heading1"/>
      </w:pPr>
      <w:bookmarkStart w:id="4" w:name="_Toc400018463"/>
      <w:r w:rsidRPr="00E73B1F">
        <w:t>Highlights</w:t>
      </w:r>
      <w:bookmarkEnd w:id="2"/>
      <w:bookmarkEnd w:id="3"/>
      <w:bookmarkEnd w:id="4"/>
    </w:p>
    <w:p w14:paraId="05FDA943" w14:textId="77777777" w:rsidR="00BE51AD" w:rsidRPr="00E73B1F" w:rsidRDefault="00BE51AD" w:rsidP="00E73B1F">
      <w:pPr>
        <w:pStyle w:val="Heading2"/>
      </w:pPr>
      <w:bookmarkStart w:id="5" w:name="_Toc400018464"/>
      <w:bookmarkStart w:id="6" w:name="_Toc390166075"/>
      <w:r w:rsidRPr="00E73B1F">
        <w:t>Spectrum management—beyond the digital dividend</w:t>
      </w:r>
      <w:bookmarkEnd w:id="5"/>
    </w:p>
    <w:p w14:paraId="6F531A45" w14:textId="77777777" w:rsidR="003168AD" w:rsidRPr="001E2783" w:rsidRDefault="003168AD" w:rsidP="003168AD">
      <w:pPr>
        <w:keepNext/>
        <w:keepLines/>
        <w:rPr>
          <w:rFonts w:cs="Arial"/>
        </w:rPr>
      </w:pPr>
      <w:r w:rsidRPr="001E2783">
        <w:rPr>
          <w:rFonts w:cs="Arial"/>
        </w:rPr>
        <w:t xml:space="preserve">In an environment of increasing demand, managing access to scarce radiofrequency spectrum continues to create challenges. This demand stems from a variety of </w:t>
      </w:r>
      <w:r w:rsidR="00E40489" w:rsidRPr="001E2783">
        <w:rPr>
          <w:rFonts w:cs="Arial"/>
        </w:rPr>
        <w:t xml:space="preserve">existing </w:t>
      </w:r>
      <w:r w:rsidRPr="001E2783">
        <w:rPr>
          <w:rFonts w:cs="Arial"/>
        </w:rPr>
        <w:t xml:space="preserve">users and uses, and the continual evolution of wireless </w:t>
      </w:r>
      <w:r w:rsidR="00E40489" w:rsidRPr="001E2783">
        <w:rPr>
          <w:rFonts w:cs="Arial"/>
        </w:rPr>
        <w:t xml:space="preserve">and other </w:t>
      </w:r>
      <w:r w:rsidRPr="001E2783">
        <w:rPr>
          <w:rFonts w:cs="Arial"/>
        </w:rPr>
        <w:t>technologies. A key part of the ACMA’s task is to balance the</w:t>
      </w:r>
      <w:r w:rsidR="00E40489" w:rsidRPr="001E2783">
        <w:rPr>
          <w:rFonts w:cs="Arial"/>
        </w:rPr>
        <w:t>se competing</w:t>
      </w:r>
      <w:r w:rsidRPr="001E2783">
        <w:rPr>
          <w:rFonts w:cs="Arial"/>
        </w:rPr>
        <w:t xml:space="preserve"> needs.</w:t>
      </w:r>
    </w:p>
    <w:p w14:paraId="6223CC57" w14:textId="77777777" w:rsidR="003168AD" w:rsidRPr="001E2783" w:rsidRDefault="003168AD" w:rsidP="003168AD">
      <w:pPr>
        <w:keepNext/>
        <w:keepLines/>
        <w:rPr>
          <w:rFonts w:cs="Arial"/>
        </w:rPr>
      </w:pPr>
    </w:p>
    <w:p w14:paraId="12630870" w14:textId="77777777" w:rsidR="003168AD" w:rsidRPr="001E2783" w:rsidRDefault="003168AD" w:rsidP="003168AD">
      <w:pPr>
        <w:keepNext/>
        <w:keepLines/>
        <w:rPr>
          <w:rFonts w:cs="Arial"/>
        </w:rPr>
      </w:pPr>
      <w:r w:rsidRPr="001E2783">
        <w:rPr>
          <w:rFonts w:cs="Arial"/>
        </w:rPr>
        <w:t xml:space="preserve">With spectrum an economic enabler, the ACMA’s work program seeks to facilitate the adoption of new technologies and services </w:t>
      </w:r>
      <w:r w:rsidR="00E40489" w:rsidRPr="001E2783">
        <w:rPr>
          <w:rFonts w:cs="Arial"/>
        </w:rPr>
        <w:t xml:space="preserve">so that both industry and consumers </w:t>
      </w:r>
      <w:r w:rsidRPr="001E2783">
        <w:rPr>
          <w:rFonts w:cs="Arial"/>
        </w:rPr>
        <w:t>benefit.</w:t>
      </w:r>
      <w:r w:rsidR="00E40489" w:rsidRPr="001E2783">
        <w:rPr>
          <w:rFonts w:cs="Arial"/>
        </w:rPr>
        <w:t xml:space="preserve"> T</w:t>
      </w:r>
      <w:r w:rsidRPr="001E2783">
        <w:rPr>
          <w:rFonts w:cs="Arial"/>
        </w:rPr>
        <w:t xml:space="preserve">he radiocommunications regulatory framework </w:t>
      </w:r>
      <w:r w:rsidR="00E40489" w:rsidRPr="001E2783">
        <w:rPr>
          <w:rFonts w:cs="Arial"/>
        </w:rPr>
        <w:t xml:space="preserve">must </w:t>
      </w:r>
      <w:r w:rsidRPr="001E2783">
        <w:rPr>
          <w:rFonts w:cs="Arial"/>
        </w:rPr>
        <w:t xml:space="preserve">quickly respond to the changing spectrum environment and continue to meet stakeholder needs. The ACMA continues to advance the public interest by applying effective regulation to optimise the productive, allocative and dynamic efficiency of the spectrum. </w:t>
      </w:r>
      <w:r w:rsidR="00E40489" w:rsidRPr="001E2783">
        <w:rPr>
          <w:rFonts w:cs="Arial"/>
        </w:rPr>
        <w:t>This involves a</w:t>
      </w:r>
      <w:r w:rsidRPr="001E2783">
        <w:rPr>
          <w:rFonts w:cs="Arial"/>
        </w:rPr>
        <w:t xml:space="preserve"> blended regulatory strategy of both market mechanisms and cent</w:t>
      </w:r>
      <w:r w:rsidR="00E40489" w:rsidRPr="001E2783">
        <w:rPr>
          <w:rFonts w:cs="Arial"/>
        </w:rPr>
        <w:t>rally planned decisions</w:t>
      </w:r>
      <w:r w:rsidRPr="001E2783">
        <w:rPr>
          <w:rFonts w:cs="Arial"/>
        </w:rPr>
        <w:t>.</w:t>
      </w:r>
    </w:p>
    <w:p w14:paraId="7C477A90" w14:textId="77777777" w:rsidR="003168AD" w:rsidRPr="001E2783" w:rsidRDefault="003168AD" w:rsidP="00BE51AD">
      <w:pPr>
        <w:keepNext/>
        <w:keepLines/>
        <w:rPr>
          <w:rFonts w:cs="Arial"/>
        </w:rPr>
      </w:pPr>
    </w:p>
    <w:p w14:paraId="5D35EA43" w14:textId="77777777" w:rsidR="00BE51AD" w:rsidRPr="001E2783" w:rsidRDefault="00BE51AD" w:rsidP="00BE51AD">
      <w:pPr>
        <w:keepNext/>
        <w:keepLines/>
        <w:rPr>
          <w:rFonts w:cs="Arial"/>
        </w:rPr>
      </w:pPr>
      <w:r w:rsidRPr="001E2783">
        <w:rPr>
          <w:rFonts w:cs="Arial"/>
        </w:rPr>
        <w:t xml:space="preserve">Following the completion of the digital dividend auction in May 2013, this reporting period saw the ACMA focus on preparing the 700 MHz and 2.5 GHz bands for future spectrum-licensed use. This involved work on </w:t>
      </w:r>
      <w:r w:rsidR="00E40489" w:rsidRPr="001E2783">
        <w:rPr>
          <w:rFonts w:cs="Arial"/>
        </w:rPr>
        <w:t>the following spectrum</w:t>
      </w:r>
      <w:r w:rsidRPr="001E2783">
        <w:rPr>
          <w:rFonts w:cs="Arial"/>
        </w:rPr>
        <w:t xml:space="preserve"> projects.</w:t>
      </w:r>
    </w:p>
    <w:p w14:paraId="7868E13B" w14:textId="77777777" w:rsidR="00BE51AD" w:rsidRPr="001E2783" w:rsidRDefault="00BE51AD" w:rsidP="00BE51AD">
      <w:pPr>
        <w:keepNext/>
        <w:keepLines/>
        <w:rPr>
          <w:rFonts w:cs="Arial"/>
        </w:rPr>
      </w:pPr>
    </w:p>
    <w:p w14:paraId="6A958CEA" w14:textId="77777777" w:rsidR="00BE51AD" w:rsidRPr="001E2783" w:rsidRDefault="00BE51AD" w:rsidP="00BE51AD">
      <w:pPr>
        <w:pStyle w:val="Heading3"/>
      </w:pPr>
      <w:bookmarkStart w:id="7" w:name="_Toc400018465"/>
      <w:r w:rsidRPr="001E2783">
        <w:t>Early access to the 700 MHz band</w:t>
      </w:r>
      <w:bookmarkEnd w:id="7"/>
    </w:p>
    <w:p w14:paraId="064BF036" w14:textId="77777777" w:rsidR="00BE51AD" w:rsidRPr="001E2783" w:rsidRDefault="00BE51AD" w:rsidP="000F3F9F">
      <w:pPr>
        <w:keepNext/>
        <w:keepLines/>
        <w:spacing w:after="80"/>
        <w:rPr>
          <w:rFonts w:cs="Arial"/>
        </w:rPr>
      </w:pPr>
      <w:r w:rsidRPr="001E2783">
        <w:rPr>
          <w:rFonts w:cs="Arial"/>
        </w:rPr>
        <w:t>The ACMA worked to facilitate early access to the 700 MHz band for Telstra and Optus, the winning bidders of the digital dividend auction for that band. The main outcomes of this work were:</w:t>
      </w:r>
    </w:p>
    <w:p w14:paraId="2A4AFD1E" w14:textId="77777777" w:rsidR="00BE51AD" w:rsidRPr="001E2783" w:rsidRDefault="00BE51AD" w:rsidP="00BE51AD">
      <w:pPr>
        <w:pStyle w:val="ListBullet"/>
        <w:rPr>
          <w:rFonts w:cs="Arial"/>
        </w:rPr>
      </w:pPr>
      <w:r w:rsidRPr="001E2783">
        <w:rPr>
          <w:rFonts w:cs="Arial"/>
        </w:rPr>
        <w:t>finalising the coordination and apparatus licensing procedures to enable early access</w:t>
      </w:r>
    </w:p>
    <w:p w14:paraId="19DD35E7" w14:textId="77777777" w:rsidR="00BE51AD" w:rsidRPr="001E2783" w:rsidRDefault="00BE51AD" w:rsidP="00BE51AD">
      <w:pPr>
        <w:pStyle w:val="ListBullet"/>
        <w:spacing w:after="240"/>
        <w:rPr>
          <w:rFonts w:cs="Arial"/>
        </w:rPr>
      </w:pPr>
      <w:r w:rsidRPr="001E2783">
        <w:rPr>
          <w:rFonts w:cs="Arial"/>
        </w:rPr>
        <w:t xml:space="preserve">amending the Radiocommunications (Transmitter Licence Tax) Determination 2003 (No. 2) to specify tax for a 700 MHz PMTS Class B licence—this is the licence type that will be issued to any 700 MHz early access base station. </w:t>
      </w:r>
    </w:p>
    <w:p w14:paraId="566995C4" w14:textId="77777777" w:rsidR="00E40489" w:rsidRPr="001E2783" w:rsidRDefault="00E40489" w:rsidP="00E40489">
      <w:pPr>
        <w:pStyle w:val="Heading3"/>
      </w:pPr>
      <w:bookmarkStart w:id="8" w:name="_Toc400018466"/>
      <w:r w:rsidRPr="001E2783">
        <w:t>Clearing television broadcasting from the 700 MHz band</w:t>
      </w:r>
      <w:bookmarkEnd w:id="8"/>
    </w:p>
    <w:p w14:paraId="2BA3588C" w14:textId="77777777" w:rsidR="00E40489" w:rsidRPr="001E2783" w:rsidRDefault="00673964" w:rsidP="00673964">
      <w:pPr>
        <w:keepNext/>
        <w:keepLines/>
        <w:spacing w:after="80"/>
        <w:rPr>
          <w:rFonts w:eastAsiaTheme="minorHAnsi" w:cs="Arial"/>
        </w:rPr>
      </w:pPr>
      <w:r w:rsidRPr="001E2783">
        <w:rPr>
          <w:rFonts w:cs="Arial"/>
        </w:rPr>
        <w:t>Work</w:t>
      </w:r>
      <w:r w:rsidR="00E40489" w:rsidRPr="001E2783">
        <w:rPr>
          <w:rFonts w:cs="Arial"/>
        </w:rPr>
        <w:t xml:space="preserve"> continued to restack television broadcasting services to their final channels</w:t>
      </w:r>
      <w:r w:rsidRPr="001E2783">
        <w:rPr>
          <w:rFonts w:cs="Arial"/>
        </w:rPr>
        <w:t>,</w:t>
      </w:r>
      <w:r w:rsidR="00E40489" w:rsidRPr="001E2783">
        <w:rPr>
          <w:rFonts w:cs="Arial"/>
        </w:rPr>
        <w:t xml:space="preserve"> in order to clear the 700</w:t>
      </w:r>
      <w:r w:rsidRPr="001E2783">
        <w:rPr>
          <w:rFonts w:cs="Arial"/>
        </w:rPr>
        <w:t xml:space="preserve"> MHz digital dividend spectrum.</w:t>
      </w:r>
      <w:r w:rsidR="00E40489" w:rsidRPr="001E2783">
        <w:rPr>
          <w:rFonts w:cs="Arial"/>
        </w:rPr>
        <w:t xml:space="preserve"> While overall management of the implementation phase of the restack project rests with the Department of Communications, the ACMA continued to support the project by:</w:t>
      </w:r>
    </w:p>
    <w:p w14:paraId="3488AC41" w14:textId="77777777" w:rsidR="00E40489" w:rsidRPr="001E2783" w:rsidRDefault="00E40489" w:rsidP="00E40489">
      <w:pPr>
        <w:pStyle w:val="ListBullet"/>
        <w:rPr>
          <w:rFonts w:cs="Arial"/>
        </w:rPr>
      </w:pPr>
      <w:r w:rsidRPr="001E2783">
        <w:rPr>
          <w:rFonts w:cs="Arial"/>
        </w:rPr>
        <w:t>providing advice to the department, broadcasters and the project implementation manager on frequency planning</w:t>
      </w:r>
      <w:r w:rsidR="00673964" w:rsidRPr="001E2783">
        <w:rPr>
          <w:rFonts w:cs="Arial"/>
        </w:rPr>
        <w:t>-related issues</w:t>
      </w:r>
    </w:p>
    <w:p w14:paraId="7A4518B2" w14:textId="77777777" w:rsidR="00E40489" w:rsidRPr="001E2783" w:rsidRDefault="00E40489" w:rsidP="00E40489">
      <w:pPr>
        <w:pStyle w:val="ListBullet"/>
        <w:rPr>
          <w:rFonts w:cs="Arial"/>
        </w:rPr>
      </w:pPr>
      <w:r w:rsidRPr="001E2783">
        <w:rPr>
          <w:rFonts w:cs="Arial"/>
        </w:rPr>
        <w:t xml:space="preserve">assessing </w:t>
      </w:r>
      <w:r w:rsidR="00673964" w:rsidRPr="001E2783">
        <w:rPr>
          <w:rFonts w:cs="Arial"/>
        </w:rPr>
        <w:t xml:space="preserve">and advising on </w:t>
      </w:r>
      <w:r w:rsidRPr="001E2783">
        <w:rPr>
          <w:rFonts w:cs="Arial"/>
        </w:rPr>
        <w:t>the risk of coverage changes</w:t>
      </w:r>
    </w:p>
    <w:p w14:paraId="47D151C2" w14:textId="77777777" w:rsidR="00E40489" w:rsidRPr="001E2783" w:rsidRDefault="00E40489" w:rsidP="00E40489">
      <w:pPr>
        <w:pStyle w:val="ListBullet"/>
        <w:rPr>
          <w:rFonts w:cs="Arial"/>
        </w:rPr>
      </w:pPr>
      <w:r w:rsidRPr="001E2783">
        <w:rPr>
          <w:rFonts w:cs="Arial"/>
        </w:rPr>
        <w:t>issuing new licences for the services that are changing channels</w:t>
      </w:r>
    </w:p>
    <w:p w14:paraId="443A6B4C" w14:textId="77777777" w:rsidR="00E40489" w:rsidRPr="001E2783" w:rsidRDefault="00E40489" w:rsidP="00673964">
      <w:pPr>
        <w:pStyle w:val="ListBullet"/>
        <w:spacing w:after="240"/>
        <w:rPr>
          <w:rFonts w:cs="Arial"/>
        </w:rPr>
      </w:pPr>
      <w:r w:rsidRPr="001E2783">
        <w:rPr>
          <w:rFonts w:cs="Arial"/>
        </w:rPr>
        <w:t>liaising with self-help retransmission providers who must either restack or adjust their services as the input channels received from other sites changes.</w:t>
      </w:r>
    </w:p>
    <w:p w14:paraId="10332B10" w14:textId="77777777" w:rsidR="00BE51AD" w:rsidRPr="001E2783" w:rsidRDefault="00BE51AD" w:rsidP="00BE51AD">
      <w:pPr>
        <w:pStyle w:val="Heading3"/>
      </w:pPr>
      <w:bookmarkStart w:id="9" w:name="_Toc400018467"/>
      <w:r w:rsidRPr="001E2783">
        <w:t>Wireless microphones</w:t>
      </w:r>
      <w:bookmarkEnd w:id="9"/>
    </w:p>
    <w:p w14:paraId="1607C03C" w14:textId="77777777" w:rsidR="00BE51AD" w:rsidRPr="001E2783" w:rsidRDefault="00BE51AD" w:rsidP="000F3F9F">
      <w:pPr>
        <w:keepNext/>
        <w:keepLines/>
        <w:spacing w:after="80"/>
        <w:rPr>
          <w:rFonts w:cs="Arial"/>
        </w:rPr>
      </w:pPr>
      <w:r w:rsidRPr="001E2783">
        <w:rPr>
          <w:rFonts w:cs="Arial"/>
        </w:rPr>
        <w:t>The ACMA continued its support of the transition of wireless microphones from the 700 MHz band. This included:</w:t>
      </w:r>
    </w:p>
    <w:p w14:paraId="426672D9" w14:textId="77777777" w:rsidR="00BE51AD" w:rsidRPr="001E2783" w:rsidRDefault="00BE51AD" w:rsidP="00BE51AD">
      <w:pPr>
        <w:pStyle w:val="ListBullet"/>
        <w:rPr>
          <w:rFonts w:cs="Arial"/>
        </w:rPr>
      </w:pPr>
      <w:r w:rsidRPr="001E2783">
        <w:rPr>
          <w:rFonts w:cs="Arial"/>
        </w:rPr>
        <w:t xml:space="preserve">creating a dedicated website, </w:t>
      </w:r>
      <w:hyperlink r:id="rId32" w:history="1">
        <w:r w:rsidRPr="00311E08">
          <w:rPr>
            <w:rStyle w:val="Hyperlink"/>
            <w:rFonts w:cs="Arial"/>
          </w:rPr>
          <w:t>wirelessmicrophones.gov.au</w:t>
        </w:r>
      </w:hyperlink>
      <w:r w:rsidRPr="001E2783">
        <w:rPr>
          <w:rFonts w:cs="Arial"/>
        </w:rPr>
        <w:t>, as an information and resource hub for users and suppliers</w:t>
      </w:r>
    </w:p>
    <w:p w14:paraId="6F50B962" w14:textId="77777777" w:rsidR="00BE51AD" w:rsidRPr="001E2783" w:rsidRDefault="00BE51AD" w:rsidP="00BE51AD">
      <w:pPr>
        <w:pStyle w:val="ListBullet"/>
        <w:rPr>
          <w:rFonts w:cs="Arial"/>
        </w:rPr>
      </w:pPr>
      <w:r w:rsidRPr="001E2783">
        <w:rPr>
          <w:rFonts w:cs="Arial"/>
        </w:rPr>
        <w:t>releasing a short video, featuring popular television presenter Shelley Craft, explaining the changes and what users need to do</w:t>
      </w:r>
    </w:p>
    <w:p w14:paraId="06E4DA8B" w14:textId="77777777" w:rsidR="00BE51AD" w:rsidRPr="001E2783" w:rsidRDefault="00BE51AD" w:rsidP="00BE51AD">
      <w:pPr>
        <w:pStyle w:val="ListBullet"/>
        <w:spacing w:after="240"/>
        <w:rPr>
          <w:rFonts w:cs="Arial"/>
        </w:rPr>
      </w:pPr>
      <w:r w:rsidRPr="001E2783">
        <w:rPr>
          <w:rFonts w:cs="Arial"/>
        </w:rPr>
        <w:t>developing an online channel finder tool and publishing regional fact sheets that explain the changes and identify channels available for wireless microphone use.</w:t>
      </w:r>
    </w:p>
    <w:p w14:paraId="14A0B661" w14:textId="77777777" w:rsidR="00BE51AD" w:rsidRPr="001E2783" w:rsidRDefault="00BE51AD" w:rsidP="00BE51AD">
      <w:pPr>
        <w:rPr>
          <w:rFonts w:cs="Arial"/>
        </w:rPr>
      </w:pPr>
      <w:r w:rsidRPr="001E2783">
        <w:rPr>
          <w:rFonts w:cs="Arial"/>
        </w:rPr>
        <w:t xml:space="preserve">These activities formed part of the ACMA’s stakeholder engagement plan to transition wireless audio transmitters out of the 694–820 MHz band from 1 January 2015, in accordance with revised legislative instruments. During 2013–14, the ACMA also approved changes that will give indoor users greater opportunities to use wireless microphones in the frequency range 520–694 MHz. </w:t>
      </w:r>
    </w:p>
    <w:p w14:paraId="74815D55" w14:textId="77777777" w:rsidR="00BE51AD" w:rsidRPr="001E2783" w:rsidRDefault="00BE51AD" w:rsidP="00BE51AD">
      <w:pPr>
        <w:pStyle w:val="ListBullet"/>
        <w:numPr>
          <w:ilvl w:val="0"/>
          <w:numId w:val="0"/>
        </w:numPr>
        <w:spacing w:after="0"/>
        <w:rPr>
          <w:rFonts w:cs="Arial"/>
        </w:rPr>
      </w:pPr>
    </w:p>
    <w:p w14:paraId="21E68BA1" w14:textId="77777777" w:rsidR="00BE51AD" w:rsidRPr="001E2783" w:rsidRDefault="00BE51AD" w:rsidP="00BE51AD">
      <w:pPr>
        <w:pStyle w:val="Heading3"/>
      </w:pPr>
      <w:bookmarkStart w:id="10" w:name="_Toc400018468"/>
      <w:r w:rsidRPr="001E2783">
        <w:t>Relocation of electronic news-gathering services</w:t>
      </w:r>
      <w:bookmarkEnd w:id="10"/>
    </w:p>
    <w:p w14:paraId="24875BCF" w14:textId="77777777" w:rsidR="00BE51AD" w:rsidRPr="001E2783" w:rsidRDefault="00BE51AD" w:rsidP="000F3F9F">
      <w:pPr>
        <w:rPr>
          <w:rFonts w:cs="Arial"/>
        </w:rPr>
      </w:pPr>
      <w:r w:rsidRPr="001E2783">
        <w:rPr>
          <w:rFonts w:cs="Arial"/>
        </w:rPr>
        <w:t xml:space="preserve">The ACMA continued work to support the relocation of electronic news-gathering (ENG) services from the 2.5 GHz band to the 1980–2110 and 2170–2300 MHz bands, culminating in the establishment of inter-service coordination requirements in May 2014. </w:t>
      </w:r>
    </w:p>
    <w:p w14:paraId="77D9D024" w14:textId="77777777" w:rsidR="00BE51AD" w:rsidRPr="001E2783" w:rsidRDefault="00BE51AD" w:rsidP="00BE51AD">
      <w:pPr>
        <w:pStyle w:val="ListBullet"/>
        <w:numPr>
          <w:ilvl w:val="0"/>
          <w:numId w:val="0"/>
        </w:numPr>
        <w:spacing w:after="0"/>
        <w:rPr>
          <w:rFonts w:cs="Arial"/>
        </w:rPr>
      </w:pPr>
    </w:p>
    <w:p w14:paraId="7A12DAE7" w14:textId="77777777" w:rsidR="00BE51AD" w:rsidRPr="001E2783" w:rsidRDefault="00BE51AD" w:rsidP="00BE51AD">
      <w:pPr>
        <w:pStyle w:val="Heading3"/>
      </w:pPr>
      <w:bookmarkStart w:id="11" w:name="_Toc400018469"/>
      <w:r w:rsidRPr="001E2783">
        <w:t>Conversion of the 2.5 GHz mid-band gap</w:t>
      </w:r>
      <w:bookmarkEnd w:id="11"/>
    </w:p>
    <w:p w14:paraId="4064CA6D" w14:textId="77777777" w:rsidR="00BE51AD" w:rsidRPr="001E2783" w:rsidRDefault="00BE51AD" w:rsidP="00BE51AD">
      <w:pPr>
        <w:rPr>
          <w:rFonts w:cs="Arial"/>
        </w:rPr>
      </w:pPr>
      <w:r w:rsidRPr="001E2783">
        <w:rPr>
          <w:rFonts w:cs="Arial"/>
        </w:rPr>
        <w:t>In December 2013, the ACMA offered broadcasters the opportunity to convert existing ENG apparatus licences in the 2.5 GHz mid-band gap to spectrum licences. These will come into effect on 1 October 2014.</w:t>
      </w:r>
    </w:p>
    <w:p w14:paraId="75B690D6" w14:textId="77777777" w:rsidR="00BE51AD" w:rsidRPr="001E2783" w:rsidRDefault="00BE51AD" w:rsidP="00BE51AD">
      <w:pPr>
        <w:rPr>
          <w:rFonts w:cs="Arial"/>
        </w:rPr>
      </w:pPr>
    </w:p>
    <w:p w14:paraId="77DF4864" w14:textId="77777777" w:rsidR="00BE51AD" w:rsidRPr="001E2783" w:rsidRDefault="00BE51AD" w:rsidP="000F3F9F">
      <w:pPr>
        <w:pStyle w:val="Heading2"/>
      </w:pPr>
      <w:bookmarkStart w:id="12" w:name="_Toc400018470"/>
      <w:r w:rsidRPr="001E2783">
        <w:t>Online content investigations and partnerships</w:t>
      </w:r>
      <w:bookmarkEnd w:id="12"/>
    </w:p>
    <w:p w14:paraId="4BE91ED6" w14:textId="77777777" w:rsidR="00BE51AD" w:rsidRPr="001E2783" w:rsidRDefault="00BE51AD" w:rsidP="000F3F9F">
      <w:pPr>
        <w:rPr>
          <w:rFonts w:cs="Arial"/>
        </w:rPr>
      </w:pPr>
      <w:r w:rsidRPr="001E2783">
        <w:rPr>
          <w:rFonts w:cs="Arial"/>
        </w:rPr>
        <w:t xml:space="preserve">In 2013–14, the ACMA concluded a number of revised </w:t>
      </w:r>
      <w:r w:rsidR="00B906AA" w:rsidRPr="001E2783">
        <w:rPr>
          <w:rFonts w:cs="Arial"/>
        </w:rPr>
        <w:t>memorandums of understanding (Mo</w:t>
      </w:r>
      <w:r w:rsidRPr="001E2783">
        <w:rPr>
          <w:rFonts w:cs="Arial"/>
        </w:rPr>
        <w:t>Us) with Australian police forces in New South Wales, Tasmania, South Australia</w:t>
      </w:r>
      <w:r w:rsidR="00B906AA" w:rsidRPr="001E2783">
        <w:rPr>
          <w:rFonts w:cs="Arial"/>
        </w:rPr>
        <w:t xml:space="preserve"> and Western Australia. A new Mo</w:t>
      </w:r>
      <w:r w:rsidRPr="001E2783">
        <w:rPr>
          <w:rFonts w:cs="Arial"/>
        </w:rPr>
        <w:t xml:space="preserve">U between the ACMA and the Northern Territory Police is the first time such an arrangement has been concluded between the two agencies. </w:t>
      </w:r>
    </w:p>
    <w:p w14:paraId="4950D0FB" w14:textId="77777777" w:rsidR="00BE51AD" w:rsidRPr="001E2783" w:rsidRDefault="00BE51AD" w:rsidP="000F3F9F">
      <w:pPr>
        <w:rPr>
          <w:rFonts w:cs="Arial"/>
        </w:rPr>
      </w:pPr>
    </w:p>
    <w:p w14:paraId="3C6E13D6" w14:textId="77777777" w:rsidR="00BE51AD" w:rsidRPr="001E2783" w:rsidRDefault="003D5FA8" w:rsidP="000F3F9F">
      <w:pPr>
        <w:rPr>
          <w:rFonts w:cs="Arial"/>
        </w:rPr>
      </w:pPr>
      <w:r w:rsidRPr="001E2783">
        <w:rPr>
          <w:rFonts w:cs="Arial"/>
        </w:rPr>
        <w:t>T</w:t>
      </w:r>
      <w:r w:rsidR="00BE51AD" w:rsidRPr="001E2783">
        <w:rPr>
          <w:rFonts w:cs="Arial"/>
        </w:rPr>
        <w:t xml:space="preserve">he agreements allow the ACMA to notify sufficiently serious content to state and territory police forces where there is evidence that the content is being provided or accessed from, or has been produced in, the relevant jurisdiction. </w:t>
      </w:r>
    </w:p>
    <w:p w14:paraId="65FBCCBC" w14:textId="77777777" w:rsidR="00BE51AD" w:rsidRPr="001E2783" w:rsidRDefault="00BE51AD" w:rsidP="000F3F9F">
      <w:pPr>
        <w:rPr>
          <w:rFonts w:cs="Arial"/>
        </w:rPr>
      </w:pPr>
    </w:p>
    <w:p w14:paraId="07EA39E4" w14:textId="77777777" w:rsidR="00BE51AD" w:rsidRPr="001E2783" w:rsidRDefault="00BE51AD" w:rsidP="000F3F9F">
      <w:pPr>
        <w:rPr>
          <w:rFonts w:cs="Arial"/>
        </w:rPr>
      </w:pPr>
      <w:r w:rsidRPr="001E2783">
        <w:rPr>
          <w:rFonts w:cs="Arial"/>
        </w:rPr>
        <w:t>Sufficiently serious content includes child sexual abuse material, content providing instruction in crime or violence and material advocating the doing of a terrorist act.</w:t>
      </w:r>
    </w:p>
    <w:p w14:paraId="3FBBA164" w14:textId="77777777" w:rsidR="00BE51AD" w:rsidRPr="001E2783" w:rsidRDefault="00BE51AD" w:rsidP="000F3F9F">
      <w:pPr>
        <w:rPr>
          <w:rFonts w:cs="Arial"/>
        </w:rPr>
      </w:pPr>
    </w:p>
    <w:p w14:paraId="1C2B50B2" w14:textId="77777777" w:rsidR="00BE51AD" w:rsidRPr="001E2783" w:rsidRDefault="00B906AA" w:rsidP="000F3F9F">
      <w:pPr>
        <w:rPr>
          <w:rFonts w:cs="Arial"/>
        </w:rPr>
      </w:pPr>
      <w:r w:rsidRPr="001E2783">
        <w:rPr>
          <w:rFonts w:cs="Arial"/>
        </w:rPr>
        <w:t>The Mo</w:t>
      </w:r>
      <w:r w:rsidR="00BE51AD" w:rsidRPr="001E2783">
        <w:rPr>
          <w:rFonts w:cs="Arial"/>
        </w:rPr>
        <w:t xml:space="preserve">Us promote greater efficiency in identifying and removing websites containing illegal child exploitation images and mean law enforcement </w:t>
      </w:r>
      <w:r w:rsidR="003D5FA8" w:rsidRPr="001E2783">
        <w:rPr>
          <w:rFonts w:cs="Arial"/>
        </w:rPr>
        <w:t xml:space="preserve">agencies </w:t>
      </w:r>
      <w:r w:rsidR="00BE51AD" w:rsidRPr="001E2783">
        <w:rPr>
          <w:rFonts w:cs="Arial"/>
        </w:rPr>
        <w:t>receive rapid reports where Australian children may be in danger or Australian offenders are involved. The agreements allow the ACMA to be at its most effective as a frontline agency dealing with reports from the Australian public about child sexual abuse material and other illegal online content.</w:t>
      </w:r>
    </w:p>
    <w:p w14:paraId="44C38E90" w14:textId="77777777" w:rsidR="00B906AA" w:rsidRPr="001E2783" w:rsidRDefault="00B906AA" w:rsidP="000F3F9F">
      <w:pPr>
        <w:rPr>
          <w:rFonts w:cs="Arial"/>
        </w:rPr>
      </w:pPr>
    </w:p>
    <w:p w14:paraId="1D40F23F" w14:textId="77777777" w:rsidR="00B906AA" w:rsidRPr="001E2783" w:rsidRDefault="00B906AA" w:rsidP="000F3F9F">
      <w:pPr>
        <w:rPr>
          <w:rFonts w:cs="Arial"/>
        </w:rPr>
      </w:pPr>
      <w:r w:rsidRPr="001E2783">
        <w:rPr>
          <w:rFonts w:cs="Arial"/>
        </w:rPr>
        <w:t xml:space="preserve">In the reporting period, complaints about online child sexual abuse material and the number of items of </w:t>
      </w:r>
      <w:r w:rsidR="003D5FA8" w:rsidRPr="001E2783">
        <w:rPr>
          <w:rFonts w:cs="Arial"/>
        </w:rPr>
        <w:t>this material</w:t>
      </w:r>
      <w:r w:rsidRPr="001E2783">
        <w:rPr>
          <w:rFonts w:cs="Arial"/>
        </w:rPr>
        <w:t xml:space="preserve"> investigated both rose significantly. The number of complaints increased by 29 per cent on 2012–13 and the number of items investigated rose to 7,663—a 551 per cent increase on 2012–13. The increase in complaints suggests greater citizen awareness of the ACMA Hotline as a reporting mechanism. The introduction of new software and processes facilitated the investigation of a much greater number of items of child sexual abuse material.</w:t>
      </w:r>
    </w:p>
    <w:p w14:paraId="5F9A1CBF" w14:textId="77777777" w:rsidR="0087181F" w:rsidRPr="001E2783" w:rsidRDefault="0087181F" w:rsidP="000F3F9F">
      <w:pPr>
        <w:rPr>
          <w:rFonts w:cs="Arial"/>
        </w:rPr>
      </w:pPr>
    </w:p>
    <w:p w14:paraId="364DBEA1" w14:textId="77777777" w:rsidR="007E0CEF" w:rsidRPr="001E2783" w:rsidRDefault="007E0CEF" w:rsidP="007E0CEF">
      <w:pPr>
        <w:pStyle w:val="Heading2"/>
      </w:pPr>
      <w:bookmarkStart w:id="13" w:name="_Toc400018471"/>
      <w:r w:rsidRPr="001E2783">
        <w:t>Litigation</w:t>
      </w:r>
      <w:bookmarkEnd w:id="13"/>
    </w:p>
    <w:p w14:paraId="5F96E7E6" w14:textId="77777777" w:rsidR="007E0CEF" w:rsidRPr="001E2783" w:rsidRDefault="007E0CEF" w:rsidP="007E0CEF">
      <w:pPr>
        <w:spacing w:after="80"/>
        <w:rPr>
          <w:rFonts w:cs="Arial"/>
        </w:rPr>
      </w:pPr>
      <w:r w:rsidRPr="001E2783">
        <w:rPr>
          <w:rFonts w:cs="Arial"/>
        </w:rPr>
        <w:t>During the reporting year, the ACMA was involved in a number of significant court cases. These were important in themselves, but also in giving the ACMA and the industry useful guidance on a number of matters. In the area of broadcasting, this included the:</w:t>
      </w:r>
    </w:p>
    <w:p w14:paraId="3B4B5259" w14:textId="77777777" w:rsidR="007E0CEF" w:rsidRPr="001E2783" w:rsidRDefault="007E0CEF" w:rsidP="007E0CEF">
      <w:pPr>
        <w:pStyle w:val="ListBullet"/>
        <w:rPr>
          <w:rFonts w:cs="Arial"/>
        </w:rPr>
      </w:pPr>
      <w:r w:rsidRPr="001E2783">
        <w:rPr>
          <w:rFonts w:cs="Arial"/>
        </w:rPr>
        <w:t>application of the commercial television broadcasting licence condition that prohibits the broadcast of tobacco advertisements</w:t>
      </w:r>
    </w:p>
    <w:p w14:paraId="53A2FA78" w14:textId="77777777" w:rsidR="007E0CEF" w:rsidRPr="001E2783" w:rsidRDefault="007E0CEF" w:rsidP="007E0CEF">
      <w:pPr>
        <w:pStyle w:val="ListBullet"/>
        <w:spacing w:after="240"/>
        <w:rPr>
          <w:rFonts w:cs="Arial"/>
        </w:rPr>
      </w:pPr>
      <w:r w:rsidRPr="001E2783">
        <w:rPr>
          <w:rFonts w:cs="Arial"/>
        </w:rPr>
        <w:t xml:space="preserve">operation of the commercial radio broadcasting licence condition relating to the use of a broadcasting service in the commission of an offence. </w:t>
      </w:r>
    </w:p>
    <w:p w14:paraId="2E6FBB24" w14:textId="77777777" w:rsidR="007E0CEF" w:rsidRPr="001E2783" w:rsidRDefault="007E0CEF" w:rsidP="007E0CEF">
      <w:pPr>
        <w:rPr>
          <w:rFonts w:cs="Arial"/>
        </w:rPr>
      </w:pPr>
      <w:r w:rsidRPr="001E2783">
        <w:rPr>
          <w:rFonts w:cs="Arial"/>
        </w:rPr>
        <w:t>They also confirmed that the ‘ordinary reasonable viewer (or listener)’ approach, used by the ACMA to identify the meaning of material that has been broadcast, is appropriate.</w:t>
      </w:r>
    </w:p>
    <w:p w14:paraId="0F6B1CFD" w14:textId="77777777" w:rsidR="007E0CEF" w:rsidRPr="001E2783" w:rsidRDefault="007E0CEF" w:rsidP="007E0CEF">
      <w:pPr>
        <w:rPr>
          <w:rFonts w:cs="Arial"/>
        </w:rPr>
      </w:pPr>
    </w:p>
    <w:p w14:paraId="1B43BF46" w14:textId="0920F8A0" w:rsidR="007E0CEF" w:rsidRPr="001E2783" w:rsidRDefault="007E0CEF" w:rsidP="007E0CEF">
      <w:pPr>
        <w:rPr>
          <w:rFonts w:cs="Arial"/>
        </w:rPr>
      </w:pPr>
      <w:r w:rsidRPr="001E2783">
        <w:rPr>
          <w:rFonts w:cs="Arial"/>
        </w:rPr>
        <w:t>In th</w:t>
      </w:r>
      <w:r w:rsidR="00873666" w:rsidRPr="001E2783">
        <w:rPr>
          <w:rFonts w:cs="Arial"/>
        </w:rPr>
        <w:t>e telecommunications area, the C</w:t>
      </w:r>
      <w:r w:rsidRPr="001E2783">
        <w:rPr>
          <w:rFonts w:cs="Arial"/>
        </w:rPr>
        <w:t>ourt’s finding that TPG Internet Pty Ltd failed to comply with its obligation to provide access to the Triple Zero emergency call service provided an important reminder to all telecommunications providers of the importance of the obligations to give Triple Zero access.</w:t>
      </w:r>
    </w:p>
    <w:p w14:paraId="110D9E19" w14:textId="77777777" w:rsidR="007E0CEF" w:rsidRPr="001E2783" w:rsidRDefault="007E0CEF" w:rsidP="007E0CEF">
      <w:pPr>
        <w:rPr>
          <w:rFonts w:cs="Arial"/>
        </w:rPr>
      </w:pPr>
    </w:p>
    <w:p w14:paraId="5276EB5D" w14:textId="77777777" w:rsidR="007E0CEF" w:rsidRPr="001E2783" w:rsidRDefault="007E0CEF" w:rsidP="007E0CEF">
      <w:pPr>
        <w:rPr>
          <w:rFonts w:cs="Arial"/>
        </w:rPr>
      </w:pPr>
      <w:r w:rsidRPr="001E2783">
        <w:rPr>
          <w:rFonts w:cs="Arial"/>
        </w:rPr>
        <w:t>Summaries of the main decisions are in Appendix 11.</w:t>
      </w:r>
    </w:p>
    <w:p w14:paraId="37303729" w14:textId="77777777" w:rsidR="007E0CEF" w:rsidRPr="001E2783" w:rsidRDefault="007E0CEF" w:rsidP="007E0CEF">
      <w:pPr>
        <w:rPr>
          <w:rFonts w:cs="Arial"/>
        </w:rPr>
      </w:pPr>
    </w:p>
    <w:p w14:paraId="5EB40316" w14:textId="77777777" w:rsidR="00AD5C37" w:rsidRPr="001E2783" w:rsidRDefault="00AD5C37" w:rsidP="00AD5C37">
      <w:pPr>
        <w:pStyle w:val="Heading2"/>
        <w:rPr>
          <w:i/>
        </w:rPr>
      </w:pPr>
      <w:bookmarkStart w:id="14" w:name="_Toc400018472"/>
      <w:r w:rsidRPr="001E2783">
        <w:rPr>
          <w:i/>
        </w:rPr>
        <w:t>Contemporary community safeguards inquiry</w:t>
      </w:r>
      <w:bookmarkEnd w:id="14"/>
    </w:p>
    <w:p w14:paraId="3AE749F2" w14:textId="77777777" w:rsidR="00AD5C37" w:rsidRPr="001E2783" w:rsidRDefault="00AD5C37" w:rsidP="00AD5C37">
      <w:pPr>
        <w:rPr>
          <w:rFonts w:cs="Arial"/>
          <w:iCs/>
          <w:szCs w:val="20"/>
        </w:rPr>
      </w:pPr>
      <w:r w:rsidRPr="001E2783">
        <w:rPr>
          <w:rFonts w:cs="Arial"/>
          <w:szCs w:val="20"/>
        </w:rPr>
        <w:t xml:space="preserve">In March 2014, the ACMA’s </w:t>
      </w:r>
      <w:r w:rsidRPr="001E2783">
        <w:rPr>
          <w:rFonts w:cs="Arial"/>
          <w:i/>
          <w:szCs w:val="20"/>
        </w:rPr>
        <w:t>Contemporary community safeguards inquiry</w:t>
      </w:r>
      <w:r w:rsidRPr="001E2783">
        <w:rPr>
          <w:rFonts w:cs="Arial"/>
          <w:szCs w:val="20"/>
        </w:rPr>
        <w:t xml:space="preserve"> concluded </w:t>
      </w:r>
      <w:r w:rsidRPr="001E2783">
        <w:rPr>
          <w:rFonts w:cs="Arial"/>
          <w:iCs/>
          <w:szCs w:val="20"/>
        </w:rPr>
        <w:t>with</w:t>
      </w:r>
      <w:r w:rsidRPr="001E2783">
        <w:rPr>
          <w:rFonts w:cs="Arial"/>
          <w:szCs w:val="20"/>
        </w:rPr>
        <w:t xml:space="preserve"> the publication of a consolidated report. The ACMA established the inquiry to explore the matters that should be addressed in contemporary broadcasting industry codes of practice. A key aim was to ensure that codes of practice are fit-for-purpose in a converging and rapidly transforming media environment. </w:t>
      </w:r>
    </w:p>
    <w:p w14:paraId="560C926B" w14:textId="77777777" w:rsidR="00AD5C37" w:rsidRPr="001E2783" w:rsidRDefault="00AD5C37" w:rsidP="00AD5C37">
      <w:pPr>
        <w:rPr>
          <w:rFonts w:cs="Arial"/>
          <w:iCs/>
          <w:szCs w:val="20"/>
        </w:rPr>
      </w:pPr>
    </w:p>
    <w:p w14:paraId="3B59F3FB" w14:textId="77777777" w:rsidR="00AD5C37" w:rsidRPr="001E2783" w:rsidRDefault="00AD5C37" w:rsidP="00AD5C37">
      <w:pPr>
        <w:rPr>
          <w:rFonts w:cs="Arial"/>
          <w:iCs/>
          <w:szCs w:val="20"/>
        </w:rPr>
      </w:pPr>
      <w:r w:rsidRPr="001E2783">
        <w:rPr>
          <w:rFonts w:cs="Arial"/>
          <w:szCs w:val="20"/>
        </w:rPr>
        <w:t xml:space="preserve">The report captured contributions garnered from a very broad stakeholder group during the inquiry. Input was received via social media engagement </w:t>
      </w:r>
      <w:r w:rsidRPr="001E2783">
        <w:rPr>
          <w:rFonts w:cs="Arial"/>
          <w:iCs/>
          <w:szCs w:val="20"/>
        </w:rPr>
        <w:t>and</w:t>
      </w:r>
      <w:r w:rsidRPr="001E2783">
        <w:rPr>
          <w:rFonts w:cs="Arial"/>
          <w:szCs w:val="20"/>
        </w:rPr>
        <w:t xml:space="preserve"> included the </w:t>
      </w:r>
      <w:r w:rsidRPr="001E2783">
        <w:rPr>
          <w:rFonts w:cs="Arial"/>
          <w:i/>
          <w:szCs w:val="20"/>
        </w:rPr>
        <w:t>Citizen conversations</w:t>
      </w:r>
      <w:r w:rsidRPr="001E2783">
        <w:rPr>
          <w:rFonts w:cs="Arial"/>
          <w:szCs w:val="20"/>
        </w:rPr>
        <w:t xml:space="preserve"> series as well as a more formal submission process and commissioned attitudinal and economic research.</w:t>
      </w:r>
    </w:p>
    <w:p w14:paraId="04F1A740" w14:textId="77777777" w:rsidR="00AD5C37" w:rsidRPr="001E2783" w:rsidRDefault="00AD5C37" w:rsidP="00AD5C37">
      <w:pPr>
        <w:rPr>
          <w:rFonts w:cs="Arial"/>
          <w:iCs/>
          <w:szCs w:val="20"/>
        </w:rPr>
      </w:pPr>
    </w:p>
    <w:p w14:paraId="47AD6414" w14:textId="2A8D0D7E" w:rsidR="00AD5C37" w:rsidRPr="001E2783" w:rsidRDefault="00AD5C37" w:rsidP="00AD5C37">
      <w:pPr>
        <w:rPr>
          <w:rFonts w:cs="Arial"/>
          <w:iCs/>
          <w:szCs w:val="20"/>
        </w:rPr>
      </w:pPr>
      <w:r w:rsidRPr="001E2783">
        <w:rPr>
          <w:rFonts w:cs="Arial"/>
          <w:szCs w:val="20"/>
        </w:rPr>
        <w:t xml:space="preserve">The inquiry was a unique opportunity for a range of contemporary sensibilities and priorities to be articulated. The </w:t>
      </w:r>
      <w:r w:rsidRPr="001E2783">
        <w:rPr>
          <w:rFonts w:cs="Arial"/>
          <w:i/>
          <w:szCs w:val="20"/>
        </w:rPr>
        <w:t>Citizen conversations</w:t>
      </w:r>
      <w:r w:rsidRPr="001E2783">
        <w:rPr>
          <w:rFonts w:cs="Arial"/>
          <w:szCs w:val="20"/>
        </w:rPr>
        <w:t xml:space="preserve"> in particular proved an effective forum for robust debate, bringing together many voices on how to regulate convergent content.</w:t>
      </w:r>
      <w:r w:rsidR="00825D7D" w:rsidRPr="001E2783">
        <w:rPr>
          <w:rFonts w:cs="Arial"/>
          <w:iCs/>
          <w:szCs w:val="20"/>
        </w:rPr>
        <w:t xml:space="preserve"> </w:t>
      </w:r>
      <w:r w:rsidRPr="001E2783">
        <w:rPr>
          <w:rFonts w:cs="Arial"/>
        </w:rPr>
        <w:t>The</w:t>
      </w:r>
      <w:r w:rsidRPr="001E2783">
        <w:rPr>
          <w:rFonts w:cs="Arial"/>
          <w:szCs w:val="20"/>
        </w:rPr>
        <w:t xml:space="preserve"> inquiry outcomes will be invaluable in informing contemporary code reviews and, significantly, will constructively contribute to the ongoing policy debate and discussion about content regulation.</w:t>
      </w:r>
      <w:r w:rsidRPr="001E2783">
        <w:rPr>
          <w:rFonts w:cs="Arial"/>
          <w:iCs/>
          <w:szCs w:val="20"/>
        </w:rPr>
        <w:t xml:space="preserve"> </w:t>
      </w:r>
    </w:p>
    <w:p w14:paraId="3D7C2569" w14:textId="77777777" w:rsidR="00AD5C37" w:rsidRPr="001E2783" w:rsidRDefault="00AD5C37" w:rsidP="007E0CEF">
      <w:pPr>
        <w:rPr>
          <w:rFonts w:cs="Arial"/>
        </w:rPr>
      </w:pPr>
    </w:p>
    <w:p w14:paraId="4FC0FAB5" w14:textId="77777777" w:rsidR="00BE51AD" w:rsidRPr="001E2783" w:rsidRDefault="00BE51AD" w:rsidP="00BE51AD">
      <w:pPr>
        <w:pStyle w:val="Heading2"/>
      </w:pPr>
      <w:bookmarkStart w:id="15" w:name="_Toc400018473"/>
      <w:r w:rsidRPr="001E2783">
        <w:t>Broadcasting investigations</w:t>
      </w:r>
      <w:bookmarkEnd w:id="15"/>
    </w:p>
    <w:p w14:paraId="395ED14A" w14:textId="1D9836A0" w:rsidR="00BE51AD" w:rsidRPr="001E2783" w:rsidRDefault="00BE51AD" w:rsidP="00BE51AD">
      <w:pPr>
        <w:rPr>
          <w:rFonts w:cs="Arial"/>
        </w:rPr>
      </w:pPr>
      <w:r w:rsidRPr="001E2783">
        <w:rPr>
          <w:rFonts w:cs="Arial"/>
        </w:rPr>
        <w:t>During the reporting period, the ACMA completed 180 investigations into licensees’ compliance with codes o</w:t>
      </w:r>
      <w:r w:rsidR="006F65F9" w:rsidRPr="001E2783">
        <w:rPr>
          <w:rFonts w:cs="Arial"/>
        </w:rPr>
        <w:t xml:space="preserve">f practice, licence conditions and </w:t>
      </w:r>
      <w:r w:rsidRPr="001E2783">
        <w:rPr>
          <w:rFonts w:cs="Arial"/>
        </w:rPr>
        <w:t xml:space="preserve">standards </w:t>
      </w:r>
      <w:r w:rsidR="006F65F9" w:rsidRPr="001E2783">
        <w:rPr>
          <w:rFonts w:cs="Arial"/>
        </w:rPr>
        <w:t>relating to</w:t>
      </w:r>
      <w:r w:rsidRPr="001E2783">
        <w:rPr>
          <w:rFonts w:cs="Arial"/>
        </w:rPr>
        <w:t xml:space="preserve"> the </w:t>
      </w:r>
      <w:r w:rsidRPr="001E2783">
        <w:rPr>
          <w:rFonts w:cs="Arial"/>
          <w:i/>
        </w:rPr>
        <w:t>Broadcasting Services Act 1992</w:t>
      </w:r>
      <w:r w:rsidR="00BD5E74" w:rsidRPr="001E2783">
        <w:rPr>
          <w:rFonts w:cs="Arial"/>
          <w:i/>
        </w:rPr>
        <w:t xml:space="preserve"> </w:t>
      </w:r>
      <w:r w:rsidR="00BD5E74" w:rsidRPr="001E2783">
        <w:rPr>
          <w:rFonts w:cs="Arial"/>
        </w:rPr>
        <w:t>(BSA)</w:t>
      </w:r>
      <w:r w:rsidRPr="001E2783">
        <w:rPr>
          <w:rFonts w:cs="Arial"/>
        </w:rPr>
        <w:t>. Two investigations in particular attracted a significant amount of public attention and comment.</w:t>
      </w:r>
    </w:p>
    <w:p w14:paraId="058FCE11" w14:textId="77777777" w:rsidR="00BE51AD" w:rsidRPr="001E2783" w:rsidRDefault="00BE51AD" w:rsidP="00BE51AD">
      <w:pPr>
        <w:rPr>
          <w:rFonts w:cs="Arial"/>
          <w:szCs w:val="20"/>
        </w:rPr>
      </w:pPr>
    </w:p>
    <w:p w14:paraId="78E10EE8" w14:textId="77777777" w:rsidR="00BE51AD" w:rsidRPr="001E2783" w:rsidRDefault="00BD5E74" w:rsidP="00BE51AD">
      <w:pPr>
        <w:pStyle w:val="Heading3"/>
        <w:rPr>
          <w:i/>
        </w:rPr>
      </w:pPr>
      <w:bookmarkStart w:id="16" w:name="_Toc400018474"/>
      <w:r w:rsidRPr="001E2783">
        <w:rPr>
          <w:i/>
        </w:rPr>
        <w:t>‘</w:t>
      </w:r>
      <w:r w:rsidR="00BE51AD" w:rsidRPr="001E2783">
        <w:rPr>
          <w:i/>
        </w:rPr>
        <w:t>All-Asian Mall</w:t>
      </w:r>
      <w:r w:rsidRPr="001E2783">
        <w:rPr>
          <w:i/>
        </w:rPr>
        <w:t>’</w:t>
      </w:r>
      <w:bookmarkEnd w:id="16"/>
    </w:p>
    <w:p w14:paraId="6D05C4FA" w14:textId="77777777" w:rsidR="00BE51AD" w:rsidRPr="001E2783" w:rsidRDefault="00BE51AD" w:rsidP="00BE51AD">
      <w:pPr>
        <w:rPr>
          <w:rFonts w:cs="Arial"/>
        </w:rPr>
      </w:pPr>
      <w:r w:rsidRPr="001E2783">
        <w:rPr>
          <w:rFonts w:cs="Arial"/>
        </w:rPr>
        <w:t xml:space="preserve">The ACMA found breaches of three clauses of the Commercial Television Industry Code of Practice in the ‘All-Asian Mall’ story on TCN Channel Nine’s </w:t>
      </w:r>
      <w:r w:rsidRPr="001E2783">
        <w:rPr>
          <w:rFonts w:cs="Arial"/>
          <w:i/>
          <w:iCs/>
        </w:rPr>
        <w:t>A Current Affair</w:t>
      </w:r>
      <w:r w:rsidRPr="001E2783">
        <w:rPr>
          <w:rFonts w:cs="Arial"/>
        </w:rPr>
        <w:t xml:space="preserve">. The story was about changes at a suburban Sydney shopping centre. The ACMA considered that the broadcast contained inaccurate factual material, placed gratuitous emphasis on ethnic origin, and was likely to provide intense dislike and serious contempt on the grounds of ethnic origin. </w:t>
      </w:r>
    </w:p>
    <w:p w14:paraId="11629DD7" w14:textId="77777777" w:rsidR="00BE51AD" w:rsidRPr="001E2783" w:rsidRDefault="00BE51AD" w:rsidP="00BE51AD">
      <w:pPr>
        <w:rPr>
          <w:rFonts w:cs="Arial"/>
        </w:rPr>
      </w:pPr>
    </w:p>
    <w:p w14:paraId="0F4DEDB1" w14:textId="73746214" w:rsidR="00BE51AD" w:rsidRPr="001E2783" w:rsidRDefault="00BE51AD" w:rsidP="00BE51AD">
      <w:pPr>
        <w:rPr>
          <w:rFonts w:cs="Arial"/>
        </w:rPr>
      </w:pPr>
      <w:r w:rsidRPr="001E2783">
        <w:rPr>
          <w:rFonts w:cs="Arial"/>
        </w:rPr>
        <w:t>The ACMA does not have the power to direct licensees to make on-air statements acknowledging ACMA findings. However, it recommended to TCN that it make such a statement and also remove the segment from Channel Nine’s website. In a move welcomed by the ACMA, TCN agreed to both actions.</w:t>
      </w:r>
    </w:p>
    <w:p w14:paraId="3BA455B3" w14:textId="77777777" w:rsidR="00BE51AD" w:rsidRPr="001E2783" w:rsidRDefault="00BE51AD" w:rsidP="00BE51AD">
      <w:pPr>
        <w:rPr>
          <w:rFonts w:cs="Arial"/>
        </w:rPr>
      </w:pPr>
    </w:p>
    <w:p w14:paraId="2A7888EC" w14:textId="77777777" w:rsidR="00BE51AD" w:rsidRPr="001E2783" w:rsidRDefault="00BE51AD" w:rsidP="00AD5C37">
      <w:pPr>
        <w:pStyle w:val="Heading3"/>
        <w:keepLines/>
        <w:rPr>
          <w:i/>
        </w:rPr>
      </w:pPr>
      <w:bookmarkStart w:id="17" w:name="_Toc400018475"/>
      <w:r w:rsidRPr="001E2783">
        <w:rPr>
          <w:i/>
        </w:rPr>
        <w:t>The Hamster Decides</w:t>
      </w:r>
      <w:bookmarkEnd w:id="17"/>
    </w:p>
    <w:p w14:paraId="6D2997DA" w14:textId="77777777" w:rsidR="00BE51AD" w:rsidRPr="001E2783" w:rsidRDefault="00BE51AD" w:rsidP="00AD5C37">
      <w:pPr>
        <w:keepLines/>
        <w:rPr>
          <w:rFonts w:cs="Arial"/>
        </w:rPr>
      </w:pPr>
      <w:r w:rsidRPr="001E2783">
        <w:rPr>
          <w:rFonts w:cs="Arial"/>
        </w:rPr>
        <w:t xml:space="preserve">The ACMA found that an ABC television broadcast of </w:t>
      </w:r>
      <w:r w:rsidRPr="001E2783">
        <w:rPr>
          <w:rFonts w:cs="Arial"/>
          <w:i/>
          <w:iCs/>
        </w:rPr>
        <w:t>The Hamster Decides</w:t>
      </w:r>
      <w:r w:rsidRPr="001E2783">
        <w:rPr>
          <w:rFonts w:cs="Arial"/>
        </w:rPr>
        <w:t xml:space="preserve">, which contained a manipulated image of journalist Mr Chris Kenny, breached standard 7.1 of the ABC Code of Practice 2011. Standard 7.1 requires that content that is likely to cause harm or offence must be justified by its editorial context. </w:t>
      </w:r>
    </w:p>
    <w:p w14:paraId="6FB38964" w14:textId="77777777" w:rsidR="00BE51AD" w:rsidRPr="001E2783" w:rsidRDefault="00BE51AD" w:rsidP="00BE51AD">
      <w:pPr>
        <w:rPr>
          <w:rFonts w:cs="Arial"/>
        </w:rPr>
      </w:pPr>
    </w:p>
    <w:p w14:paraId="55AAC3A1" w14:textId="52E37DD2" w:rsidR="00BE51AD" w:rsidRPr="001E2783" w:rsidRDefault="00BE51AD" w:rsidP="00BE51AD">
      <w:pPr>
        <w:rPr>
          <w:rFonts w:cs="Arial"/>
        </w:rPr>
      </w:pPr>
      <w:r w:rsidRPr="001E2783">
        <w:rPr>
          <w:rFonts w:cs="Arial"/>
        </w:rPr>
        <w:t xml:space="preserve">The ACMA found that the 11 September 2013 broadcast breached the standard because it was intrinsically likely to have caused a high level of offence; and, despite the comedic and satirical nature of the skit and other considerations, its broadcast was nonetheless not justified by the editorial context. As a result of the decision, the ACMA has suggested that the ABC Board consider whether its code is operating effectively and as intended in the context of dealing with </w:t>
      </w:r>
      <w:r w:rsidR="006F65F9" w:rsidRPr="001E2783">
        <w:rPr>
          <w:rFonts w:cs="Arial"/>
        </w:rPr>
        <w:t xml:space="preserve">content causing </w:t>
      </w:r>
      <w:r w:rsidRPr="001E2783">
        <w:rPr>
          <w:rFonts w:cs="Arial"/>
        </w:rPr>
        <w:t>harm and offence.</w:t>
      </w:r>
    </w:p>
    <w:p w14:paraId="281D307A" w14:textId="77777777" w:rsidR="00AD5C37" w:rsidRPr="001E2783" w:rsidRDefault="00AD5C37" w:rsidP="00BE51AD">
      <w:pPr>
        <w:rPr>
          <w:rFonts w:cs="Arial"/>
        </w:rPr>
      </w:pPr>
    </w:p>
    <w:p w14:paraId="74B8F219" w14:textId="77777777" w:rsidR="00BE51AD" w:rsidRPr="001E2783" w:rsidRDefault="00BE51AD" w:rsidP="00BE51AD">
      <w:pPr>
        <w:pStyle w:val="Heading2"/>
      </w:pPr>
      <w:bookmarkStart w:id="18" w:name="_Toc400018476"/>
      <w:r w:rsidRPr="001E2783">
        <w:t>Extending cybersafety into Indigenous communities</w:t>
      </w:r>
      <w:bookmarkEnd w:id="18"/>
    </w:p>
    <w:p w14:paraId="762C938D" w14:textId="77777777" w:rsidR="00BE51AD" w:rsidRPr="001E2783" w:rsidRDefault="00BE51AD" w:rsidP="000F3F9F">
      <w:pPr>
        <w:rPr>
          <w:rFonts w:cs="Arial"/>
          <w:szCs w:val="20"/>
        </w:rPr>
      </w:pPr>
      <w:r w:rsidRPr="001E2783">
        <w:rPr>
          <w:rFonts w:cs="Arial"/>
          <w:szCs w:val="20"/>
        </w:rPr>
        <w:t xml:space="preserve">Building on the successes of the ACMA’s cybersafety program, in April 2014 Cybersmart launched </w:t>
      </w:r>
      <w:r w:rsidRPr="001E2783">
        <w:rPr>
          <w:rFonts w:cs="Arial"/>
          <w:i/>
          <w:szCs w:val="20"/>
        </w:rPr>
        <w:t>Be Deadly Online</w:t>
      </w:r>
      <w:r w:rsidRPr="001E2783">
        <w:rPr>
          <w:rFonts w:cs="Arial"/>
          <w:szCs w:val="20"/>
        </w:rPr>
        <w:t>, Australia’s first online cybersafety resources targeted at Indigenous Australians. The program comprises a series of short anima</w:t>
      </w:r>
      <w:r w:rsidR="00BD5E74" w:rsidRPr="001E2783">
        <w:rPr>
          <w:rFonts w:cs="Arial"/>
          <w:szCs w:val="20"/>
        </w:rPr>
        <w:t>tions, posters and a behind-the-</w:t>
      </w:r>
      <w:r w:rsidRPr="001E2783">
        <w:rPr>
          <w:rFonts w:cs="Arial"/>
          <w:szCs w:val="20"/>
        </w:rPr>
        <w:t>scenes ‘making of’ video, all hosted on a specially created portal within the Cybersmart website.</w:t>
      </w:r>
    </w:p>
    <w:p w14:paraId="27258CC6" w14:textId="77777777" w:rsidR="00BE51AD" w:rsidRPr="001E2783" w:rsidRDefault="00BE51AD" w:rsidP="000F3F9F">
      <w:pPr>
        <w:rPr>
          <w:rFonts w:cs="Arial"/>
          <w:szCs w:val="20"/>
        </w:rPr>
      </w:pPr>
    </w:p>
    <w:p w14:paraId="669647D7" w14:textId="77777777" w:rsidR="00BE51AD" w:rsidRPr="001E2783" w:rsidRDefault="00BE51AD" w:rsidP="000F3F9F">
      <w:pPr>
        <w:rPr>
          <w:rFonts w:cs="Arial"/>
          <w:szCs w:val="20"/>
        </w:rPr>
      </w:pPr>
      <w:r w:rsidRPr="001E2783">
        <w:rPr>
          <w:rFonts w:cs="Arial"/>
          <w:szCs w:val="20"/>
        </w:rPr>
        <w:t xml:space="preserve">Tackling cyberbullying, sexting and digital reputation management, these unique and culturally appropriate resources were designed in close consultation with Indigenous communities throughout Australia. At its heart, </w:t>
      </w:r>
      <w:r w:rsidRPr="001E2783">
        <w:rPr>
          <w:rFonts w:cs="Arial"/>
          <w:i/>
          <w:szCs w:val="20"/>
        </w:rPr>
        <w:t>Be Deadly Online</w:t>
      </w:r>
      <w:r w:rsidRPr="001E2783">
        <w:rPr>
          <w:rFonts w:cs="Arial"/>
          <w:szCs w:val="20"/>
        </w:rPr>
        <w:t xml:space="preserve"> had the goal of being developed by community, for community, and to be flexible enough to allow the integration of community cultural protocols.</w:t>
      </w:r>
    </w:p>
    <w:p w14:paraId="2E4F00FD" w14:textId="77777777" w:rsidR="00BE51AD" w:rsidRPr="001E2783" w:rsidRDefault="00BE51AD" w:rsidP="000F3F9F">
      <w:pPr>
        <w:rPr>
          <w:rFonts w:cs="Arial"/>
          <w:szCs w:val="20"/>
        </w:rPr>
      </w:pPr>
    </w:p>
    <w:p w14:paraId="27E5A362" w14:textId="77777777" w:rsidR="00BE51AD" w:rsidRPr="001E2783" w:rsidRDefault="00BE51AD" w:rsidP="000F3F9F">
      <w:pPr>
        <w:rPr>
          <w:rFonts w:cs="Arial"/>
          <w:szCs w:val="20"/>
        </w:rPr>
      </w:pPr>
      <w:r w:rsidRPr="001E2783">
        <w:rPr>
          <w:rFonts w:cs="Arial"/>
          <w:szCs w:val="20"/>
        </w:rPr>
        <w:t xml:space="preserve">Real-life stories and community experiences shaped and refined </w:t>
      </w:r>
      <w:r w:rsidRPr="001E2783">
        <w:rPr>
          <w:rFonts w:cs="Arial"/>
          <w:i/>
          <w:szCs w:val="20"/>
        </w:rPr>
        <w:t>Be Deadly Online</w:t>
      </w:r>
      <w:r w:rsidRPr="001E2783">
        <w:rPr>
          <w:rFonts w:cs="Arial"/>
          <w:szCs w:val="20"/>
        </w:rPr>
        <w:t>, resulting in a program that empowers communities to discuss technology, address some of the problems they’re facing and, just as importantly, see how technology can be a positive contributor to the preservation of community and culture.</w:t>
      </w:r>
    </w:p>
    <w:p w14:paraId="2FB9A64B" w14:textId="77777777" w:rsidR="00BE51AD" w:rsidRPr="001E2783" w:rsidRDefault="00BE51AD" w:rsidP="000F3F9F">
      <w:pPr>
        <w:rPr>
          <w:rFonts w:cs="Arial"/>
          <w:szCs w:val="20"/>
        </w:rPr>
      </w:pPr>
    </w:p>
    <w:p w14:paraId="002D4DDD" w14:textId="77777777" w:rsidR="00BE51AD" w:rsidRPr="001E2783" w:rsidRDefault="00BE51AD" w:rsidP="000F3F9F">
      <w:pPr>
        <w:rPr>
          <w:rFonts w:cs="Arial"/>
          <w:szCs w:val="20"/>
        </w:rPr>
      </w:pPr>
      <w:r w:rsidRPr="001E2783">
        <w:rPr>
          <w:rFonts w:cs="Arial"/>
          <w:szCs w:val="20"/>
        </w:rPr>
        <w:t>Feedback from community leaders has been very positive, with initial results reinforcing Cybersmart’s evidence-based approach to cybersafety education. The ACMA also received international recognition for the</w:t>
      </w:r>
      <w:r w:rsidR="00BD5E74" w:rsidRPr="001E2783">
        <w:rPr>
          <w:rFonts w:cs="Arial"/>
          <w:szCs w:val="20"/>
        </w:rPr>
        <w:t xml:space="preserve"> </w:t>
      </w:r>
      <w:r w:rsidR="00BD5E74" w:rsidRPr="001E2783">
        <w:rPr>
          <w:rFonts w:cs="Arial"/>
          <w:i/>
          <w:szCs w:val="20"/>
        </w:rPr>
        <w:t>Be Deadly Online</w:t>
      </w:r>
      <w:r w:rsidRPr="001E2783">
        <w:rPr>
          <w:rFonts w:cs="Arial"/>
          <w:szCs w:val="20"/>
        </w:rPr>
        <w:t xml:space="preserve"> program, winning a Gold Medal in the General Education category at the prestigious World Media Festival in Germany.</w:t>
      </w:r>
    </w:p>
    <w:p w14:paraId="6510B6C1" w14:textId="77777777" w:rsidR="000F3F9F" w:rsidRPr="001E2783" w:rsidRDefault="000F3F9F" w:rsidP="000F3F9F">
      <w:pPr>
        <w:rPr>
          <w:rFonts w:cs="Arial"/>
        </w:rPr>
      </w:pPr>
    </w:p>
    <w:p w14:paraId="4D3FEF0B" w14:textId="77777777" w:rsidR="00BE51AD" w:rsidRPr="001E2783" w:rsidRDefault="00BE51AD" w:rsidP="000F3F9F">
      <w:pPr>
        <w:pStyle w:val="Heading2"/>
      </w:pPr>
      <w:bookmarkStart w:id="19" w:name="_Toc400018477"/>
      <w:r w:rsidRPr="001E2783">
        <w:t>Telecommunications consumer compliance</w:t>
      </w:r>
      <w:bookmarkEnd w:id="19"/>
    </w:p>
    <w:p w14:paraId="28C2548F" w14:textId="77777777" w:rsidR="00BE51AD" w:rsidRPr="001E2783" w:rsidRDefault="00BD5E74" w:rsidP="00BE51AD">
      <w:pPr>
        <w:rPr>
          <w:rFonts w:cs="Arial"/>
        </w:rPr>
      </w:pPr>
      <w:r w:rsidRPr="001E2783">
        <w:rPr>
          <w:rFonts w:cs="Arial"/>
        </w:rPr>
        <w:t>In 2013–14, t</w:t>
      </w:r>
      <w:r w:rsidR="00BE51AD" w:rsidRPr="001E2783">
        <w:rPr>
          <w:rFonts w:cs="Arial"/>
        </w:rPr>
        <w:t>he ACMA continued to focus its telecommunications compliance activities on areas that matter most to consumers, such as billing, complaints-handling, customer transfers and usage alerts.</w:t>
      </w:r>
    </w:p>
    <w:p w14:paraId="4232CA71" w14:textId="77777777" w:rsidR="00BE51AD" w:rsidRPr="001E2783" w:rsidRDefault="00BE51AD" w:rsidP="00BE51AD">
      <w:pPr>
        <w:rPr>
          <w:rFonts w:cs="Arial"/>
        </w:rPr>
      </w:pPr>
    </w:p>
    <w:p w14:paraId="318D1862" w14:textId="77777777" w:rsidR="00BE51AD" w:rsidRPr="001E2783" w:rsidRDefault="00BE51AD" w:rsidP="00BE51AD">
      <w:pPr>
        <w:rPr>
          <w:rFonts w:cs="Arial"/>
        </w:rPr>
      </w:pPr>
      <w:r w:rsidRPr="001E2783">
        <w:rPr>
          <w:rFonts w:cs="Arial"/>
        </w:rPr>
        <w:t>During the reporting period, the ACMA issued seven directions to comply with the Telecommunications Consumer Protections Code 2012 (TCP Code) and 106 formal warnings. Significantly, the ACMA issued its first infringement notice for a breach of the TCP Code—to Telstra for failing to comply with a direction that required it to keep customers’ personal information protected.</w:t>
      </w:r>
    </w:p>
    <w:p w14:paraId="0CED3E72" w14:textId="77777777" w:rsidR="00BE51AD" w:rsidRPr="001E2783" w:rsidRDefault="00BE51AD" w:rsidP="00BE51AD">
      <w:pPr>
        <w:rPr>
          <w:rFonts w:cs="Arial"/>
        </w:rPr>
      </w:pPr>
    </w:p>
    <w:p w14:paraId="048162E6" w14:textId="77777777" w:rsidR="00BE51AD" w:rsidRPr="001E2783" w:rsidRDefault="00BE51AD" w:rsidP="00BE51AD">
      <w:pPr>
        <w:rPr>
          <w:rFonts w:cs="Arial"/>
        </w:rPr>
      </w:pPr>
      <w:r w:rsidRPr="001E2783">
        <w:rPr>
          <w:rFonts w:cs="Arial"/>
        </w:rPr>
        <w:t>A usage alert review conducted during the reporting period resulted in a formal warning to Dodo for failing to send alerts to some customers about their data use during October and November 2013. The ACMA also issued a formal warning to Live Connected after completing an investigation into its direct debit practices. The investigation found Live Connected had failed to give customers at least 10 working days to check their bill before making a direct debit and also took credit management action on disputed amounts that were the subject of unresolved complaints.</w:t>
      </w:r>
    </w:p>
    <w:p w14:paraId="72BBCFF8" w14:textId="77777777" w:rsidR="00BE51AD" w:rsidRPr="001E2783" w:rsidRDefault="00BE51AD" w:rsidP="00BE51AD">
      <w:pPr>
        <w:rPr>
          <w:rFonts w:cs="Arial"/>
        </w:rPr>
      </w:pPr>
    </w:p>
    <w:p w14:paraId="2A2642B3" w14:textId="77777777" w:rsidR="00BE51AD" w:rsidRPr="001E2783" w:rsidRDefault="00BE51AD" w:rsidP="00BE51AD">
      <w:pPr>
        <w:rPr>
          <w:rFonts w:cs="Arial"/>
        </w:rPr>
      </w:pPr>
      <w:r w:rsidRPr="001E2783">
        <w:rPr>
          <w:rFonts w:cs="Arial"/>
        </w:rPr>
        <w:t>The ACMA’s continued focus on improving in</w:t>
      </w:r>
      <w:r w:rsidR="00BD5E74" w:rsidRPr="001E2783">
        <w:rPr>
          <w:rFonts w:cs="Arial"/>
        </w:rPr>
        <w:t>dustry compliance with the TCP C</w:t>
      </w:r>
      <w:r w:rsidRPr="001E2783">
        <w:rPr>
          <w:rFonts w:cs="Arial"/>
        </w:rPr>
        <w:t>ode was rewarded with a continued reduction in complaints to the Telecommunications Industry Ombudsman (TIO). Data released by the TIO for the nine months to March 2014 indicates that overall there was a 9.2 per cent drop in complaints compared to the same period in the previous year. The ACMA welcomes the continued reduction in TIO complaints.</w:t>
      </w:r>
    </w:p>
    <w:p w14:paraId="6CE4125C" w14:textId="77777777" w:rsidR="00652259" w:rsidRPr="001E2783" w:rsidRDefault="00652259" w:rsidP="00652259">
      <w:pPr>
        <w:pStyle w:val="Heading2"/>
      </w:pPr>
      <w:bookmarkStart w:id="20" w:name="_Toc392492253"/>
      <w:bookmarkStart w:id="21" w:name="_Toc400018478"/>
      <w:r w:rsidRPr="001E2783">
        <w:t>New identity-checking arrangements for prepaid mobile phone services</w:t>
      </w:r>
      <w:bookmarkEnd w:id="20"/>
      <w:bookmarkEnd w:id="21"/>
    </w:p>
    <w:p w14:paraId="04A1361B" w14:textId="77777777" w:rsidR="00652259" w:rsidRPr="001E2783" w:rsidRDefault="00652259" w:rsidP="00652259">
      <w:pPr>
        <w:rPr>
          <w:rFonts w:cs="Arial"/>
        </w:rPr>
      </w:pPr>
      <w:r w:rsidRPr="001E2783">
        <w:rPr>
          <w:rFonts w:cs="Arial"/>
        </w:rPr>
        <w:t>In October 2013, new rules were introduced to streamline the identity-checking requirements for prepaid mobile services.</w:t>
      </w:r>
    </w:p>
    <w:p w14:paraId="37A565D4" w14:textId="77777777" w:rsidR="00652259" w:rsidRPr="001E2783" w:rsidRDefault="00652259" w:rsidP="00652259">
      <w:pPr>
        <w:rPr>
          <w:rFonts w:cs="Arial"/>
        </w:rPr>
      </w:pPr>
    </w:p>
    <w:p w14:paraId="5F403C72" w14:textId="77777777" w:rsidR="00652259" w:rsidRPr="001E2783" w:rsidRDefault="00652259" w:rsidP="00652259">
      <w:pPr>
        <w:rPr>
          <w:rFonts w:cs="Arial"/>
        </w:rPr>
      </w:pPr>
      <w:r w:rsidRPr="001E2783">
        <w:rPr>
          <w:rFonts w:cs="Arial"/>
        </w:rPr>
        <w:t>The Telecommunications (Service Provider – Identity Checks for Prepaid Mobile Carriage Services) Determination 2013 allows mobile providers to verify a person’s identity information through a range of new methods, including confirming an existing post-paid account and using government online verification services.</w:t>
      </w:r>
    </w:p>
    <w:p w14:paraId="646FCD24" w14:textId="77777777" w:rsidR="00652259" w:rsidRPr="001E2783" w:rsidRDefault="00652259" w:rsidP="00652259">
      <w:pPr>
        <w:rPr>
          <w:rFonts w:cs="Arial"/>
        </w:rPr>
      </w:pPr>
      <w:r w:rsidRPr="001E2783">
        <w:rPr>
          <w:rFonts w:cs="Arial"/>
        </w:rPr>
        <w:t>Industry is moving to take advantage of the new methods, which should result in more accurate and timely information for law enforcement agencies, and improved privacy and added convenience for consumers.</w:t>
      </w:r>
    </w:p>
    <w:p w14:paraId="301DBE5D" w14:textId="77777777" w:rsidR="00652259" w:rsidRPr="001E2783" w:rsidRDefault="00652259" w:rsidP="00BE51AD">
      <w:pPr>
        <w:rPr>
          <w:rFonts w:cs="Arial"/>
        </w:rPr>
      </w:pPr>
    </w:p>
    <w:p w14:paraId="001CB8ED" w14:textId="77777777" w:rsidR="00BE51AD" w:rsidRPr="001E2783" w:rsidRDefault="00BE51AD" w:rsidP="00BE51AD">
      <w:pPr>
        <w:pStyle w:val="Heading2"/>
      </w:pPr>
      <w:bookmarkStart w:id="22" w:name="_Toc400018479"/>
      <w:r w:rsidRPr="001E2783">
        <w:t>Research into the economic benefits of mobile broadband</w:t>
      </w:r>
      <w:bookmarkEnd w:id="22"/>
    </w:p>
    <w:p w14:paraId="68EF05FB" w14:textId="77777777" w:rsidR="00BE51AD" w:rsidRPr="001E2783" w:rsidRDefault="00BE51AD" w:rsidP="00BE51AD">
      <w:pPr>
        <w:spacing w:after="80"/>
        <w:rPr>
          <w:rFonts w:cs="Arial"/>
        </w:rPr>
      </w:pPr>
      <w:r w:rsidRPr="001E2783">
        <w:rPr>
          <w:rFonts w:cs="Arial"/>
        </w:rPr>
        <w:t xml:space="preserve">During the reporting period, the ACMA released a groundbreaking study on the significant effect of spectrum planning and allocation decisions on the Australian economy. </w:t>
      </w:r>
      <w:r w:rsidRPr="001E2783">
        <w:rPr>
          <w:rFonts w:cs="Arial"/>
          <w:i/>
        </w:rPr>
        <w:t>The economic impacts of mobile broadband on the Australian economy, from 2006 to 2013</w:t>
      </w:r>
      <w:r w:rsidRPr="001E2783">
        <w:rPr>
          <w:rFonts w:cs="Arial"/>
        </w:rPr>
        <w:t xml:space="preserve"> found that: </w:t>
      </w:r>
    </w:p>
    <w:p w14:paraId="34C55CA1" w14:textId="77777777" w:rsidR="00BE51AD" w:rsidRPr="001E2783" w:rsidRDefault="00BE51AD" w:rsidP="00BE51AD">
      <w:pPr>
        <w:pStyle w:val="ListBullet"/>
        <w:rPr>
          <w:rFonts w:cs="Arial"/>
          <w:b/>
        </w:rPr>
      </w:pPr>
      <w:r w:rsidRPr="001E2783">
        <w:rPr>
          <w:rFonts w:cs="Arial"/>
        </w:rPr>
        <w:t>mobile broadband led to an increase in Australia’s economic activity in 2013 of $33.8 billion</w:t>
      </w:r>
    </w:p>
    <w:p w14:paraId="127F6AAD" w14:textId="77777777" w:rsidR="00BE51AD" w:rsidRPr="001E2783" w:rsidRDefault="00BE51AD" w:rsidP="00BE51AD">
      <w:pPr>
        <w:pStyle w:val="ListBullet"/>
        <w:spacing w:after="240"/>
        <w:rPr>
          <w:rFonts w:cs="Arial"/>
        </w:rPr>
      </w:pPr>
      <w:r w:rsidRPr="001E2783">
        <w:rPr>
          <w:rFonts w:cs="Arial"/>
        </w:rPr>
        <w:t>the mobile communications sector has achieved a substantial productivity growth of 11.3 per cent every year from 2006 to 2013, despite this sector only accounting for a small component of the Australian economy (0.2 per cent of employment and 0.5 per cent of economic activity).</w:t>
      </w:r>
    </w:p>
    <w:p w14:paraId="3D2C2EB0" w14:textId="0557A576" w:rsidR="00BE51AD" w:rsidRPr="001E2783" w:rsidRDefault="00BE51AD" w:rsidP="00BE51AD">
      <w:pPr>
        <w:rPr>
          <w:rFonts w:cs="Arial"/>
        </w:rPr>
      </w:pPr>
      <w:r w:rsidRPr="001E2783">
        <w:rPr>
          <w:rFonts w:cs="Arial"/>
        </w:rPr>
        <w:t xml:space="preserve">The study was undertaken to understand the economic impacts of </w:t>
      </w:r>
      <w:r w:rsidR="006F65F9" w:rsidRPr="001E2783">
        <w:rPr>
          <w:rFonts w:cs="Arial"/>
        </w:rPr>
        <w:t>the ACMA’s</w:t>
      </w:r>
      <w:r w:rsidRPr="001E2783">
        <w:rPr>
          <w:rFonts w:cs="Arial"/>
        </w:rPr>
        <w:t xml:space="preserve"> spectrum planning and allocations activities. The report will contribute to the development of a broader mobile broadband strategy to identify and prioritise spectrum planning and allocation activities that the ACMA will undertake for mobile data services. </w:t>
      </w:r>
    </w:p>
    <w:p w14:paraId="6307E67C" w14:textId="77777777" w:rsidR="00BE51AD" w:rsidRPr="001E2783" w:rsidRDefault="00BE51AD" w:rsidP="00BE51AD">
      <w:pPr>
        <w:rPr>
          <w:rFonts w:cs="Arial"/>
        </w:rPr>
      </w:pPr>
    </w:p>
    <w:p w14:paraId="41220700" w14:textId="77777777" w:rsidR="00BE51AD" w:rsidRPr="001E2783" w:rsidRDefault="00BE51AD" w:rsidP="00BE51AD">
      <w:pPr>
        <w:rPr>
          <w:rFonts w:cs="Arial"/>
        </w:rPr>
      </w:pPr>
      <w:r w:rsidRPr="001E2783">
        <w:rPr>
          <w:rFonts w:cs="Arial"/>
        </w:rPr>
        <w:t>This report also forms part of the ACMA’s future spectrum research framework and associated research program. The spectrum research program informs the ACMA of conditions in contemporary communications and media</w:t>
      </w:r>
      <w:r w:rsidR="00BD5E74" w:rsidRPr="001E2783">
        <w:rPr>
          <w:rFonts w:cs="Arial"/>
        </w:rPr>
        <w:t>,</w:t>
      </w:r>
      <w:r w:rsidRPr="001E2783">
        <w:rPr>
          <w:rFonts w:cs="Arial"/>
        </w:rPr>
        <w:t xml:space="preserve"> and reflects up-to-date information on key consumer, market and technology trends that affect industry’s requirement for spectrum. </w:t>
      </w:r>
    </w:p>
    <w:p w14:paraId="517370AD" w14:textId="77777777" w:rsidR="0099694E" w:rsidRPr="001E2783" w:rsidRDefault="0099694E" w:rsidP="00AC1644">
      <w:pPr>
        <w:rPr>
          <w:rFonts w:cs="Arial"/>
        </w:rPr>
      </w:pPr>
    </w:p>
    <w:p w14:paraId="54B68958" w14:textId="77777777" w:rsidR="00BE51AD" w:rsidRPr="001E2783" w:rsidRDefault="00BE51AD" w:rsidP="00BE51AD">
      <w:pPr>
        <w:pStyle w:val="Heading2"/>
      </w:pPr>
      <w:bookmarkStart w:id="23" w:name="_Toc400018480"/>
      <w:r w:rsidRPr="001E2783">
        <w:t>Better targeted regulation</w:t>
      </w:r>
      <w:bookmarkEnd w:id="23"/>
    </w:p>
    <w:p w14:paraId="79BFCF67" w14:textId="3A16EA99" w:rsidR="00BE51AD" w:rsidRPr="001E2783" w:rsidRDefault="00BE51AD" w:rsidP="00BE51AD">
      <w:pPr>
        <w:rPr>
          <w:rFonts w:cs="Arial"/>
        </w:rPr>
      </w:pPr>
      <w:r w:rsidRPr="001E2783">
        <w:rPr>
          <w:rFonts w:cs="Arial"/>
        </w:rPr>
        <w:t xml:space="preserve">As part of its ongoing commitment to regulate better and reduce the burden on industry, the ACMA delivered a significant package of deregulatory initiatives in conjunction with the government’s Repeal Day 1 on </w:t>
      </w:r>
      <w:r w:rsidR="00474924" w:rsidRPr="001E2783">
        <w:rPr>
          <w:rFonts w:cs="Arial"/>
        </w:rPr>
        <w:t>26</w:t>
      </w:r>
      <w:r w:rsidRPr="001E2783">
        <w:rPr>
          <w:rFonts w:cs="Arial"/>
        </w:rPr>
        <w:t xml:space="preserve"> March 2014. This included reducing unnecessary rules and removing </w:t>
      </w:r>
      <w:r w:rsidR="00474924" w:rsidRPr="001E2783">
        <w:rPr>
          <w:rFonts w:cs="Arial"/>
        </w:rPr>
        <w:t>nearly</w:t>
      </w:r>
      <w:r w:rsidRPr="001E2783">
        <w:rPr>
          <w:rFonts w:cs="Arial"/>
        </w:rPr>
        <w:t xml:space="preserve"> 1,000 pages of redundant regulation. </w:t>
      </w:r>
    </w:p>
    <w:p w14:paraId="4E84ABD6" w14:textId="77777777" w:rsidR="00BE51AD" w:rsidRPr="001E2783" w:rsidRDefault="00BE51AD" w:rsidP="00BE51AD">
      <w:pPr>
        <w:rPr>
          <w:rFonts w:cs="Arial"/>
        </w:rPr>
      </w:pPr>
    </w:p>
    <w:p w14:paraId="52C10FAD" w14:textId="385093F7" w:rsidR="00BE51AD" w:rsidRPr="001E2783" w:rsidRDefault="003F753F" w:rsidP="003F753F">
      <w:pPr>
        <w:keepLines/>
        <w:rPr>
          <w:rFonts w:cs="Arial"/>
        </w:rPr>
      </w:pPr>
      <w:r w:rsidRPr="001E2783">
        <w:rPr>
          <w:rFonts w:cs="Arial"/>
        </w:rPr>
        <w:t xml:space="preserve">Other reforms proposed additional regulatory flexibility by giving the ACMA discretion whether to investigate complaints </w:t>
      </w:r>
      <w:r w:rsidR="007A3E55" w:rsidRPr="001E2783">
        <w:rPr>
          <w:rFonts w:cs="Arial"/>
        </w:rPr>
        <w:t xml:space="preserve">about broadcast content, interactive gambling and online content; and </w:t>
      </w:r>
      <w:r w:rsidR="00BE51AD" w:rsidRPr="001E2783">
        <w:rPr>
          <w:rFonts w:cs="Arial"/>
        </w:rPr>
        <w:t>whether to require audited accounts from broadcasting licensees, for the purposes of determining a licensee’s broadcasting licence fee.</w:t>
      </w:r>
    </w:p>
    <w:p w14:paraId="53833F01" w14:textId="77777777" w:rsidR="00BE51AD" w:rsidRPr="001E2783" w:rsidRDefault="00BE51AD" w:rsidP="000F3F9F">
      <w:pPr>
        <w:rPr>
          <w:rFonts w:cs="Arial"/>
        </w:rPr>
      </w:pPr>
    </w:p>
    <w:p w14:paraId="6D14FD6D" w14:textId="77777777" w:rsidR="00B906AA" w:rsidRPr="001E2783" w:rsidRDefault="00B906AA" w:rsidP="008755C1">
      <w:pPr>
        <w:pStyle w:val="Heading2"/>
        <w:keepLines/>
      </w:pPr>
      <w:bookmarkStart w:id="24" w:name="_Toc400018481"/>
      <w:r w:rsidRPr="001E2783">
        <w:t>New live odds codes registered</w:t>
      </w:r>
      <w:bookmarkEnd w:id="24"/>
    </w:p>
    <w:p w14:paraId="594B264C" w14:textId="77777777" w:rsidR="00B906AA" w:rsidRPr="001E2783" w:rsidRDefault="00B906AA" w:rsidP="008755C1">
      <w:pPr>
        <w:pStyle w:val="PlainText"/>
        <w:keepLines/>
        <w:rPr>
          <w:rFonts w:ascii="Arial" w:hAnsi="Arial" w:cs="Arial"/>
          <w:sz w:val="20"/>
          <w:szCs w:val="20"/>
          <w:lang w:eastAsia="en-US"/>
        </w:rPr>
      </w:pPr>
      <w:r w:rsidRPr="001E2783">
        <w:rPr>
          <w:rFonts w:ascii="Arial" w:hAnsi="Arial" w:cs="Arial"/>
          <w:sz w:val="20"/>
          <w:szCs w:val="20"/>
          <w:lang w:eastAsia="en-US"/>
        </w:rPr>
        <w:t xml:space="preserve">In </w:t>
      </w:r>
      <w:r w:rsidRPr="001E2783">
        <w:rPr>
          <w:rFonts w:ascii="Arial" w:eastAsia="Times New Roman" w:hAnsi="Arial" w:cs="Arial"/>
          <w:sz w:val="20"/>
          <w:szCs w:val="24"/>
        </w:rPr>
        <w:t>July</w:t>
      </w:r>
      <w:r w:rsidRPr="001E2783">
        <w:rPr>
          <w:rFonts w:ascii="Arial" w:hAnsi="Arial" w:cs="Arial"/>
          <w:sz w:val="20"/>
          <w:szCs w:val="20"/>
          <w:lang w:eastAsia="en-US"/>
        </w:rPr>
        <w:t xml:space="preserve"> 2013, the ACMA registered five new broadcasting industry codes of practice to limit gambling advertising and the promotion of betting ads during live sports broadcast</w:t>
      </w:r>
      <w:r w:rsidR="00BD5E74" w:rsidRPr="001E2783">
        <w:rPr>
          <w:rFonts w:ascii="Arial" w:hAnsi="Arial" w:cs="Arial"/>
          <w:sz w:val="20"/>
          <w:szCs w:val="20"/>
          <w:lang w:eastAsia="en-US"/>
        </w:rPr>
        <w:t>s</w:t>
      </w:r>
      <w:r w:rsidRPr="001E2783">
        <w:rPr>
          <w:rFonts w:ascii="Arial" w:hAnsi="Arial" w:cs="Arial"/>
          <w:sz w:val="20"/>
          <w:szCs w:val="20"/>
          <w:lang w:eastAsia="en-US"/>
        </w:rPr>
        <w:t xml:space="preserve">. The codes were developed by the commercial television and radio and subscription television and radio sectors to acknowledge and respect community concerns about a perceived increase in the number of gambling promotions in sports broadcasts. </w:t>
      </w:r>
    </w:p>
    <w:p w14:paraId="33091A6F" w14:textId="77777777" w:rsidR="00B906AA" w:rsidRPr="001E2783" w:rsidRDefault="00B906AA" w:rsidP="00B906AA">
      <w:pPr>
        <w:pStyle w:val="PlainText"/>
        <w:rPr>
          <w:rFonts w:ascii="Arial" w:hAnsi="Arial" w:cs="Arial"/>
          <w:sz w:val="20"/>
          <w:szCs w:val="20"/>
          <w:lang w:eastAsia="en-US"/>
        </w:rPr>
      </w:pPr>
    </w:p>
    <w:p w14:paraId="7F47F295" w14:textId="77777777" w:rsidR="00B906AA" w:rsidRPr="001E2783" w:rsidRDefault="00B906AA" w:rsidP="00B906AA">
      <w:pPr>
        <w:pStyle w:val="PlainText"/>
        <w:rPr>
          <w:rFonts w:ascii="Arial" w:hAnsi="Arial" w:cs="Arial"/>
          <w:sz w:val="20"/>
          <w:szCs w:val="20"/>
          <w:lang w:eastAsia="en-US"/>
        </w:rPr>
      </w:pPr>
      <w:r w:rsidRPr="001E2783">
        <w:rPr>
          <w:rFonts w:ascii="Arial" w:hAnsi="Arial" w:cs="Arial"/>
          <w:sz w:val="20"/>
          <w:szCs w:val="20"/>
          <w:lang w:eastAsia="en-US"/>
        </w:rPr>
        <w:t xml:space="preserve">The ACMA was satisfied that the codes provided appropriate community safeguards as </w:t>
      </w:r>
      <w:r w:rsidRPr="001E2783">
        <w:rPr>
          <w:rFonts w:ascii="Arial" w:eastAsia="Times New Roman" w:hAnsi="Arial" w:cs="Arial"/>
          <w:sz w:val="20"/>
          <w:szCs w:val="24"/>
        </w:rPr>
        <w:t>they</w:t>
      </w:r>
      <w:r w:rsidRPr="001E2783">
        <w:rPr>
          <w:rFonts w:ascii="Arial" w:hAnsi="Arial" w:cs="Arial"/>
          <w:sz w:val="20"/>
          <w:szCs w:val="20"/>
          <w:lang w:eastAsia="en-US"/>
        </w:rPr>
        <w:t xml:space="preserve"> dealt with key community concerns such as the appearance of gambling representatives on commentary teams and on-field. Since registration of the codes, the ACMA has received significantly fewer citizen complaints about the broadcast of live odds during sports broadcasts.</w:t>
      </w:r>
    </w:p>
    <w:p w14:paraId="06322B4E" w14:textId="77777777" w:rsidR="00BE51AD" w:rsidRPr="001E2783" w:rsidRDefault="00BE51AD" w:rsidP="00BD0995">
      <w:pPr>
        <w:rPr>
          <w:rFonts w:cs="Arial"/>
        </w:rPr>
      </w:pPr>
    </w:p>
    <w:p w14:paraId="4DB3F579" w14:textId="77777777" w:rsidR="00DF7922" w:rsidRPr="001E2783" w:rsidRDefault="00DF7922" w:rsidP="000F3F9F">
      <w:pPr>
        <w:pStyle w:val="Heading2"/>
      </w:pPr>
      <w:bookmarkStart w:id="25" w:name="_Toc400018482"/>
      <w:bookmarkEnd w:id="6"/>
      <w:r w:rsidRPr="001E2783">
        <w:t>Local television content in regional areas</w:t>
      </w:r>
      <w:bookmarkEnd w:id="25"/>
    </w:p>
    <w:p w14:paraId="0BDD0E42" w14:textId="77777777" w:rsidR="00DF7922" w:rsidRPr="001E2783" w:rsidRDefault="00DF7922" w:rsidP="00DF7922">
      <w:pPr>
        <w:pStyle w:val="PlainText"/>
        <w:rPr>
          <w:rFonts w:ascii="Arial" w:hAnsi="Arial" w:cs="Arial"/>
          <w:sz w:val="20"/>
          <w:szCs w:val="20"/>
        </w:rPr>
      </w:pPr>
      <w:r w:rsidRPr="001E2783">
        <w:rPr>
          <w:rFonts w:ascii="Arial" w:hAnsi="Arial" w:cs="Arial"/>
          <w:sz w:val="20"/>
          <w:szCs w:val="20"/>
        </w:rPr>
        <w:t xml:space="preserve">Following a ministerial direction, the ACMA reviewed the operation and effectiveness of the current regulatory arrangements for the provision of local content in certain </w:t>
      </w:r>
      <w:r w:rsidRPr="001E2783">
        <w:rPr>
          <w:rFonts w:ascii="Arial" w:eastAsia="Times New Roman" w:hAnsi="Arial" w:cs="Arial"/>
          <w:sz w:val="20"/>
          <w:szCs w:val="24"/>
        </w:rPr>
        <w:t>regional</w:t>
      </w:r>
      <w:r w:rsidRPr="001E2783">
        <w:rPr>
          <w:rFonts w:ascii="Arial" w:hAnsi="Arial" w:cs="Arial"/>
          <w:sz w:val="20"/>
          <w:szCs w:val="20"/>
        </w:rPr>
        <w:t xml:space="preserve"> commercial television areas. The Regional Commercial Television Local Content Investigation 2013, which was completed in December 2013, found that regional Australians value local content and are largely satisfied with the current levels of local content available to them. </w:t>
      </w:r>
    </w:p>
    <w:p w14:paraId="3A78B1A6" w14:textId="77777777" w:rsidR="00DF7922" w:rsidRPr="001E2783" w:rsidRDefault="00DF7922" w:rsidP="00DF7922">
      <w:pPr>
        <w:pStyle w:val="PlainText"/>
        <w:rPr>
          <w:rFonts w:ascii="Arial" w:hAnsi="Arial" w:cs="Arial"/>
          <w:sz w:val="20"/>
          <w:szCs w:val="20"/>
        </w:rPr>
      </w:pPr>
    </w:p>
    <w:p w14:paraId="43440592" w14:textId="77777777" w:rsidR="00DF7922" w:rsidRPr="001E2783" w:rsidRDefault="00DF7922" w:rsidP="00DF7922">
      <w:pPr>
        <w:pStyle w:val="PlainText"/>
        <w:rPr>
          <w:rFonts w:ascii="Arial" w:hAnsi="Arial" w:cs="Arial"/>
          <w:sz w:val="20"/>
          <w:szCs w:val="20"/>
        </w:rPr>
      </w:pPr>
      <w:r w:rsidRPr="001E2783">
        <w:rPr>
          <w:rFonts w:ascii="Arial" w:hAnsi="Arial" w:cs="Arial"/>
          <w:sz w:val="20"/>
          <w:szCs w:val="20"/>
        </w:rPr>
        <w:t xml:space="preserve">Overall, 91 per cent of regional Australians surveyed in mid-2013 said access to local content was important or very important to them. The same proportion also said they had access to all of the local content they would like. </w:t>
      </w:r>
    </w:p>
    <w:p w14:paraId="23968AD5" w14:textId="77777777" w:rsidR="00DF7922" w:rsidRPr="001E2783" w:rsidRDefault="00DF7922" w:rsidP="00DF7922">
      <w:pPr>
        <w:pStyle w:val="PlainText"/>
        <w:rPr>
          <w:rFonts w:ascii="Arial" w:hAnsi="Arial" w:cs="Arial"/>
          <w:sz w:val="20"/>
          <w:szCs w:val="20"/>
        </w:rPr>
      </w:pPr>
    </w:p>
    <w:p w14:paraId="6158CA38" w14:textId="6EC50389" w:rsidR="00DF7922" w:rsidRPr="001E2783" w:rsidRDefault="00DF7922" w:rsidP="00DF7922">
      <w:pPr>
        <w:pStyle w:val="PlainText"/>
        <w:rPr>
          <w:rFonts w:ascii="Arial" w:hAnsi="Arial" w:cs="Arial"/>
          <w:sz w:val="20"/>
          <w:szCs w:val="20"/>
        </w:rPr>
      </w:pPr>
      <w:r w:rsidRPr="001E2783">
        <w:rPr>
          <w:rFonts w:ascii="Arial" w:hAnsi="Arial" w:cs="Arial"/>
          <w:sz w:val="20"/>
          <w:szCs w:val="20"/>
        </w:rPr>
        <w:t xml:space="preserve">The </w:t>
      </w:r>
      <w:r w:rsidRPr="001E2783">
        <w:rPr>
          <w:rFonts w:ascii="Arial" w:eastAsia="Times New Roman" w:hAnsi="Arial" w:cs="Arial"/>
          <w:sz w:val="20"/>
          <w:szCs w:val="24"/>
        </w:rPr>
        <w:t>investigation</w:t>
      </w:r>
      <w:r w:rsidR="00E43045" w:rsidRPr="001E2783">
        <w:rPr>
          <w:rFonts w:ascii="Arial" w:hAnsi="Arial" w:cs="Arial"/>
          <w:sz w:val="20"/>
          <w:szCs w:val="20"/>
        </w:rPr>
        <w:t xml:space="preserve"> report, which was sent to the M</w:t>
      </w:r>
      <w:r w:rsidRPr="001E2783">
        <w:rPr>
          <w:rFonts w:ascii="Arial" w:hAnsi="Arial" w:cs="Arial"/>
          <w:sz w:val="20"/>
          <w:szCs w:val="20"/>
        </w:rPr>
        <w:t xml:space="preserve">inister </w:t>
      </w:r>
      <w:r w:rsidR="00E43045" w:rsidRPr="001E2783">
        <w:rPr>
          <w:rFonts w:ascii="Arial" w:hAnsi="Arial" w:cs="Arial"/>
          <w:sz w:val="20"/>
          <w:szCs w:val="20"/>
        </w:rPr>
        <w:t xml:space="preserve">for Communications </w:t>
      </w:r>
      <w:r w:rsidRPr="001E2783">
        <w:rPr>
          <w:rFonts w:ascii="Arial" w:hAnsi="Arial" w:cs="Arial"/>
          <w:sz w:val="20"/>
          <w:szCs w:val="20"/>
        </w:rPr>
        <w:t>in January 2014, drew heavily on the content of research analysis; in particular, the survey of regional Australians, audience ratings data, a series of local content case studies and a peer-reviewed economic analysis. These sources provided insights into the prevailing attitude to, and value placed on, local content in regional Australia, as well as the economic circumstances of regional broadcasters. With the report being published by both the ACMA and the Department of Communications</w:t>
      </w:r>
      <w:r w:rsidR="00BD5E74" w:rsidRPr="001E2783">
        <w:rPr>
          <w:rFonts w:ascii="Arial" w:hAnsi="Arial" w:cs="Arial"/>
          <w:sz w:val="20"/>
          <w:szCs w:val="20"/>
        </w:rPr>
        <w:t xml:space="preserve"> (DoC)</w:t>
      </w:r>
      <w:r w:rsidRPr="001E2783">
        <w:rPr>
          <w:rFonts w:ascii="Arial" w:hAnsi="Arial" w:cs="Arial"/>
          <w:sz w:val="20"/>
          <w:szCs w:val="20"/>
        </w:rPr>
        <w:t>, this research serves as a benchmark of local content, its provision and its value.</w:t>
      </w:r>
    </w:p>
    <w:p w14:paraId="2652B311" w14:textId="77777777" w:rsidR="00BE51AD" w:rsidRPr="001E2783" w:rsidRDefault="00BE51AD" w:rsidP="00DF7922">
      <w:pPr>
        <w:pStyle w:val="PlainText"/>
        <w:rPr>
          <w:rFonts w:ascii="Arial" w:hAnsi="Arial" w:cs="Arial"/>
          <w:sz w:val="20"/>
          <w:szCs w:val="20"/>
        </w:rPr>
      </w:pPr>
    </w:p>
    <w:p w14:paraId="4DAC5C28" w14:textId="77777777" w:rsidR="00BE51AD" w:rsidRPr="001E2783" w:rsidRDefault="00BE51AD" w:rsidP="000F3F9F">
      <w:pPr>
        <w:pStyle w:val="Heading2"/>
      </w:pPr>
      <w:bookmarkStart w:id="26" w:name="_Toc400018483"/>
      <w:r w:rsidRPr="001E2783">
        <w:t>Customer Service Centre</w:t>
      </w:r>
      <w:bookmarkEnd w:id="26"/>
    </w:p>
    <w:p w14:paraId="68584139" w14:textId="77777777" w:rsidR="00BE51AD" w:rsidRPr="001E2783" w:rsidRDefault="00BE51AD" w:rsidP="00BE51AD">
      <w:pPr>
        <w:rPr>
          <w:rFonts w:cs="Arial"/>
        </w:rPr>
      </w:pPr>
      <w:r w:rsidRPr="001E2783">
        <w:rPr>
          <w:rFonts w:cs="Arial"/>
        </w:rPr>
        <w:t>The ACMA has implemented a significant new strategy for dealing with its customers by launching a new Customer Service Centre, operating initially within the Communications Infrastructure Division. Opening in March 2014, the centre is a new way of communicating for the ACMA—offering a single phone number and email provides a seamless point of contact for customers seeking advice, information or services on a range of areas. These include applying for a licence, reporting interference to radiocommunications services and television or radio reception, buying a smartnumber or enquiring about cabling.</w:t>
      </w:r>
    </w:p>
    <w:p w14:paraId="1CCB079E" w14:textId="77777777" w:rsidR="00BE51AD" w:rsidRPr="001E2783" w:rsidRDefault="00BE51AD" w:rsidP="00BE51AD">
      <w:pPr>
        <w:rPr>
          <w:rFonts w:cs="Arial"/>
        </w:rPr>
      </w:pPr>
    </w:p>
    <w:p w14:paraId="33EFFF0F" w14:textId="77777777" w:rsidR="00BE51AD" w:rsidRPr="001E2783" w:rsidRDefault="00BE51AD" w:rsidP="00BE51AD">
      <w:pPr>
        <w:rPr>
          <w:rFonts w:cs="Arial"/>
        </w:rPr>
      </w:pPr>
      <w:r w:rsidRPr="001E2783">
        <w:rPr>
          <w:rFonts w:cs="Arial"/>
        </w:rPr>
        <w:t>Creating a considerable repository of the ACMA’s products and services means customers receive an even higher quality of service. In the next reporting period, the ACMA will expand the scope of the centre across the organisation, creating a single point of contact for customers seeking any product or service.</w:t>
      </w:r>
    </w:p>
    <w:p w14:paraId="1918A0F1" w14:textId="77777777" w:rsidR="00DF7922" w:rsidRPr="001E2783" w:rsidRDefault="00DF7922" w:rsidP="00DF7922">
      <w:pPr>
        <w:rPr>
          <w:rFonts w:cs="Arial"/>
        </w:rPr>
      </w:pPr>
    </w:p>
    <w:p w14:paraId="60E303C2" w14:textId="77777777" w:rsidR="00CC119D" w:rsidRPr="00E73B1F" w:rsidRDefault="00CC119D" w:rsidP="00E73B1F">
      <w:pPr>
        <w:pStyle w:val="Heading1"/>
      </w:pPr>
      <w:bookmarkStart w:id="27" w:name="_Toc337727516"/>
      <w:bookmarkStart w:id="28" w:name="_Toc400018484"/>
      <w:r w:rsidRPr="00E73B1F">
        <w:t>Chapter 1: About the ACMA</w:t>
      </w:r>
      <w:bookmarkEnd w:id="27"/>
      <w:bookmarkEnd w:id="28"/>
    </w:p>
    <w:p w14:paraId="00140AE3" w14:textId="77777777" w:rsidR="00CC119D" w:rsidRPr="001E2783" w:rsidRDefault="00CC119D" w:rsidP="00CC119D">
      <w:pPr>
        <w:rPr>
          <w:rFonts w:cs="Arial"/>
        </w:rPr>
      </w:pPr>
      <w:r w:rsidRPr="001E2783">
        <w:rPr>
          <w:rFonts w:cs="Arial"/>
        </w:rPr>
        <w:t>Chapter 1 details the functions, structure and corporate governance that enable the ACMA to perform its role, administer regulations and legislation, and deliver its services.</w:t>
      </w:r>
    </w:p>
    <w:p w14:paraId="1BF25F0A" w14:textId="77777777" w:rsidR="00CC119D" w:rsidRPr="001E2783" w:rsidRDefault="00CC119D" w:rsidP="00CC119D">
      <w:pPr>
        <w:rPr>
          <w:rFonts w:cs="Arial"/>
        </w:rPr>
      </w:pPr>
    </w:p>
    <w:p w14:paraId="3C34BB6E" w14:textId="77777777" w:rsidR="00CC119D" w:rsidRPr="001E2783" w:rsidRDefault="00CC119D" w:rsidP="00CC119D">
      <w:pPr>
        <w:pStyle w:val="Heading2"/>
      </w:pPr>
      <w:bookmarkStart w:id="29" w:name="_Toc337727517"/>
      <w:bookmarkStart w:id="30" w:name="_Toc400018485"/>
      <w:r w:rsidRPr="001E2783">
        <w:t>Functions and responsibilities</w:t>
      </w:r>
      <w:bookmarkEnd w:id="29"/>
      <w:bookmarkEnd w:id="30"/>
    </w:p>
    <w:p w14:paraId="4E07464C" w14:textId="77777777" w:rsidR="00FE58D6" w:rsidRPr="001E2783" w:rsidRDefault="004718B0" w:rsidP="00CC119D">
      <w:pPr>
        <w:rPr>
          <w:rFonts w:cs="Arial"/>
        </w:rPr>
      </w:pPr>
      <w:r w:rsidRPr="001E2783">
        <w:rPr>
          <w:rFonts w:cs="Arial"/>
        </w:rPr>
        <w:t xml:space="preserve">The ACMA’s regulatory functions and responsibilities are set out in Part 2, Division 2 of the </w:t>
      </w:r>
      <w:r w:rsidRPr="001E2783">
        <w:rPr>
          <w:rFonts w:cs="Arial"/>
          <w:i/>
        </w:rPr>
        <w:t>Australian Communications and Media Authority Act 2005</w:t>
      </w:r>
      <w:r w:rsidRPr="001E2783">
        <w:rPr>
          <w:rFonts w:cs="Arial"/>
        </w:rPr>
        <w:t xml:space="preserve"> (the ACMA Act). </w:t>
      </w:r>
      <w:r w:rsidR="00DA59DF" w:rsidRPr="001E2783">
        <w:rPr>
          <w:rFonts w:cs="Arial"/>
        </w:rPr>
        <w:t>During</w:t>
      </w:r>
      <w:r w:rsidR="0022624A" w:rsidRPr="001E2783">
        <w:rPr>
          <w:rFonts w:cs="Arial"/>
        </w:rPr>
        <w:t xml:space="preserve"> the reporting period, t</w:t>
      </w:r>
      <w:r w:rsidR="00CC119D" w:rsidRPr="001E2783">
        <w:rPr>
          <w:rFonts w:cs="Arial"/>
        </w:rPr>
        <w:t xml:space="preserve">he Australian Communications and Media Authority (the ACMA) </w:t>
      </w:r>
      <w:r w:rsidR="0022624A" w:rsidRPr="001E2783">
        <w:rPr>
          <w:rFonts w:cs="Arial"/>
        </w:rPr>
        <w:t>was</w:t>
      </w:r>
      <w:r w:rsidR="00CC119D" w:rsidRPr="001E2783">
        <w:rPr>
          <w:rFonts w:cs="Arial"/>
        </w:rPr>
        <w:t xml:space="preserve"> a statutory authority </w:t>
      </w:r>
      <w:r w:rsidR="00DA59DF" w:rsidRPr="001E2783">
        <w:rPr>
          <w:rFonts w:cs="Arial"/>
        </w:rPr>
        <w:t xml:space="preserve">initially </w:t>
      </w:r>
      <w:r w:rsidR="00CC119D" w:rsidRPr="001E2783">
        <w:rPr>
          <w:rFonts w:cs="Arial"/>
        </w:rPr>
        <w:t xml:space="preserve">within the federal government </w:t>
      </w:r>
      <w:r w:rsidR="00DA59DF" w:rsidRPr="001E2783">
        <w:rPr>
          <w:rFonts w:cs="Arial"/>
        </w:rPr>
        <w:t xml:space="preserve">portfolio of Broadband, </w:t>
      </w:r>
      <w:r w:rsidR="00D92915" w:rsidRPr="001E2783">
        <w:rPr>
          <w:rFonts w:cs="Arial"/>
        </w:rPr>
        <w:t>Communications and the Digital E</w:t>
      </w:r>
      <w:r w:rsidR="00DA59DF" w:rsidRPr="001E2783">
        <w:rPr>
          <w:rFonts w:cs="Arial"/>
        </w:rPr>
        <w:t xml:space="preserve">conomy and, following the federal election on 7 September 2013, within the </w:t>
      </w:r>
      <w:r w:rsidR="00CC119D" w:rsidRPr="001E2783">
        <w:rPr>
          <w:rFonts w:cs="Arial"/>
        </w:rPr>
        <w:t xml:space="preserve">Communications </w:t>
      </w:r>
      <w:r w:rsidR="00AA1E1B" w:rsidRPr="001E2783">
        <w:rPr>
          <w:rFonts w:cs="Arial"/>
        </w:rPr>
        <w:t>p</w:t>
      </w:r>
      <w:r w:rsidR="00CC119D" w:rsidRPr="001E2783">
        <w:rPr>
          <w:rFonts w:cs="Arial"/>
        </w:rPr>
        <w:t>ortfolio.</w:t>
      </w:r>
      <w:r w:rsidR="00FE58D6" w:rsidRPr="001E2783">
        <w:rPr>
          <w:rFonts w:cs="Arial"/>
        </w:rPr>
        <w:t xml:space="preserve"> </w:t>
      </w:r>
    </w:p>
    <w:p w14:paraId="0820BB90" w14:textId="77777777" w:rsidR="00FE58D6" w:rsidRPr="001E2783" w:rsidRDefault="00FE58D6" w:rsidP="00CC119D">
      <w:pPr>
        <w:rPr>
          <w:rFonts w:cs="Arial"/>
        </w:rPr>
      </w:pPr>
    </w:p>
    <w:p w14:paraId="6AC830A4" w14:textId="77777777" w:rsidR="00CC119D" w:rsidRPr="001E2783" w:rsidRDefault="00CC119D" w:rsidP="00CC119D">
      <w:pPr>
        <w:rPr>
          <w:rFonts w:cs="Arial"/>
        </w:rPr>
      </w:pPr>
      <w:r w:rsidRPr="001E2783">
        <w:rPr>
          <w:rFonts w:cs="Arial"/>
        </w:rPr>
        <w:t>The ACMA is responsible for the regulation of broadcasting, the internet, radiocommunications and telecommunications.</w:t>
      </w:r>
    </w:p>
    <w:p w14:paraId="1CFEFFA9" w14:textId="77777777" w:rsidR="00CC119D" w:rsidRPr="001E2783" w:rsidRDefault="00CC119D" w:rsidP="00CC119D">
      <w:pPr>
        <w:rPr>
          <w:rFonts w:cs="Arial"/>
        </w:rPr>
      </w:pPr>
    </w:p>
    <w:p w14:paraId="7DA2C870" w14:textId="77777777" w:rsidR="00CC119D" w:rsidRPr="001E2783" w:rsidRDefault="00CC119D" w:rsidP="00CC119D">
      <w:pPr>
        <w:spacing w:after="80"/>
        <w:rPr>
          <w:rFonts w:cs="Arial"/>
        </w:rPr>
      </w:pPr>
      <w:r w:rsidRPr="001E2783">
        <w:rPr>
          <w:rFonts w:cs="Arial"/>
        </w:rPr>
        <w:t>In accordance with the relevant legislation, the ACMA’s specific responsibilities include:</w:t>
      </w:r>
    </w:p>
    <w:p w14:paraId="68F06CEB" w14:textId="77777777" w:rsidR="00CC119D" w:rsidRPr="001E2783" w:rsidRDefault="00CC119D" w:rsidP="00CC119D">
      <w:pPr>
        <w:pStyle w:val="ListBullet"/>
        <w:ind w:left="284" w:hanging="284"/>
        <w:rPr>
          <w:rFonts w:cs="Arial"/>
        </w:rPr>
      </w:pPr>
      <w:r w:rsidRPr="001E2783">
        <w:rPr>
          <w:rFonts w:cs="Arial"/>
        </w:rPr>
        <w:t>regulating telecommunications and broadcasting services, internet content and datacasting services</w:t>
      </w:r>
    </w:p>
    <w:p w14:paraId="6A8F5380" w14:textId="77777777" w:rsidR="00CC119D" w:rsidRPr="001E2783" w:rsidRDefault="00CC119D" w:rsidP="00CC119D">
      <w:pPr>
        <w:pStyle w:val="ListBullet"/>
        <w:ind w:left="284" w:hanging="284"/>
        <w:rPr>
          <w:rFonts w:cs="Arial"/>
        </w:rPr>
      </w:pPr>
      <w:r w:rsidRPr="001E2783">
        <w:rPr>
          <w:rFonts w:cs="Arial"/>
        </w:rPr>
        <w:t>managing access to radiofrequency spectrum bands through radiocommunications licence arrangements, and resolving competing demands for that spectrum through price-based allocation methods</w:t>
      </w:r>
    </w:p>
    <w:p w14:paraId="1783576E" w14:textId="77777777" w:rsidR="00CC119D" w:rsidRPr="001E2783" w:rsidRDefault="00CC119D" w:rsidP="00CC119D">
      <w:pPr>
        <w:pStyle w:val="ListBullet"/>
        <w:ind w:left="284" w:hanging="284"/>
        <w:rPr>
          <w:rFonts w:cs="Arial"/>
        </w:rPr>
      </w:pPr>
      <w:r w:rsidRPr="001E2783">
        <w:rPr>
          <w:rFonts w:cs="Arial"/>
        </w:rPr>
        <w:t>planning the availability of segments of radiofrequency spectrum bands used by broadcasting services, and managing access to that spectrum through broadcasting licence arrangements</w:t>
      </w:r>
    </w:p>
    <w:p w14:paraId="24BDC917" w14:textId="77777777" w:rsidR="00CC119D" w:rsidRPr="001E2783" w:rsidRDefault="00CC119D" w:rsidP="00CC119D">
      <w:pPr>
        <w:pStyle w:val="ListBullet"/>
        <w:ind w:left="284" w:hanging="284"/>
        <w:rPr>
          <w:rFonts w:cs="Arial"/>
        </w:rPr>
      </w:pPr>
      <w:r w:rsidRPr="001E2783">
        <w:rPr>
          <w:rFonts w:cs="Arial"/>
        </w:rPr>
        <w:t>regulating compliance with the relevant legislation, licence conditions, codes of practice, standards, service guarantees and other safeguards</w:t>
      </w:r>
    </w:p>
    <w:p w14:paraId="1FD83EB1" w14:textId="77777777" w:rsidR="00CC119D" w:rsidRPr="001E2783" w:rsidRDefault="00CC119D" w:rsidP="00CC119D">
      <w:pPr>
        <w:pStyle w:val="ListBullet"/>
        <w:ind w:left="284" w:hanging="284"/>
        <w:rPr>
          <w:rFonts w:cs="Arial"/>
        </w:rPr>
      </w:pPr>
      <w:r w:rsidRPr="001E2783">
        <w:rPr>
          <w:rFonts w:cs="Arial"/>
        </w:rPr>
        <w:t>promoting and facilitating industry self-regulatory and co-regulatory solutions to emerging issues</w:t>
      </w:r>
    </w:p>
    <w:p w14:paraId="45E9BCC8" w14:textId="77777777" w:rsidR="00CC119D" w:rsidRPr="001E2783" w:rsidRDefault="00CC119D" w:rsidP="00CC119D">
      <w:pPr>
        <w:pStyle w:val="ListBullet"/>
        <w:ind w:left="284" w:hanging="284"/>
        <w:rPr>
          <w:rFonts w:cs="Arial"/>
        </w:rPr>
      </w:pPr>
      <w:r w:rsidRPr="001E2783">
        <w:rPr>
          <w:rFonts w:cs="Arial"/>
        </w:rPr>
        <w:t>where necessary, exercising powers to create legislative and other instruments, often in the form of standards or service provider rules</w:t>
      </w:r>
    </w:p>
    <w:p w14:paraId="32FC0C24" w14:textId="77777777" w:rsidR="00CC119D" w:rsidRPr="001E2783" w:rsidRDefault="00CC119D" w:rsidP="00CC119D">
      <w:pPr>
        <w:pStyle w:val="ListBullet"/>
        <w:ind w:left="284" w:hanging="284"/>
        <w:rPr>
          <w:rFonts w:cs="Arial"/>
        </w:rPr>
      </w:pPr>
      <w:r w:rsidRPr="001E2783">
        <w:rPr>
          <w:rFonts w:cs="Arial"/>
        </w:rPr>
        <w:t>facilitating the provision of community information to promote informed decisions about communications products and services</w:t>
      </w:r>
    </w:p>
    <w:p w14:paraId="0A6A7F7F" w14:textId="77777777" w:rsidR="00CC119D" w:rsidRPr="001E2783" w:rsidRDefault="00CC119D" w:rsidP="00CC119D">
      <w:pPr>
        <w:pStyle w:val="ListBullet"/>
        <w:ind w:left="284" w:hanging="284"/>
        <w:rPr>
          <w:rFonts w:cs="Arial"/>
        </w:rPr>
      </w:pPr>
      <w:r w:rsidRPr="001E2783">
        <w:rPr>
          <w:rFonts w:cs="Arial"/>
        </w:rPr>
        <w:t>reporting on matters relating to the communications industry, including its performance</w:t>
      </w:r>
    </w:p>
    <w:p w14:paraId="32A9EA61" w14:textId="77777777" w:rsidR="00CC119D" w:rsidRPr="001E2783" w:rsidRDefault="00CC119D" w:rsidP="00CC119D">
      <w:pPr>
        <w:pStyle w:val="ListBullet"/>
        <w:ind w:left="284" w:hanging="284"/>
        <w:rPr>
          <w:rFonts w:cs="Arial"/>
        </w:rPr>
      </w:pPr>
      <w:r w:rsidRPr="001E2783">
        <w:rPr>
          <w:rFonts w:cs="Arial"/>
        </w:rPr>
        <w:t>representing Australia’s communications interests internationally</w:t>
      </w:r>
    </w:p>
    <w:p w14:paraId="3B914A67" w14:textId="77777777" w:rsidR="00CC119D" w:rsidRPr="001E2783" w:rsidRDefault="00CC119D" w:rsidP="002B5DD1">
      <w:pPr>
        <w:pStyle w:val="ListBullet"/>
        <w:spacing w:after="240"/>
        <w:ind w:left="284" w:hanging="284"/>
        <w:rPr>
          <w:rFonts w:cs="Arial"/>
        </w:rPr>
      </w:pPr>
      <w:r w:rsidRPr="001E2783">
        <w:rPr>
          <w:rFonts w:cs="Arial"/>
        </w:rPr>
        <w:t>advising the government on specific matters from time to time.</w:t>
      </w:r>
    </w:p>
    <w:p w14:paraId="4FE02FFA" w14:textId="77777777" w:rsidR="00CC119D" w:rsidRPr="001E2783" w:rsidRDefault="00CC119D" w:rsidP="008755C1">
      <w:pPr>
        <w:pStyle w:val="Heading2"/>
        <w:keepLines/>
      </w:pPr>
      <w:bookmarkStart w:id="31" w:name="_Toc337727518"/>
      <w:bookmarkStart w:id="32" w:name="_Toc400018486"/>
      <w:r w:rsidRPr="001E2783">
        <w:t>Structure</w:t>
      </w:r>
      <w:bookmarkEnd w:id="31"/>
      <w:bookmarkEnd w:id="32"/>
    </w:p>
    <w:p w14:paraId="669D6C80" w14:textId="77777777" w:rsidR="00CC119D" w:rsidRPr="001E2783" w:rsidRDefault="00CC119D" w:rsidP="008755C1">
      <w:pPr>
        <w:pStyle w:val="Heading3"/>
        <w:keepLines/>
      </w:pPr>
      <w:bookmarkStart w:id="33" w:name="_Toc337727519"/>
      <w:bookmarkStart w:id="34" w:name="_Toc400018487"/>
      <w:r w:rsidRPr="001E2783">
        <w:t>The Authority</w:t>
      </w:r>
      <w:bookmarkEnd w:id="33"/>
      <w:bookmarkEnd w:id="34"/>
    </w:p>
    <w:p w14:paraId="40584CCE" w14:textId="77777777" w:rsidR="00CC119D" w:rsidRPr="001E2783" w:rsidRDefault="00CC119D" w:rsidP="008755C1">
      <w:pPr>
        <w:keepNext/>
        <w:keepLines/>
        <w:rPr>
          <w:rFonts w:cs="Arial"/>
          <w:b/>
        </w:rPr>
      </w:pPr>
      <w:bookmarkStart w:id="35" w:name="_Toc335744218"/>
      <w:r w:rsidRPr="001E2783">
        <w:rPr>
          <w:rFonts w:cs="Arial"/>
        </w:rPr>
        <w:t>At 30 June 201</w:t>
      </w:r>
      <w:r w:rsidR="004718B0" w:rsidRPr="001E2783">
        <w:rPr>
          <w:rFonts w:cs="Arial"/>
        </w:rPr>
        <w:t>4</w:t>
      </w:r>
      <w:r w:rsidRPr="001E2783">
        <w:rPr>
          <w:rFonts w:cs="Arial"/>
        </w:rPr>
        <w:t xml:space="preserve">, the Authority comprised the Chairman, the Deputy Chair, one </w:t>
      </w:r>
      <w:r w:rsidR="00AC4014" w:rsidRPr="001E2783">
        <w:rPr>
          <w:rFonts w:cs="Arial"/>
        </w:rPr>
        <w:br/>
      </w:r>
      <w:r w:rsidRPr="001E2783">
        <w:rPr>
          <w:rFonts w:cs="Arial"/>
        </w:rPr>
        <w:t xml:space="preserve">full-time Member, </w:t>
      </w:r>
      <w:r w:rsidR="00306D16" w:rsidRPr="001E2783">
        <w:rPr>
          <w:rFonts w:cs="Arial"/>
        </w:rPr>
        <w:t>four</w:t>
      </w:r>
      <w:r w:rsidRPr="001E2783">
        <w:rPr>
          <w:rFonts w:cs="Arial"/>
        </w:rPr>
        <w:t xml:space="preserve"> part-time Members and one Associate Member (see Table 1)</w:t>
      </w:r>
      <w:bookmarkStart w:id="36" w:name="_Toc295392714"/>
      <w:bookmarkStart w:id="37" w:name="_Toc264458259"/>
      <w:bookmarkEnd w:id="35"/>
      <w:r w:rsidRPr="001E2783">
        <w:rPr>
          <w:rFonts w:cs="Arial"/>
        </w:rPr>
        <w:t>.</w:t>
      </w:r>
    </w:p>
    <w:p w14:paraId="168760AB" w14:textId="77777777" w:rsidR="00CC119D" w:rsidRPr="001E2783" w:rsidRDefault="00CC119D" w:rsidP="008755C1">
      <w:pPr>
        <w:keepNext/>
        <w:keepLines/>
        <w:rPr>
          <w:rFonts w:cs="Arial"/>
        </w:rPr>
      </w:pPr>
    </w:p>
    <w:p w14:paraId="62942DD3" w14:textId="77777777" w:rsidR="00CC119D" w:rsidRPr="001E2783" w:rsidRDefault="00CC119D" w:rsidP="008755C1">
      <w:pPr>
        <w:pStyle w:val="Heading3"/>
        <w:keepLines/>
      </w:pPr>
      <w:bookmarkStart w:id="38" w:name="_Toc337727520"/>
      <w:bookmarkStart w:id="39" w:name="_Toc400018488"/>
      <w:r w:rsidRPr="001E2783">
        <w:t>About the Authority</w:t>
      </w:r>
      <w:bookmarkEnd w:id="36"/>
      <w:bookmarkEnd w:id="38"/>
      <w:bookmarkEnd w:id="39"/>
    </w:p>
    <w:p w14:paraId="69AEF036" w14:textId="77777777" w:rsidR="00CC119D" w:rsidRPr="001E2783" w:rsidRDefault="00CC119D" w:rsidP="008755C1">
      <w:pPr>
        <w:pStyle w:val="BodysubheaderH4"/>
        <w:keepLines/>
        <w:rPr>
          <w:rFonts w:cs="Arial"/>
        </w:rPr>
      </w:pPr>
      <w:r w:rsidRPr="001E2783">
        <w:rPr>
          <w:rFonts w:cs="Arial"/>
        </w:rPr>
        <w:t>Chairman and Chief Executive Officer—Chris Chapman</w:t>
      </w:r>
    </w:p>
    <w:p w14:paraId="77422B6B" w14:textId="77777777" w:rsidR="00CC119D" w:rsidRPr="001E2783" w:rsidRDefault="00CC119D" w:rsidP="008755C1">
      <w:pPr>
        <w:keepNext/>
        <w:keepLines/>
        <w:rPr>
          <w:rFonts w:cs="Arial"/>
          <w:i/>
        </w:rPr>
      </w:pPr>
      <w:r w:rsidRPr="001E2783">
        <w:rPr>
          <w:rFonts w:cs="Arial"/>
          <w:i/>
        </w:rPr>
        <w:t>Appointed 27 February 2006 for five years</w:t>
      </w:r>
    </w:p>
    <w:p w14:paraId="4088A5FA" w14:textId="77777777" w:rsidR="00CC119D" w:rsidRPr="001E2783" w:rsidRDefault="00CC119D" w:rsidP="008755C1">
      <w:pPr>
        <w:keepNext/>
        <w:keepLines/>
        <w:rPr>
          <w:rFonts w:cs="Arial"/>
          <w:i/>
        </w:rPr>
      </w:pPr>
      <w:r w:rsidRPr="001E2783">
        <w:rPr>
          <w:rFonts w:cs="Arial"/>
          <w:i/>
        </w:rPr>
        <w:t>Reappointed 14 October 2010 for five years</w:t>
      </w:r>
    </w:p>
    <w:p w14:paraId="55543645" w14:textId="77777777" w:rsidR="00C74C8D" w:rsidRPr="001E2783" w:rsidRDefault="00C74C8D" w:rsidP="008755C1">
      <w:pPr>
        <w:keepNext/>
        <w:keepLines/>
        <w:rPr>
          <w:rFonts w:cs="Arial"/>
          <w:i/>
        </w:rPr>
      </w:pPr>
      <w:r w:rsidRPr="001E2783">
        <w:rPr>
          <w:rFonts w:cs="Arial"/>
          <w:i/>
        </w:rPr>
        <w:t>Reappointed 28 March 2013 until 26 February 2016</w:t>
      </w:r>
    </w:p>
    <w:p w14:paraId="1AB2D5BA" w14:textId="77777777" w:rsidR="00CC119D" w:rsidRPr="001E2783" w:rsidRDefault="00CC119D" w:rsidP="008755C1">
      <w:pPr>
        <w:keepNext/>
        <w:keepLines/>
        <w:rPr>
          <w:rFonts w:cs="Arial"/>
          <w:i/>
        </w:rPr>
      </w:pPr>
    </w:p>
    <w:p w14:paraId="59BE002F" w14:textId="77777777" w:rsidR="00CC119D" w:rsidRPr="001E2783" w:rsidRDefault="00CC119D" w:rsidP="008755C1">
      <w:pPr>
        <w:keepNext/>
        <w:keepLines/>
        <w:rPr>
          <w:rFonts w:cs="Arial"/>
        </w:rPr>
      </w:pPr>
      <w:r w:rsidRPr="001E2783">
        <w:rPr>
          <w:rFonts w:cs="Arial"/>
        </w:rPr>
        <w:t xml:space="preserve">Chris Chapman commenced as the inaugural Chairman and CEO of the ACMA in February 2006. He was also appointed an Associate Member of the Australian Competition and Consumer Commission (ACCC) in September 2007. </w:t>
      </w:r>
    </w:p>
    <w:p w14:paraId="6919ED14" w14:textId="77777777" w:rsidR="00306D16" w:rsidRPr="001E2783" w:rsidRDefault="00306D16" w:rsidP="00CC119D">
      <w:pPr>
        <w:rPr>
          <w:rFonts w:cs="Arial"/>
        </w:rPr>
      </w:pPr>
    </w:p>
    <w:p w14:paraId="22A90896" w14:textId="77777777" w:rsidR="00CC119D" w:rsidRPr="001E2783" w:rsidRDefault="00CC119D" w:rsidP="00CC119D">
      <w:pPr>
        <w:rPr>
          <w:rFonts w:cs="Arial"/>
        </w:rPr>
      </w:pPr>
      <w:r w:rsidRPr="001E2783">
        <w:rPr>
          <w:rFonts w:cs="Arial"/>
        </w:rPr>
        <w:t xml:space="preserve">Mr Chapman has had an extensive career including leadership roles in the media; broadcasting and film; internet, telecommunications and internet business; and the sports and infrastructure sectors. Before joining the ACMA, Mr Chapman held a number of senior management positions with Babcock &amp; Brown, Optus, Stadium Australia Management and the Seven Network. Mr Chapman has also been the Chairman of Film Australia and SportsVision Australia, and a previous member of the National Film and Sound Archive’s Advisory Council. </w:t>
      </w:r>
    </w:p>
    <w:p w14:paraId="49BB20AF" w14:textId="77777777" w:rsidR="00CC119D" w:rsidRPr="001E2783" w:rsidRDefault="00CC119D" w:rsidP="00CC119D">
      <w:pPr>
        <w:rPr>
          <w:rFonts w:cs="Arial"/>
        </w:rPr>
      </w:pPr>
    </w:p>
    <w:p w14:paraId="2AE1AA46" w14:textId="77777777" w:rsidR="00CC119D" w:rsidRPr="001E2783" w:rsidRDefault="00CC119D" w:rsidP="00CC119D">
      <w:pPr>
        <w:rPr>
          <w:rFonts w:cs="Arial"/>
        </w:rPr>
      </w:pPr>
      <w:r w:rsidRPr="001E2783">
        <w:rPr>
          <w:rFonts w:cs="Arial"/>
        </w:rPr>
        <w:t>Mr Chapman has a Bachelor of Laws and a Bachelor of Commerce from the University of New South Wales, and has completed the Harvard Business School Advanced Management Program (AMP).</w:t>
      </w:r>
    </w:p>
    <w:p w14:paraId="2E4E0AF5" w14:textId="77777777" w:rsidR="00CC119D" w:rsidRPr="001E2783" w:rsidRDefault="00CC119D" w:rsidP="00CC119D">
      <w:pPr>
        <w:pStyle w:val="BodysubheaderH4"/>
        <w:rPr>
          <w:rFonts w:cs="Arial"/>
        </w:rPr>
      </w:pPr>
    </w:p>
    <w:p w14:paraId="03073672" w14:textId="77777777" w:rsidR="00CC119D" w:rsidRPr="001E2783" w:rsidRDefault="00CC119D" w:rsidP="00CC119D">
      <w:pPr>
        <w:pStyle w:val="BodysubheaderH4"/>
        <w:rPr>
          <w:rFonts w:cs="Arial"/>
        </w:rPr>
      </w:pPr>
      <w:r w:rsidRPr="001E2783">
        <w:rPr>
          <w:rFonts w:cs="Arial"/>
        </w:rPr>
        <w:t>Deputy Chair—Richard Bean</w:t>
      </w:r>
    </w:p>
    <w:p w14:paraId="46C053EF" w14:textId="77777777" w:rsidR="00CC119D" w:rsidRPr="001E2783" w:rsidRDefault="00CC119D" w:rsidP="00CC119D">
      <w:pPr>
        <w:rPr>
          <w:rFonts w:cs="Arial"/>
          <w:i/>
        </w:rPr>
      </w:pPr>
      <w:r w:rsidRPr="001E2783">
        <w:rPr>
          <w:rFonts w:cs="Arial"/>
          <w:i/>
        </w:rPr>
        <w:t>Appointed 14 October 2010 for five years</w:t>
      </w:r>
    </w:p>
    <w:p w14:paraId="5B60CB38" w14:textId="77777777" w:rsidR="00CC119D" w:rsidRPr="001E2783" w:rsidRDefault="00CC119D" w:rsidP="00CC119D">
      <w:pPr>
        <w:rPr>
          <w:rFonts w:cs="Arial"/>
          <w:i/>
        </w:rPr>
      </w:pPr>
    </w:p>
    <w:p w14:paraId="2B611A8E" w14:textId="77777777" w:rsidR="00CC119D" w:rsidRPr="001E2783" w:rsidRDefault="00CC119D" w:rsidP="00CC119D">
      <w:pPr>
        <w:rPr>
          <w:rFonts w:cs="Arial"/>
        </w:rPr>
      </w:pPr>
      <w:r w:rsidRPr="001E2783">
        <w:rPr>
          <w:rFonts w:cs="Arial"/>
        </w:rPr>
        <w:t>Richard Bean has worked in a variety of senior roles in Australia’s media and communications industries. Before joining the ACMA</w:t>
      </w:r>
      <w:r w:rsidR="004D4755" w:rsidRPr="001E2783">
        <w:rPr>
          <w:rFonts w:cs="Arial"/>
        </w:rPr>
        <w:t>,</w:t>
      </w:r>
      <w:r w:rsidRPr="001E2783">
        <w:rPr>
          <w:rFonts w:cs="Arial"/>
        </w:rPr>
        <w:t xml:space="preserve"> he oversaw the legal and regulatory affairs and human resources functions at Unwired, the wireless broadband infrastructure owner and ISP. </w:t>
      </w:r>
    </w:p>
    <w:p w14:paraId="4744930D" w14:textId="77777777" w:rsidR="00CC119D" w:rsidRPr="001E2783" w:rsidRDefault="00CC119D" w:rsidP="00CC119D">
      <w:pPr>
        <w:rPr>
          <w:rFonts w:cs="Arial"/>
        </w:rPr>
      </w:pPr>
    </w:p>
    <w:p w14:paraId="2CCA2EEB" w14:textId="77777777" w:rsidR="00CC119D" w:rsidRPr="001E2783" w:rsidRDefault="00CC119D" w:rsidP="00CC119D">
      <w:pPr>
        <w:rPr>
          <w:rFonts w:cs="Arial"/>
        </w:rPr>
      </w:pPr>
      <w:r w:rsidRPr="001E2783">
        <w:rPr>
          <w:rFonts w:cs="Arial"/>
        </w:rPr>
        <w:t xml:space="preserve">He had previously held positions responsible for the legal and business affairs side of Network Ten's programming activities, and practised as a commercial, media and litigation lawyer at national commercial law firm Blake Dawson. Prior to that, Mr Bean worked in program administration and policy development in a number of Australian Government organisations. </w:t>
      </w:r>
    </w:p>
    <w:p w14:paraId="6376B500" w14:textId="77777777" w:rsidR="00CC119D" w:rsidRPr="001E2783" w:rsidRDefault="00CC119D" w:rsidP="00CC119D">
      <w:pPr>
        <w:rPr>
          <w:rFonts w:cs="Arial"/>
        </w:rPr>
      </w:pPr>
    </w:p>
    <w:p w14:paraId="5C0AB3B7" w14:textId="77777777" w:rsidR="00CC119D" w:rsidRPr="001E2783" w:rsidRDefault="00CC119D" w:rsidP="00CC119D">
      <w:pPr>
        <w:rPr>
          <w:rFonts w:cs="Arial"/>
        </w:rPr>
      </w:pPr>
      <w:r w:rsidRPr="001E2783">
        <w:rPr>
          <w:rFonts w:cs="Arial"/>
        </w:rPr>
        <w:t>Mr Bean holds an honours degree in Literature and Philosophy from the University of Sydney</w:t>
      </w:r>
      <w:r w:rsidR="004D4755" w:rsidRPr="001E2783">
        <w:rPr>
          <w:rFonts w:cs="Arial"/>
        </w:rPr>
        <w:t>,</w:t>
      </w:r>
      <w:r w:rsidRPr="001E2783">
        <w:rPr>
          <w:rFonts w:cs="Arial"/>
        </w:rPr>
        <w:t xml:space="preserve"> and a law degree from the University of New South Wales.</w:t>
      </w:r>
    </w:p>
    <w:p w14:paraId="219D50D8" w14:textId="77777777" w:rsidR="00CC119D" w:rsidRPr="001E2783" w:rsidRDefault="00CC119D" w:rsidP="00CC119D">
      <w:pPr>
        <w:rPr>
          <w:rFonts w:cs="Arial"/>
        </w:rPr>
      </w:pPr>
    </w:p>
    <w:p w14:paraId="2B332E62" w14:textId="77777777" w:rsidR="00CC119D" w:rsidRPr="001E2783" w:rsidRDefault="00CC119D" w:rsidP="00CC119D">
      <w:pPr>
        <w:pStyle w:val="BodysubheaderH4"/>
        <w:rPr>
          <w:rFonts w:cs="Arial"/>
        </w:rPr>
      </w:pPr>
      <w:r w:rsidRPr="001E2783">
        <w:rPr>
          <w:rFonts w:cs="Arial"/>
        </w:rPr>
        <w:t>Full-time Member—Chris Cheah</w:t>
      </w:r>
    </w:p>
    <w:p w14:paraId="65873D1E" w14:textId="77777777" w:rsidR="00CC119D" w:rsidRPr="001E2783" w:rsidRDefault="00CC119D" w:rsidP="00CC119D">
      <w:pPr>
        <w:rPr>
          <w:rFonts w:cs="Arial"/>
          <w:i/>
        </w:rPr>
      </w:pPr>
      <w:r w:rsidRPr="001E2783">
        <w:rPr>
          <w:rFonts w:cs="Arial"/>
          <w:i/>
        </w:rPr>
        <w:t>Appointed 1 July 2005 for four years</w:t>
      </w:r>
    </w:p>
    <w:p w14:paraId="104087BC" w14:textId="77777777" w:rsidR="00CC119D" w:rsidRPr="001E2783" w:rsidRDefault="00CC119D" w:rsidP="00CC119D">
      <w:pPr>
        <w:rPr>
          <w:rFonts w:cs="Arial"/>
          <w:i/>
        </w:rPr>
      </w:pPr>
      <w:r w:rsidRPr="001E2783">
        <w:rPr>
          <w:rFonts w:cs="Arial"/>
          <w:i/>
        </w:rPr>
        <w:t>Reappointed 1 July 2009 for five years</w:t>
      </w:r>
    </w:p>
    <w:p w14:paraId="16A3F6FD" w14:textId="77777777" w:rsidR="004D4755" w:rsidRPr="001E2783" w:rsidRDefault="004D4755" w:rsidP="004D4755">
      <w:pPr>
        <w:rPr>
          <w:rFonts w:cs="Arial"/>
          <w:i/>
          <w:szCs w:val="20"/>
        </w:rPr>
      </w:pPr>
      <w:r w:rsidRPr="001E2783">
        <w:rPr>
          <w:rFonts w:cs="Arial"/>
          <w:i/>
          <w:szCs w:val="20"/>
        </w:rPr>
        <w:t>Reappointed 1 July 2014 for one year until 30 June 2015</w:t>
      </w:r>
    </w:p>
    <w:p w14:paraId="2B470A86" w14:textId="77777777" w:rsidR="00CC119D" w:rsidRPr="001E2783" w:rsidRDefault="00CC119D" w:rsidP="00CC119D">
      <w:pPr>
        <w:rPr>
          <w:rFonts w:cs="Arial"/>
          <w:i/>
        </w:rPr>
      </w:pPr>
    </w:p>
    <w:p w14:paraId="5F6B7C83" w14:textId="77777777" w:rsidR="00CC119D" w:rsidRPr="001E2783" w:rsidRDefault="00CC119D" w:rsidP="00CC119D">
      <w:pPr>
        <w:spacing w:line="240" w:lineRule="auto"/>
        <w:rPr>
          <w:rFonts w:cs="Arial"/>
        </w:rPr>
      </w:pPr>
      <w:r w:rsidRPr="001E2783">
        <w:rPr>
          <w:rFonts w:cs="Arial"/>
        </w:rPr>
        <w:t xml:space="preserve">Chris Cheah was previously head of the Telecommunications Division of the then Department of Communications, Information Technology and the Arts (now </w:t>
      </w:r>
      <w:r w:rsidR="004D4755" w:rsidRPr="001E2783">
        <w:rPr>
          <w:rFonts w:cs="Arial"/>
        </w:rPr>
        <w:t>DoC</w:t>
      </w:r>
      <w:r w:rsidRPr="001E2783">
        <w:rPr>
          <w:rFonts w:cs="Arial"/>
        </w:rPr>
        <w:t xml:space="preserve">), advising the government on telecommunications issues. He has also managed accessibility funding programs and held positions with Austel and Telstra. </w:t>
      </w:r>
    </w:p>
    <w:p w14:paraId="39949285" w14:textId="77777777" w:rsidR="00CC119D" w:rsidRPr="001E2783" w:rsidRDefault="00CC119D" w:rsidP="00CC119D">
      <w:pPr>
        <w:rPr>
          <w:rFonts w:cs="Arial"/>
          <w:i/>
        </w:rPr>
      </w:pPr>
    </w:p>
    <w:p w14:paraId="13C5C57F" w14:textId="77777777" w:rsidR="00CC119D" w:rsidRPr="001E2783" w:rsidRDefault="00CC119D" w:rsidP="00CC119D">
      <w:pPr>
        <w:pStyle w:val="BodysubheaderH4"/>
        <w:rPr>
          <w:rFonts w:cs="Arial"/>
        </w:rPr>
      </w:pPr>
      <w:r w:rsidRPr="001E2783">
        <w:rPr>
          <w:rFonts w:cs="Arial"/>
        </w:rPr>
        <w:t>Part-time Member—Emeritus Professor Reg Coutts</w:t>
      </w:r>
    </w:p>
    <w:p w14:paraId="25365010" w14:textId="77777777" w:rsidR="00CC119D" w:rsidRPr="001E2783" w:rsidRDefault="00CC119D" w:rsidP="00CC119D">
      <w:pPr>
        <w:keepNext/>
        <w:spacing w:line="240" w:lineRule="auto"/>
        <w:rPr>
          <w:rFonts w:cs="Arial"/>
          <w:i/>
        </w:rPr>
      </w:pPr>
      <w:r w:rsidRPr="001E2783">
        <w:rPr>
          <w:rFonts w:cs="Arial"/>
          <w:i/>
        </w:rPr>
        <w:t>Appointed 14 October 2010 for five years</w:t>
      </w:r>
    </w:p>
    <w:p w14:paraId="2FAA2EC2" w14:textId="77777777" w:rsidR="004D4755" w:rsidRPr="001E2783" w:rsidRDefault="004D4755" w:rsidP="004D4755">
      <w:pPr>
        <w:keepNext/>
        <w:spacing w:line="240" w:lineRule="auto"/>
        <w:rPr>
          <w:rFonts w:cs="Arial"/>
          <w:i/>
        </w:rPr>
      </w:pPr>
      <w:r w:rsidRPr="001E2783">
        <w:rPr>
          <w:rFonts w:cs="Arial"/>
          <w:i/>
        </w:rPr>
        <w:t>Resigned with effect from 20 May 2014</w:t>
      </w:r>
    </w:p>
    <w:p w14:paraId="2ED0A41E" w14:textId="77777777" w:rsidR="004D4755" w:rsidRPr="001E2783" w:rsidRDefault="004D4755" w:rsidP="004D4755">
      <w:pPr>
        <w:keepNext/>
        <w:rPr>
          <w:rFonts w:cs="Arial"/>
          <w:szCs w:val="20"/>
        </w:rPr>
      </w:pPr>
    </w:p>
    <w:p w14:paraId="1534CBFF" w14:textId="77777777" w:rsidR="00CC119D" w:rsidRPr="001E2783" w:rsidRDefault="00CC119D" w:rsidP="00CC119D">
      <w:pPr>
        <w:keepNext/>
        <w:rPr>
          <w:rFonts w:cs="Arial"/>
        </w:rPr>
      </w:pPr>
      <w:r w:rsidRPr="001E2783">
        <w:rPr>
          <w:rFonts w:cs="Arial"/>
        </w:rPr>
        <w:t xml:space="preserve">Reg Coutts has over 30 years experience in the Australian telecommunications industry, including 18 years at Telstra, moving through the research laboratories to become the director of strategy in the early mobile communications business. </w:t>
      </w:r>
    </w:p>
    <w:p w14:paraId="2582B8D9" w14:textId="77777777" w:rsidR="00CC119D" w:rsidRPr="001E2783" w:rsidRDefault="00CC119D" w:rsidP="00CC119D">
      <w:pPr>
        <w:rPr>
          <w:rFonts w:cs="Arial"/>
        </w:rPr>
      </w:pPr>
    </w:p>
    <w:p w14:paraId="22FA340D" w14:textId="77777777" w:rsidR="00CC119D" w:rsidRPr="001E2783" w:rsidRDefault="00987AA5" w:rsidP="00CC119D">
      <w:pPr>
        <w:rPr>
          <w:rFonts w:cs="Arial"/>
        </w:rPr>
      </w:pPr>
      <w:r w:rsidRPr="001E2783">
        <w:rPr>
          <w:rFonts w:cs="Arial"/>
        </w:rPr>
        <w:t xml:space="preserve">Professor </w:t>
      </w:r>
      <w:r w:rsidR="00CC119D" w:rsidRPr="001E2783">
        <w:rPr>
          <w:rFonts w:cs="Arial"/>
        </w:rPr>
        <w:t>Coutts moved to academia in 1993 as the inaugural Professor of Telecommunications at the University of Adelaide</w:t>
      </w:r>
      <w:r w:rsidR="004D4755" w:rsidRPr="001E2783">
        <w:rPr>
          <w:rFonts w:cs="Arial"/>
        </w:rPr>
        <w:t>,</w:t>
      </w:r>
      <w:r w:rsidR="00CC119D" w:rsidRPr="001E2783">
        <w:rPr>
          <w:rFonts w:cs="Arial"/>
        </w:rPr>
        <w:t xml:space="preserve"> where his multidisciplinary team worked with industry both in Australia and overseas during the first wave of spectrum management reform. Currently, Mr Coutts consults to business and government, and chairs a new technology venture company. </w:t>
      </w:r>
    </w:p>
    <w:p w14:paraId="73AB9AAE" w14:textId="77777777" w:rsidR="00CC119D" w:rsidRPr="001E2783" w:rsidRDefault="00CC119D" w:rsidP="00CC119D">
      <w:pPr>
        <w:rPr>
          <w:rFonts w:cs="Arial"/>
        </w:rPr>
      </w:pPr>
    </w:p>
    <w:p w14:paraId="1959FBC0" w14:textId="77777777" w:rsidR="000C4D94" w:rsidRPr="001E2783" w:rsidRDefault="00987AA5" w:rsidP="000C4D94">
      <w:pPr>
        <w:rPr>
          <w:rFonts w:cs="Arial"/>
        </w:rPr>
      </w:pPr>
      <w:r w:rsidRPr="001E2783">
        <w:rPr>
          <w:rFonts w:cs="Arial"/>
        </w:rPr>
        <w:t xml:space="preserve">Professor </w:t>
      </w:r>
      <w:r w:rsidR="00CC119D" w:rsidRPr="001E2783">
        <w:rPr>
          <w:rFonts w:cs="Arial"/>
        </w:rPr>
        <w:t>Coutts was educated as an engineer and is a graduate of the Australian Institute of Company Directors (AICD). He is actively involved in developing the ICT profession and is a Director of the Telecommunications Board of the Australian Computer Society (formerly known as the Telecommunications Society of Australia).</w:t>
      </w:r>
    </w:p>
    <w:p w14:paraId="2C1BB604" w14:textId="77777777" w:rsidR="00457206" w:rsidRPr="001E2783" w:rsidRDefault="00457206" w:rsidP="002B5DD1">
      <w:pPr>
        <w:rPr>
          <w:rFonts w:cs="Arial"/>
        </w:rPr>
      </w:pPr>
    </w:p>
    <w:p w14:paraId="3E2272F2" w14:textId="77777777" w:rsidR="00CC119D" w:rsidRPr="001E2783" w:rsidRDefault="00CC119D" w:rsidP="000C4D94">
      <w:pPr>
        <w:pStyle w:val="BodysubheaderH4"/>
        <w:rPr>
          <w:rFonts w:cs="Arial"/>
        </w:rPr>
      </w:pPr>
      <w:r w:rsidRPr="001E2783">
        <w:rPr>
          <w:rFonts w:cs="Arial"/>
        </w:rPr>
        <w:t>Part-time Member—Louise Benjamin</w:t>
      </w:r>
    </w:p>
    <w:p w14:paraId="4AA0904B" w14:textId="77777777" w:rsidR="00CC119D" w:rsidRPr="001E2783" w:rsidRDefault="00CC119D" w:rsidP="000C4D94">
      <w:pPr>
        <w:keepNext/>
        <w:spacing w:line="240" w:lineRule="auto"/>
        <w:rPr>
          <w:rFonts w:cs="Arial"/>
          <w:i/>
        </w:rPr>
      </w:pPr>
      <w:r w:rsidRPr="001E2783">
        <w:rPr>
          <w:rFonts w:cs="Arial"/>
          <w:i/>
        </w:rPr>
        <w:t>Appointed 14 October 2010 for five years</w:t>
      </w:r>
    </w:p>
    <w:p w14:paraId="0CCC7A0C" w14:textId="77777777" w:rsidR="00CC119D" w:rsidRPr="001E2783" w:rsidRDefault="00CC119D" w:rsidP="000C4D94">
      <w:pPr>
        <w:keepNext/>
        <w:spacing w:line="240" w:lineRule="auto"/>
        <w:rPr>
          <w:rFonts w:cs="Arial"/>
          <w:i/>
        </w:rPr>
      </w:pPr>
    </w:p>
    <w:p w14:paraId="1B72C7F2" w14:textId="77777777" w:rsidR="00CC119D" w:rsidRPr="001E2783" w:rsidRDefault="00CC119D" w:rsidP="000C4D94">
      <w:pPr>
        <w:keepNext/>
        <w:spacing w:line="240" w:lineRule="auto"/>
        <w:rPr>
          <w:rFonts w:cs="Arial"/>
        </w:rPr>
      </w:pPr>
      <w:r w:rsidRPr="001E2783">
        <w:rPr>
          <w:rFonts w:cs="Arial"/>
        </w:rPr>
        <w:t xml:space="preserve">Louise Benjamin has extensive experience in media and telecommunications, from both a regulatory and executive perspective. Prior to joining the ACMA, Miss Benjamin held senior strategy positions with News Ltd and Foxtel. She was a competition law partner at Allens Arthur Robinson from 1995 to 2004 and the national Chair of the Law Council of Australia's Trade Practices Committee, which plays a significant role in competition law policy. She has also served as Deputy Chair of the Australian Publishers’ Bureau. </w:t>
      </w:r>
    </w:p>
    <w:p w14:paraId="1D6D617D" w14:textId="77777777" w:rsidR="00CC119D" w:rsidRPr="001E2783" w:rsidRDefault="00CC119D" w:rsidP="00CC119D">
      <w:pPr>
        <w:spacing w:line="240" w:lineRule="auto"/>
        <w:rPr>
          <w:rFonts w:cs="Arial"/>
        </w:rPr>
      </w:pPr>
    </w:p>
    <w:p w14:paraId="0841B255" w14:textId="77777777" w:rsidR="00CC119D" w:rsidRPr="001E2783" w:rsidRDefault="00CC119D" w:rsidP="00CC119D">
      <w:pPr>
        <w:rPr>
          <w:rFonts w:cs="Arial"/>
        </w:rPr>
      </w:pPr>
      <w:r w:rsidRPr="001E2783">
        <w:rPr>
          <w:rFonts w:cs="Arial"/>
        </w:rPr>
        <w:t>Miss Benjamin holds a Bachelor of Arts, Bachelor of Laws and Master of Laws from the University of Sydney.</w:t>
      </w:r>
    </w:p>
    <w:p w14:paraId="5B632A03" w14:textId="77777777" w:rsidR="00CC119D" w:rsidRPr="001E2783" w:rsidRDefault="00CC119D" w:rsidP="00CC119D">
      <w:pPr>
        <w:rPr>
          <w:rFonts w:cs="Arial"/>
        </w:rPr>
      </w:pPr>
    </w:p>
    <w:p w14:paraId="064FABB5" w14:textId="77777777" w:rsidR="004D4755" w:rsidRPr="001E2783" w:rsidRDefault="004D4755" w:rsidP="004D4755">
      <w:pPr>
        <w:pStyle w:val="BodysubheaderH4"/>
        <w:rPr>
          <w:rFonts w:cs="Arial"/>
          <w:szCs w:val="20"/>
        </w:rPr>
      </w:pPr>
      <w:r w:rsidRPr="001E2783">
        <w:rPr>
          <w:rFonts w:cs="Arial"/>
          <w:szCs w:val="20"/>
        </w:rPr>
        <w:t>Part-time Member—Anita Jacoby</w:t>
      </w:r>
    </w:p>
    <w:p w14:paraId="397AE079" w14:textId="77777777" w:rsidR="004D4755" w:rsidRPr="001E2783" w:rsidRDefault="004D4755" w:rsidP="004D4755">
      <w:pPr>
        <w:keepNext/>
        <w:rPr>
          <w:rFonts w:cs="Arial"/>
          <w:i/>
          <w:szCs w:val="20"/>
        </w:rPr>
      </w:pPr>
      <w:r w:rsidRPr="001E2783">
        <w:rPr>
          <w:rFonts w:cs="Arial"/>
          <w:i/>
          <w:szCs w:val="20"/>
        </w:rPr>
        <w:t>Appointed 5 August 2013 for five years</w:t>
      </w:r>
    </w:p>
    <w:p w14:paraId="3A0251C2" w14:textId="77777777" w:rsidR="004D4755" w:rsidRPr="001E2783" w:rsidRDefault="004D4755" w:rsidP="004D4755">
      <w:pPr>
        <w:keepNext/>
        <w:rPr>
          <w:rFonts w:cs="Arial"/>
          <w:i/>
          <w:szCs w:val="20"/>
        </w:rPr>
      </w:pPr>
    </w:p>
    <w:p w14:paraId="0607441D" w14:textId="77777777" w:rsidR="004D4755" w:rsidRPr="001E2783" w:rsidRDefault="004D4755" w:rsidP="004D4755">
      <w:pPr>
        <w:rPr>
          <w:rFonts w:cs="Arial"/>
          <w:szCs w:val="20"/>
        </w:rPr>
      </w:pPr>
      <w:r w:rsidRPr="001E2783">
        <w:rPr>
          <w:rFonts w:cs="Arial"/>
          <w:szCs w:val="20"/>
        </w:rPr>
        <w:t xml:space="preserve">Anita Jacoby is one of Australia’s most experienced media professionals. In a career spanning 30 years, she’s worked as a journalist and editor in print and publishing, and produced TV programs for every major network. For 10 years, Anita was an executive with Zapruder’s other films, an independent TV production company creating original content including </w:t>
      </w:r>
      <w:r w:rsidRPr="001E2783">
        <w:rPr>
          <w:rFonts w:cs="Arial"/>
          <w:i/>
          <w:szCs w:val="20"/>
        </w:rPr>
        <w:t xml:space="preserve">Gruen Planet </w:t>
      </w:r>
      <w:r w:rsidRPr="001E2783">
        <w:rPr>
          <w:rFonts w:cs="Arial"/>
          <w:szCs w:val="20"/>
        </w:rPr>
        <w:t>and</w:t>
      </w:r>
      <w:r w:rsidRPr="001E2783">
        <w:rPr>
          <w:rFonts w:cs="Arial"/>
          <w:i/>
          <w:szCs w:val="20"/>
        </w:rPr>
        <w:t xml:space="preserve"> Enough Rope</w:t>
      </w:r>
      <w:r w:rsidRPr="001E2783">
        <w:rPr>
          <w:rFonts w:cs="Arial"/>
          <w:szCs w:val="20"/>
        </w:rPr>
        <w:t xml:space="preserve">. </w:t>
      </w:r>
    </w:p>
    <w:p w14:paraId="5FCCCEB2" w14:textId="77777777" w:rsidR="004D4755" w:rsidRPr="001E2783" w:rsidRDefault="004D4755" w:rsidP="004D4755">
      <w:pPr>
        <w:rPr>
          <w:rFonts w:cs="Arial"/>
          <w:szCs w:val="20"/>
        </w:rPr>
      </w:pPr>
    </w:p>
    <w:p w14:paraId="4F226B6A" w14:textId="77777777" w:rsidR="004D4755" w:rsidRPr="001E2783" w:rsidRDefault="004D4755" w:rsidP="004D4755">
      <w:pPr>
        <w:rPr>
          <w:rFonts w:cs="Arial"/>
          <w:szCs w:val="20"/>
        </w:rPr>
      </w:pPr>
      <w:r w:rsidRPr="001E2783">
        <w:rPr>
          <w:rFonts w:cs="Arial"/>
          <w:szCs w:val="20"/>
        </w:rPr>
        <w:t>Anita is currently Managing Director of ITV Studios. She is also a director of Headspace and the Arts Law Centre of Australia.</w:t>
      </w:r>
    </w:p>
    <w:p w14:paraId="767F98CC" w14:textId="77777777" w:rsidR="004D4755" w:rsidRPr="001E2783" w:rsidRDefault="004D4755" w:rsidP="004D4755">
      <w:pPr>
        <w:rPr>
          <w:rFonts w:cs="Arial"/>
          <w:szCs w:val="20"/>
        </w:rPr>
      </w:pPr>
    </w:p>
    <w:p w14:paraId="1815BB67" w14:textId="77777777" w:rsidR="004D4755" w:rsidRPr="001E2783" w:rsidRDefault="004D4755" w:rsidP="004D4755">
      <w:pPr>
        <w:pStyle w:val="BodysubheaderH4"/>
        <w:rPr>
          <w:rFonts w:cs="Arial"/>
          <w:szCs w:val="20"/>
        </w:rPr>
      </w:pPr>
      <w:r w:rsidRPr="001E2783">
        <w:rPr>
          <w:rFonts w:cs="Arial"/>
          <w:szCs w:val="20"/>
        </w:rPr>
        <w:t>Part-time Member—James Cameron</w:t>
      </w:r>
    </w:p>
    <w:p w14:paraId="14C32A79" w14:textId="77777777" w:rsidR="004D4755" w:rsidRPr="001E2783" w:rsidRDefault="004D4755" w:rsidP="004D4755">
      <w:pPr>
        <w:keepNext/>
        <w:rPr>
          <w:rFonts w:cs="Arial"/>
          <w:i/>
          <w:szCs w:val="20"/>
        </w:rPr>
      </w:pPr>
      <w:r w:rsidRPr="001E2783">
        <w:rPr>
          <w:rFonts w:cs="Arial"/>
          <w:i/>
          <w:szCs w:val="20"/>
        </w:rPr>
        <w:t>Appointed 5 August 2013 for five years</w:t>
      </w:r>
    </w:p>
    <w:p w14:paraId="1E412572" w14:textId="77777777" w:rsidR="004D4755" w:rsidRPr="001E2783" w:rsidRDefault="004D4755" w:rsidP="002B5DD1">
      <w:pPr>
        <w:rPr>
          <w:rFonts w:cs="Arial"/>
        </w:rPr>
      </w:pPr>
    </w:p>
    <w:p w14:paraId="444656D0" w14:textId="77777777" w:rsidR="004D4755" w:rsidRPr="001E2783" w:rsidRDefault="004D4755" w:rsidP="004D4755">
      <w:pPr>
        <w:spacing w:line="240" w:lineRule="auto"/>
        <w:rPr>
          <w:rFonts w:cs="Arial"/>
        </w:rPr>
      </w:pPr>
      <w:r w:rsidRPr="001E2783">
        <w:rPr>
          <w:rFonts w:cs="Arial"/>
        </w:rPr>
        <w:t xml:space="preserve">James Cameron has over 20 years Australian Government public policy experience, including senior executive roles in the telecommunications, radiocommunications, broadcasting and digital economy fields. James has held executive positions managing government policies and programs supporting Australia’s arts and sports sectors and, immediately prior to joining the ACMA, was Chief Executive Officer of the National Water Commission. </w:t>
      </w:r>
    </w:p>
    <w:p w14:paraId="597D3F94" w14:textId="77777777" w:rsidR="00BF37AF" w:rsidRPr="001E2783" w:rsidRDefault="00BF37AF" w:rsidP="004D4755">
      <w:pPr>
        <w:spacing w:line="240" w:lineRule="auto"/>
        <w:rPr>
          <w:rFonts w:cs="Arial"/>
        </w:rPr>
      </w:pPr>
    </w:p>
    <w:p w14:paraId="34FCFEB0" w14:textId="77777777" w:rsidR="004D4755" w:rsidRPr="001E2783" w:rsidRDefault="004D4755" w:rsidP="004D4755">
      <w:pPr>
        <w:spacing w:line="240" w:lineRule="auto"/>
        <w:rPr>
          <w:rFonts w:cs="Arial"/>
        </w:rPr>
      </w:pPr>
      <w:r w:rsidRPr="001E2783">
        <w:rPr>
          <w:rFonts w:cs="Arial"/>
        </w:rPr>
        <w:t>James has also repr</w:t>
      </w:r>
      <w:r w:rsidR="00BD5E74" w:rsidRPr="001E2783">
        <w:rPr>
          <w:rFonts w:cs="Arial"/>
        </w:rPr>
        <w:t>esented government agencies in p</w:t>
      </w:r>
      <w:r w:rsidRPr="001E2783">
        <w:rPr>
          <w:rFonts w:cs="Arial"/>
        </w:rPr>
        <w:t>arliament, in the media, at conferences and internationally.</w:t>
      </w:r>
    </w:p>
    <w:p w14:paraId="68C36B52" w14:textId="77777777" w:rsidR="004D4755" w:rsidRPr="001E2783" w:rsidRDefault="004D4755" w:rsidP="004D4755">
      <w:pPr>
        <w:rPr>
          <w:rFonts w:cs="Arial"/>
          <w:szCs w:val="20"/>
        </w:rPr>
      </w:pPr>
    </w:p>
    <w:p w14:paraId="2BF90A46" w14:textId="77777777" w:rsidR="00566460" w:rsidRPr="001E2783" w:rsidRDefault="00566460" w:rsidP="00566460">
      <w:pPr>
        <w:pStyle w:val="BodysubheaderH4"/>
        <w:rPr>
          <w:rFonts w:cs="Arial"/>
          <w:szCs w:val="20"/>
        </w:rPr>
      </w:pPr>
      <w:r w:rsidRPr="001E2783">
        <w:rPr>
          <w:rFonts w:cs="Arial"/>
          <w:szCs w:val="20"/>
        </w:rPr>
        <w:t>Part-time Member—Rosemary Sinclair</w:t>
      </w:r>
    </w:p>
    <w:p w14:paraId="0C0BDEF9" w14:textId="77777777" w:rsidR="00566460" w:rsidRPr="001E2783" w:rsidRDefault="00566460" w:rsidP="00566460">
      <w:pPr>
        <w:keepNext/>
        <w:rPr>
          <w:rFonts w:cs="Arial"/>
          <w:i/>
          <w:szCs w:val="20"/>
        </w:rPr>
      </w:pPr>
      <w:r w:rsidRPr="001E2783">
        <w:rPr>
          <w:rFonts w:cs="Arial"/>
          <w:i/>
          <w:szCs w:val="20"/>
        </w:rPr>
        <w:t>Appointed 5 August 2013 for five years</w:t>
      </w:r>
    </w:p>
    <w:p w14:paraId="3E75AB22" w14:textId="77777777" w:rsidR="00566460" w:rsidRPr="001E2783" w:rsidRDefault="00566460" w:rsidP="00566460">
      <w:pPr>
        <w:keepNext/>
        <w:rPr>
          <w:rFonts w:cs="Arial"/>
          <w:i/>
          <w:szCs w:val="20"/>
        </w:rPr>
      </w:pPr>
    </w:p>
    <w:p w14:paraId="4333056D" w14:textId="77777777" w:rsidR="00566460" w:rsidRPr="001E2783" w:rsidRDefault="00566460" w:rsidP="00566460">
      <w:pPr>
        <w:rPr>
          <w:rFonts w:cs="Arial"/>
          <w:szCs w:val="20"/>
        </w:rPr>
      </w:pPr>
      <w:r w:rsidRPr="001E2783">
        <w:rPr>
          <w:rFonts w:cs="Arial"/>
          <w:szCs w:val="20"/>
        </w:rPr>
        <w:t>Rosemary Sinclair is CEO of Immediate Solutions, a boutique consultancy practice focused on strategy development, technology impacts, stakeholder engagement, governance and government relations. She is a Member of the Telecommunications Universal Service Management Agency and recent past Chair of the Regional Telecommunications Inquiry Review Committee.</w:t>
      </w:r>
    </w:p>
    <w:p w14:paraId="17640AC8" w14:textId="77777777" w:rsidR="00566460" w:rsidRPr="001E2783" w:rsidRDefault="00566460" w:rsidP="00566460">
      <w:pPr>
        <w:rPr>
          <w:rFonts w:cs="Arial"/>
          <w:szCs w:val="20"/>
        </w:rPr>
      </w:pPr>
    </w:p>
    <w:p w14:paraId="73FE4882" w14:textId="77777777" w:rsidR="00566460" w:rsidRPr="001E2783" w:rsidRDefault="00566460" w:rsidP="00566460">
      <w:pPr>
        <w:rPr>
          <w:rFonts w:cs="Arial"/>
          <w:szCs w:val="20"/>
        </w:rPr>
      </w:pPr>
      <w:r w:rsidRPr="001E2783">
        <w:rPr>
          <w:rFonts w:cs="Arial"/>
          <w:szCs w:val="20"/>
        </w:rPr>
        <w:t>Immediately prior to her ACMA role, Rosemary was Director, External Relations, at the Australian School of Business, University of New South Wales.</w:t>
      </w:r>
    </w:p>
    <w:p w14:paraId="7D30A9B8" w14:textId="77777777" w:rsidR="00566460" w:rsidRPr="001E2783" w:rsidRDefault="00566460" w:rsidP="004D4755">
      <w:pPr>
        <w:rPr>
          <w:rFonts w:cs="Arial"/>
          <w:szCs w:val="20"/>
        </w:rPr>
      </w:pPr>
    </w:p>
    <w:p w14:paraId="4EEBF9D8" w14:textId="77777777" w:rsidR="00CC119D" w:rsidRPr="001E2783" w:rsidRDefault="00CC119D" w:rsidP="00AD5C37">
      <w:pPr>
        <w:pStyle w:val="BodysubheaderH4"/>
        <w:rPr>
          <w:rFonts w:cs="Arial"/>
        </w:rPr>
      </w:pPr>
      <w:r w:rsidRPr="001E2783">
        <w:rPr>
          <w:rFonts w:cs="Arial"/>
        </w:rPr>
        <w:t>Associate Member—Rod Sims</w:t>
      </w:r>
    </w:p>
    <w:p w14:paraId="4DDCB300" w14:textId="77777777" w:rsidR="00CC119D" w:rsidRPr="001E2783" w:rsidRDefault="00CC119D" w:rsidP="00AD5C37">
      <w:pPr>
        <w:keepNext/>
        <w:spacing w:line="240" w:lineRule="auto"/>
        <w:rPr>
          <w:rFonts w:cs="Arial"/>
          <w:i/>
        </w:rPr>
      </w:pPr>
      <w:r w:rsidRPr="001E2783">
        <w:rPr>
          <w:rFonts w:cs="Arial"/>
          <w:i/>
        </w:rPr>
        <w:t xml:space="preserve">Appointed 1 August 2011 for five years </w:t>
      </w:r>
    </w:p>
    <w:p w14:paraId="26CBF78B" w14:textId="77777777" w:rsidR="00CC119D" w:rsidRPr="001E2783" w:rsidRDefault="00CC119D" w:rsidP="00AD5C37">
      <w:pPr>
        <w:keepNext/>
        <w:spacing w:line="240" w:lineRule="auto"/>
        <w:rPr>
          <w:rFonts w:cs="Arial"/>
          <w:i/>
        </w:rPr>
      </w:pPr>
    </w:p>
    <w:p w14:paraId="79E46297" w14:textId="77777777" w:rsidR="00CC119D" w:rsidRPr="001E2783" w:rsidRDefault="00CC119D" w:rsidP="00CC119D">
      <w:pPr>
        <w:spacing w:line="240" w:lineRule="auto"/>
        <w:rPr>
          <w:rFonts w:cs="Arial"/>
        </w:rPr>
      </w:pPr>
      <w:r w:rsidRPr="001E2783">
        <w:rPr>
          <w:rFonts w:cs="Arial"/>
        </w:rPr>
        <w:t xml:space="preserve">Rod Sims was appointed Chairman of the Australian Competition and Consumer Commission (ACCC) in August 2011 for a five-year term. </w:t>
      </w:r>
    </w:p>
    <w:p w14:paraId="49A7258E" w14:textId="77777777" w:rsidR="00CC119D" w:rsidRPr="001E2783" w:rsidRDefault="00CC119D" w:rsidP="00CC119D">
      <w:pPr>
        <w:spacing w:line="240" w:lineRule="auto"/>
        <w:rPr>
          <w:rFonts w:cs="Arial"/>
        </w:rPr>
      </w:pPr>
    </w:p>
    <w:p w14:paraId="2C58853D" w14:textId="77777777" w:rsidR="00CC119D" w:rsidRPr="001E2783" w:rsidRDefault="00CC119D" w:rsidP="00CC119D">
      <w:pPr>
        <w:spacing w:line="240" w:lineRule="auto"/>
        <w:rPr>
          <w:rFonts w:cs="Arial"/>
        </w:rPr>
      </w:pPr>
      <w:r w:rsidRPr="001E2783">
        <w:rPr>
          <w:rFonts w:cs="Arial"/>
        </w:rPr>
        <w:t xml:space="preserve">Mr Sims has extensive business and public sector experience as Chairman of the Independent Pricing and Regulatory Tribunal of New South Wales, Chairman of InfraCo Asia, Commissioner on the National Competition Council, Director of Ingeus Limited, and member of the Research and Policy Council of the Committee for Economic Development of Australia. Mr Sims was also a Director of Port Jackson's Partners Limited where he advised the CEOs and boards of some of Australia's top 50 companies on commercial corporate strategy over many years. </w:t>
      </w:r>
    </w:p>
    <w:p w14:paraId="5AFC4808" w14:textId="77777777" w:rsidR="00B02212" w:rsidRPr="001E2783" w:rsidRDefault="00B02212" w:rsidP="00CC119D">
      <w:pPr>
        <w:spacing w:line="240" w:lineRule="auto"/>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6DAD1C0A" w14:textId="77777777" w:rsidTr="00C902FF">
        <w:trPr>
          <w:trHeight w:val="570"/>
        </w:trPr>
        <w:tc>
          <w:tcPr>
            <w:tcW w:w="9645" w:type="dxa"/>
            <w:tcBorders>
              <w:top w:val="single" w:sz="2" w:space="0" w:color="505050"/>
            </w:tcBorders>
            <w:shd w:val="clear" w:color="auto" w:fill="auto"/>
            <w:vAlign w:val="center"/>
          </w:tcPr>
          <w:p w14:paraId="1B6430B4" w14:textId="77777777" w:rsidR="00CC119D" w:rsidRPr="001E2783" w:rsidRDefault="00CC119D" w:rsidP="000C4D94">
            <w:pPr>
              <w:pStyle w:val="Caption"/>
              <w:keepNext/>
              <w:keepLines/>
              <w:rPr>
                <w:rFonts w:ascii="Arial" w:hAnsi="Arial" w:cs="Arial"/>
                <w:color w:val="auto"/>
              </w:rPr>
            </w:pPr>
            <w:r w:rsidRPr="001E2783">
              <w:rPr>
                <w:rFonts w:ascii="Arial" w:hAnsi="Arial" w:cs="Arial"/>
                <w:color w:val="auto"/>
              </w:rPr>
              <w:t xml:space="preserve">Table </w:t>
            </w:r>
            <w:r w:rsidR="00624C93" w:rsidRPr="001E2783">
              <w:rPr>
                <w:rFonts w:ascii="Arial" w:hAnsi="Arial" w:cs="Arial"/>
                <w:color w:val="auto"/>
              </w:rPr>
              <w:fldChar w:fldCharType="begin"/>
            </w:r>
            <w:r w:rsidRPr="001E2783">
              <w:rPr>
                <w:rFonts w:ascii="Arial" w:hAnsi="Arial" w:cs="Arial"/>
                <w:color w:val="auto"/>
              </w:rPr>
              <w:instrText xml:space="preserve"> SEQ Table \* ARABIC </w:instrText>
            </w:r>
            <w:r w:rsidR="00624C93" w:rsidRPr="001E2783">
              <w:rPr>
                <w:rFonts w:ascii="Arial" w:hAnsi="Arial" w:cs="Arial"/>
                <w:color w:val="auto"/>
              </w:rPr>
              <w:fldChar w:fldCharType="separate"/>
            </w:r>
            <w:r w:rsidR="00DF3D2B">
              <w:rPr>
                <w:rFonts w:ascii="Arial" w:hAnsi="Arial" w:cs="Arial"/>
                <w:noProof/>
                <w:color w:val="auto"/>
              </w:rPr>
              <w:t>1</w:t>
            </w:r>
            <w:r w:rsidR="00624C93" w:rsidRPr="001E2783">
              <w:rPr>
                <w:rFonts w:ascii="Arial" w:hAnsi="Arial" w:cs="Arial"/>
                <w:color w:val="auto"/>
              </w:rPr>
              <w:fldChar w:fldCharType="end"/>
            </w:r>
            <w:r w:rsidRPr="001E2783">
              <w:rPr>
                <w:rFonts w:ascii="Arial" w:hAnsi="Arial" w:cs="Arial"/>
                <w:color w:val="auto"/>
              </w:rPr>
              <w:t>: The Authority membership, 30 June 201</w:t>
            </w:r>
            <w:r w:rsidR="00BD5E74" w:rsidRPr="001E2783">
              <w:rPr>
                <w:rFonts w:ascii="Arial" w:hAnsi="Arial" w:cs="Arial"/>
                <w:color w:val="auto"/>
              </w:rPr>
              <w:t>4</w:t>
            </w:r>
          </w:p>
        </w:tc>
      </w:tr>
      <w:tr w:rsidR="001E2783" w:rsidRPr="001E2783" w14:paraId="4966499A" w14:textId="77777777" w:rsidTr="00C902FF">
        <w:trPr>
          <w:trHeight w:val="3086"/>
        </w:trPr>
        <w:tc>
          <w:tcPr>
            <w:tcW w:w="9645" w:type="dxa"/>
            <w:shd w:val="clear" w:color="auto" w:fill="auto"/>
            <w:tcMar>
              <w:left w:w="28" w:type="dxa"/>
            </w:tcMar>
          </w:tcPr>
          <w:tbl>
            <w:tblPr>
              <w:tblW w:w="9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bottom w:w="85" w:type="dxa"/>
              </w:tblCellMar>
              <w:tblLook w:val="01E0" w:firstRow="1" w:lastRow="1" w:firstColumn="1" w:lastColumn="1" w:noHBand="0" w:noVBand="0"/>
            </w:tblPr>
            <w:tblGrid>
              <w:gridCol w:w="2235"/>
              <w:gridCol w:w="1740"/>
              <w:gridCol w:w="5490"/>
            </w:tblGrid>
            <w:tr w:rsidR="001E2783" w:rsidRPr="001E2783" w14:paraId="51635AC5" w14:textId="77777777" w:rsidTr="001A5F93">
              <w:trPr>
                <w:trHeight w:val="30"/>
              </w:trPr>
              <w:tc>
                <w:tcPr>
                  <w:tcW w:w="2235" w:type="dxa"/>
                  <w:shd w:val="clear" w:color="auto" w:fill="404040" w:themeFill="text1" w:themeFillTint="BF"/>
                  <w:tcMar>
                    <w:top w:w="57" w:type="dxa"/>
                    <w:left w:w="57" w:type="dxa"/>
                    <w:bottom w:w="57" w:type="dxa"/>
                    <w:right w:w="57" w:type="dxa"/>
                  </w:tcMar>
                </w:tcPr>
                <w:p w14:paraId="2519A3BF" w14:textId="77777777" w:rsidR="00CC119D" w:rsidRPr="00E73B1F" w:rsidRDefault="00CC119D" w:rsidP="000C4D94">
                  <w:pPr>
                    <w:pStyle w:val="TableHeading"/>
                    <w:keepNext/>
                    <w:keepLines/>
                    <w:rPr>
                      <w:rFonts w:ascii="Arial" w:hAnsi="Arial" w:cs="Arial"/>
                      <w:color w:val="FFFFFF" w:themeColor="background1"/>
                    </w:rPr>
                  </w:pPr>
                  <w:r w:rsidRPr="00E73B1F">
                    <w:rPr>
                      <w:rFonts w:ascii="Arial" w:hAnsi="Arial" w:cs="Arial"/>
                      <w:color w:val="FFFFFF" w:themeColor="background1"/>
                    </w:rPr>
                    <w:t>Role</w:t>
                  </w:r>
                </w:p>
              </w:tc>
              <w:tc>
                <w:tcPr>
                  <w:tcW w:w="1740" w:type="dxa"/>
                  <w:shd w:val="clear" w:color="auto" w:fill="404040" w:themeFill="text1" w:themeFillTint="BF"/>
                  <w:tcMar>
                    <w:top w:w="57" w:type="dxa"/>
                    <w:left w:w="57" w:type="dxa"/>
                    <w:bottom w:w="57" w:type="dxa"/>
                    <w:right w:w="57" w:type="dxa"/>
                  </w:tcMar>
                </w:tcPr>
                <w:p w14:paraId="63AB9074" w14:textId="77777777" w:rsidR="00CC119D" w:rsidRPr="00E73B1F" w:rsidRDefault="00CC119D" w:rsidP="000C4D94">
                  <w:pPr>
                    <w:pStyle w:val="TableHeading"/>
                    <w:keepNext/>
                    <w:keepLines/>
                    <w:rPr>
                      <w:rFonts w:ascii="Arial" w:hAnsi="Arial" w:cs="Arial"/>
                      <w:color w:val="FFFFFF" w:themeColor="background1"/>
                    </w:rPr>
                  </w:pPr>
                  <w:r w:rsidRPr="00E73B1F">
                    <w:rPr>
                      <w:rFonts w:ascii="Arial" w:hAnsi="Arial" w:cs="Arial"/>
                      <w:color w:val="FFFFFF" w:themeColor="background1"/>
                    </w:rPr>
                    <w:t>Name</w:t>
                  </w:r>
                </w:p>
              </w:tc>
              <w:tc>
                <w:tcPr>
                  <w:tcW w:w="5490" w:type="dxa"/>
                  <w:shd w:val="clear" w:color="auto" w:fill="404040" w:themeFill="text1" w:themeFillTint="BF"/>
                  <w:tcMar>
                    <w:top w:w="57" w:type="dxa"/>
                    <w:left w:w="57" w:type="dxa"/>
                    <w:bottom w:w="57" w:type="dxa"/>
                    <w:right w:w="57" w:type="dxa"/>
                  </w:tcMar>
                </w:tcPr>
                <w:p w14:paraId="47D1A993" w14:textId="77777777" w:rsidR="00CC119D" w:rsidRPr="00E73B1F" w:rsidRDefault="00CC119D" w:rsidP="000C4D94">
                  <w:pPr>
                    <w:pStyle w:val="TableHeading"/>
                    <w:keepNext/>
                    <w:keepLines/>
                    <w:rPr>
                      <w:rFonts w:ascii="Arial" w:hAnsi="Arial" w:cs="Arial"/>
                      <w:color w:val="FFFFFF" w:themeColor="background1"/>
                    </w:rPr>
                  </w:pPr>
                  <w:r w:rsidRPr="00E73B1F">
                    <w:rPr>
                      <w:rFonts w:ascii="Arial" w:hAnsi="Arial" w:cs="Arial"/>
                      <w:color w:val="FFFFFF" w:themeColor="background1"/>
                    </w:rPr>
                    <w:t>Appointment date</w:t>
                  </w:r>
                </w:p>
              </w:tc>
            </w:tr>
            <w:tr w:rsidR="001E2783" w:rsidRPr="001E2783" w14:paraId="6D4F3ED2" w14:textId="77777777" w:rsidTr="001A5F93">
              <w:tc>
                <w:tcPr>
                  <w:tcW w:w="2235" w:type="dxa"/>
                  <w:tcMar>
                    <w:top w:w="57" w:type="dxa"/>
                    <w:left w:w="57" w:type="dxa"/>
                    <w:bottom w:w="57" w:type="dxa"/>
                    <w:right w:w="57" w:type="dxa"/>
                  </w:tcMar>
                </w:tcPr>
                <w:p w14:paraId="6B9E26C2" w14:textId="77777777" w:rsidR="00CC119D" w:rsidRPr="001E2783" w:rsidRDefault="00CC119D" w:rsidP="000C4D94">
                  <w:pPr>
                    <w:pStyle w:val="TableBody"/>
                    <w:keepNext/>
                    <w:keepLines/>
                    <w:rPr>
                      <w:rFonts w:cs="Arial"/>
                    </w:rPr>
                  </w:pPr>
                  <w:r w:rsidRPr="001E2783">
                    <w:rPr>
                      <w:rFonts w:cs="Arial"/>
                    </w:rPr>
                    <w:t>Chairman and Chief Executive Officer</w:t>
                  </w:r>
                </w:p>
              </w:tc>
              <w:tc>
                <w:tcPr>
                  <w:tcW w:w="1740" w:type="dxa"/>
                  <w:tcMar>
                    <w:top w:w="57" w:type="dxa"/>
                    <w:left w:w="57" w:type="dxa"/>
                    <w:bottom w:w="57" w:type="dxa"/>
                    <w:right w:w="57" w:type="dxa"/>
                  </w:tcMar>
                </w:tcPr>
                <w:p w14:paraId="2D41CF99" w14:textId="77777777" w:rsidR="00CC119D" w:rsidRPr="001E2783" w:rsidRDefault="00CC119D" w:rsidP="000C4D94">
                  <w:pPr>
                    <w:pStyle w:val="TableBody"/>
                    <w:keepNext/>
                    <w:keepLines/>
                    <w:rPr>
                      <w:rFonts w:cs="Arial"/>
                    </w:rPr>
                  </w:pPr>
                  <w:r w:rsidRPr="001E2783">
                    <w:rPr>
                      <w:rFonts w:cs="Arial"/>
                    </w:rPr>
                    <w:t>Chris Chapman</w:t>
                  </w:r>
                </w:p>
              </w:tc>
              <w:tc>
                <w:tcPr>
                  <w:tcW w:w="5490" w:type="dxa"/>
                  <w:tcMar>
                    <w:top w:w="57" w:type="dxa"/>
                    <w:left w:w="57" w:type="dxa"/>
                    <w:bottom w:w="57" w:type="dxa"/>
                    <w:right w:w="57" w:type="dxa"/>
                  </w:tcMar>
                </w:tcPr>
                <w:p w14:paraId="50C5E271" w14:textId="77777777" w:rsidR="00CC119D" w:rsidRPr="001E2783" w:rsidRDefault="00CC119D" w:rsidP="000C4D94">
                  <w:pPr>
                    <w:pStyle w:val="TableBody"/>
                    <w:keepNext/>
                    <w:keepLines/>
                    <w:rPr>
                      <w:rFonts w:cs="Arial"/>
                    </w:rPr>
                  </w:pPr>
                  <w:r w:rsidRPr="001E2783">
                    <w:rPr>
                      <w:rFonts w:cs="Arial"/>
                    </w:rPr>
                    <w:t>27 February 2006 for five years</w:t>
                  </w:r>
                </w:p>
                <w:p w14:paraId="528CFC4A" w14:textId="77777777" w:rsidR="00CC119D" w:rsidRPr="001E2783" w:rsidRDefault="00CC119D" w:rsidP="000C4D94">
                  <w:pPr>
                    <w:pStyle w:val="TableBody"/>
                    <w:keepNext/>
                    <w:keepLines/>
                    <w:rPr>
                      <w:rFonts w:cs="Arial"/>
                    </w:rPr>
                  </w:pPr>
                  <w:r w:rsidRPr="001E2783">
                    <w:rPr>
                      <w:rFonts w:cs="Arial"/>
                    </w:rPr>
                    <w:t xml:space="preserve">Reappointed 14 October 2010 for five years </w:t>
                  </w:r>
                </w:p>
                <w:p w14:paraId="05B78AAA" w14:textId="77777777" w:rsidR="00C74C8D" w:rsidRPr="001E2783" w:rsidRDefault="00C74C8D" w:rsidP="000C4D94">
                  <w:pPr>
                    <w:keepNext/>
                    <w:keepLines/>
                    <w:rPr>
                      <w:rFonts w:cs="Arial"/>
                    </w:rPr>
                  </w:pPr>
                  <w:r w:rsidRPr="001E2783">
                    <w:rPr>
                      <w:rFonts w:cs="Arial"/>
                    </w:rPr>
                    <w:t>Reappointed 28 March 2013 until 26 February 2016</w:t>
                  </w:r>
                </w:p>
              </w:tc>
            </w:tr>
            <w:tr w:rsidR="001E2783" w:rsidRPr="001E2783" w14:paraId="2F234EC4" w14:textId="77777777" w:rsidTr="001A5F93">
              <w:tc>
                <w:tcPr>
                  <w:tcW w:w="2235" w:type="dxa"/>
                  <w:tcMar>
                    <w:top w:w="57" w:type="dxa"/>
                    <w:left w:w="57" w:type="dxa"/>
                    <w:bottom w:w="57" w:type="dxa"/>
                    <w:right w:w="57" w:type="dxa"/>
                  </w:tcMar>
                </w:tcPr>
                <w:p w14:paraId="1429FECB" w14:textId="77777777" w:rsidR="00CC119D" w:rsidRPr="001E2783" w:rsidRDefault="00CC119D" w:rsidP="000C4D94">
                  <w:pPr>
                    <w:pStyle w:val="TableBody"/>
                    <w:keepNext/>
                    <w:keepLines/>
                    <w:rPr>
                      <w:rFonts w:cs="Arial"/>
                    </w:rPr>
                  </w:pPr>
                  <w:r w:rsidRPr="001E2783">
                    <w:rPr>
                      <w:rFonts w:cs="Arial"/>
                    </w:rPr>
                    <w:t>Deputy Chair</w:t>
                  </w:r>
                </w:p>
              </w:tc>
              <w:tc>
                <w:tcPr>
                  <w:tcW w:w="1740" w:type="dxa"/>
                  <w:tcMar>
                    <w:top w:w="57" w:type="dxa"/>
                    <w:left w:w="57" w:type="dxa"/>
                    <w:bottom w:w="57" w:type="dxa"/>
                    <w:right w:w="57" w:type="dxa"/>
                  </w:tcMar>
                </w:tcPr>
                <w:p w14:paraId="2A207901" w14:textId="77777777" w:rsidR="00CC119D" w:rsidRPr="001E2783" w:rsidRDefault="00CC119D" w:rsidP="000C4D94">
                  <w:pPr>
                    <w:pStyle w:val="TableBody"/>
                    <w:keepNext/>
                    <w:keepLines/>
                    <w:rPr>
                      <w:rFonts w:cs="Arial"/>
                    </w:rPr>
                  </w:pPr>
                  <w:r w:rsidRPr="001E2783">
                    <w:rPr>
                      <w:rFonts w:cs="Arial"/>
                    </w:rPr>
                    <w:t>Richard Bean</w:t>
                  </w:r>
                </w:p>
              </w:tc>
              <w:tc>
                <w:tcPr>
                  <w:tcW w:w="5490" w:type="dxa"/>
                  <w:tcMar>
                    <w:top w:w="57" w:type="dxa"/>
                    <w:left w:w="57" w:type="dxa"/>
                    <w:bottom w:w="57" w:type="dxa"/>
                    <w:right w:w="57" w:type="dxa"/>
                  </w:tcMar>
                </w:tcPr>
                <w:p w14:paraId="3ACEEB3D" w14:textId="77777777" w:rsidR="00CC119D" w:rsidRPr="001E2783" w:rsidRDefault="00CC119D" w:rsidP="000C4D94">
                  <w:pPr>
                    <w:pStyle w:val="TableBody"/>
                    <w:keepNext/>
                    <w:keepLines/>
                    <w:spacing w:after="80"/>
                    <w:rPr>
                      <w:rFonts w:cs="Arial"/>
                    </w:rPr>
                  </w:pPr>
                  <w:r w:rsidRPr="001E2783">
                    <w:rPr>
                      <w:rFonts w:cs="Arial"/>
                    </w:rPr>
                    <w:t>14 October 2010 for five years</w:t>
                  </w:r>
                </w:p>
              </w:tc>
            </w:tr>
            <w:tr w:rsidR="001E2783" w:rsidRPr="001E2783" w14:paraId="6B0339FD" w14:textId="77777777" w:rsidTr="001A5F93">
              <w:tc>
                <w:tcPr>
                  <w:tcW w:w="2235" w:type="dxa"/>
                  <w:tcMar>
                    <w:top w:w="57" w:type="dxa"/>
                    <w:left w:w="57" w:type="dxa"/>
                    <w:bottom w:w="57" w:type="dxa"/>
                    <w:right w:w="57" w:type="dxa"/>
                  </w:tcMar>
                </w:tcPr>
                <w:p w14:paraId="7891733E" w14:textId="77777777" w:rsidR="00CC119D" w:rsidRPr="001E2783" w:rsidRDefault="00CC119D" w:rsidP="000C4D94">
                  <w:pPr>
                    <w:pStyle w:val="TableBody"/>
                    <w:keepNext/>
                    <w:keepLines/>
                    <w:rPr>
                      <w:rFonts w:cs="Arial"/>
                    </w:rPr>
                  </w:pPr>
                  <w:r w:rsidRPr="001E2783">
                    <w:rPr>
                      <w:rFonts w:cs="Arial"/>
                    </w:rPr>
                    <w:t>Full-time Member</w:t>
                  </w:r>
                </w:p>
              </w:tc>
              <w:tc>
                <w:tcPr>
                  <w:tcW w:w="1740" w:type="dxa"/>
                  <w:tcMar>
                    <w:top w:w="57" w:type="dxa"/>
                    <w:left w:w="57" w:type="dxa"/>
                    <w:bottom w:w="57" w:type="dxa"/>
                    <w:right w:w="57" w:type="dxa"/>
                  </w:tcMar>
                </w:tcPr>
                <w:p w14:paraId="7EFEFAA5" w14:textId="77777777" w:rsidR="00CC119D" w:rsidRPr="001E2783" w:rsidRDefault="00CC119D" w:rsidP="000C4D94">
                  <w:pPr>
                    <w:pStyle w:val="TableBody"/>
                    <w:keepNext/>
                    <w:keepLines/>
                    <w:rPr>
                      <w:rFonts w:cs="Arial"/>
                    </w:rPr>
                  </w:pPr>
                  <w:r w:rsidRPr="001E2783">
                    <w:rPr>
                      <w:rFonts w:cs="Arial"/>
                    </w:rPr>
                    <w:t>Chris Cheah</w:t>
                  </w:r>
                </w:p>
              </w:tc>
              <w:tc>
                <w:tcPr>
                  <w:tcW w:w="5490" w:type="dxa"/>
                  <w:tcMar>
                    <w:top w:w="57" w:type="dxa"/>
                    <w:left w:w="57" w:type="dxa"/>
                    <w:bottom w:w="57" w:type="dxa"/>
                    <w:right w:w="57" w:type="dxa"/>
                  </w:tcMar>
                </w:tcPr>
                <w:p w14:paraId="16E28627" w14:textId="77777777" w:rsidR="00CC119D" w:rsidRPr="001E2783" w:rsidRDefault="00CC119D" w:rsidP="000C4D94">
                  <w:pPr>
                    <w:pStyle w:val="TableBody"/>
                    <w:keepNext/>
                    <w:keepLines/>
                    <w:rPr>
                      <w:rFonts w:cs="Arial"/>
                    </w:rPr>
                  </w:pPr>
                  <w:r w:rsidRPr="001E2783">
                    <w:rPr>
                      <w:rFonts w:cs="Arial"/>
                    </w:rPr>
                    <w:t>1 July 2005 for four years</w:t>
                  </w:r>
                </w:p>
                <w:p w14:paraId="0B41438A" w14:textId="77777777" w:rsidR="00CC119D" w:rsidRPr="001E2783" w:rsidRDefault="00CC119D" w:rsidP="000C4D94">
                  <w:pPr>
                    <w:pStyle w:val="TableBody"/>
                    <w:keepNext/>
                    <w:keepLines/>
                    <w:rPr>
                      <w:rFonts w:cs="Arial"/>
                    </w:rPr>
                  </w:pPr>
                  <w:r w:rsidRPr="001E2783">
                    <w:rPr>
                      <w:rFonts w:cs="Arial"/>
                    </w:rPr>
                    <w:t xml:space="preserve">Reappointed 1 July 2009 for five years </w:t>
                  </w:r>
                </w:p>
                <w:p w14:paraId="61C8AF8A" w14:textId="77777777" w:rsidR="00566460" w:rsidRPr="001E2783" w:rsidRDefault="00566460" w:rsidP="00566460">
                  <w:pPr>
                    <w:pStyle w:val="TableBody"/>
                    <w:keepNext/>
                    <w:keepLines/>
                    <w:rPr>
                      <w:rFonts w:cs="Arial"/>
                    </w:rPr>
                  </w:pPr>
                  <w:r w:rsidRPr="001E2783">
                    <w:rPr>
                      <w:rFonts w:cs="Arial"/>
                    </w:rPr>
                    <w:t>Reappointed 1 July 2014 for one year to 30 June 2015</w:t>
                  </w:r>
                </w:p>
              </w:tc>
            </w:tr>
            <w:tr w:rsidR="001E2783" w:rsidRPr="001E2783" w14:paraId="48F2468D" w14:textId="77777777" w:rsidTr="001A5F93">
              <w:tc>
                <w:tcPr>
                  <w:tcW w:w="2235" w:type="dxa"/>
                  <w:tcMar>
                    <w:top w:w="57" w:type="dxa"/>
                    <w:left w:w="57" w:type="dxa"/>
                    <w:bottom w:w="57" w:type="dxa"/>
                    <w:right w:w="57" w:type="dxa"/>
                  </w:tcMar>
                </w:tcPr>
                <w:p w14:paraId="75D49E96" w14:textId="77777777" w:rsidR="00CC119D" w:rsidRPr="001E2783" w:rsidRDefault="00CC119D" w:rsidP="000C4D94">
                  <w:pPr>
                    <w:pStyle w:val="TableBody"/>
                    <w:keepNext/>
                    <w:keepLines/>
                    <w:rPr>
                      <w:rFonts w:cs="Arial"/>
                    </w:rPr>
                  </w:pPr>
                  <w:r w:rsidRPr="001E2783">
                    <w:rPr>
                      <w:rFonts w:cs="Arial"/>
                    </w:rPr>
                    <w:t>Part-time Member</w:t>
                  </w:r>
                </w:p>
              </w:tc>
              <w:tc>
                <w:tcPr>
                  <w:tcW w:w="1740" w:type="dxa"/>
                  <w:tcMar>
                    <w:top w:w="57" w:type="dxa"/>
                    <w:left w:w="57" w:type="dxa"/>
                    <w:bottom w:w="57" w:type="dxa"/>
                    <w:right w:w="57" w:type="dxa"/>
                  </w:tcMar>
                </w:tcPr>
                <w:p w14:paraId="78D4CE1C" w14:textId="77777777" w:rsidR="00CC119D" w:rsidRPr="001E2783" w:rsidRDefault="00CC119D" w:rsidP="000C4D94">
                  <w:pPr>
                    <w:pStyle w:val="TableBody"/>
                    <w:keepNext/>
                    <w:keepLines/>
                    <w:rPr>
                      <w:rFonts w:cs="Arial"/>
                    </w:rPr>
                  </w:pPr>
                  <w:r w:rsidRPr="001E2783">
                    <w:rPr>
                      <w:rFonts w:cs="Arial"/>
                    </w:rPr>
                    <w:t>Reg Coutts</w:t>
                  </w:r>
                </w:p>
              </w:tc>
              <w:tc>
                <w:tcPr>
                  <w:tcW w:w="5490" w:type="dxa"/>
                  <w:tcMar>
                    <w:top w:w="57" w:type="dxa"/>
                    <w:left w:w="57" w:type="dxa"/>
                    <w:bottom w:w="57" w:type="dxa"/>
                    <w:right w:w="57" w:type="dxa"/>
                  </w:tcMar>
                </w:tcPr>
                <w:p w14:paraId="16F3FE7D" w14:textId="77777777" w:rsidR="00CC119D" w:rsidRPr="001E2783" w:rsidRDefault="00CC119D" w:rsidP="000C4D94">
                  <w:pPr>
                    <w:pStyle w:val="TableBody"/>
                    <w:keepNext/>
                    <w:keepLines/>
                    <w:rPr>
                      <w:rFonts w:cs="Arial"/>
                    </w:rPr>
                  </w:pPr>
                  <w:r w:rsidRPr="001E2783">
                    <w:rPr>
                      <w:rFonts w:cs="Arial"/>
                    </w:rPr>
                    <w:t>14 October 2010 for five years</w:t>
                  </w:r>
                </w:p>
                <w:p w14:paraId="2976ADB2" w14:textId="77777777" w:rsidR="00566460" w:rsidRPr="001E2783" w:rsidRDefault="00566460" w:rsidP="00566460">
                  <w:pPr>
                    <w:pStyle w:val="TableBody"/>
                    <w:keepNext/>
                    <w:keepLines/>
                    <w:rPr>
                      <w:rFonts w:cs="Arial"/>
                    </w:rPr>
                  </w:pPr>
                  <w:r w:rsidRPr="001E2783">
                    <w:rPr>
                      <w:rFonts w:cs="Arial"/>
                    </w:rPr>
                    <w:t>Resigned with effect from 20 May 2014</w:t>
                  </w:r>
                </w:p>
              </w:tc>
            </w:tr>
            <w:tr w:rsidR="001E2783" w:rsidRPr="001E2783" w14:paraId="5C090823" w14:textId="77777777" w:rsidTr="001A5F93">
              <w:tc>
                <w:tcPr>
                  <w:tcW w:w="2235" w:type="dxa"/>
                  <w:tcMar>
                    <w:top w:w="57" w:type="dxa"/>
                    <w:left w:w="57" w:type="dxa"/>
                    <w:bottom w:w="57" w:type="dxa"/>
                    <w:right w:w="57" w:type="dxa"/>
                  </w:tcMar>
                </w:tcPr>
                <w:p w14:paraId="1189749B" w14:textId="77777777" w:rsidR="00CC119D" w:rsidRPr="001E2783" w:rsidRDefault="00CC119D" w:rsidP="000C4D94">
                  <w:pPr>
                    <w:pStyle w:val="TableBody"/>
                    <w:keepNext/>
                    <w:keepLines/>
                    <w:rPr>
                      <w:rFonts w:cs="Arial"/>
                    </w:rPr>
                  </w:pPr>
                  <w:r w:rsidRPr="001E2783">
                    <w:rPr>
                      <w:rFonts w:cs="Arial"/>
                    </w:rPr>
                    <w:t>Part-time Member</w:t>
                  </w:r>
                </w:p>
              </w:tc>
              <w:tc>
                <w:tcPr>
                  <w:tcW w:w="1740" w:type="dxa"/>
                  <w:tcMar>
                    <w:top w:w="57" w:type="dxa"/>
                    <w:left w:w="57" w:type="dxa"/>
                    <w:bottom w:w="57" w:type="dxa"/>
                    <w:right w:w="57" w:type="dxa"/>
                  </w:tcMar>
                </w:tcPr>
                <w:p w14:paraId="614B0891" w14:textId="77777777" w:rsidR="00CC119D" w:rsidRPr="001E2783" w:rsidRDefault="00CC119D" w:rsidP="000C4D94">
                  <w:pPr>
                    <w:pStyle w:val="TableBody"/>
                    <w:keepNext/>
                    <w:keepLines/>
                    <w:rPr>
                      <w:rFonts w:cs="Arial"/>
                    </w:rPr>
                  </w:pPr>
                  <w:r w:rsidRPr="001E2783">
                    <w:rPr>
                      <w:rFonts w:cs="Arial"/>
                    </w:rPr>
                    <w:t>Louise Benjamin</w:t>
                  </w:r>
                </w:p>
              </w:tc>
              <w:tc>
                <w:tcPr>
                  <w:tcW w:w="5490" w:type="dxa"/>
                  <w:tcMar>
                    <w:top w:w="57" w:type="dxa"/>
                    <w:left w:w="57" w:type="dxa"/>
                    <w:bottom w:w="57" w:type="dxa"/>
                    <w:right w:w="57" w:type="dxa"/>
                  </w:tcMar>
                </w:tcPr>
                <w:p w14:paraId="16948D9A" w14:textId="77777777" w:rsidR="00CC119D" w:rsidRPr="001E2783" w:rsidRDefault="00CC119D" w:rsidP="000C4D94">
                  <w:pPr>
                    <w:pStyle w:val="TableBody"/>
                    <w:keepNext/>
                    <w:keepLines/>
                    <w:rPr>
                      <w:rFonts w:cs="Arial"/>
                    </w:rPr>
                  </w:pPr>
                  <w:r w:rsidRPr="001E2783">
                    <w:rPr>
                      <w:rFonts w:cs="Arial"/>
                    </w:rPr>
                    <w:t>14 October 2010 for five years</w:t>
                  </w:r>
                </w:p>
              </w:tc>
            </w:tr>
            <w:tr w:rsidR="001E2783" w:rsidRPr="001E2783" w14:paraId="710FC1E0" w14:textId="77777777" w:rsidTr="001A5F93">
              <w:tc>
                <w:tcPr>
                  <w:tcW w:w="2235" w:type="dxa"/>
                  <w:tcMar>
                    <w:top w:w="57" w:type="dxa"/>
                    <w:left w:w="57" w:type="dxa"/>
                    <w:bottom w:w="57" w:type="dxa"/>
                    <w:right w:w="57" w:type="dxa"/>
                  </w:tcMar>
                </w:tcPr>
                <w:p w14:paraId="618A1395" w14:textId="77777777" w:rsidR="00566460" w:rsidRPr="001E2783" w:rsidRDefault="00566460" w:rsidP="00566460">
                  <w:pPr>
                    <w:pStyle w:val="TableBody"/>
                    <w:keepNext/>
                    <w:keepLines/>
                    <w:spacing w:line="240" w:lineRule="atLeast"/>
                    <w:rPr>
                      <w:rFonts w:cs="Arial"/>
                    </w:rPr>
                  </w:pPr>
                  <w:r w:rsidRPr="001E2783">
                    <w:rPr>
                      <w:rFonts w:cs="Arial"/>
                    </w:rPr>
                    <w:t>Part-time Member</w:t>
                  </w:r>
                </w:p>
              </w:tc>
              <w:tc>
                <w:tcPr>
                  <w:tcW w:w="1740" w:type="dxa"/>
                  <w:tcMar>
                    <w:top w:w="57" w:type="dxa"/>
                    <w:left w:w="57" w:type="dxa"/>
                    <w:bottom w:w="57" w:type="dxa"/>
                    <w:right w:w="57" w:type="dxa"/>
                  </w:tcMar>
                </w:tcPr>
                <w:p w14:paraId="091E386A" w14:textId="77777777" w:rsidR="00566460" w:rsidRPr="001E2783" w:rsidRDefault="00566460" w:rsidP="00566460">
                  <w:pPr>
                    <w:pStyle w:val="TableBody"/>
                    <w:keepNext/>
                    <w:keepLines/>
                    <w:spacing w:line="240" w:lineRule="atLeast"/>
                    <w:rPr>
                      <w:rFonts w:cs="Arial"/>
                    </w:rPr>
                  </w:pPr>
                  <w:r w:rsidRPr="001E2783">
                    <w:rPr>
                      <w:rFonts w:cs="Arial"/>
                    </w:rPr>
                    <w:t>Anita Jacoby</w:t>
                  </w:r>
                </w:p>
              </w:tc>
              <w:tc>
                <w:tcPr>
                  <w:tcW w:w="5490" w:type="dxa"/>
                  <w:tcMar>
                    <w:top w:w="57" w:type="dxa"/>
                    <w:left w:w="57" w:type="dxa"/>
                    <w:bottom w:w="57" w:type="dxa"/>
                    <w:right w:w="57" w:type="dxa"/>
                  </w:tcMar>
                </w:tcPr>
                <w:p w14:paraId="6766E298" w14:textId="77777777" w:rsidR="00566460" w:rsidRPr="001E2783" w:rsidRDefault="00566460" w:rsidP="00566460">
                  <w:pPr>
                    <w:pStyle w:val="TableBody"/>
                    <w:keepNext/>
                    <w:keepLines/>
                    <w:spacing w:line="240" w:lineRule="atLeast"/>
                    <w:rPr>
                      <w:rFonts w:cs="Arial"/>
                    </w:rPr>
                  </w:pPr>
                  <w:r w:rsidRPr="001E2783">
                    <w:rPr>
                      <w:rFonts w:cs="Arial"/>
                    </w:rPr>
                    <w:t xml:space="preserve">5 August </w:t>
                  </w:r>
                  <w:r w:rsidR="00D8667B" w:rsidRPr="001E2783">
                    <w:rPr>
                      <w:rFonts w:cs="Arial"/>
                    </w:rPr>
                    <w:t xml:space="preserve">2013 </w:t>
                  </w:r>
                  <w:r w:rsidRPr="001E2783">
                    <w:rPr>
                      <w:rFonts w:cs="Arial"/>
                    </w:rPr>
                    <w:t>for five years</w:t>
                  </w:r>
                </w:p>
              </w:tc>
            </w:tr>
            <w:tr w:rsidR="001E2783" w:rsidRPr="001E2783" w14:paraId="5D420769" w14:textId="77777777" w:rsidTr="001A5F93">
              <w:tc>
                <w:tcPr>
                  <w:tcW w:w="2235" w:type="dxa"/>
                  <w:tcMar>
                    <w:top w:w="57" w:type="dxa"/>
                    <w:left w:w="57" w:type="dxa"/>
                    <w:bottom w:w="57" w:type="dxa"/>
                    <w:right w:w="57" w:type="dxa"/>
                  </w:tcMar>
                </w:tcPr>
                <w:p w14:paraId="048D945B" w14:textId="77777777" w:rsidR="00566460" w:rsidRPr="001E2783" w:rsidRDefault="00566460" w:rsidP="00566460">
                  <w:pPr>
                    <w:pStyle w:val="TableBody"/>
                    <w:keepNext/>
                    <w:keepLines/>
                    <w:spacing w:line="240" w:lineRule="atLeast"/>
                    <w:rPr>
                      <w:rFonts w:cs="Arial"/>
                    </w:rPr>
                  </w:pPr>
                  <w:r w:rsidRPr="001E2783">
                    <w:rPr>
                      <w:rFonts w:cs="Arial"/>
                    </w:rPr>
                    <w:t>Part-time Member</w:t>
                  </w:r>
                </w:p>
              </w:tc>
              <w:tc>
                <w:tcPr>
                  <w:tcW w:w="1740" w:type="dxa"/>
                  <w:tcMar>
                    <w:top w:w="57" w:type="dxa"/>
                    <w:left w:w="57" w:type="dxa"/>
                    <w:bottom w:w="57" w:type="dxa"/>
                    <w:right w:w="57" w:type="dxa"/>
                  </w:tcMar>
                </w:tcPr>
                <w:p w14:paraId="468122C7" w14:textId="77777777" w:rsidR="00566460" w:rsidRPr="001E2783" w:rsidRDefault="00566460" w:rsidP="00566460">
                  <w:pPr>
                    <w:pStyle w:val="TableBody"/>
                    <w:keepNext/>
                    <w:keepLines/>
                    <w:spacing w:line="240" w:lineRule="atLeast"/>
                    <w:rPr>
                      <w:rFonts w:cs="Arial"/>
                    </w:rPr>
                  </w:pPr>
                  <w:r w:rsidRPr="001E2783">
                    <w:rPr>
                      <w:rFonts w:cs="Arial"/>
                    </w:rPr>
                    <w:t>James Cameron</w:t>
                  </w:r>
                </w:p>
              </w:tc>
              <w:tc>
                <w:tcPr>
                  <w:tcW w:w="5490" w:type="dxa"/>
                  <w:tcMar>
                    <w:top w:w="57" w:type="dxa"/>
                    <w:left w:w="57" w:type="dxa"/>
                    <w:bottom w:w="57" w:type="dxa"/>
                    <w:right w:w="57" w:type="dxa"/>
                  </w:tcMar>
                </w:tcPr>
                <w:p w14:paraId="631FFD37" w14:textId="77777777" w:rsidR="00566460" w:rsidRPr="001E2783" w:rsidRDefault="00566460" w:rsidP="00566460">
                  <w:pPr>
                    <w:pStyle w:val="TableBody"/>
                    <w:keepNext/>
                    <w:keepLines/>
                    <w:spacing w:line="240" w:lineRule="atLeast"/>
                    <w:rPr>
                      <w:rFonts w:cs="Arial"/>
                    </w:rPr>
                  </w:pPr>
                  <w:r w:rsidRPr="001E2783">
                    <w:rPr>
                      <w:rFonts w:cs="Arial"/>
                    </w:rPr>
                    <w:t xml:space="preserve">5 August </w:t>
                  </w:r>
                  <w:r w:rsidR="00D8667B" w:rsidRPr="001E2783">
                    <w:rPr>
                      <w:rFonts w:cs="Arial"/>
                    </w:rPr>
                    <w:t xml:space="preserve">2013 </w:t>
                  </w:r>
                  <w:r w:rsidRPr="001E2783">
                    <w:rPr>
                      <w:rFonts w:cs="Arial"/>
                    </w:rPr>
                    <w:t>for five years</w:t>
                  </w:r>
                </w:p>
              </w:tc>
            </w:tr>
            <w:tr w:rsidR="001E2783" w:rsidRPr="001E2783" w14:paraId="4C15809D" w14:textId="77777777" w:rsidTr="001A5F93">
              <w:tc>
                <w:tcPr>
                  <w:tcW w:w="2235" w:type="dxa"/>
                  <w:tcMar>
                    <w:top w:w="57" w:type="dxa"/>
                    <w:left w:w="57" w:type="dxa"/>
                    <w:bottom w:w="57" w:type="dxa"/>
                    <w:right w:w="57" w:type="dxa"/>
                  </w:tcMar>
                </w:tcPr>
                <w:p w14:paraId="49233E94" w14:textId="77777777" w:rsidR="00566460" w:rsidRPr="001E2783" w:rsidRDefault="00566460" w:rsidP="00566460">
                  <w:pPr>
                    <w:pStyle w:val="TableBody"/>
                    <w:keepNext/>
                    <w:keepLines/>
                    <w:spacing w:line="240" w:lineRule="atLeast"/>
                    <w:rPr>
                      <w:rFonts w:cs="Arial"/>
                    </w:rPr>
                  </w:pPr>
                  <w:r w:rsidRPr="001E2783">
                    <w:rPr>
                      <w:rFonts w:cs="Arial"/>
                    </w:rPr>
                    <w:t>Part-time Member</w:t>
                  </w:r>
                </w:p>
              </w:tc>
              <w:tc>
                <w:tcPr>
                  <w:tcW w:w="1740" w:type="dxa"/>
                  <w:tcMar>
                    <w:top w:w="57" w:type="dxa"/>
                    <w:left w:w="57" w:type="dxa"/>
                    <w:bottom w:w="57" w:type="dxa"/>
                    <w:right w:w="57" w:type="dxa"/>
                  </w:tcMar>
                </w:tcPr>
                <w:p w14:paraId="6824A222" w14:textId="77777777" w:rsidR="00566460" w:rsidRPr="001E2783" w:rsidRDefault="00566460" w:rsidP="00566460">
                  <w:pPr>
                    <w:pStyle w:val="TableBody"/>
                    <w:keepNext/>
                    <w:keepLines/>
                    <w:spacing w:line="240" w:lineRule="atLeast"/>
                    <w:rPr>
                      <w:rFonts w:cs="Arial"/>
                    </w:rPr>
                  </w:pPr>
                  <w:r w:rsidRPr="001E2783">
                    <w:rPr>
                      <w:rFonts w:cs="Arial"/>
                    </w:rPr>
                    <w:t>Rosemary Sinclair</w:t>
                  </w:r>
                </w:p>
              </w:tc>
              <w:tc>
                <w:tcPr>
                  <w:tcW w:w="5490" w:type="dxa"/>
                  <w:tcMar>
                    <w:top w:w="57" w:type="dxa"/>
                    <w:left w:w="57" w:type="dxa"/>
                    <w:bottom w:w="57" w:type="dxa"/>
                    <w:right w:w="57" w:type="dxa"/>
                  </w:tcMar>
                </w:tcPr>
                <w:p w14:paraId="606CE18B" w14:textId="77777777" w:rsidR="00566460" w:rsidRPr="001E2783" w:rsidRDefault="00566460" w:rsidP="00566460">
                  <w:pPr>
                    <w:pStyle w:val="TableBody"/>
                    <w:keepNext/>
                    <w:keepLines/>
                    <w:spacing w:line="240" w:lineRule="atLeast"/>
                    <w:rPr>
                      <w:rFonts w:cs="Arial"/>
                    </w:rPr>
                  </w:pPr>
                  <w:r w:rsidRPr="001E2783">
                    <w:rPr>
                      <w:rFonts w:cs="Arial"/>
                    </w:rPr>
                    <w:t xml:space="preserve">5 August </w:t>
                  </w:r>
                  <w:r w:rsidR="00D8667B" w:rsidRPr="001E2783">
                    <w:rPr>
                      <w:rFonts w:cs="Arial"/>
                    </w:rPr>
                    <w:t xml:space="preserve">2013 </w:t>
                  </w:r>
                  <w:r w:rsidRPr="001E2783">
                    <w:rPr>
                      <w:rFonts w:cs="Arial"/>
                    </w:rPr>
                    <w:t>for five years</w:t>
                  </w:r>
                </w:p>
              </w:tc>
            </w:tr>
            <w:tr w:rsidR="001E2783" w:rsidRPr="001E2783" w14:paraId="5C3256A6" w14:textId="77777777" w:rsidTr="001A5F93">
              <w:tc>
                <w:tcPr>
                  <w:tcW w:w="2235" w:type="dxa"/>
                  <w:tcMar>
                    <w:top w:w="57" w:type="dxa"/>
                    <w:left w:w="57" w:type="dxa"/>
                    <w:bottom w:w="57" w:type="dxa"/>
                    <w:right w:w="57" w:type="dxa"/>
                  </w:tcMar>
                </w:tcPr>
                <w:p w14:paraId="6FF3EF2F" w14:textId="77777777" w:rsidR="00CC119D" w:rsidRPr="001E2783" w:rsidRDefault="00CC119D" w:rsidP="000C4D94">
                  <w:pPr>
                    <w:pStyle w:val="TableBody"/>
                    <w:keepNext/>
                    <w:keepLines/>
                    <w:rPr>
                      <w:rFonts w:cs="Arial"/>
                    </w:rPr>
                  </w:pPr>
                  <w:r w:rsidRPr="001E2783">
                    <w:rPr>
                      <w:rFonts w:cs="Arial"/>
                    </w:rPr>
                    <w:t>Associate Member</w:t>
                  </w:r>
                </w:p>
              </w:tc>
              <w:tc>
                <w:tcPr>
                  <w:tcW w:w="1740" w:type="dxa"/>
                  <w:tcMar>
                    <w:top w:w="57" w:type="dxa"/>
                    <w:left w:w="57" w:type="dxa"/>
                    <w:bottom w:w="57" w:type="dxa"/>
                    <w:right w:w="57" w:type="dxa"/>
                  </w:tcMar>
                </w:tcPr>
                <w:p w14:paraId="7C2BCA58" w14:textId="77777777" w:rsidR="00CC119D" w:rsidRPr="001E2783" w:rsidRDefault="00CC119D" w:rsidP="000C4D94">
                  <w:pPr>
                    <w:pStyle w:val="TableBody"/>
                    <w:keepNext/>
                    <w:keepLines/>
                    <w:rPr>
                      <w:rFonts w:cs="Arial"/>
                    </w:rPr>
                  </w:pPr>
                  <w:r w:rsidRPr="001E2783">
                    <w:rPr>
                      <w:rFonts w:cs="Arial"/>
                    </w:rPr>
                    <w:t>Rod Sims</w:t>
                  </w:r>
                </w:p>
              </w:tc>
              <w:tc>
                <w:tcPr>
                  <w:tcW w:w="5490" w:type="dxa"/>
                  <w:tcMar>
                    <w:top w:w="57" w:type="dxa"/>
                    <w:left w:w="57" w:type="dxa"/>
                    <w:bottom w:w="57" w:type="dxa"/>
                    <w:right w:w="57" w:type="dxa"/>
                  </w:tcMar>
                </w:tcPr>
                <w:p w14:paraId="36FE7DF1" w14:textId="77777777" w:rsidR="00CC119D" w:rsidRPr="001E2783" w:rsidRDefault="00CC119D" w:rsidP="000C4D94">
                  <w:pPr>
                    <w:pStyle w:val="TableBody"/>
                    <w:keepNext/>
                    <w:keepLines/>
                    <w:rPr>
                      <w:rFonts w:cs="Arial"/>
                    </w:rPr>
                  </w:pPr>
                  <w:r w:rsidRPr="001E2783">
                    <w:rPr>
                      <w:rFonts w:cs="Arial"/>
                    </w:rPr>
                    <w:t>1 August 2011 for five years</w:t>
                  </w:r>
                </w:p>
              </w:tc>
            </w:tr>
          </w:tbl>
          <w:p w14:paraId="1232FED1" w14:textId="77777777" w:rsidR="00CC119D" w:rsidRPr="001E2783" w:rsidRDefault="00CC119D" w:rsidP="000C4D94">
            <w:pPr>
              <w:keepNext/>
              <w:keepLines/>
              <w:rPr>
                <w:rFonts w:cs="Arial"/>
              </w:rPr>
            </w:pPr>
          </w:p>
        </w:tc>
      </w:tr>
      <w:tr w:rsidR="00CC119D" w:rsidRPr="001E2783" w14:paraId="6B0FDE5E" w14:textId="77777777" w:rsidTr="00C902FF">
        <w:trPr>
          <w:trHeight w:val="291"/>
        </w:trPr>
        <w:tc>
          <w:tcPr>
            <w:tcW w:w="9645" w:type="dxa"/>
            <w:tcBorders>
              <w:bottom w:val="single" w:sz="2" w:space="0" w:color="505050"/>
            </w:tcBorders>
            <w:shd w:val="clear" w:color="auto" w:fill="auto"/>
          </w:tcPr>
          <w:p w14:paraId="74228331" w14:textId="77777777" w:rsidR="00CC119D" w:rsidRPr="001E2783" w:rsidRDefault="00CC119D" w:rsidP="000C4D94">
            <w:pPr>
              <w:keepNext/>
              <w:keepLines/>
              <w:rPr>
                <w:rFonts w:cs="Arial"/>
              </w:rPr>
            </w:pPr>
          </w:p>
        </w:tc>
      </w:tr>
      <w:bookmarkEnd w:id="37"/>
    </w:tbl>
    <w:p w14:paraId="5AD2A7D2" w14:textId="77777777" w:rsidR="00CC119D" w:rsidRPr="001E2783" w:rsidRDefault="00CC119D" w:rsidP="00CC119D">
      <w:pPr>
        <w:rPr>
          <w:rFonts w:cs="Arial"/>
        </w:rPr>
      </w:pPr>
    </w:p>
    <w:p w14:paraId="5E7CFDE0" w14:textId="77777777" w:rsidR="00CC119D" w:rsidRPr="001E2783" w:rsidRDefault="00CC119D" w:rsidP="00CC119D">
      <w:pPr>
        <w:pStyle w:val="Heading3"/>
      </w:pPr>
      <w:bookmarkStart w:id="40" w:name="_Toc337727521"/>
      <w:bookmarkStart w:id="41" w:name="_Toc400018489"/>
      <w:r w:rsidRPr="001E2783">
        <w:t>Corporate structure</w:t>
      </w:r>
      <w:bookmarkEnd w:id="40"/>
      <w:bookmarkEnd w:id="41"/>
    </w:p>
    <w:p w14:paraId="7C246B5D" w14:textId="77777777" w:rsidR="00457206" w:rsidRPr="001E2783" w:rsidRDefault="00457206" w:rsidP="00457206">
      <w:pPr>
        <w:rPr>
          <w:rFonts w:cs="Arial"/>
        </w:rPr>
      </w:pPr>
      <w:r w:rsidRPr="001E2783">
        <w:rPr>
          <w:rFonts w:cs="Arial"/>
        </w:rPr>
        <w:t xml:space="preserve">The ACMA’s day-to-day activities are managed by an executive team comprising the Chairman, the Deputy Chair, the full-time Member, five general managers and 13 executive managers. </w:t>
      </w:r>
    </w:p>
    <w:p w14:paraId="1C37CBB1" w14:textId="77777777" w:rsidR="00457206" w:rsidRPr="001E2783" w:rsidRDefault="00457206" w:rsidP="00457206">
      <w:pPr>
        <w:rPr>
          <w:rFonts w:cs="Arial"/>
        </w:rPr>
      </w:pPr>
    </w:p>
    <w:p w14:paraId="238E1759" w14:textId="77777777" w:rsidR="00457206" w:rsidRPr="001E2783" w:rsidRDefault="00457206" w:rsidP="00457206">
      <w:pPr>
        <w:rPr>
          <w:rFonts w:cs="Arial"/>
        </w:rPr>
      </w:pPr>
      <w:r w:rsidRPr="001E2783">
        <w:rPr>
          <w:rFonts w:cs="Arial"/>
        </w:rPr>
        <w:t>The ACMA’s corporate structure at 30 June 2014 is set out in Figure 1.</w:t>
      </w:r>
    </w:p>
    <w:p w14:paraId="1D228734" w14:textId="77777777" w:rsidR="00457206" w:rsidRPr="001E2783" w:rsidRDefault="00457206" w:rsidP="00457206">
      <w:pPr>
        <w:rPr>
          <w:rFonts w:cs="Arial"/>
        </w:rPr>
      </w:pPr>
    </w:p>
    <w:p w14:paraId="50A98F83" w14:textId="404C5A72" w:rsidR="00457206" w:rsidRPr="001E2783" w:rsidRDefault="00457206" w:rsidP="00457206">
      <w:pPr>
        <w:rPr>
          <w:rFonts w:cs="Arial"/>
        </w:rPr>
      </w:pPr>
      <w:r w:rsidRPr="001E2783">
        <w:rPr>
          <w:rFonts w:cs="Arial"/>
        </w:rPr>
        <w:t xml:space="preserve">At 30 June 2014, the ACMA employed </w:t>
      </w:r>
      <w:r w:rsidR="00606170" w:rsidRPr="001E2783">
        <w:rPr>
          <w:rFonts w:cs="Arial"/>
        </w:rPr>
        <w:t>517</w:t>
      </w:r>
      <w:r w:rsidRPr="001E2783">
        <w:rPr>
          <w:rFonts w:cs="Arial"/>
        </w:rPr>
        <w:t xml:space="preserve"> staff under the </w:t>
      </w:r>
      <w:r w:rsidRPr="001E2783">
        <w:rPr>
          <w:rFonts w:cs="Arial"/>
          <w:i/>
        </w:rPr>
        <w:t>Public Service Act 1999</w:t>
      </w:r>
      <w:r w:rsidRPr="001E2783">
        <w:rPr>
          <w:rFonts w:cs="Arial"/>
        </w:rPr>
        <w:t>, most of whom are located in the ACMA’s offices in Canberra, Melbourne and Sydney. The ACMA also has field offices i</w:t>
      </w:r>
      <w:r w:rsidR="00573B6A" w:rsidRPr="001E2783">
        <w:rPr>
          <w:rFonts w:cs="Arial"/>
        </w:rPr>
        <w:t xml:space="preserve">n Brisbane, </w:t>
      </w:r>
      <w:r w:rsidRPr="001E2783">
        <w:rPr>
          <w:rFonts w:cs="Arial"/>
        </w:rPr>
        <w:t>Hobart</w:t>
      </w:r>
      <w:r w:rsidR="00573B6A" w:rsidRPr="001E2783">
        <w:rPr>
          <w:rFonts w:cs="Arial"/>
        </w:rPr>
        <w:t xml:space="preserve"> and Parramatta</w:t>
      </w:r>
      <w:r w:rsidRPr="001E2783">
        <w:rPr>
          <w:rFonts w:cs="Arial"/>
        </w:rPr>
        <w:t>.</w:t>
      </w:r>
    </w:p>
    <w:p w14:paraId="13F36238" w14:textId="77777777" w:rsidR="00457206" w:rsidRPr="001E2783" w:rsidRDefault="00457206" w:rsidP="00457206">
      <w:pPr>
        <w:rPr>
          <w:rFonts w:cs="Arial"/>
        </w:rPr>
      </w:pPr>
    </w:p>
    <w:p w14:paraId="7B0BB8B6" w14:textId="77777777" w:rsidR="00457206" w:rsidRPr="001E2783" w:rsidRDefault="00457206" w:rsidP="00457206">
      <w:pPr>
        <w:rPr>
          <w:rFonts w:cs="Arial"/>
        </w:rPr>
      </w:pPr>
      <w:r w:rsidRPr="001E2783">
        <w:rPr>
          <w:rFonts w:cs="Arial"/>
        </w:rPr>
        <w:t>The ACMA will continue to provide service within acceptable time frames to all areas of Australia by utilising field staff from the ACMA’s Melbourne, Sydney, Canberra, Brisbane and Hobart offices. Contact details for offices are provided in Appendix 1. Detailed information about the ACMA’s staff is provided in Appendix 3.</w:t>
      </w:r>
    </w:p>
    <w:p w14:paraId="0BBA0B11" w14:textId="77777777" w:rsidR="00CC119D" w:rsidRPr="001E2783" w:rsidRDefault="00CC119D" w:rsidP="00CC119D">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77DC5718" w14:textId="77777777" w:rsidTr="000C4D94">
        <w:trPr>
          <w:trHeight w:val="419"/>
        </w:trPr>
        <w:tc>
          <w:tcPr>
            <w:tcW w:w="9645" w:type="dxa"/>
            <w:tcBorders>
              <w:top w:val="single" w:sz="2" w:space="0" w:color="505050"/>
            </w:tcBorders>
            <w:shd w:val="clear" w:color="auto" w:fill="auto"/>
            <w:vAlign w:val="center"/>
          </w:tcPr>
          <w:p w14:paraId="7B4742D8" w14:textId="77777777" w:rsidR="00CC119D" w:rsidRPr="001E2783" w:rsidRDefault="00CC119D" w:rsidP="00CF27AC">
            <w:pPr>
              <w:pStyle w:val="Caption"/>
              <w:keepNext/>
              <w:rPr>
                <w:rFonts w:ascii="Arial" w:hAnsi="Arial" w:cs="Arial"/>
                <w:color w:val="auto"/>
              </w:rPr>
            </w:pPr>
            <w:r w:rsidRPr="00D3485F">
              <w:rPr>
                <w:rFonts w:ascii="Arial" w:hAnsi="Arial" w:cs="Arial"/>
              </w:rPr>
              <w:t xml:space="preserve">Figure </w:t>
            </w:r>
            <w:r w:rsidR="00624C93" w:rsidRPr="00D3485F">
              <w:rPr>
                <w:rFonts w:ascii="Arial" w:hAnsi="Arial" w:cs="Arial"/>
              </w:rPr>
              <w:fldChar w:fldCharType="begin"/>
            </w:r>
            <w:r w:rsidRPr="00D3485F">
              <w:rPr>
                <w:rFonts w:ascii="Arial" w:hAnsi="Arial" w:cs="Arial"/>
              </w:rPr>
              <w:instrText xml:space="preserve"> SEQ Figure \* ARABIC </w:instrText>
            </w:r>
            <w:r w:rsidR="00624C93" w:rsidRPr="00D3485F">
              <w:rPr>
                <w:rFonts w:ascii="Arial" w:hAnsi="Arial" w:cs="Arial"/>
              </w:rPr>
              <w:fldChar w:fldCharType="separate"/>
            </w:r>
            <w:r w:rsidR="00DF3D2B">
              <w:rPr>
                <w:rFonts w:ascii="Arial" w:hAnsi="Arial" w:cs="Arial"/>
                <w:noProof/>
              </w:rPr>
              <w:t>1</w:t>
            </w:r>
            <w:r w:rsidR="00624C93" w:rsidRPr="00D3485F">
              <w:rPr>
                <w:rFonts w:ascii="Arial" w:hAnsi="Arial" w:cs="Arial"/>
              </w:rPr>
              <w:fldChar w:fldCharType="end"/>
            </w:r>
            <w:r w:rsidRPr="00D3485F">
              <w:rPr>
                <w:rFonts w:ascii="Arial" w:hAnsi="Arial" w:cs="Arial"/>
              </w:rPr>
              <w:t>: Corporate structure of the ACMA as at 30 June 201</w:t>
            </w:r>
            <w:r w:rsidR="004718B0" w:rsidRPr="00D3485F">
              <w:rPr>
                <w:rFonts w:ascii="Arial" w:hAnsi="Arial" w:cs="Arial"/>
              </w:rPr>
              <w:t>4</w:t>
            </w:r>
          </w:p>
        </w:tc>
      </w:tr>
      <w:tr w:rsidR="001E2783" w:rsidRPr="001E2783" w14:paraId="17E03809" w14:textId="77777777" w:rsidTr="00C902FF">
        <w:trPr>
          <w:trHeight w:val="3086"/>
        </w:trPr>
        <w:tc>
          <w:tcPr>
            <w:tcW w:w="9645" w:type="dxa"/>
            <w:shd w:val="clear" w:color="auto" w:fill="auto"/>
            <w:tcMar>
              <w:left w:w="28" w:type="dxa"/>
            </w:tcMar>
          </w:tcPr>
          <w:p w14:paraId="5B063305" w14:textId="55970833" w:rsidR="004718B0" w:rsidRPr="001E2783" w:rsidRDefault="00F36FD2" w:rsidP="00C902FF">
            <w:pPr>
              <w:rPr>
                <w:rFonts w:cs="Arial"/>
              </w:rPr>
            </w:pPr>
            <w:r w:rsidRPr="001E2783">
              <w:rPr>
                <w:rFonts w:cs="Arial"/>
                <w:noProof/>
              </w:rPr>
              <w:drawing>
                <wp:inline distT="0" distB="0" distL="0" distR="0" wp14:anchorId="76F4EE13" wp14:editId="1626C742">
                  <wp:extent cx="4942718" cy="8281072"/>
                  <wp:effectExtent l="0" t="0" r="0" b="5715"/>
                  <wp:docPr id="4" name="Picture 4" descr="Chairman &amp; Chief Executive Officer: Chris Chapman&#10;Deputy Chair: Richard Bean&#10;Full-time Member: Chris Cheah&#10;&#10;Communications Infrastructure Division&#10;General Manager: Allan Major (Acting)&#10;Branches in this division are:&#10;Spectrum Planning &amp; Engineering Branch&#10;Executive Manager: Chris Hose&#10;Radiocommunications Policy Branch&#10;Executive Manager: David Brumfield&#10;Operations &amp; Services Branch&#10;Executive Manager: Mark Loney&#10;Convergent Regulation Branch&#10;Executive Manager: Bridget Smith (Acting)&#10;&#10;Content Consumer &amp; Citizen Division&#10;General Manager: Jennifer McNeill&#10;Branches in this division are:&#10;Citizen &amp; Community Branch&#10;Executive Manager: Jonquil Ritter&#10;Unsolicited Communications Branch&#10;Executive Manager: Vince Humphries&#10;Content &amp; Consumer Branch&#10;Executive Manager: Kathleen Silleri&#10;&#10;Digital Economy Division&#10;General Manager: Giles Tanner&#10;Branches in this division are:&#10;NBN &amp; Industry Monitoring Branch&#10;Executive Manager: Paul White&#10;Regulatory Futures Branch&#10;Executive Manager: Linda Caruso&#10;Security, Safety &amp; e-Education Branch&#10;Executive Manager: Andree Wright&#10;&#10;Corporate Services &amp; Coordination Division&#10;General Manager: Maureen Cahill&#10;Branches/teams in this division are:&#10;Finance &amp; Facilities Branch&#10;Executive Manager: Anne Fleischer&#10;Information Services Branch&#10;Executive Manager: Carsten Larsen&#10;People &amp; Performance Branch&#10;Executive Manager: Louise Harkness&#10;media.comms &#10;Team leader: Donald Robertson&#10;&#10;Legal Services Division&#10;General Manager: Brendan Byrne" title="Corporate structure of the ACMA as at 30 June 2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id:image013.png@01CFCDB0.BAAB9960"/>
                          <pic:cNvPicPr>
                            <a:picLocks noChangeAspect="1" noChangeArrowheads="1"/>
                          </pic:cNvPicPr>
                        </pic:nvPicPr>
                        <pic:blipFill rotWithShape="1">
                          <a:blip r:embed="rId33" r:link="rId34" cstate="print">
                            <a:extLst>
                              <a:ext uri="{28A0092B-C50C-407E-A947-70E740481C1C}">
                                <a14:useLocalDpi xmlns:a14="http://schemas.microsoft.com/office/drawing/2010/main" val="0"/>
                              </a:ext>
                            </a:extLst>
                          </a:blip>
                          <a:srcRect l="9233" t="1474" r="2691" b="2029"/>
                          <a:stretch/>
                        </pic:blipFill>
                        <pic:spPr bwMode="auto">
                          <a:xfrm>
                            <a:off x="0" y="0"/>
                            <a:ext cx="4967425" cy="8322466"/>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1E2783" w:rsidRPr="001E2783" w14:paraId="181346AB" w14:textId="77777777" w:rsidTr="000C4D94">
        <w:trPr>
          <w:trHeight w:val="80"/>
        </w:trPr>
        <w:tc>
          <w:tcPr>
            <w:tcW w:w="9645" w:type="dxa"/>
            <w:tcBorders>
              <w:bottom w:val="single" w:sz="2" w:space="0" w:color="505050"/>
            </w:tcBorders>
            <w:shd w:val="clear" w:color="auto" w:fill="auto"/>
          </w:tcPr>
          <w:p w14:paraId="0FD2765B" w14:textId="45EB4280" w:rsidR="00CC119D" w:rsidRPr="001E2783" w:rsidRDefault="00CC119D" w:rsidP="00C902FF">
            <w:pPr>
              <w:rPr>
                <w:rFonts w:cs="Arial"/>
              </w:rPr>
            </w:pPr>
          </w:p>
        </w:tc>
      </w:tr>
    </w:tbl>
    <w:p w14:paraId="368ADE25" w14:textId="77777777" w:rsidR="00CC119D" w:rsidRPr="001E2783" w:rsidRDefault="00CC119D" w:rsidP="00CC119D">
      <w:pPr>
        <w:pStyle w:val="Heading2"/>
        <w:pageBreakBefore/>
      </w:pPr>
      <w:bookmarkStart w:id="42" w:name="_Toc337727522"/>
      <w:bookmarkStart w:id="43" w:name="_Toc400018490"/>
      <w:r w:rsidRPr="001E2783">
        <w:t>Revenue collection</w:t>
      </w:r>
      <w:bookmarkEnd w:id="42"/>
      <w:bookmarkEnd w:id="43"/>
    </w:p>
    <w:p w14:paraId="08790AFC" w14:textId="77777777" w:rsidR="00915641" w:rsidRPr="001E2783" w:rsidRDefault="00915641" w:rsidP="00915641">
      <w:pPr>
        <w:rPr>
          <w:rFonts w:cs="Arial"/>
        </w:rPr>
      </w:pPr>
      <w:r w:rsidRPr="001E2783">
        <w:rPr>
          <w:rFonts w:cs="Arial"/>
        </w:rPr>
        <w:t xml:space="preserve">The ACMA collects revenue on behalf of the Australian Government through broadcasting, radiocommunications and telecommunications taxes, charges and licence fees. It also administers non-regular revenue from spectrum auctions. </w:t>
      </w:r>
    </w:p>
    <w:p w14:paraId="26A71B59" w14:textId="77777777" w:rsidR="00915641" w:rsidRPr="001E2783" w:rsidRDefault="00915641" w:rsidP="00915641">
      <w:pPr>
        <w:rPr>
          <w:rFonts w:cs="Arial"/>
        </w:rPr>
      </w:pPr>
    </w:p>
    <w:p w14:paraId="73D0E8D7" w14:textId="748E5A67" w:rsidR="004718B0" w:rsidRPr="001E2783" w:rsidRDefault="00925051" w:rsidP="004718B0">
      <w:pPr>
        <w:rPr>
          <w:rFonts w:cs="Arial"/>
        </w:rPr>
      </w:pPr>
      <w:r w:rsidRPr="001E2783">
        <w:rPr>
          <w:rFonts w:cs="Arial"/>
        </w:rPr>
        <w:t>In 2013–14, the ACMA administered $656.9</w:t>
      </w:r>
      <w:r w:rsidR="007B2506" w:rsidRPr="001E2783">
        <w:rPr>
          <w:rFonts w:cs="Arial"/>
        </w:rPr>
        <w:t>83</w:t>
      </w:r>
      <w:r w:rsidRPr="001E2783">
        <w:rPr>
          <w:rFonts w:cs="Arial"/>
        </w:rPr>
        <w:t> million of revenue (2012–13: $2,022.046 million) and nil expenses (2012–13: $145.512 million) due to the Telecommunications Universal Service Management Agency (TUSMA) taking over the expenses for the telecommunications industry levy (TIL) (see Figure 2).</w:t>
      </w:r>
    </w:p>
    <w:p w14:paraId="30817332" w14:textId="77777777" w:rsidR="00A72EE6" w:rsidRPr="001E2783" w:rsidRDefault="00A72EE6" w:rsidP="004718B0">
      <w:pPr>
        <w:rPr>
          <w:rFonts w:cs="Arial"/>
        </w:rPr>
      </w:pPr>
    </w:p>
    <w:p w14:paraId="712D1F00" w14:textId="1D1BAC35" w:rsidR="00A72EE6" w:rsidRPr="001E2783" w:rsidRDefault="0008429B" w:rsidP="004718B0">
      <w:pPr>
        <w:rPr>
          <w:rFonts w:cs="Arial"/>
        </w:rPr>
      </w:pPr>
      <w:r w:rsidRPr="001E2783">
        <w:rPr>
          <w:rFonts w:cs="Arial"/>
        </w:rPr>
        <w:t xml:space="preserve">See also </w:t>
      </w:r>
      <w:r w:rsidRPr="001E2783">
        <w:rPr>
          <w:rFonts w:cs="Arial"/>
          <w:i/>
        </w:rPr>
        <w:t>Revenue and fees</w:t>
      </w:r>
      <w:r w:rsidRPr="001E2783">
        <w:rPr>
          <w:rFonts w:cs="Arial"/>
        </w:rPr>
        <w:t xml:space="preserve"> </w:t>
      </w:r>
      <w:r w:rsidRPr="00642061">
        <w:rPr>
          <w:rFonts w:cs="Arial"/>
        </w:rPr>
        <w:t>and</w:t>
      </w:r>
      <w:r w:rsidRPr="001E2783">
        <w:rPr>
          <w:rFonts w:cs="Arial"/>
        </w:rPr>
        <w:t xml:space="preserve"> </w:t>
      </w:r>
      <w:r w:rsidRPr="001E2783">
        <w:rPr>
          <w:rFonts w:cs="Arial"/>
          <w:i/>
        </w:rPr>
        <w:t>Financial management</w:t>
      </w:r>
      <w:r w:rsidRPr="001E2783">
        <w:rPr>
          <w:rFonts w:cs="Arial"/>
        </w:rPr>
        <w:t>.</w:t>
      </w:r>
    </w:p>
    <w:p w14:paraId="6B0B3B08" w14:textId="77777777" w:rsidR="00CC119D" w:rsidRPr="001E2783" w:rsidRDefault="00CC119D" w:rsidP="00CC119D">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66205E6F" w14:textId="77777777" w:rsidTr="003C4144">
        <w:trPr>
          <w:trHeight w:val="570"/>
        </w:trPr>
        <w:tc>
          <w:tcPr>
            <w:tcW w:w="9645" w:type="dxa"/>
            <w:tcBorders>
              <w:top w:val="single" w:sz="2" w:space="0" w:color="505050"/>
            </w:tcBorders>
            <w:shd w:val="clear" w:color="auto" w:fill="auto"/>
            <w:vAlign w:val="center"/>
          </w:tcPr>
          <w:p w14:paraId="28E4A1D0" w14:textId="77777777" w:rsidR="00CC119D" w:rsidRPr="001E2783" w:rsidRDefault="00CC119D" w:rsidP="00B02212">
            <w:pPr>
              <w:pStyle w:val="Caption"/>
              <w:keepNext/>
              <w:rPr>
                <w:rFonts w:ascii="Arial" w:hAnsi="Arial" w:cs="Arial"/>
                <w:color w:val="auto"/>
              </w:rPr>
            </w:pPr>
            <w:r w:rsidRPr="00D3485F">
              <w:rPr>
                <w:rFonts w:ascii="Arial" w:hAnsi="Arial" w:cs="Arial"/>
              </w:rPr>
              <w:t xml:space="preserve">Figure </w:t>
            </w:r>
            <w:r w:rsidR="00624C93" w:rsidRPr="00D3485F">
              <w:rPr>
                <w:rFonts w:ascii="Arial" w:hAnsi="Arial" w:cs="Arial"/>
              </w:rPr>
              <w:fldChar w:fldCharType="begin"/>
            </w:r>
            <w:r w:rsidRPr="00D3485F">
              <w:rPr>
                <w:rFonts w:ascii="Arial" w:hAnsi="Arial" w:cs="Arial"/>
              </w:rPr>
              <w:instrText xml:space="preserve"> SEQ Figure \* ARABIC </w:instrText>
            </w:r>
            <w:r w:rsidR="00624C93" w:rsidRPr="00D3485F">
              <w:rPr>
                <w:rFonts w:ascii="Arial" w:hAnsi="Arial" w:cs="Arial"/>
              </w:rPr>
              <w:fldChar w:fldCharType="separate"/>
            </w:r>
            <w:r w:rsidR="00DF3D2B">
              <w:rPr>
                <w:rFonts w:ascii="Arial" w:hAnsi="Arial" w:cs="Arial"/>
                <w:noProof/>
              </w:rPr>
              <w:t>2</w:t>
            </w:r>
            <w:r w:rsidR="00624C93" w:rsidRPr="00D3485F">
              <w:rPr>
                <w:rFonts w:ascii="Arial" w:hAnsi="Arial" w:cs="Arial"/>
              </w:rPr>
              <w:fldChar w:fldCharType="end"/>
            </w:r>
            <w:r w:rsidRPr="00D3485F">
              <w:rPr>
                <w:rFonts w:ascii="Arial" w:hAnsi="Arial" w:cs="Arial"/>
              </w:rPr>
              <w:t>: Revenues and expenses administered on behalf of government</w:t>
            </w:r>
          </w:p>
        </w:tc>
      </w:tr>
      <w:tr w:rsidR="001E2783" w:rsidRPr="001E2783" w14:paraId="0F736F3B" w14:textId="77777777" w:rsidTr="003C4144">
        <w:tblPrEx>
          <w:tblCellMar>
            <w:left w:w="108" w:type="dxa"/>
            <w:right w:w="108" w:type="dxa"/>
          </w:tblCellMar>
        </w:tblPrEx>
        <w:trPr>
          <w:trHeight w:val="5015"/>
        </w:trPr>
        <w:tc>
          <w:tcPr>
            <w:tcW w:w="9645" w:type="dxa"/>
            <w:shd w:val="clear" w:color="auto" w:fill="auto"/>
          </w:tcPr>
          <w:p w14:paraId="02D3B92C" w14:textId="0525250E" w:rsidR="00CC119D" w:rsidRPr="001E2783" w:rsidRDefault="00BC1843" w:rsidP="00C902FF">
            <w:pPr>
              <w:rPr>
                <w:rFonts w:cs="Arial"/>
              </w:rPr>
            </w:pPr>
            <w:r>
              <w:rPr>
                <w:noProof/>
              </w:rPr>
              <w:drawing>
                <wp:inline distT="0" distB="0" distL="0" distR="0" wp14:anchorId="7D0B2FB2" wp14:editId="40671E96">
                  <wp:extent cx="5987415" cy="3034485"/>
                  <wp:effectExtent l="0" t="0" r="0" b="0"/>
                  <wp:docPr id="10" name="Picture 10" descr="2013–14: Total administered revenue: $657.57 million.&#10;2012–13: Total administered revenue: $2,020.20 million; total administered expenses: $145.50 million.&#10;2011–12: Total administered revenue: $646.40 million; total administered expenses: $161.40 million.&#10;" title="Figure 2: Revenues and expenses administered on behalf of govern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5"/>
                          <a:srcRect t="2415" b="3219"/>
                          <a:stretch/>
                        </pic:blipFill>
                        <pic:spPr bwMode="auto">
                          <a:xfrm>
                            <a:off x="0" y="0"/>
                            <a:ext cx="5987415" cy="3034485"/>
                          </a:xfrm>
                          <a:prstGeom prst="rect">
                            <a:avLst/>
                          </a:prstGeom>
                          <a:ln>
                            <a:noFill/>
                          </a:ln>
                          <a:extLst>
                            <a:ext uri="{53640926-AAD7-44D8-BBD7-CCE9431645EC}">
                              <a14:shadowObscured xmlns:a14="http://schemas.microsoft.com/office/drawing/2010/main"/>
                            </a:ext>
                          </a:extLst>
                        </pic:spPr>
                      </pic:pic>
                    </a:graphicData>
                  </a:graphic>
                </wp:inline>
              </w:drawing>
            </w:r>
          </w:p>
        </w:tc>
      </w:tr>
      <w:tr w:rsidR="00CC119D" w:rsidRPr="001E2783" w14:paraId="50227BAC" w14:textId="77777777" w:rsidTr="000C4D94">
        <w:trPr>
          <w:trHeight w:val="80"/>
        </w:trPr>
        <w:tc>
          <w:tcPr>
            <w:tcW w:w="9645" w:type="dxa"/>
            <w:tcBorders>
              <w:bottom w:val="single" w:sz="2" w:space="0" w:color="505050"/>
            </w:tcBorders>
            <w:shd w:val="clear" w:color="auto" w:fill="auto"/>
          </w:tcPr>
          <w:p w14:paraId="5A7EDE49" w14:textId="77777777" w:rsidR="00CC119D" w:rsidRPr="001E2783" w:rsidRDefault="00CC119D" w:rsidP="00C902FF">
            <w:pPr>
              <w:rPr>
                <w:rFonts w:cs="Arial"/>
              </w:rPr>
            </w:pPr>
          </w:p>
        </w:tc>
      </w:tr>
    </w:tbl>
    <w:p w14:paraId="55EF5791" w14:textId="77777777" w:rsidR="001561B5" w:rsidRPr="001E2783" w:rsidRDefault="001561B5" w:rsidP="001561B5">
      <w:pPr>
        <w:rPr>
          <w:rFonts w:cs="Arial"/>
        </w:rPr>
      </w:pPr>
      <w:bookmarkStart w:id="44" w:name="_Toc337727527"/>
    </w:p>
    <w:p w14:paraId="59FF2699" w14:textId="77777777" w:rsidR="005F7E8E" w:rsidRPr="001E2783" w:rsidRDefault="005F7E8E" w:rsidP="001561B5">
      <w:pPr>
        <w:rPr>
          <w:rFonts w:cs="Arial"/>
        </w:rPr>
      </w:pPr>
    </w:p>
    <w:p w14:paraId="2C789C04" w14:textId="77777777" w:rsidR="00CC119D" w:rsidRPr="004E4548" w:rsidRDefault="00CC119D" w:rsidP="004E4548">
      <w:pPr>
        <w:pStyle w:val="Heading1"/>
      </w:pPr>
      <w:bookmarkStart w:id="45" w:name="_Toc400018491"/>
      <w:r w:rsidRPr="004E4548">
        <w:t>Chapter 2: Regulatory environment</w:t>
      </w:r>
      <w:bookmarkEnd w:id="44"/>
      <w:bookmarkEnd w:id="45"/>
    </w:p>
    <w:p w14:paraId="2A061687" w14:textId="77777777" w:rsidR="00CC119D" w:rsidRPr="001E2783" w:rsidRDefault="00CC119D" w:rsidP="00CC119D">
      <w:pPr>
        <w:spacing w:after="120"/>
        <w:rPr>
          <w:rFonts w:cs="Arial"/>
        </w:rPr>
      </w:pPr>
      <w:r w:rsidRPr="001E2783">
        <w:rPr>
          <w:rFonts w:cs="Arial"/>
        </w:rPr>
        <w:t>Chapter 2 reflects the ACMA’s key result areas related to:</w:t>
      </w:r>
    </w:p>
    <w:p w14:paraId="469B010D" w14:textId="77777777" w:rsidR="00CC119D" w:rsidRPr="001E2783" w:rsidRDefault="00CC119D" w:rsidP="00CC119D">
      <w:pPr>
        <w:pStyle w:val="ListBullet"/>
        <w:ind w:left="284"/>
        <w:rPr>
          <w:rFonts w:cs="Arial"/>
        </w:rPr>
      </w:pPr>
      <w:r w:rsidRPr="001E2783">
        <w:rPr>
          <w:rFonts w:cs="Arial"/>
          <w:b/>
        </w:rPr>
        <w:t>Outcome 1:</w:t>
      </w:r>
      <w:r w:rsidRPr="001E2783">
        <w:rPr>
          <w:rFonts w:cs="Arial"/>
        </w:rPr>
        <w:t xml:space="preserve"> A communications and media environment that balances the needs of the industry and the Australian community through regulation, education and advice</w:t>
      </w:r>
    </w:p>
    <w:p w14:paraId="4384188E" w14:textId="77777777" w:rsidR="00CC119D" w:rsidRPr="001E2783" w:rsidRDefault="00CC119D" w:rsidP="002B5DD1">
      <w:pPr>
        <w:pStyle w:val="ListBullet"/>
        <w:spacing w:after="240"/>
        <w:ind w:left="284"/>
        <w:rPr>
          <w:rFonts w:cs="Arial"/>
        </w:rPr>
      </w:pPr>
      <w:r w:rsidRPr="001E2783">
        <w:rPr>
          <w:rFonts w:cs="Arial"/>
          <w:b/>
        </w:rPr>
        <w:t>Program 1.1:</w:t>
      </w:r>
      <w:r w:rsidRPr="001E2783">
        <w:rPr>
          <w:rFonts w:cs="Arial"/>
        </w:rPr>
        <w:t xml:space="preserve"> Communications regulation, planning and licensing. </w:t>
      </w:r>
    </w:p>
    <w:p w14:paraId="3DAEC857" w14:textId="77777777" w:rsidR="00CC119D" w:rsidRPr="001E2783" w:rsidRDefault="00CC119D" w:rsidP="00CC119D">
      <w:pPr>
        <w:rPr>
          <w:rFonts w:cs="Arial"/>
        </w:rPr>
      </w:pPr>
      <w:r w:rsidRPr="001E2783">
        <w:rPr>
          <w:rFonts w:cs="Arial"/>
        </w:rPr>
        <w:t>The ACMA’s responses to the performance information listed below for Program 1.1 can be found throughout the chapter.</w:t>
      </w:r>
    </w:p>
    <w:p w14:paraId="754899C1" w14:textId="77777777" w:rsidR="00CC119D" w:rsidRPr="001E2783" w:rsidRDefault="00CC119D" w:rsidP="00CC119D">
      <w:pPr>
        <w:rPr>
          <w:rFonts w:cs="Arial"/>
        </w:rPr>
      </w:pPr>
    </w:p>
    <w:p w14:paraId="7D3F6D62" w14:textId="77777777" w:rsidR="00CC119D" w:rsidRPr="001E2783" w:rsidRDefault="00311E08" w:rsidP="00CC119D">
      <w:pPr>
        <w:rPr>
          <w:rFonts w:cs="Arial"/>
        </w:rPr>
      </w:pPr>
      <w:r>
        <w:rPr>
          <w:rFonts w:cs="Arial"/>
        </w:rPr>
        <w:pict w14:anchorId="114D1B40">
          <v:rect id="_x0000_i1025" style="width:0;height:1.5pt" o:hralign="center" o:hrstd="t" o:hr="t" fillcolor="#a0a0a0" stroked="f"/>
        </w:pict>
      </w:r>
    </w:p>
    <w:p w14:paraId="05543494" w14:textId="77777777" w:rsidR="00CC119D" w:rsidRPr="001E2783" w:rsidRDefault="00CC119D" w:rsidP="00CC119D">
      <w:pPr>
        <w:spacing w:after="120"/>
        <w:rPr>
          <w:rFonts w:cs="Arial"/>
          <w:b/>
        </w:rPr>
      </w:pPr>
      <w:r w:rsidRPr="001E2783">
        <w:rPr>
          <w:rFonts w:cs="Arial"/>
          <w:b/>
        </w:rPr>
        <w:t>Program 1.1: Communications regulation, planning and licensing</w:t>
      </w:r>
    </w:p>
    <w:p w14:paraId="0A71BB81" w14:textId="77777777" w:rsidR="00CC119D" w:rsidRPr="001E2783" w:rsidRDefault="00CC119D" w:rsidP="00CC119D">
      <w:pPr>
        <w:spacing w:after="120"/>
        <w:rPr>
          <w:rFonts w:cs="Arial"/>
          <w:b/>
        </w:rPr>
      </w:pPr>
      <w:r w:rsidRPr="001E2783">
        <w:rPr>
          <w:rFonts w:cs="Arial"/>
          <w:b/>
        </w:rPr>
        <w:t>Program 1.1 Key performance indicators</w:t>
      </w:r>
    </w:p>
    <w:p w14:paraId="4832FE02" w14:textId="77777777" w:rsidR="00CC119D" w:rsidRPr="001E2783" w:rsidRDefault="00CC119D" w:rsidP="00CC119D">
      <w:pPr>
        <w:pStyle w:val="ListBullet"/>
        <w:ind w:left="284"/>
        <w:rPr>
          <w:rFonts w:cs="Arial"/>
        </w:rPr>
      </w:pPr>
      <w:r w:rsidRPr="001E2783">
        <w:rPr>
          <w:rFonts w:cs="Arial"/>
        </w:rPr>
        <w:t>An effective regulatory environment that supports a dynamic communications sector and enables industry to meet the communications needs of the community.</w:t>
      </w:r>
    </w:p>
    <w:p w14:paraId="67476AC4" w14:textId="77777777" w:rsidR="00CC119D" w:rsidRPr="001E2783" w:rsidRDefault="00CC119D" w:rsidP="00CC119D">
      <w:pPr>
        <w:pStyle w:val="ListBullet"/>
        <w:ind w:left="284"/>
        <w:rPr>
          <w:rFonts w:cs="Arial"/>
        </w:rPr>
      </w:pPr>
      <w:r w:rsidRPr="001E2783">
        <w:rPr>
          <w:rFonts w:cs="Arial"/>
        </w:rPr>
        <w:t xml:space="preserve">Efficient planning, allocation and use of national resources such </w:t>
      </w:r>
      <w:r w:rsidR="000737D2" w:rsidRPr="001E2783">
        <w:rPr>
          <w:rFonts w:cs="Arial"/>
        </w:rPr>
        <w:t xml:space="preserve">as radiofrequency spectrum, </w:t>
      </w:r>
      <w:r w:rsidRPr="001E2783">
        <w:rPr>
          <w:rFonts w:cs="Arial"/>
        </w:rPr>
        <w:t>communications numbering and infrastructure.</w:t>
      </w:r>
    </w:p>
    <w:p w14:paraId="39D7CB74" w14:textId="77777777" w:rsidR="00CC119D" w:rsidRPr="001E2783" w:rsidRDefault="00CC119D" w:rsidP="00CC119D">
      <w:pPr>
        <w:pStyle w:val="ListBullet"/>
        <w:ind w:left="284"/>
        <w:rPr>
          <w:rFonts w:cs="Arial"/>
        </w:rPr>
      </w:pPr>
      <w:r w:rsidRPr="001E2783">
        <w:rPr>
          <w:rFonts w:cs="Arial"/>
        </w:rPr>
        <w:t>Industry contributes to, and complies with, the regulatory framework without being subject to undue financial or administrative burden.</w:t>
      </w:r>
    </w:p>
    <w:p w14:paraId="26A4EA59" w14:textId="77777777" w:rsidR="00CC119D" w:rsidRPr="001E2783" w:rsidRDefault="00CC119D" w:rsidP="00CC119D">
      <w:pPr>
        <w:pStyle w:val="ListBullet"/>
        <w:ind w:left="284"/>
        <w:rPr>
          <w:rFonts w:cs="Arial"/>
        </w:rPr>
      </w:pPr>
      <w:r w:rsidRPr="001E2783">
        <w:rPr>
          <w:rFonts w:cs="Arial"/>
        </w:rPr>
        <w:t>Levels of industry compliance with the regulatory framework as assessed by breaches and recurrent breaches of legislation, codes, standards and licence conditions.</w:t>
      </w:r>
    </w:p>
    <w:p w14:paraId="1FBF1D91" w14:textId="77777777" w:rsidR="00CC119D" w:rsidRPr="001E2783" w:rsidRDefault="00CC119D" w:rsidP="00CC119D">
      <w:pPr>
        <w:pStyle w:val="ListBullet"/>
        <w:spacing w:after="240"/>
        <w:ind w:left="284"/>
        <w:rPr>
          <w:rFonts w:cs="Arial"/>
        </w:rPr>
      </w:pPr>
      <w:r w:rsidRPr="001E2783">
        <w:rPr>
          <w:rFonts w:cs="Arial"/>
        </w:rPr>
        <w:t xml:space="preserve">The cost of </w:t>
      </w:r>
      <w:r w:rsidR="00C07777" w:rsidRPr="001E2783">
        <w:rPr>
          <w:rFonts w:cs="Arial"/>
        </w:rPr>
        <w:t xml:space="preserve">the </w:t>
      </w:r>
      <w:r w:rsidRPr="001E2783">
        <w:rPr>
          <w:rFonts w:cs="Arial"/>
        </w:rPr>
        <w:t>ACMA’s regulatory activities is minimised to the extent possible.</w:t>
      </w:r>
    </w:p>
    <w:p w14:paraId="01DE173A" w14:textId="77777777" w:rsidR="00CC119D" w:rsidRPr="001E2783" w:rsidRDefault="00CC119D" w:rsidP="00CC119D">
      <w:pPr>
        <w:spacing w:after="120"/>
        <w:rPr>
          <w:rFonts w:cs="Arial"/>
          <w:b/>
        </w:rPr>
      </w:pPr>
      <w:r w:rsidRPr="001E2783">
        <w:rPr>
          <w:rFonts w:cs="Arial"/>
          <w:b/>
        </w:rPr>
        <w:t>Program 1.1 Deliverables</w:t>
      </w:r>
    </w:p>
    <w:p w14:paraId="402DAD7D" w14:textId="77777777" w:rsidR="00CC119D" w:rsidRPr="001E2783" w:rsidRDefault="00CC119D" w:rsidP="00CC119D">
      <w:pPr>
        <w:pStyle w:val="ListBullet"/>
        <w:ind w:left="284"/>
        <w:rPr>
          <w:rFonts w:cs="Arial"/>
        </w:rPr>
      </w:pPr>
      <w:r w:rsidRPr="001E2783">
        <w:rPr>
          <w:rFonts w:cs="Arial"/>
        </w:rPr>
        <w:t>Government revenue targets met in the collection of annual numbering charges.</w:t>
      </w:r>
    </w:p>
    <w:p w14:paraId="33656EB4" w14:textId="77777777" w:rsidR="00195710" w:rsidRPr="001E2783" w:rsidRDefault="00195710" w:rsidP="00195710">
      <w:pPr>
        <w:pStyle w:val="ListBullet"/>
        <w:ind w:left="284"/>
        <w:rPr>
          <w:rFonts w:cs="Arial"/>
        </w:rPr>
      </w:pPr>
      <w:r w:rsidRPr="001E2783">
        <w:rPr>
          <w:rFonts w:cs="Arial"/>
        </w:rPr>
        <w:t>Price-based allocations of spectrum completed within statutory timeframes.</w:t>
      </w:r>
    </w:p>
    <w:p w14:paraId="5554B526" w14:textId="77777777" w:rsidR="00195710" w:rsidRPr="001E2783" w:rsidRDefault="00195710" w:rsidP="00195710">
      <w:pPr>
        <w:pStyle w:val="ListBullet"/>
        <w:ind w:left="284"/>
        <w:rPr>
          <w:rFonts w:cs="Arial"/>
        </w:rPr>
      </w:pPr>
      <w:r w:rsidRPr="001E2783">
        <w:rPr>
          <w:rFonts w:cs="Arial"/>
        </w:rPr>
        <w:t>Annual identification and publication of primary issues facing key radiocommunications services and methods the ACMA proposes to use to manage these issues.</w:t>
      </w:r>
    </w:p>
    <w:p w14:paraId="2DB650C4" w14:textId="77777777" w:rsidR="00CC119D" w:rsidRPr="001E2783" w:rsidRDefault="00CC119D" w:rsidP="00CC119D">
      <w:pPr>
        <w:pStyle w:val="ListBullet"/>
        <w:ind w:left="284"/>
        <w:rPr>
          <w:rFonts w:cs="Arial"/>
        </w:rPr>
      </w:pPr>
      <w:r w:rsidRPr="001E2783">
        <w:rPr>
          <w:rFonts w:cs="Arial"/>
        </w:rPr>
        <w:t>Greater marketplace contestability in frequency assignments.</w:t>
      </w:r>
    </w:p>
    <w:p w14:paraId="46454080" w14:textId="77777777" w:rsidR="00CC119D" w:rsidRPr="001E2783" w:rsidRDefault="00CC119D" w:rsidP="00CC119D">
      <w:pPr>
        <w:pStyle w:val="ListBullet"/>
        <w:ind w:left="284"/>
        <w:rPr>
          <w:rFonts w:cs="Arial"/>
        </w:rPr>
      </w:pPr>
      <w:r w:rsidRPr="001E2783">
        <w:rPr>
          <w:rFonts w:cs="Arial"/>
        </w:rPr>
        <w:t>Increased proportion of spectrum licensed through class and spectrum licensing.</w:t>
      </w:r>
    </w:p>
    <w:p w14:paraId="69C84B69" w14:textId="77777777" w:rsidR="00CC119D" w:rsidRPr="001E2783" w:rsidRDefault="00C07777" w:rsidP="00CC119D">
      <w:pPr>
        <w:pStyle w:val="ListBullet"/>
        <w:ind w:left="284"/>
        <w:rPr>
          <w:rFonts w:cs="Arial"/>
        </w:rPr>
      </w:pPr>
      <w:r w:rsidRPr="001E2783">
        <w:rPr>
          <w:rFonts w:cs="Arial"/>
        </w:rPr>
        <w:t>L</w:t>
      </w:r>
      <w:r w:rsidR="00CC119D" w:rsidRPr="001E2783">
        <w:rPr>
          <w:rFonts w:cs="Arial"/>
        </w:rPr>
        <w:t>icensing and numbering transaction applications dealt with within applicable timeframes.</w:t>
      </w:r>
    </w:p>
    <w:p w14:paraId="4401DDFA" w14:textId="77777777" w:rsidR="00CC119D" w:rsidRPr="001E2783" w:rsidRDefault="00C07777" w:rsidP="00CC119D">
      <w:pPr>
        <w:pStyle w:val="ListBullet"/>
        <w:ind w:left="284"/>
        <w:rPr>
          <w:rFonts w:cs="Arial"/>
        </w:rPr>
      </w:pPr>
      <w:r w:rsidRPr="001E2783">
        <w:rPr>
          <w:rFonts w:cs="Arial"/>
        </w:rPr>
        <w:t>O</w:t>
      </w:r>
      <w:r w:rsidR="00CC119D" w:rsidRPr="001E2783">
        <w:rPr>
          <w:rFonts w:cs="Arial"/>
        </w:rPr>
        <w:t>nline content, Do Not Call Register</w:t>
      </w:r>
      <w:r w:rsidRPr="001E2783">
        <w:rPr>
          <w:rFonts w:cs="Arial"/>
        </w:rPr>
        <w:t>, spam,</w:t>
      </w:r>
      <w:r w:rsidR="00CC119D" w:rsidRPr="001E2783">
        <w:rPr>
          <w:rFonts w:cs="Arial"/>
        </w:rPr>
        <w:t xml:space="preserve"> broadcasting </w:t>
      </w:r>
      <w:r w:rsidRPr="001E2783">
        <w:rPr>
          <w:rFonts w:cs="Arial"/>
        </w:rPr>
        <w:t xml:space="preserve">and telecommunications consumer </w:t>
      </w:r>
      <w:r w:rsidR="00CC119D" w:rsidRPr="001E2783">
        <w:rPr>
          <w:rFonts w:cs="Arial"/>
        </w:rPr>
        <w:t>code complaints dealt with within applicable timeframes.</w:t>
      </w:r>
    </w:p>
    <w:p w14:paraId="16AD89B4" w14:textId="77777777" w:rsidR="00195710" w:rsidRPr="001E2783" w:rsidRDefault="00195710" w:rsidP="00195710">
      <w:pPr>
        <w:pStyle w:val="ListBullet"/>
        <w:ind w:left="284"/>
        <w:rPr>
          <w:rFonts w:cs="Arial"/>
        </w:rPr>
      </w:pPr>
      <w:r w:rsidRPr="001E2783">
        <w:rPr>
          <w:rFonts w:cs="Arial"/>
        </w:rPr>
        <w:t xml:space="preserve">Applications for an opinion on control or temporary approval of a breach of the </w:t>
      </w:r>
      <w:r w:rsidRPr="001E2783">
        <w:rPr>
          <w:rFonts w:cs="Arial"/>
          <w:i/>
        </w:rPr>
        <w:t xml:space="preserve">Broadcasting Services Act 1992 </w:t>
      </w:r>
      <w:r w:rsidRPr="001E2783">
        <w:rPr>
          <w:rFonts w:cs="Arial"/>
        </w:rPr>
        <w:t>dealt with within applicable timeframes.</w:t>
      </w:r>
    </w:p>
    <w:p w14:paraId="1A88759E" w14:textId="77777777" w:rsidR="00CC119D" w:rsidRPr="001E2783" w:rsidRDefault="00C07777" w:rsidP="00CC119D">
      <w:pPr>
        <w:pStyle w:val="ListBullet"/>
        <w:ind w:left="284"/>
        <w:rPr>
          <w:rFonts w:cs="Arial"/>
          <w:b/>
        </w:rPr>
      </w:pPr>
      <w:r w:rsidRPr="001E2783">
        <w:rPr>
          <w:rFonts w:cs="Arial"/>
        </w:rPr>
        <w:t>Man</w:t>
      </w:r>
      <w:r w:rsidR="00195710" w:rsidRPr="001E2783">
        <w:rPr>
          <w:rFonts w:cs="Arial"/>
        </w:rPr>
        <w:t>a</w:t>
      </w:r>
      <w:r w:rsidRPr="001E2783">
        <w:rPr>
          <w:rFonts w:cs="Arial"/>
        </w:rPr>
        <w:t>ge the realisation of the digital dividend as the transition from analog to digital television takes place.</w:t>
      </w:r>
    </w:p>
    <w:p w14:paraId="0014DCDC" w14:textId="77777777" w:rsidR="00CC119D" w:rsidRPr="001E2783" w:rsidRDefault="00311E08" w:rsidP="00CC119D">
      <w:pPr>
        <w:rPr>
          <w:rFonts w:cs="Arial"/>
        </w:rPr>
      </w:pPr>
      <w:r>
        <w:rPr>
          <w:rFonts w:cs="Arial"/>
        </w:rPr>
        <w:pict w14:anchorId="561B1D9F">
          <v:rect id="_x0000_i1026" style="width:0;height:1.5pt" o:hralign="center" o:hrstd="t" o:hr="t" fillcolor="#a0a0a0" stroked="f"/>
        </w:pict>
      </w:r>
    </w:p>
    <w:p w14:paraId="3B6988B6" w14:textId="77777777" w:rsidR="00CC119D" w:rsidRPr="001E2783" w:rsidRDefault="00CC119D" w:rsidP="00CC119D">
      <w:pPr>
        <w:pStyle w:val="Heading2"/>
      </w:pPr>
      <w:r w:rsidRPr="001E2783">
        <w:br w:type="page"/>
      </w:r>
      <w:bookmarkStart w:id="46" w:name="_Toc337727528"/>
      <w:bookmarkStart w:id="47" w:name="_Toc400018492"/>
      <w:r w:rsidRPr="001E2783">
        <w:t>Regulatory functions</w:t>
      </w:r>
      <w:bookmarkEnd w:id="46"/>
      <w:bookmarkEnd w:id="47"/>
    </w:p>
    <w:p w14:paraId="5AAE8F13" w14:textId="77777777" w:rsidR="00CC119D" w:rsidRPr="001E2783" w:rsidRDefault="00CC119D" w:rsidP="00CC119D">
      <w:pPr>
        <w:spacing w:after="80"/>
        <w:rPr>
          <w:rFonts w:cs="Arial"/>
        </w:rPr>
      </w:pPr>
      <w:r w:rsidRPr="001E2783">
        <w:rPr>
          <w:rFonts w:cs="Arial"/>
        </w:rPr>
        <w:t>As the regulator for broadcasting, the internet, radiocommunications and telecommunications, the ACMA’s responsibilities include:</w:t>
      </w:r>
    </w:p>
    <w:p w14:paraId="75B3B506" w14:textId="77777777" w:rsidR="00CC119D" w:rsidRPr="001E2783" w:rsidRDefault="00CC119D" w:rsidP="00CC119D">
      <w:pPr>
        <w:pStyle w:val="ListBullet"/>
        <w:rPr>
          <w:rFonts w:cs="Arial"/>
        </w:rPr>
      </w:pPr>
      <w:r w:rsidRPr="001E2783">
        <w:rPr>
          <w:rFonts w:cs="Arial"/>
        </w:rPr>
        <w:t>promoting self- and co-regulation and competition in the communications industry while protecting consumers and other users</w:t>
      </w:r>
    </w:p>
    <w:p w14:paraId="0A34A151" w14:textId="77777777" w:rsidR="00CC119D" w:rsidRPr="001E2783" w:rsidRDefault="00CC119D" w:rsidP="00CC119D">
      <w:pPr>
        <w:pStyle w:val="ListBullet"/>
        <w:rPr>
          <w:rFonts w:cs="Arial"/>
        </w:rPr>
      </w:pPr>
      <w:r w:rsidRPr="001E2783">
        <w:rPr>
          <w:rFonts w:cs="Arial"/>
        </w:rPr>
        <w:t>fostering an environment in which electronic media respect community standards and respond to audience and user needs</w:t>
      </w:r>
    </w:p>
    <w:p w14:paraId="201D56E7" w14:textId="77777777" w:rsidR="00CC119D" w:rsidRPr="001E2783" w:rsidRDefault="00CC119D" w:rsidP="00CC119D">
      <w:pPr>
        <w:pStyle w:val="ListBullet"/>
        <w:rPr>
          <w:rFonts w:cs="Arial"/>
        </w:rPr>
      </w:pPr>
      <w:r w:rsidRPr="001E2783">
        <w:rPr>
          <w:rFonts w:cs="Arial"/>
        </w:rPr>
        <w:t>managing access to the radiofrequency spectrum</w:t>
      </w:r>
    </w:p>
    <w:p w14:paraId="209B916B" w14:textId="77777777" w:rsidR="00CC119D" w:rsidRPr="001E2783" w:rsidRDefault="00CC119D" w:rsidP="00CC119D">
      <w:pPr>
        <w:pStyle w:val="ListBullet"/>
        <w:spacing w:after="240"/>
        <w:rPr>
          <w:rFonts w:cs="Arial"/>
        </w:rPr>
      </w:pPr>
      <w:r w:rsidRPr="001E2783">
        <w:rPr>
          <w:rFonts w:cs="Arial"/>
        </w:rPr>
        <w:t>representing Australia’s communications interests internationally.</w:t>
      </w:r>
    </w:p>
    <w:p w14:paraId="0B2683E0" w14:textId="77777777" w:rsidR="00CC119D" w:rsidRPr="001E2783" w:rsidRDefault="00CC119D" w:rsidP="00CC119D">
      <w:pPr>
        <w:rPr>
          <w:rFonts w:cs="Arial"/>
          <w:i/>
        </w:rPr>
      </w:pPr>
      <w:r w:rsidRPr="001E2783">
        <w:rPr>
          <w:rFonts w:cs="Arial"/>
        </w:rPr>
        <w:t>The ACMA’s regulatory functions are set out in Part 2, Division 2 of the ACMA Act.</w:t>
      </w:r>
    </w:p>
    <w:p w14:paraId="5F9DDF39" w14:textId="77777777" w:rsidR="00CC119D" w:rsidRPr="001E2783" w:rsidRDefault="00CC119D" w:rsidP="00CC119D">
      <w:pPr>
        <w:rPr>
          <w:rFonts w:cs="Arial"/>
        </w:rPr>
      </w:pPr>
    </w:p>
    <w:p w14:paraId="4689660C" w14:textId="77777777" w:rsidR="00363471" w:rsidRPr="001E2783" w:rsidRDefault="00363471" w:rsidP="00363471">
      <w:pPr>
        <w:pStyle w:val="Heading3"/>
      </w:pPr>
      <w:bookmarkStart w:id="48" w:name="_Toc400018493"/>
      <w:r w:rsidRPr="001E2783">
        <w:t>The ACMA’s response to emerging issues and regulatory pressures</w:t>
      </w:r>
      <w:bookmarkEnd w:id="48"/>
    </w:p>
    <w:p w14:paraId="201CBA1F" w14:textId="77777777" w:rsidR="00363471" w:rsidRPr="001E2783" w:rsidRDefault="00363471" w:rsidP="00363471">
      <w:pPr>
        <w:rPr>
          <w:rFonts w:cs="Arial"/>
        </w:rPr>
      </w:pPr>
      <w:r w:rsidRPr="001E2783">
        <w:rPr>
          <w:rFonts w:cs="Arial"/>
        </w:rPr>
        <w:t xml:space="preserve">Under the ACMA Act, one of the ACMA’s functions is to inform itself and advise the Minister for Communications about technological advances and service trends in the broadcasting, internet and datacasting industries. </w:t>
      </w:r>
    </w:p>
    <w:p w14:paraId="091CEFFC" w14:textId="77777777" w:rsidR="00363471" w:rsidRPr="001E2783" w:rsidRDefault="00363471" w:rsidP="00363471">
      <w:pPr>
        <w:rPr>
          <w:rFonts w:cs="Arial"/>
        </w:rPr>
      </w:pPr>
    </w:p>
    <w:p w14:paraId="362F5D48" w14:textId="77777777" w:rsidR="00363471" w:rsidRPr="001E2783" w:rsidRDefault="00363471" w:rsidP="00363471">
      <w:pPr>
        <w:rPr>
          <w:rFonts w:cs="Arial"/>
        </w:rPr>
      </w:pPr>
      <w:r w:rsidRPr="001E2783">
        <w:rPr>
          <w:rFonts w:cs="Arial"/>
        </w:rPr>
        <w:t xml:space="preserve">Another of its functions is to report to and advise the minister about the telecommunications industry and matters affecting consumers of carriage services. The ACMA also monitors and reports to the minister on the operation of a number of Acts he administers, as specified in sections 8, 9 and 10 of the ACMA Act. The ACMA continues to monitor and research the rapidly changing communications and media environment to support these functions. </w:t>
      </w:r>
    </w:p>
    <w:p w14:paraId="521A589D" w14:textId="77777777" w:rsidR="00363471" w:rsidRPr="001E2783" w:rsidRDefault="00363471" w:rsidP="00363471">
      <w:pPr>
        <w:rPr>
          <w:rFonts w:cs="Arial"/>
        </w:rPr>
      </w:pPr>
    </w:p>
    <w:p w14:paraId="57C6677C" w14:textId="77777777" w:rsidR="008972CC" w:rsidRPr="001E2783" w:rsidRDefault="00363471" w:rsidP="008972CC">
      <w:pPr>
        <w:spacing w:after="80"/>
        <w:rPr>
          <w:rFonts w:cs="Arial"/>
        </w:rPr>
      </w:pPr>
      <w:r w:rsidRPr="001E2783">
        <w:rPr>
          <w:rFonts w:cs="Arial"/>
        </w:rPr>
        <w:t>As the networked society and information economy continues to evolve, the ACMA straddles two dimensions</w:t>
      </w:r>
      <w:r w:rsidR="008972CC" w:rsidRPr="001E2783">
        <w:rPr>
          <w:rFonts w:cs="Arial"/>
        </w:rPr>
        <w:t>:</w:t>
      </w:r>
    </w:p>
    <w:p w14:paraId="717CE1D3" w14:textId="77777777" w:rsidR="00B0137D" w:rsidRPr="001E2783" w:rsidRDefault="008972CC" w:rsidP="009B10B7">
      <w:pPr>
        <w:pStyle w:val="ListBullet"/>
        <w:rPr>
          <w:rFonts w:cs="Arial"/>
        </w:rPr>
      </w:pPr>
      <w:r w:rsidRPr="001E2783">
        <w:rPr>
          <w:rFonts w:cs="Arial"/>
        </w:rPr>
        <w:t>administering</w:t>
      </w:r>
      <w:r w:rsidR="00363471" w:rsidRPr="001E2783">
        <w:rPr>
          <w:rFonts w:cs="Arial"/>
        </w:rPr>
        <w:t xml:space="preserve"> existing legislative and regulatory arrangements</w:t>
      </w:r>
      <w:r w:rsidRPr="001E2783">
        <w:rPr>
          <w:rFonts w:cs="Arial"/>
        </w:rPr>
        <w:t>—</w:t>
      </w:r>
      <w:r w:rsidR="009B10B7" w:rsidRPr="001E2783">
        <w:rPr>
          <w:rFonts w:cs="Arial"/>
        </w:rPr>
        <w:t xml:space="preserve">facilitating industry co- and self-regulatory solutions and </w:t>
      </w:r>
      <w:r w:rsidRPr="001E2783">
        <w:rPr>
          <w:rFonts w:cs="Arial"/>
        </w:rPr>
        <w:t>using direct regulation where required</w:t>
      </w:r>
    </w:p>
    <w:p w14:paraId="5EF05D6D" w14:textId="77777777" w:rsidR="009B10B7" w:rsidRPr="001E2783" w:rsidRDefault="009B10B7" w:rsidP="009B10B7">
      <w:pPr>
        <w:pStyle w:val="ListBullet"/>
        <w:spacing w:after="240"/>
        <w:rPr>
          <w:rFonts w:cs="Arial"/>
        </w:rPr>
      </w:pPr>
      <w:r w:rsidRPr="001E2783">
        <w:rPr>
          <w:rFonts w:cs="Arial"/>
        </w:rPr>
        <w:t>working with industry and consumers to develop solutions to emerging issues so that communications and media work for all Australians.</w:t>
      </w:r>
    </w:p>
    <w:p w14:paraId="463D0F84" w14:textId="77777777" w:rsidR="001D12B3" w:rsidRPr="001E2783" w:rsidRDefault="001D12B3" w:rsidP="001D12B3">
      <w:pPr>
        <w:pStyle w:val="Heading3"/>
        <w:rPr>
          <w:i/>
        </w:rPr>
      </w:pPr>
      <w:bookmarkStart w:id="49" w:name="_Toc400018494"/>
      <w:r w:rsidRPr="001E2783">
        <w:rPr>
          <w:i/>
        </w:rPr>
        <w:t>Contemporary community safeguards inquiry</w:t>
      </w:r>
      <w:bookmarkEnd w:id="49"/>
    </w:p>
    <w:p w14:paraId="2F890A87" w14:textId="77777777" w:rsidR="001D12B3" w:rsidRPr="001E2783" w:rsidRDefault="001D12B3" w:rsidP="001D12B3">
      <w:pPr>
        <w:pStyle w:val="NormalWeb"/>
        <w:spacing w:before="0" w:beforeAutospacing="0" w:after="80" w:afterAutospacing="0" w:line="240" w:lineRule="atLeast"/>
        <w:rPr>
          <w:rFonts w:ascii="Arial" w:hAnsi="Arial" w:cs="Arial"/>
          <w:sz w:val="20"/>
          <w:szCs w:val="20"/>
          <w:lang w:val="en-GB"/>
        </w:rPr>
      </w:pPr>
      <w:r w:rsidRPr="001E2783">
        <w:rPr>
          <w:rFonts w:ascii="Arial" w:hAnsi="Arial" w:cs="Arial"/>
          <w:sz w:val="20"/>
          <w:szCs w:val="20"/>
          <w:lang w:val="en-GB"/>
        </w:rPr>
        <w:t xml:space="preserve">In March 2014, the ACMA published its consolidated report for the </w:t>
      </w:r>
      <w:r w:rsidRPr="001E2783">
        <w:rPr>
          <w:rFonts w:ascii="Arial" w:hAnsi="Arial" w:cs="Arial"/>
          <w:i/>
          <w:sz w:val="20"/>
          <w:szCs w:val="20"/>
          <w:lang w:val="en-GB"/>
        </w:rPr>
        <w:t>Contemporary community safeguards inquiry</w:t>
      </w:r>
      <w:r w:rsidRPr="001E2783">
        <w:rPr>
          <w:rFonts w:ascii="Arial" w:hAnsi="Arial" w:cs="Arial"/>
          <w:sz w:val="20"/>
          <w:szCs w:val="20"/>
          <w:lang w:val="en-GB"/>
        </w:rPr>
        <w:t xml:space="preserve"> (CCS inquiry). The report brings together the information garnered by the ACMA during the inquiry and provides a high-level overview of the directions emerging from that process. The inquiry’s consultation included:</w:t>
      </w:r>
    </w:p>
    <w:p w14:paraId="3765B323" w14:textId="77777777" w:rsidR="001D12B3" w:rsidRPr="001E2783" w:rsidRDefault="001D12B3" w:rsidP="001D12B3">
      <w:pPr>
        <w:pStyle w:val="ListBullet"/>
        <w:rPr>
          <w:rFonts w:cs="Arial"/>
          <w:lang w:val="en-GB"/>
        </w:rPr>
      </w:pPr>
      <w:r w:rsidRPr="001E2783">
        <w:rPr>
          <w:rFonts w:cs="Arial"/>
          <w:lang w:val="en-GB"/>
        </w:rPr>
        <w:t>first-principles analysis of enduring concepts, which could or should be reflected in contemporary broadcasting codes</w:t>
      </w:r>
    </w:p>
    <w:p w14:paraId="5396143D" w14:textId="77777777" w:rsidR="001D12B3" w:rsidRPr="001E2783" w:rsidRDefault="001D12B3" w:rsidP="001D12B3">
      <w:pPr>
        <w:pStyle w:val="ListBullet"/>
        <w:rPr>
          <w:rFonts w:cs="Arial"/>
          <w:lang w:val="en-GB"/>
        </w:rPr>
      </w:pPr>
      <w:r w:rsidRPr="001E2783">
        <w:rPr>
          <w:rFonts w:cs="Arial"/>
          <w:lang w:val="en-GB"/>
        </w:rPr>
        <w:t xml:space="preserve">submissions to the </w:t>
      </w:r>
      <w:r w:rsidRPr="001E2783">
        <w:rPr>
          <w:rFonts w:cs="Arial"/>
          <w:iCs/>
          <w:lang w:val="en-GB"/>
        </w:rPr>
        <w:t>CCS inquiry issues paper</w:t>
      </w:r>
      <w:r w:rsidRPr="001E2783">
        <w:rPr>
          <w:rFonts w:cs="Arial"/>
          <w:lang w:val="en-GB"/>
        </w:rPr>
        <w:t>, which examined the existing code requirements and the extent to which they align with the identified enduring concepts</w:t>
      </w:r>
    </w:p>
    <w:p w14:paraId="3F934FC9" w14:textId="77777777" w:rsidR="001D12B3" w:rsidRPr="001E2783" w:rsidRDefault="001D12B3" w:rsidP="001D12B3">
      <w:pPr>
        <w:pStyle w:val="ListBullet"/>
        <w:rPr>
          <w:rFonts w:cs="Arial"/>
          <w:lang w:val="en-GB"/>
        </w:rPr>
      </w:pPr>
      <w:r w:rsidRPr="001E2783">
        <w:rPr>
          <w:rFonts w:cs="Arial"/>
          <w:lang w:val="en-GB"/>
        </w:rPr>
        <w:t xml:space="preserve">seven </w:t>
      </w:r>
      <w:r w:rsidRPr="001E2783">
        <w:rPr>
          <w:rFonts w:cs="Arial"/>
          <w:i/>
          <w:iCs/>
          <w:lang w:val="en-GB"/>
        </w:rPr>
        <w:t xml:space="preserve">Citizen conversations </w:t>
      </w:r>
      <w:r w:rsidRPr="001E2783">
        <w:rPr>
          <w:rFonts w:cs="Arial"/>
          <w:lang w:val="en-GB"/>
        </w:rPr>
        <w:t>forums on relevant topics</w:t>
      </w:r>
    </w:p>
    <w:p w14:paraId="1168B3E1" w14:textId="77777777" w:rsidR="001D12B3" w:rsidRPr="001E2783" w:rsidRDefault="001D12B3" w:rsidP="001D12B3">
      <w:pPr>
        <w:pStyle w:val="ListBullet"/>
        <w:rPr>
          <w:rFonts w:cs="Arial"/>
          <w:lang w:val="en-GB"/>
        </w:rPr>
      </w:pPr>
      <w:r w:rsidRPr="001E2783">
        <w:rPr>
          <w:rFonts w:cs="Arial"/>
          <w:lang w:val="en-GB"/>
        </w:rPr>
        <w:t>economic research about the market for broadcasting content in Australia and the industry-identified costs of the code requirements</w:t>
      </w:r>
    </w:p>
    <w:p w14:paraId="78C97AC1" w14:textId="77777777" w:rsidR="001D12B3" w:rsidRPr="001E2783" w:rsidRDefault="001D12B3" w:rsidP="001D12B3">
      <w:pPr>
        <w:pStyle w:val="ListBullet"/>
        <w:rPr>
          <w:rFonts w:cs="Arial"/>
          <w:lang w:val="en-GB"/>
        </w:rPr>
      </w:pPr>
      <w:r w:rsidRPr="001E2783">
        <w:rPr>
          <w:rFonts w:cs="Arial"/>
          <w:lang w:val="en-GB"/>
        </w:rPr>
        <w:t>community research exploring citizens’ experiences and expectations of broadcasting content</w:t>
      </w:r>
    </w:p>
    <w:p w14:paraId="64772AE8" w14:textId="77777777" w:rsidR="001D12B3" w:rsidRPr="001E2783" w:rsidRDefault="001D12B3" w:rsidP="001D12B3">
      <w:pPr>
        <w:pStyle w:val="ListBullet"/>
        <w:spacing w:after="240"/>
        <w:rPr>
          <w:rFonts w:cs="Arial"/>
          <w:lang w:val="en-GB"/>
        </w:rPr>
      </w:pPr>
      <w:r w:rsidRPr="001E2783">
        <w:rPr>
          <w:rFonts w:cs="Arial"/>
          <w:lang w:val="en-GB"/>
        </w:rPr>
        <w:t>review of the existing information in this area, including the work of complementary reviews and inquiries.</w:t>
      </w:r>
    </w:p>
    <w:p w14:paraId="4AB5FC98" w14:textId="77777777" w:rsidR="001D12B3" w:rsidRPr="001E2783" w:rsidRDefault="001D12B3" w:rsidP="001D12B3">
      <w:pPr>
        <w:rPr>
          <w:rFonts w:cs="Arial"/>
          <w:lang w:val="en-GB"/>
        </w:rPr>
      </w:pPr>
      <w:r w:rsidRPr="001E2783">
        <w:rPr>
          <w:rFonts w:cs="Arial"/>
          <w:lang w:val="en-GB"/>
        </w:rPr>
        <w:t>The information gathered during the inquiry suggests a high level of consensus about the key matters that could or should be addressed in contemporary and future codes. It also signals significant scope for fewer, simpler and more effective ways to provide safeguards for broadcasting content.</w:t>
      </w:r>
    </w:p>
    <w:p w14:paraId="42A825CA" w14:textId="77777777" w:rsidR="001D12B3" w:rsidRPr="001E2783" w:rsidRDefault="001D12B3" w:rsidP="001D12B3">
      <w:pPr>
        <w:rPr>
          <w:rFonts w:cs="Arial"/>
          <w:lang w:val="en-GB"/>
        </w:rPr>
      </w:pPr>
    </w:p>
    <w:p w14:paraId="47BE96AA" w14:textId="77777777" w:rsidR="001D12B3" w:rsidRPr="001E2783" w:rsidRDefault="001D12B3" w:rsidP="001D12B3">
      <w:pPr>
        <w:rPr>
          <w:rFonts w:cs="Arial"/>
          <w:lang w:val="en-GB"/>
        </w:rPr>
      </w:pPr>
      <w:r w:rsidRPr="001E2783">
        <w:rPr>
          <w:rFonts w:cs="Arial"/>
          <w:lang w:val="en-GB"/>
        </w:rPr>
        <w:t>The evidence captured in the consolidated report is being used to inform the broader conversation about the future of broadcasting regulation in Australia. The report will also be used in upcoming code review processes.</w:t>
      </w:r>
    </w:p>
    <w:p w14:paraId="75A6E141" w14:textId="77777777" w:rsidR="001D12B3" w:rsidRPr="001E2783" w:rsidRDefault="001D12B3" w:rsidP="002B5DD1">
      <w:pPr>
        <w:rPr>
          <w:rFonts w:cs="Arial"/>
        </w:rPr>
      </w:pPr>
    </w:p>
    <w:p w14:paraId="1E1C713A" w14:textId="77777777" w:rsidR="00CE7359" w:rsidRPr="001E2783" w:rsidRDefault="003C6963" w:rsidP="00CE7359">
      <w:pPr>
        <w:pStyle w:val="Heading2"/>
      </w:pPr>
      <w:bookmarkStart w:id="50" w:name="_Toc400018495"/>
      <w:r w:rsidRPr="001E2783">
        <w:t>Better targeted regulation</w:t>
      </w:r>
      <w:bookmarkEnd w:id="50"/>
    </w:p>
    <w:p w14:paraId="4430863A" w14:textId="2C855889" w:rsidR="008A2F2B" w:rsidRPr="001E2783" w:rsidRDefault="00275A31" w:rsidP="008A2F2B">
      <w:pPr>
        <w:spacing w:after="80"/>
        <w:rPr>
          <w:rFonts w:cs="Arial"/>
        </w:rPr>
      </w:pPr>
      <w:r w:rsidRPr="001E2783">
        <w:rPr>
          <w:rFonts w:cs="Arial"/>
        </w:rPr>
        <w:t xml:space="preserve">The ACMA has </w:t>
      </w:r>
      <w:r w:rsidR="006F4EBA" w:rsidRPr="001E2783">
        <w:rPr>
          <w:rFonts w:cs="Arial"/>
        </w:rPr>
        <w:t xml:space="preserve">a legislative mandate and </w:t>
      </w:r>
      <w:r w:rsidRPr="001E2783">
        <w:rPr>
          <w:rFonts w:cs="Arial"/>
        </w:rPr>
        <w:t xml:space="preserve">an ongoing commitment to regulate better and reduce </w:t>
      </w:r>
      <w:r w:rsidR="006F4EBA" w:rsidRPr="001E2783">
        <w:rPr>
          <w:rFonts w:cs="Arial"/>
        </w:rPr>
        <w:t xml:space="preserve">unnecessary and unjustifiable regulatory imposts </w:t>
      </w:r>
      <w:r w:rsidRPr="001E2783">
        <w:rPr>
          <w:rFonts w:cs="Arial"/>
        </w:rPr>
        <w:t>on industry. This has been given extr</w:t>
      </w:r>
      <w:r w:rsidR="00A770EF" w:rsidRPr="001E2783">
        <w:rPr>
          <w:rFonts w:cs="Arial"/>
        </w:rPr>
        <w:t>a impetus in the last 12 </w:t>
      </w:r>
      <w:r w:rsidRPr="001E2783">
        <w:rPr>
          <w:rFonts w:cs="Arial"/>
        </w:rPr>
        <w:t xml:space="preserve">months as part of the whole-of-government deregulation agenda. A particular highlight was the portfolio contribution to the </w:t>
      </w:r>
      <w:r w:rsidR="00A770EF" w:rsidRPr="001E2783">
        <w:rPr>
          <w:rFonts w:cs="Arial"/>
        </w:rPr>
        <w:t xml:space="preserve">government’s Repeal Day 1 on </w:t>
      </w:r>
      <w:r w:rsidR="00474924" w:rsidRPr="001E2783">
        <w:rPr>
          <w:rFonts w:cs="Arial"/>
        </w:rPr>
        <w:t>26</w:t>
      </w:r>
      <w:r w:rsidR="00A770EF" w:rsidRPr="001E2783">
        <w:rPr>
          <w:rFonts w:cs="Arial"/>
        </w:rPr>
        <w:t> </w:t>
      </w:r>
      <w:r w:rsidRPr="001E2783">
        <w:rPr>
          <w:rFonts w:cs="Arial"/>
        </w:rPr>
        <w:t xml:space="preserve">March 2014. Many of these initiatives eliminated redundant </w:t>
      </w:r>
      <w:r w:rsidR="007A3E55" w:rsidRPr="001E2783">
        <w:rPr>
          <w:rFonts w:cs="Arial"/>
        </w:rPr>
        <w:t xml:space="preserve">regulation </w:t>
      </w:r>
      <w:r w:rsidRPr="001E2783">
        <w:rPr>
          <w:rFonts w:cs="Arial"/>
        </w:rPr>
        <w:t>and provided additional regula</w:t>
      </w:r>
      <w:r w:rsidR="00F509EE" w:rsidRPr="001E2783">
        <w:rPr>
          <w:rFonts w:cs="Arial"/>
        </w:rPr>
        <w:t xml:space="preserve">tory flexibility. </w:t>
      </w:r>
      <w:r w:rsidR="008A2F2B" w:rsidRPr="001E2783">
        <w:rPr>
          <w:rFonts w:cs="Arial"/>
        </w:rPr>
        <w:t>They included:</w:t>
      </w:r>
    </w:p>
    <w:p w14:paraId="149A35D7" w14:textId="77777777" w:rsidR="008A2F2B" w:rsidRPr="001E2783" w:rsidRDefault="008A2F2B" w:rsidP="008A2F2B">
      <w:pPr>
        <w:pStyle w:val="ListBullet"/>
        <w:rPr>
          <w:rFonts w:cs="Arial"/>
        </w:rPr>
      </w:pPr>
      <w:r w:rsidRPr="001E2783">
        <w:rPr>
          <w:rFonts w:cs="Arial"/>
        </w:rPr>
        <w:t xml:space="preserve">An amendment proposing to remove the ACMA’s statutory duty to investigate </w:t>
      </w:r>
      <w:r w:rsidR="00A770EF" w:rsidRPr="001E2783">
        <w:rPr>
          <w:rFonts w:cs="Arial"/>
        </w:rPr>
        <w:t xml:space="preserve">certain </w:t>
      </w:r>
      <w:r w:rsidRPr="001E2783">
        <w:rPr>
          <w:rFonts w:cs="Arial"/>
        </w:rPr>
        <w:t>broadcasting-related complaints</w:t>
      </w:r>
      <w:r w:rsidR="00A770EF" w:rsidRPr="001E2783">
        <w:rPr>
          <w:rFonts w:cs="Arial"/>
        </w:rPr>
        <w:t>,</w:t>
      </w:r>
      <w:r w:rsidRPr="001E2783">
        <w:rPr>
          <w:rFonts w:cs="Arial"/>
        </w:rPr>
        <w:t xml:space="preserve"> and give it discretion to investigate complaints about broadcast content, interactive gambling and online content.</w:t>
      </w:r>
    </w:p>
    <w:p w14:paraId="7B10399E" w14:textId="77777777" w:rsidR="008A2F2B" w:rsidRPr="001E2783" w:rsidRDefault="008A2F2B" w:rsidP="008A2F2B">
      <w:pPr>
        <w:pStyle w:val="ListBullet"/>
        <w:spacing w:after="240"/>
        <w:rPr>
          <w:rFonts w:cs="Arial"/>
        </w:rPr>
      </w:pPr>
      <w:r w:rsidRPr="001E2783">
        <w:rPr>
          <w:rFonts w:cs="Arial"/>
        </w:rPr>
        <w:t>An amendment proposing to give the ACMA discretion whether to require audited accounts from broadcasting licensees when determining a licensee’s broadcasting licence fee.</w:t>
      </w:r>
    </w:p>
    <w:p w14:paraId="387F4B4D" w14:textId="77777777" w:rsidR="00275A31" w:rsidRPr="001E2783" w:rsidRDefault="00275A31" w:rsidP="00275A31">
      <w:pPr>
        <w:spacing w:after="80"/>
        <w:rPr>
          <w:rFonts w:cs="Arial"/>
        </w:rPr>
      </w:pPr>
      <w:r w:rsidRPr="001E2783">
        <w:rPr>
          <w:rFonts w:cs="Arial"/>
        </w:rPr>
        <w:t>Deregulation initiatives implemented by the ACMA included:</w:t>
      </w:r>
    </w:p>
    <w:p w14:paraId="067887D7" w14:textId="77777777" w:rsidR="00275A31" w:rsidRPr="001E2783" w:rsidRDefault="00275A31" w:rsidP="00275A31">
      <w:pPr>
        <w:pStyle w:val="ListBullet"/>
        <w:rPr>
          <w:rFonts w:cs="Arial"/>
        </w:rPr>
      </w:pPr>
      <w:r w:rsidRPr="001E2783">
        <w:rPr>
          <w:rFonts w:cs="Arial"/>
        </w:rPr>
        <w:t>revoking regulation of premium telephone services offered on 190 numbers in October 2013</w:t>
      </w:r>
    </w:p>
    <w:p w14:paraId="590005CA" w14:textId="77777777" w:rsidR="00275A31" w:rsidRPr="001E2783" w:rsidRDefault="00275A31" w:rsidP="00275A31">
      <w:pPr>
        <w:pStyle w:val="ListBullet"/>
        <w:rPr>
          <w:rFonts w:cs="Arial"/>
        </w:rPr>
      </w:pPr>
      <w:r w:rsidRPr="001E2783">
        <w:rPr>
          <w:rFonts w:cs="Arial"/>
        </w:rPr>
        <w:t>introducing more flexible identity-checking rules for prepaid mobiles in October 2013</w:t>
      </w:r>
    </w:p>
    <w:p w14:paraId="70EB098C" w14:textId="77777777" w:rsidR="00275A31" w:rsidRPr="001E2783" w:rsidRDefault="00275A31" w:rsidP="00275A31">
      <w:pPr>
        <w:pStyle w:val="ListBullet"/>
        <w:rPr>
          <w:rFonts w:cs="Arial"/>
        </w:rPr>
      </w:pPr>
      <w:r w:rsidRPr="001E2783">
        <w:rPr>
          <w:rFonts w:cs="Arial"/>
        </w:rPr>
        <w:t>repealing 46 spent instruments—as a result, the ACMA has removed nearly 1,000 pages of redundant regulation in the media and communications sector</w:t>
      </w:r>
    </w:p>
    <w:p w14:paraId="03DA20AC" w14:textId="77777777" w:rsidR="00275A31" w:rsidRPr="001E2783" w:rsidRDefault="00275A31" w:rsidP="00B1647F">
      <w:pPr>
        <w:pStyle w:val="ListBullet"/>
        <w:rPr>
          <w:rFonts w:cs="Arial"/>
        </w:rPr>
      </w:pPr>
      <w:r w:rsidRPr="001E2783">
        <w:rPr>
          <w:rFonts w:cs="Arial"/>
        </w:rPr>
        <w:t>removing record-keeping requirements for femtocells by changing public telecommunications service radiocommunications licence conditions</w:t>
      </w:r>
    </w:p>
    <w:p w14:paraId="62240DAC" w14:textId="77777777" w:rsidR="00275A31" w:rsidRPr="001E2783" w:rsidRDefault="00275A31" w:rsidP="00B1647F">
      <w:pPr>
        <w:pStyle w:val="ListBullet"/>
        <w:spacing w:after="240"/>
        <w:rPr>
          <w:rFonts w:cs="Arial"/>
        </w:rPr>
      </w:pPr>
      <w:r w:rsidRPr="001E2783">
        <w:rPr>
          <w:rFonts w:cs="Arial"/>
        </w:rPr>
        <w:t>streamlining our customer engagement.</w:t>
      </w:r>
    </w:p>
    <w:p w14:paraId="1C2D5940" w14:textId="77777777" w:rsidR="00D10CB9" w:rsidRPr="001E2783" w:rsidRDefault="00D10CB9" w:rsidP="00D10CB9">
      <w:pPr>
        <w:pStyle w:val="Heading2"/>
      </w:pPr>
      <w:bookmarkStart w:id="51" w:name="_Toc400018496"/>
      <w:r w:rsidRPr="001E2783">
        <w:t>Sunsetting</w:t>
      </w:r>
      <w:bookmarkEnd w:id="51"/>
    </w:p>
    <w:p w14:paraId="12C5B6F5" w14:textId="77777777" w:rsidR="00D10CB9" w:rsidRPr="001E2783" w:rsidRDefault="00D10CB9" w:rsidP="00D10CB9">
      <w:pPr>
        <w:rPr>
          <w:rFonts w:cs="Arial"/>
        </w:rPr>
      </w:pPr>
      <w:r w:rsidRPr="001E2783">
        <w:rPr>
          <w:rFonts w:cs="Arial"/>
        </w:rPr>
        <w:t xml:space="preserve">During 2013–14, the ACMA has engaged in extensive and detailed preparation for the new ‘sunsetting’ regime that will soon take effect under the </w:t>
      </w:r>
      <w:r w:rsidRPr="001E2783">
        <w:rPr>
          <w:rFonts w:cs="Arial"/>
          <w:i/>
        </w:rPr>
        <w:t>Legislative Instruments Act 2003</w:t>
      </w:r>
      <w:r w:rsidRPr="001E2783">
        <w:rPr>
          <w:rFonts w:cs="Arial"/>
        </w:rPr>
        <w:t xml:space="preserve"> (LIA). Under the sunsetting provisions of the LIA, the various legislative instruments made by Commonwealth agencies such as the ACMA ‘sunset’ (that is, are automatically repealed) 10 years after they are first registered as law. The first round of such sunsetting occurs on 1 April 2015, with the second round due on 1 October 2015. </w:t>
      </w:r>
    </w:p>
    <w:p w14:paraId="46088C27" w14:textId="77777777" w:rsidR="00D10CB9" w:rsidRPr="001E2783" w:rsidRDefault="00D10CB9" w:rsidP="00D10CB9">
      <w:pPr>
        <w:rPr>
          <w:rFonts w:cs="Arial"/>
        </w:rPr>
      </w:pPr>
    </w:p>
    <w:p w14:paraId="50F58205" w14:textId="77777777" w:rsidR="00D10CB9" w:rsidRPr="001E2783" w:rsidRDefault="00D10CB9" w:rsidP="00D10CB9">
      <w:pPr>
        <w:rPr>
          <w:rFonts w:cs="Arial"/>
        </w:rPr>
      </w:pPr>
      <w:r w:rsidRPr="001E2783">
        <w:rPr>
          <w:rFonts w:cs="Arial"/>
        </w:rPr>
        <w:t xml:space="preserve">The ACMA is required as a result to review, update and re-make, or repeal, as the case requires, over </w:t>
      </w:r>
      <w:r w:rsidR="003C3D50" w:rsidRPr="001E2783">
        <w:rPr>
          <w:rFonts w:cs="Arial"/>
        </w:rPr>
        <w:t>100</w:t>
      </w:r>
      <w:r w:rsidRPr="001E2783">
        <w:rPr>
          <w:rFonts w:cs="Arial"/>
        </w:rPr>
        <w:t xml:space="preserve"> legislative instruments during those first two rounds. That exercise will help to ensure that the legislative instruments made by the ACMA are kept up to date and are in force only for so long as they are needed. </w:t>
      </w:r>
    </w:p>
    <w:p w14:paraId="7589C916" w14:textId="77777777" w:rsidR="00D10CB9" w:rsidRPr="001E2783" w:rsidRDefault="00D10CB9" w:rsidP="006C086F">
      <w:pPr>
        <w:pStyle w:val="ListBullet"/>
        <w:numPr>
          <w:ilvl w:val="0"/>
          <w:numId w:val="0"/>
        </w:numPr>
        <w:spacing w:after="0"/>
        <w:ind w:left="295" w:hanging="295"/>
        <w:rPr>
          <w:rFonts w:cs="Arial"/>
        </w:rPr>
      </w:pPr>
    </w:p>
    <w:p w14:paraId="41F457F0" w14:textId="77777777" w:rsidR="00DF03AD" w:rsidRPr="001E2783" w:rsidRDefault="00DF03AD" w:rsidP="00DF03AD">
      <w:pPr>
        <w:pStyle w:val="Heading2"/>
      </w:pPr>
      <w:bookmarkStart w:id="52" w:name="_Toc274124010"/>
      <w:bookmarkStart w:id="53" w:name="_Toc337727530"/>
      <w:bookmarkStart w:id="54" w:name="_Toc400018497"/>
      <w:r w:rsidRPr="001E2783">
        <w:t>Ownership and control</w:t>
      </w:r>
      <w:bookmarkEnd w:id="52"/>
      <w:bookmarkEnd w:id="53"/>
      <w:bookmarkEnd w:id="54"/>
    </w:p>
    <w:p w14:paraId="55DE7145" w14:textId="77777777" w:rsidR="00DF03AD" w:rsidRPr="001E2783" w:rsidRDefault="00DF03AD" w:rsidP="00DF03AD">
      <w:pPr>
        <w:rPr>
          <w:rFonts w:cs="Arial"/>
        </w:rPr>
      </w:pPr>
      <w:bookmarkStart w:id="55" w:name="_Toc260730497"/>
      <w:r w:rsidRPr="001E2783">
        <w:rPr>
          <w:rFonts w:cs="Arial"/>
        </w:rPr>
        <w:t xml:space="preserve">The ACMA monitors and investigates compliance with the media diversity and control rules, and takes enforcement action where appropriate. </w:t>
      </w:r>
    </w:p>
    <w:p w14:paraId="51AC5129" w14:textId="77777777" w:rsidR="00DF03AD" w:rsidRPr="001E2783" w:rsidRDefault="00DF03AD" w:rsidP="00DF03AD">
      <w:pPr>
        <w:rPr>
          <w:rFonts w:cs="Arial"/>
        </w:rPr>
      </w:pPr>
    </w:p>
    <w:p w14:paraId="5AB27DB7" w14:textId="77777777" w:rsidR="00DF03AD" w:rsidRPr="001E2783" w:rsidRDefault="00DF03AD" w:rsidP="00DF03AD">
      <w:pPr>
        <w:rPr>
          <w:rFonts w:cs="Arial"/>
        </w:rPr>
      </w:pPr>
      <w:r w:rsidRPr="001E2783">
        <w:rPr>
          <w:rFonts w:cs="Arial"/>
        </w:rPr>
        <w:t>It also handles applications for prior approval of temporary breaches of control rules and opinions on control arrangements for a given company under divisions 1, 2, 3, 5 and 5A of Part 5 of the BSA. The ACMA also maintains the Register of Controlled Media Groups (RCMG) and the Associated Newspaper Register, along with an interactive media control database.</w:t>
      </w:r>
    </w:p>
    <w:p w14:paraId="0C8DBDEF" w14:textId="77777777" w:rsidR="00DF03AD" w:rsidRPr="001E2783" w:rsidRDefault="00DF03AD" w:rsidP="00DF03AD">
      <w:pPr>
        <w:rPr>
          <w:rFonts w:cs="Arial"/>
        </w:rPr>
      </w:pPr>
    </w:p>
    <w:p w14:paraId="34BC353E" w14:textId="77777777" w:rsidR="00DF03AD" w:rsidRPr="001E2783" w:rsidRDefault="00DF03AD" w:rsidP="00DF03AD">
      <w:pPr>
        <w:pStyle w:val="Heading3"/>
      </w:pPr>
      <w:bookmarkStart w:id="56" w:name="_Toc337727531"/>
      <w:bookmarkStart w:id="57" w:name="_Toc400018498"/>
      <w:bookmarkEnd w:id="55"/>
      <w:r w:rsidRPr="001E2783">
        <w:t>Register of Controlled Media Groups</w:t>
      </w:r>
      <w:bookmarkEnd w:id="56"/>
      <w:bookmarkEnd w:id="57"/>
      <w:r w:rsidRPr="001E2783">
        <w:t xml:space="preserve"> </w:t>
      </w:r>
    </w:p>
    <w:p w14:paraId="335366F0" w14:textId="77777777" w:rsidR="00DF03AD" w:rsidRPr="001E2783" w:rsidRDefault="00DF03AD" w:rsidP="00DF03AD">
      <w:pPr>
        <w:rPr>
          <w:rFonts w:cs="Arial"/>
        </w:rPr>
      </w:pPr>
      <w:r w:rsidRPr="001E2783">
        <w:rPr>
          <w:rFonts w:cs="Arial"/>
        </w:rPr>
        <w:t xml:space="preserve">The RCMG helps industry comply with the media diversity limits by providing information to industry and the community on the existence of registrable media groups in licence areas across Australia. The RCMG also </w:t>
      </w:r>
      <w:r w:rsidR="00BF711F" w:rsidRPr="001E2783">
        <w:rPr>
          <w:rFonts w:cs="Arial"/>
        </w:rPr>
        <w:t>helps</w:t>
      </w:r>
      <w:r w:rsidRPr="001E2783">
        <w:rPr>
          <w:rFonts w:cs="Arial"/>
        </w:rPr>
        <w:t xml:space="preserve"> the ACMA </w:t>
      </w:r>
      <w:r w:rsidR="00BF711F" w:rsidRPr="001E2783">
        <w:rPr>
          <w:rFonts w:cs="Arial"/>
        </w:rPr>
        <w:t>to</w:t>
      </w:r>
      <w:r w:rsidRPr="001E2783">
        <w:rPr>
          <w:rFonts w:cs="Arial"/>
        </w:rPr>
        <w:t xml:space="preserve"> monitor compliance with the ownership and control rules. </w:t>
      </w:r>
      <w:r w:rsidR="00E757B3" w:rsidRPr="001E2783">
        <w:rPr>
          <w:rFonts w:cs="Arial"/>
        </w:rPr>
        <w:t xml:space="preserve">It </w:t>
      </w:r>
      <w:r w:rsidRPr="001E2783">
        <w:rPr>
          <w:rFonts w:cs="Arial"/>
        </w:rPr>
        <w:t xml:space="preserve">lists the media groups in each commercial radio licence area, the media operations that form part of each group and the controllers of those operations. </w:t>
      </w:r>
    </w:p>
    <w:p w14:paraId="21A0CFBE" w14:textId="77777777" w:rsidR="00DF03AD" w:rsidRPr="001E2783" w:rsidRDefault="00DF03AD" w:rsidP="00DF03AD">
      <w:pPr>
        <w:rPr>
          <w:rFonts w:cs="Arial"/>
          <w:sz w:val="18"/>
        </w:rPr>
      </w:pPr>
    </w:p>
    <w:p w14:paraId="314E7B99" w14:textId="77777777" w:rsidR="00DF03AD" w:rsidRPr="001E2783" w:rsidRDefault="00DF03AD" w:rsidP="00DF03AD">
      <w:pPr>
        <w:pStyle w:val="Heading3"/>
      </w:pPr>
      <w:bookmarkStart w:id="58" w:name="_Toc274124012"/>
      <w:bookmarkStart w:id="59" w:name="_Toc337727533"/>
      <w:bookmarkStart w:id="60" w:name="_Toc400018499"/>
      <w:r w:rsidRPr="001E2783">
        <w:t>Compliance with ownership and control provisions</w:t>
      </w:r>
      <w:bookmarkEnd w:id="58"/>
      <w:bookmarkEnd w:id="59"/>
      <w:bookmarkEnd w:id="60"/>
    </w:p>
    <w:p w14:paraId="2AE872AD" w14:textId="77777777" w:rsidR="00DF03AD" w:rsidRPr="001E2783" w:rsidRDefault="00DF03AD" w:rsidP="00DF03AD">
      <w:pPr>
        <w:pStyle w:val="BodysubheaderH4"/>
        <w:rPr>
          <w:rFonts w:cs="Arial"/>
        </w:rPr>
      </w:pPr>
      <w:r w:rsidRPr="001E2783">
        <w:rPr>
          <w:rFonts w:cs="Arial"/>
        </w:rPr>
        <w:t>Notifications of changes in control</w:t>
      </w:r>
    </w:p>
    <w:p w14:paraId="32842560" w14:textId="77777777" w:rsidR="00DF03AD" w:rsidRPr="001E2783" w:rsidRDefault="00DF03AD" w:rsidP="00DF03AD">
      <w:pPr>
        <w:spacing w:after="80"/>
        <w:rPr>
          <w:rFonts w:cs="Arial"/>
        </w:rPr>
      </w:pPr>
      <w:r w:rsidRPr="001E2783">
        <w:rPr>
          <w:rFonts w:cs="Arial"/>
        </w:rPr>
        <w:t xml:space="preserve">During the reporting period, the ACMA received notifications </w:t>
      </w:r>
      <w:r w:rsidR="00861F61" w:rsidRPr="001E2783">
        <w:rPr>
          <w:rFonts w:cs="Arial"/>
        </w:rPr>
        <w:t xml:space="preserve">about </w:t>
      </w:r>
      <w:r w:rsidR="00EB074E" w:rsidRPr="001E2783">
        <w:rPr>
          <w:rFonts w:cs="Arial"/>
        </w:rPr>
        <w:t>15</w:t>
      </w:r>
      <w:r w:rsidRPr="001E2783">
        <w:rPr>
          <w:rFonts w:cs="Arial"/>
        </w:rPr>
        <w:t xml:space="preserve"> </w:t>
      </w:r>
      <w:r w:rsidR="00826D5B" w:rsidRPr="001E2783">
        <w:rPr>
          <w:rFonts w:cs="Arial"/>
        </w:rPr>
        <w:t>events</w:t>
      </w:r>
      <w:r w:rsidRPr="001E2783">
        <w:rPr>
          <w:rFonts w:cs="Arial"/>
        </w:rPr>
        <w:t xml:space="preserve"> that affected the control of media operations</w:t>
      </w:r>
      <w:r w:rsidR="00826D5B" w:rsidRPr="001E2783">
        <w:rPr>
          <w:rFonts w:cs="Arial"/>
        </w:rPr>
        <w:t>, m</w:t>
      </w:r>
      <w:r w:rsidRPr="001E2783">
        <w:rPr>
          <w:rFonts w:cs="Arial"/>
        </w:rPr>
        <w:t xml:space="preserve">ost of </w:t>
      </w:r>
      <w:r w:rsidR="00826D5B" w:rsidRPr="001E2783">
        <w:rPr>
          <w:rFonts w:cs="Arial"/>
        </w:rPr>
        <w:t>which</w:t>
      </w:r>
      <w:r w:rsidRPr="001E2783">
        <w:rPr>
          <w:rFonts w:cs="Arial"/>
        </w:rPr>
        <w:t xml:space="preserve"> affected multiple media operations. These notifications of change of control affected:</w:t>
      </w:r>
    </w:p>
    <w:p w14:paraId="129A9524" w14:textId="77777777" w:rsidR="00DF03AD" w:rsidRPr="001E2783" w:rsidRDefault="00826D5B" w:rsidP="00DF03AD">
      <w:pPr>
        <w:pStyle w:val="ListBullet"/>
        <w:tabs>
          <w:tab w:val="clear" w:pos="295"/>
        </w:tabs>
        <w:ind w:left="284"/>
        <w:rPr>
          <w:rFonts w:cs="Arial"/>
        </w:rPr>
      </w:pPr>
      <w:r w:rsidRPr="001E2783">
        <w:rPr>
          <w:rFonts w:cs="Arial"/>
        </w:rPr>
        <w:t>38</w:t>
      </w:r>
      <w:r w:rsidR="00DF03AD" w:rsidRPr="001E2783">
        <w:rPr>
          <w:rFonts w:cs="Arial"/>
        </w:rPr>
        <w:t xml:space="preserve"> commercial radio broadcasting licences</w:t>
      </w:r>
    </w:p>
    <w:p w14:paraId="4F584192" w14:textId="77777777" w:rsidR="00DF03AD" w:rsidRPr="001E2783" w:rsidRDefault="00826D5B" w:rsidP="00DF03AD">
      <w:pPr>
        <w:pStyle w:val="ListBullet"/>
        <w:tabs>
          <w:tab w:val="clear" w:pos="295"/>
        </w:tabs>
        <w:ind w:left="284"/>
        <w:rPr>
          <w:rFonts w:cs="Arial"/>
        </w:rPr>
      </w:pPr>
      <w:r w:rsidRPr="001E2783">
        <w:rPr>
          <w:rFonts w:cs="Arial"/>
        </w:rPr>
        <w:t>50</w:t>
      </w:r>
      <w:r w:rsidR="00DF03AD" w:rsidRPr="001E2783">
        <w:rPr>
          <w:rFonts w:cs="Arial"/>
        </w:rPr>
        <w:t xml:space="preserve"> commercial television broadcasting licences</w:t>
      </w:r>
    </w:p>
    <w:p w14:paraId="07D8606C" w14:textId="77777777" w:rsidR="00DF03AD" w:rsidRPr="001E2783" w:rsidRDefault="00826D5B" w:rsidP="00DF03AD">
      <w:pPr>
        <w:pStyle w:val="ListBullet"/>
        <w:tabs>
          <w:tab w:val="clear" w:pos="295"/>
        </w:tabs>
        <w:spacing w:after="240"/>
        <w:ind w:left="284"/>
        <w:rPr>
          <w:rFonts w:cs="Arial"/>
        </w:rPr>
      </w:pPr>
      <w:r w:rsidRPr="001E2783">
        <w:rPr>
          <w:rFonts w:cs="Arial"/>
        </w:rPr>
        <w:t>10</w:t>
      </w:r>
      <w:r w:rsidR="00DF03AD" w:rsidRPr="001E2783">
        <w:rPr>
          <w:rFonts w:cs="Arial"/>
        </w:rPr>
        <w:t xml:space="preserve"> associated newspapers.</w:t>
      </w:r>
    </w:p>
    <w:p w14:paraId="12F7D5AC" w14:textId="77777777" w:rsidR="00DF03AD" w:rsidRPr="001E2783" w:rsidRDefault="00DF03AD" w:rsidP="00DF03AD">
      <w:pPr>
        <w:spacing w:after="80"/>
        <w:rPr>
          <w:rFonts w:cs="Arial"/>
        </w:rPr>
      </w:pPr>
      <w:r w:rsidRPr="001E2783">
        <w:rPr>
          <w:rFonts w:cs="Arial"/>
        </w:rPr>
        <w:t>The ACMA amended the notifications registers and the RCMG to reflect these changes, making the information publicly available.</w:t>
      </w:r>
    </w:p>
    <w:p w14:paraId="48CCD112" w14:textId="77777777" w:rsidR="00DF03AD" w:rsidRPr="001E2783" w:rsidRDefault="00DF03AD" w:rsidP="00DF03AD">
      <w:pPr>
        <w:rPr>
          <w:rFonts w:cs="Arial"/>
        </w:rPr>
      </w:pPr>
    </w:p>
    <w:p w14:paraId="747D721B" w14:textId="77777777" w:rsidR="00DF03AD" w:rsidRPr="001E2783" w:rsidRDefault="00DF03AD" w:rsidP="00DF03AD">
      <w:pPr>
        <w:pStyle w:val="BodysubheaderH4"/>
        <w:rPr>
          <w:rFonts w:cs="Arial"/>
        </w:rPr>
      </w:pPr>
      <w:r w:rsidRPr="001E2783">
        <w:rPr>
          <w:rFonts w:cs="Arial"/>
        </w:rPr>
        <w:t>Annual notifications</w:t>
      </w:r>
    </w:p>
    <w:p w14:paraId="0B8F7C75" w14:textId="77777777" w:rsidR="00DF03AD" w:rsidRPr="001E2783" w:rsidRDefault="00DF03AD" w:rsidP="00DF03AD">
      <w:pPr>
        <w:rPr>
          <w:rFonts w:cs="Arial"/>
        </w:rPr>
      </w:pPr>
      <w:r w:rsidRPr="001E2783">
        <w:rPr>
          <w:rFonts w:cs="Arial"/>
        </w:rPr>
        <w:t xml:space="preserve">By 30 September each year, commercial television and radio licensees, and the publishers of the newspapers listed in the Associated Newspaper Register must </w:t>
      </w:r>
      <w:r w:rsidR="00861F61" w:rsidRPr="001E2783">
        <w:rPr>
          <w:rFonts w:cs="Arial"/>
        </w:rPr>
        <w:t xml:space="preserve">give </w:t>
      </w:r>
      <w:r w:rsidRPr="001E2783">
        <w:rPr>
          <w:rFonts w:cs="Arial"/>
        </w:rPr>
        <w:t>the ACMA a list of all persons in a position to exercise control of the licence or newspaper as at 30 June of that year.</w:t>
      </w:r>
    </w:p>
    <w:p w14:paraId="1AA657B8" w14:textId="77777777" w:rsidR="00DF03AD" w:rsidRPr="001E2783" w:rsidRDefault="00DF03AD" w:rsidP="00DF03AD">
      <w:pPr>
        <w:rPr>
          <w:rFonts w:cs="Arial"/>
        </w:rPr>
      </w:pPr>
    </w:p>
    <w:p w14:paraId="7A7FDEB2" w14:textId="77777777" w:rsidR="00DC2FC4" w:rsidRPr="001E2783" w:rsidRDefault="00DC2FC4" w:rsidP="00DC2FC4">
      <w:pPr>
        <w:rPr>
          <w:rFonts w:cs="Arial"/>
        </w:rPr>
      </w:pPr>
      <w:r w:rsidRPr="001E2783">
        <w:rPr>
          <w:rFonts w:cs="Arial"/>
        </w:rPr>
        <w:t xml:space="preserve">For the fifth year running, the licensees of all 327 commercial broadcasting licences and publishers of all 46 associated newspapers lodged their annual returns on time. </w:t>
      </w:r>
    </w:p>
    <w:p w14:paraId="168F3CFD" w14:textId="77777777" w:rsidR="00DF03AD" w:rsidRPr="001E2783" w:rsidRDefault="00DF03AD" w:rsidP="00DF03AD">
      <w:pPr>
        <w:rPr>
          <w:rFonts w:cs="Arial"/>
        </w:rPr>
      </w:pPr>
    </w:p>
    <w:p w14:paraId="10238629" w14:textId="77777777" w:rsidR="00DF03AD" w:rsidRPr="001E2783" w:rsidRDefault="00DF03AD" w:rsidP="00DF03AD">
      <w:pPr>
        <w:pStyle w:val="BodysubheaderH4"/>
        <w:rPr>
          <w:rFonts w:cs="Arial"/>
        </w:rPr>
      </w:pPr>
      <w:r w:rsidRPr="001E2783">
        <w:rPr>
          <w:rFonts w:cs="Arial"/>
        </w:rPr>
        <w:t>Enforcement for failure to comply with notification provisions</w:t>
      </w:r>
    </w:p>
    <w:p w14:paraId="3DDE9AFA" w14:textId="77777777" w:rsidR="00DF03AD" w:rsidRPr="001E2783" w:rsidRDefault="00DF03AD" w:rsidP="00DF03AD">
      <w:pPr>
        <w:rPr>
          <w:rFonts w:cs="Arial"/>
        </w:rPr>
      </w:pPr>
      <w:r w:rsidRPr="001E2783">
        <w:rPr>
          <w:rFonts w:cs="Arial"/>
        </w:rPr>
        <w:t>Under Part 14E of the BSA, an authorised infringement notice officer can issue a formal warning (under section 205XA) and this may be followed by an infringement notice (under section 205Y) where the officer has reasonable grounds to believe that a person has contravened a notification provision (section 62, 63 or 64).</w:t>
      </w:r>
    </w:p>
    <w:p w14:paraId="1FEC389F" w14:textId="77777777" w:rsidR="00DF03AD" w:rsidRPr="001E2783" w:rsidRDefault="00DF03AD" w:rsidP="00DF03AD">
      <w:pPr>
        <w:rPr>
          <w:rFonts w:cs="Arial"/>
        </w:rPr>
      </w:pPr>
    </w:p>
    <w:p w14:paraId="4444F065" w14:textId="77777777" w:rsidR="00DC2FC4" w:rsidRPr="001E2783" w:rsidRDefault="00DC2FC4" w:rsidP="00DC2FC4">
      <w:pPr>
        <w:rPr>
          <w:rFonts w:cs="Arial"/>
        </w:rPr>
      </w:pPr>
      <w:r w:rsidRPr="001E2783">
        <w:rPr>
          <w:rFonts w:cs="Arial"/>
        </w:rPr>
        <w:t>Most of the notifications lodged with the ACMA for change of control events that occurred in the reporting period were lodged within statutory time limits. During the reporting period, no infringement notices and two formal warnings were given for late notifications of changes in control. </w:t>
      </w:r>
    </w:p>
    <w:p w14:paraId="23C73B38" w14:textId="77777777" w:rsidR="00DF03AD" w:rsidRPr="001E2783" w:rsidRDefault="00DF03AD" w:rsidP="00DF03AD">
      <w:pPr>
        <w:rPr>
          <w:rFonts w:cs="Arial"/>
        </w:rPr>
      </w:pPr>
    </w:p>
    <w:p w14:paraId="2D3795BB" w14:textId="77777777" w:rsidR="00DF03AD" w:rsidRPr="001E2783" w:rsidRDefault="00DF03AD" w:rsidP="00DF03AD">
      <w:pPr>
        <w:pStyle w:val="BodysubheaderH4"/>
        <w:rPr>
          <w:rFonts w:cs="Arial"/>
        </w:rPr>
      </w:pPr>
      <w:r w:rsidRPr="001E2783">
        <w:rPr>
          <w:rFonts w:cs="Arial"/>
        </w:rPr>
        <w:t>Applications for prior approval</w:t>
      </w:r>
    </w:p>
    <w:p w14:paraId="4877FE3A" w14:textId="77777777" w:rsidR="00DC2FC4" w:rsidRPr="001E2783" w:rsidRDefault="00DC2FC4" w:rsidP="00DC2FC4">
      <w:pPr>
        <w:rPr>
          <w:rFonts w:cs="Arial"/>
        </w:rPr>
      </w:pPr>
      <w:r w:rsidRPr="001E2783">
        <w:rPr>
          <w:rFonts w:cs="Arial"/>
        </w:rPr>
        <w:t xml:space="preserve">The ACMA received no prior approval applications during the reporting period. </w:t>
      </w:r>
    </w:p>
    <w:p w14:paraId="3E60C200" w14:textId="77777777" w:rsidR="00DF03AD" w:rsidRPr="001E2783" w:rsidRDefault="00DF03AD" w:rsidP="00DF03AD">
      <w:pPr>
        <w:rPr>
          <w:rFonts w:cs="Arial"/>
        </w:rPr>
      </w:pPr>
    </w:p>
    <w:p w14:paraId="20FF460E" w14:textId="77777777" w:rsidR="000C4D94" w:rsidRPr="001E2783" w:rsidRDefault="00DF03AD" w:rsidP="008755C1">
      <w:pPr>
        <w:pStyle w:val="Heading2"/>
      </w:pPr>
      <w:bookmarkStart w:id="61" w:name="_Toc274124013"/>
      <w:bookmarkStart w:id="62" w:name="_Toc337727534"/>
      <w:bookmarkStart w:id="63" w:name="_Toc400018500"/>
      <w:r w:rsidRPr="001E2783">
        <w:t>Local content</w:t>
      </w:r>
      <w:bookmarkEnd w:id="61"/>
      <w:bookmarkEnd w:id="62"/>
      <w:bookmarkEnd w:id="63"/>
    </w:p>
    <w:p w14:paraId="7C2F4892" w14:textId="77777777" w:rsidR="007D1C27" w:rsidRPr="001E2783" w:rsidRDefault="007D1C27" w:rsidP="008755C1">
      <w:pPr>
        <w:pStyle w:val="Heading3"/>
      </w:pPr>
      <w:bookmarkStart w:id="64" w:name="_Toc367787635"/>
      <w:bookmarkStart w:id="65" w:name="_Toc400018501"/>
      <w:r w:rsidRPr="001E2783">
        <w:t>Regional television</w:t>
      </w:r>
      <w:bookmarkEnd w:id="64"/>
      <w:bookmarkEnd w:id="65"/>
    </w:p>
    <w:p w14:paraId="3CFFFFCD" w14:textId="77777777" w:rsidR="007D1C27" w:rsidRPr="001E2783" w:rsidRDefault="007D1C27" w:rsidP="008755C1">
      <w:pPr>
        <w:keepNext/>
        <w:spacing w:after="80"/>
        <w:rPr>
          <w:rFonts w:cs="Arial"/>
        </w:rPr>
      </w:pPr>
      <w:r w:rsidRPr="001E2783">
        <w:rPr>
          <w:rFonts w:cs="Arial"/>
        </w:rPr>
        <w:t>Regional commercial television broadcasting licensees in Queensland, New South Wales, Victoria and Tasmania must broadcast minimum amounts of material of local significance (local content) as a result of an additional licence condition imposed on them.</w:t>
      </w:r>
    </w:p>
    <w:p w14:paraId="44053191" w14:textId="77777777" w:rsidR="007D1C27" w:rsidRPr="001E2783" w:rsidRDefault="007D1C27" w:rsidP="007D1C27">
      <w:pPr>
        <w:rPr>
          <w:rFonts w:cs="Arial"/>
        </w:rPr>
      </w:pPr>
      <w:r w:rsidRPr="001E2783">
        <w:rPr>
          <w:rFonts w:cs="Arial"/>
        </w:rPr>
        <w:t>Based on figures provided to the ACMA by the licensees subject to the condition under a self-reporting scheme, all licensees met the quota requirements for the 2013 calendar year.</w:t>
      </w:r>
    </w:p>
    <w:p w14:paraId="164B5634" w14:textId="77777777" w:rsidR="007D1C27" w:rsidRPr="001E2783" w:rsidRDefault="007D1C27" w:rsidP="007D1C27">
      <w:pPr>
        <w:rPr>
          <w:rFonts w:cs="Arial"/>
        </w:rPr>
      </w:pPr>
    </w:p>
    <w:p w14:paraId="6336CA27" w14:textId="77777777" w:rsidR="007D1C27" w:rsidRPr="001E2783" w:rsidRDefault="007D1C27" w:rsidP="007D1C27">
      <w:pPr>
        <w:rPr>
          <w:rFonts w:cs="Arial"/>
        </w:rPr>
      </w:pPr>
      <w:r w:rsidRPr="001E2783">
        <w:rPr>
          <w:rFonts w:cs="Arial"/>
        </w:rPr>
        <w:t xml:space="preserve">In June 2013, following </w:t>
      </w:r>
      <w:r w:rsidR="00A20763" w:rsidRPr="001E2783">
        <w:rPr>
          <w:rFonts w:cs="Arial"/>
        </w:rPr>
        <w:t>a ministerial d</w:t>
      </w:r>
      <w:r w:rsidRPr="001E2783">
        <w:rPr>
          <w:rFonts w:cs="Arial"/>
        </w:rPr>
        <w:t xml:space="preserve">irection, the ACMA commenced a review to investigate the operation and effectiveness of section 43A of the BSA, which sets out local content requirements for regional commercial television broadcasters. The </w:t>
      </w:r>
      <w:r w:rsidR="00A20763" w:rsidRPr="001E2783">
        <w:rPr>
          <w:rFonts w:cs="Arial"/>
        </w:rPr>
        <w:t>d</w:t>
      </w:r>
      <w:r w:rsidRPr="001E2783">
        <w:rPr>
          <w:rFonts w:cs="Arial"/>
        </w:rPr>
        <w:t xml:space="preserve">irection also set out a number of other </w:t>
      </w:r>
      <w:r w:rsidR="00826D5B" w:rsidRPr="001E2783">
        <w:rPr>
          <w:rFonts w:cs="Arial"/>
        </w:rPr>
        <w:t>matters for consideration</w:t>
      </w:r>
      <w:r w:rsidRPr="001E2783">
        <w:rPr>
          <w:rFonts w:cs="Arial"/>
        </w:rPr>
        <w:t>, including whether or not the section 43A obligation should be extended to apply to additional regional areas.</w:t>
      </w:r>
    </w:p>
    <w:p w14:paraId="47F61C06" w14:textId="77777777" w:rsidR="007D1C27" w:rsidRPr="001E2783" w:rsidRDefault="007D1C27" w:rsidP="007D1C27">
      <w:pPr>
        <w:rPr>
          <w:rFonts w:cs="Arial"/>
        </w:rPr>
      </w:pPr>
    </w:p>
    <w:p w14:paraId="479DF48F" w14:textId="082F0BDB" w:rsidR="007D1C27" w:rsidRPr="00642061" w:rsidRDefault="007D1C27" w:rsidP="00642061">
      <w:pPr>
        <w:rPr>
          <w:rFonts w:cs="Arial"/>
          <w:i/>
        </w:rPr>
      </w:pPr>
      <w:r w:rsidRPr="001E2783">
        <w:rPr>
          <w:rFonts w:cs="Arial"/>
        </w:rPr>
        <w:t>The investigation was completed on 24 December 2013</w:t>
      </w:r>
      <w:r w:rsidR="00A20763" w:rsidRPr="001E2783">
        <w:rPr>
          <w:rFonts w:cs="Arial"/>
        </w:rPr>
        <w:t>, and</w:t>
      </w:r>
      <w:r w:rsidRPr="001E2783">
        <w:rPr>
          <w:rFonts w:cs="Arial"/>
        </w:rPr>
        <w:t xml:space="preserve"> the report and its associated attachments sent to the </w:t>
      </w:r>
      <w:r w:rsidR="00A20763" w:rsidRPr="001E2783">
        <w:rPr>
          <w:rFonts w:cs="Arial"/>
        </w:rPr>
        <w:t>m</w:t>
      </w:r>
      <w:r w:rsidRPr="001E2783">
        <w:rPr>
          <w:rFonts w:cs="Arial"/>
        </w:rPr>
        <w:t xml:space="preserve">inister on 6 January 2014. </w:t>
      </w:r>
      <w:r w:rsidR="0090667F" w:rsidRPr="001E2783">
        <w:rPr>
          <w:rFonts w:cs="Arial"/>
        </w:rPr>
        <w:t xml:space="preserve">See the </w:t>
      </w:r>
      <w:r w:rsidR="00642061">
        <w:rPr>
          <w:rFonts w:cs="Arial"/>
          <w:i/>
        </w:rPr>
        <w:t xml:space="preserve">Investigation into local </w:t>
      </w:r>
      <w:r w:rsidR="00642061" w:rsidRPr="00642061">
        <w:rPr>
          <w:rFonts w:cs="Arial"/>
          <w:i/>
        </w:rPr>
        <w:t>content on television</w:t>
      </w:r>
      <w:r w:rsidR="00642061" w:rsidRPr="00642061">
        <w:rPr>
          <w:rFonts w:cs="Arial"/>
        </w:rPr>
        <w:t xml:space="preserve"> </w:t>
      </w:r>
      <w:r w:rsidR="0090667F" w:rsidRPr="001E2783">
        <w:rPr>
          <w:rFonts w:cs="Arial"/>
        </w:rPr>
        <w:t>case study for more information about the investigation.</w:t>
      </w:r>
    </w:p>
    <w:p w14:paraId="11BBFEC0" w14:textId="77777777" w:rsidR="007D1C27" w:rsidRPr="001E2783" w:rsidRDefault="007D1C27" w:rsidP="007D1C27">
      <w:pPr>
        <w:rPr>
          <w:rFonts w:cs="Arial"/>
        </w:rPr>
      </w:pPr>
    </w:p>
    <w:p w14:paraId="7428B555" w14:textId="77777777" w:rsidR="007D1C27" w:rsidRPr="001E2783" w:rsidRDefault="007D1C27" w:rsidP="007D1C27">
      <w:pPr>
        <w:rPr>
          <w:rFonts w:cs="Arial"/>
        </w:rPr>
      </w:pPr>
      <w:r w:rsidRPr="001E2783">
        <w:rPr>
          <w:rFonts w:cs="Arial"/>
        </w:rPr>
        <w:t xml:space="preserve">Following the investigation and </w:t>
      </w:r>
      <w:r w:rsidR="00A20763" w:rsidRPr="001E2783">
        <w:rPr>
          <w:rFonts w:cs="Arial"/>
        </w:rPr>
        <w:t>taking into account</w:t>
      </w:r>
      <w:r w:rsidRPr="001E2783">
        <w:rPr>
          <w:rFonts w:cs="Arial"/>
        </w:rPr>
        <w:t xml:space="preserve"> the high level of licensee compliance, including </w:t>
      </w:r>
      <w:r w:rsidR="00A20763" w:rsidRPr="001E2783">
        <w:rPr>
          <w:rFonts w:cs="Arial"/>
        </w:rPr>
        <w:t>its</w:t>
      </w:r>
      <w:r w:rsidRPr="001E2783">
        <w:rPr>
          <w:rFonts w:cs="Arial"/>
        </w:rPr>
        <w:t xml:space="preserve"> high visibility, the ACMA decided to amend the licence condition to remove reporting obligations and reduce the current record-keeping requirements.</w:t>
      </w:r>
      <w:r w:rsidR="0090667F" w:rsidRPr="001E2783">
        <w:rPr>
          <w:rFonts w:cs="Arial"/>
        </w:rPr>
        <w:t xml:space="preserve"> On 16 June 2014, the ACMA released a proposal to remake the licence condition, with comments due early in the next reporting period.</w:t>
      </w:r>
    </w:p>
    <w:p w14:paraId="58C176D0" w14:textId="77777777" w:rsidR="00AF1D28" w:rsidRPr="001E2783" w:rsidRDefault="00AF1D28" w:rsidP="00AF1D28">
      <w:pPr>
        <w:rPr>
          <w:rFonts w:cs="Arial"/>
        </w:rPr>
      </w:pPr>
    </w:p>
    <w:tbl>
      <w:tblPr>
        <w:tblW w:w="9645" w:type="dxa"/>
        <w:tblInd w:w="28" w:type="dxa"/>
        <w:shd w:val="clear" w:color="auto" w:fill="F2F2F2" w:themeFill="background1" w:themeFillShade="F2"/>
        <w:tblLayout w:type="fixed"/>
        <w:tblCellMar>
          <w:left w:w="0" w:type="dxa"/>
          <w:right w:w="0" w:type="dxa"/>
        </w:tblCellMar>
        <w:tblLook w:val="01E0" w:firstRow="1" w:lastRow="1" w:firstColumn="1" w:lastColumn="1" w:noHBand="0" w:noVBand="0"/>
      </w:tblPr>
      <w:tblGrid>
        <w:gridCol w:w="9645"/>
      </w:tblGrid>
      <w:tr w:rsidR="001E2783" w:rsidRPr="001E2783" w14:paraId="5384A308" w14:textId="77777777" w:rsidTr="00AF1D28">
        <w:trPr>
          <w:trHeight w:val="3086"/>
        </w:trPr>
        <w:tc>
          <w:tcPr>
            <w:tcW w:w="9645" w:type="dxa"/>
            <w:shd w:val="clear" w:color="auto" w:fill="F2F2F2" w:themeFill="background1" w:themeFillShade="F2"/>
            <w:tcMar>
              <w:left w:w="28" w:type="dxa"/>
            </w:tcMar>
          </w:tcPr>
          <w:p w14:paraId="10F7EA00" w14:textId="77777777" w:rsidR="00AF1D28" w:rsidRPr="001E2783" w:rsidRDefault="00AF1D28" w:rsidP="00AF1D28">
            <w:pPr>
              <w:pStyle w:val="Caption"/>
              <w:keepNext/>
              <w:pBdr>
                <w:top w:val="single" w:sz="4" w:space="1" w:color="auto"/>
              </w:pBdr>
              <w:rPr>
                <w:rFonts w:ascii="Arial" w:hAnsi="Arial" w:cs="Arial"/>
                <w:color w:val="auto"/>
              </w:rPr>
            </w:pPr>
            <w:r w:rsidRPr="001E2783">
              <w:rPr>
                <w:rFonts w:ascii="Arial" w:hAnsi="Arial" w:cs="Arial"/>
                <w:color w:val="auto"/>
              </w:rPr>
              <w:t>Case study</w:t>
            </w:r>
          </w:p>
          <w:p w14:paraId="11D8ACB6" w14:textId="77777777" w:rsidR="007B2110" w:rsidRPr="001E2783" w:rsidRDefault="002B5DD1" w:rsidP="00826D5B">
            <w:pPr>
              <w:rPr>
                <w:rFonts w:cs="Arial"/>
                <w:b/>
                <w:lang w:val="en-US"/>
              </w:rPr>
            </w:pPr>
            <w:r w:rsidRPr="001E2783">
              <w:rPr>
                <w:rFonts w:cs="Arial"/>
                <w:b/>
                <w:lang w:val="en-US"/>
              </w:rPr>
              <w:t>Investigation into local content on t</w:t>
            </w:r>
            <w:r w:rsidR="007B2110" w:rsidRPr="001E2783">
              <w:rPr>
                <w:rFonts w:cs="Arial"/>
                <w:b/>
                <w:lang w:val="en-US"/>
              </w:rPr>
              <w:t xml:space="preserve">elevision </w:t>
            </w:r>
          </w:p>
          <w:p w14:paraId="40668A20" w14:textId="77777777" w:rsidR="00826D5B" w:rsidRPr="001E2783" w:rsidRDefault="00826D5B" w:rsidP="00826D5B">
            <w:pPr>
              <w:rPr>
                <w:rFonts w:cs="Arial"/>
                <w:szCs w:val="20"/>
              </w:rPr>
            </w:pPr>
            <w:r w:rsidRPr="001E2783">
              <w:rPr>
                <w:rFonts w:cs="Arial"/>
                <w:szCs w:val="20"/>
              </w:rPr>
              <w:t xml:space="preserve">Under section 43A of the BSA, the ACMA must have in force at all times a licence condition that requires specified regional commercial television broadcasting licensees to broadcast a minimum level of material </w:t>
            </w:r>
            <w:r w:rsidR="007B2110" w:rsidRPr="001E2783">
              <w:rPr>
                <w:rFonts w:cs="Arial"/>
                <w:szCs w:val="20"/>
              </w:rPr>
              <w:t>of local significance (‘</w:t>
            </w:r>
            <w:r w:rsidRPr="001E2783">
              <w:rPr>
                <w:rFonts w:cs="Arial"/>
                <w:szCs w:val="20"/>
              </w:rPr>
              <w:t>local content</w:t>
            </w:r>
            <w:r w:rsidR="007B2110" w:rsidRPr="001E2783">
              <w:rPr>
                <w:rFonts w:cs="Arial"/>
                <w:szCs w:val="20"/>
              </w:rPr>
              <w:t>’</w:t>
            </w:r>
            <w:r w:rsidRPr="001E2783">
              <w:rPr>
                <w:rFonts w:cs="Arial"/>
                <w:szCs w:val="20"/>
              </w:rPr>
              <w:t xml:space="preserve">). The current section 43A scheme has now been in place for </w:t>
            </w:r>
            <w:r w:rsidR="007B2110" w:rsidRPr="001E2783">
              <w:rPr>
                <w:rFonts w:cs="Arial"/>
                <w:szCs w:val="20"/>
              </w:rPr>
              <w:t>about</w:t>
            </w:r>
            <w:r w:rsidRPr="001E2783">
              <w:rPr>
                <w:rFonts w:cs="Arial"/>
                <w:szCs w:val="20"/>
              </w:rPr>
              <w:t xml:space="preserve"> a decade.</w:t>
            </w:r>
          </w:p>
          <w:p w14:paraId="38CDB675" w14:textId="77777777" w:rsidR="00826D5B" w:rsidRPr="001E2783" w:rsidRDefault="00826D5B" w:rsidP="00826D5B">
            <w:pPr>
              <w:rPr>
                <w:rFonts w:cs="Arial"/>
                <w:szCs w:val="20"/>
              </w:rPr>
            </w:pPr>
          </w:p>
          <w:p w14:paraId="46DD6F42" w14:textId="77777777" w:rsidR="00826D5B" w:rsidRPr="001E2783" w:rsidRDefault="00826D5B" w:rsidP="00826D5B">
            <w:pPr>
              <w:rPr>
                <w:rFonts w:cs="Arial"/>
                <w:szCs w:val="20"/>
              </w:rPr>
            </w:pPr>
            <w:r w:rsidRPr="001E2783">
              <w:rPr>
                <w:rFonts w:cs="Arial"/>
                <w:szCs w:val="20"/>
              </w:rPr>
              <w:t>The scheme was introduced when there were concerns about potential reductions in local con</w:t>
            </w:r>
            <w:r w:rsidR="007B2110" w:rsidRPr="001E2783">
              <w:rPr>
                <w:rFonts w:cs="Arial"/>
                <w:szCs w:val="20"/>
              </w:rPr>
              <w:t>tent by regional broadcasters—</w:t>
            </w:r>
            <w:r w:rsidRPr="001E2783">
              <w:rPr>
                <w:rFonts w:cs="Arial"/>
                <w:szCs w:val="20"/>
              </w:rPr>
              <w:t>mainly the loss of local news bulletins. The scheme operates by requiring all licensees in large aggr</w:t>
            </w:r>
            <w:r w:rsidR="007B2110" w:rsidRPr="001E2783">
              <w:rPr>
                <w:rFonts w:cs="Arial"/>
                <w:szCs w:val="20"/>
              </w:rPr>
              <w:t>egated markets to meet ‘points’-</w:t>
            </w:r>
            <w:r w:rsidRPr="001E2783">
              <w:rPr>
                <w:rFonts w:cs="Arial"/>
                <w:szCs w:val="20"/>
              </w:rPr>
              <w:t>based targets</w:t>
            </w:r>
            <w:r w:rsidR="007B2110" w:rsidRPr="001E2783">
              <w:rPr>
                <w:rFonts w:cs="Arial"/>
                <w:szCs w:val="20"/>
              </w:rPr>
              <w:t>,</w:t>
            </w:r>
            <w:r w:rsidRPr="001E2783">
              <w:rPr>
                <w:rFonts w:cs="Arial"/>
                <w:szCs w:val="20"/>
              </w:rPr>
              <w:t xml:space="preserve"> with the scheme weighted towards local news bulletins. </w:t>
            </w:r>
          </w:p>
          <w:p w14:paraId="38021F21" w14:textId="77777777" w:rsidR="00826D5B" w:rsidRPr="001E2783" w:rsidRDefault="00826D5B" w:rsidP="00826D5B">
            <w:pPr>
              <w:rPr>
                <w:rFonts w:cs="Arial"/>
                <w:szCs w:val="20"/>
              </w:rPr>
            </w:pPr>
          </w:p>
          <w:p w14:paraId="4470FAE5" w14:textId="77777777" w:rsidR="00141018" w:rsidRPr="001E2783" w:rsidRDefault="00826D5B" w:rsidP="00826D5B">
            <w:pPr>
              <w:rPr>
                <w:rFonts w:cs="Arial"/>
                <w:szCs w:val="20"/>
              </w:rPr>
            </w:pPr>
            <w:r w:rsidRPr="001E2783">
              <w:rPr>
                <w:rFonts w:cs="Arial"/>
                <w:szCs w:val="20"/>
              </w:rPr>
              <w:t>In 2013, the then Minister for Broadband, Communications and the Digital Economy directed the ACMA to review the operation and effectiveness of the current section 43A scheme. The ACMA was further directed to consider a number of factors, including the importance of local content in regional Australia, the economic circumstances facing commercial television broadcasting licensees, how to maintain and enhance access to local content, and whether section 43A should be extended to additional regional areas.</w:t>
            </w:r>
          </w:p>
          <w:p w14:paraId="3D560F17" w14:textId="77777777" w:rsidR="00826D5B" w:rsidRPr="001E2783" w:rsidRDefault="00826D5B" w:rsidP="00826D5B">
            <w:pPr>
              <w:rPr>
                <w:rFonts w:cs="Arial"/>
                <w:szCs w:val="20"/>
              </w:rPr>
            </w:pPr>
          </w:p>
          <w:p w14:paraId="298DAE6A" w14:textId="77777777" w:rsidR="00141018" w:rsidRPr="001E2783" w:rsidRDefault="00141018" w:rsidP="0090667F">
            <w:pPr>
              <w:rPr>
                <w:rFonts w:cs="Arial"/>
                <w:szCs w:val="20"/>
              </w:rPr>
            </w:pPr>
            <w:r w:rsidRPr="001E2783">
              <w:rPr>
                <w:rFonts w:cs="Arial"/>
                <w:szCs w:val="20"/>
              </w:rPr>
              <w:t xml:space="preserve">The investigation found that section 43A is operating effectively in affected regional areas and there is no clear case for extending it to additional regional areas. </w:t>
            </w:r>
            <w:r w:rsidR="007B2110" w:rsidRPr="001E2783">
              <w:rPr>
                <w:rFonts w:cs="Arial"/>
                <w:szCs w:val="20"/>
              </w:rPr>
              <w:t>It</w:t>
            </w:r>
            <w:r w:rsidRPr="001E2783">
              <w:rPr>
                <w:rFonts w:cs="Arial"/>
                <w:szCs w:val="20"/>
              </w:rPr>
              <w:t xml:space="preserve"> also recommended that the licence condition be amended to remove or reduce the reporting requirements.</w:t>
            </w:r>
          </w:p>
          <w:p w14:paraId="3B68CFCE" w14:textId="77777777" w:rsidR="00141018" w:rsidRPr="001E2783" w:rsidRDefault="00141018" w:rsidP="00141018">
            <w:pPr>
              <w:rPr>
                <w:rFonts w:cs="Arial"/>
                <w:szCs w:val="20"/>
              </w:rPr>
            </w:pPr>
          </w:p>
          <w:p w14:paraId="3EF8EDA0" w14:textId="77777777" w:rsidR="0090667F" w:rsidRPr="001E2783" w:rsidRDefault="0090667F" w:rsidP="0090667F">
            <w:pPr>
              <w:rPr>
                <w:rFonts w:cs="Arial"/>
                <w:szCs w:val="20"/>
              </w:rPr>
            </w:pPr>
            <w:r w:rsidRPr="001E2783">
              <w:rPr>
                <w:rFonts w:cs="Arial"/>
                <w:szCs w:val="20"/>
              </w:rPr>
              <w:t xml:space="preserve">The ACMA’s investigation drew heavily on the content of research analysis; in particular, the survey of regional Australians, audience ratings data, a series of local content case studies and a peer-reviewed economic analysis. These sources provided insights into how local content in regional Australia is perceived and valued, as well as the economic circumstances of regional broadcasters. </w:t>
            </w:r>
          </w:p>
          <w:p w14:paraId="6EC0DA28" w14:textId="77777777" w:rsidR="00105157" w:rsidRPr="001E2783" w:rsidRDefault="00105157" w:rsidP="0090667F">
            <w:pPr>
              <w:rPr>
                <w:rFonts w:cs="Arial"/>
                <w:szCs w:val="20"/>
              </w:rPr>
            </w:pPr>
          </w:p>
          <w:p w14:paraId="777E11DC" w14:textId="77777777" w:rsidR="0090667F" w:rsidRPr="001E2783" w:rsidRDefault="0090667F" w:rsidP="00105157">
            <w:pPr>
              <w:spacing w:after="80"/>
              <w:rPr>
                <w:rFonts w:cs="Arial"/>
                <w:szCs w:val="20"/>
              </w:rPr>
            </w:pPr>
            <w:r w:rsidRPr="001E2783">
              <w:rPr>
                <w:rFonts w:cs="Arial"/>
                <w:szCs w:val="20"/>
              </w:rPr>
              <w:t>The key findings arising from the investigation were that:</w:t>
            </w:r>
          </w:p>
          <w:p w14:paraId="3A802354" w14:textId="77777777" w:rsidR="0090667F" w:rsidRPr="001E2783" w:rsidRDefault="0090667F" w:rsidP="00105157">
            <w:pPr>
              <w:pStyle w:val="ListBullet"/>
              <w:rPr>
                <w:rFonts w:cs="Arial"/>
              </w:rPr>
            </w:pPr>
            <w:r w:rsidRPr="001E2783">
              <w:rPr>
                <w:rFonts w:cs="Arial"/>
              </w:rPr>
              <w:t>local content is important and v</w:t>
            </w:r>
            <w:r w:rsidR="00105157" w:rsidRPr="001E2783">
              <w:rPr>
                <w:rFonts w:cs="Arial"/>
              </w:rPr>
              <w:t>alued by regional Australians—</w:t>
            </w:r>
            <w:r w:rsidRPr="001E2783">
              <w:rPr>
                <w:rFonts w:cs="Arial"/>
              </w:rPr>
              <w:t>overall, 91 per cent of regional Australians surveyed in mid-2013 said access to local content was important or very important to them</w:t>
            </w:r>
          </w:p>
          <w:p w14:paraId="60D81179" w14:textId="77777777" w:rsidR="0090667F" w:rsidRPr="001E2783" w:rsidRDefault="0090667F" w:rsidP="00105157">
            <w:pPr>
              <w:pStyle w:val="ListBullet"/>
              <w:rPr>
                <w:rFonts w:cs="Arial"/>
              </w:rPr>
            </w:pPr>
            <w:r w:rsidRPr="001E2783">
              <w:rPr>
                <w:rFonts w:cs="Arial"/>
              </w:rPr>
              <w:t>regional Australians are largely satisfied with the current leve</w:t>
            </w:r>
            <w:r w:rsidR="00105157" w:rsidRPr="001E2783">
              <w:rPr>
                <w:rFonts w:cs="Arial"/>
              </w:rPr>
              <w:t>ls of local content available—</w:t>
            </w:r>
            <w:r w:rsidRPr="001E2783">
              <w:rPr>
                <w:rFonts w:cs="Arial"/>
              </w:rPr>
              <w:t>the same proportion (91 per cent) also said they had access to all of the local content they would like</w:t>
            </w:r>
          </w:p>
          <w:p w14:paraId="5C23457E" w14:textId="77777777" w:rsidR="0090667F" w:rsidRPr="001E2783" w:rsidRDefault="0090667F" w:rsidP="00105157">
            <w:pPr>
              <w:pStyle w:val="ListBullet"/>
              <w:rPr>
                <w:rFonts w:cs="Arial"/>
              </w:rPr>
            </w:pPr>
            <w:r w:rsidRPr="001E2783">
              <w:rPr>
                <w:rFonts w:cs="Arial"/>
              </w:rPr>
              <w:t>regional Australians access local content across a wide variety of sources</w:t>
            </w:r>
          </w:p>
          <w:p w14:paraId="502DDA40" w14:textId="77777777" w:rsidR="0090667F" w:rsidRPr="001E2783" w:rsidRDefault="0090667F" w:rsidP="00105157">
            <w:pPr>
              <w:pStyle w:val="ListBullet"/>
              <w:rPr>
                <w:rFonts w:cs="Arial"/>
              </w:rPr>
            </w:pPr>
            <w:r w:rsidRPr="001E2783">
              <w:rPr>
                <w:rFonts w:cs="Arial"/>
              </w:rPr>
              <w:t>television is the source most used for regional news and is the preferred source for local news, although the audience for this is declining (a trend that applies to both local and metropolitan television news services)</w:t>
            </w:r>
          </w:p>
          <w:p w14:paraId="0A1A9D2C" w14:textId="77777777" w:rsidR="0090667F" w:rsidRPr="001E2783" w:rsidRDefault="0090667F" w:rsidP="00105157">
            <w:pPr>
              <w:pStyle w:val="ListBullet"/>
              <w:rPr>
                <w:rFonts w:cs="Arial"/>
              </w:rPr>
            </w:pPr>
            <w:r w:rsidRPr="001E2783">
              <w:rPr>
                <w:rFonts w:cs="Arial"/>
              </w:rPr>
              <w:t>there are commercial incentives for some regional broadcasters to provide local content</w:t>
            </w:r>
          </w:p>
          <w:p w14:paraId="3A0C653F" w14:textId="77777777" w:rsidR="0090667F" w:rsidRPr="001E2783" w:rsidRDefault="0090667F" w:rsidP="00105157">
            <w:pPr>
              <w:pStyle w:val="ListBullet"/>
              <w:rPr>
                <w:rFonts w:cs="Arial"/>
              </w:rPr>
            </w:pPr>
            <w:r w:rsidRPr="001E2783">
              <w:rPr>
                <w:rFonts w:cs="Arial"/>
              </w:rPr>
              <w:t>providing local content on commercial television is a high-cost activity and not necessarily profitable in all markets</w:t>
            </w:r>
          </w:p>
          <w:p w14:paraId="0894E793" w14:textId="77777777" w:rsidR="00AF1D28" w:rsidRPr="001E2783" w:rsidRDefault="0090667F" w:rsidP="006F4EBA">
            <w:pPr>
              <w:pStyle w:val="ListBullet"/>
              <w:spacing w:after="240"/>
              <w:rPr>
                <w:rFonts w:cs="Arial"/>
              </w:rPr>
            </w:pPr>
            <w:r w:rsidRPr="001E2783">
              <w:rPr>
                <w:rFonts w:cs="Arial"/>
              </w:rPr>
              <w:t xml:space="preserve">funding pressures affecting regional broadcasters are likely to continue. </w:t>
            </w:r>
          </w:p>
        </w:tc>
      </w:tr>
      <w:tr w:rsidR="001E2783" w:rsidRPr="001E2783" w14:paraId="607B594A" w14:textId="77777777" w:rsidTr="00AF1D28">
        <w:trPr>
          <w:trHeight w:val="291"/>
        </w:trPr>
        <w:tc>
          <w:tcPr>
            <w:tcW w:w="9645" w:type="dxa"/>
            <w:tcBorders>
              <w:bottom w:val="single" w:sz="2" w:space="0" w:color="505050"/>
            </w:tcBorders>
            <w:shd w:val="clear" w:color="auto" w:fill="F2F2F2" w:themeFill="background1" w:themeFillShade="F2"/>
          </w:tcPr>
          <w:p w14:paraId="226F3F54" w14:textId="77777777" w:rsidR="005F689A" w:rsidRPr="001E2783" w:rsidRDefault="006F4EBA" w:rsidP="006F4EBA">
            <w:pPr>
              <w:rPr>
                <w:rFonts w:cs="Arial"/>
                <w:szCs w:val="20"/>
              </w:rPr>
            </w:pPr>
            <w:r w:rsidRPr="001E2783">
              <w:rPr>
                <w:rFonts w:cs="Arial"/>
                <w:szCs w:val="20"/>
              </w:rPr>
              <w:t>The ACMA also gave consideration to alternative approaches that could underpin the future delivery of local content to viewers living in regional Australia. This includes incentivising the delivery of local content—potentially through rebate, tender arrangements and tradeable obligation arrangements.</w:t>
            </w:r>
          </w:p>
          <w:p w14:paraId="20DD2FB1" w14:textId="77777777" w:rsidR="00AF1D28" w:rsidRPr="001E2783" w:rsidRDefault="00AF1D28" w:rsidP="00AF1D28">
            <w:pPr>
              <w:rPr>
                <w:rFonts w:cs="Arial"/>
              </w:rPr>
            </w:pPr>
          </w:p>
        </w:tc>
      </w:tr>
    </w:tbl>
    <w:p w14:paraId="771D4A5D" w14:textId="77777777" w:rsidR="007D1C27" w:rsidRPr="001E2783" w:rsidRDefault="007D1C27" w:rsidP="007D1C27">
      <w:pPr>
        <w:rPr>
          <w:rFonts w:cs="Arial"/>
        </w:rPr>
      </w:pPr>
    </w:p>
    <w:p w14:paraId="39BAD3DD" w14:textId="77777777" w:rsidR="00DF03AD" w:rsidRPr="001E2783" w:rsidRDefault="00DF03AD" w:rsidP="008755C1">
      <w:pPr>
        <w:pStyle w:val="Heading3"/>
        <w:keepLines/>
      </w:pPr>
      <w:bookmarkStart w:id="66" w:name="_Toc400018502"/>
      <w:r w:rsidRPr="001E2783">
        <w:t>Regional radio</w:t>
      </w:r>
      <w:bookmarkEnd w:id="66"/>
    </w:p>
    <w:p w14:paraId="4F5E8559" w14:textId="77777777" w:rsidR="009F1147" w:rsidRPr="001E2783" w:rsidRDefault="009F1147" w:rsidP="008755C1">
      <w:pPr>
        <w:pStyle w:val="BodysubheaderH4"/>
        <w:keepLines/>
        <w:rPr>
          <w:rFonts w:cs="Arial"/>
        </w:rPr>
      </w:pPr>
      <w:r w:rsidRPr="001E2783">
        <w:rPr>
          <w:rFonts w:cs="Arial"/>
        </w:rPr>
        <w:t>Local content—all regional commercial radio broadcasting licensees</w:t>
      </w:r>
    </w:p>
    <w:p w14:paraId="782E8CC8" w14:textId="77777777" w:rsidR="009F1147" w:rsidRPr="001E2783" w:rsidRDefault="009F1147" w:rsidP="008755C1">
      <w:pPr>
        <w:keepLines/>
        <w:rPr>
          <w:rFonts w:cs="Arial"/>
        </w:rPr>
      </w:pPr>
      <w:r w:rsidRPr="001E2783">
        <w:rPr>
          <w:rFonts w:cs="Arial"/>
        </w:rPr>
        <w:t>The Broadcasting Servi</w:t>
      </w:r>
      <w:r w:rsidR="00A20763" w:rsidRPr="001E2783">
        <w:rPr>
          <w:rFonts w:cs="Arial"/>
        </w:rPr>
        <w:t>ces (Regional Commercial Radio –</w:t>
      </w:r>
      <w:r w:rsidRPr="001E2783">
        <w:rPr>
          <w:rFonts w:cs="Arial"/>
        </w:rPr>
        <w:t xml:space="preserve"> Material of Local Significance) Licence Condition 2012 requires 211 regional commercial radio licensees to broadcast prescribed amounts of material of local significance (</w:t>
      </w:r>
      <w:r w:rsidR="007B2110" w:rsidRPr="001E2783">
        <w:rPr>
          <w:rFonts w:cs="Arial"/>
        </w:rPr>
        <w:t>known as ‘</w:t>
      </w:r>
      <w:r w:rsidRPr="001E2783">
        <w:rPr>
          <w:rFonts w:cs="Arial"/>
        </w:rPr>
        <w:t>local content</w:t>
      </w:r>
      <w:r w:rsidR="007B2110" w:rsidRPr="001E2783">
        <w:rPr>
          <w:rFonts w:cs="Arial"/>
        </w:rPr>
        <w:t>’</w:t>
      </w:r>
      <w:r w:rsidRPr="001E2783">
        <w:rPr>
          <w:rFonts w:cs="Arial"/>
        </w:rPr>
        <w:t>) between 5 am and 8 pm on business days.</w:t>
      </w:r>
      <w:r w:rsidR="001E6DBC" w:rsidRPr="001E2783">
        <w:rPr>
          <w:rStyle w:val="FootnoteReference"/>
          <w:rFonts w:cs="Arial"/>
        </w:rPr>
        <w:footnoteReference w:id="1"/>
      </w:r>
      <w:r w:rsidRPr="001E2783">
        <w:rPr>
          <w:rFonts w:cs="Arial"/>
        </w:rPr>
        <w:t xml:space="preserve"> Licensees are exempt from this obligatio</w:t>
      </w:r>
      <w:r w:rsidR="001E6DBC" w:rsidRPr="001E2783">
        <w:rPr>
          <w:rFonts w:cs="Arial"/>
        </w:rPr>
        <w:t>n for a five-</w:t>
      </w:r>
      <w:r w:rsidRPr="001E2783">
        <w:rPr>
          <w:rFonts w:cs="Arial"/>
        </w:rPr>
        <w:t>week ‘holiday’ period each year.</w:t>
      </w:r>
    </w:p>
    <w:p w14:paraId="2CDBD29D" w14:textId="77777777" w:rsidR="00086EE2" w:rsidRPr="001E2783" w:rsidRDefault="00086EE2" w:rsidP="00086EE2">
      <w:pPr>
        <w:rPr>
          <w:rFonts w:cs="Arial"/>
        </w:rPr>
      </w:pPr>
    </w:p>
    <w:p w14:paraId="082B918D" w14:textId="77777777" w:rsidR="009F1147" w:rsidRPr="001E2783" w:rsidRDefault="009F1147" w:rsidP="00086EE2">
      <w:pPr>
        <w:rPr>
          <w:rFonts w:cs="Arial"/>
        </w:rPr>
      </w:pPr>
      <w:r w:rsidRPr="001E2783">
        <w:rPr>
          <w:rFonts w:cs="Arial"/>
        </w:rPr>
        <w:t xml:space="preserve">Annual reporting from licensees submitted by 30 September 2013 for the 2012–13 financial year showed a very high level of compliance with the local content licence condition. All 211 licensees broadcast the prescribed amount of local content. </w:t>
      </w:r>
    </w:p>
    <w:p w14:paraId="0A7B90C3" w14:textId="77777777" w:rsidR="009F1147" w:rsidRPr="001E2783" w:rsidRDefault="009F1147" w:rsidP="009F1147">
      <w:pPr>
        <w:rPr>
          <w:rFonts w:cs="Arial"/>
        </w:rPr>
      </w:pPr>
    </w:p>
    <w:p w14:paraId="416D47B4" w14:textId="77777777" w:rsidR="009F1147" w:rsidRPr="001E2783" w:rsidRDefault="009F1147" w:rsidP="009F1147">
      <w:pPr>
        <w:pStyle w:val="BodysubheaderH4"/>
        <w:rPr>
          <w:rFonts w:cs="Arial"/>
        </w:rPr>
      </w:pPr>
      <w:r w:rsidRPr="001E2783">
        <w:rPr>
          <w:rFonts w:cs="Arial"/>
        </w:rPr>
        <w:t>Investigations—local content licence condition</w:t>
      </w:r>
    </w:p>
    <w:p w14:paraId="1864AD71" w14:textId="77777777" w:rsidR="009F1147" w:rsidRPr="001E2783" w:rsidRDefault="009F1147" w:rsidP="009F1147">
      <w:pPr>
        <w:spacing w:after="240"/>
        <w:rPr>
          <w:rFonts w:cs="Arial"/>
        </w:rPr>
      </w:pPr>
      <w:r w:rsidRPr="001E2783">
        <w:rPr>
          <w:rFonts w:cs="Arial"/>
        </w:rPr>
        <w:t xml:space="preserve">During the reporting period, there were no complaints or investigations </w:t>
      </w:r>
      <w:r w:rsidR="00000EB7" w:rsidRPr="001E2783">
        <w:rPr>
          <w:rFonts w:cs="Arial"/>
        </w:rPr>
        <w:t>involving</w:t>
      </w:r>
      <w:r w:rsidRPr="001E2783">
        <w:rPr>
          <w:rFonts w:cs="Arial"/>
        </w:rPr>
        <w:t xml:space="preserve"> compliance with the local content licence condition. </w:t>
      </w:r>
    </w:p>
    <w:p w14:paraId="695E94DA" w14:textId="77777777" w:rsidR="009F1147" w:rsidRPr="001E2783" w:rsidRDefault="009F1147" w:rsidP="009F1147">
      <w:pPr>
        <w:pStyle w:val="BodysubheaderH4"/>
        <w:rPr>
          <w:rFonts w:cs="Arial"/>
        </w:rPr>
      </w:pPr>
      <w:r w:rsidRPr="001E2783">
        <w:rPr>
          <w:rFonts w:cs="Arial"/>
        </w:rPr>
        <w:t>Local content and presence obligations due to a trigger event</w:t>
      </w:r>
      <w:r w:rsidRPr="001E2783">
        <w:rPr>
          <w:rStyle w:val="FootnoteReference"/>
          <w:rFonts w:cs="Arial"/>
        </w:rPr>
        <w:footnoteReference w:id="2"/>
      </w:r>
    </w:p>
    <w:p w14:paraId="6C815000" w14:textId="77777777" w:rsidR="009F1147" w:rsidRPr="001E2783" w:rsidRDefault="009F1147" w:rsidP="009F1147">
      <w:pPr>
        <w:spacing w:after="80"/>
        <w:rPr>
          <w:rFonts w:cs="Arial"/>
        </w:rPr>
      </w:pPr>
      <w:r w:rsidRPr="001E2783">
        <w:rPr>
          <w:rFonts w:cs="Arial"/>
        </w:rPr>
        <w:t>Under the BSA, a regional commercial radio licensee affected by a trigger event is required to:</w:t>
      </w:r>
      <w:r w:rsidR="001E6DBC" w:rsidRPr="001E2783">
        <w:rPr>
          <w:rStyle w:val="FootnoteReference"/>
          <w:rFonts w:cs="Arial"/>
        </w:rPr>
        <w:footnoteReference w:id="3"/>
      </w:r>
      <w:r w:rsidRPr="001E2783">
        <w:rPr>
          <w:rFonts w:cs="Arial"/>
        </w:rPr>
        <w:t xml:space="preserve"> </w:t>
      </w:r>
    </w:p>
    <w:p w14:paraId="37E703EA" w14:textId="77777777" w:rsidR="009F1147" w:rsidRPr="001E2783" w:rsidRDefault="009F1147" w:rsidP="009F1147">
      <w:pPr>
        <w:pStyle w:val="ListBullet"/>
        <w:rPr>
          <w:rFonts w:cs="Arial"/>
        </w:rPr>
      </w:pPr>
      <w:r w:rsidRPr="001E2783">
        <w:rPr>
          <w:rFonts w:cs="Arial"/>
        </w:rPr>
        <w:t>broadcast specified amounts of local news and information for 47 weeks per year (minimum service sta</w:t>
      </w:r>
      <w:r w:rsidR="001E6DBC" w:rsidRPr="001E2783">
        <w:rPr>
          <w:rFonts w:cs="Arial"/>
        </w:rPr>
        <w:t>ndards)</w:t>
      </w:r>
    </w:p>
    <w:p w14:paraId="348E01D9" w14:textId="77777777" w:rsidR="009F1147" w:rsidRPr="001E2783" w:rsidRDefault="009F1147" w:rsidP="009F1147">
      <w:pPr>
        <w:pStyle w:val="ListBullet"/>
        <w:spacing w:after="240"/>
        <w:rPr>
          <w:rFonts w:cs="Arial"/>
        </w:rPr>
      </w:pPr>
      <w:r w:rsidRPr="001E2783">
        <w:rPr>
          <w:rFonts w:cs="Arial"/>
        </w:rPr>
        <w:t>maintain existing levels of local presence (local staff and facilities) for 24 months from the date of the trigger event.</w:t>
      </w:r>
    </w:p>
    <w:p w14:paraId="46E9B381" w14:textId="77777777" w:rsidR="009F1147" w:rsidRPr="001E2783" w:rsidRDefault="009F1147" w:rsidP="00086EE2">
      <w:pPr>
        <w:rPr>
          <w:rFonts w:cs="Arial"/>
        </w:rPr>
      </w:pPr>
      <w:r w:rsidRPr="001E2783">
        <w:rPr>
          <w:rFonts w:cs="Arial"/>
        </w:rPr>
        <w:t>Once a trigger event occurs for a licence, the licensee must give the ACMA a draft local content plan within 90 days set</w:t>
      </w:r>
      <w:r w:rsidR="00000EB7" w:rsidRPr="001E2783">
        <w:rPr>
          <w:rFonts w:cs="Arial"/>
        </w:rPr>
        <w:t>ting</w:t>
      </w:r>
      <w:r w:rsidRPr="001E2783">
        <w:rPr>
          <w:rFonts w:cs="Arial"/>
        </w:rPr>
        <w:t xml:space="preserve"> out how the licensee will meet its obligation to broadcast specified amounts of local news and information. Once </w:t>
      </w:r>
      <w:r w:rsidR="001E6DBC" w:rsidRPr="001E2783">
        <w:rPr>
          <w:rFonts w:cs="Arial"/>
        </w:rPr>
        <w:t xml:space="preserve">the plan is </w:t>
      </w:r>
      <w:r w:rsidRPr="001E2783">
        <w:rPr>
          <w:rFonts w:cs="Arial"/>
        </w:rPr>
        <w:t>approved by the ACMA</w:t>
      </w:r>
      <w:r w:rsidR="001E6DBC" w:rsidRPr="001E2783">
        <w:rPr>
          <w:rFonts w:cs="Arial"/>
        </w:rPr>
        <w:t>,</w:t>
      </w:r>
      <w:r w:rsidRPr="001E2783">
        <w:rPr>
          <w:rFonts w:cs="Arial"/>
        </w:rPr>
        <w:t xml:space="preserve"> a licensee must take all reasonable steps to ensure that it complies with the plan.</w:t>
      </w:r>
    </w:p>
    <w:p w14:paraId="0E983542" w14:textId="77777777" w:rsidR="00086EE2" w:rsidRPr="001E2783" w:rsidRDefault="00086EE2" w:rsidP="00086EE2">
      <w:pPr>
        <w:rPr>
          <w:rFonts w:cs="Arial"/>
        </w:rPr>
      </w:pPr>
    </w:p>
    <w:p w14:paraId="003FCCD8" w14:textId="77777777" w:rsidR="009F1147" w:rsidRPr="001E2783" w:rsidRDefault="009F1147" w:rsidP="00086EE2">
      <w:pPr>
        <w:pStyle w:val="BodysubheaderH4"/>
        <w:rPr>
          <w:rFonts w:cs="Arial"/>
        </w:rPr>
      </w:pPr>
      <w:r w:rsidRPr="001E2783">
        <w:rPr>
          <w:rFonts w:cs="Arial"/>
        </w:rPr>
        <w:t>Compliance with local content plans</w:t>
      </w:r>
    </w:p>
    <w:p w14:paraId="2AA21FDC" w14:textId="77777777" w:rsidR="009F1147" w:rsidRPr="001E2783" w:rsidRDefault="009F1147" w:rsidP="00086EE2">
      <w:pPr>
        <w:rPr>
          <w:rFonts w:cs="Arial"/>
        </w:rPr>
      </w:pPr>
      <w:r w:rsidRPr="001E2783">
        <w:rPr>
          <w:rFonts w:cs="Arial"/>
        </w:rPr>
        <w:t>Annu</w:t>
      </w:r>
      <w:r w:rsidR="001E6DBC" w:rsidRPr="001E2783">
        <w:rPr>
          <w:rFonts w:cs="Arial"/>
        </w:rPr>
        <w:t xml:space="preserve">al reporting </w:t>
      </w:r>
      <w:r w:rsidR="00000EB7" w:rsidRPr="001E2783">
        <w:rPr>
          <w:rFonts w:cs="Arial"/>
        </w:rPr>
        <w:t xml:space="preserve">for the 2012–13 financial year </w:t>
      </w:r>
      <w:r w:rsidR="001E6DBC" w:rsidRPr="001E2783">
        <w:rPr>
          <w:rFonts w:cs="Arial"/>
        </w:rPr>
        <w:t>from trigger event-</w:t>
      </w:r>
      <w:r w:rsidRPr="001E2783">
        <w:rPr>
          <w:rFonts w:cs="Arial"/>
        </w:rPr>
        <w:t xml:space="preserve">affected licensees showed a high level of compliance with their local content plans. Of the </w:t>
      </w:r>
      <w:r w:rsidR="001E6DBC" w:rsidRPr="001E2783">
        <w:rPr>
          <w:rFonts w:cs="Arial"/>
        </w:rPr>
        <w:t>95 trigger event-</w:t>
      </w:r>
      <w:r w:rsidRPr="001E2783">
        <w:rPr>
          <w:rFonts w:cs="Arial"/>
        </w:rPr>
        <w:t>affected licensees reporting to the ACMA, all but two complied</w:t>
      </w:r>
      <w:r w:rsidR="00763994" w:rsidRPr="001E2783">
        <w:rPr>
          <w:rFonts w:cs="Arial"/>
        </w:rPr>
        <w:t xml:space="preserve"> with their approved plans</w:t>
      </w:r>
      <w:r w:rsidRPr="001E2783">
        <w:rPr>
          <w:rFonts w:cs="Arial"/>
        </w:rPr>
        <w:t>.</w:t>
      </w:r>
    </w:p>
    <w:p w14:paraId="28AD06E7" w14:textId="77777777" w:rsidR="009F1147" w:rsidRPr="001E2783" w:rsidRDefault="009F1147" w:rsidP="00086EE2">
      <w:pPr>
        <w:rPr>
          <w:rFonts w:cs="Arial"/>
        </w:rPr>
      </w:pPr>
    </w:p>
    <w:p w14:paraId="10EE94D4" w14:textId="77777777" w:rsidR="009F1147" w:rsidRPr="001E2783" w:rsidRDefault="009F1147" w:rsidP="00086EE2">
      <w:pPr>
        <w:pStyle w:val="BodysubheaderH4"/>
        <w:rPr>
          <w:rFonts w:cs="Arial"/>
        </w:rPr>
      </w:pPr>
      <w:r w:rsidRPr="001E2783">
        <w:rPr>
          <w:rFonts w:cs="Arial"/>
        </w:rPr>
        <w:t>Compliance with existing levels of local presence</w:t>
      </w:r>
    </w:p>
    <w:p w14:paraId="2BD03261" w14:textId="77777777" w:rsidR="009F1147" w:rsidRPr="001E2783" w:rsidRDefault="009F1147" w:rsidP="009F1147">
      <w:pPr>
        <w:rPr>
          <w:rFonts w:cs="Arial"/>
        </w:rPr>
      </w:pPr>
      <w:r w:rsidRPr="001E2783">
        <w:rPr>
          <w:rFonts w:cs="Arial"/>
        </w:rPr>
        <w:t xml:space="preserve">From 16 April 2012, regional commercial radio licensees </w:t>
      </w:r>
      <w:r w:rsidR="00763994" w:rsidRPr="001E2783">
        <w:rPr>
          <w:rFonts w:cs="Arial"/>
        </w:rPr>
        <w:t xml:space="preserve">have been required to </w:t>
      </w:r>
      <w:r w:rsidRPr="001E2783">
        <w:rPr>
          <w:rFonts w:cs="Arial"/>
        </w:rPr>
        <w:t xml:space="preserve">maintain their existing levels of local presence for 24 months after a trigger event. </w:t>
      </w:r>
    </w:p>
    <w:p w14:paraId="6D2970E7" w14:textId="77777777" w:rsidR="009F1147" w:rsidRPr="001E2783" w:rsidRDefault="009F1147" w:rsidP="009F1147">
      <w:pPr>
        <w:rPr>
          <w:rFonts w:cs="Arial"/>
        </w:rPr>
      </w:pPr>
    </w:p>
    <w:p w14:paraId="69DD3A90" w14:textId="77777777" w:rsidR="009F1147" w:rsidRPr="001E2783" w:rsidRDefault="00354E38" w:rsidP="009F1147">
      <w:pPr>
        <w:rPr>
          <w:rFonts w:cs="Arial"/>
        </w:rPr>
      </w:pPr>
      <w:r w:rsidRPr="001E2783">
        <w:rPr>
          <w:rFonts w:cs="Arial"/>
        </w:rPr>
        <w:t>On 16 April 2014, the 24-</w:t>
      </w:r>
      <w:r w:rsidR="009F1147" w:rsidRPr="001E2783">
        <w:rPr>
          <w:rFonts w:cs="Arial"/>
        </w:rPr>
        <w:t>month local presence compliance per</w:t>
      </w:r>
      <w:r w:rsidRPr="001E2783">
        <w:rPr>
          <w:rFonts w:cs="Arial"/>
        </w:rPr>
        <w:t>iod ceased for 88 trigger event-</w:t>
      </w:r>
      <w:r w:rsidR="009F1147" w:rsidRPr="001E2783">
        <w:rPr>
          <w:rFonts w:cs="Arial"/>
        </w:rPr>
        <w:t>affected regional commercial radio licences. Final reports on compliance with the local presence licence condition for these 88 licen</w:t>
      </w:r>
      <w:r w:rsidR="00763994" w:rsidRPr="001E2783">
        <w:rPr>
          <w:rFonts w:cs="Arial"/>
        </w:rPr>
        <w:t>c</w:t>
      </w:r>
      <w:r w:rsidR="009F1147" w:rsidRPr="001E2783">
        <w:rPr>
          <w:rFonts w:cs="Arial"/>
        </w:rPr>
        <w:t xml:space="preserve">es </w:t>
      </w:r>
      <w:r w:rsidR="00763994" w:rsidRPr="001E2783">
        <w:rPr>
          <w:rFonts w:cs="Arial"/>
        </w:rPr>
        <w:t>fell</w:t>
      </w:r>
      <w:r w:rsidR="009F1147" w:rsidRPr="001E2783">
        <w:rPr>
          <w:rFonts w:cs="Arial"/>
        </w:rPr>
        <w:t xml:space="preserve"> due on 15 July 2014. </w:t>
      </w:r>
    </w:p>
    <w:p w14:paraId="671C8ED6" w14:textId="77777777" w:rsidR="009F1147" w:rsidRPr="001E2783" w:rsidRDefault="009F1147" w:rsidP="002B5DD1">
      <w:pPr>
        <w:rPr>
          <w:rFonts w:cs="Arial"/>
        </w:rPr>
      </w:pPr>
    </w:p>
    <w:p w14:paraId="4DA0907E" w14:textId="77777777" w:rsidR="009F1147" w:rsidRPr="001E2783" w:rsidRDefault="009F1147" w:rsidP="009F1147">
      <w:pPr>
        <w:pStyle w:val="BodysubheaderH4"/>
        <w:rPr>
          <w:rFonts w:cs="Arial"/>
        </w:rPr>
      </w:pPr>
      <w:r w:rsidRPr="001E2783">
        <w:rPr>
          <w:rFonts w:cs="Arial"/>
        </w:rPr>
        <w:t>Investigations—local news and information and local presence</w:t>
      </w:r>
    </w:p>
    <w:p w14:paraId="23D40911" w14:textId="77777777" w:rsidR="00763994" w:rsidRPr="001E2783" w:rsidRDefault="009F1147" w:rsidP="00763994">
      <w:pPr>
        <w:rPr>
          <w:rFonts w:cs="Arial"/>
        </w:rPr>
      </w:pPr>
      <w:r w:rsidRPr="001E2783">
        <w:rPr>
          <w:rFonts w:cs="Arial"/>
        </w:rPr>
        <w:t>During the reporting period, the ACMA investigated four regional commercial radio licences for non-compliance with the reporting requirements that arise following a trigger event. In January 2014,</w:t>
      </w:r>
      <w:r w:rsidR="005A7327" w:rsidRPr="001E2783">
        <w:rPr>
          <w:rFonts w:cs="Arial"/>
        </w:rPr>
        <w:t xml:space="preserve"> </w:t>
      </w:r>
      <w:r w:rsidRPr="001E2783">
        <w:rPr>
          <w:rFonts w:cs="Arial"/>
        </w:rPr>
        <w:t>the licensees were found to be in breach of the requirements to provide both a draft local content plan and an existing level of local presence report to the ACMA within 90 days of a trigger event.</w:t>
      </w:r>
      <w:r w:rsidR="00763994" w:rsidRPr="001E2783">
        <w:rPr>
          <w:rFonts w:cs="Arial"/>
        </w:rPr>
        <w:t xml:space="preserve"> Given the compliance action taken by the licensees on discovery of their non-compliance, and the ongoing reporting obligations for local content plans and local presence, the ACMA decided not to take any further action on the breaches.</w:t>
      </w:r>
    </w:p>
    <w:p w14:paraId="186C9C1B" w14:textId="77777777" w:rsidR="009F1147" w:rsidRPr="001E2783" w:rsidRDefault="009F1147" w:rsidP="009F1147">
      <w:pPr>
        <w:rPr>
          <w:rFonts w:cs="Arial"/>
        </w:rPr>
      </w:pPr>
    </w:p>
    <w:p w14:paraId="19AD83DD" w14:textId="77777777" w:rsidR="005C5749" w:rsidRPr="001E2783" w:rsidRDefault="005C5749" w:rsidP="005C5749">
      <w:pPr>
        <w:pStyle w:val="Heading2"/>
      </w:pPr>
      <w:bookmarkStart w:id="67" w:name="_Toc264884679"/>
      <w:bookmarkStart w:id="68" w:name="_Toc337727535"/>
      <w:bookmarkStart w:id="69" w:name="_Toc400018503"/>
      <w:r w:rsidRPr="001E2783">
        <w:t>Digital broadcasting</w:t>
      </w:r>
      <w:bookmarkEnd w:id="67"/>
      <w:bookmarkEnd w:id="68"/>
      <w:bookmarkEnd w:id="69"/>
    </w:p>
    <w:p w14:paraId="30A876C6" w14:textId="77777777" w:rsidR="005C5749" w:rsidRPr="001E2783" w:rsidRDefault="005C5749" w:rsidP="005C5749">
      <w:pPr>
        <w:pStyle w:val="Heading3"/>
      </w:pPr>
      <w:bookmarkStart w:id="70" w:name="_Toc260730502"/>
      <w:bookmarkStart w:id="71" w:name="_Toc264884680"/>
      <w:bookmarkStart w:id="72" w:name="_Toc337727536"/>
      <w:bookmarkStart w:id="73" w:name="_Toc400018504"/>
      <w:r w:rsidRPr="001E2783">
        <w:t>Digital television</w:t>
      </w:r>
      <w:bookmarkEnd w:id="70"/>
      <w:bookmarkEnd w:id="71"/>
      <w:bookmarkEnd w:id="72"/>
      <w:bookmarkEnd w:id="73"/>
    </w:p>
    <w:p w14:paraId="49E15A54" w14:textId="48DD2350" w:rsidR="0055664E" w:rsidRPr="001E2783" w:rsidRDefault="00CC0C14" w:rsidP="00E13F9C">
      <w:pPr>
        <w:pStyle w:val="PlainText"/>
        <w:rPr>
          <w:rFonts w:ascii="Arial" w:eastAsia="Times New Roman" w:hAnsi="Arial" w:cs="Arial"/>
          <w:sz w:val="20"/>
          <w:szCs w:val="24"/>
        </w:rPr>
      </w:pPr>
      <w:r w:rsidRPr="001E2783">
        <w:rPr>
          <w:rFonts w:ascii="Arial" w:eastAsia="Times New Roman" w:hAnsi="Arial" w:cs="Arial"/>
          <w:sz w:val="20"/>
          <w:szCs w:val="24"/>
        </w:rPr>
        <w:t>In 2013–14</w:t>
      </w:r>
      <w:r w:rsidR="00354E38" w:rsidRPr="001E2783">
        <w:rPr>
          <w:rFonts w:ascii="Arial" w:eastAsia="Times New Roman" w:hAnsi="Arial" w:cs="Arial"/>
          <w:sz w:val="20"/>
          <w:szCs w:val="24"/>
        </w:rPr>
        <w:t>,</w:t>
      </w:r>
      <w:r w:rsidRPr="001E2783">
        <w:rPr>
          <w:rFonts w:ascii="Arial" w:eastAsia="Times New Roman" w:hAnsi="Arial" w:cs="Arial"/>
          <w:sz w:val="20"/>
          <w:szCs w:val="24"/>
        </w:rPr>
        <w:t xml:space="preserve"> the last remaining areas of Australia completed t</w:t>
      </w:r>
      <w:r w:rsidR="00354E38" w:rsidRPr="001E2783">
        <w:rPr>
          <w:rFonts w:ascii="Arial" w:eastAsia="Times New Roman" w:hAnsi="Arial" w:cs="Arial"/>
          <w:sz w:val="20"/>
          <w:szCs w:val="24"/>
        </w:rPr>
        <w:t>he switchover to digital-</w:t>
      </w:r>
      <w:r w:rsidRPr="001E2783">
        <w:rPr>
          <w:rFonts w:ascii="Arial" w:eastAsia="Times New Roman" w:hAnsi="Arial" w:cs="Arial"/>
          <w:sz w:val="20"/>
          <w:szCs w:val="24"/>
        </w:rPr>
        <w:t>only television</w:t>
      </w:r>
      <w:r w:rsidR="00354E38" w:rsidRPr="001E2783">
        <w:rPr>
          <w:rFonts w:ascii="Arial" w:eastAsia="Times New Roman" w:hAnsi="Arial" w:cs="Arial"/>
          <w:sz w:val="20"/>
          <w:szCs w:val="24"/>
        </w:rPr>
        <w:t>, which meant</w:t>
      </w:r>
      <w:r w:rsidRPr="001E2783">
        <w:rPr>
          <w:rFonts w:ascii="Arial" w:eastAsia="Times New Roman" w:hAnsi="Arial" w:cs="Arial"/>
          <w:sz w:val="20"/>
          <w:szCs w:val="24"/>
        </w:rPr>
        <w:t xml:space="preserve"> the end of analog television broadcasting in Australia. </w:t>
      </w:r>
      <w:r w:rsidR="00354E38" w:rsidRPr="001E2783">
        <w:rPr>
          <w:rFonts w:ascii="Arial" w:eastAsia="Times New Roman" w:hAnsi="Arial" w:cs="Arial"/>
          <w:sz w:val="20"/>
          <w:szCs w:val="24"/>
        </w:rPr>
        <w:t>T</w:t>
      </w:r>
      <w:r w:rsidRPr="001E2783">
        <w:rPr>
          <w:rFonts w:ascii="Arial" w:eastAsia="Times New Roman" w:hAnsi="Arial" w:cs="Arial"/>
          <w:sz w:val="20"/>
          <w:szCs w:val="24"/>
        </w:rPr>
        <w:t xml:space="preserve">he ACMA had a number of responsibilities </w:t>
      </w:r>
      <w:r w:rsidR="00354E38" w:rsidRPr="001E2783">
        <w:rPr>
          <w:rFonts w:ascii="Arial" w:eastAsia="Times New Roman" w:hAnsi="Arial" w:cs="Arial"/>
          <w:sz w:val="20"/>
          <w:szCs w:val="24"/>
        </w:rPr>
        <w:t>for</w:t>
      </w:r>
      <w:r w:rsidRPr="001E2783">
        <w:rPr>
          <w:rFonts w:ascii="Arial" w:eastAsia="Times New Roman" w:hAnsi="Arial" w:cs="Arial"/>
          <w:sz w:val="20"/>
          <w:szCs w:val="24"/>
        </w:rPr>
        <w:t xml:space="preserve"> the digital switchover and worked closely with the Digital Switchover Taskforce and related areas of </w:t>
      </w:r>
      <w:r w:rsidR="003C3D50" w:rsidRPr="001E2783">
        <w:rPr>
          <w:rFonts w:ascii="Arial" w:eastAsia="Times New Roman" w:hAnsi="Arial" w:cs="Arial"/>
          <w:sz w:val="20"/>
          <w:szCs w:val="24"/>
        </w:rPr>
        <w:t>DoC</w:t>
      </w:r>
      <w:r w:rsidRPr="001E2783">
        <w:rPr>
          <w:rFonts w:ascii="Arial" w:eastAsia="Times New Roman" w:hAnsi="Arial" w:cs="Arial"/>
          <w:sz w:val="20"/>
          <w:szCs w:val="24"/>
        </w:rPr>
        <w:t xml:space="preserve"> during </w:t>
      </w:r>
      <w:r w:rsidR="008755C1" w:rsidRPr="001E2783">
        <w:rPr>
          <w:rFonts w:ascii="Arial" w:eastAsia="Times New Roman" w:hAnsi="Arial" w:cs="Arial"/>
          <w:sz w:val="20"/>
          <w:szCs w:val="24"/>
        </w:rPr>
        <w:br/>
      </w:r>
      <w:r w:rsidRPr="001E2783">
        <w:rPr>
          <w:rFonts w:ascii="Arial" w:eastAsia="Times New Roman" w:hAnsi="Arial" w:cs="Arial"/>
          <w:sz w:val="20"/>
          <w:szCs w:val="24"/>
        </w:rPr>
        <w:t>2013–14, providing technical and regulatory advice and information on television coverage.</w:t>
      </w:r>
    </w:p>
    <w:p w14:paraId="65531E88" w14:textId="77777777" w:rsidR="0036772B" w:rsidRPr="001E2783" w:rsidRDefault="0036772B" w:rsidP="00E13F9C">
      <w:pPr>
        <w:pStyle w:val="PlainText"/>
        <w:rPr>
          <w:rFonts w:ascii="Arial" w:eastAsia="Times New Roman" w:hAnsi="Arial" w:cs="Arial"/>
          <w:sz w:val="20"/>
          <w:szCs w:val="24"/>
        </w:rPr>
      </w:pPr>
    </w:p>
    <w:p w14:paraId="40C73554" w14:textId="77777777" w:rsidR="0036772B" w:rsidRPr="001E2783" w:rsidRDefault="0036772B" w:rsidP="0036772B">
      <w:pPr>
        <w:rPr>
          <w:rFonts w:cs="Arial"/>
        </w:rPr>
      </w:pPr>
      <w:r w:rsidRPr="001E2783">
        <w:rPr>
          <w:rFonts w:cs="Arial"/>
        </w:rPr>
        <w:t xml:space="preserve">The final step in the move to digital-only television is for a significant number of digital television services to be moved to new channels so that channels 52 to 69 can be cleared from the 700 MHz digital dividend band, which will be used for new mobile broadband services. This process of moving digital television transmitters to new channels is referred to as the ‘restack’, and viewers will need to ‘retune’ their television receivers. The channels to be used for digital television services are defined in </w:t>
      </w:r>
      <w:r w:rsidR="002D4250" w:rsidRPr="001E2783">
        <w:rPr>
          <w:rFonts w:cs="Arial"/>
        </w:rPr>
        <w:t>t</w:t>
      </w:r>
      <w:r w:rsidRPr="001E2783">
        <w:rPr>
          <w:rFonts w:cs="Arial"/>
        </w:rPr>
        <w:t xml:space="preserve">elevision </w:t>
      </w:r>
      <w:r w:rsidR="002D4250" w:rsidRPr="001E2783">
        <w:rPr>
          <w:rFonts w:cs="Arial"/>
        </w:rPr>
        <w:t>l</w:t>
      </w:r>
      <w:r w:rsidRPr="001E2783">
        <w:rPr>
          <w:rFonts w:cs="Arial"/>
        </w:rPr>
        <w:t xml:space="preserve">icence </w:t>
      </w:r>
      <w:r w:rsidR="002D4250" w:rsidRPr="001E2783">
        <w:rPr>
          <w:rFonts w:cs="Arial"/>
        </w:rPr>
        <w:t>a</w:t>
      </w:r>
      <w:r w:rsidRPr="001E2783">
        <w:rPr>
          <w:rFonts w:cs="Arial"/>
        </w:rPr>
        <w:t xml:space="preserve">rea </w:t>
      </w:r>
      <w:r w:rsidR="002D4250" w:rsidRPr="001E2783">
        <w:rPr>
          <w:rFonts w:cs="Arial"/>
        </w:rPr>
        <w:t>p</w:t>
      </w:r>
      <w:r w:rsidRPr="001E2783">
        <w:rPr>
          <w:rFonts w:cs="Arial"/>
        </w:rPr>
        <w:t>lans (TLAPs) prepared by the ACMA between 2011 and 2013.</w:t>
      </w:r>
    </w:p>
    <w:p w14:paraId="35559CE6" w14:textId="77777777" w:rsidR="0036772B" w:rsidRPr="001E2783" w:rsidRDefault="0036772B" w:rsidP="00E13F9C">
      <w:pPr>
        <w:pStyle w:val="PlainText"/>
        <w:rPr>
          <w:rFonts w:ascii="Arial" w:eastAsia="Times New Roman" w:hAnsi="Arial" w:cs="Arial"/>
          <w:sz w:val="20"/>
          <w:szCs w:val="24"/>
        </w:rPr>
      </w:pPr>
    </w:p>
    <w:p w14:paraId="3071050A" w14:textId="77777777" w:rsidR="005C5749" w:rsidRPr="001E2783" w:rsidRDefault="00E13F9C" w:rsidP="005C5749">
      <w:pPr>
        <w:rPr>
          <w:rFonts w:cs="Arial"/>
        </w:rPr>
      </w:pPr>
      <w:r w:rsidRPr="001E2783">
        <w:rPr>
          <w:rFonts w:cs="Arial"/>
        </w:rPr>
        <w:t xml:space="preserve">On 19 April 2013, the minister made the Australian Communications and Media Authority (Television Licence Area Plan and Monitoring) Direction 2013. This directed the ACMA to consider whether the objective of meeting the restack dates specified in the </w:t>
      </w:r>
      <w:r w:rsidR="00354E38" w:rsidRPr="001E2783">
        <w:rPr>
          <w:rFonts w:cs="Arial"/>
        </w:rPr>
        <w:t>TLAP</w:t>
      </w:r>
      <w:r w:rsidRPr="001E2783">
        <w:rPr>
          <w:rFonts w:cs="Arial"/>
        </w:rPr>
        <w:t xml:space="preserve">s will be met. If the ACMA is satisfied that the restack objective will not be met due to an event or circumstance outside the control of a digital television broadcaster, and where mitigation action </w:t>
      </w:r>
      <w:r w:rsidR="003303C7" w:rsidRPr="001E2783">
        <w:rPr>
          <w:rFonts w:cs="Arial"/>
        </w:rPr>
        <w:t>can</w:t>
      </w:r>
      <w:r w:rsidRPr="001E2783">
        <w:rPr>
          <w:rFonts w:cs="Arial"/>
        </w:rPr>
        <w:t>not reasonably be taken, the ACMA must vary the relevant TLAP(s) to the minimum extent necessary to address the adverse effect of the event or circumstance. As at 30 June 2014, there has been no requirement to vary a TLAP in accordance with this ministerial direction.</w:t>
      </w:r>
    </w:p>
    <w:p w14:paraId="7ADB102B" w14:textId="77777777" w:rsidR="00E13F9C" w:rsidRPr="001E2783" w:rsidRDefault="00E13F9C" w:rsidP="005C5749">
      <w:pPr>
        <w:rPr>
          <w:rFonts w:cs="Arial"/>
        </w:rPr>
      </w:pPr>
    </w:p>
    <w:p w14:paraId="41084306" w14:textId="18617616" w:rsidR="005C5749" w:rsidRPr="001E2783" w:rsidRDefault="005C5749" w:rsidP="005C5749">
      <w:pPr>
        <w:rPr>
          <w:rFonts w:cs="Arial"/>
        </w:rPr>
      </w:pPr>
      <w:r w:rsidRPr="001E2783">
        <w:rPr>
          <w:rFonts w:cs="Arial"/>
        </w:rPr>
        <w:t xml:space="preserve">See also </w:t>
      </w:r>
      <w:r w:rsidRPr="001E2783">
        <w:rPr>
          <w:rFonts w:cs="Arial"/>
          <w:i/>
        </w:rPr>
        <w:t>Television licence area plans</w:t>
      </w:r>
      <w:r w:rsidRPr="001E2783">
        <w:rPr>
          <w:rFonts w:cs="Arial"/>
        </w:rPr>
        <w:t xml:space="preserve"> and </w:t>
      </w:r>
      <w:r w:rsidRPr="001E2783">
        <w:rPr>
          <w:rFonts w:cs="Arial"/>
          <w:i/>
        </w:rPr>
        <w:t>Broadcasting technical standards—digital television</w:t>
      </w:r>
      <w:r w:rsidRPr="001E2783">
        <w:rPr>
          <w:rFonts w:cs="Arial"/>
        </w:rPr>
        <w:t>.</w:t>
      </w:r>
    </w:p>
    <w:p w14:paraId="75000B54" w14:textId="77777777" w:rsidR="00CC119D" w:rsidRPr="001E2783" w:rsidRDefault="00CC119D" w:rsidP="00CC119D">
      <w:pPr>
        <w:rPr>
          <w:rFonts w:cs="Arial"/>
        </w:rPr>
      </w:pPr>
    </w:p>
    <w:p w14:paraId="1DBF80AA" w14:textId="77777777" w:rsidR="00D57A68" w:rsidRPr="001E2783" w:rsidRDefault="00E13F9C">
      <w:pPr>
        <w:pStyle w:val="BodysubheaderH4"/>
        <w:rPr>
          <w:rFonts w:cs="Arial"/>
        </w:rPr>
      </w:pPr>
      <w:r w:rsidRPr="001E2783">
        <w:rPr>
          <w:rFonts w:cs="Arial"/>
        </w:rPr>
        <w:t xml:space="preserve">Restack </w:t>
      </w:r>
      <w:r w:rsidR="003C030C" w:rsidRPr="001E2783">
        <w:rPr>
          <w:rFonts w:cs="Arial"/>
        </w:rPr>
        <w:t xml:space="preserve">coverage </w:t>
      </w:r>
      <w:r w:rsidR="00466F14" w:rsidRPr="001E2783">
        <w:rPr>
          <w:rFonts w:cs="Arial"/>
        </w:rPr>
        <w:t>assessment</w:t>
      </w:r>
      <w:r w:rsidRPr="001E2783">
        <w:rPr>
          <w:rFonts w:cs="Arial"/>
        </w:rPr>
        <w:t xml:space="preserve"> </w:t>
      </w:r>
      <w:r w:rsidR="003C030C" w:rsidRPr="001E2783">
        <w:rPr>
          <w:rFonts w:cs="Arial"/>
        </w:rPr>
        <w:t>p</w:t>
      </w:r>
      <w:r w:rsidRPr="001E2783">
        <w:rPr>
          <w:rFonts w:cs="Arial"/>
        </w:rPr>
        <w:t>ro</w:t>
      </w:r>
      <w:r w:rsidR="009B63F9" w:rsidRPr="001E2783">
        <w:rPr>
          <w:rFonts w:cs="Arial"/>
        </w:rPr>
        <w:t>ject</w:t>
      </w:r>
    </w:p>
    <w:p w14:paraId="56B7CA01" w14:textId="77777777" w:rsidR="00E13F9C" w:rsidRPr="001E2783" w:rsidRDefault="00E13F9C" w:rsidP="00E13F9C">
      <w:pPr>
        <w:rPr>
          <w:rFonts w:cs="Arial"/>
        </w:rPr>
      </w:pPr>
      <w:r w:rsidRPr="001E2783">
        <w:rPr>
          <w:rFonts w:cs="Arial"/>
        </w:rPr>
        <w:t xml:space="preserve">The </w:t>
      </w:r>
      <w:r w:rsidR="00354E38" w:rsidRPr="001E2783">
        <w:rPr>
          <w:rFonts w:cs="Arial"/>
        </w:rPr>
        <w:t>ACMA has developed the restack c</w:t>
      </w:r>
      <w:r w:rsidRPr="001E2783">
        <w:rPr>
          <w:rFonts w:cs="Arial"/>
        </w:rPr>
        <w:t xml:space="preserve">overage </w:t>
      </w:r>
      <w:r w:rsidR="00466F14" w:rsidRPr="001E2783">
        <w:rPr>
          <w:rFonts w:cs="Arial"/>
        </w:rPr>
        <w:t xml:space="preserve">assessment </w:t>
      </w:r>
      <w:r w:rsidR="00354E38" w:rsidRPr="001E2783">
        <w:rPr>
          <w:rFonts w:cs="Arial"/>
        </w:rPr>
        <w:t>p</w:t>
      </w:r>
      <w:r w:rsidRPr="001E2783">
        <w:rPr>
          <w:rFonts w:cs="Arial"/>
        </w:rPr>
        <w:t>ro</w:t>
      </w:r>
      <w:r w:rsidR="009B63F9" w:rsidRPr="001E2783">
        <w:rPr>
          <w:rFonts w:cs="Arial"/>
        </w:rPr>
        <w:t>ject</w:t>
      </w:r>
      <w:r w:rsidRPr="001E2783">
        <w:rPr>
          <w:rFonts w:cs="Arial"/>
        </w:rPr>
        <w:t xml:space="preserve"> (ReCAP) to support the restack implementation process. The pro</w:t>
      </w:r>
      <w:r w:rsidR="009B63F9" w:rsidRPr="001E2783">
        <w:rPr>
          <w:rFonts w:cs="Arial"/>
        </w:rPr>
        <w:t>ject</w:t>
      </w:r>
      <w:r w:rsidRPr="001E2783">
        <w:rPr>
          <w:rFonts w:cs="Arial"/>
        </w:rPr>
        <w:t xml:space="preserve"> deliver</w:t>
      </w:r>
      <w:r w:rsidR="00F11794" w:rsidRPr="001E2783">
        <w:rPr>
          <w:rFonts w:cs="Arial"/>
        </w:rPr>
        <w:t>s</w:t>
      </w:r>
      <w:r w:rsidRPr="001E2783">
        <w:rPr>
          <w:rFonts w:cs="Arial"/>
        </w:rPr>
        <w:t xml:space="preserve"> evidence-</w:t>
      </w:r>
      <w:r w:rsidR="00F11794" w:rsidRPr="001E2783">
        <w:rPr>
          <w:rFonts w:cs="Arial"/>
        </w:rPr>
        <w:t>based advice to the government o</w:t>
      </w:r>
      <w:r w:rsidRPr="001E2783">
        <w:rPr>
          <w:rFonts w:cs="Arial"/>
        </w:rPr>
        <w:t xml:space="preserve">n managing potential restack coverage and reception issues </w:t>
      </w:r>
      <w:r w:rsidR="00354E38" w:rsidRPr="001E2783">
        <w:rPr>
          <w:rFonts w:cs="Arial"/>
        </w:rPr>
        <w:t>affecting</w:t>
      </w:r>
      <w:r w:rsidRPr="001E2783">
        <w:rPr>
          <w:rFonts w:cs="Arial"/>
        </w:rPr>
        <w:t xml:space="preserve"> communities</w:t>
      </w:r>
      <w:r w:rsidR="00354E38" w:rsidRPr="001E2783">
        <w:rPr>
          <w:rFonts w:cs="Arial"/>
        </w:rPr>
        <w:t>,</w:t>
      </w:r>
      <w:r w:rsidRPr="001E2783">
        <w:rPr>
          <w:rFonts w:cs="Arial"/>
        </w:rPr>
        <w:t xml:space="preserve"> and provide</w:t>
      </w:r>
      <w:r w:rsidR="00F11794" w:rsidRPr="001E2783">
        <w:rPr>
          <w:rFonts w:cs="Arial"/>
        </w:rPr>
        <w:t>s</w:t>
      </w:r>
      <w:r w:rsidRPr="001E2783">
        <w:rPr>
          <w:rFonts w:cs="Arial"/>
        </w:rPr>
        <w:t xml:space="preserve"> inputs to public ed</w:t>
      </w:r>
      <w:r w:rsidR="002D4250" w:rsidRPr="001E2783">
        <w:rPr>
          <w:rFonts w:cs="Arial"/>
        </w:rPr>
        <w:t>ucation/information campaigns. In addition to its restack focus, ReCAP helps the department to support viewers experiencing reception difficulties that have occurred following, or even prior to, the switchover from analog to digital television.</w:t>
      </w:r>
    </w:p>
    <w:p w14:paraId="63CD76CE" w14:textId="77777777" w:rsidR="00E13F9C" w:rsidRPr="001E2783" w:rsidRDefault="00E13F9C" w:rsidP="00E13F9C">
      <w:pPr>
        <w:rPr>
          <w:rFonts w:cs="Arial"/>
        </w:rPr>
      </w:pPr>
    </w:p>
    <w:p w14:paraId="5C53B2FF" w14:textId="77777777" w:rsidR="00E13F9C" w:rsidRPr="001E2783" w:rsidRDefault="00E13F9C" w:rsidP="00E13F9C">
      <w:pPr>
        <w:rPr>
          <w:rFonts w:cs="Arial"/>
        </w:rPr>
      </w:pPr>
      <w:r w:rsidRPr="001E2783">
        <w:rPr>
          <w:rFonts w:cs="Arial"/>
        </w:rPr>
        <w:t>ReCAP combines an area-by-area technical risk assessment of restack coverage, especially in historically complex television reception areas, with an analysis of available coverage data to help the government provid</w:t>
      </w:r>
      <w:r w:rsidR="00F11794" w:rsidRPr="001E2783">
        <w:rPr>
          <w:rFonts w:cs="Arial"/>
        </w:rPr>
        <w:t>e</w:t>
      </w:r>
      <w:r w:rsidRPr="001E2783">
        <w:rPr>
          <w:rFonts w:cs="Arial"/>
        </w:rPr>
        <w:t xml:space="preserve"> targeted advice to potentially affected communities. ReCAP </w:t>
      </w:r>
      <w:r w:rsidR="00F11794" w:rsidRPr="001E2783">
        <w:rPr>
          <w:rFonts w:cs="Arial"/>
        </w:rPr>
        <w:t>can also</w:t>
      </w:r>
      <w:r w:rsidRPr="001E2783">
        <w:rPr>
          <w:rFonts w:cs="Arial"/>
        </w:rPr>
        <w:t xml:space="preserve"> undertake a limited number of field survey measurements to investigate reported widespread restack coverage and reception issues.</w:t>
      </w:r>
    </w:p>
    <w:p w14:paraId="1206CBA3" w14:textId="77777777" w:rsidR="00E13F9C" w:rsidRPr="001E2783" w:rsidRDefault="00E13F9C" w:rsidP="00E13F9C">
      <w:pPr>
        <w:rPr>
          <w:rFonts w:cs="Arial"/>
        </w:rPr>
      </w:pPr>
    </w:p>
    <w:p w14:paraId="29BEEE61" w14:textId="77777777" w:rsidR="00F11794" w:rsidRPr="001E2783" w:rsidRDefault="002D4250" w:rsidP="00F11794">
      <w:pPr>
        <w:spacing w:after="80"/>
        <w:rPr>
          <w:rFonts w:cs="Arial"/>
        </w:rPr>
      </w:pPr>
      <w:r w:rsidRPr="001E2783">
        <w:rPr>
          <w:rFonts w:cs="Arial"/>
        </w:rPr>
        <w:t>O</w:t>
      </w:r>
      <w:r w:rsidR="00E13F9C" w:rsidRPr="001E2783">
        <w:rPr>
          <w:rFonts w:cs="Arial"/>
        </w:rPr>
        <w:t xml:space="preserve">utcomes of the technical assessments conducted through ReCAP have found a low likelihood of viewer impacts associated with restack channel planning. In 2013–14, three major investigations of reception difficulties were </w:t>
      </w:r>
      <w:r w:rsidRPr="001E2783">
        <w:rPr>
          <w:rFonts w:cs="Arial"/>
        </w:rPr>
        <w:t>undertaken</w:t>
      </w:r>
      <w:r w:rsidR="00E13F9C" w:rsidRPr="001E2783">
        <w:rPr>
          <w:rFonts w:cs="Arial"/>
        </w:rPr>
        <w:t xml:space="preserve">: </w:t>
      </w:r>
    </w:p>
    <w:p w14:paraId="1CCBC1A1" w14:textId="77777777" w:rsidR="00F11794" w:rsidRPr="001E2783" w:rsidRDefault="00E13F9C" w:rsidP="00F11794">
      <w:pPr>
        <w:pStyle w:val="ListBullet"/>
        <w:rPr>
          <w:rFonts w:cs="Arial"/>
        </w:rPr>
      </w:pPr>
      <w:r w:rsidRPr="001E2783">
        <w:rPr>
          <w:rFonts w:cs="Arial"/>
        </w:rPr>
        <w:t>Nowra and Sho</w:t>
      </w:r>
      <w:r w:rsidR="002D4250" w:rsidRPr="001E2783">
        <w:rPr>
          <w:rFonts w:cs="Arial"/>
        </w:rPr>
        <w:t>alheaven Heads in s</w:t>
      </w:r>
      <w:r w:rsidR="00F11794" w:rsidRPr="001E2783">
        <w:rPr>
          <w:rFonts w:cs="Arial"/>
        </w:rPr>
        <w:t>outhern N</w:t>
      </w:r>
      <w:r w:rsidR="002D4250" w:rsidRPr="001E2783">
        <w:rPr>
          <w:rFonts w:cs="Arial"/>
        </w:rPr>
        <w:t xml:space="preserve">ew </w:t>
      </w:r>
      <w:r w:rsidR="00F11794" w:rsidRPr="001E2783">
        <w:rPr>
          <w:rFonts w:cs="Arial"/>
        </w:rPr>
        <w:t>S</w:t>
      </w:r>
      <w:r w:rsidR="002D4250" w:rsidRPr="001E2783">
        <w:rPr>
          <w:rFonts w:cs="Arial"/>
        </w:rPr>
        <w:t xml:space="preserve">outh </w:t>
      </w:r>
      <w:r w:rsidR="00F11794" w:rsidRPr="001E2783">
        <w:rPr>
          <w:rFonts w:cs="Arial"/>
        </w:rPr>
        <w:t>W</w:t>
      </w:r>
      <w:r w:rsidR="002D4250" w:rsidRPr="001E2783">
        <w:rPr>
          <w:rFonts w:cs="Arial"/>
        </w:rPr>
        <w:t>ales</w:t>
      </w:r>
    </w:p>
    <w:p w14:paraId="4FCFEE6A" w14:textId="77777777" w:rsidR="00F11794" w:rsidRPr="001E2783" w:rsidRDefault="00E13F9C" w:rsidP="00F11794">
      <w:pPr>
        <w:pStyle w:val="ListBullet"/>
        <w:rPr>
          <w:rFonts w:cs="Arial"/>
        </w:rPr>
      </w:pPr>
      <w:r w:rsidRPr="001E2783">
        <w:rPr>
          <w:rFonts w:cs="Arial"/>
        </w:rPr>
        <w:t>Adelaide and Victor Harbour in South Australia</w:t>
      </w:r>
    </w:p>
    <w:p w14:paraId="76FA49CC" w14:textId="77777777" w:rsidR="00F11794" w:rsidRPr="001E2783" w:rsidRDefault="00E13F9C" w:rsidP="00F11794">
      <w:pPr>
        <w:pStyle w:val="ListBullet"/>
        <w:spacing w:after="240"/>
        <w:rPr>
          <w:rFonts w:cs="Arial"/>
        </w:rPr>
      </w:pPr>
      <w:r w:rsidRPr="001E2783">
        <w:rPr>
          <w:rFonts w:cs="Arial"/>
        </w:rPr>
        <w:t>Nathalia in Vic</w:t>
      </w:r>
      <w:r w:rsidR="002D4250" w:rsidRPr="001E2783">
        <w:rPr>
          <w:rFonts w:cs="Arial"/>
        </w:rPr>
        <w:t>toria.</w:t>
      </w:r>
      <w:r w:rsidRPr="001E2783">
        <w:rPr>
          <w:rFonts w:cs="Arial"/>
        </w:rPr>
        <w:t xml:space="preserve"> </w:t>
      </w:r>
    </w:p>
    <w:p w14:paraId="7AEE0986" w14:textId="77777777" w:rsidR="002D4250" w:rsidRPr="001E2783" w:rsidRDefault="002D4250" w:rsidP="002D4250">
      <w:pPr>
        <w:rPr>
          <w:rFonts w:cs="Arial"/>
        </w:rPr>
      </w:pPr>
      <w:r w:rsidRPr="001E2783">
        <w:rPr>
          <w:rFonts w:cs="Arial"/>
        </w:rPr>
        <w:t xml:space="preserve">These investigations revealed a range of issues. While some were instigated as part of the restack activity, more often the issue affecting viewers was that their receiving antenna system had deficiencies that could be improved by an antenna installer. </w:t>
      </w:r>
    </w:p>
    <w:p w14:paraId="18F0419C" w14:textId="77777777" w:rsidR="002D4250" w:rsidRPr="001E2783" w:rsidRDefault="002D4250" w:rsidP="002D4250">
      <w:pPr>
        <w:rPr>
          <w:rFonts w:cs="Arial"/>
        </w:rPr>
      </w:pPr>
    </w:p>
    <w:p w14:paraId="5411AEC0" w14:textId="77777777" w:rsidR="00E13F9C" w:rsidRPr="001E2783" w:rsidRDefault="00E13F9C" w:rsidP="00F11794">
      <w:pPr>
        <w:rPr>
          <w:rFonts w:cs="Arial"/>
        </w:rPr>
      </w:pPr>
      <w:r w:rsidRPr="001E2783">
        <w:rPr>
          <w:rFonts w:cs="Arial"/>
        </w:rPr>
        <w:t>The ACMA continues to monitor the progress of the restack implementati</w:t>
      </w:r>
      <w:r w:rsidR="003C3D50" w:rsidRPr="001E2783">
        <w:rPr>
          <w:rFonts w:cs="Arial"/>
        </w:rPr>
        <w:t>on and related viewer</w:t>
      </w:r>
      <w:r w:rsidRPr="001E2783">
        <w:rPr>
          <w:rFonts w:cs="Arial"/>
        </w:rPr>
        <w:t xml:space="preserve"> complaints, and will provide support to the </w:t>
      </w:r>
      <w:r w:rsidR="003303C7" w:rsidRPr="001E2783">
        <w:rPr>
          <w:rFonts w:cs="Arial"/>
        </w:rPr>
        <w:t>department</w:t>
      </w:r>
      <w:r w:rsidRPr="001E2783">
        <w:rPr>
          <w:rFonts w:cs="Arial"/>
        </w:rPr>
        <w:t>, viewers and local broadcasters where necessary.</w:t>
      </w:r>
    </w:p>
    <w:p w14:paraId="4569D49D" w14:textId="77777777" w:rsidR="00E13F9C" w:rsidRPr="001E2783" w:rsidRDefault="00E13F9C" w:rsidP="00E13F9C">
      <w:pPr>
        <w:rPr>
          <w:rFonts w:cs="Arial"/>
        </w:rPr>
      </w:pPr>
    </w:p>
    <w:p w14:paraId="080E7536" w14:textId="77777777" w:rsidR="002D4250" w:rsidRPr="001E2783" w:rsidRDefault="0058243A" w:rsidP="002D4250">
      <w:pPr>
        <w:rPr>
          <w:rFonts w:cs="Arial"/>
        </w:rPr>
      </w:pPr>
      <w:r w:rsidRPr="001E2783">
        <w:rPr>
          <w:rFonts w:cs="Arial"/>
        </w:rPr>
        <w:t>T</w:t>
      </w:r>
      <w:r w:rsidR="00E13F9C" w:rsidRPr="001E2783">
        <w:rPr>
          <w:rFonts w:cs="Arial"/>
        </w:rPr>
        <w:t xml:space="preserve">here remains a risk for viewers with inappropriate/legacy receive antenna configurations or antenna systems in poor condition, and those whose reception </w:t>
      </w:r>
      <w:r w:rsidR="003303C7" w:rsidRPr="001E2783">
        <w:rPr>
          <w:rFonts w:cs="Arial"/>
        </w:rPr>
        <w:t>has been</w:t>
      </w:r>
      <w:r w:rsidR="00E13F9C" w:rsidRPr="001E2783">
        <w:rPr>
          <w:rFonts w:cs="Arial"/>
        </w:rPr>
        <w:t xml:space="preserve"> fortuitous or marginal. These viewers will be more likely to experience signal loss and may be required to undertake improvements to their TV receive equipment or, in a limited number of cases, explore alternative measures to receive television</w:t>
      </w:r>
      <w:r w:rsidR="003303C7" w:rsidRPr="001E2783">
        <w:rPr>
          <w:rFonts w:cs="Arial"/>
        </w:rPr>
        <w:t>,</w:t>
      </w:r>
      <w:r w:rsidR="00E13F9C" w:rsidRPr="001E2783">
        <w:rPr>
          <w:rFonts w:cs="Arial"/>
        </w:rPr>
        <w:t xml:space="preserve"> including via the</w:t>
      </w:r>
      <w:r w:rsidR="002D4250" w:rsidRPr="001E2783">
        <w:rPr>
          <w:rFonts w:cs="Arial"/>
        </w:rPr>
        <w:t xml:space="preserve"> government’s</w:t>
      </w:r>
      <w:r w:rsidR="00E13F9C" w:rsidRPr="001E2783">
        <w:rPr>
          <w:rFonts w:cs="Arial"/>
        </w:rPr>
        <w:t xml:space="preserve"> Viewer Access Satellite Television system (VAST). </w:t>
      </w:r>
      <w:r w:rsidR="002D4250" w:rsidRPr="001E2783">
        <w:rPr>
          <w:rFonts w:cs="Arial"/>
        </w:rPr>
        <w:t xml:space="preserve">The VAST service is intended to provide an alternative reception option for individual households unable to </w:t>
      </w:r>
      <w:r w:rsidR="005C468A" w:rsidRPr="001E2783">
        <w:rPr>
          <w:rFonts w:cs="Arial"/>
        </w:rPr>
        <w:t>receive</w:t>
      </w:r>
      <w:r w:rsidR="002D4250" w:rsidRPr="001E2783">
        <w:rPr>
          <w:rFonts w:cs="Arial"/>
        </w:rPr>
        <w:t xml:space="preserve"> adequate digital television services from existing terrestrial transmission sites.</w:t>
      </w:r>
    </w:p>
    <w:p w14:paraId="2DB35ADB" w14:textId="77777777" w:rsidR="00E13F9C" w:rsidRPr="001E2783" w:rsidRDefault="00E13F9C" w:rsidP="00E13F9C">
      <w:pPr>
        <w:rPr>
          <w:rFonts w:cs="Arial"/>
        </w:rPr>
      </w:pPr>
    </w:p>
    <w:p w14:paraId="54B14CEA" w14:textId="1B78693A" w:rsidR="005C468A" w:rsidRPr="001E2783" w:rsidRDefault="005C468A" w:rsidP="00642061">
      <w:pPr>
        <w:rPr>
          <w:rFonts w:cs="Arial"/>
        </w:rPr>
      </w:pPr>
      <w:r w:rsidRPr="001E2783">
        <w:rPr>
          <w:rFonts w:cs="Arial"/>
        </w:rPr>
        <w:t xml:space="preserve">The eligibility for access to commercial services on VAST is provided for in conditional access schemes developed by industry and registered by the ACMA. As well as registering the conditional access schemes, the ACMA investigates complaints from viewers who were refused access to VAST services. For information about complaints under the VAST scheme, see </w:t>
      </w:r>
      <w:r w:rsidR="00642061" w:rsidRPr="00642061">
        <w:rPr>
          <w:rFonts w:cs="Arial"/>
          <w:i/>
        </w:rPr>
        <w:t>Complaints under the conditional access scheme for satellite access to digital television</w:t>
      </w:r>
      <w:r w:rsidRPr="001E2783">
        <w:rPr>
          <w:rFonts w:cs="Arial"/>
        </w:rPr>
        <w:t>.</w:t>
      </w:r>
    </w:p>
    <w:p w14:paraId="30E0802E" w14:textId="77777777" w:rsidR="005C468A" w:rsidRPr="001E2783" w:rsidRDefault="005C468A" w:rsidP="00E13F9C">
      <w:pPr>
        <w:rPr>
          <w:rFonts w:cs="Arial"/>
        </w:rPr>
      </w:pPr>
    </w:p>
    <w:p w14:paraId="2FA23004" w14:textId="77777777" w:rsidR="005C468A" w:rsidRPr="001E2783" w:rsidRDefault="005C468A" w:rsidP="005C468A">
      <w:pPr>
        <w:rPr>
          <w:rFonts w:cs="Arial"/>
        </w:rPr>
      </w:pPr>
      <w:r w:rsidRPr="001E2783">
        <w:rPr>
          <w:rFonts w:cs="Arial"/>
        </w:rPr>
        <w:t xml:space="preserve">On the relevant date, viewers simply need to retune their television or set-top box. However, in some instances—especially with viewers who have inappropriate/legacy receive antenna configurations or antenna systems in poor condition—they will need to take additional measures. The ReCAP is helping the department prepare targeted messages to help these viewers. </w:t>
      </w:r>
    </w:p>
    <w:p w14:paraId="7C18D1FB" w14:textId="77777777" w:rsidR="00E13F9C" w:rsidRPr="001E2783" w:rsidRDefault="00E13F9C" w:rsidP="00E13F9C">
      <w:pPr>
        <w:rPr>
          <w:rFonts w:cs="Arial"/>
        </w:rPr>
      </w:pPr>
    </w:p>
    <w:p w14:paraId="5F3C83CA" w14:textId="77777777" w:rsidR="00CC119D" w:rsidRPr="001E2783" w:rsidRDefault="00CC119D" w:rsidP="00CC119D">
      <w:pPr>
        <w:pStyle w:val="BodysubheaderH4"/>
        <w:rPr>
          <w:rFonts w:cs="Arial"/>
        </w:rPr>
      </w:pPr>
      <w:r w:rsidRPr="001E2783">
        <w:rPr>
          <w:rFonts w:cs="Arial"/>
        </w:rPr>
        <w:t>Report on digital television transmission and reception</w:t>
      </w:r>
    </w:p>
    <w:p w14:paraId="2F98D518" w14:textId="77777777" w:rsidR="00CC119D" w:rsidRPr="001E2783" w:rsidRDefault="00CC119D" w:rsidP="00CC119D">
      <w:pPr>
        <w:spacing w:after="80"/>
        <w:rPr>
          <w:rFonts w:cs="Arial"/>
        </w:rPr>
      </w:pPr>
      <w:r w:rsidRPr="001E2783">
        <w:rPr>
          <w:rFonts w:cs="Arial"/>
        </w:rPr>
        <w:t>The ACMA contributes to reports tabled by the minister as required under clause 5H of Schedule 4 of the BSA, which states:</w:t>
      </w:r>
    </w:p>
    <w:p w14:paraId="1533C519" w14:textId="77777777" w:rsidR="00CC119D" w:rsidRPr="001E2783" w:rsidRDefault="00CC119D" w:rsidP="00CC119D">
      <w:pPr>
        <w:spacing w:after="80"/>
        <w:ind w:left="284"/>
        <w:rPr>
          <w:rFonts w:cs="Arial"/>
          <w:sz w:val="18"/>
          <w:szCs w:val="18"/>
        </w:rPr>
      </w:pPr>
      <w:r w:rsidRPr="001E2783">
        <w:rPr>
          <w:rFonts w:cs="Arial"/>
          <w:sz w:val="18"/>
          <w:szCs w:val="18"/>
        </w:rPr>
        <w:t>On the first sitting day of each House of the Parliament after each 1 January, 1 April, 1 July and 1 October from 1 April 2009 until 1 September 2014, the minister must cause a report to be laid before each House of the Parliament containing the following information:</w:t>
      </w:r>
    </w:p>
    <w:p w14:paraId="7E1D1F94" w14:textId="77777777" w:rsidR="00CC119D" w:rsidRPr="001E2783" w:rsidRDefault="00CC119D" w:rsidP="00F477D6">
      <w:pPr>
        <w:pStyle w:val="ListParagraph"/>
        <w:numPr>
          <w:ilvl w:val="0"/>
          <w:numId w:val="5"/>
        </w:numPr>
        <w:spacing w:after="80"/>
        <w:ind w:left="709" w:hanging="425"/>
        <w:contextualSpacing w:val="0"/>
        <w:rPr>
          <w:rFonts w:cs="Arial"/>
          <w:sz w:val="18"/>
          <w:szCs w:val="18"/>
        </w:rPr>
      </w:pPr>
      <w:r w:rsidRPr="001E2783">
        <w:rPr>
          <w:rFonts w:cs="Arial"/>
          <w:sz w:val="18"/>
          <w:szCs w:val="18"/>
        </w:rPr>
        <w:t>action taken to identify and rectify transmission infrastructure that would otherwise prevent the transmission of free to air television broadcasting services in SDTV digital mode in any area achieving the same level of coverage and potential reception quality as was achieved by the transmission of those services in analogue mode; and</w:t>
      </w:r>
    </w:p>
    <w:p w14:paraId="3E516641" w14:textId="77777777" w:rsidR="00CC119D" w:rsidRPr="001E2783" w:rsidRDefault="00CC119D" w:rsidP="00F477D6">
      <w:pPr>
        <w:pStyle w:val="ListParagraph"/>
        <w:numPr>
          <w:ilvl w:val="0"/>
          <w:numId w:val="5"/>
        </w:numPr>
        <w:spacing w:after="240"/>
        <w:ind w:left="709" w:hanging="425"/>
        <w:rPr>
          <w:rFonts w:cs="Arial"/>
          <w:sz w:val="18"/>
          <w:szCs w:val="18"/>
        </w:rPr>
      </w:pPr>
      <w:r w:rsidRPr="001E2783">
        <w:rPr>
          <w:rFonts w:cs="Arial"/>
          <w:sz w:val="18"/>
          <w:szCs w:val="18"/>
        </w:rPr>
        <w:t>the local market areas and regions where transmission issues have been identified and how many households will be affected.</w:t>
      </w:r>
    </w:p>
    <w:p w14:paraId="53CC9E42" w14:textId="77777777" w:rsidR="00CC119D" w:rsidRPr="001E2783" w:rsidRDefault="00E13F9C" w:rsidP="00CC119D">
      <w:pPr>
        <w:rPr>
          <w:rFonts w:cs="Arial"/>
        </w:rPr>
      </w:pPr>
      <w:r w:rsidRPr="001E2783">
        <w:rPr>
          <w:rFonts w:cs="Arial"/>
        </w:rPr>
        <w:t xml:space="preserve">The ACMA contributed to four reports in 2013–14, which have been tabled in parliament. Reports on digital television transmission and reception required under clause 5H can be found on the </w:t>
      </w:r>
      <w:r w:rsidR="003C3D50" w:rsidRPr="001E2783">
        <w:rPr>
          <w:rFonts w:cs="Arial"/>
        </w:rPr>
        <w:t>DoC</w:t>
      </w:r>
      <w:r w:rsidR="00A87B4A" w:rsidRPr="001E2783">
        <w:rPr>
          <w:rFonts w:cs="Arial"/>
        </w:rPr>
        <w:t xml:space="preserve"> </w:t>
      </w:r>
      <w:r w:rsidRPr="001E2783">
        <w:rPr>
          <w:rFonts w:cs="Arial"/>
        </w:rPr>
        <w:t>website.</w:t>
      </w:r>
    </w:p>
    <w:p w14:paraId="6BE0313A" w14:textId="77777777" w:rsidR="00CC119D" w:rsidRPr="001E2783" w:rsidRDefault="00CC119D" w:rsidP="00CC119D">
      <w:pPr>
        <w:rPr>
          <w:rFonts w:cs="Arial"/>
        </w:rPr>
      </w:pPr>
    </w:p>
    <w:p w14:paraId="12CD6374" w14:textId="77777777" w:rsidR="00CC119D" w:rsidRPr="001E2783" w:rsidRDefault="00CC119D" w:rsidP="00CC119D">
      <w:pPr>
        <w:pStyle w:val="Heading3"/>
      </w:pPr>
      <w:bookmarkStart w:id="74" w:name="_Toc264884681"/>
      <w:bookmarkStart w:id="75" w:name="_Toc297218436"/>
      <w:bookmarkStart w:id="76" w:name="_Toc337727537"/>
      <w:bookmarkStart w:id="77" w:name="_Toc400018505"/>
      <w:r w:rsidRPr="001E2783">
        <w:t>Digital radio</w:t>
      </w:r>
      <w:bookmarkEnd w:id="74"/>
      <w:bookmarkEnd w:id="75"/>
      <w:bookmarkEnd w:id="76"/>
      <w:bookmarkEnd w:id="77"/>
    </w:p>
    <w:p w14:paraId="6C6D0379" w14:textId="44AD1D24" w:rsidR="00E13F9C" w:rsidRPr="001E2783" w:rsidRDefault="00E13F9C" w:rsidP="00E13F9C">
      <w:pPr>
        <w:pStyle w:val="PlainText"/>
        <w:rPr>
          <w:rFonts w:ascii="Arial" w:eastAsia="Times New Roman" w:hAnsi="Arial" w:cs="Arial"/>
          <w:sz w:val="20"/>
          <w:szCs w:val="20"/>
        </w:rPr>
      </w:pPr>
      <w:bookmarkStart w:id="78" w:name="_Toc337727538"/>
      <w:r w:rsidRPr="001E2783">
        <w:rPr>
          <w:rFonts w:ascii="Arial" w:eastAsia="Times New Roman" w:hAnsi="Arial" w:cs="Arial"/>
          <w:sz w:val="20"/>
          <w:szCs w:val="20"/>
        </w:rPr>
        <w:t>Digital radio services, using DAB+ technology in VHF Band III spectrum, have been running on a permanent basis in the metropolitan areas of Adelaide, Brisbane, Melbourne, Perth and Sydney since July 2009. In October 2013, the ACMA varied the foundation digital radio multiplex transmitter licences to authorise the operation of in-fill repeaters in 1</w:t>
      </w:r>
      <w:r w:rsidR="003F753F" w:rsidRPr="001E2783">
        <w:rPr>
          <w:rFonts w:ascii="Arial" w:eastAsia="Times New Roman" w:hAnsi="Arial" w:cs="Arial"/>
          <w:sz w:val="20"/>
          <w:szCs w:val="20"/>
        </w:rPr>
        <w:t>2</w:t>
      </w:r>
      <w:r w:rsidRPr="001E2783">
        <w:rPr>
          <w:rFonts w:ascii="Arial" w:eastAsia="Times New Roman" w:hAnsi="Arial" w:cs="Arial"/>
          <w:sz w:val="20"/>
          <w:szCs w:val="20"/>
        </w:rPr>
        <w:t xml:space="preserve"> locations in Sydney, Melbourne, Brisbane and Perth</w:t>
      </w:r>
      <w:r w:rsidR="005D12C4" w:rsidRPr="001E2783">
        <w:rPr>
          <w:rFonts w:ascii="Arial" w:eastAsia="Times New Roman" w:hAnsi="Arial" w:cs="Arial"/>
          <w:sz w:val="20"/>
          <w:szCs w:val="20"/>
        </w:rPr>
        <w:t>,</w:t>
      </w:r>
      <w:r w:rsidRPr="001E2783">
        <w:rPr>
          <w:rFonts w:ascii="Arial" w:eastAsia="Times New Roman" w:hAnsi="Arial" w:cs="Arial"/>
          <w:sz w:val="20"/>
          <w:szCs w:val="20"/>
        </w:rPr>
        <w:t xml:space="preserve"> extending </w:t>
      </w:r>
      <w:r w:rsidR="00452B53" w:rsidRPr="001E2783">
        <w:rPr>
          <w:rFonts w:ascii="Arial" w:eastAsia="Times New Roman" w:hAnsi="Arial" w:cs="Arial"/>
          <w:sz w:val="20"/>
          <w:szCs w:val="20"/>
        </w:rPr>
        <w:t>the coverage of the commercial and community digital radio services</w:t>
      </w:r>
      <w:r w:rsidRPr="001E2783">
        <w:rPr>
          <w:rFonts w:ascii="Arial" w:eastAsia="Times New Roman" w:hAnsi="Arial" w:cs="Arial"/>
          <w:sz w:val="20"/>
          <w:szCs w:val="20"/>
        </w:rPr>
        <w:t xml:space="preserve"> to a potential 264,000 listeners.</w:t>
      </w:r>
    </w:p>
    <w:p w14:paraId="2D2B2AD9" w14:textId="77777777" w:rsidR="00E13F9C" w:rsidRPr="001E2783" w:rsidRDefault="00E13F9C" w:rsidP="00E13F9C">
      <w:pPr>
        <w:pStyle w:val="PlainText"/>
        <w:rPr>
          <w:rFonts w:ascii="Arial" w:eastAsia="Times New Roman" w:hAnsi="Arial" w:cs="Arial"/>
          <w:sz w:val="20"/>
          <w:szCs w:val="20"/>
        </w:rPr>
      </w:pPr>
    </w:p>
    <w:p w14:paraId="6C17A444" w14:textId="77777777" w:rsidR="00E13F9C" w:rsidRPr="001E2783" w:rsidRDefault="00E13F9C" w:rsidP="00E13F9C">
      <w:pPr>
        <w:pStyle w:val="PlainText"/>
        <w:rPr>
          <w:rFonts w:ascii="Arial" w:eastAsia="Times New Roman" w:hAnsi="Arial" w:cs="Arial"/>
          <w:sz w:val="20"/>
          <w:szCs w:val="20"/>
        </w:rPr>
      </w:pPr>
      <w:r w:rsidRPr="001E2783">
        <w:rPr>
          <w:rFonts w:ascii="Arial" w:eastAsia="Times New Roman" w:hAnsi="Arial" w:cs="Arial"/>
          <w:sz w:val="20"/>
          <w:szCs w:val="20"/>
        </w:rPr>
        <w:t xml:space="preserve">Trials of DAB+ are being conducted in Canberra and Darwin by the peak commercial radio body, Commercial Radio Australia (CRA). </w:t>
      </w:r>
    </w:p>
    <w:p w14:paraId="6205B1F2" w14:textId="77777777" w:rsidR="00E13F9C" w:rsidRPr="001E2783" w:rsidRDefault="00E13F9C" w:rsidP="00E13F9C">
      <w:pPr>
        <w:pStyle w:val="PlainText"/>
        <w:rPr>
          <w:rFonts w:ascii="Arial" w:eastAsia="Times New Roman" w:hAnsi="Arial" w:cs="Arial"/>
          <w:sz w:val="20"/>
          <w:szCs w:val="20"/>
        </w:rPr>
      </w:pPr>
    </w:p>
    <w:p w14:paraId="0F888AD3" w14:textId="77777777" w:rsidR="00E13F9C" w:rsidRPr="001E2783" w:rsidRDefault="00E13F9C" w:rsidP="00E13F9C">
      <w:pPr>
        <w:pStyle w:val="PlainText"/>
        <w:rPr>
          <w:rFonts w:ascii="Arial" w:eastAsia="Times New Roman" w:hAnsi="Arial" w:cs="Arial"/>
          <w:sz w:val="20"/>
          <w:szCs w:val="20"/>
        </w:rPr>
      </w:pPr>
      <w:r w:rsidRPr="001E2783">
        <w:rPr>
          <w:rFonts w:ascii="Arial" w:eastAsia="Times New Roman" w:hAnsi="Arial" w:cs="Arial"/>
          <w:sz w:val="20"/>
          <w:szCs w:val="20"/>
        </w:rPr>
        <w:t xml:space="preserve">Permanent digital radio services cannot begin in regional licence areas (including Hobart) until the ACMA declares the digital radio start-up days for those areas. The ACMA may only declare a day that the </w:t>
      </w:r>
      <w:r w:rsidR="005D12C4" w:rsidRPr="001E2783">
        <w:rPr>
          <w:rFonts w:ascii="Arial" w:eastAsia="Times New Roman" w:hAnsi="Arial" w:cs="Arial"/>
          <w:sz w:val="20"/>
          <w:szCs w:val="20"/>
        </w:rPr>
        <w:t>m</w:t>
      </w:r>
      <w:r w:rsidRPr="001E2783">
        <w:rPr>
          <w:rFonts w:ascii="Arial" w:eastAsia="Times New Roman" w:hAnsi="Arial" w:cs="Arial"/>
          <w:sz w:val="20"/>
          <w:szCs w:val="20"/>
        </w:rPr>
        <w:t>inister specifies in a legislative instrument.</w:t>
      </w:r>
    </w:p>
    <w:p w14:paraId="04428870" w14:textId="77777777" w:rsidR="00E13F9C" w:rsidRPr="001E2783" w:rsidRDefault="00E13F9C" w:rsidP="00E13F9C">
      <w:pPr>
        <w:pStyle w:val="PlainText"/>
        <w:rPr>
          <w:rFonts w:ascii="Arial" w:eastAsia="Times New Roman" w:hAnsi="Arial" w:cs="Arial"/>
          <w:sz w:val="20"/>
          <w:szCs w:val="20"/>
        </w:rPr>
      </w:pPr>
    </w:p>
    <w:p w14:paraId="0778E49E" w14:textId="77777777" w:rsidR="00E13F9C" w:rsidRPr="001E2783" w:rsidRDefault="00E13F9C" w:rsidP="00E13F9C">
      <w:pPr>
        <w:pStyle w:val="PlainText"/>
        <w:rPr>
          <w:rFonts w:ascii="Arial" w:eastAsia="Times New Roman" w:hAnsi="Arial" w:cs="Arial"/>
          <w:sz w:val="20"/>
          <w:szCs w:val="20"/>
        </w:rPr>
      </w:pPr>
      <w:r w:rsidRPr="001E2783">
        <w:rPr>
          <w:rFonts w:ascii="Arial" w:eastAsia="Times New Roman" w:hAnsi="Arial" w:cs="Arial"/>
          <w:sz w:val="20"/>
          <w:szCs w:val="20"/>
        </w:rPr>
        <w:t>Prior to the ACMA declaring the start-up day</w:t>
      </w:r>
      <w:r w:rsidR="005D12C4" w:rsidRPr="001E2783">
        <w:rPr>
          <w:rFonts w:ascii="Arial" w:eastAsia="Times New Roman" w:hAnsi="Arial" w:cs="Arial"/>
          <w:sz w:val="20"/>
          <w:szCs w:val="20"/>
        </w:rPr>
        <w:t>, it</w:t>
      </w:r>
      <w:r w:rsidRPr="001E2783">
        <w:rPr>
          <w:rFonts w:ascii="Arial" w:eastAsia="Times New Roman" w:hAnsi="Arial" w:cs="Arial"/>
          <w:sz w:val="20"/>
          <w:szCs w:val="20"/>
        </w:rPr>
        <w:t xml:space="preserve"> must plan and allot digital radio channels and issue digital radio multiplex transmitter licences in accordan</w:t>
      </w:r>
      <w:r w:rsidR="000377A6" w:rsidRPr="001E2783">
        <w:rPr>
          <w:rFonts w:ascii="Arial" w:eastAsia="Times New Roman" w:hAnsi="Arial" w:cs="Arial"/>
          <w:sz w:val="20"/>
          <w:szCs w:val="20"/>
        </w:rPr>
        <w:t>ce with the legislation. V</w:t>
      </w:r>
      <w:r w:rsidRPr="001E2783">
        <w:rPr>
          <w:rFonts w:ascii="Arial" w:eastAsia="Times New Roman" w:hAnsi="Arial" w:cs="Arial"/>
          <w:sz w:val="20"/>
          <w:szCs w:val="20"/>
        </w:rPr>
        <w:t>arious technological and policy issues need to be resolved before planning and licens</w:t>
      </w:r>
      <w:r w:rsidR="000377A6" w:rsidRPr="001E2783">
        <w:rPr>
          <w:rFonts w:ascii="Arial" w:eastAsia="Times New Roman" w:hAnsi="Arial" w:cs="Arial"/>
          <w:sz w:val="20"/>
          <w:szCs w:val="20"/>
        </w:rPr>
        <w:t>ing for the roll</w:t>
      </w:r>
      <w:r w:rsidRPr="001E2783">
        <w:rPr>
          <w:rFonts w:ascii="Arial" w:eastAsia="Times New Roman" w:hAnsi="Arial" w:cs="Arial"/>
          <w:sz w:val="20"/>
          <w:szCs w:val="20"/>
        </w:rPr>
        <w:t xml:space="preserve">out of digital radio to regional licence areas can commence, including the most appropriate digital radio transmission technology for </w:t>
      </w:r>
      <w:r w:rsidR="000377A6" w:rsidRPr="001E2783">
        <w:rPr>
          <w:rFonts w:ascii="Arial" w:eastAsia="Times New Roman" w:hAnsi="Arial" w:cs="Arial"/>
          <w:sz w:val="20"/>
          <w:szCs w:val="20"/>
        </w:rPr>
        <w:t>these</w:t>
      </w:r>
      <w:r w:rsidRPr="001E2783">
        <w:rPr>
          <w:rFonts w:ascii="Arial" w:eastAsia="Times New Roman" w:hAnsi="Arial" w:cs="Arial"/>
          <w:sz w:val="20"/>
          <w:szCs w:val="20"/>
        </w:rPr>
        <w:t xml:space="preserve"> areas.</w:t>
      </w:r>
    </w:p>
    <w:p w14:paraId="43E73027" w14:textId="77777777" w:rsidR="00E13F9C" w:rsidRPr="001E2783" w:rsidRDefault="00E13F9C" w:rsidP="00E13F9C">
      <w:pPr>
        <w:pStyle w:val="PlainText"/>
        <w:rPr>
          <w:rFonts w:ascii="Arial" w:eastAsia="Times New Roman" w:hAnsi="Arial" w:cs="Arial"/>
          <w:sz w:val="20"/>
          <w:szCs w:val="20"/>
        </w:rPr>
      </w:pPr>
    </w:p>
    <w:p w14:paraId="172F2F32" w14:textId="77777777" w:rsidR="00DB3CC2" w:rsidRPr="001E2783" w:rsidRDefault="00E13F9C" w:rsidP="00E13F9C">
      <w:pPr>
        <w:pStyle w:val="PlainText"/>
        <w:rPr>
          <w:rFonts w:ascii="Arial" w:eastAsia="Times New Roman" w:hAnsi="Arial" w:cs="Arial"/>
          <w:sz w:val="20"/>
          <w:szCs w:val="20"/>
        </w:rPr>
      </w:pPr>
      <w:r w:rsidRPr="001E2783">
        <w:rPr>
          <w:rFonts w:ascii="Arial" w:eastAsia="Times New Roman" w:hAnsi="Arial" w:cs="Arial"/>
          <w:sz w:val="20"/>
          <w:szCs w:val="20"/>
        </w:rPr>
        <w:t xml:space="preserve">The ACMA provides other technical advice to the </w:t>
      </w:r>
      <w:r w:rsidR="00452B53" w:rsidRPr="001E2783">
        <w:rPr>
          <w:rFonts w:ascii="Arial" w:eastAsia="Times New Roman" w:hAnsi="Arial" w:cs="Arial"/>
          <w:sz w:val="20"/>
          <w:szCs w:val="20"/>
        </w:rPr>
        <w:t>d</w:t>
      </w:r>
      <w:r w:rsidRPr="001E2783">
        <w:rPr>
          <w:rFonts w:ascii="Arial" w:eastAsia="Times New Roman" w:hAnsi="Arial" w:cs="Arial"/>
          <w:sz w:val="20"/>
          <w:szCs w:val="20"/>
        </w:rPr>
        <w:t>epartment as required, including input into recent digital radio statutory reviews condu</w:t>
      </w:r>
      <w:r w:rsidR="003C3D50" w:rsidRPr="001E2783">
        <w:rPr>
          <w:rFonts w:ascii="Arial" w:eastAsia="Times New Roman" w:hAnsi="Arial" w:cs="Arial"/>
          <w:sz w:val="20"/>
          <w:szCs w:val="20"/>
        </w:rPr>
        <w:t>cted in accordance with section </w:t>
      </w:r>
      <w:r w:rsidRPr="001E2783">
        <w:rPr>
          <w:rFonts w:ascii="Arial" w:eastAsia="Times New Roman" w:hAnsi="Arial" w:cs="Arial"/>
          <w:sz w:val="20"/>
          <w:szCs w:val="20"/>
        </w:rPr>
        <w:t xml:space="preserve">215B </w:t>
      </w:r>
      <w:r w:rsidR="000377A6" w:rsidRPr="001E2783">
        <w:rPr>
          <w:rFonts w:ascii="Arial" w:eastAsia="Times New Roman" w:hAnsi="Arial" w:cs="Arial"/>
          <w:sz w:val="20"/>
          <w:szCs w:val="20"/>
        </w:rPr>
        <w:t xml:space="preserve">of </w:t>
      </w:r>
      <w:r w:rsidRPr="001E2783">
        <w:rPr>
          <w:rFonts w:ascii="Arial" w:eastAsia="Times New Roman" w:hAnsi="Arial" w:cs="Arial"/>
          <w:sz w:val="20"/>
          <w:szCs w:val="20"/>
        </w:rPr>
        <w:t xml:space="preserve">the </w:t>
      </w:r>
      <w:r w:rsidR="000377A6" w:rsidRPr="001E2783">
        <w:rPr>
          <w:rFonts w:ascii="Arial" w:eastAsia="Times New Roman" w:hAnsi="Arial" w:cs="Arial"/>
          <w:sz w:val="20"/>
          <w:szCs w:val="20"/>
        </w:rPr>
        <w:t>BSA</w:t>
      </w:r>
      <w:r w:rsidRPr="001E2783">
        <w:rPr>
          <w:rFonts w:ascii="Arial" w:eastAsia="Times New Roman" w:hAnsi="Arial" w:cs="Arial"/>
          <w:sz w:val="20"/>
          <w:szCs w:val="20"/>
        </w:rPr>
        <w:t xml:space="preserve"> and section 313B of the </w:t>
      </w:r>
      <w:r w:rsidRPr="001E2783">
        <w:rPr>
          <w:rFonts w:ascii="Arial" w:eastAsia="Times New Roman" w:hAnsi="Arial" w:cs="Arial"/>
          <w:i/>
          <w:sz w:val="20"/>
          <w:szCs w:val="20"/>
        </w:rPr>
        <w:t>Radiocommunications Act</w:t>
      </w:r>
      <w:r w:rsidR="003C3D50" w:rsidRPr="001E2783">
        <w:rPr>
          <w:rFonts w:ascii="Arial" w:eastAsia="Times New Roman" w:hAnsi="Arial" w:cs="Arial"/>
          <w:i/>
          <w:sz w:val="20"/>
          <w:szCs w:val="20"/>
        </w:rPr>
        <w:t xml:space="preserve"> 1992</w:t>
      </w:r>
      <w:r w:rsidRPr="001E2783">
        <w:rPr>
          <w:rFonts w:ascii="Arial" w:eastAsia="Times New Roman" w:hAnsi="Arial" w:cs="Arial"/>
          <w:sz w:val="20"/>
          <w:szCs w:val="20"/>
        </w:rPr>
        <w:t>.</w:t>
      </w:r>
    </w:p>
    <w:p w14:paraId="083261A4" w14:textId="77777777" w:rsidR="00E13F9C" w:rsidRPr="001E2783" w:rsidRDefault="00E13F9C" w:rsidP="00E13F9C">
      <w:pPr>
        <w:pStyle w:val="PlainText"/>
        <w:rPr>
          <w:rFonts w:ascii="Arial" w:hAnsi="Arial" w:cs="Arial"/>
          <w:sz w:val="20"/>
          <w:szCs w:val="20"/>
        </w:rPr>
      </w:pPr>
    </w:p>
    <w:p w14:paraId="0FD88734" w14:textId="77777777" w:rsidR="00CC119D" w:rsidRPr="001E2783" w:rsidRDefault="00CC119D" w:rsidP="00514B06">
      <w:pPr>
        <w:pStyle w:val="Heading2"/>
        <w:keepLines/>
      </w:pPr>
      <w:bookmarkStart w:id="79" w:name="_Toc400018506"/>
      <w:r w:rsidRPr="001E2783">
        <w:t>Spectrum management</w:t>
      </w:r>
      <w:bookmarkEnd w:id="78"/>
      <w:bookmarkEnd w:id="79"/>
    </w:p>
    <w:p w14:paraId="00C79955" w14:textId="77777777" w:rsidR="00A87B4A" w:rsidRPr="001E2783" w:rsidRDefault="00A87B4A" w:rsidP="00A87B4A">
      <w:pPr>
        <w:keepNext/>
        <w:keepLines/>
        <w:rPr>
          <w:rFonts w:cs="Arial"/>
        </w:rPr>
      </w:pPr>
      <w:r w:rsidRPr="001E2783">
        <w:rPr>
          <w:rFonts w:cs="Arial"/>
        </w:rPr>
        <w:t xml:space="preserve">The ACMA manages the radiofrequency spectrum in Australia through planning, allocation and licensing decisions, device regulation and compliance activities. </w:t>
      </w:r>
      <w:r w:rsidR="00B34F43" w:rsidRPr="001E2783">
        <w:rPr>
          <w:rFonts w:cs="Arial"/>
        </w:rPr>
        <w:t>It</w:t>
      </w:r>
      <w:r w:rsidRPr="001E2783">
        <w:rPr>
          <w:rFonts w:cs="Arial"/>
        </w:rPr>
        <w:t xml:space="preserve"> ensures compliance with licensing requirements and investigates complaints of interference to licensed services. The scope of the ACMA’s role includes spectrum planning, apparatus licensing, class licensing, spectrum licensing, auctions and trading, and satellite communications and space systems regulation.</w:t>
      </w:r>
    </w:p>
    <w:p w14:paraId="0451F147" w14:textId="77777777" w:rsidR="00CC119D" w:rsidRPr="001E2783" w:rsidRDefault="00CC119D" w:rsidP="00CC119D">
      <w:pPr>
        <w:rPr>
          <w:rFonts w:cs="Arial"/>
        </w:rPr>
      </w:pPr>
    </w:p>
    <w:p w14:paraId="56A1E864" w14:textId="77777777" w:rsidR="00776320" w:rsidRPr="001E2783" w:rsidRDefault="00776320" w:rsidP="00776320">
      <w:pPr>
        <w:rPr>
          <w:rFonts w:cs="Arial"/>
        </w:rPr>
      </w:pPr>
      <w:r w:rsidRPr="001E2783">
        <w:rPr>
          <w:rFonts w:cs="Arial"/>
        </w:rPr>
        <w:t>As in many other countries, Australia must increasingly address the balance between growing demand for access to spectrum by new technologies and uses, and the legitimate requirements of existing users for ongoing use of spectrum. It must also address the balance between government use of the spectrum and its availability for use by the broader community. The ACMA continues to work to balance the competing demands of new uses,</w:t>
      </w:r>
      <w:r w:rsidR="00945AE3" w:rsidRPr="001E2783">
        <w:rPr>
          <w:rFonts w:cs="Arial"/>
        </w:rPr>
        <w:t xml:space="preserve"> </w:t>
      </w:r>
      <w:r w:rsidRPr="001E2783">
        <w:rPr>
          <w:rFonts w:cs="Arial"/>
        </w:rPr>
        <w:t>the defence and essential services sectors and the broader community requirements for access to spectrum, as well as new technologies and spectrum management methods.</w:t>
      </w:r>
    </w:p>
    <w:p w14:paraId="1C5D2120" w14:textId="77777777" w:rsidR="00CC119D" w:rsidRPr="001E2783" w:rsidRDefault="00CC119D" w:rsidP="00CC119D">
      <w:pPr>
        <w:rPr>
          <w:rFonts w:cs="Arial"/>
        </w:rPr>
      </w:pPr>
    </w:p>
    <w:p w14:paraId="3BCC8637" w14:textId="77777777" w:rsidR="00E13F9C" w:rsidRPr="001E2783" w:rsidRDefault="00E13F9C" w:rsidP="00E13F9C">
      <w:pPr>
        <w:keepNext/>
        <w:spacing w:after="80"/>
        <w:rPr>
          <w:rFonts w:cs="Arial"/>
        </w:rPr>
      </w:pPr>
      <w:bookmarkStart w:id="80" w:name="_Toc337727539"/>
      <w:r w:rsidRPr="001E2783">
        <w:rPr>
          <w:rFonts w:cs="Arial"/>
        </w:rPr>
        <w:t>In 2013–14, the ACMA’s major spectrum initiatives included:</w:t>
      </w:r>
    </w:p>
    <w:p w14:paraId="3045D1A9" w14:textId="77777777" w:rsidR="00776320" w:rsidRPr="001E2783" w:rsidRDefault="00776320" w:rsidP="00776320">
      <w:pPr>
        <w:pStyle w:val="ListBullet"/>
        <w:rPr>
          <w:rFonts w:cs="Arial"/>
        </w:rPr>
      </w:pPr>
      <w:r w:rsidRPr="001E2783">
        <w:rPr>
          <w:rFonts w:cs="Arial"/>
        </w:rPr>
        <w:t>undertaking processes for expiring spectrum licences, including considering reissue of licences to current licensees and reviewing relevant technical frameworks for the 1800 MHz and 2.3 GHz bands</w:t>
      </w:r>
    </w:p>
    <w:p w14:paraId="01890688" w14:textId="77777777" w:rsidR="00776320" w:rsidRPr="001E2783" w:rsidRDefault="00776320" w:rsidP="00776320">
      <w:pPr>
        <w:pStyle w:val="ListBullet"/>
        <w:rPr>
          <w:rFonts w:cs="Arial"/>
        </w:rPr>
      </w:pPr>
      <w:r w:rsidRPr="001E2783">
        <w:rPr>
          <w:rFonts w:cs="Arial"/>
        </w:rPr>
        <w:t xml:space="preserve">finalising work on the conversion of the 2.5 GHz mid-band gap for spectrum licensing </w:t>
      </w:r>
    </w:p>
    <w:p w14:paraId="00CC437C" w14:textId="77777777" w:rsidR="00776320" w:rsidRPr="001E2783" w:rsidRDefault="00776320" w:rsidP="00776320">
      <w:pPr>
        <w:pStyle w:val="ListBullet"/>
        <w:rPr>
          <w:rFonts w:cs="Arial"/>
        </w:rPr>
      </w:pPr>
      <w:r w:rsidRPr="001E2783">
        <w:rPr>
          <w:rFonts w:cs="Arial"/>
        </w:rPr>
        <w:t xml:space="preserve">finalising work on developing arrangements to support the relocation of </w:t>
      </w:r>
      <w:r w:rsidR="00073C2B" w:rsidRPr="001E2783">
        <w:rPr>
          <w:rFonts w:cs="Arial"/>
        </w:rPr>
        <w:t>electronic news-gathering (</w:t>
      </w:r>
      <w:r w:rsidRPr="001E2783">
        <w:rPr>
          <w:rFonts w:cs="Arial"/>
        </w:rPr>
        <w:t>ENG</w:t>
      </w:r>
      <w:r w:rsidR="00073C2B" w:rsidRPr="001E2783">
        <w:rPr>
          <w:rFonts w:cs="Arial"/>
        </w:rPr>
        <w:t>)</w:t>
      </w:r>
      <w:r w:rsidRPr="001E2783">
        <w:rPr>
          <w:rFonts w:cs="Arial"/>
        </w:rPr>
        <w:t xml:space="preserve"> services (used for wireless video coverage of news</w:t>
      </w:r>
      <w:r w:rsidR="00B34F43" w:rsidRPr="001E2783">
        <w:rPr>
          <w:rFonts w:cs="Arial"/>
        </w:rPr>
        <w:t>,</w:t>
      </w:r>
      <w:r w:rsidRPr="001E2783">
        <w:rPr>
          <w:rFonts w:cs="Arial"/>
        </w:rPr>
        <w:t xml:space="preserve"> sporting and cultural events) from the 2.5 GHz band</w:t>
      </w:r>
    </w:p>
    <w:p w14:paraId="3745A8BE" w14:textId="77777777" w:rsidR="00776320" w:rsidRPr="001E2783" w:rsidRDefault="00B34F43" w:rsidP="00776320">
      <w:pPr>
        <w:pStyle w:val="ListBullet"/>
        <w:rPr>
          <w:rFonts w:cs="Arial"/>
        </w:rPr>
      </w:pPr>
      <w:r w:rsidRPr="001E2783">
        <w:rPr>
          <w:rFonts w:cs="Arial"/>
        </w:rPr>
        <w:t xml:space="preserve">facilitating </w:t>
      </w:r>
      <w:r w:rsidR="00776320" w:rsidRPr="001E2783">
        <w:rPr>
          <w:rFonts w:cs="Arial"/>
        </w:rPr>
        <w:t>early access to the 700 MHz band following the digital dividend auction</w:t>
      </w:r>
    </w:p>
    <w:p w14:paraId="066744F3" w14:textId="77777777" w:rsidR="00776320" w:rsidRPr="001E2783" w:rsidRDefault="00776320" w:rsidP="00B34F43">
      <w:pPr>
        <w:pStyle w:val="ListBullet"/>
        <w:spacing w:after="240"/>
        <w:rPr>
          <w:rFonts w:cs="Arial"/>
        </w:rPr>
      </w:pPr>
      <w:r w:rsidRPr="001E2783">
        <w:rPr>
          <w:rFonts w:cs="Arial"/>
        </w:rPr>
        <w:t>continuing to support the transition of wireless microphones from the digital dividend.</w:t>
      </w:r>
    </w:p>
    <w:p w14:paraId="42CCC0D2" w14:textId="77777777" w:rsidR="00776320" w:rsidRPr="001E2783" w:rsidRDefault="00776320" w:rsidP="00961EFC">
      <w:pPr>
        <w:pStyle w:val="Heading3"/>
      </w:pPr>
      <w:bookmarkStart w:id="81" w:name="_Toc400018507"/>
      <w:bookmarkEnd w:id="80"/>
      <w:r w:rsidRPr="001E2783">
        <w:t>Expiring spectrum licences</w:t>
      </w:r>
      <w:bookmarkEnd w:id="81"/>
    </w:p>
    <w:p w14:paraId="440E0803" w14:textId="77777777" w:rsidR="00776320" w:rsidRPr="001E2783" w:rsidRDefault="00776320" w:rsidP="00776320">
      <w:pPr>
        <w:rPr>
          <w:rFonts w:cs="Arial"/>
          <w:szCs w:val="20"/>
        </w:rPr>
      </w:pPr>
      <w:r w:rsidRPr="001E2783">
        <w:rPr>
          <w:rFonts w:cs="Arial"/>
          <w:szCs w:val="20"/>
        </w:rPr>
        <w:t>Fifteen-year spectrum licences were first issued in the late 1990s and early 2000s</w:t>
      </w:r>
      <w:r w:rsidR="00B34F43" w:rsidRPr="001E2783">
        <w:rPr>
          <w:rFonts w:cs="Arial"/>
          <w:szCs w:val="20"/>
        </w:rPr>
        <w:t>,</w:t>
      </w:r>
      <w:r w:rsidRPr="001E2783">
        <w:rPr>
          <w:rFonts w:cs="Arial"/>
          <w:szCs w:val="20"/>
        </w:rPr>
        <w:t xml:space="preserve"> and are now approaching expiry. Some of these spectrum-licensed bands are used to deliver high-value telephony and broadband services.</w:t>
      </w:r>
    </w:p>
    <w:p w14:paraId="69563F1E" w14:textId="77777777" w:rsidR="00776320" w:rsidRPr="001E2783" w:rsidRDefault="00776320" w:rsidP="00776320">
      <w:pPr>
        <w:rPr>
          <w:rFonts w:cs="Arial"/>
          <w:szCs w:val="20"/>
        </w:rPr>
      </w:pPr>
    </w:p>
    <w:p w14:paraId="2CC04E8C" w14:textId="77777777" w:rsidR="00776320" w:rsidRPr="001E2783" w:rsidRDefault="00B34F43" w:rsidP="00776320">
      <w:pPr>
        <w:spacing w:after="80"/>
        <w:rPr>
          <w:rFonts w:cs="Arial"/>
          <w:szCs w:val="20"/>
        </w:rPr>
      </w:pPr>
      <w:r w:rsidRPr="001E2783">
        <w:rPr>
          <w:rFonts w:cs="Arial"/>
          <w:szCs w:val="20"/>
        </w:rPr>
        <w:t>In 2012, the minister made a ‘class of services’ determination f</w:t>
      </w:r>
      <w:r w:rsidR="00776320" w:rsidRPr="001E2783">
        <w:rPr>
          <w:rFonts w:cs="Arial"/>
          <w:szCs w:val="20"/>
        </w:rPr>
        <w:t>or some o</w:t>
      </w:r>
      <w:r w:rsidRPr="001E2783">
        <w:rPr>
          <w:rFonts w:cs="Arial"/>
          <w:szCs w:val="20"/>
        </w:rPr>
        <w:t xml:space="preserve">f these spectrum-licensed bands </w:t>
      </w:r>
      <w:r w:rsidR="00776320" w:rsidRPr="001E2783">
        <w:rPr>
          <w:rFonts w:cs="Arial"/>
          <w:szCs w:val="20"/>
        </w:rPr>
        <w:t xml:space="preserve">that it would be in the public interest to reissue licences to incumbent licensees, </w:t>
      </w:r>
      <w:r w:rsidR="00452B53" w:rsidRPr="001E2783">
        <w:rPr>
          <w:rFonts w:cs="Arial"/>
          <w:szCs w:val="20"/>
        </w:rPr>
        <w:t>if</w:t>
      </w:r>
      <w:r w:rsidR="00776320" w:rsidRPr="001E2783">
        <w:rPr>
          <w:rFonts w:cs="Arial"/>
          <w:szCs w:val="20"/>
        </w:rPr>
        <w:t xml:space="preserve"> they have used the licence to provide the following services:</w:t>
      </w:r>
    </w:p>
    <w:p w14:paraId="689212DE" w14:textId="77777777" w:rsidR="00776320" w:rsidRPr="001E2783" w:rsidRDefault="00776320" w:rsidP="00776320">
      <w:pPr>
        <w:pStyle w:val="ListBullet"/>
        <w:tabs>
          <w:tab w:val="clear" w:pos="295"/>
          <w:tab w:val="num" w:pos="437"/>
        </w:tabs>
        <w:ind w:left="284"/>
        <w:rPr>
          <w:rFonts w:cs="Arial"/>
        </w:rPr>
      </w:pPr>
      <w:r w:rsidRPr="001E2783">
        <w:rPr>
          <w:rFonts w:cs="Arial"/>
        </w:rPr>
        <w:t>mobile voice and data com</w:t>
      </w:r>
      <w:r w:rsidR="00633A3B" w:rsidRPr="001E2783">
        <w:rPr>
          <w:rFonts w:cs="Arial"/>
        </w:rPr>
        <w:t>munications services in the 800 MHz, 1800 </w:t>
      </w:r>
      <w:r w:rsidRPr="001E2783">
        <w:rPr>
          <w:rFonts w:cs="Arial"/>
        </w:rPr>
        <w:t>MHz and 2 GHz bands</w:t>
      </w:r>
    </w:p>
    <w:p w14:paraId="46EACFD3" w14:textId="77777777" w:rsidR="00776320" w:rsidRPr="001E2783" w:rsidRDefault="00776320" w:rsidP="00776320">
      <w:pPr>
        <w:pStyle w:val="ListBullet"/>
        <w:tabs>
          <w:tab w:val="clear" w:pos="295"/>
          <w:tab w:val="num" w:pos="437"/>
        </w:tabs>
        <w:ind w:left="284"/>
        <w:rPr>
          <w:rFonts w:cs="Arial"/>
        </w:rPr>
      </w:pPr>
      <w:r w:rsidRPr="001E2783">
        <w:rPr>
          <w:rFonts w:cs="Arial"/>
        </w:rPr>
        <w:t>wireles</w:t>
      </w:r>
      <w:r w:rsidR="00633A3B" w:rsidRPr="001E2783">
        <w:rPr>
          <w:rFonts w:cs="Arial"/>
        </w:rPr>
        <w:t>s broadband services in the 2.3 GHz and 3.4 </w:t>
      </w:r>
      <w:r w:rsidRPr="001E2783">
        <w:rPr>
          <w:rFonts w:cs="Arial"/>
        </w:rPr>
        <w:t xml:space="preserve">GHz bands </w:t>
      </w:r>
    </w:p>
    <w:p w14:paraId="3933B130" w14:textId="77777777" w:rsidR="00776320" w:rsidRPr="001E2783" w:rsidRDefault="00633A3B" w:rsidP="00776320">
      <w:pPr>
        <w:pStyle w:val="ListBullet"/>
        <w:tabs>
          <w:tab w:val="clear" w:pos="295"/>
          <w:tab w:val="num" w:pos="437"/>
        </w:tabs>
        <w:spacing w:after="240"/>
        <w:ind w:left="284"/>
        <w:rPr>
          <w:rFonts w:cs="Arial"/>
        </w:rPr>
      </w:pPr>
      <w:r w:rsidRPr="001E2783">
        <w:rPr>
          <w:rFonts w:cs="Arial"/>
        </w:rPr>
        <w:t>satellite services in the 27 </w:t>
      </w:r>
      <w:r w:rsidR="00776320" w:rsidRPr="001E2783">
        <w:rPr>
          <w:rFonts w:cs="Arial"/>
        </w:rPr>
        <w:t xml:space="preserve">GHz band. </w:t>
      </w:r>
    </w:p>
    <w:p w14:paraId="0F21489F" w14:textId="77777777" w:rsidR="00776320" w:rsidRPr="001E2783" w:rsidRDefault="00776320" w:rsidP="00776320">
      <w:pPr>
        <w:rPr>
          <w:rFonts w:cs="Arial"/>
        </w:rPr>
      </w:pPr>
      <w:r w:rsidRPr="001E2783">
        <w:rPr>
          <w:rFonts w:cs="Arial"/>
          <w:szCs w:val="20"/>
        </w:rPr>
        <w:t xml:space="preserve">At the same time, the minister also directed the ACMA </w:t>
      </w:r>
      <w:r w:rsidR="00B34F43" w:rsidRPr="001E2783">
        <w:rPr>
          <w:rFonts w:cs="Arial"/>
          <w:szCs w:val="20"/>
        </w:rPr>
        <w:t>on</w:t>
      </w:r>
      <w:r w:rsidRPr="001E2783">
        <w:rPr>
          <w:rFonts w:cs="Arial"/>
          <w:szCs w:val="20"/>
        </w:rPr>
        <w:t xml:space="preserve"> the value of spectrum in each of the bands mentioned above. The direction requires the ACMA to reflect this valuation in the spectrum access</w:t>
      </w:r>
      <w:r w:rsidR="00633A3B" w:rsidRPr="001E2783">
        <w:rPr>
          <w:rFonts w:cs="Arial"/>
          <w:szCs w:val="20"/>
        </w:rPr>
        <w:t xml:space="preserve"> charges it fixes under section </w:t>
      </w:r>
      <w:r w:rsidRPr="001E2783">
        <w:rPr>
          <w:rFonts w:cs="Arial"/>
          <w:szCs w:val="20"/>
        </w:rPr>
        <w:t>294 of the Radiocommunications Act.</w:t>
      </w:r>
    </w:p>
    <w:p w14:paraId="0AEBA87F" w14:textId="77777777" w:rsidR="00776320" w:rsidRPr="001E2783" w:rsidRDefault="00776320" w:rsidP="00B34F43">
      <w:pPr>
        <w:rPr>
          <w:rFonts w:cs="Arial"/>
        </w:rPr>
      </w:pPr>
    </w:p>
    <w:p w14:paraId="0DABD47A" w14:textId="77777777" w:rsidR="00776320" w:rsidRPr="001E2783" w:rsidRDefault="00776320" w:rsidP="00B34F43">
      <w:pPr>
        <w:rPr>
          <w:rFonts w:cs="Arial"/>
        </w:rPr>
      </w:pPr>
      <w:r w:rsidRPr="001E2783">
        <w:rPr>
          <w:rFonts w:cs="Arial"/>
        </w:rPr>
        <w:t xml:space="preserve">Where licences are not reissued, the ACMA will prepare reallocation processes. The ACMA’s policy is to </w:t>
      </w:r>
      <w:r w:rsidR="00B34F43" w:rsidRPr="001E2783">
        <w:rPr>
          <w:rFonts w:cs="Arial"/>
        </w:rPr>
        <w:t>give</w:t>
      </w:r>
      <w:r w:rsidRPr="001E2783">
        <w:rPr>
          <w:rFonts w:cs="Arial"/>
        </w:rPr>
        <w:t xml:space="preserve"> both incumbent and prospective licensees certainty, where possible, on the outcome of expiring spectrum licence</w:t>
      </w:r>
      <w:r w:rsidR="003735DD" w:rsidRPr="001E2783">
        <w:rPr>
          <w:rFonts w:cs="Arial"/>
        </w:rPr>
        <w:t>s in each band approximately 18 </w:t>
      </w:r>
      <w:r w:rsidRPr="001E2783">
        <w:rPr>
          <w:rFonts w:cs="Arial"/>
        </w:rPr>
        <w:t>months before licence expiry.</w:t>
      </w:r>
    </w:p>
    <w:p w14:paraId="1402F29D" w14:textId="77777777" w:rsidR="00776320" w:rsidRPr="001E2783" w:rsidRDefault="00776320" w:rsidP="00B34F43">
      <w:pPr>
        <w:rPr>
          <w:rFonts w:cs="Arial"/>
        </w:rPr>
      </w:pPr>
    </w:p>
    <w:p w14:paraId="50221D8B" w14:textId="77777777" w:rsidR="00776320" w:rsidRPr="001E2783" w:rsidRDefault="003735DD" w:rsidP="00223712">
      <w:pPr>
        <w:rPr>
          <w:rFonts w:cs="Arial"/>
        </w:rPr>
      </w:pPr>
      <w:r w:rsidRPr="001E2783">
        <w:rPr>
          <w:rFonts w:cs="Arial"/>
        </w:rPr>
        <w:t>The ACMA has completed the re</w:t>
      </w:r>
      <w:r w:rsidR="00776320" w:rsidRPr="001E2783">
        <w:rPr>
          <w:rFonts w:cs="Arial"/>
        </w:rPr>
        <w:t>issue process for spectrum licences to incumbent licensees i</w:t>
      </w:r>
      <w:r w:rsidR="00633A3B" w:rsidRPr="001E2783">
        <w:rPr>
          <w:rFonts w:cs="Arial"/>
        </w:rPr>
        <w:t>n the 800 </w:t>
      </w:r>
      <w:r w:rsidRPr="001E2783">
        <w:rPr>
          <w:rFonts w:cs="Arial"/>
        </w:rPr>
        <w:t>MHz and</w:t>
      </w:r>
      <w:r w:rsidR="00633A3B" w:rsidRPr="001E2783">
        <w:rPr>
          <w:rFonts w:cs="Arial"/>
        </w:rPr>
        <w:t xml:space="preserve"> 1800 </w:t>
      </w:r>
      <w:r w:rsidR="00776320" w:rsidRPr="001E2783">
        <w:rPr>
          <w:rFonts w:cs="Arial"/>
        </w:rPr>
        <w:t>MHz bands</w:t>
      </w:r>
      <w:r w:rsidRPr="001E2783">
        <w:rPr>
          <w:rFonts w:cs="Arial"/>
        </w:rPr>
        <w:t>,</w:t>
      </w:r>
      <w:r w:rsidR="00776320" w:rsidRPr="001E2783">
        <w:rPr>
          <w:rFonts w:cs="Arial"/>
        </w:rPr>
        <w:t xml:space="preserve"> and</w:t>
      </w:r>
      <w:r w:rsidR="00633A3B" w:rsidRPr="001E2783">
        <w:rPr>
          <w:rFonts w:cs="Arial"/>
        </w:rPr>
        <w:t xml:space="preserve"> in part of the 2.3 </w:t>
      </w:r>
      <w:r w:rsidRPr="001E2783">
        <w:rPr>
          <w:rFonts w:cs="Arial"/>
        </w:rPr>
        <w:t xml:space="preserve">GHz band. </w:t>
      </w:r>
      <w:r w:rsidR="00776320" w:rsidRPr="001E2783">
        <w:rPr>
          <w:rFonts w:cs="Arial"/>
        </w:rPr>
        <w:t>This has</w:t>
      </w:r>
      <w:r w:rsidR="00223712" w:rsidRPr="001E2783">
        <w:rPr>
          <w:rFonts w:cs="Arial"/>
        </w:rPr>
        <w:t xml:space="preserve"> resulted in approximately $191 </w:t>
      </w:r>
      <w:r w:rsidR="00776320" w:rsidRPr="001E2783">
        <w:rPr>
          <w:rFonts w:cs="Arial"/>
        </w:rPr>
        <w:t>million in revenue from</w:t>
      </w:r>
      <w:r w:rsidR="00223712" w:rsidRPr="001E2783">
        <w:rPr>
          <w:rFonts w:cs="Arial"/>
        </w:rPr>
        <w:t xml:space="preserve"> the expiring spectrum licence process </w:t>
      </w:r>
      <w:r w:rsidR="00776320" w:rsidRPr="001E2783">
        <w:rPr>
          <w:rFonts w:cs="Arial"/>
        </w:rPr>
        <w:t>over the last financial year</w:t>
      </w:r>
      <w:r w:rsidR="00CB3B44" w:rsidRPr="001E2783">
        <w:rPr>
          <w:rFonts w:cs="Arial"/>
        </w:rPr>
        <w:t>.</w:t>
      </w:r>
    </w:p>
    <w:p w14:paraId="47D4334A" w14:textId="77777777" w:rsidR="00776320" w:rsidRPr="001E2783" w:rsidRDefault="00776320" w:rsidP="00776320">
      <w:pPr>
        <w:rPr>
          <w:rFonts w:cs="Arial"/>
          <w:szCs w:val="20"/>
        </w:rPr>
      </w:pPr>
    </w:p>
    <w:p w14:paraId="32C076E6" w14:textId="77777777" w:rsidR="00776320" w:rsidRPr="001E2783" w:rsidRDefault="00776320" w:rsidP="00B34F43">
      <w:pPr>
        <w:rPr>
          <w:rFonts w:cs="Arial"/>
        </w:rPr>
      </w:pPr>
      <w:r w:rsidRPr="001E2783">
        <w:rPr>
          <w:rFonts w:cs="Arial"/>
        </w:rPr>
        <w:t xml:space="preserve">Table </w:t>
      </w:r>
      <w:r w:rsidR="00C846BB" w:rsidRPr="001E2783">
        <w:rPr>
          <w:rFonts w:cs="Arial"/>
        </w:rPr>
        <w:t>2</w:t>
      </w:r>
      <w:r w:rsidRPr="001E2783">
        <w:rPr>
          <w:rFonts w:cs="Arial"/>
        </w:rPr>
        <w:t xml:space="preserve"> provides a summary of the spectrum-licensed frequency bands and bandwidths, the year in which </w:t>
      </w:r>
      <w:r w:rsidRPr="001E2783">
        <w:rPr>
          <w:rFonts w:cs="Arial"/>
          <w:szCs w:val="20"/>
        </w:rPr>
        <w:t>the</w:t>
      </w:r>
      <w:r w:rsidRPr="001E2783">
        <w:rPr>
          <w:rFonts w:cs="Arial"/>
        </w:rPr>
        <w:t xml:space="preserve"> licences expire and the type of service for which the applicable technical framework is optimised.</w:t>
      </w:r>
    </w:p>
    <w:p w14:paraId="1C9E274E" w14:textId="77777777" w:rsidR="00776320" w:rsidRPr="001E2783" w:rsidRDefault="00776320" w:rsidP="00776320">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66ABA7FB" w14:textId="77777777" w:rsidTr="00776320">
        <w:trPr>
          <w:cantSplit/>
          <w:trHeight w:val="570"/>
        </w:trPr>
        <w:tc>
          <w:tcPr>
            <w:tcW w:w="9645" w:type="dxa"/>
            <w:tcBorders>
              <w:top w:val="single" w:sz="2" w:space="0" w:color="505050"/>
            </w:tcBorders>
            <w:shd w:val="clear" w:color="auto" w:fill="auto"/>
            <w:vAlign w:val="center"/>
          </w:tcPr>
          <w:p w14:paraId="7A569554" w14:textId="77777777" w:rsidR="00776320" w:rsidRPr="001E2783" w:rsidRDefault="00776320" w:rsidP="00C846BB">
            <w:pPr>
              <w:pStyle w:val="Caption"/>
              <w:keepNext/>
              <w:rPr>
                <w:rFonts w:ascii="Arial" w:hAnsi="Arial" w:cs="Arial"/>
                <w:color w:val="auto"/>
              </w:rPr>
            </w:pPr>
            <w:r w:rsidRPr="00D3485F">
              <w:rPr>
                <w:rFonts w:ascii="Arial" w:hAnsi="Arial" w:cs="Arial"/>
              </w:rPr>
              <w:t xml:space="preserve">Table </w:t>
            </w:r>
            <w:r w:rsidR="00C846BB" w:rsidRPr="00D3485F">
              <w:rPr>
                <w:rFonts w:ascii="Arial" w:hAnsi="Arial" w:cs="Arial"/>
              </w:rPr>
              <w:t>2</w:t>
            </w:r>
            <w:r w:rsidRPr="00D3485F">
              <w:rPr>
                <w:rFonts w:ascii="Arial" w:hAnsi="Arial" w:cs="Arial"/>
              </w:rPr>
              <w:t>: Expiry of spectrum licences</w:t>
            </w:r>
          </w:p>
        </w:tc>
      </w:tr>
      <w:tr w:rsidR="001E2783" w:rsidRPr="001E2783" w14:paraId="15A17505" w14:textId="77777777" w:rsidTr="00776320">
        <w:trPr>
          <w:cantSplit/>
          <w:trHeight w:val="993"/>
        </w:trPr>
        <w:tc>
          <w:tcPr>
            <w:tcW w:w="9645" w:type="dxa"/>
            <w:shd w:val="clear" w:color="auto" w:fill="auto"/>
            <w:tcMar>
              <w:left w:w="28" w:type="dxa"/>
            </w:tcMar>
          </w:tcPr>
          <w:tbl>
            <w:tblPr>
              <w:tblW w:w="9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9"/>
              <w:gridCol w:w="2555"/>
              <w:gridCol w:w="1839"/>
              <w:gridCol w:w="3502"/>
            </w:tblGrid>
            <w:tr w:rsidR="001E2783" w:rsidRPr="001E2783" w14:paraId="3F10FF3C" w14:textId="77777777" w:rsidTr="00DF3D2B">
              <w:trPr>
                <w:cantSplit/>
                <w:trHeight w:val="345"/>
              </w:trPr>
              <w:tc>
                <w:tcPr>
                  <w:tcW w:w="1569" w:type="dxa"/>
                  <w:tcBorders>
                    <w:bottom w:val="nil"/>
                  </w:tcBorders>
                  <w:shd w:val="clear" w:color="auto" w:fill="404040" w:themeFill="text1" w:themeFillTint="BF"/>
                  <w:tcMar>
                    <w:top w:w="57" w:type="dxa"/>
                    <w:left w:w="57" w:type="dxa"/>
                    <w:bottom w:w="57" w:type="dxa"/>
                    <w:right w:w="57" w:type="dxa"/>
                  </w:tcMar>
                  <w:vAlign w:val="center"/>
                </w:tcPr>
                <w:p w14:paraId="62583ABF" w14:textId="77777777" w:rsidR="00776320" w:rsidRPr="004E4548" w:rsidRDefault="00776320" w:rsidP="003735DD">
                  <w:pPr>
                    <w:pStyle w:val="TableHeading"/>
                    <w:rPr>
                      <w:rFonts w:ascii="Arial" w:hAnsi="Arial" w:cs="Arial"/>
                      <w:color w:val="FFFFFF" w:themeColor="background1"/>
                    </w:rPr>
                  </w:pPr>
                  <w:r w:rsidRPr="004E4548">
                    <w:rPr>
                      <w:rFonts w:ascii="Arial" w:hAnsi="Arial" w:cs="Arial"/>
                      <w:color w:val="FFFFFF" w:themeColor="background1"/>
                    </w:rPr>
                    <w:t>Band</w:t>
                  </w:r>
                </w:p>
              </w:tc>
              <w:tc>
                <w:tcPr>
                  <w:tcW w:w="2555" w:type="dxa"/>
                  <w:tcBorders>
                    <w:bottom w:val="nil"/>
                  </w:tcBorders>
                  <w:shd w:val="clear" w:color="auto" w:fill="404040" w:themeFill="text1" w:themeFillTint="BF"/>
                  <w:tcMar>
                    <w:top w:w="57" w:type="dxa"/>
                    <w:left w:w="57" w:type="dxa"/>
                    <w:bottom w:w="57" w:type="dxa"/>
                    <w:right w:w="57" w:type="dxa"/>
                  </w:tcMar>
                  <w:vAlign w:val="center"/>
                </w:tcPr>
                <w:p w14:paraId="6DD2A72C" w14:textId="77777777" w:rsidR="00776320" w:rsidRPr="004E4548" w:rsidRDefault="00776320" w:rsidP="003735DD">
                  <w:pPr>
                    <w:pStyle w:val="TableHeading"/>
                    <w:rPr>
                      <w:rFonts w:ascii="Arial" w:hAnsi="Arial" w:cs="Arial"/>
                      <w:color w:val="FFFFFF" w:themeColor="background1"/>
                    </w:rPr>
                  </w:pPr>
                  <w:r w:rsidRPr="004E4548">
                    <w:rPr>
                      <w:rFonts w:ascii="Arial" w:hAnsi="Arial" w:cs="Arial"/>
                      <w:color w:val="FFFFFF" w:themeColor="background1"/>
                    </w:rPr>
                    <w:t>Frequencies</w:t>
                  </w:r>
                </w:p>
              </w:tc>
              <w:tc>
                <w:tcPr>
                  <w:tcW w:w="1839" w:type="dxa"/>
                  <w:tcBorders>
                    <w:bottom w:val="nil"/>
                  </w:tcBorders>
                  <w:shd w:val="clear" w:color="auto" w:fill="404040" w:themeFill="text1" w:themeFillTint="BF"/>
                  <w:tcMar>
                    <w:top w:w="57" w:type="dxa"/>
                    <w:left w:w="57" w:type="dxa"/>
                    <w:bottom w:w="57" w:type="dxa"/>
                    <w:right w:w="57" w:type="dxa"/>
                  </w:tcMar>
                  <w:vAlign w:val="center"/>
                </w:tcPr>
                <w:p w14:paraId="45643181" w14:textId="77777777" w:rsidR="00776320" w:rsidRPr="004E4548" w:rsidRDefault="00776320" w:rsidP="003735DD">
                  <w:pPr>
                    <w:pStyle w:val="TableHeading"/>
                    <w:rPr>
                      <w:rFonts w:ascii="Arial" w:hAnsi="Arial" w:cs="Arial"/>
                      <w:color w:val="FFFFFF" w:themeColor="background1"/>
                    </w:rPr>
                  </w:pPr>
                  <w:r w:rsidRPr="004E4548">
                    <w:rPr>
                      <w:rFonts w:ascii="Arial" w:hAnsi="Arial" w:cs="Arial"/>
                      <w:color w:val="FFFFFF" w:themeColor="background1"/>
                    </w:rPr>
                    <w:t>Expiry</w:t>
                  </w:r>
                </w:p>
              </w:tc>
              <w:tc>
                <w:tcPr>
                  <w:tcW w:w="3502" w:type="dxa"/>
                  <w:tcBorders>
                    <w:bottom w:val="nil"/>
                  </w:tcBorders>
                  <w:shd w:val="clear" w:color="auto" w:fill="404040" w:themeFill="text1" w:themeFillTint="BF"/>
                  <w:tcMar>
                    <w:top w:w="57" w:type="dxa"/>
                    <w:left w:w="57" w:type="dxa"/>
                    <w:bottom w:w="57" w:type="dxa"/>
                    <w:right w:w="57" w:type="dxa"/>
                  </w:tcMar>
                  <w:vAlign w:val="center"/>
                </w:tcPr>
                <w:p w14:paraId="2FCBF8B5" w14:textId="77777777" w:rsidR="00776320" w:rsidRPr="004E4548" w:rsidRDefault="00776320" w:rsidP="003735DD">
                  <w:pPr>
                    <w:pStyle w:val="TableHeading"/>
                    <w:rPr>
                      <w:rFonts w:ascii="Arial" w:hAnsi="Arial" w:cs="Arial"/>
                      <w:color w:val="FFFFFF" w:themeColor="background1"/>
                    </w:rPr>
                  </w:pPr>
                  <w:r w:rsidRPr="004E4548">
                    <w:rPr>
                      <w:rFonts w:ascii="Arial" w:hAnsi="Arial" w:cs="Arial"/>
                      <w:color w:val="FFFFFF" w:themeColor="background1"/>
                    </w:rPr>
                    <w:t>Main use</w:t>
                  </w:r>
                </w:p>
              </w:tc>
            </w:tr>
            <w:tr w:rsidR="001E2783" w:rsidRPr="001E2783" w14:paraId="2F57D28C" w14:textId="77777777" w:rsidTr="00DF3D2B">
              <w:trPr>
                <w:cantSplit/>
              </w:trPr>
              <w:tc>
                <w:tcPr>
                  <w:tcW w:w="1569" w:type="dxa"/>
                  <w:tcBorders>
                    <w:top w:val="nil"/>
                  </w:tcBorders>
                  <w:tcMar>
                    <w:top w:w="57" w:type="dxa"/>
                    <w:left w:w="57" w:type="dxa"/>
                    <w:bottom w:w="57" w:type="dxa"/>
                    <w:right w:w="57" w:type="dxa"/>
                  </w:tcMar>
                </w:tcPr>
                <w:p w14:paraId="0A1C8594" w14:textId="77777777" w:rsidR="00776320" w:rsidRPr="001E2783" w:rsidRDefault="00776320" w:rsidP="003735DD">
                  <w:pPr>
                    <w:pStyle w:val="TableTextLeft"/>
                    <w:rPr>
                      <w:rFonts w:cs="Arial"/>
                      <w:sz w:val="20"/>
                    </w:rPr>
                  </w:pPr>
                  <w:r w:rsidRPr="001E2783">
                    <w:rPr>
                      <w:rFonts w:cs="Arial"/>
                      <w:sz w:val="20"/>
                    </w:rPr>
                    <w:t>800 MHz</w:t>
                  </w:r>
                </w:p>
              </w:tc>
              <w:tc>
                <w:tcPr>
                  <w:tcW w:w="2555" w:type="dxa"/>
                  <w:tcBorders>
                    <w:top w:val="nil"/>
                  </w:tcBorders>
                  <w:tcMar>
                    <w:top w:w="57" w:type="dxa"/>
                    <w:left w:w="57" w:type="dxa"/>
                    <w:bottom w:w="57" w:type="dxa"/>
                    <w:right w:w="57" w:type="dxa"/>
                  </w:tcMar>
                </w:tcPr>
                <w:p w14:paraId="033D3E02" w14:textId="77777777" w:rsidR="00776320" w:rsidRPr="001E2783" w:rsidRDefault="00776320" w:rsidP="003735DD">
                  <w:pPr>
                    <w:pStyle w:val="TableTextLeft"/>
                    <w:rPr>
                      <w:rFonts w:cs="Arial"/>
                      <w:sz w:val="20"/>
                    </w:rPr>
                  </w:pPr>
                  <w:r w:rsidRPr="001E2783">
                    <w:rPr>
                      <w:rFonts w:cs="Arial"/>
                      <w:sz w:val="20"/>
                    </w:rPr>
                    <w:t xml:space="preserve">825–845 MHz </w:t>
                  </w:r>
                </w:p>
                <w:p w14:paraId="5F8091E4" w14:textId="77777777" w:rsidR="00776320" w:rsidRPr="001E2783" w:rsidRDefault="00776320" w:rsidP="003735DD">
                  <w:pPr>
                    <w:pStyle w:val="TableTextLeft"/>
                    <w:rPr>
                      <w:rFonts w:cs="Arial"/>
                      <w:sz w:val="20"/>
                    </w:rPr>
                  </w:pPr>
                  <w:r w:rsidRPr="001E2783">
                    <w:rPr>
                      <w:rFonts w:cs="Arial"/>
                      <w:sz w:val="20"/>
                    </w:rPr>
                    <w:t>870–890 MHz (paired)</w:t>
                  </w:r>
                </w:p>
              </w:tc>
              <w:tc>
                <w:tcPr>
                  <w:tcW w:w="1839" w:type="dxa"/>
                  <w:tcBorders>
                    <w:top w:val="nil"/>
                  </w:tcBorders>
                  <w:tcMar>
                    <w:top w:w="57" w:type="dxa"/>
                    <w:left w:w="57" w:type="dxa"/>
                    <w:bottom w:w="57" w:type="dxa"/>
                    <w:right w:w="57" w:type="dxa"/>
                  </w:tcMar>
                </w:tcPr>
                <w:p w14:paraId="6269B663" w14:textId="77777777" w:rsidR="00776320" w:rsidRPr="001E2783" w:rsidRDefault="003735DD" w:rsidP="003735DD">
                  <w:pPr>
                    <w:pStyle w:val="TableTextLeft"/>
                    <w:rPr>
                      <w:rFonts w:cs="Arial"/>
                      <w:sz w:val="20"/>
                    </w:rPr>
                  </w:pPr>
                  <w:r w:rsidRPr="001E2783">
                    <w:rPr>
                      <w:rFonts w:cs="Arial"/>
                      <w:sz w:val="20"/>
                    </w:rPr>
                    <w:t>Re</w:t>
                  </w:r>
                  <w:r w:rsidR="00776320" w:rsidRPr="001E2783">
                    <w:rPr>
                      <w:rFonts w:cs="Arial"/>
                      <w:sz w:val="20"/>
                    </w:rPr>
                    <w:t>issued</w:t>
                  </w:r>
                </w:p>
              </w:tc>
              <w:tc>
                <w:tcPr>
                  <w:tcW w:w="3502" w:type="dxa"/>
                  <w:tcBorders>
                    <w:top w:val="nil"/>
                  </w:tcBorders>
                  <w:tcMar>
                    <w:top w:w="57" w:type="dxa"/>
                    <w:left w:w="57" w:type="dxa"/>
                    <w:bottom w:w="57" w:type="dxa"/>
                    <w:right w:w="57" w:type="dxa"/>
                  </w:tcMar>
                </w:tcPr>
                <w:p w14:paraId="0C86EDA7" w14:textId="77777777" w:rsidR="00776320" w:rsidRPr="001E2783" w:rsidRDefault="00776320" w:rsidP="003735DD">
                  <w:pPr>
                    <w:pStyle w:val="TableTextLeft"/>
                    <w:rPr>
                      <w:rFonts w:cs="Arial"/>
                      <w:sz w:val="20"/>
                    </w:rPr>
                  </w:pPr>
                  <w:r w:rsidRPr="001E2783">
                    <w:rPr>
                      <w:rFonts w:cs="Arial"/>
                      <w:sz w:val="20"/>
                    </w:rPr>
                    <w:t>Public mobile telephony (3G)</w:t>
                  </w:r>
                </w:p>
              </w:tc>
            </w:tr>
            <w:tr w:rsidR="001E2783" w:rsidRPr="001E2783" w14:paraId="7C87B59F" w14:textId="77777777" w:rsidTr="008755C1">
              <w:trPr>
                <w:cantSplit/>
              </w:trPr>
              <w:tc>
                <w:tcPr>
                  <w:tcW w:w="1569" w:type="dxa"/>
                  <w:tcMar>
                    <w:top w:w="57" w:type="dxa"/>
                    <w:left w:w="57" w:type="dxa"/>
                    <w:bottom w:w="57" w:type="dxa"/>
                    <w:right w:w="57" w:type="dxa"/>
                  </w:tcMar>
                </w:tcPr>
                <w:p w14:paraId="57350526" w14:textId="77777777" w:rsidR="00776320" w:rsidRPr="001E2783" w:rsidRDefault="00776320" w:rsidP="003735DD">
                  <w:pPr>
                    <w:pStyle w:val="TableTextLeft"/>
                    <w:rPr>
                      <w:rFonts w:cs="Arial"/>
                      <w:sz w:val="20"/>
                    </w:rPr>
                  </w:pPr>
                  <w:r w:rsidRPr="001E2783">
                    <w:rPr>
                      <w:rFonts w:cs="Arial"/>
                      <w:sz w:val="20"/>
                    </w:rPr>
                    <w:t>1800 MHz</w:t>
                  </w:r>
                </w:p>
              </w:tc>
              <w:tc>
                <w:tcPr>
                  <w:tcW w:w="2555" w:type="dxa"/>
                  <w:tcMar>
                    <w:top w:w="57" w:type="dxa"/>
                    <w:left w:w="57" w:type="dxa"/>
                    <w:bottom w:w="57" w:type="dxa"/>
                    <w:right w:w="57" w:type="dxa"/>
                  </w:tcMar>
                </w:tcPr>
                <w:p w14:paraId="281356CD" w14:textId="77777777" w:rsidR="00776320" w:rsidRPr="001E2783" w:rsidRDefault="00776320" w:rsidP="003735DD">
                  <w:pPr>
                    <w:pStyle w:val="TableTextLeft"/>
                    <w:rPr>
                      <w:rFonts w:cs="Arial"/>
                      <w:sz w:val="20"/>
                    </w:rPr>
                  </w:pPr>
                  <w:r w:rsidRPr="001E2783">
                    <w:rPr>
                      <w:rFonts w:cs="Arial"/>
                      <w:sz w:val="20"/>
                    </w:rPr>
                    <w:t>1710–1755 MHz</w:t>
                  </w:r>
                </w:p>
                <w:p w14:paraId="08F5C1B4" w14:textId="77777777" w:rsidR="00776320" w:rsidRPr="001E2783" w:rsidRDefault="00776320" w:rsidP="003735DD">
                  <w:pPr>
                    <w:pStyle w:val="TableTextLeft"/>
                    <w:rPr>
                      <w:rFonts w:cs="Arial"/>
                      <w:sz w:val="20"/>
                    </w:rPr>
                  </w:pPr>
                  <w:r w:rsidRPr="001E2783">
                    <w:rPr>
                      <w:rFonts w:cs="Arial"/>
                      <w:sz w:val="20"/>
                    </w:rPr>
                    <w:t>1805–1850 MHz (paired)</w:t>
                  </w:r>
                </w:p>
              </w:tc>
              <w:tc>
                <w:tcPr>
                  <w:tcW w:w="1839" w:type="dxa"/>
                  <w:tcMar>
                    <w:top w:w="57" w:type="dxa"/>
                    <w:left w:w="57" w:type="dxa"/>
                    <w:bottom w:w="57" w:type="dxa"/>
                    <w:right w:w="57" w:type="dxa"/>
                  </w:tcMar>
                </w:tcPr>
                <w:p w14:paraId="5714D7F4" w14:textId="77777777" w:rsidR="00776320" w:rsidRPr="001E2783" w:rsidRDefault="003735DD" w:rsidP="003735DD">
                  <w:pPr>
                    <w:pStyle w:val="TableTextLeft"/>
                    <w:rPr>
                      <w:rFonts w:cs="Arial"/>
                      <w:sz w:val="20"/>
                    </w:rPr>
                  </w:pPr>
                  <w:r w:rsidRPr="001E2783">
                    <w:rPr>
                      <w:rFonts w:cs="Arial"/>
                      <w:sz w:val="20"/>
                    </w:rPr>
                    <w:t>Re</w:t>
                  </w:r>
                  <w:r w:rsidR="00776320" w:rsidRPr="001E2783">
                    <w:rPr>
                      <w:rFonts w:cs="Arial"/>
                      <w:sz w:val="20"/>
                    </w:rPr>
                    <w:t>issued</w:t>
                  </w:r>
                </w:p>
              </w:tc>
              <w:tc>
                <w:tcPr>
                  <w:tcW w:w="3502" w:type="dxa"/>
                  <w:tcMar>
                    <w:top w:w="57" w:type="dxa"/>
                    <w:left w:w="57" w:type="dxa"/>
                    <w:bottom w:w="57" w:type="dxa"/>
                    <w:right w:w="57" w:type="dxa"/>
                  </w:tcMar>
                </w:tcPr>
                <w:p w14:paraId="55AD8302" w14:textId="77777777" w:rsidR="00776320" w:rsidRPr="001E2783" w:rsidRDefault="00776320" w:rsidP="003735DD">
                  <w:pPr>
                    <w:pStyle w:val="TableTextLeft"/>
                    <w:rPr>
                      <w:rFonts w:cs="Arial"/>
                      <w:sz w:val="20"/>
                    </w:rPr>
                  </w:pPr>
                  <w:r w:rsidRPr="001E2783">
                    <w:rPr>
                      <w:rFonts w:cs="Arial"/>
                      <w:sz w:val="20"/>
                    </w:rPr>
                    <w:t xml:space="preserve">Public mobile telephony </w:t>
                  </w:r>
                  <w:r w:rsidRPr="001E2783">
                    <w:rPr>
                      <w:rFonts w:cs="Arial"/>
                      <w:sz w:val="20"/>
                    </w:rPr>
                    <w:br/>
                    <w:t>(LTE, GSM, GSM-R)</w:t>
                  </w:r>
                  <w:r w:rsidRPr="001E2783">
                    <w:rPr>
                      <w:rStyle w:val="FootnoteReference"/>
                      <w:rFonts w:cs="Arial"/>
                      <w:sz w:val="20"/>
                    </w:rPr>
                    <w:footnoteReference w:id="4"/>
                  </w:r>
                </w:p>
              </w:tc>
            </w:tr>
            <w:tr w:rsidR="001E2783" w:rsidRPr="001E2783" w14:paraId="226D6500" w14:textId="77777777" w:rsidTr="008755C1">
              <w:trPr>
                <w:cantSplit/>
              </w:trPr>
              <w:tc>
                <w:tcPr>
                  <w:tcW w:w="1569" w:type="dxa"/>
                  <w:tcMar>
                    <w:top w:w="57" w:type="dxa"/>
                    <w:left w:w="57" w:type="dxa"/>
                    <w:bottom w:w="57" w:type="dxa"/>
                    <w:right w:w="57" w:type="dxa"/>
                  </w:tcMar>
                </w:tcPr>
                <w:p w14:paraId="7D4F830E" w14:textId="77777777" w:rsidR="00776320" w:rsidRPr="001E2783" w:rsidRDefault="00776320" w:rsidP="003735DD">
                  <w:pPr>
                    <w:pStyle w:val="TableTextLeft"/>
                    <w:rPr>
                      <w:rFonts w:cs="Arial"/>
                      <w:sz w:val="20"/>
                    </w:rPr>
                  </w:pPr>
                  <w:r w:rsidRPr="001E2783">
                    <w:rPr>
                      <w:rFonts w:cs="Arial"/>
                      <w:sz w:val="20"/>
                    </w:rPr>
                    <w:t>28 and 31 GHz</w:t>
                  </w:r>
                </w:p>
              </w:tc>
              <w:tc>
                <w:tcPr>
                  <w:tcW w:w="2555" w:type="dxa"/>
                  <w:tcMar>
                    <w:top w:w="57" w:type="dxa"/>
                    <w:left w:w="57" w:type="dxa"/>
                    <w:bottom w:w="57" w:type="dxa"/>
                    <w:right w:w="57" w:type="dxa"/>
                  </w:tcMar>
                </w:tcPr>
                <w:p w14:paraId="6E63984F" w14:textId="77777777" w:rsidR="00776320" w:rsidRPr="001E2783" w:rsidRDefault="00776320" w:rsidP="003735DD">
                  <w:pPr>
                    <w:pStyle w:val="TableTextLeft"/>
                    <w:rPr>
                      <w:rFonts w:cs="Arial"/>
                      <w:sz w:val="20"/>
                    </w:rPr>
                  </w:pPr>
                  <w:r w:rsidRPr="001E2783">
                    <w:rPr>
                      <w:rFonts w:cs="Arial"/>
                      <w:sz w:val="20"/>
                    </w:rPr>
                    <w:t>27.5–28.35 GHz (unpaired)</w:t>
                  </w:r>
                </w:p>
                <w:p w14:paraId="7DD70203" w14:textId="77777777" w:rsidR="00776320" w:rsidRPr="001E2783" w:rsidRDefault="00776320" w:rsidP="003735DD">
                  <w:pPr>
                    <w:pStyle w:val="TableTextLeft"/>
                    <w:rPr>
                      <w:rFonts w:cs="Arial"/>
                      <w:sz w:val="20"/>
                    </w:rPr>
                  </w:pPr>
                  <w:r w:rsidRPr="001E2783">
                    <w:rPr>
                      <w:rFonts w:cs="Arial"/>
                      <w:sz w:val="20"/>
                    </w:rPr>
                    <w:t>31.0–31.3 GHz (unpaired)</w:t>
                  </w:r>
                </w:p>
              </w:tc>
              <w:tc>
                <w:tcPr>
                  <w:tcW w:w="1839" w:type="dxa"/>
                  <w:tcMar>
                    <w:top w:w="57" w:type="dxa"/>
                    <w:left w:w="57" w:type="dxa"/>
                    <w:bottom w:w="57" w:type="dxa"/>
                    <w:right w:w="57" w:type="dxa"/>
                  </w:tcMar>
                </w:tcPr>
                <w:p w14:paraId="3C751BE9" w14:textId="77777777" w:rsidR="00776320" w:rsidRPr="001E2783" w:rsidRDefault="003735DD" w:rsidP="003735DD">
                  <w:pPr>
                    <w:pStyle w:val="TableTextLeft"/>
                    <w:rPr>
                      <w:rFonts w:cs="Arial"/>
                      <w:sz w:val="20"/>
                    </w:rPr>
                  </w:pPr>
                  <w:r w:rsidRPr="001E2783">
                    <w:rPr>
                      <w:rFonts w:cs="Arial"/>
                      <w:sz w:val="20"/>
                    </w:rPr>
                    <w:t>Apparatus-</w:t>
                  </w:r>
                  <w:r w:rsidR="00776320" w:rsidRPr="001E2783">
                    <w:rPr>
                      <w:rFonts w:cs="Arial"/>
                      <w:sz w:val="20"/>
                    </w:rPr>
                    <w:t>licensed</w:t>
                  </w:r>
                </w:p>
              </w:tc>
              <w:tc>
                <w:tcPr>
                  <w:tcW w:w="3502" w:type="dxa"/>
                  <w:tcMar>
                    <w:top w:w="57" w:type="dxa"/>
                    <w:left w:w="57" w:type="dxa"/>
                    <w:bottom w:w="57" w:type="dxa"/>
                    <w:right w:w="57" w:type="dxa"/>
                  </w:tcMar>
                </w:tcPr>
                <w:p w14:paraId="73BC85FE" w14:textId="77777777" w:rsidR="00776320" w:rsidRPr="001E2783" w:rsidRDefault="00776320" w:rsidP="003735DD">
                  <w:pPr>
                    <w:pStyle w:val="TableTextLeft"/>
                    <w:rPr>
                      <w:rFonts w:cs="Arial"/>
                      <w:sz w:val="20"/>
                    </w:rPr>
                  </w:pPr>
                  <w:r w:rsidRPr="001E2783">
                    <w:rPr>
                      <w:rFonts w:cs="Arial"/>
                      <w:sz w:val="20"/>
                    </w:rPr>
                    <w:t>Wireless access services</w:t>
                  </w:r>
                </w:p>
              </w:tc>
            </w:tr>
            <w:tr w:rsidR="001E2783" w:rsidRPr="001E2783" w14:paraId="5BFBC3FE" w14:textId="77777777" w:rsidTr="008755C1">
              <w:trPr>
                <w:cantSplit/>
              </w:trPr>
              <w:tc>
                <w:tcPr>
                  <w:tcW w:w="1569" w:type="dxa"/>
                  <w:tcMar>
                    <w:top w:w="57" w:type="dxa"/>
                    <w:left w:w="57" w:type="dxa"/>
                    <w:bottom w:w="57" w:type="dxa"/>
                    <w:right w:w="57" w:type="dxa"/>
                  </w:tcMar>
                </w:tcPr>
                <w:p w14:paraId="59C87110" w14:textId="77777777" w:rsidR="00776320" w:rsidRPr="001E2783" w:rsidRDefault="00776320" w:rsidP="003735DD">
                  <w:pPr>
                    <w:pStyle w:val="TableTextLeft"/>
                    <w:rPr>
                      <w:rFonts w:cs="Arial"/>
                      <w:sz w:val="20"/>
                    </w:rPr>
                  </w:pPr>
                  <w:r w:rsidRPr="001E2783">
                    <w:rPr>
                      <w:rFonts w:cs="Arial"/>
                      <w:sz w:val="20"/>
                    </w:rPr>
                    <w:t>1800 MHz</w:t>
                  </w:r>
                </w:p>
              </w:tc>
              <w:tc>
                <w:tcPr>
                  <w:tcW w:w="2555" w:type="dxa"/>
                  <w:tcMar>
                    <w:top w:w="57" w:type="dxa"/>
                    <w:left w:w="57" w:type="dxa"/>
                    <w:bottom w:w="57" w:type="dxa"/>
                    <w:right w:w="57" w:type="dxa"/>
                  </w:tcMar>
                </w:tcPr>
                <w:p w14:paraId="79A65843" w14:textId="77777777" w:rsidR="00776320" w:rsidRPr="001E2783" w:rsidRDefault="00776320" w:rsidP="003735DD">
                  <w:pPr>
                    <w:pStyle w:val="TableTextLeft"/>
                    <w:rPr>
                      <w:rFonts w:cs="Arial"/>
                      <w:sz w:val="20"/>
                    </w:rPr>
                  </w:pPr>
                  <w:r w:rsidRPr="001E2783">
                    <w:rPr>
                      <w:rFonts w:cs="Arial"/>
                      <w:sz w:val="20"/>
                    </w:rPr>
                    <w:t>1755–1785 MHz</w:t>
                  </w:r>
                </w:p>
                <w:p w14:paraId="7D95004A" w14:textId="77777777" w:rsidR="00776320" w:rsidRPr="001E2783" w:rsidRDefault="00776320" w:rsidP="003735DD">
                  <w:pPr>
                    <w:pStyle w:val="TableTextLeft"/>
                    <w:rPr>
                      <w:rFonts w:cs="Arial"/>
                      <w:sz w:val="20"/>
                    </w:rPr>
                  </w:pPr>
                  <w:r w:rsidRPr="001E2783">
                    <w:rPr>
                      <w:rFonts w:cs="Arial"/>
                      <w:sz w:val="20"/>
                    </w:rPr>
                    <w:t>1850–1880 MHz (paired)</w:t>
                  </w:r>
                </w:p>
              </w:tc>
              <w:tc>
                <w:tcPr>
                  <w:tcW w:w="1839" w:type="dxa"/>
                  <w:tcMar>
                    <w:top w:w="57" w:type="dxa"/>
                    <w:left w:w="57" w:type="dxa"/>
                    <w:bottom w:w="57" w:type="dxa"/>
                    <w:right w:w="57" w:type="dxa"/>
                  </w:tcMar>
                </w:tcPr>
                <w:p w14:paraId="5839241F" w14:textId="77777777" w:rsidR="00776320" w:rsidRPr="001E2783" w:rsidRDefault="003735DD" w:rsidP="003735DD">
                  <w:pPr>
                    <w:pStyle w:val="TableTextLeft"/>
                    <w:rPr>
                      <w:rFonts w:cs="Arial"/>
                      <w:sz w:val="20"/>
                    </w:rPr>
                  </w:pPr>
                  <w:r w:rsidRPr="001E2783">
                    <w:rPr>
                      <w:rFonts w:cs="Arial"/>
                      <w:sz w:val="20"/>
                    </w:rPr>
                    <w:t>Partially re</w:t>
                  </w:r>
                  <w:r w:rsidR="00776320" w:rsidRPr="001E2783">
                    <w:rPr>
                      <w:rFonts w:cs="Arial"/>
                      <w:sz w:val="20"/>
                    </w:rPr>
                    <w:t>issued*</w:t>
                  </w:r>
                </w:p>
              </w:tc>
              <w:tc>
                <w:tcPr>
                  <w:tcW w:w="3502" w:type="dxa"/>
                  <w:tcMar>
                    <w:top w:w="57" w:type="dxa"/>
                    <w:left w:w="57" w:type="dxa"/>
                    <w:bottom w:w="57" w:type="dxa"/>
                    <w:right w:w="57" w:type="dxa"/>
                  </w:tcMar>
                </w:tcPr>
                <w:p w14:paraId="232BA23D" w14:textId="77777777" w:rsidR="00776320" w:rsidRPr="001E2783" w:rsidRDefault="00776320" w:rsidP="003735DD">
                  <w:pPr>
                    <w:pStyle w:val="TableTextLeft"/>
                    <w:rPr>
                      <w:rFonts w:cs="Arial"/>
                      <w:sz w:val="20"/>
                    </w:rPr>
                  </w:pPr>
                  <w:r w:rsidRPr="001E2783">
                    <w:rPr>
                      <w:rFonts w:cs="Arial"/>
                      <w:sz w:val="20"/>
                    </w:rPr>
                    <w:t xml:space="preserve">Public mobile telephony </w:t>
                  </w:r>
                  <w:r w:rsidRPr="001E2783">
                    <w:rPr>
                      <w:rFonts w:cs="Arial"/>
                      <w:sz w:val="20"/>
                    </w:rPr>
                    <w:br/>
                    <w:t>(LTE, GSM, GSM-R)</w:t>
                  </w:r>
                </w:p>
              </w:tc>
            </w:tr>
            <w:tr w:rsidR="001E2783" w:rsidRPr="001E2783" w14:paraId="457B24FC" w14:textId="77777777" w:rsidTr="008755C1">
              <w:trPr>
                <w:cantSplit/>
              </w:trPr>
              <w:tc>
                <w:tcPr>
                  <w:tcW w:w="1569" w:type="dxa"/>
                  <w:tcMar>
                    <w:top w:w="57" w:type="dxa"/>
                    <w:left w:w="57" w:type="dxa"/>
                    <w:bottom w:w="57" w:type="dxa"/>
                    <w:right w:w="57" w:type="dxa"/>
                  </w:tcMar>
                </w:tcPr>
                <w:p w14:paraId="649ACC33" w14:textId="77777777" w:rsidR="00776320" w:rsidRPr="001E2783" w:rsidRDefault="00776320" w:rsidP="003735DD">
                  <w:pPr>
                    <w:pStyle w:val="TableTextLeft"/>
                    <w:rPr>
                      <w:rFonts w:cs="Arial"/>
                      <w:sz w:val="20"/>
                    </w:rPr>
                  </w:pPr>
                  <w:r w:rsidRPr="001E2783">
                    <w:rPr>
                      <w:rFonts w:cs="Arial"/>
                      <w:sz w:val="20"/>
                    </w:rPr>
                    <w:t>2.3 GHz</w:t>
                  </w:r>
                </w:p>
              </w:tc>
              <w:tc>
                <w:tcPr>
                  <w:tcW w:w="2555" w:type="dxa"/>
                  <w:tcMar>
                    <w:top w:w="57" w:type="dxa"/>
                    <w:left w:w="57" w:type="dxa"/>
                    <w:bottom w:w="57" w:type="dxa"/>
                    <w:right w:w="57" w:type="dxa"/>
                  </w:tcMar>
                </w:tcPr>
                <w:p w14:paraId="2198B412" w14:textId="77777777" w:rsidR="00776320" w:rsidRPr="001E2783" w:rsidRDefault="00776320" w:rsidP="003735DD">
                  <w:pPr>
                    <w:pStyle w:val="TableTextLeft"/>
                    <w:rPr>
                      <w:rFonts w:cs="Arial"/>
                      <w:sz w:val="20"/>
                    </w:rPr>
                  </w:pPr>
                  <w:r w:rsidRPr="001E2783">
                    <w:rPr>
                      <w:rFonts w:cs="Arial"/>
                      <w:sz w:val="20"/>
                    </w:rPr>
                    <w:t xml:space="preserve">2302–2400 MHz </w:t>
                  </w:r>
                </w:p>
              </w:tc>
              <w:tc>
                <w:tcPr>
                  <w:tcW w:w="1839" w:type="dxa"/>
                  <w:tcMar>
                    <w:top w:w="57" w:type="dxa"/>
                    <w:left w:w="57" w:type="dxa"/>
                    <w:bottom w:w="57" w:type="dxa"/>
                    <w:right w:w="57" w:type="dxa"/>
                  </w:tcMar>
                </w:tcPr>
                <w:p w14:paraId="7A40CD75" w14:textId="77777777" w:rsidR="00776320" w:rsidRPr="001E2783" w:rsidRDefault="003735DD" w:rsidP="003735DD">
                  <w:pPr>
                    <w:pStyle w:val="TableTextLeft"/>
                    <w:rPr>
                      <w:rFonts w:cs="Arial"/>
                      <w:sz w:val="20"/>
                    </w:rPr>
                  </w:pPr>
                  <w:r w:rsidRPr="001E2783">
                    <w:rPr>
                      <w:rFonts w:cs="Arial"/>
                      <w:sz w:val="20"/>
                    </w:rPr>
                    <w:t>Partially re</w:t>
                  </w:r>
                  <w:r w:rsidR="00776320" w:rsidRPr="001E2783">
                    <w:rPr>
                      <w:rFonts w:cs="Arial"/>
                      <w:sz w:val="20"/>
                    </w:rPr>
                    <w:t>issued**</w:t>
                  </w:r>
                </w:p>
              </w:tc>
              <w:tc>
                <w:tcPr>
                  <w:tcW w:w="3502" w:type="dxa"/>
                  <w:tcMar>
                    <w:top w:w="57" w:type="dxa"/>
                    <w:left w:w="57" w:type="dxa"/>
                    <w:bottom w:w="57" w:type="dxa"/>
                    <w:right w:w="57" w:type="dxa"/>
                  </w:tcMar>
                </w:tcPr>
                <w:p w14:paraId="2317072E" w14:textId="77777777" w:rsidR="00776320" w:rsidRPr="001E2783" w:rsidRDefault="00776320" w:rsidP="003735DD">
                  <w:pPr>
                    <w:pStyle w:val="TableTextLeft"/>
                    <w:rPr>
                      <w:rFonts w:cs="Arial"/>
                      <w:sz w:val="20"/>
                    </w:rPr>
                  </w:pPr>
                  <w:r w:rsidRPr="001E2783">
                    <w:rPr>
                      <w:rFonts w:cs="Arial"/>
                      <w:sz w:val="20"/>
                    </w:rPr>
                    <w:t>Wireless access services</w:t>
                  </w:r>
                </w:p>
              </w:tc>
            </w:tr>
            <w:tr w:rsidR="001E2783" w:rsidRPr="001E2783" w14:paraId="61508B45" w14:textId="77777777" w:rsidTr="008755C1">
              <w:trPr>
                <w:cantSplit/>
              </w:trPr>
              <w:tc>
                <w:tcPr>
                  <w:tcW w:w="1569" w:type="dxa"/>
                  <w:tcMar>
                    <w:top w:w="57" w:type="dxa"/>
                    <w:left w:w="57" w:type="dxa"/>
                    <w:bottom w:w="57" w:type="dxa"/>
                    <w:right w:w="57" w:type="dxa"/>
                  </w:tcMar>
                </w:tcPr>
                <w:p w14:paraId="2046B702" w14:textId="77777777" w:rsidR="00776320" w:rsidRPr="001E2783" w:rsidRDefault="00776320" w:rsidP="003735DD">
                  <w:pPr>
                    <w:pStyle w:val="TableTextLeft"/>
                    <w:rPr>
                      <w:rFonts w:cs="Arial"/>
                      <w:sz w:val="20"/>
                    </w:rPr>
                  </w:pPr>
                  <w:r w:rsidRPr="001E2783">
                    <w:rPr>
                      <w:rFonts w:cs="Arial"/>
                      <w:sz w:val="20"/>
                    </w:rPr>
                    <w:t>3.4 GHz</w:t>
                  </w:r>
                </w:p>
              </w:tc>
              <w:tc>
                <w:tcPr>
                  <w:tcW w:w="2555" w:type="dxa"/>
                  <w:tcMar>
                    <w:top w:w="57" w:type="dxa"/>
                    <w:left w:w="57" w:type="dxa"/>
                    <w:bottom w:w="57" w:type="dxa"/>
                    <w:right w:w="57" w:type="dxa"/>
                  </w:tcMar>
                </w:tcPr>
                <w:p w14:paraId="53E78AF0" w14:textId="77777777" w:rsidR="00776320" w:rsidRPr="001E2783" w:rsidRDefault="00776320" w:rsidP="003735DD">
                  <w:pPr>
                    <w:pStyle w:val="TableTextLeft"/>
                    <w:rPr>
                      <w:rFonts w:cs="Arial"/>
                      <w:sz w:val="20"/>
                    </w:rPr>
                  </w:pPr>
                  <w:r w:rsidRPr="001E2783">
                    <w:rPr>
                      <w:rFonts w:cs="Arial"/>
                      <w:sz w:val="20"/>
                    </w:rPr>
                    <w:t>3425–3442.5 MHz</w:t>
                  </w:r>
                </w:p>
                <w:p w14:paraId="74C9F067" w14:textId="77777777" w:rsidR="00776320" w:rsidRPr="001E2783" w:rsidRDefault="00776320" w:rsidP="003735DD">
                  <w:pPr>
                    <w:pStyle w:val="TableTextLeft"/>
                    <w:rPr>
                      <w:rFonts w:cs="Arial"/>
                      <w:sz w:val="20"/>
                    </w:rPr>
                  </w:pPr>
                  <w:r w:rsidRPr="001E2783">
                    <w:rPr>
                      <w:rFonts w:cs="Arial"/>
                      <w:sz w:val="20"/>
                    </w:rPr>
                    <w:t>3475–3492.5 MHz (paired)</w:t>
                  </w:r>
                </w:p>
                <w:p w14:paraId="021889BF" w14:textId="77777777" w:rsidR="00776320" w:rsidRPr="001E2783" w:rsidRDefault="00776320" w:rsidP="003735DD">
                  <w:pPr>
                    <w:pStyle w:val="TableTextLeft"/>
                    <w:rPr>
                      <w:rFonts w:cs="Arial"/>
                      <w:sz w:val="20"/>
                    </w:rPr>
                  </w:pPr>
                  <w:r w:rsidRPr="001E2783">
                    <w:rPr>
                      <w:rFonts w:cs="Arial"/>
                      <w:sz w:val="20"/>
                    </w:rPr>
                    <w:t>3442.5–3475 MHz</w:t>
                  </w:r>
                </w:p>
                <w:p w14:paraId="02690E47" w14:textId="77777777" w:rsidR="00776320" w:rsidRPr="001E2783" w:rsidRDefault="00776320" w:rsidP="003735DD">
                  <w:pPr>
                    <w:pStyle w:val="TableTextLeft"/>
                    <w:rPr>
                      <w:rFonts w:cs="Arial"/>
                      <w:sz w:val="20"/>
                    </w:rPr>
                  </w:pPr>
                  <w:r w:rsidRPr="001E2783">
                    <w:rPr>
                      <w:rFonts w:cs="Arial"/>
                      <w:sz w:val="20"/>
                    </w:rPr>
                    <w:t>3542.5–3575 MHz (paired)</w:t>
                  </w:r>
                </w:p>
              </w:tc>
              <w:tc>
                <w:tcPr>
                  <w:tcW w:w="1839" w:type="dxa"/>
                  <w:tcMar>
                    <w:top w:w="57" w:type="dxa"/>
                    <w:left w:w="57" w:type="dxa"/>
                    <w:bottom w:w="57" w:type="dxa"/>
                    <w:right w:w="57" w:type="dxa"/>
                  </w:tcMar>
                </w:tcPr>
                <w:p w14:paraId="13555B84" w14:textId="77777777" w:rsidR="00776320" w:rsidRPr="001E2783" w:rsidRDefault="00776320" w:rsidP="003735DD">
                  <w:pPr>
                    <w:pStyle w:val="TableTextLeft"/>
                    <w:rPr>
                      <w:rFonts w:cs="Arial"/>
                      <w:sz w:val="20"/>
                    </w:rPr>
                  </w:pPr>
                  <w:r w:rsidRPr="001E2783">
                    <w:rPr>
                      <w:rFonts w:cs="Arial"/>
                      <w:sz w:val="20"/>
                    </w:rPr>
                    <w:t>December 2015</w:t>
                  </w:r>
                </w:p>
              </w:tc>
              <w:tc>
                <w:tcPr>
                  <w:tcW w:w="3502" w:type="dxa"/>
                  <w:tcMar>
                    <w:top w:w="57" w:type="dxa"/>
                    <w:left w:w="57" w:type="dxa"/>
                    <w:bottom w:w="57" w:type="dxa"/>
                    <w:right w:w="57" w:type="dxa"/>
                  </w:tcMar>
                </w:tcPr>
                <w:p w14:paraId="4CA49763" w14:textId="77777777" w:rsidR="00776320" w:rsidRPr="001E2783" w:rsidRDefault="00776320" w:rsidP="003735DD">
                  <w:pPr>
                    <w:pStyle w:val="TableTextLeft"/>
                    <w:rPr>
                      <w:rFonts w:cs="Arial"/>
                      <w:sz w:val="20"/>
                    </w:rPr>
                  </w:pPr>
                  <w:r w:rsidRPr="001E2783">
                    <w:rPr>
                      <w:rFonts w:cs="Arial"/>
                      <w:sz w:val="20"/>
                    </w:rPr>
                    <w:t>Wireless access services</w:t>
                  </w:r>
                </w:p>
              </w:tc>
            </w:tr>
            <w:tr w:rsidR="001E2783" w:rsidRPr="001E2783" w14:paraId="03B989EA" w14:textId="77777777" w:rsidTr="008755C1">
              <w:trPr>
                <w:cantSplit/>
              </w:trPr>
              <w:tc>
                <w:tcPr>
                  <w:tcW w:w="1569" w:type="dxa"/>
                  <w:tcMar>
                    <w:top w:w="57" w:type="dxa"/>
                    <w:left w:w="57" w:type="dxa"/>
                    <w:bottom w:w="57" w:type="dxa"/>
                    <w:right w:w="57" w:type="dxa"/>
                  </w:tcMar>
                </w:tcPr>
                <w:p w14:paraId="69FBC9AE" w14:textId="77777777" w:rsidR="00776320" w:rsidRPr="001E2783" w:rsidRDefault="00776320" w:rsidP="003735DD">
                  <w:pPr>
                    <w:pStyle w:val="TableTextLeft"/>
                    <w:rPr>
                      <w:rFonts w:cs="Arial"/>
                      <w:sz w:val="20"/>
                    </w:rPr>
                  </w:pPr>
                  <w:r w:rsidRPr="001E2783">
                    <w:rPr>
                      <w:rFonts w:cs="Arial"/>
                      <w:sz w:val="20"/>
                    </w:rPr>
                    <w:t>27 GHz</w:t>
                  </w:r>
                </w:p>
              </w:tc>
              <w:tc>
                <w:tcPr>
                  <w:tcW w:w="2555" w:type="dxa"/>
                  <w:tcMar>
                    <w:top w:w="57" w:type="dxa"/>
                    <w:left w:w="57" w:type="dxa"/>
                    <w:bottom w:w="57" w:type="dxa"/>
                    <w:right w:w="57" w:type="dxa"/>
                  </w:tcMar>
                </w:tcPr>
                <w:p w14:paraId="7B74FC76" w14:textId="77777777" w:rsidR="00776320" w:rsidRPr="001E2783" w:rsidRDefault="00776320" w:rsidP="003735DD">
                  <w:pPr>
                    <w:pStyle w:val="TableTextLeft"/>
                    <w:rPr>
                      <w:rFonts w:cs="Arial"/>
                      <w:sz w:val="20"/>
                    </w:rPr>
                  </w:pPr>
                  <w:r w:rsidRPr="001E2783">
                    <w:rPr>
                      <w:rFonts w:cs="Arial"/>
                      <w:sz w:val="20"/>
                    </w:rPr>
                    <w:t>26.5–27.5 GHz</w:t>
                  </w:r>
                </w:p>
              </w:tc>
              <w:tc>
                <w:tcPr>
                  <w:tcW w:w="1839" w:type="dxa"/>
                  <w:tcMar>
                    <w:top w:w="57" w:type="dxa"/>
                    <w:left w:w="57" w:type="dxa"/>
                    <w:bottom w:w="57" w:type="dxa"/>
                    <w:right w:w="57" w:type="dxa"/>
                  </w:tcMar>
                </w:tcPr>
                <w:p w14:paraId="52063C6B" w14:textId="77777777" w:rsidR="00776320" w:rsidRPr="001E2783" w:rsidRDefault="00776320" w:rsidP="003735DD">
                  <w:pPr>
                    <w:pStyle w:val="TableTextLeft"/>
                    <w:rPr>
                      <w:rFonts w:cs="Arial"/>
                      <w:sz w:val="20"/>
                    </w:rPr>
                  </w:pPr>
                  <w:r w:rsidRPr="001E2783">
                    <w:rPr>
                      <w:rFonts w:cs="Arial"/>
                      <w:sz w:val="20"/>
                    </w:rPr>
                    <w:t>January 2016</w:t>
                  </w:r>
                </w:p>
              </w:tc>
              <w:tc>
                <w:tcPr>
                  <w:tcW w:w="3502" w:type="dxa"/>
                  <w:tcMar>
                    <w:top w:w="57" w:type="dxa"/>
                    <w:left w:w="57" w:type="dxa"/>
                    <w:bottom w:w="57" w:type="dxa"/>
                    <w:right w:w="57" w:type="dxa"/>
                  </w:tcMar>
                </w:tcPr>
                <w:p w14:paraId="5448B0F5" w14:textId="77777777" w:rsidR="00776320" w:rsidRPr="001E2783" w:rsidRDefault="00776320" w:rsidP="003735DD">
                  <w:pPr>
                    <w:pStyle w:val="TableTextLeft"/>
                    <w:rPr>
                      <w:rFonts w:cs="Arial"/>
                      <w:sz w:val="20"/>
                    </w:rPr>
                  </w:pPr>
                  <w:r w:rsidRPr="001E2783">
                    <w:rPr>
                      <w:rFonts w:cs="Arial"/>
                      <w:sz w:val="20"/>
                    </w:rPr>
                    <w:t>Wireless access services, satellite gateway</w:t>
                  </w:r>
                </w:p>
              </w:tc>
            </w:tr>
            <w:tr w:rsidR="001E2783" w:rsidRPr="001E2783" w14:paraId="053F9070" w14:textId="77777777" w:rsidTr="008755C1">
              <w:trPr>
                <w:cantSplit/>
              </w:trPr>
              <w:tc>
                <w:tcPr>
                  <w:tcW w:w="1569" w:type="dxa"/>
                  <w:tcMar>
                    <w:top w:w="57" w:type="dxa"/>
                    <w:left w:w="57" w:type="dxa"/>
                    <w:bottom w:w="57" w:type="dxa"/>
                    <w:right w:w="57" w:type="dxa"/>
                  </w:tcMar>
                </w:tcPr>
                <w:p w14:paraId="7FEC807D" w14:textId="77777777" w:rsidR="00776320" w:rsidRPr="001E2783" w:rsidRDefault="00776320" w:rsidP="003735DD">
                  <w:pPr>
                    <w:pStyle w:val="TableTextLeft"/>
                    <w:rPr>
                      <w:rFonts w:cs="Arial"/>
                      <w:sz w:val="20"/>
                    </w:rPr>
                  </w:pPr>
                  <w:r w:rsidRPr="001E2783">
                    <w:rPr>
                      <w:rFonts w:cs="Arial"/>
                      <w:sz w:val="20"/>
                    </w:rPr>
                    <w:t>2 GHz</w:t>
                  </w:r>
                </w:p>
              </w:tc>
              <w:tc>
                <w:tcPr>
                  <w:tcW w:w="2555" w:type="dxa"/>
                  <w:tcMar>
                    <w:top w:w="57" w:type="dxa"/>
                    <w:left w:w="57" w:type="dxa"/>
                    <w:bottom w:w="57" w:type="dxa"/>
                    <w:right w:w="57" w:type="dxa"/>
                  </w:tcMar>
                </w:tcPr>
                <w:p w14:paraId="2F0A3B3D" w14:textId="77777777" w:rsidR="00776320" w:rsidRPr="001E2783" w:rsidRDefault="00776320" w:rsidP="003735DD">
                  <w:pPr>
                    <w:pStyle w:val="TableTextLeft"/>
                    <w:rPr>
                      <w:rFonts w:cs="Arial"/>
                      <w:sz w:val="20"/>
                    </w:rPr>
                  </w:pPr>
                  <w:r w:rsidRPr="001E2783">
                    <w:rPr>
                      <w:rFonts w:cs="Arial"/>
                      <w:sz w:val="20"/>
                    </w:rPr>
                    <w:t>1900–1980 MHz</w:t>
                  </w:r>
                </w:p>
                <w:p w14:paraId="368F6881" w14:textId="77777777" w:rsidR="00776320" w:rsidRPr="001E2783" w:rsidRDefault="00776320" w:rsidP="003735DD">
                  <w:pPr>
                    <w:pStyle w:val="TableTextLeft"/>
                    <w:rPr>
                      <w:rFonts w:cs="Arial"/>
                      <w:sz w:val="20"/>
                    </w:rPr>
                  </w:pPr>
                  <w:r w:rsidRPr="001E2783">
                    <w:rPr>
                      <w:rFonts w:cs="Arial"/>
                      <w:sz w:val="20"/>
                    </w:rPr>
                    <w:t>2110–2170 MHz</w:t>
                  </w:r>
                </w:p>
              </w:tc>
              <w:tc>
                <w:tcPr>
                  <w:tcW w:w="1839" w:type="dxa"/>
                  <w:tcMar>
                    <w:top w:w="57" w:type="dxa"/>
                    <w:left w:w="57" w:type="dxa"/>
                    <w:bottom w:w="57" w:type="dxa"/>
                    <w:right w:w="57" w:type="dxa"/>
                  </w:tcMar>
                </w:tcPr>
                <w:p w14:paraId="36A8F26F" w14:textId="77777777" w:rsidR="00776320" w:rsidRPr="001E2783" w:rsidRDefault="00776320" w:rsidP="003735DD">
                  <w:pPr>
                    <w:pStyle w:val="TableTextLeft"/>
                    <w:rPr>
                      <w:rFonts w:cs="Arial"/>
                      <w:sz w:val="20"/>
                    </w:rPr>
                  </w:pPr>
                  <w:r w:rsidRPr="001E2783">
                    <w:rPr>
                      <w:rFonts w:cs="Arial"/>
                      <w:sz w:val="20"/>
                    </w:rPr>
                    <w:t>October 2017</w:t>
                  </w:r>
                </w:p>
              </w:tc>
              <w:tc>
                <w:tcPr>
                  <w:tcW w:w="3502" w:type="dxa"/>
                  <w:tcMar>
                    <w:top w:w="57" w:type="dxa"/>
                    <w:left w:w="57" w:type="dxa"/>
                    <w:bottom w:w="57" w:type="dxa"/>
                    <w:right w:w="57" w:type="dxa"/>
                  </w:tcMar>
                </w:tcPr>
                <w:p w14:paraId="0A695070" w14:textId="77777777" w:rsidR="00776320" w:rsidRPr="001E2783" w:rsidRDefault="00776320" w:rsidP="003735DD">
                  <w:pPr>
                    <w:pStyle w:val="TableTextLeft"/>
                    <w:rPr>
                      <w:rFonts w:cs="Arial"/>
                      <w:sz w:val="20"/>
                    </w:rPr>
                  </w:pPr>
                  <w:r w:rsidRPr="001E2783">
                    <w:rPr>
                      <w:rFonts w:cs="Arial"/>
                      <w:sz w:val="20"/>
                    </w:rPr>
                    <w:t>Public mobile telephony (3G)</w:t>
                  </w:r>
                </w:p>
              </w:tc>
            </w:tr>
            <w:tr w:rsidR="001E2783" w:rsidRPr="001E2783" w14:paraId="08F341A3" w14:textId="77777777" w:rsidTr="008755C1">
              <w:trPr>
                <w:cantSplit/>
              </w:trPr>
              <w:tc>
                <w:tcPr>
                  <w:tcW w:w="1569" w:type="dxa"/>
                  <w:tcMar>
                    <w:top w:w="57" w:type="dxa"/>
                    <w:left w:w="57" w:type="dxa"/>
                    <w:bottom w:w="57" w:type="dxa"/>
                    <w:right w:w="57" w:type="dxa"/>
                  </w:tcMar>
                </w:tcPr>
                <w:p w14:paraId="7294D18E" w14:textId="77777777" w:rsidR="00776320" w:rsidRPr="001E2783" w:rsidRDefault="00776320" w:rsidP="003735DD">
                  <w:pPr>
                    <w:pStyle w:val="TableTextLeft"/>
                    <w:rPr>
                      <w:rFonts w:cs="Arial"/>
                      <w:sz w:val="20"/>
                    </w:rPr>
                  </w:pPr>
                  <w:r w:rsidRPr="001E2783">
                    <w:rPr>
                      <w:rFonts w:cs="Arial"/>
                      <w:sz w:val="20"/>
                    </w:rPr>
                    <w:t>20 and 30 GHz</w:t>
                  </w:r>
                </w:p>
              </w:tc>
              <w:tc>
                <w:tcPr>
                  <w:tcW w:w="2555" w:type="dxa"/>
                  <w:tcMar>
                    <w:top w:w="57" w:type="dxa"/>
                    <w:left w:w="57" w:type="dxa"/>
                    <w:bottom w:w="57" w:type="dxa"/>
                    <w:right w:w="57" w:type="dxa"/>
                  </w:tcMar>
                </w:tcPr>
                <w:p w14:paraId="52382F9E" w14:textId="77777777" w:rsidR="00776320" w:rsidRPr="001E2783" w:rsidRDefault="00776320" w:rsidP="003735DD">
                  <w:pPr>
                    <w:pStyle w:val="TableTextLeft"/>
                    <w:rPr>
                      <w:rFonts w:cs="Arial"/>
                      <w:sz w:val="20"/>
                    </w:rPr>
                  </w:pPr>
                  <w:r w:rsidRPr="001E2783">
                    <w:rPr>
                      <w:rFonts w:cs="Arial"/>
                      <w:sz w:val="20"/>
                    </w:rPr>
                    <w:t>20.2–21.2 GHz</w:t>
                  </w:r>
                </w:p>
                <w:p w14:paraId="5087A421" w14:textId="77777777" w:rsidR="00776320" w:rsidRPr="001E2783" w:rsidRDefault="00776320" w:rsidP="003735DD">
                  <w:pPr>
                    <w:pStyle w:val="TableTextLeft"/>
                    <w:rPr>
                      <w:rFonts w:cs="Arial"/>
                      <w:sz w:val="20"/>
                    </w:rPr>
                  </w:pPr>
                  <w:r w:rsidRPr="001E2783">
                    <w:rPr>
                      <w:rFonts w:cs="Arial"/>
                      <w:sz w:val="20"/>
                    </w:rPr>
                    <w:t>30–31 GHz</w:t>
                  </w:r>
                </w:p>
              </w:tc>
              <w:tc>
                <w:tcPr>
                  <w:tcW w:w="1839" w:type="dxa"/>
                  <w:tcMar>
                    <w:top w:w="57" w:type="dxa"/>
                    <w:left w:w="57" w:type="dxa"/>
                    <w:bottom w:w="57" w:type="dxa"/>
                    <w:right w:w="57" w:type="dxa"/>
                  </w:tcMar>
                </w:tcPr>
                <w:p w14:paraId="7EB056C2" w14:textId="77777777" w:rsidR="00776320" w:rsidRPr="001E2783" w:rsidRDefault="00776320" w:rsidP="003735DD">
                  <w:pPr>
                    <w:pStyle w:val="TableTextLeft"/>
                    <w:rPr>
                      <w:rFonts w:cs="Arial"/>
                      <w:sz w:val="20"/>
                    </w:rPr>
                  </w:pPr>
                  <w:r w:rsidRPr="001E2783">
                    <w:rPr>
                      <w:rFonts w:cs="Arial"/>
                      <w:sz w:val="20"/>
                    </w:rPr>
                    <w:t>April 2021</w:t>
                  </w:r>
                </w:p>
              </w:tc>
              <w:tc>
                <w:tcPr>
                  <w:tcW w:w="3502" w:type="dxa"/>
                  <w:tcMar>
                    <w:top w:w="57" w:type="dxa"/>
                    <w:left w:w="57" w:type="dxa"/>
                    <w:bottom w:w="57" w:type="dxa"/>
                    <w:right w:w="57" w:type="dxa"/>
                  </w:tcMar>
                </w:tcPr>
                <w:p w14:paraId="4DFD4956" w14:textId="77777777" w:rsidR="00776320" w:rsidRPr="001E2783" w:rsidRDefault="00776320" w:rsidP="003735DD">
                  <w:pPr>
                    <w:pStyle w:val="TableTextLeft"/>
                    <w:rPr>
                      <w:rFonts w:cs="Arial"/>
                      <w:sz w:val="20"/>
                    </w:rPr>
                  </w:pPr>
                  <w:r w:rsidRPr="001E2783">
                    <w:rPr>
                      <w:rFonts w:cs="Arial"/>
                      <w:sz w:val="20"/>
                    </w:rPr>
                    <w:t>Satellite operations</w:t>
                  </w:r>
                </w:p>
              </w:tc>
            </w:tr>
          </w:tbl>
          <w:p w14:paraId="7729B213" w14:textId="77777777" w:rsidR="00776320" w:rsidRPr="001E2783" w:rsidRDefault="00776320" w:rsidP="00776320">
            <w:pPr>
              <w:rPr>
                <w:rFonts w:cs="Arial"/>
                <w:sz w:val="18"/>
                <w:szCs w:val="18"/>
              </w:rPr>
            </w:pPr>
          </w:p>
        </w:tc>
      </w:tr>
      <w:tr w:rsidR="00776320" w:rsidRPr="001E2783" w14:paraId="463E670C" w14:textId="77777777" w:rsidTr="00776320">
        <w:trPr>
          <w:cantSplit/>
          <w:trHeight w:val="80"/>
        </w:trPr>
        <w:tc>
          <w:tcPr>
            <w:tcW w:w="9645" w:type="dxa"/>
            <w:tcBorders>
              <w:bottom w:val="single" w:sz="2" w:space="0" w:color="505050"/>
            </w:tcBorders>
            <w:shd w:val="clear" w:color="auto" w:fill="auto"/>
          </w:tcPr>
          <w:p w14:paraId="6E130CDE" w14:textId="77777777" w:rsidR="00776320" w:rsidRPr="001E2783" w:rsidRDefault="00776320" w:rsidP="008755C1">
            <w:pPr>
              <w:spacing w:before="120"/>
              <w:rPr>
                <w:rFonts w:cs="Arial"/>
                <w:i/>
                <w:sz w:val="16"/>
                <w:szCs w:val="16"/>
              </w:rPr>
            </w:pPr>
            <w:r w:rsidRPr="001E2783">
              <w:rPr>
                <w:rFonts w:cs="Arial"/>
                <w:i/>
                <w:sz w:val="16"/>
                <w:szCs w:val="16"/>
              </w:rPr>
              <w:t>*One licensee chos</w:t>
            </w:r>
            <w:r w:rsidR="003735DD" w:rsidRPr="001E2783">
              <w:rPr>
                <w:rFonts w:cs="Arial"/>
                <w:i/>
                <w:sz w:val="16"/>
                <w:szCs w:val="16"/>
              </w:rPr>
              <w:t>e not to accept the offer of re</w:t>
            </w:r>
            <w:r w:rsidRPr="001E2783">
              <w:rPr>
                <w:rFonts w:cs="Arial"/>
                <w:i/>
                <w:sz w:val="16"/>
                <w:szCs w:val="16"/>
              </w:rPr>
              <w:t>issue</w:t>
            </w:r>
            <w:r w:rsidR="003735DD" w:rsidRPr="001E2783">
              <w:rPr>
                <w:rFonts w:cs="Arial"/>
                <w:i/>
                <w:sz w:val="16"/>
                <w:szCs w:val="16"/>
              </w:rPr>
              <w:t>.</w:t>
            </w:r>
          </w:p>
          <w:p w14:paraId="6BE1887F" w14:textId="77777777" w:rsidR="00776320" w:rsidRPr="001E2783" w:rsidRDefault="003735DD" w:rsidP="003735DD">
            <w:pPr>
              <w:rPr>
                <w:rFonts w:cs="Arial"/>
                <w:sz w:val="16"/>
                <w:szCs w:val="16"/>
              </w:rPr>
            </w:pPr>
            <w:r w:rsidRPr="001E2783">
              <w:rPr>
                <w:rFonts w:cs="Arial"/>
                <w:i/>
                <w:sz w:val="16"/>
                <w:szCs w:val="16"/>
              </w:rPr>
              <w:t>**</w:t>
            </w:r>
            <w:r w:rsidR="00776320" w:rsidRPr="001E2783">
              <w:rPr>
                <w:rFonts w:cs="Arial"/>
                <w:i/>
                <w:sz w:val="16"/>
                <w:szCs w:val="16"/>
              </w:rPr>
              <w:t>Some licensees chos</w:t>
            </w:r>
            <w:r w:rsidRPr="001E2783">
              <w:rPr>
                <w:rFonts w:cs="Arial"/>
                <w:i/>
                <w:sz w:val="16"/>
                <w:szCs w:val="16"/>
              </w:rPr>
              <w:t>e not to accept the offer of re</w:t>
            </w:r>
            <w:r w:rsidR="00776320" w:rsidRPr="001E2783">
              <w:rPr>
                <w:rFonts w:cs="Arial"/>
                <w:i/>
                <w:sz w:val="16"/>
                <w:szCs w:val="16"/>
              </w:rPr>
              <w:t>issue</w:t>
            </w:r>
            <w:r w:rsidRPr="001E2783">
              <w:rPr>
                <w:rFonts w:cs="Arial"/>
                <w:i/>
                <w:sz w:val="16"/>
                <w:szCs w:val="16"/>
              </w:rPr>
              <w:t xml:space="preserve">, while </w:t>
            </w:r>
            <w:r w:rsidR="00776320" w:rsidRPr="001E2783">
              <w:rPr>
                <w:rFonts w:cs="Arial"/>
                <w:i/>
                <w:sz w:val="16"/>
                <w:szCs w:val="16"/>
              </w:rPr>
              <w:t xml:space="preserve">some </w:t>
            </w:r>
            <w:r w:rsidRPr="001E2783">
              <w:rPr>
                <w:rFonts w:cs="Arial"/>
                <w:i/>
                <w:sz w:val="16"/>
                <w:szCs w:val="16"/>
              </w:rPr>
              <w:t>are still to complete the re</w:t>
            </w:r>
            <w:r w:rsidR="00776320" w:rsidRPr="001E2783">
              <w:rPr>
                <w:rFonts w:cs="Arial"/>
                <w:i/>
                <w:sz w:val="16"/>
                <w:szCs w:val="16"/>
              </w:rPr>
              <w:t>issue process.</w:t>
            </w:r>
          </w:p>
        </w:tc>
      </w:tr>
    </w:tbl>
    <w:p w14:paraId="63041B63" w14:textId="77777777" w:rsidR="00776320" w:rsidRPr="001E2783" w:rsidRDefault="00776320" w:rsidP="00776320">
      <w:pPr>
        <w:rPr>
          <w:rFonts w:cs="Arial"/>
        </w:rPr>
      </w:pPr>
    </w:p>
    <w:p w14:paraId="2F9B919D" w14:textId="77777777" w:rsidR="00776320" w:rsidRPr="001E2783" w:rsidRDefault="00776320" w:rsidP="00961EFC">
      <w:pPr>
        <w:pStyle w:val="Heading3"/>
      </w:pPr>
      <w:bookmarkStart w:id="82" w:name="_Toc400018508"/>
      <w:r w:rsidRPr="001E2783">
        <w:t>Conversion of the 2.5 GHz mid-band gap</w:t>
      </w:r>
      <w:bookmarkEnd w:id="82"/>
    </w:p>
    <w:p w14:paraId="7E2DF60B" w14:textId="77777777" w:rsidR="00776320" w:rsidRPr="001E2783" w:rsidRDefault="00776320" w:rsidP="00776320">
      <w:pPr>
        <w:rPr>
          <w:rFonts w:cs="Arial"/>
        </w:rPr>
      </w:pPr>
      <w:r w:rsidRPr="001E2783">
        <w:rPr>
          <w:rFonts w:cs="Arial"/>
        </w:rPr>
        <w:t>On 24 February 2012, the minister made the Radiocommunications (S</w:t>
      </w:r>
      <w:r w:rsidR="00073C2B" w:rsidRPr="001E2783">
        <w:rPr>
          <w:rFonts w:cs="Arial"/>
        </w:rPr>
        <w:t>pectrum Designation) Notice No. </w:t>
      </w:r>
      <w:r w:rsidRPr="001E2783">
        <w:rPr>
          <w:rFonts w:cs="Arial"/>
        </w:rPr>
        <w:t xml:space="preserve">1 of 2012 </w:t>
      </w:r>
      <w:r w:rsidR="00073C2B" w:rsidRPr="001E2783">
        <w:rPr>
          <w:rFonts w:cs="Arial"/>
        </w:rPr>
        <w:t>for the 2.5 GHz mid-band gap (2570–</w:t>
      </w:r>
      <w:r w:rsidRPr="001E2783">
        <w:rPr>
          <w:rFonts w:cs="Arial"/>
        </w:rPr>
        <w:t xml:space="preserve">2620 MHz). This allowed the ACMA to </w:t>
      </w:r>
      <w:r w:rsidR="00073C2B" w:rsidRPr="001E2783">
        <w:rPr>
          <w:rFonts w:cs="Arial"/>
        </w:rPr>
        <w:t>begin</w:t>
      </w:r>
      <w:r w:rsidRPr="001E2783">
        <w:rPr>
          <w:rFonts w:cs="Arial"/>
        </w:rPr>
        <w:t xml:space="preserve"> processes to convert existing ENG apparatus licences—held by the free-to-air commercial broadcasters and the Australian Broadcasting Corporation—to spectrum licences. During the reporting period, the ACMA fixed spectrum access charges for spectrum licences in the mid-band gap in the Radiocommunicat</w:t>
      </w:r>
      <w:r w:rsidR="002C15C8" w:rsidRPr="001E2783">
        <w:rPr>
          <w:rFonts w:cs="Arial"/>
        </w:rPr>
        <w:t>i</w:t>
      </w:r>
      <w:r w:rsidRPr="001E2783">
        <w:rPr>
          <w:rFonts w:cs="Arial"/>
        </w:rPr>
        <w:t xml:space="preserve">ons (Spectrum Access Charges – 2.5 GHz Mid-band Gap) Determination 2013. </w:t>
      </w:r>
      <w:r w:rsidR="00073C2B" w:rsidRPr="001E2783">
        <w:rPr>
          <w:rFonts w:cs="Arial"/>
        </w:rPr>
        <w:t>It</w:t>
      </w:r>
      <w:r w:rsidRPr="001E2783">
        <w:rPr>
          <w:rFonts w:cs="Arial"/>
        </w:rPr>
        <w:t xml:space="preserve"> also made the formal offer of spectrum licences in the mid-band gap to the broadcasters, in accordance with section 56 of the Act. All four broadcasters subsequently accepted the offer of converted licences. The relevant spectrum access charge for the converted licence must be paid on or before 1 August 2014, with licences commencing on 1 October 2014.</w:t>
      </w:r>
    </w:p>
    <w:p w14:paraId="4445052C" w14:textId="77777777" w:rsidR="00776320" w:rsidRPr="001E2783" w:rsidRDefault="00776320" w:rsidP="00776320">
      <w:pPr>
        <w:rPr>
          <w:rFonts w:cs="Arial"/>
        </w:rPr>
      </w:pPr>
    </w:p>
    <w:p w14:paraId="26E44885" w14:textId="77777777" w:rsidR="00776320" w:rsidRPr="001E2783" w:rsidRDefault="00776320" w:rsidP="00776320">
      <w:pPr>
        <w:rPr>
          <w:rFonts w:cs="Arial"/>
        </w:rPr>
      </w:pPr>
      <w:r w:rsidRPr="001E2783">
        <w:rPr>
          <w:rFonts w:cs="Arial"/>
        </w:rPr>
        <w:t xml:space="preserve">This conversion process is an important part of providing long-term certainty for ENG operators. </w:t>
      </w:r>
    </w:p>
    <w:p w14:paraId="1EBEE07F" w14:textId="77777777" w:rsidR="00776320" w:rsidRPr="001E2783" w:rsidRDefault="00776320" w:rsidP="00776320">
      <w:pPr>
        <w:rPr>
          <w:rFonts w:cs="Arial"/>
        </w:rPr>
      </w:pPr>
    </w:p>
    <w:p w14:paraId="1BB73B3C" w14:textId="77777777" w:rsidR="00776320" w:rsidRPr="001E2783" w:rsidRDefault="00776320" w:rsidP="00961EFC">
      <w:pPr>
        <w:pStyle w:val="Heading3"/>
      </w:pPr>
      <w:bookmarkStart w:id="83" w:name="_Toc400018509"/>
      <w:r w:rsidRPr="001E2783">
        <w:t>Relocation of ENG services</w:t>
      </w:r>
      <w:bookmarkEnd w:id="83"/>
    </w:p>
    <w:p w14:paraId="5F683121" w14:textId="77777777" w:rsidR="00776320" w:rsidRPr="001E2783" w:rsidRDefault="00073C2B" w:rsidP="00776320">
      <w:pPr>
        <w:rPr>
          <w:rFonts w:cs="Arial"/>
        </w:rPr>
      </w:pPr>
      <w:r w:rsidRPr="001E2783">
        <w:rPr>
          <w:rFonts w:cs="Arial"/>
        </w:rPr>
        <w:t>In 2013–14, t</w:t>
      </w:r>
      <w:r w:rsidR="00776320" w:rsidRPr="001E2783">
        <w:rPr>
          <w:rFonts w:cs="Arial"/>
        </w:rPr>
        <w:t>he ACMA continued to plan for</w:t>
      </w:r>
      <w:r w:rsidRPr="001E2783">
        <w:rPr>
          <w:rFonts w:cs="Arial"/>
        </w:rPr>
        <w:t xml:space="preserve"> the relocation of ENG services</w:t>
      </w:r>
      <w:r w:rsidR="00776320" w:rsidRPr="001E2783">
        <w:rPr>
          <w:rFonts w:cs="Arial"/>
        </w:rPr>
        <w:t xml:space="preserve"> from the 2.5 GHz band to the 1980–2110 MHz and 2170–2300 MHz</w:t>
      </w:r>
      <w:r w:rsidRPr="001E2783">
        <w:rPr>
          <w:rFonts w:cs="Arial"/>
        </w:rPr>
        <w:t xml:space="preserve"> bands. </w:t>
      </w:r>
      <w:r w:rsidR="00776320" w:rsidRPr="001E2783">
        <w:rPr>
          <w:rFonts w:cs="Arial"/>
        </w:rPr>
        <w:t>Work focused on finalis</w:t>
      </w:r>
      <w:r w:rsidRPr="001E2783">
        <w:rPr>
          <w:rFonts w:cs="Arial"/>
        </w:rPr>
        <w:t>ing</w:t>
      </w:r>
      <w:r w:rsidR="00776320" w:rsidRPr="001E2783">
        <w:rPr>
          <w:rFonts w:cs="Arial"/>
        </w:rPr>
        <w:t xml:space="preserve"> coordination with other services in these bands</w:t>
      </w:r>
      <w:r w:rsidRPr="001E2783">
        <w:rPr>
          <w:rFonts w:cs="Arial"/>
        </w:rPr>
        <w:t xml:space="preserve">, which was completed in May 2014. </w:t>
      </w:r>
      <w:r w:rsidR="00776320" w:rsidRPr="001E2783">
        <w:rPr>
          <w:rFonts w:cs="Arial"/>
        </w:rPr>
        <w:t xml:space="preserve">The ACMA is now </w:t>
      </w:r>
      <w:r w:rsidRPr="001E2783">
        <w:rPr>
          <w:rFonts w:cs="Arial"/>
        </w:rPr>
        <w:t>helping</w:t>
      </w:r>
      <w:r w:rsidR="00776320" w:rsidRPr="001E2783">
        <w:rPr>
          <w:rFonts w:cs="Arial"/>
        </w:rPr>
        <w:t xml:space="preserve"> industry to complete</w:t>
      </w:r>
      <w:r w:rsidRPr="001E2783">
        <w:rPr>
          <w:rFonts w:cs="Arial"/>
        </w:rPr>
        <w:t xml:space="preserve"> the</w:t>
      </w:r>
      <w:r w:rsidR="00776320" w:rsidRPr="001E2783">
        <w:rPr>
          <w:rFonts w:cs="Arial"/>
        </w:rPr>
        <w:t xml:space="preserve"> transition to the new arrangements.</w:t>
      </w:r>
    </w:p>
    <w:p w14:paraId="3B31B201" w14:textId="77777777" w:rsidR="00776320" w:rsidRPr="001E2783" w:rsidRDefault="00776320" w:rsidP="00776320">
      <w:pPr>
        <w:rPr>
          <w:rFonts w:cs="Arial"/>
        </w:rPr>
      </w:pPr>
    </w:p>
    <w:p w14:paraId="7C86A33B" w14:textId="77777777" w:rsidR="003D2A75" w:rsidRPr="001E2783" w:rsidRDefault="003D2A75" w:rsidP="00961EFC">
      <w:pPr>
        <w:pStyle w:val="Heading3"/>
      </w:pPr>
      <w:bookmarkStart w:id="84" w:name="_Toc400018510"/>
      <w:r w:rsidRPr="001E2783">
        <w:t>Early access to the 700 MHz band</w:t>
      </w:r>
      <w:bookmarkEnd w:id="84"/>
    </w:p>
    <w:p w14:paraId="54310A97" w14:textId="77777777" w:rsidR="00E13F9C" w:rsidRPr="001E2783" w:rsidRDefault="00E13F9C" w:rsidP="00E13F9C">
      <w:pPr>
        <w:rPr>
          <w:rFonts w:cs="Arial"/>
        </w:rPr>
      </w:pPr>
      <w:r w:rsidRPr="001E2783">
        <w:rPr>
          <w:rFonts w:cs="Arial"/>
        </w:rPr>
        <w:t>In May 2013, the ACMA concluded the digital dividend auction</w:t>
      </w:r>
      <w:r w:rsidR="00073C2B" w:rsidRPr="001E2783">
        <w:rPr>
          <w:rFonts w:cs="Arial"/>
        </w:rPr>
        <w:t>,</w:t>
      </w:r>
      <w:r w:rsidRPr="001E2783">
        <w:rPr>
          <w:rFonts w:cs="Arial"/>
        </w:rPr>
        <w:t xml:space="preserve"> which reallocated spectrum in both the 700 MHz and 2.5 GHz spectrum bands</w:t>
      </w:r>
      <w:r w:rsidR="00073C2B" w:rsidRPr="001E2783">
        <w:rPr>
          <w:rFonts w:cs="Arial"/>
        </w:rPr>
        <w:t>. The</w:t>
      </w:r>
      <w:r w:rsidRPr="001E2783">
        <w:rPr>
          <w:rFonts w:cs="Arial"/>
        </w:rPr>
        <w:t xml:space="preserve"> 700 MHz licences to be issued as a result of the auction are to commence</w:t>
      </w:r>
      <w:r w:rsidR="00073C2B" w:rsidRPr="001E2783">
        <w:rPr>
          <w:rFonts w:cs="Arial"/>
        </w:rPr>
        <w:t xml:space="preserve"> on 1 January 2015. In the lead-</w:t>
      </w:r>
      <w:r w:rsidRPr="001E2783">
        <w:rPr>
          <w:rFonts w:cs="Arial"/>
        </w:rPr>
        <w:t>up to the auction and in the ensuing period, both Optus and Telstra</w:t>
      </w:r>
      <w:r w:rsidR="00C84E3A" w:rsidRPr="001E2783">
        <w:rPr>
          <w:rFonts w:cs="Arial"/>
        </w:rPr>
        <w:t>,</w:t>
      </w:r>
      <w:r w:rsidRPr="001E2783">
        <w:rPr>
          <w:rFonts w:cs="Arial"/>
        </w:rPr>
        <w:t xml:space="preserve"> </w:t>
      </w:r>
      <w:r w:rsidR="00C84E3A" w:rsidRPr="001E2783">
        <w:rPr>
          <w:rFonts w:cs="Arial"/>
        </w:rPr>
        <w:t xml:space="preserve">as the two winning bidders for 700 MHz digital dividend spectrum, </w:t>
      </w:r>
      <w:r w:rsidRPr="001E2783">
        <w:rPr>
          <w:rFonts w:cs="Arial"/>
        </w:rPr>
        <w:t>expressed a continuing interest in deploying commercial LTE services in th</w:t>
      </w:r>
      <w:r w:rsidR="00C84E3A" w:rsidRPr="001E2783">
        <w:rPr>
          <w:rFonts w:cs="Arial"/>
        </w:rPr>
        <w:t>is</w:t>
      </w:r>
      <w:r w:rsidRPr="001E2783">
        <w:rPr>
          <w:rFonts w:cs="Arial"/>
        </w:rPr>
        <w:t xml:space="preserve"> band earlier than the spectrum licences associated with the auction authorise.   </w:t>
      </w:r>
    </w:p>
    <w:p w14:paraId="78701BF1" w14:textId="77777777" w:rsidR="00E13F9C" w:rsidRPr="001E2783" w:rsidRDefault="00E13F9C" w:rsidP="00E13F9C">
      <w:pPr>
        <w:rPr>
          <w:rFonts w:cs="Arial"/>
        </w:rPr>
      </w:pPr>
    </w:p>
    <w:p w14:paraId="7FECEBA0" w14:textId="77777777" w:rsidR="00E13F9C" w:rsidRPr="001E2783" w:rsidRDefault="00E13F9C" w:rsidP="00E13F9C">
      <w:pPr>
        <w:rPr>
          <w:rFonts w:cs="Arial"/>
        </w:rPr>
      </w:pPr>
      <w:r w:rsidRPr="001E2783">
        <w:rPr>
          <w:rFonts w:cs="Arial"/>
        </w:rPr>
        <w:t xml:space="preserve">In June 2014, the ACMA made the required legislative and licensing arrangements to enable Optus and Telstra to apply for apparatus licences to </w:t>
      </w:r>
      <w:r w:rsidR="00C84E3A" w:rsidRPr="001E2783">
        <w:rPr>
          <w:rFonts w:cs="Arial"/>
        </w:rPr>
        <w:t>begin</w:t>
      </w:r>
      <w:r w:rsidRPr="001E2783">
        <w:rPr>
          <w:rFonts w:cs="Arial"/>
        </w:rPr>
        <w:t xml:space="preserve"> commercial LTE services before 1 January 2015. Up to and including 31 December 2014, users of wireless audio devices (WAD)</w:t>
      </w:r>
      <w:r w:rsidR="000C50F0" w:rsidRPr="001E2783">
        <w:rPr>
          <w:rFonts w:cs="Arial"/>
        </w:rPr>
        <w:t>,</w:t>
      </w:r>
      <w:r w:rsidRPr="001E2783">
        <w:rPr>
          <w:rFonts w:cs="Arial"/>
        </w:rPr>
        <w:t xml:space="preserve"> as well as some national and commercial television broadcasters</w:t>
      </w:r>
      <w:r w:rsidR="000C50F0" w:rsidRPr="001E2783">
        <w:rPr>
          <w:rFonts w:cs="Arial"/>
        </w:rPr>
        <w:t>,</w:t>
      </w:r>
      <w:r w:rsidRPr="001E2783">
        <w:rPr>
          <w:rFonts w:cs="Arial"/>
        </w:rPr>
        <w:t xml:space="preserve"> will remain authorised to use the 700 MHz spectrum. </w:t>
      </w:r>
      <w:r w:rsidR="000C50F0" w:rsidRPr="001E2783">
        <w:rPr>
          <w:rFonts w:cs="Arial"/>
        </w:rPr>
        <w:t>The ACMA will apply s</w:t>
      </w:r>
      <w:r w:rsidRPr="001E2783">
        <w:rPr>
          <w:rFonts w:cs="Arial"/>
        </w:rPr>
        <w:t xml:space="preserve">pecial licence conditions and application requirements for ‘early access’ apparatus licences to protect incumbent WAD and broadcast licensees from potential interference from LTE base stations. </w:t>
      </w:r>
    </w:p>
    <w:p w14:paraId="3F185BBA" w14:textId="77777777" w:rsidR="00E13F9C" w:rsidRPr="001E2783" w:rsidRDefault="00E13F9C" w:rsidP="00E13F9C">
      <w:pPr>
        <w:rPr>
          <w:rFonts w:cs="Arial"/>
        </w:rPr>
      </w:pPr>
    </w:p>
    <w:p w14:paraId="2483B920" w14:textId="77777777" w:rsidR="00E13F9C" w:rsidRPr="001E2783" w:rsidRDefault="00E13F9C" w:rsidP="00E13F9C">
      <w:pPr>
        <w:rPr>
          <w:rFonts w:cs="Arial"/>
        </w:rPr>
      </w:pPr>
      <w:r w:rsidRPr="001E2783">
        <w:rPr>
          <w:rFonts w:cs="Arial"/>
        </w:rPr>
        <w:t xml:space="preserve">The ACMA </w:t>
      </w:r>
      <w:r w:rsidR="000C50F0" w:rsidRPr="001E2783">
        <w:rPr>
          <w:rFonts w:cs="Arial"/>
        </w:rPr>
        <w:t xml:space="preserve">also </w:t>
      </w:r>
      <w:r w:rsidRPr="001E2783">
        <w:rPr>
          <w:rFonts w:cs="Arial"/>
        </w:rPr>
        <w:t>developed frequency coordination and apparatus licensing procedures for the paired bands 703–733 MHz and 758–788 MHz. The technical parameters mirror those of the 700 MHz band spectrum licence technical framework</w:t>
      </w:r>
      <w:r w:rsidR="000C50F0" w:rsidRPr="001E2783">
        <w:rPr>
          <w:rFonts w:cs="Arial"/>
        </w:rPr>
        <w:t>,</w:t>
      </w:r>
      <w:r w:rsidRPr="001E2783">
        <w:rPr>
          <w:rFonts w:cs="Arial"/>
        </w:rPr>
        <w:t xml:space="preserve"> and the coordination procedures include defined exclusion zones to protect existing digital television broadcasting and retransmission services in the 694–820 MHz range. </w:t>
      </w:r>
    </w:p>
    <w:p w14:paraId="6C61D032" w14:textId="77777777" w:rsidR="00E13F9C" w:rsidRPr="001E2783" w:rsidRDefault="00E13F9C" w:rsidP="00E13F9C">
      <w:pPr>
        <w:rPr>
          <w:rFonts w:cs="Arial"/>
        </w:rPr>
      </w:pPr>
    </w:p>
    <w:p w14:paraId="7F7D0A9E" w14:textId="7713F3DE" w:rsidR="00CC119D" w:rsidRPr="001E2783" w:rsidRDefault="00E13F9C" w:rsidP="00E13F9C">
      <w:pPr>
        <w:rPr>
          <w:rFonts w:cs="Arial"/>
        </w:rPr>
      </w:pPr>
      <w:r w:rsidRPr="001E2783">
        <w:rPr>
          <w:rFonts w:cs="Arial"/>
        </w:rPr>
        <w:t>Following consultation with stakeholders, the ACMA amende</w:t>
      </w:r>
      <w:r w:rsidR="000C50F0" w:rsidRPr="001E2783">
        <w:rPr>
          <w:rFonts w:cs="Arial"/>
        </w:rPr>
        <w:t xml:space="preserve">d the </w:t>
      </w:r>
      <w:r w:rsidR="00E53F96" w:rsidRPr="001E2783">
        <w:rPr>
          <w:rFonts w:cs="Arial"/>
        </w:rPr>
        <w:t>Radiocommunications (Transmitter Licence Tax) Determination 2003 (No. 2)</w:t>
      </w:r>
      <w:r w:rsidRPr="001E2783">
        <w:rPr>
          <w:rFonts w:cs="Arial"/>
        </w:rPr>
        <w:t xml:space="preserve"> to include an apparatus licence tax for the PMTS Class B licence sub-type operated in the frequency ranges 703</w:t>
      </w:r>
      <w:r w:rsidR="000C50F0" w:rsidRPr="001E2783">
        <w:rPr>
          <w:rFonts w:cs="Arial"/>
        </w:rPr>
        <w:t>–</w:t>
      </w:r>
      <w:r w:rsidRPr="001E2783">
        <w:rPr>
          <w:rFonts w:cs="Arial"/>
        </w:rPr>
        <w:t>733 MHz and 758</w:t>
      </w:r>
      <w:r w:rsidR="000C50F0" w:rsidRPr="001E2783">
        <w:rPr>
          <w:rFonts w:cs="Arial"/>
        </w:rPr>
        <w:t>–</w:t>
      </w:r>
      <w:r w:rsidRPr="001E2783">
        <w:rPr>
          <w:rFonts w:cs="Arial"/>
        </w:rPr>
        <w:t>788</w:t>
      </w:r>
      <w:r w:rsidR="003C3D50" w:rsidRPr="001E2783">
        <w:rPr>
          <w:rFonts w:cs="Arial"/>
        </w:rPr>
        <w:t> </w:t>
      </w:r>
      <w:r w:rsidRPr="001E2783">
        <w:rPr>
          <w:rFonts w:cs="Arial"/>
        </w:rPr>
        <w:t>MHz (that part of the 700 MHz band sold at the digital dividend auction). The ACMA set the apparatus licence tax for a 700</w:t>
      </w:r>
      <w:r w:rsidR="000C50F0" w:rsidRPr="001E2783">
        <w:rPr>
          <w:rFonts w:cs="Arial"/>
        </w:rPr>
        <w:t> </w:t>
      </w:r>
      <w:r w:rsidRPr="001E2783">
        <w:rPr>
          <w:rFonts w:cs="Arial"/>
        </w:rPr>
        <w:t>MHz</w:t>
      </w:r>
      <w:r w:rsidR="000C50F0" w:rsidRPr="001E2783">
        <w:rPr>
          <w:rFonts w:cs="Arial"/>
        </w:rPr>
        <w:t xml:space="preserve"> PMTS Class B licence at $0.07/</w:t>
      </w:r>
      <w:r w:rsidRPr="001E2783">
        <w:rPr>
          <w:rFonts w:cs="Arial"/>
        </w:rPr>
        <w:t>MHz (paired)/Pop.</w:t>
      </w:r>
    </w:p>
    <w:p w14:paraId="7B0D445C" w14:textId="77777777" w:rsidR="0013532D" w:rsidRPr="001E2783" w:rsidRDefault="0013532D" w:rsidP="007458BA">
      <w:pPr>
        <w:rPr>
          <w:rFonts w:cs="Arial"/>
        </w:rPr>
      </w:pPr>
      <w:bookmarkStart w:id="85" w:name="_Toc337727544"/>
    </w:p>
    <w:p w14:paraId="47046C17" w14:textId="77777777" w:rsidR="002C51A9" w:rsidRPr="001E2783" w:rsidRDefault="002C51A9" w:rsidP="002C51A9">
      <w:pPr>
        <w:pStyle w:val="Heading3"/>
      </w:pPr>
      <w:bookmarkStart w:id="86" w:name="_Toc400018511"/>
      <w:r w:rsidRPr="001E2783">
        <w:t>Wireless microphones and the digital dividend</w:t>
      </w:r>
      <w:bookmarkEnd w:id="86"/>
    </w:p>
    <w:p w14:paraId="0FB39323" w14:textId="77777777" w:rsidR="0013532D" w:rsidRPr="001E2783" w:rsidRDefault="0013532D" w:rsidP="0013532D">
      <w:pPr>
        <w:rPr>
          <w:rFonts w:cs="Arial"/>
        </w:rPr>
      </w:pPr>
      <w:r w:rsidRPr="001E2783">
        <w:rPr>
          <w:rFonts w:cs="Arial"/>
        </w:rPr>
        <w:t xml:space="preserve">The ACMA is responsible for planning the future use of </w:t>
      </w:r>
      <w:r w:rsidR="000C50F0" w:rsidRPr="001E2783">
        <w:rPr>
          <w:rFonts w:cs="Arial"/>
        </w:rPr>
        <w:t>the ‘digital dividend’ (694–820 </w:t>
      </w:r>
      <w:r w:rsidRPr="001E2783">
        <w:rPr>
          <w:rFonts w:cs="Arial"/>
        </w:rPr>
        <w:t>MHz) once the incumbent free-to-air television services have consolidated (or ‘restacked’) into the lower 520–694 MHz</w:t>
      </w:r>
      <w:r w:rsidR="00490ED5" w:rsidRPr="001E2783">
        <w:rPr>
          <w:rFonts w:cs="Arial"/>
        </w:rPr>
        <w:t xml:space="preserve"> band</w:t>
      </w:r>
      <w:r w:rsidRPr="001E2783">
        <w:rPr>
          <w:rFonts w:cs="Arial"/>
        </w:rPr>
        <w:t>. The restack is scheduled to be completed by 31 December 2014. Wireless audio transmitters (wireless microphones) may currently be operated in the ‘unused’ channels within the television broadcastin</w:t>
      </w:r>
      <w:r w:rsidR="000C50F0" w:rsidRPr="001E2783">
        <w:rPr>
          <w:rFonts w:cs="Arial"/>
        </w:rPr>
        <w:t xml:space="preserve">g spectrum and </w:t>
      </w:r>
      <w:r w:rsidRPr="001E2783">
        <w:rPr>
          <w:rFonts w:cs="Arial"/>
        </w:rPr>
        <w:t>many of these devices will be affected by the digital dividend and restack of television services.</w:t>
      </w:r>
    </w:p>
    <w:p w14:paraId="772064F4" w14:textId="77777777" w:rsidR="0013532D" w:rsidRPr="001E2783" w:rsidRDefault="0013532D" w:rsidP="0013532D">
      <w:pPr>
        <w:rPr>
          <w:rFonts w:cs="Arial"/>
        </w:rPr>
      </w:pPr>
    </w:p>
    <w:p w14:paraId="30CDCA2B" w14:textId="77777777" w:rsidR="00490ED5" w:rsidRPr="001E2783" w:rsidRDefault="00490ED5" w:rsidP="00F32F49">
      <w:pPr>
        <w:spacing w:after="80"/>
        <w:rPr>
          <w:rFonts w:cs="Arial"/>
        </w:rPr>
      </w:pPr>
      <w:r w:rsidRPr="001E2783">
        <w:rPr>
          <w:rFonts w:cs="Arial"/>
        </w:rPr>
        <w:t xml:space="preserve">As many community groups and businesses use wireless audio transmitters on a day-to-day basis, the ACMA is implementing a range of awareness and outreach activities and resources to help users prepare for </w:t>
      </w:r>
      <w:r w:rsidR="00F32F49" w:rsidRPr="001E2783">
        <w:rPr>
          <w:rFonts w:cs="Arial"/>
        </w:rPr>
        <w:t>this change. During the reporting period, the ACMA produced</w:t>
      </w:r>
      <w:r w:rsidRPr="001E2783">
        <w:rPr>
          <w:rFonts w:cs="Arial"/>
        </w:rPr>
        <w:t>:</w:t>
      </w:r>
    </w:p>
    <w:p w14:paraId="61D1B241" w14:textId="1AC0DEEA" w:rsidR="00490ED5" w:rsidRPr="001E2783" w:rsidRDefault="003C3D50" w:rsidP="00F32F49">
      <w:pPr>
        <w:pStyle w:val="ListBullet"/>
        <w:rPr>
          <w:rFonts w:cs="Arial"/>
        </w:rPr>
      </w:pPr>
      <w:r w:rsidRPr="001E2783">
        <w:rPr>
          <w:rFonts w:cs="Arial"/>
        </w:rPr>
        <w:t>a dedicated website—</w:t>
      </w:r>
      <w:hyperlink r:id="rId36" w:history="1">
        <w:r w:rsidR="00F32F49" w:rsidRPr="00DF3D2B">
          <w:rPr>
            <w:rStyle w:val="Hyperlink"/>
            <w:rFonts w:cs="Arial"/>
          </w:rPr>
          <w:t>wirelessmicrophones.gov.au</w:t>
        </w:r>
      </w:hyperlink>
      <w:r w:rsidR="00F32F49" w:rsidRPr="001E2783">
        <w:rPr>
          <w:rFonts w:cs="Arial"/>
        </w:rPr>
        <w:t>—</w:t>
      </w:r>
      <w:r w:rsidR="00490ED5" w:rsidRPr="001E2783">
        <w:rPr>
          <w:rFonts w:cs="Arial"/>
        </w:rPr>
        <w:t>that provides information and resources for users and suppliers</w:t>
      </w:r>
    </w:p>
    <w:p w14:paraId="44B05143" w14:textId="77777777" w:rsidR="00490ED5" w:rsidRPr="001E2783" w:rsidRDefault="00490ED5" w:rsidP="00F32F49">
      <w:pPr>
        <w:pStyle w:val="ListBullet"/>
        <w:rPr>
          <w:rFonts w:cs="Arial"/>
        </w:rPr>
      </w:pPr>
      <w:r w:rsidRPr="001E2783">
        <w:rPr>
          <w:rFonts w:cs="Arial"/>
        </w:rPr>
        <w:t>a stakeholder engagement plan that sets out the ACMA’s awareness and outreach activities</w:t>
      </w:r>
    </w:p>
    <w:p w14:paraId="3B2A5586" w14:textId="77777777" w:rsidR="00490ED5" w:rsidRPr="001E2783" w:rsidRDefault="00F32F49" w:rsidP="00F32F49">
      <w:pPr>
        <w:pStyle w:val="ListBullet"/>
        <w:rPr>
          <w:rFonts w:cs="Arial"/>
        </w:rPr>
      </w:pPr>
      <w:r w:rsidRPr="001E2783">
        <w:rPr>
          <w:rFonts w:cs="Arial"/>
        </w:rPr>
        <w:t>a short video</w:t>
      </w:r>
      <w:r w:rsidR="00490ED5" w:rsidRPr="001E2783">
        <w:rPr>
          <w:rFonts w:cs="Arial"/>
        </w:rPr>
        <w:t xml:space="preserve"> featuri</w:t>
      </w:r>
      <w:r w:rsidRPr="001E2783">
        <w:rPr>
          <w:rFonts w:cs="Arial"/>
        </w:rPr>
        <w:t>ng popular television presenter</w:t>
      </w:r>
      <w:r w:rsidR="00490ED5" w:rsidRPr="001E2783">
        <w:rPr>
          <w:rFonts w:cs="Arial"/>
        </w:rPr>
        <w:t xml:space="preserve"> Shelley Craft</w:t>
      </w:r>
      <w:r w:rsidRPr="001E2783">
        <w:rPr>
          <w:rFonts w:cs="Arial"/>
        </w:rPr>
        <w:t xml:space="preserve"> </w:t>
      </w:r>
      <w:r w:rsidR="00490ED5" w:rsidRPr="001E2783">
        <w:rPr>
          <w:rFonts w:cs="Arial"/>
        </w:rPr>
        <w:t>explain</w:t>
      </w:r>
      <w:r w:rsidRPr="001E2783">
        <w:rPr>
          <w:rFonts w:cs="Arial"/>
        </w:rPr>
        <w:t xml:space="preserve">ing </w:t>
      </w:r>
      <w:r w:rsidR="00490ED5" w:rsidRPr="001E2783">
        <w:rPr>
          <w:rFonts w:cs="Arial"/>
        </w:rPr>
        <w:t>the changes and what users need to do</w:t>
      </w:r>
    </w:p>
    <w:p w14:paraId="621FDBE1" w14:textId="77777777" w:rsidR="00490ED5" w:rsidRPr="001E2783" w:rsidRDefault="00F32F49" w:rsidP="00F32F49">
      <w:pPr>
        <w:pStyle w:val="ListBullet"/>
        <w:rPr>
          <w:rFonts w:cs="Arial"/>
        </w:rPr>
      </w:pPr>
      <w:r w:rsidRPr="001E2783">
        <w:rPr>
          <w:rFonts w:cs="Arial"/>
        </w:rPr>
        <w:t>an</w:t>
      </w:r>
      <w:r w:rsidR="00490ED5" w:rsidRPr="001E2783">
        <w:rPr>
          <w:rFonts w:cs="Arial"/>
        </w:rPr>
        <w:t xml:space="preserve"> online channel finder for wireless microphones</w:t>
      </w:r>
    </w:p>
    <w:p w14:paraId="7B433DA5" w14:textId="77777777" w:rsidR="00490ED5" w:rsidRPr="001E2783" w:rsidRDefault="00490ED5" w:rsidP="00F32F49">
      <w:pPr>
        <w:pStyle w:val="ListBullet"/>
        <w:rPr>
          <w:rFonts w:cs="Arial"/>
        </w:rPr>
      </w:pPr>
      <w:r w:rsidRPr="001E2783">
        <w:rPr>
          <w:rFonts w:cs="Arial"/>
        </w:rPr>
        <w:t xml:space="preserve">a suite of regional fact sheets and FAQs that explain the changes </w:t>
      </w:r>
    </w:p>
    <w:p w14:paraId="5DA0ED42" w14:textId="77777777" w:rsidR="0013532D" w:rsidRPr="001E2783" w:rsidRDefault="00490ED5" w:rsidP="00F32F49">
      <w:pPr>
        <w:pStyle w:val="ListBullet"/>
        <w:spacing w:after="240"/>
        <w:rPr>
          <w:rFonts w:cs="Arial"/>
        </w:rPr>
      </w:pPr>
      <w:r w:rsidRPr="001E2783">
        <w:rPr>
          <w:rFonts w:cs="Arial"/>
        </w:rPr>
        <w:t xml:space="preserve">a free monthly e-bulletin that provides updates on the ACMA’s </w:t>
      </w:r>
      <w:r w:rsidR="00F32F49" w:rsidRPr="001E2783">
        <w:rPr>
          <w:rFonts w:cs="Arial"/>
        </w:rPr>
        <w:t xml:space="preserve">wireless microphones </w:t>
      </w:r>
      <w:r w:rsidR="003C3D50" w:rsidRPr="001E2783">
        <w:rPr>
          <w:rFonts w:cs="Arial"/>
        </w:rPr>
        <w:t>work</w:t>
      </w:r>
      <w:r w:rsidRPr="001E2783">
        <w:rPr>
          <w:rFonts w:cs="Arial"/>
        </w:rPr>
        <w:t>.</w:t>
      </w:r>
    </w:p>
    <w:p w14:paraId="01BAE2CF" w14:textId="77777777" w:rsidR="0013532D" w:rsidRPr="001E2783" w:rsidRDefault="0013532D" w:rsidP="0013532D">
      <w:pPr>
        <w:rPr>
          <w:rFonts w:cs="Arial"/>
        </w:rPr>
      </w:pPr>
      <w:r w:rsidRPr="001E2783">
        <w:rPr>
          <w:rFonts w:cs="Arial"/>
        </w:rPr>
        <w:t>On 17 September 2013, the revised Radiocommunications Devices (Compliance Labelling) Notice 2003 took effect</w:t>
      </w:r>
      <w:r w:rsidR="00795F44" w:rsidRPr="001E2783">
        <w:rPr>
          <w:rFonts w:cs="Arial"/>
        </w:rPr>
        <w:t>. This</w:t>
      </w:r>
      <w:r w:rsidRPr="001E2783">
        <w:rPr>
          <w:rFonts w:cs="Arial"/>
        </w:rPr>
        <w:t xml:space="preserve"> requires importers and manufacturers (and their authorised agents) of wireless audio transmitters that can currently operate in t</w:t>
      </w:r>
      <w:r w:rsidR="00795F44" w:rsidRPr="001E2783">
        <w:rPr>
          <w:rFonts w:cs="Arial"/>
        </w:rPr>
        <w:t>he 694–</w:t>
      </w:r>
      <w:r w:rsidRPr="001E2783">
        <w:rPr>
          <w:rFonts w:cs="Arial"/>
        </w:rPr>
        <w:t xml:space="preserve">820 MHz range to include with the devices a warning label notifying potential buyers that they must not use it in </w:t>
      </w:r>
      <w:r w:rsidR="00A53C19" w:rsidRPr="001E2783">
        <w:rPr>
          <w:rFonts w:cs="Arial"/>
        </w:rPr>
        <w:t>this</w:t>
      </w:r>
      <w:r w:rsidRPr="001E2783">
        <w:rPr>
          <w:rFonts w:cs="Arial"/>
        </w:rPr>
        <w:t xml:space="preserve"> range after 31 December 2014.  </w:t>
      </w:r>
    </w:p>
    <w:p w14:paraId="799BCCE7" w14:textId="77777777" w:rsidR="0013532D" w:rsidRPr="001E2783" w:rsidRDefault="0013532D" w:rsidP="0013532D">
      <w:pPr>
        <w:rPr>
          <w:rFonts w:cs="Arial"/>
        </w:rPr>
      </w:pPr>
    </w:p>
    <w:p w14:paraId="6910B27A" w14:textId="77777777" w:rsidR="0013532D" w:rsidRPr="001E2783" w:rsidRDefault="0013532D" w:rsidP="0013532D">
      <w:pPr>
        <w:rPr>
          <w:rFonts w:cs="Arial"/>
        </w:rPr>
      </w:pPr>
      <w:r w:rsidRPr="001E2783">
        <w:rPr>
          <w:rFonts w:cs="Arial"/>
        </w:rPr>
        <w:t>In October 2013, the ACMA revised the Radiocommunications (Short Ranges Device) Standard 2004</w:t>
      </w:r>
      <w:r w:rsidR="00A53C19" w:rsidRPr="001E2783">
        <w:rPr>
          <w:rFonts w:cs="Arial"/>
        </w:rPr>
        <w:t>,</w:t>
      </w:r>
      <w:r w:rsidRPr="001E2783">
        <w:rPr>
          <w:rFonts w:cs="Arial"/>
        </w:rPr>
        <w:t xml:space="preserve"> which made it illegal</w:t>
      </w:r>
      <w:r w:rsidR="00A53C19" w:rsidRPr="001E2783">
        <w:rPr>
          <w:rFonts w:cs="Arial"/>
        </w:rPr>
        <w:t>—from 1 January 2014—</w:t>
      </w:r>
      <w:r w:rsidRPr="001E2783">
        <w:rPr>
          <w:rFonts w:cs="Arial"/>
        </w:rPr>
        <w:t>for suppliers to import or manufacture wireless audio trans</w:t>
      </w:r>
      <w:r w:rsidR="00A53C19" w:rsidRPr="001E2783">
        <w:rPr>
          <w:rFonts w:cs="Arial"/>
        </w:rPr>
        <w:t>mitters that operate in the 694–</w:t>
      </w:r>
      <w:r w:rsidRPr="001E2783">
        <w:rPr>
          <w:rFonts w:cs="Arial"/>
        </w:rPr>
        <w:t>820 MHz range</w:t>
      </w:r>
      <w:r w:rsidR="00F32F49" w:rsidRPr="001E2783">
        <w:rPr>
          <w:rFonts w:cs="Arial"/>
        </w:rPr>
        <w:t xml:space="preserve"> for supply in Australia</w:t>
      </w:r>
      <w:r w:rsidRPr="001E2783">
        <w:rPr>
          <w:rFonts w:cs="Arial"/>
        </w:rPr>
        <w:t xml:space="preserve">.  </w:t>
      </w:r>
    </w:p>
    <w:p w14:paraId="409BED21" w14:textId="77777777" w:rsidR="00776320" w:rsidRPr="001E2783" w:rsidRDefault="00776320" w:rsidP="0013532D">
      <w:pPr>
        <w:rPr>
          <w:rFonts w:cs="Arial"/>
        </w:rPr>
      </w:pPr>
    </w:p>
    <w:p w14:paraId="38E4D9AA" w14:textId="77777777" w:rsidR="00776320" w:rsidRPr="001E2783" w:rsidRDefault="00776320" w:rsidP="0013532D">
      <w:pPr>
        <w:rPr>
          <w:rFonts w:cs="Arial"/>
        </w:rPr>
      </w:pPr>
      <w:r w:rsidRPr="001E2783">
        <w:rPr>
          <w:rFonts w:cs="Arial"/>
        </w:rPr>
        <w:t xml:space="preserve">In June 2014, the ACMA revised the Low Interference Potential Devices Class Licence to enable greater </w:t>
      </w:r>
      <w:r w:rsidR="003C3D50" w:rsidRPr="001E2783">
        <w:rPr>
          <w:rFonts w:cs="Arial"/>
        </w:rPr>
        <w:t xml:space="preserve">indoor </w:t>
      </w:r>
      <w:r w:rsidRPr="001E2783">
        <w:rPr>
          <w:rFonts w:cs="Arial"/>
        </w:rPr>
        <w:t xml:space="preserve">use of the spectrum by wireless microphone devices. </w:t>
      </w:r>
    </w:p>
    <w:p w14:paraId="3E7F1DF5" w14:textId="77777777" w:rsidR="0013532D" w:rsidRPr="001E2783" w:rsidRDefault="0013532D" w:rsidP="0013532D">
      <w:pPr>
        <w:rPr>
          <w:rFonts w:cs="Arial"/>
        </w:rPr>
      </w:pPr>
    </w:p>
    <w:p w14:paraId="2DAD199F" w14:textId="77777777" w:rsidR="003D2A75" w:rsidRPr="001E2783" w:rsidRDefault="00F32F49" w:rsidP="00E828BC">
      <w:pPr>
        <w:pStyle w:val="Heading3"/>
      </w:pPr>
      <w:bookmarkStart w:id="87" w:name="_Toc400018512"/>
      <w:r w:rsidRPr="001E2783">
        <w:t>Five-year s</w:t>
      </w:r>
      <w:r w:rsidR="003D2A75" w:rsidRPr="001E2783">
        <w:t>pectr</w:t>
      </w:r>
      <w:r w:rsidR="00E828BC" w:rsidRPr="001E2783">
        <w:t>um outlook</w:t>
      </w:r>
      <w:bookmarkEnd w:id="87"/>
    </w:p>
    <w:p w14:paraId="64BCA587" w14:textId="77777777" w:rsidR="008307D7" w:rsidRPr="001E2783" w:rsidRDefault="008C52D2" w:rsidP="0013532D">
      <w:pPr>
        <w:rPr>
          <w:rFonts w:cs="Arial"/>
        </w:rPr>
      </w:pPr>
      <w:r w:rsidRPr="001E2783">
        <w:rPr>
          <w:rFonts w:cs="Arial"/>
        </w:rPr>
        <w:t xml:space="preserve">The </w:t>
      </w:r>
      <w:r w:rsidRPr="001E2783">
        <w:rPr>
          <w:rFonts w:cs="Arial"/>
          <w:i/>
        </w:rPr>
        <w:t>Five-year spectrum outlook 2013–17</w:t>
      </w:r>
      <w:r w:rsidRPr="001E2783">
        <w:rPr>
          <w:rFonts w:cs="Arial"/>
        </w:rPr>
        <w:t xml:space="preserve"> was released in September 2013. </w:t>
      </w:r>
      <w:r w:rsidR="00A53C19" w:rsidRPr="001E2783">
        <w:rPr>
          <w:rFonts w:cs="Arial"/>
        </w:rPr>
        <w:t>The o</w:t>
      </w:r>
      <w:r w:rsidR="0013532D" w:rsidRPr="001E2783">
        <w:rPr>
          <w:rFonts w:cs="Arial"/>
        </w:rPr>
        <w:t xml:space="preserve">utlook outlines the ACMA’s assessment of the demand for different parts of the radiofrequency spectrum and sets the key priority areas facing spectrum management in Australia. It provides an avenue for </w:t>
      </w:r>
      <w:r w:rsidR="00F02CA2" w:rsidRPr="001E2783">
        <w:rPr>
          <w:rFonts w:cs="Arial"/>
        </w:rPr>
        <w:t>consultation</w:t>
      </w:r>
      <w:r w:rsidR="0013532D" w:rsidRPr="001E2783">
        <w:rPr>
          <w:rFonts w:cs="Arial"/>
        </w:rPr>
        <w:t xml:space="preserve"> with all spectrum users about emerging pressures for changing approaches to spectrum management and the ACMA’s work plan. </w:t>
      </w:r>
      <w:r w:rsidR="00A53C19" w:rsidRPr="001E2783">
        <w:rPr>
          <w:rFonts w:cs="Arial"/>
        </w:rPr>
        <w:t xml:space="preserve">It is a living document and is open to comment at all times. </w:t>
      </w:r>
      <w:r w:rsidR="008307D7" w:rsidRPr="001E2783" w:rsidDel="00A53C19">
        <w:rPr>
          <w:rFonts w:cs="Arial"/>
        </w:rPr>
        <w:t xml:space="preserve"> </w:t>
      </w:r>
    </w:p>
    <w:p w14:paraId="342711CC" w14:textId="77777777" w:rsidR="0013532D" w:rsidRPr="001E2783" w:rsidRDefault="0013532D" w:rsidP="0013532D">
      <w:pPr>
        <w:rPr>
          <w:rFonts w:cs="Arial"/>
        </w:rPr>
      </w:pPr>
    </w:p>
    <w:p w14:paraId="59E28C36" w14:textId="77777777" w:rsidR="003D2A75" w:rsidRPr="001E2783" w:rsidRDefault="003D2A75" w:rsidP="008307D7">
      <w:pPr>
        <w:spacing w:after="80"/>
        <w:rPr>
          <w:rFonts w:cs="Arial"/>
        </w:rPr>
      </w:pPr>
      <w:r w:rsidRPr="001E2783">
        <w:rPr>
          <w:rFonts w:cs="Arial"/>
        </w:rPr>
        <w:t>The outlook fulfils the ACMA’s commitment to:</w:t>
      </w:r>
    </w:p>
    <w:p w14:paraId="6329C9EF" w14:textId="77777777" w:rsidR="007F4973" w:rsidRPr="001E2783" w:rsidRDefault="007F4973" w:rsidP="007F4973">
      <w:pPr>
        <w:pStyle w:val="ListBullet"/>
        <w:tabs>
          <w:tab w:val="clear" w:pos="295"/>
          <w:tab w:val="num" w:pos="437"/>
        </w:tabs>
        <w:ind w:left="284"/>
        <w:rPr>
          <w:rFonts w:cs="Arial"/>
        </w:rPr>
      </w:pPr>
      <w:r w:rsidRPr="001E2783">
        <w:rPr>
          <w:rFonts w:cs="Arial"/>
        </w:rPr>
        <w:t>provide greater insight and transparency for industry stakeholders</w:t>
      </w:r>
    </w:p>
    <w:p w14:paraId="5534B941" w14:textId="77777777" w:rsidR="007F4973" w:rsidRPr="001E2783" w:rsidRDefault="007F4973" w:rsidP="003D2A75">
      <w:pPr>
        <w:pStyle w:val="ListBullet"/>
        <w:tabs>
          <w:tab w:val="clear" w:pos="295"/>
          <w:tab w:val="num" w:pos="437"/>
        </w:tabs>
        <w:ind w:left="284"/>
        <w:rPr>
          <w:rFonts w:cs="Arial"/>
        </w:rPr>
      </w:pPr>
      <w:r w:rsidRPr="001E2783">
        <w:rPr>
          <w:rFonts w:cs="Arial"/>
        </w:rPr>
        <w:t xml:space="preserve">facilitate discussion between the ACMA and stakeholders </w:t>
      </w:r>
    </w:p>
    <w:p w14:paraId="62B3CDE0" w14:textId="77777777" w:rsidR="00CC119D" w:rsidRPr="001E2783" w:rsidRDefault="003D2A75" w:rsidP="00CC119D">
      <w:pPr>
        <w:pStyle w:val="ListBullet"/>
        <w:tabs>
          <w:tab w:val="clear" w:pos="295"/>
          <w:tab w:val="num" w:pos="437"/>
        </w:tabs>
        <w:spacing w:after="240"/>
        <w:ind w:left="284"/>
        <w:rPr>
          <w:rFonts w:cs="Arial"/>
        </w:rPr>
      </w:pPr>
      <w:r w:rsidRPr="001E2783">
        <w:rPr>
          <w:rFonts w:cs="Arial"/>
        </w:rPr>
        <w:t>provide a useful summary of important spectrum management policies and priorities.</w:t>
      </w:r>
      <w:bookmarkEnd w:id="85"/>
    </w:p>
    <w:p w14:paraId="26EDED5B" w14:textId="77777777" w:rsidR="008C52D2" w:rsidRPr="001E2783" w:rsidRDefault="008C52D2" w:rsidP="00F02CA2">
      <w:pPr>
        <w:rPr>
          <w:rFonts w:cs="Arial"/>
        </w:rPr>
      </w:pPr>
      <w:r w:rsidRPr="001E2783">
        <w:rPr>
          <w:rFonts w:cs="Arial"/>
        </w:rPr>
        <w:t xml:space="preserve">In keeping with Program 1.1: Communications regulation, planning and licensing, the ACMA expects to release the </w:t>
      </w:r>
      <w:r w:rsidR="004D0784" w:rsidRPr="001E2783">
        <w:rPr>
          <w:rFonts w:cs="Arial"/>
        </w:rPr>
        <w:t>2014–18</w:t>
      </w:r>
      <w:r w:rsidR="00F02CA2" w:rsidRPr="001E2783">
        <w:rPr>
          <w:rFonts w:cs="Arial"/>
        </w:rPr>
        <w:t xml:space="preserve"> edition of the </w:t>
      </w:r>
      <w:r w:rsidRPr="001E2783">
        <w:rPr>
          <w:rFonts w:cs="Arial"/>
        </w:rPr>
        <w:t xml:space="preserve">outlook in August 2014. </w:t>
      </w:r>
      <w:r w:rsidR="00F02CA2" w:rsidRPr="001E2783">
        <w:rPr>
          <w:rFonts w:cs="Arial"/>
        </w:rPr>
        <w:t xml:space="preserve">It </w:t>
      </w:r>
      <w:r w:rsidR="00466F14" w:rsidRPr="001E2783">
        <w:rPr>
          <w:rFonts w:cs="Arial"/>
        </w:rPr>
        <w:t>will take</w:t>
      </w:r>
      <w:r w:rsidR="00F02CA2" w:rsidRPr="001E2783">
        <w:rPr>
          <w:rFonts w:cs="Arial"/>
        </w:rPr>
        <w:t xml:space="preserve"> into account information from submissions received in response to the 2013</w:t>
      </w:r>
      <w:r w:rsidR="004D0784" w:rsidRPr="001E2783">
        <w:rPr>
          <w:rFonts w:cs="Arial"/>
        </w:rPr>
        <w:t>–17</w:t>
      </w:r>
      <w:r w:rsidR="00F02CA2" w:rsidRPr="001E2783">
        <w:rPr>
          <w:rFonts w:cs="Arial"/>
        </w:rPr>
        <w:t xml:space="preserve"> edition.</w:t>
      </w:r>
    </w:p>
    <w:p w14:paraId="10B793E1" w14:textId="77777777" w:rsidR="00F02CA2" w:rsidRPr="001E2783" w:rsidRDefault="00F02CA2" w:rsidP="00F02CA2">
      <w:pPr>
        <w:rPr>
          <w:rFonts w:cs="Arial"/>
        </w:rPr>
      </w:pPr>
    </w:p>
    <w:p w14:paraId="6DB0CDB7" w14:textId="77777777" w:rsidR="003D2A75" w:rsidRPr="001E2783" w:rsidRDefault="003D2A75" w:rsidP="00E828BC">
      <w:pPr>
        <w:pStyle w:val="Heading3"/>
      </w:pPr>
      <w:bookmarkStart w:id="88" w:name="_Toc400018513"/>
      <w:r w:rsidRPr="001E2783">
        <w:t>Mobile phone jammer trial at Lithgow Correctional Centre</w:t>
      </w:r>
      <w:bookmarkEnd w:id="88"/>
      <w:r w:rsidRPr="001E2783">
        <w:t xml:space="preserve"> </w:t>
      </w:r>
    </w:p>
    <w:p w14:paraId="32D0E16A" w14:textId="77777777" w:rsidR="00E515F6" w:rsidRPr="001E2783" w:rsidRDefault="00E515F6" w:rsidP="00141018">
      <w:pPr>
        <w:rPr>
          <w:rFonts w:cs="Arial"/>
        </w:rPr>
      </w:pPr>
      <w:r w:rsidRPr="001E2783">
        <w:rPr>
          <w:rFonts w:cs="Arial"/>
        </w:rPr>
        <w:t>On</w:t>
      </w:r>
      <w:r w:rsidR="008307D7" w:rsidRPr="001E2783">
        <w:rPr>
          <w:rFonts w:cs="Arial"/>
        </w:rPr>
        <w:t xml:space="preserve"> </w:t>
      </w:r>
      <w:r w:rsidRPr="001E2783">
        <w:rPr>
          <w:rFonts w:cs="Arial"/>
        </w:rPr>
        <w:t>24 September 2013, Corrective Services NSW (CSNSW) launched a field trial of mobile phone jammers at Lithgow Correctional Centre in N</w:t>
      </w:r>
      <w:r w:rsidR="00542FC0" w:rsidRPr="001E2783">
        <w:rPr>
          <w:rFonts w:cs="Arial"/>
        </w:rPr>
        <w:t xml:space="preserve">ew </w:t>
      </w:r>
      <w:r w:rsidRPr="001E2783">
        <w:rPr>
          <w:rFonts w:cs="Arial"/>
        </w:rPr>
        <w:t>S</w:t>
      </w:r>
      <w:r w:rsidR="00542FC0" w:rsidRPr="001E2783">
        <w:rPr>
          <w:rFonts w:cs="Arial"/>
        </w:rPr>
        <w:t xml:space="preserve">outh </w:t>
      </w:r>
      <w:r w:rsidRPr="001E2783">
        <w:rPr>
          <w:rFonts w:cs="Arial"/>
        </w:rPr>
        <w:t>W</w:t>
      </w:r>
      <w:r w:rsidR="00542FC0" w:rsidRPr="001E2783">
        <w:rPr>
          <w:rFonts w:cs="Arial"/>
        </w:rPr>
        <w:t>ales</w:t>
      </w:r>
      <w:r w:rsidRPr="001E2783">
        <w:rPr>
          <w:rFonts w:cs="Arial"/>
        </w:rPr>
        <w:t xml:space="preserve"> to assess the feasibility of blocking the reception of mobile phones as a law enforcement strategy. </w:t>
      </w:r>
    </w:p>
    <w:p w14:paraId="126463C5" w14:textId="77777777" w:rsidR="00141018" w:rsidRPr="001E2783" w:rsidRDefault="00141018" w:rsidP="00141018">
      <w:pPr>
        <w:rPr>
          <w:rFonts w:cs="Arial"/>
        </w:rPr>
      </w:pPr>
    </w:p>
    <w:p w14:paraId="30544240" w14:textId="77777777" w:rsidR="00E515F6" w:rsidRPr="001E2783" w:rsidRDefault="00E515F6" w:rsidP="00141018">
      <w:pPr>
        <w:rPr>
          <w:rFonts w:cs="Arial"/>
        </w:rPr>
      </w:pPr>
      <w:r w:rsidRPr="001E2783">
        <w:rPr>
          <w:rFonts w:cs="Arial"/>
        </w:rPr>
        <w:t xml:space="preserve">To enable the field trial, the ACMA made the Radiocommunications (Field Trial by Corrective Services NSW of PMTS Jamming Devices at Lithgow Correctional Centre) Exemption Determination 2012. </w:t>
      </w:r>
      <w:r w:rsidR="009B63F9" w:rsidRPr="001E2783">
        <w:rPr>
          <w:rFonts w:cs="Arial"/>
        </w:rPr>
        <w:t>In response to a request from CSNSW, on 13 June 2014 the ACMA approved an extension of the trial until 30 September 2014</w:t>
      </w:r>
      <w:r w:rsidRPr="001E2783">
        <w:rPr>
          <w:rFonts w:cs="Arial"/>
        </w:rPr>
        <w:t xml:space="preserve">. </w:t>
      </w:r>
    </w:p>
    <w:p w14:paraId="2B7E683E" w14:textId="77777777" w:rsidR="00E515F6" w:rsidRPr="001E2783" w:rsidRDefault="00E515F6" w:rsidP="00E515F6">
      <w:pPr>
        <w:rPr>
          <w:rFonts w:cs="Arial"/>
        </w:rPr>
      </w:pPr>
    </w:p>
    <w:p w14:paraId="2B71E7F1" w14:textId="77777777" w:rsidR="00684F74" w:rsidRPr="001E2783" w:rsidRDefault="00E515F6" w:rsidP="00E515F6">
      <w:pPr>
        <w:rPr>
          <w:rFonts w:cs="Arial"/>
        </w:rPr>
      </w:pPr>
      <w:r w:rsidRPr="001E2783">
        <w:rPr>
          <w:rFonts w:cs="Arial"/>
        </w:rPr>
        <w:t xml:space="preserve">CSNSW will report to the ACMA on the outcomes of the field trial in </w:t>
      </w:r>
      <w:r w:rsidR="009B63F9" w:rsidRPr="001E2783">
        <w:rPr>
          <w:rFonts w:cs="Arial"/>
        </w:rPr>
        <w:t>early 2015</w:t>
      </w:r>
      <w:r w:rsidRPr="001E2783">
        <w:rPr>
          <w:rFonts w:cs="Arial"/>
        </w:rPr>
        <w:t>.</w:t>
      </w:r>
    </w:p>
    <w:p w14:paraId="4BDBE516" w14:textId="77777777" w:rsidR="00E515F6" w:rsidRPr="001E2783" w:rsidRDefault="00E515F6" w:rsidP="00E515F6">
      <w:pPr>
        <w:spacing w:after="80"/>
        <w:rPr>
          <w:rFonts w:cs="Arial"/>
        </w:rPr>
      </w:pPr>
    </w:p>
    <w:p w14:paraId="4DF06358" w14:textId="77777777" w:rsidR="003D2A75" w:rsidRPr="001E2783" w:rsidRDefault="003D2A75" w:rsidP="003D2A75">
      <w:pPr>
        <w:pStyle w:val="Heading3"/>
      </w:pPr>
      <w:bookmarkStart w:id="89" w:name="_Toc400018514"/>
      <w:r w:rsidRPr="001E2783">
        <w:t>Low</w:t>
      </w:r>
      <w:r w:rsidR="00BE74D8" w:rsidRPr="001E2783">
        <w:t>-p</w:t>
      </w:r>
      <w:r w:rsidRPr="001E2783">
        <w:t xml:space="preserve">ower </w:t>
      </w:r>
      <w:r w:rsidR="00BE74D8" w:rsidRPr="001E2783">
        <w:t>o</w:t>
      </w:r>
      <w:r w:rsidRPr="001E2783">
        <w:t xml:space="preserve">pen </w:t>
      </w:r>
      <w:r w:rsidR="00BE74D8" w:rsidRPr="001E2783">
        <w:t>n</w:t>
      </w:r>
      <w:r w:rsidRPr="001E2783">
        <w:t>arrowcasting (LPON) services review</w:t>
      </w:r>
      <w:bookmarkEnd w:id="89"/>
    </w:p>
    <w:p w14:paraId="1A200575" w14:textId="77777777" w:rsidR="009B63F9" w:rsidRPr="001E2783" w:rsidRDefault="009B63F9" w:rsidP="009B63F9">
      <w:pPr>
        <w:spacing w:after="80"/>
        <w:rPr>
          <w:rFonts w:cs="Arial"/>
        </w:rPr>
      </w:pPr>
      <w:r w:rsidRPr="001E2783">
        <w:rPr>
          <w:rFonts w:cs="Arial"/>
        </w:rPr>
        <w:t>LPON services are used for niche radio broadcasting services to a limited reception area. They operate on very low power and their range is much more limited than other radio broadcasting services.</w:t>
      </w:r>
    </w:p>
    <w:p w14:paraId="597E0EDA" w14:textId="77777777" w:rsidR="009B63F9" w:rsidRPr="001E2783" w:rsidRDefault="009B63F9" w:rsidP="009B63F9">
      <w:pPr>
        <w:rPr>
          <w:rFonts w:cs="Arial"/>
        </w:rPr>
      </w:pPr>
    </w:p>
    <w:p w14:paraId="540CA79F" w14:textId="77777777" w:rsidR="009B63F9" w:rsidRPr="001E2783" w:rsidRDefault="009B63F9" w:rsidP="009B63F9">
      <w:pPr>
        <w:spacing w:after="80"/>
        <w:rPr>
          <w:rFonts w:cs="Arial"/>
        </w:rPr>
      </w:pPr>
      <w:r w:rsidRPr="001E2783">
        <w:rPr>
          <w:rFonts w:cs="Arial"/>
        </w:rPr>
        <w:t>In 2000, the then-minister directed the Australian Communications Authority (ACA) to issue transmitter licences for LPON services in the 87.5–88.0 MHz sub-band by a</w:t>
      </w:r>
      <w:r w:rsidR="003C3D50" w:rsidRPr="001E2783">
        <w:rPr>
          <w:rFonts w:cs="Arial"/>
        </w:rPr>
        <w:t xml:space="preserve"> price-based allocation process</w:t>
      </w:r>
      <w:r w:rsidRPr="001E2783">
        <w:rPr>
          <w:rFonts w:cs="Arial"/>
        </w:rPr>
        <w:t xml:space="preserve"> and to impose ‘use-it-or-lose-it’, reasonable operating regularity and reporting conditions on LPON licensees.</w:t>
      </w:r>
    </w:p>
    <w:p w14:paraId="04876438" w14:textId="77777777" w:rsidR="009B63F9" w:rsidRPr="001E2783" w:rsidRDefault="009B63F9" w:rsidP="002B5DD1">
      <w:pPr>
        <w:rPr>
          <w:rFonts w:cs="Arial"/>
        </w:rPr>
      </w:pPr>
    </w:p>
    <w:p w14:paraId="591C6992" w14:textId="77777777" w:rsidR="00E515F6" w:rsidRPr="001E2783" w:rsidRDefault="00E515F6" w:rsidP="00E515F6">
      <w:pPr>
        <w:spacing w:after="80"/>
        <w:rPr>
          <w:rFonts w:cs="Arial"/>
        </w:rPr>
      </w:pPr>
      <w:r w:rsidRPr="001E2783">
        <w:rPr>
          <w:rFonts w:cs="Arial"/>
        </w:rPr>
        <w:t xml:space="preserve">As a result of </w:t>
      </w:r>
      <w:r w:rsidR="00AC463E" w:rsidRPr="001E2783">
        <w:rPr>
          <w:rFonts w:cs="Arial"/>
        </w:rPr>
        <w:t>a review</w:t>
      </w:r>
      <w:r w:rsidRPr="001E2783">
        <w:rPr>
          <w:rFonts w:cs="Arial"/>
        </w:rPr>
        <w:t xml:space="preserve"> of</w:t>
      </w:r>
      <w:r w:rsidR="006E4373" w:rsidRPr="001E2783">
        <w:rPr>
          <w:rFonts w:cs="Arial"/>
        </w:rPr>
        <w:t xml:space="preserve"> LPON</w:t>
      </w:r>
      <w:r w:rsidRPr="001E2783">
        <w:rPr>
          <w:rFonts w:cs="Arial"/>
        </w:rPr>
        <w:t xml:space="preserve"> services</w:t>
      </w:r>
      <w:r w:rsidR="00AC463E" w:rsidRPr="001E2783">
        <w:rPr>
          <w:rFonts w:cs="Arial"/>
        </w:rPr>
        <w:t xml:space="preserve"> in 2013</w:t>
      </w:r>
      <w:r w:rsidRPr="001E2783">
        <w:rPr>
          <w:rFonts w:cs="Arial"/>
        </w:rPr>
        <w:t>, the ACMA:</w:t>
      </w:r>
    </w:p>
    <w:p w14:paraId="320AECD8" w14:textId="77777777" w:rsidR="00E515F6" w:rsidRPr="001E2783" w:rsidRDefault="006E4373" w:rsidP="00E515F6">
      <w:pPr>
        <w:pStyle w:val="ListBullet"/>
        <w:rPr>
          <w:rFonts w:cs="Arial"/>
        </w:rPr>
      </w:pPr>
      <w:r w:rsidRPr="001E2783">
        <w:rPr>
          <w:rFonts w:cs="Arial"/>
        </w:rPr>
        <w:t>Wrote to the m</w:t>
      </w:r>
      <w:r w:rsidR="00E515F6" w:rsidRPr="001E2783">
        <w:rPr>
          <w:rFonts w:cs="Arial"/>
        </w:rPr>
        <w:t>inister r</w:t>
      </w:r>
      <w:r w:rsidR="00E52A47" w:rsidRPr="001E2783">
        <w:rPr>
          <w:rFonts w:cs="Arial"/>
        </w:rPr>
        <w:t>ecommending that he revoke two d</w:t>
      </w:r>
      <w:r w:rsidR="00E515F6" w:rsidRPr="001E2783">
        <w:rPr>
          <w:rFonts w:cs="Arial"/>
        </w:rPr>
        <w:t>irections</w:t>
      </w:r>
      <w:r w:rsidRPr="001E2783">
        <w:rPr>
          <w:rFonts w:cs="Arial"/>
        </w:rPr>
        <w:t>—o</w:t>
      </w:r>
      <w:r w:rsidR="00E515F6" w:rsidRPr="001E2783">
        <w:rPr>
          <w:rFonts w:cs="Arial"/>
        </w:rPr>
        <w:t xml:space="preserve">ne requires the ACMA to impose ‘use-it-or-lose-it’, reasonable </w:t>
      </w:r>
      <w:r w:rsidR="00776320" w:rsidRPr="001E2783">
        <w:rPr>
          <w:rFonts w:cs="Arial"/>
        </w:rPr>
        <w:t xml:space="preserve">operating </w:t>
      </w:r>
      <w:r w:rsidR="00E515F6" w:rsidRPr="001E2783">
        <w:rPr>
          <w:rFonts w:cs="Arial"/>
        </w:rPr>
        <w:t>regularity and reporting conditions on LPON licensees</w:t>
      </w:r>
      <w:r w:rsidRPr="001E2783">
        <w:rPr>
          <w:rFonts w:cs="Arial"/>
        </w:rPr>
        <w:t>;</w:t>
      </w:r>
      <w:r w:rsidR="00E515F6" w:rsidRPr="001E2783">
        <w:rPr>
          <w:rFonts w:cs="Arial"/>
        </w:rPr>
        <w:t xml:space="preserve"> the other requires the ACMA to allocate LPON l</w:t>
      </w:r>
      <w:r w:rsidRPr="001E2783">
        <w:rPr>
          <w:rFonts w:cs="Arial"/>
        </w:rPr>
        <w:t>icences by a price-based method.</w:t>
      </w:r>
    </w:p>
    <w:p w14:paraId="682CD609" w14:textId="77777777" w:rsidR="00E515F6" w:rsidRPr="001E2783" w:rsidRDefault="006E4373" w:rsidP="00E515F6">
      <w:pPr>
        <w:pStyle w:val="ListBullet"/>
        <w:rPr>
          <w:rFonts w:cs="Arial"/>
        </w:rPr>
      </w:pPr>
      <w:r w:rsidRPr="001E2783">
        <w:rPr>
          <w:rFonts w:cs="Arial"/>
        </w:rPr>
        <w:t>R</w:t>
      </w:r>
      <w:r w:rsidR="00E515F6" w:rsidRPr="001E2783">
        <w:rPr>
          <w:rFonts w:cs="Arial"/>
        </w:rPr>
        <w:t xml:space="preserve">emoved the exclusion zones previously maintained around analog Channel 3 TV transmitters. This </w:t>
      </w:r>
      <w:r w:rsidRPr="001E2783">
        <w:rPr>
          <w:rFonts w:cs="Arial"/>
        </w:rPr>
        <w:t xml:space="preserve">freed-up </w:t>
      </w:r>
      <w:r w:rsidR="00E515F6" w:rsidRPr="001E2783">
        <w:rPr>
          <w:rFonts w:cs="Arial"/>
        </w:rPr>
        <w:t>previously</w:t>
      </w:r>
      <w:r w:rsidRPr="001E2783">
        <w:rPr>
          <w:rFonts w:cs="Arial"/>
        </w:rPr>
        <w:t xml:space="preserve"> </w:t>
      </w:r>
      <w:r w:rsidR="00E515F6" w:rsidRPr="001E2783">
        <w:rPr>
          <w:rFonts w:cs="Arial"/>
        </w:rPr>
        <w:t>unavailable spectrum for new LPONs, which is being released in a staged process</w:t>
      </w:r>
      <w:r w:rsidRPr="001E2783">
        <w:rPr>
          <w:rFonts w:cs="Arial"/>
        </w:rPr>
        <w:t>.</w:t>
      </w:r>
    </w:p>
    <w:p w14:paraId="1B1C009F" w14:textId="77777777" w:rsidR="00E515F6" w:rsidRPr="001E2783" w:rsidRDefault="006E4373" w:rsidP="00E515F6">
      <w:pPr>
        <w:pStyle w:val="ListBullet"/>
        <w:rPr>
          <w:rFonts w:cs="Arial"/>
        </w:rPr>
      </w:pPr>
      <w:r w:rsidRPr="001E2783">
        <w:rPr>
          <w:rFonts w:cs="Arial"/>
        </w:rPr>
        <w:t>W</w:t>
      </w:r>
      <w:r w:rsidR="00E515F6" w:rsidRPr="001E2783">
        <w:rPr>
          <w:rFonts w:cs="Arial"/>
        </w:rPr>
        <w:t>rote to LPON licensees in non-standard frequencies to offer them alternative frequencies and inform them that they would be unable to continue transmi</w:t>
      </w:r>
      <w:r w:rsidRPr="001E2783">
        <w:rPr>
          <w:rFonts w:cs="Arial"/>
        </w:rPr>
        <w:t>tting</w:t>
      </w:r>
      <w:r w:rsidR="00E515F6" w:rsidRPr="001E2783">
        <w:rPr>
          <w:rFonts w:cs="Arial"/>
        </w:rPr>
        <w:t xml:space="preserve"> on non-standard frequencies after March 2016</w:t>
      </w:r>
      <w:r w:rsidRPr="001E2783">
        <w:rPr>
          <w:rFonts w:cs="Arial"/>
        </w:rPr>
        <w:t>.</w:t>
      </w:r>
    </w:p>
    <w:p w14:paraId="1C509613" w14:textId="77777777" w:rsidR="00E515F6" w:rsidRPr="001E2783" w:rsidRDefault="006E4373" w:rsidP="006E4373">
      <w:pPr>
        <w:pStyle w:val="ListBullet"/>
        <w:spacing w:after="240"/>
        <w:rPr>
          <w:rFonts w:cs="Arial"/>
        </w:rPr>
      </w:pPr>
      <w:r w:rsidRPr="001E2783">
        <w:rPr>
          <w:rFonts w:cs="Arial"/>
        </w:rPr>
        <w:t>R</w:t>
      </w:r>
      <w:r w:rsidR="003C3D50" w:rsidRPr="001E2783">
        <w:rPr>
          <w:rFonts w:cs="Arial"/>
        </w:rPr>
        <w:t>e-made the d</w:t>
      </w:r>
      <w:r w:rsidR="00E515F6" w:rsidRPr="001E2783">
        <w:rPr>
          <w:rFonts w:cs="Arial"/>
        </w:rPr>
        <w:t>etermination made under s</w:t>
      </w:r>
      <w:r w:rsidRPr="001E2783">
        <w:rPr>
          <w:rFonts w:cs="Arial"/>
        </w:rPr>
        <w:t xml:space="preserve">ection </w:t>
      </w:r>
      <w:r w:rsidR="00E515F6" w:rsidRPr="001E2783">
        <w:rPr>
          <w:rFonts w:cs="Arial"/>
        </w:rPr>
        <w:t>34 of the</w:t>
      </w:r>
      <w:r w:rsidRPr="001E2783">
        <w:rPr>
          <w:rFonts w:cs="Arial"/>
        </w:rPr>
        <w:t xml:space="preserve"> BSA</w:t>
      </w:r>
      <w:r w:rsidR="00E515F6" w:rsidRPr="001E2783">
        <w:rPr>
          <w:rFonts w:cs="Arial"/>
        </w:rPr>
        <w:t>, which makes spectrum between 87.5</w:t>
      </w:r>
      <w:r w:rsidRPr="001E2783">
        <w:rPr>
          <w:rFonts w:cs="Arial"/>
        </w:rPr>
        <w:t xml:space="preserve"> and </w:t>
      </w:r>
      <w:r w:rsidR="00E515F6" w:rsidRPr="001E2783">
        <w:rPr>
          <w:rFonts w:cs="Arial"/>
        </w:rPr>
        <w:t>88.0 MHz available for LPON service</w:t>
      </w:r>
      <w:r w:rsidRPr="001E2783">
        <w:rPr>
          <w:rFonts w:cs="Arial"/>
        </w:rPr>
        <w:t>s until 31 </w:t>
      </w:r>
      <w:r w:rsidR="00E515F6" w:rsidRPr="001E2783">
        <w:rPr>
          <w:rFonts w:cs="Arial"/>
        </w:rPr>
        <w:t>December 2020.</w:t>
      </w:r>
    </w:p>
    <w:p w14:paraId="5A9A2739" w14:textId="77777777" w:rsidR="00E515F6" w:rsidRPr="001E2783" w:rsidRDefault="00E515F6" w:rsidP="00E515F6">
      <w:pPr>
        <w:rPr>
          <w:rFonts w:cs="Arial"/>
        </w:rPr>
      </w:pPr>
      <w:r w:rsidRPr="001E2783">
        <w:rPr>
          <w:rFonts w:cs="Arial"/>
        </w:rPr>
        <w:t>These measures will contribute to the efficient planning of the radiofrequency spectrum, reduce the administrative burden of regulation on the LPON industry and minimise the cost of the ACMA’s regulatory activities.</w:t>
      </w:r>
    </w:p>
    <w:p w14:paraId="66DFAB1E" w14:textId="77777777" w:rsidR="00E515F6" w:rsidRPr="001E2783" w:rsidRDefault="00E515F6" w:rsidP="00E515F6">
      <w:pPr>
        <w:rPr>
          <w:rFonts w:cs="Arial"/>
        </w:rPr>
      </w:pPr>
    </w:p>
    <w:p w14:paraId="2DB48FF1" w14:textId="4AD847E2" w:rsidR="005A5D01" w:rsidRPr="001E2783" w:rsidRDefault="00E515F6" w:rsidP="00E515F6">
      <w:pPr>
        <w:rPr>
          <w:rFonts w:cs="Arial"/>
        </w:rPr>
      </w:pPr>
      <w:r w:rsidRPr="001E2783">
        <w:rPr>
          <w:rFonts w:cs="Arial"/>
        </w:rPr>
        <w:t xml:space="preserve">See </w:t>
      </w:r>
      <w:r w:rsidR="00642061" w:rsidRPr="00642061">
        <w:rPr>
          <w:rFonts w:cs="Arial"/>
          <w:i/>
        </w:rPr>
        <w:t>LPON services</w:t>
      </w:r>
      <w:r w:rsidR="00642061" w:rsidRPr="00642061">
        <w:rPr>
          <w:rFonts w:cs="Arial"/>
        </w:rPr>
        <w:t xml:space="preserve"> </w:t>
      </w:r>
      <w:r w:rsidR="00642061">
        <w:rPr>
          <w:rFonts w:cs="Arial"/>
        </w:rPr>
        <w:t xml:space="preserve">for </w:t>
      </w:r>
      <w:r w:rsidRPr="001E2783">
        <w:rPr>
          <w:rFonts w:cs="Arial"/>
        </w:rPr>
        <w:t>more about LPON compliance and enforcement.</w:t>
      </w:r>
    </w:p>
    <w:p w14:paraId="0302D590" w14:textId="77777777" w:rsidR="00E515F6" w:rsidRPr="001E2783" w:rsidRDefault="00E515F6" w:rsidP="00E515F6">
      <w:pPr>
        <w:rPr>
          <w:rFonts w:cs="Arial"/>
        </w:rPr>
      </w:pPr>
    </w:p>
    <w:p w14:paraId="1EC7B3F4" w14:textId="77777777" w:rsidR="00CC119D" w:rsidRPr="001E2783" w:rsidRDefault="00CC119D" w:rsidP="00CC119D">
      <w:pPr>
        <w:pStyle w:val="Heading3"/>
      </w:pPr>
      <w:bookmarkStart w:id="90" w:name="_Toc337727548"/>
      <w:bookmarkStart w:id="91" w:name="_Toc400018515"/>
      <w:r w:rsidRPr="001E2783">
        <w:t>Deployment of body</w:t>
      </w:r>
      <w:r w:rsidR="00BE74D8" w:rsidRPr="001E2783">
        <w:t xml:space="preserve"> </w:t>
      </w:r>
      <w:r w:rsidRPr="001E2783">
        <w:t>scanner devices at Australia’s international airports</w:t>
      </w:r>
      <w:bookmarkEnd w:id="90"/>
      <w:bookmarkEnd w:id="91"/>
    </w:p>
    <w:p w14:paraId="6E4F6BC9" w14:textId="77777777" w:rsidR="00CC119D" w:rsidRPr="001E2783" w:rsidRDefault="00E515F6" w:rsidP="00E515F6">
      <w:pPr>
        <w:rPr>
          <w:rFonts w:cs="Arial"/>
        </w:rPr>
      </w:pPr>
      <w:r w:rsidRPr="001E2783">
        <w:rPr>
          <w:rFonts w:cs="Arial"/>
        </w:rPr>
        <w:t>On 5 September 2013, in accordance with paragraph 105(2)(b) of the Radiocommunications Act, the ACMA issue</w:t>
      </w:r>
      <w:r w:rsidR="00E218CA" w:rsidRPr="001E2783">
        <w:rPr>
          <w:rFonts w:cs="Arial"/>
        </w:rPr>
        <w:t>d</w:t>
      </w:r>
      <w:r w:rsidRPr="001E2783">
        <w:rPr>
          <w:rFonts w:cs="Arial"/>
        </w:rPr>
        <w:t xml:space="preserve"> apparatus licences to eight Australian international airports (Adelaide, Brisbane, Cairns, Darwin, Gold Coast, Melbourne, Perth and Sydney) to authorise the operation of millimetre-wave body scanners in the frequency range 26.5–28.35 GHz until 17 January 2016. This is for the purpose of aviation security screening</w:t>
      </w:r>
      <w:r w:rsidR="00E218CA" w:rsidRPr="001E2783">
        <w:rPr>
          <w:rFonts w:cs="Arial"/>
        </w:rPr>
        <w:t xml:space="preserve"> and</w:t>
      </w:r>
      <w:r w:rsidRPr="001E2783">
        <w:rPr>
          <w:rFonts w:cs="Arial"/>
        </w:rPr>
        <w:t xml:space="preserve"> contributes to meeting the Program 1.1 key performance indicators.</w:t>
      </w:r>
    </w:p>
    <w:p w14:paraId="77E6EE2F" w14:textId="77777777" w:rsidR="00E515F6" w:rsidRPr="001E2783" w:rsidRDefault="00E515F6" w:rsidP="00E515F6">
      <w:pPr>
        <w:rPr>
          <w:rFonts w:cs="Arial"/>
        </w:rPr>
      </w:pPr>
    </w:p>
    <w:p w14:paraId="714C7E20" w14:textId="77777777" w:rsidR="00CC119D" w:rsidRPr="001E2783" w:rsidRDefault="00CC119D" w:rsidP="00CC119D">
      <w:pPr>
        <w:pStyle w:val="Heading3"/>
      </w:pPr>
      <w:bookmarkStart w:id="92" w:name="_Toc337727549"/>
      <w:bookmarkStart w:id="93" w:name="_Toc400018516"/>
      <w:r w:rsidRPr="001E2783">
        <w:t>Trial of advanced power limit for advanced amateurs</w:t>
      </w:r>
      <w:bookmarkEnd w:id="92"/>
      <w:bookmarkEnd w:id="93"/>
    </w:p>
    <w:p w14:paraId="1E8F97F9" w14:textId="77777777" w:rsidR="00E515F6" w:rsidRPr="001E2783" w:rsidRDefault="00E515F6" w:rsidP="00E515F6">
      <w:pPr>
        <w:rPr>
          <w:rFonts w:cs="Arial"/>
        </w:rPr>
      </w:pPr>
      <w:r w:rsidRPr="001E2783">
        <w:rPr>
          <w:rFonts w:cs="Arial"/>
        </w:rPr>
        <w:t>In March 2012, the ACMA approved a trial for amateur advanced licensees to apply, on an individual basis, for an increase in transmitter output power. Licensees could apply to use up to 1</w:t>
      </w:r>
      <w:r w:rsidR="00E218CA" w:rsidRPr="001E2783">
        <w:rPr>
          <w:rFonts w:cs="Arial"/>
        </w:rPr>
        <w:t>,</w:t>
      </w:r>
      <w:r w:rsidRPr="001E2783">
        <w:rPr>
          <w:rFonts w:cs="Arial"/>
        </w:rPr>
        <w:t xml:space="preserve">000 watts peak envelope power in bands where the amateur service is primary. Operation of the amateur station had to be at a fixed location. </w:t>
      </w:r>
    </w:p>
    <w:p w14:paraId="05C5F929" w14:textId="77777777" w:rsidR="00E515F6" w:rsidRPr="001E2783" w:rsidRDefault="00E515F6" w:rsidP="00E515F6">
      <w:pPr>
        <w:rPr>
          <w:rFonts w:cs="Arial"/>
        </w:rPr>
      </w:pPr>
    </w:p>
    <w:p w14:paraId="16F45B3C" w14:textId="77777777" w:rsidR="00CC119D" w:rsidRPr="001E2783" w:rsidRDefault="00E515F6" w:rsidP="00E515F6">
      <w:pPr>
        <w:rPr>
          <w:rFonts w:cs="Arial"/>
        </w:rPr>
      </w:pPr>
      <w:r w:rsidRPr="001E2783">
        <w:rPr>
          <w:rFonts w:cs="Arial"/>
        </w:rPr>
        <w:t>In January 2013, the ACMA began an assessment of the trial to evaluate whether more permanent regulatory arrangements should be put in place</w:t>
      </w:r>
      <w:r w:rsidR="00D35CBD" w:rsidRPr="001E2783">
        <w:rPr>
          <w:rFonts w:cs="Arial"/>
        </w:rPr>
        <w:t>.</w:t>
      </w:r>
      <w:r w:rsidR="00E218CA" w:rsidRPr="001E2783">
        <w:rPr>
          <w:rFonts w:cs="Arial"/>
        </w:rPr>
        <w:t xml:space="preserve"> </w:t>
      </w:r>
      <w:r w:rsidR="00D35CBD" w:rsidRPr="001E2783">
        <w:rPr>
          <w:rFonts w:cs="Arial"/>
        </w:rPr>
        <w:t xml:space="preserve">The trial finished on 31 August 2013 </w:t>
      </w:r>
      <w:r w:rsidR="00E218CA" w:rsidRPr="001E2783">
        <w:rPr>
          <w:rFonts w:cs="Arial"/>
        </w:rPr>
        <w:t xml:space="preserve">and </w:t>
      </w:r>
      <w:r w:rsidR="00D35CBD" w:rsidRPr="001E2783">
        <w:rPr>
          <w:rFonts w:cs="Arial"/>
        </w:rPr>
        <w:t xml:space="preserve">the ACMA </w:t>
      </w:r>
      <w:r w:rsidRPr="001E2783">
        <w:rPr>
          <w:rFonts w:cs="Arial"/>
        </w:rPr>
        <w:t>decided not to ma</w:t>
      </w:r>
      <w:r w:rsidR="00E218CA" w:rsidRPr="001E2783">
        <w:rPr>
          <w:rFonts w:cs="Arial"/>
        </w:rPr>
        <w:t xml:space="preserve">ke the arrangements permanent. </w:t>
      </w:r>
    </w:p>
    <w:p w14:paraId="375CCF42" w14:textId="77777777" w:rsidR="00E515F6" w:rsidRPr="001E2783" w:rsidRDefault="00E515F6" w:rsidP="00E515F6">
      <w:pPr>
        <w:rPr>
          <w:rFonts w:cs="Arial"/>
        </w:rPr>
      </w:pPr>
    </w:p>
    <w:p w14:paraId="7E87F53C" w14:textId="77777777" w:rsidR="00E515F6" w:rsidRPr="001E2783" w:rsidRDefault="00E515F6" w:rsidP="00E515F6">
      <w:pPr>
        <w:pStyle w:val="Heading3"/>
      </w:pPr>
      <w:bookmarkStart w:id="94" w:name="_Toc400018517"/>
      <w:r w:rsidRPr="001E2783">
        <w:t>1800 MHz band</w:t>
      </w:r>
      <w:bookmarkEnd w:id="94"/>
      <w:r w:rsidRPr="001E2783">
        <w:t xml:space="preserve"> </w:t>
      </w:r>
    </w:p>
    <w:p w14:paraId="40D7EBF8" w14:textId="3284045D" w:rsidR="00776320" w:rsidRPr="001E2783" w:rsidRDefault="00776320" w:rsidP="00776320">
      <w:pPr>
        <w:rPr>
          <w:rFonts w:cs="Arial"/>
        </w:rPr>
      </w:pPr>
      <w:r w:rsidRPr="001E2783">
        <w:rPr>
          <w:rFonts w:cs="Arial"/>
        </w:rPr>
        <w:t xml:space="preserve">There is increasing demand for access to spectrum in the 1710–1785 MHz and </w:t>
      </w:r>
      <w:r w:rsidR="008755C1" w:rsidRPr="001E2783">
        <w:rPr>
          <w:rFonts w:cs="Arial"/>
        </w:rPr>
        <w:br/>
      </w:r>
      <w:r w:rsidRPr="001E2783">
        <w:rPr>
          <w:rFonts w:cs="Arial"/>
        </w:rPr>
        <w:t>1805–1880 MHz frequency ranges (the 1800 MHz band) from various industry sectors to deploy mobile services. The current regulatory arrangements would not support the deployment of mobile services on a large scale, as requi</w:t>
      </w:r>
      <w:r w:rsidR="00E218CA" w:rsidRPr="001E2783">
        <w:rPr>
          <w:rFonts w:cs="Arial"/>
        </w:rPr>
        <w:t xml:space="preserve">red by industry. </w:t>
      </w:r>
      <w:r w:rsidRPr="001E2783">
        <w:rPr>
          <w:rFonts w:cs="Arial"/>
        </w:rPr>
        <w:t xml:space="preserve">As a result, the ACMA is developing a spectrum management strategy for the band to address demand and provide suitable regulatory arrangements for both the short and longer term. </w:t>
      </w:r>
    </w:p>
    <w:p w14:paraId="36845599" w14:textId="77777777" w:rsidR="00776320" w:rsidRPr="001E2783" w:rsidRDefault="00776320" w:rsidP="00776320">
      <w:pPr>
        <w:rPr>
          <w:rFonts w:cs="Arial"/>
        </w:rPr>
      </w:pPr>
    </w:p>
    <w:p w14:paraId="0DD49385" w14:textId="77777777" w:rsidR="005954D5" w:rsidRPr="001E2783" w:rsidRDefault="005954D5" w:rsidP="005954D5">
      <w:pPr>
        <w:pStyle w:val="Heading3"/>
      </w:pPr>
      <w:bookmarkStart w:id="95" w:name="_Toc400018518"/>
      <w:r w:rsidRPr="001E2783">
        <w:t xml:space="preserve">European Space Agency </w:t>
      </w:r>
      <w:r w:rsidR="00397269" w:rsidRPr="001E2783">
        <w:t>E</w:t>
      </w:r>
      <w:r w:rsidRPr="001E2783">
        <w:t>arth station coordination arrangements</w:t>
      </w:r>
      <w:bookmarkEnd w:id="95"/>
    </w:p>
    <w:p w14:paraId="2F2C0CFD" w14:textId="77777777" w:rsidR="00263C57" w:rsidRPr="001E2783" w:rsidRDefault="00E515F6" w:rsidP="00263C57">
      <w:pPr>
        <w:rPr>
          <w:rFonts w:cs="Arial"/>
        </w:rPr>
      </w:pPr>
      <w:r w:rsidRPr="001E2783">
        <w:rPr>
          <w:rFonts w:cs="Arial"/>
        </w:rPr>
        <w:t>The ACMA supports spectr</w:t>
      </w:r>
      <w:r w:rsidR="006311CD" w:rsidRPr="001E2783">
        <w:rPr>
          <w:rFonts w:cs="Arial"/>
        </w:rPr>
        <w:t>um management aspects of treaty-</w:t>
      </w:r>
      <w:r w:rsidRPr="001E2783">
        <w:rPr>
          <w:rFonts w:cs="Arial"/>
        </w:rPr>
        <w:t xml:space="preserve">level arrangements with the European Space Agency (ESA) for a Co-operative Space Vehicle Tracking Program. This includes managing the radiofrequency spectrum to support ESA requirements for space exploration missions. </w:t>
      </w:r>
      <w:r w:rsidR="006311CD" w:rsidRPr="001E2783">
        <w:rPr>
          <w:rFonts w:cs="Arial"/>
        </w:rPr>
        <w:t>S</w:t>
      </w:r>
      <w:r w:rsidRPr="001E2783">
        <w:rPr>
          <w:rFonts w:cs="Arial"/>
        </w:rPr>
        <w:t>upporting coordination requirements with spectrum licences</w:t>
      </w:r>
      <w:r w:rsidR="006311CD" w:rsidRPr="001E2783">
        <w:rPr>
          <w:rFonts w:cs="Arial"/>
        </w:rPr>
        <w:t xml:space="preserve"> in the 2.3 GHz band and with 2 </w:t>
      </w:r>
      <w:r w:rsidRPr="001E2783">
        <w:rPr>
          <w:rFonts w:cs="Arial"/>
        </w:rPr>
        <w:t>GHz ENG services has been completed</w:t>
      </w:r>
      <w:r w:rsidR="006311CD" w:rsidRPr="001E2783">
        <w:rPr>
          <w:rFonts w:cs="Arial"/>
        </w:rPr>
        <w:t>, with the f</w:t>
      </w:r>
      <w:r w:rsidRPr="001E2783">
        <w:rPr>
          <w:rFonts w:cs="Arial"/>
        </w:rPr>
        <w:t>ocus now on other bands.</w:t>
      </w:r>
    </w:p>
    <w:p w14:paraId="47FB1E2D" w14:textId="77777777" w:rsidR="00E515F6" w:rsidRPr="001E2783" w:rsidRDefault="00E515F6" w:rsidP="00263C57">
      <w:pPr>
        <w:rPr>
          <w:rFonts w:eastAsiaTheme="minorHAnsi" w:cs="Arial"/>
        </w:rPr>
      </w:pPr>
    </w:p>
    <w:p w14:paraId="07C17D24" w14:textId="77777777" w:rsidR="005954D5" w:rsidRPr="001E2783" w:rsidRDefault="00E515F6" w:rsidP="005954D5">
      <w:pPr>
        <w:pStyle w:val="Heading3"/>
      </w:pPr>
      <w:bookmarkStart w:id="96" w:name="_Toc400018519"/>
      <w:bookmarkStart w:id="97" w:name="_Toc337727552"/>
      <w:r w:rsidRPr="001E2783">
        <w:t>Satellite coordination</w:t>
      </w:r>
      <w:bookmarkEnd w:id="96"/>
    </w:p>
    <w:p w14:paraId="24EA8AEC" w14:textId="77777777" w:rsidR="00E515F6" w:rsidRPr="001E2783" w:rsidRDefault="00E515F6" w:rsidP="00E515F6">
      <w:pPr>
        <w:rPr>
          <w:rFonts w:cs="Arial"/>
        </w:rPr>
      </w:pPr>
      <w:r w:rsidRPr="001E2783">
        <w:rPr>
          <w:rFonts w:cs="Arial"/>
        </w:rPr>
        <w:t xml:space="preserve">The ACMA is responsible for fulfilling Australia’s obligations as a member of the </w:t>
      </w:r>
      <w:r w:rsidR="006311CD" w:rsidRPr="001E2783">
        <w:rPr>
          <w:rFonts w:cs="Arial"/>
        </w:rPr>
        <w:t>International Telecommunication Union (</w:t>
      </w:r>
      <w:r w:rsidRPr="001E2783">
        <w:rPr>
          <w:rFonts w:cs="Arial"/>
        </w:rPr>
        <w:t>ITU</w:t>
      </w:r>
      <w:r w:rsidR="006311CD" w:rsidRPr="001E2783">
        <w:rPr>
          <w:rFonts w:cs="Arial"/>
        </w:rPr>
        <w:t>)</w:t>
      </w:r>
      <w:r w:rsidRPr="001E2783">
        <w:rPr>
          <w:rFonts w:cs="Arial"/>
        </w:rPr>
        <w:t xml:space="preserve"> for matters associated with the ITU-R. It supports the filing of Australian satellite networks with the ITU and actively works with prospective satellite operators in meeting these obligations. The ACMA also provides the interface with other ITU administrations in coordinating Australia’s satellite spectrum requirements. </w:t>
      </w:r>
    </w:p>
    <w:p w14:paraId="54E04617" w14:textId="77777777" w:rsidR="00E515F6" w:rsidRPr="001E2783" w:rsidRDefault="00E515F6" w:rsidP="00E515F6">
      <w:pPr>
        <w:rPr>
          <w:rFonts w:cs="Arial"/>
        </w:rPr>
      </w:pPr>
    </w:p>
    <w:p w14:paraId="3AEDCFB3" w14:textId="77777777" w:rsidR="00E515F6" w:rsidRPr="001E2783" w:rsidRDefault="006311CD" w:rsidP="00E515F6">
      <w:pPr>
        <w:rPr>
          <w:rFonts w:cs="Arial"/>
        </w:rPr>
      </w:pPr>
      <w:r w:rsidRPr="001E2783">
        <w:rPr>
          <w:rFonts w:cs="Arial"/>
        </w:rPr>
        <w:t>In the reporting period, t</w:t>
      </w:r>
      <w:r w:rsidR="00E515F6" w:rsidRPr="001E2783">
        <w:rPr>
          <w:rFonts w:cs="Arial"/>
        </w:rPr>
        <w:t>he ACMA assess</w:t>
      </w:r>
      <w:r w:rsidRPr="001E2783">
        <w:rPr>
          <w:rFonts w:cs="Arial"/>
        </w:rPr>
        <w:t>ed</w:t>
      </w:r>
      <w:r w:rsidR="00E515F6" w:rsidRPr="001E2783">
        <w:rPr>
          <w:rFonts w:cs="Arial"/>
        </w:rPr>
        <w:t xml:space="preserve"> 745 publications for proposed foreign satellite networks, initiating coordination processes (where necessary) with foreign administrations on their proposed satellite networks with Australian spectrum requirements and responding to their reciprocal requests of Australia. In addition, the ACMA also assisted Australian satellite operators with ongoing satellite coordination negotiations with other </w:t>
      </w:r>
      <w:r w:rsidR="003C3D50" w:rsidRPr="001E2783">
        <w:rPr>
          <w:rFonts w:cs="Arial"/>
        </w:rPr>
        <w:t>a</w:t>
      </w:r>
      <w:r w:rsidR="00E515F6" w:rsidRPr="001E2783">
        <w:rPr>
          <w:rFonts w:cs="Arial"/>
        </w:rPr>
        <w:t>dministrations. These roles help to protect Australian interests and maximise the benefits of spectrum/orbital resources through working cooperatively with other ITU Member Administrations.</w:t>
      </w:r>
    </w:p>
    <w:p w14:paraId="5045DCB8" w14:textId="77777777" w:rsidR="00E515F6" w:rsidRPr="001E2783" w:rsidRDefault="00E515F6" w:rsidP="00E515F6">
      <w:pPr>
        <w:rPr>
          <w:rFonts w:cs="Arial"/>
        </w:rPr>
      </w:pPr>
    </w:p>
    <w:p w14:paraId="23315EC1" w14:textId="77777777" w:rsidR="00E515F6" w:rsidRPr="001E2783" w:rsidRDefault="00E515F6" w:rsidP="00E515F6">
      <w:pPr>
        <w:rPr>
          <w:rFonts w:cs="Arial"/>
        </w:rPr>
      </w:pPr>
      <w:r w:rsidRPr="001E2783">
        <w:rPr>
          <w:rFonts w:cs="Arial"/>
        </w:rPr>
        <w:t>The ACMA also provides ongoing advice to Australian Government agencies and the Australian space community on space radiocommunications.</w:t>
      </w:r>
    </w:p>
    <w:p w14:paraId="380CD8C5" w14:textId="77777777" w:rsidR="005954D5" w:rsidRPr="001E2783" w:rsidRDefault="005954D5" w:rsidP="005954D5">
      <w:pPr>
        <w:rPr>
          <w:rFonts w:cs="Arial"/>
        </w:rPr>
      </w:pPr>
    </w:p>
    <w:p w14:paraId="5FE4E26B" w14:textId="77777777" w:rsidR="00DA3146" w:rsidRPr="001E2783" w:rsidRDefault="00DA3146" w:rsidP="00DA3146">
      <w:pPr>
        <w:pStyle w:val="Heading3"/>
      </w:pPr>
      <w:bookmarkStart w:id="98" w:name="_Toc400018520"/>
      <w:bookmarkStart w:id="99" w:name="_Toc337727553"/>
      <w:bookmarkEnd w:id="97"/>
      <w:r w:rsidRPr="001E2783">
        <w:t>Mobile broadband activities</w:t>
      </w:r>
      <w:bookmarkEnd w:id="98"/>
    </w:p>
    <w:p w14:paraId="6ACF0F71" w14:textId="77777777" w:rsidR="002661E9" w:rsidRPr="001E2783" w:rsidRDefault="002661E9" w:rsidP="002661E9">
      <w:pPr>
        <w:rPr>
          <w:rFonts w:cs="Arial"/>
        </w:rPr>
      </w:pPr>
      <w:r w:rsidRPr="001E2783">
        <w:rPr>
          <w:rFonts w:cs="Arial"/>
        </w:rPr>
        <w:t xml:space="preserve">Maintaining appropriate spectrum arrangements for mobile broadband services remains a major element of the ACMA’s spectrum management work program. </w:t>
      </w:r>
    </w:p>
    <w:p w14:paraId="24904376" w14:textId="77777777" w:rsidR="002661E9" w:rsidRPr="001E2783" w:rsidRDefault="002661E9" w:rsidP="002661E9">
      <w:pPr>
        <w:rPr>
          <w:rFonts w:cs="Arial"/>
        </w:rPr>
      </w:pPr>
    </w:p>
    <w:p w14:paraId="4D78BE70" w14:textId="664A924D" w:rsidR="002661E9" w:rsidRPr="001E2783" w:rsidRDefault="002661E9" w:rsidP="002661E9">
      <w:pPr>
        <w:rPr>
          <w:rFonts w:cs="Arial"/>
        </w:rPr>
      </w:pPr>
      <w:r w:rsidRPr="001E2783">
        <w:rPr>
          <w:rFonts w:cs="Arial"/>
        </w:rPr>
        <w:t xml:space="preserve">In 2013–14, the ACMA commissioned two pieces of research to help inform its ongoing considerations in the area of mobile broadband—the economic impacts of mobile broadband services on the Australian economy and a mobile network capacity forecasting model (see also </w:t>
      </w:r>
      <w:r w:rsidRPr="001E2783">
        <w:rPr>
          <w:rFonts w:cs="Arial"/>
          <w:i/>
        </w:rPr>
        <w:t>Spectrum research program</w:t>
      </w:r>
      <w:r w:rsidRPr="001E2783">
        <w:rPr>
          <w:rFonts w:cs="Arial"/>
        </w:rPr>
        <w:t>).</w:t>
      </w:r>
    </w:p>
    <w:p w14:paraId="2C2EADD9" w14:textId="77777777" w:rsidR="002661E9" w:rsidRPr="001E2783" w:rsidRDefault="002661E9" w:rsidP="002661E9">
      <w:pPr>
        <w:rPr>
          <w:rFonts w:cs="Arial"/>
        </w:rPr>
      </w:pPr>
    </w:p>
    <w:p w14:paraId="15D02B89" w14:textId="55DB6EB6" w:rsidR="002661E9" w:rsidRPr="001E2783" w:rsidRDefault="002661E9" w:rsidP="002661E9">
      <w:pPr>
        <w:rPr>
          <w:rFonts w:cs="Arial"/>
        </w:rPr>
      </w:pPr>
      <w:r w:rsidRPr="001E2783">
        <w:rPr>
          <w:rFonts w:cs="Arial"/>
        </w:rPr>
        <w:t>Central</w:t>
      </w:r>
      <w:r w:rsidR="00A1066F" w:rsidRPr="001E2783">
        <w:rPr>
          <w:rFonts w:cs="Arial"/>
        </w:rPr>
        <w:t xml:space="preserve"> to the ACMA’s mobile broadband </w:t>
      </w:r>
      <w:r w:rsidRPr="001E2783">
        <w:rPr>
          <w:rFonts w:cs="Arial"/>
        </w:rPr>
        <w:t xml:space="preserve">work program has been active involvement in international spectrum fora to influence outcomes in line with Australia’s national interest. In particular, the ACMA has led Australian participation in </w:t>
      </w:r>
      <w:r w:rsidR="00A1066F" w:rsidRPr="001E2783">
        <w:rPr>
          <w:rFonts w:cs="Arial"/>
        </w:rPr>
        <w:t>2015 World Radiocommunication Conference (</w:t>
      </w:r>
      <w:r w:rsidRPr="001E2783">
        <w:rPr>
          <w:rFonts w:cs="Arial"/>
        </w:rPr>
        <w:t>WRC-15</w:t>
      </w:r>
      <w:r w:rsidR="00A1066F" w:rsidRPr="001E2783">
        <w:rPr>
          <w:rFonts w:cs="Arial"/>
        </w:rPr>
        <w:t>)</w:t>
      </w:r>
      <w:r w:rsidRPr="001E2783">
        <w:rPr>
          <w:rFonts w:cs="Arial"/>
        </w:rPr>
        <w:t xml:space="preserve"> Agenda Item 1.1 considerations</w:t>
      </w:r>
      <w:r w:rsidR="00A1066F" w:rsidRPr="001E2783">
        <w:rPr>
          <w:rFonts w:cs="Arial"/>
        </w:rPr>
        <w:t>, which</w:t>
      </w:r>
      <w:r w:rsidRPr="001E2783">
        <w:rPr>
          <w:rFonts w:cs="Arial"/>
        </w:rPr>
        <w:t xml:space="preserve"> are examining the potential for additional spectrum to be identified internationally for mobile broadband services (see also </w:t>
      </w:r>
      <w:r w:rsidRPr="001E2783">
        <w:rPr>
          <w:rFonts w:cs="Arial"/>
          <w:i/>
        </w:rPr>
        <w:t>International matters</w:t>
      </w:r>
      <w:r w:rsidRPr="001E2783">
        <w:rPr>
          <w:rFonts w:cs="Arial"/>
        </w:rPr>
        <w:t>).</w:t>
      </w:r>
    </w:p>
    <w:p w14:paraId="6E22E81B" w14:textId="77777777" w:rsidR="002661E9" w:rsidRPr="001E2783" w:rsidRDefault="002661E9" w:rsidP="002661E9">
      <w:pPr>
        <w:rPr>
          <w:rFonts w:cs="Arial"/>
        </w:rPr>
      </w:pPr>
    </w:p>
    <w:p w14:paraId="4C2F3CA2" w14:textId="77777777" w:rsidR="00FA422C" w:rsidRPr="001E2783" w:rsidRDefault="002661E9" w:rsidP="002661E9">
      <w:pPr>
        <w:rPr>
          <w:rFonts w:cs="Arial"/>
        </w:rPr>
      </w:pPr>
      <w:r w:rsidRPr="001E2783">
        <w:rPr>
          <w:rFonts w:cs="Arial"/>
        </w:rPr>
        <w:t>The ACMA is updating its mobile broadband strategy</w:t>
      </w:r>
      <w:r w:rsidR="00A1066F" w:rsidRPr="001E2783">
        <w:rPr>
          <w:rFonts w:cs="Arial"/>
        </w:rPr>
        <w:t>,</w:t>
      </w:r>
      <w:r w:rsidRPr="001E2783">
        <w:rPr>
          <w:rFonts w:cs="Arial"/>
        </w:rPr>
        <w:t xml:space="preserve"> which will build on pre-existing work (such as the plan outlined in</w:t>
      </w:r>
      <w:r w:rsidR="00CA63FE" w:rsidRPr="001E2783">
        <w:rPr>
          <w:rFonts w:cs="Arial"/>
        </w:rPr>
        <w:t xml:space="preserve"> its 2011 paper</w:t>
      </w:r>
      <w:r w:rsidR="00A1066F" w:rsidRPr="001E2783">
        <w:rPr>
          <w:rFonts w:cs="Arial"/>
          <w:i/>
        </w:rPr>
        <w:t xml:space="preserve"> </w:t>
      </w:r>
      <w:r w:rsidRPr="001E2783">
        <w:rPr>
          <w:rFonts w:cs="Arial"/>
          <w:i/>
        </w:rPr>
        <w:t>Towards 2020</w:t>
      </w:r>
      <w:r w:rsidR="00CA63FE" w:rsidRPr="001E2783">
        <w:rPr>
          <w:rFonts w:cs="Arial"/>
          <w:i/>
        </w:rPr>
        <w:t>—</w:t>
      </w:r>
      <w:r w:rsidRPr="001E2783">
        <w:rPr>
          <w:rFonts w:cs="Arial"/>
          <w:i/>
        </w:rPr>
        <w:t>Future spectrum requirements for mobile broadband</w:t>
      </w:r>
      <w:r w:rsidRPr="001E2783">
        <w:rPr>
          <w:rFonts w:cs="Arial"/>
        </w:rPr>
        <w:t xml:space="preserve">) to identify and prioritise spectrum planning and allocation activities. The ACMA expects to consult on an updated mobile broadband strategy </w:t>
      </w:r>
      <w:r w:rsidR="007A577C" w:rsidRPr="001E2783">
        <w:rPr>
          <w:rFonts w:cs="Arial"/>
        </w:rPr>
        <w:t xml:space="preserve">early </w:t>
      </w:r>
      <w:r w:rsidRPr="001E2783">
        <w:rPr>
          <w:rFonts w:cs="Arial"/>
        </w:rPr>
        <w:t xml:space="preserve">in the </w:t>
      </w:r>
      <w:r w:rsidR="007A577C" w:rsidRPr="001E2783">
        <w:rPr>
          <w:rFonts w:cs="Arial"/>
        </w:rPr>
        <w:t>next reporting period</w:t>
      </w:r>
      <w:r w:rsidRPr="001E2783">
        <w:rPr>
          <w:rFonts w:cs="Arial"/>
        </w:rPr>
        <w:t>.</w:t>
      </w:r>
    </w:p>
    <w:p w14:paraId="4B35F130" w14:textId="77777777" w:rsidR="002661E9" w:rsidRPr="001E2783" w:rsidRDefault="002661E9" w:rsidP="002661E9">
      <w:pPr>
        <w:rPr>
          <w:rFonts w:cs="Arial"/>
        </w:rPr>
      </w:pPr>
    </w:p>
    <w:p w14:paraId="6F728C36" w14:textId="77777777" w:rsidR="00CC119D" w:rsidRPr="001E2783" w:rsidRDefault="00CC119D" w:rsidP="00CC119D">
      <w:pPr>
        <w:pStyle w:val="Heading2"/>
      </w:pPr>
      <w:bookmarkStart w:id="100" w:name="_Toc400018521"/>
      <w:r w:rsidRPr="001E2783">
        <w:t>Allocation and licensing</w:t>
      </w:r>
      <w:bookmarkEnd w:id="99"/>
      <w:bookmarkEnd w:id="100"/>
    </w:p>
    <w:p w14:paraId="1879E24A" w14:textId="77777777" w:rsidR="00D76FA6" w:rsidRPr="001E2783" w:rsidRDefault="00CC119D" w:rsidP="00D76FA6">
      <w:pPr>
        <w:pStyle w:val="Heading3"/>
      </w:pPr>
      <w:bookmarkStart w:id="101" w:name="_Toc337727555"/>
      <w:bookmarkStart w:id="102" w:name="_Toc400018522"/>
      <w:r w:rsidRPr="001E2783">
        <w:t>Radiocommunications licensing</w:t>
      </w:r>
      <w:bookmarkEnd w:id="101"/>
      <w:bookmarkEnd w:id="102"/>
    </w:p>
    <w:p w14:paraId="16EAEF4D" w14:textId="77777777" w:rsidR="00D76FA6" w:rsidRPr="001E2783" w:rsidRDefault="00D76FA6" w:rsidP="00FA1CCE">
      <w:pPr>
        <w:rPr>
          <w:rFonts w:cs="Arial"/>
        </w:rPr>
      </w:pPr>
      <w:r w:rsidRPr="001E2783">
        <w:rPr>
          <w:rFonts w:cs="Arial"/>
        </w:rPr>
        <w:t xml:space="preserve">The </w:t>
      </w:r>
      <w:r w:rsidR="0064511F" w:rsidRPr="001E2783">
        <w:rPr>
          <w:rFonts w:cs="Arial"/>
        </w:rPr>
        <w:t xml:space="preserve">Radiocommunications </w:t>
      </w:r>
      <w:r w:rsidRPr="001E2783">
        <w:rPr>
          <w:rFonts w:cs="Arial"/>
        </w:rPr>
        <w:t xml:space="preserve">Act provides that the ACMA can issue radiocommunications licences authorising the operation of devices under an apparatus, spectrum or class licence. </w:t>
      </w:r>
    </w:p>
    <w:p w14:paraId="4DEB1C36" w14:textId="77777777" w:rsidR="00D76FA6" w:rsidRPr="001E2783" w:rsidRDefault="00D76FA6" w:rsidP="0064511F">
      <w:pPr>
        <w:rPr>
          <w:rFonts w:cs="Arial"/>
        </w:rPr>
      </w:pPr>
    </w:p>
    <w:p w14:paraId="4FA62925" w14:textId="77777777" w:rsidR="00D76FA6" w:rsidRPr="001E2783" w:rsidRDefault="00D76FA6" w:rsidP="00D76FA6">
      <w:pPr>
        <w:pStyle w:val="BodysubheaderH4"/>
        <w:rPr>
          <w:rFonts w:cs="Arial"/>
        </w:rPr>
      </w:pPr>
      <w:r w:rsidRPr="001E2783">
        <w:rPr>
          <w:rFonts w:cs="Arial"/>
        </w:rPr>
        <w:t>Apparatus licensing</w:t>
      </w:r>
    </w:p>
    <w:p w14:paraId="34854F00" w14:textId="77777777" w:rsidR="00D76FA6" w:rsidRPr="001E2783" w:rsidRDefault="00D76FA6" w:rsidP="00D76FA6">
      <w:pPr>
        <w:rPr>
          <w:rFonts w:cs="Arial"/>
        </w:rPr>
      </w:pPr>
      <w:r w:rsidRPr="001E2783">
        <w:rPr>
          <w:rFonts w:cs="Arial"/>
        </w:rPr>
        <w:t xml:space="preserve">Apparatus licences can be issued for any period ranging from one day to a maximum of five years. The majority of licences are for one year with annual renewals thereafter. </w:t>
      </w:r>
    </w:p>
    <w:p w14:paraId="793495AD" w14:textId="77777777" w:rsidR="00D76FA6" w:rsidRPr="001E2783" w:rsidRDefault="00D76FA6" w:rsidP="00D76FA6">
      <w:pPr>
        <w:rPr>
          <w:rFonts w:cs="Arial"/>
        </w:rPr>
      </w:pPr>
    </w:p>
    <w:p w14:paraId="715F1684" w14:textId="77777777" w:rsidR="00D76FA6" w:rsidRPr="001E2783" w:rsidRDefault="00D76FA6" w:rsidP="00D76FA6">
      <w:pPr>
        <w:rPr>
          <w:rFonts w:cs="Arial"/>
        </w:rPr>
      </w:pPr>
      <w:r w:rsidRPr="001E2783">
        <w:rPr>
          <w:rFonts w:cs="Arial"/>
        </w:rPr>
        <w:t>The ACMA issues apparatus licences that require frequency assignment coordination (assigned licences)</w:t>
      </w:r>
      <w:r w:rsidR="0064511F" w:rsidRPr="001E2783">
        <w:rPr>
          <w:rFonts w:cs="Arial"/>
        </w:rPr>
        <w:t>,</w:t>
      </w:r>
      <w:r w:rsidRPr="001E2783">
        <w:rPr>
          <w:rFonts w:cs="Arial"/>
        </w:rPr>
        <w:t xml:space="preserve"> as well as apparatus licences where no frequency assignment coordination is required (non-assigned licences).</w:t>
      </w:r>
    </w:p>
    <w:p w14:paraId="67EFABC7" w14:textId="77777777" w:rsidR="00D76FA6" w:rsidRPr="001E2783" w:rsidRDefault="00D76FA6" w:rsidP="00D76FA6">
      <w:pPr>
        <w:rPr>
          <w:rFonts w:cs="Arial"/>
        </w:rPr>
      </w:pPr>
    </w:p>
    <w:p w14:paraId="709DEBCC" w14:textId="77777777" w:rsidR="00D76FA6" w:rsidRPr="001E2783" w:rsidRDefault="00D76FA6" w:rsidP="00D76FA6">
      <w:pPr>
        <w:rPr>
          <w:rFonts w:cs="Arial"/>
        </w:rPr>
      </w:pPr>
      <w:r w:rsidRPr="001E2783">
        <w:rPr>
          <w:rFonts w:cs="Arial"/>
        </w:rPr>
        <w:t>The ACMA’s key performance indicator (KPI) for issu</w:t>
      </w:r>
      <w:r w:rsidR="004908ED" w:rsidRPr="001E2783">
        <w:rPr>
          <w:rFonts w:cs="Arial"/>
        </w:rPr>
        <w:t>ing</w:t>
      </w:r>
      <w:r w:rsidRPr="001E2783">
        <w:rPr>
          <w:rFonts w:cs="Arial"/>
        </w:rPr>
        <w:t xml:space="preserve"> licence applications requiring frequency assignment is to have completed 60 per cent of applications within 30 days of receipt. For licence applications not requiring</w:t>
      </w:r>
      <w:r w:rsidR="004908ED" w:rsidRPr="001E2783">
        <w:rPr>
          <w:rFonts w:cs="Arial"/>
        </w:rPr>
        <w:t xml:space="preserve"> frequency assignment, the ACMA’s</w:t>
      </w:r>
      <w:r w:rsidRPr="001E2783">
        <w:rPr>
          <w:rFonts w:cs="Arial"/>
        </w:rPr>
        <w:t xml:space="preserve"> KPI </w:t>
      </w:r>
      <w:r w:rsidR="004908ED" w:rsidRPr="001E2783">
        <w:rPr>
          <w:rFonts w:cs="Arial"/>
        </w:rPr>
        <w:t>is to</w:t>
      </w:r>
      <w:r w:rsidRPr="001E2783">
        <w:rPr>
          <w:rFonts w:cs="Arial"/>
        </w:rPr>
        <w:t xml:space="preserve"> complet</w:t>
      </w:r>
      <w:r w:rsidR="004908ED" w:rsidRPr="001E2783">
        <w:rPr>
          <w:rFonts w:cs="Arial"/>
        </w:rPr>
        <w:t>e</w:t>
      </w:r>
      <w:r w:rsidRPr="001E2783">
        <w:rPr>
          <w:rFonts w:cs="Arial"/>
        </w:rPr>
        <w:t xml:space="preserve"> 100 per cent of applications within 14 days of receipt.</w:t>
      </w:r>
    </w:p>
    <w:p w14:paraId="756BF0A2" w14:textId="77777777" w:rsidR="00D76FA6" w:rsidRPr="001E2783" w:rsidRDefault="00D76FA6" w:rsidP="00D76FA6">
      <w:pPr>
        <w:rPr>
          <w:rFonts w:cs="Arial"/>
        </w:rPr>
      </w:pPr>
    </w:p>
    <w:p w14:paraId="48FB7D0C" w14:textId="77777777" w:rsidR="00D76FA6" w:rsidRPr="001E2783" w:rsidRDefault="00D76FA6" w:rsidP="00D76FA6">
      <w:pPr>
        <w:rPr>
          <w:rFonts w:cs="Arial"/>
        </w:rPr>
      </w:pPr>
      <w:r w:rsidRPr="001E2783">
        <w:rPr>
          <w:rFonts w:cs="Arial"/>
        </w:rPr>
        <w:t>The ACMA i</w:t>
      </w:r>
      <w:r w:rsidR="004908ED" w:rsidRPr="001E2783">
        <w:rPr>
          <w:rFonts w:cs="Arial"/>
        </w:rPr>
        <w:t>s undertaking a major project—Project HELM—</w:t>
      </w:r>
      <w:r w:rsidRPr="001E2783">
        <w:rPr>
          <w:rFonts w:cs="Arial"/>
        </w:rPr>
        <w:t>to replace its ag</w:t>
      </w:r>
      <w:r w:rsidR="004908ED" w:rsidRPr="001E2783">
        <w:rPr>
          <w:rFonts w:cs="Arial"/>
        </w:rPr>
        <w:t>e</w:t>
      </w:r>
      <w:r w:rsidRPr="001E2783">
        <w:rPr>
          <w:rFonts w:cs="Arial"/>
        </w:rPr>
        <w:t>ing spectrum management information systems. Development and testing of new frequency assigning tools for apparatus licences was an important deliv</w:t>
      </w:r>
      <w:r w:rsidR="004908ED" w:rsidRPr="001E2783">
        <w:rPr>
          <w:rFonts w:cs="Arial"/>
        </w:rPr>
        <w:t>erable for Project HELM in 2013–</w:t>
      </w:r>
      <w:r w:rsidRPr="001E2783">
        <w:rPr>
          <w:rFonts w:cs="Arial"/>
        </w:rPr>
        <w:t>14.</w:t>
      </w:r>
    </w:p>
    <w:p w14:paraId="72F91B7C" w14:textId="77777777" w:rsidR="00D76FA6" w:rsidRPr="001E2783" w:rsidRDefault="00D76FA6" w:rsidP="00D76FA6">
      <w:pPr>
        <w:rPr>
          <w:rFonts w:cs="Arial"/>
        </w:rPr>
      </w:pPr>
    </w:p>
    <w:p w14:paraId="59A053FD" w14:textId="77777777" w:rsidR="004908ED" w:rsidRPr="001E2783" w:rsidRDefault="00D76FA6" w:rsidP="004908ED">
      <w:pPr>
        <w:spacing w:after="80"/>
        <w:outlineLvl w:val="0"/>
        <w:rPr>
          <w:rFonts w:cs="Arial"/>
        </w:rPr>
      </w:pPr>
      <w:r w:rsidRPr="001E2783">
        <w:rPr>
          <w:rFonts w:cs="Arial"/>
        </w:rPr>
        <w:t>The need for expert assigning staff to s</w:t>
      </w:r>
      <w:r w:rsidR="004908ED" w:rsidRPr="001E2783">
        <w:rPr>
          <w:rFonts w:cs="Arial"/>
        </w:rPr>
        <w:t>upport Project HELM during 2013–</w:t>
      </w:r>
      <w:r w:rsidRPr="001E2783">
        <w:rPr>
          <w:rFonts w:cs="Arial"/>
        </w:rPr>
        <w:t xml:space="preserve">14 reduced the </w:t>
      </w:r>
      <w:r w:rsidR="004908ED" w:rsidRPr="001E2783">
        <w:rPr>
          <w:rFonts w:cs="Arial"/>
        </w:rPr>
        <w:t xml:space="preserve">ACMA’s </w:t>
      </w:r>
      <w:r w:rsidRPr="001E2783">
        <w:rPr>
          <w:rFonts w:cs="Arial"/>
        </w:rPr>
        <w:t>ability to meet its KPI targets</w:t>
      </w:r>
      <w:r w:rsidR="004908ED" w:rsidRPr="001E2783">
        <w:rPr>
          <w:rFonts w:cs="Arial"/>
        </w:rPr>
        <w:t>, with:</w:t>
      </w:r>
    </w:p>
    <w:p w14:paraId="76C2F922" w14:textId="77777777" w:rsidR="004908ED" w:rsidRPr="001E2783" w:rsidRDefault="007A577C" w:rsidP="004908ED">
      <w:pPr>
        <w:pStyle w:val="ListBullet"/>
        <w:rPr>
          <w:rFonts w:cs="Arial"/>
        </w:rPr>
      </w:pPr>
      <w:r w:rsidRPr="001E2783">
        <w:rPr>
          <w:rFonts w:cs="Arial"/>
        </w:rPr>
        <w:t>48.9</w:t>
      </w:r>
      <w:r w:rsidR="00D76FA6" w:rsidRPr="001E2783">
        <w:rPr>
          <w:rFonts w:cs="Arial"/>
        </w:rPr>
        <w:t xml:space="preserve"> per cent of assigned licence applications completed within 30 days</w:t>
      </w:r>
    </w:p>
    <w:p w14:paraId="30DC8098" w14:textId="77777777" w:rsidR="004908ED" w:rsidRPr="001E2783" w:rsidRDefault="007A577C" w:rsidP="00AF1826">
      <w:pPr>
        <w:pStyle w:val="ListBullet"/>
        <w:spacing w:after="240"/>
        <w:rPr>
          <w:rFonts w:cs="Arial"/>
        </w:rPr>
      </w:pPr>
      <w:r w:rsidRPr="001E2783">
        <w:rPr>
          <w:rFonts w:cs="Arial"/>
        </w:rPr>
        <w:t>92.8</w:t>
      </w:r>
      <w:r w:rsidR="00D76FA6" w:rsidRPr="001E2783">
        <w:rPr>
          <w:rFonts w:cs="Arial"/>
        </w:rPr>
        <w:t xml:space="preserve"> per cent of non-assigned applications completed within 14 days. </w:t>
      </w:r>
    </w:p>
    <w:p w14:paraId="163E08C9" w14:textId="77777777" w:rsidR="007918DE" w:rsidRPr="001E2783" w:rsidRDefault="00D76FA6" w:rsidP="004908ED">
      <w:pPr>
        <w:rPr>
          <w:rFonts w:cs="Arial"/>
        </w:rPr>
      </w:pPr>
      <w:r w:rsidRPr="001E2783">
        <w:rPr>
          <w:rFonts w:cs="Arial"/>
        </w:rPr>
        <w:t>The ACMA worked with stakeholders, including accredited persons, to minimise the impact of delays in processing apparatus licence applications.</w:t>
      </w:r>
    </w:p>
    <w:p w14:paraId="64E3B805" w14:textId="77777777" w:rsidR="007918DE" w:rsidRPr="001E2783" w:rsidRDefault="007918DE" w:rsidP="007918DE">
      <w:pPr>
        <w:outlineLvl w:val="0"/>
        <w:rPr>
          <w:rFonts w:cs="Arial"/>
        </w:rPr>
      </w:pPr>
    </w:p>
    <w:p w14:paraId="0F179014" w14:textId="77777777" w:rsidR="007918DE" w:rsidRPr="001E2783" w:rsidRDefault="007918DE" w:rsidP="007C2BF5">
      <w:pPr>
        <w:pStyle w:val="bodySUBSUBheaderh5"/>
        <w:rPr>
          <w:rFonts w:cs="Arial"/>
        </w:rPr>
      </w:pPr>
      <w:r w:rsidRPr="001E2783">
        <w:rPr>
          <w:rFonts w:cs="Arial"/>
        </w:rPr>
        <w:t>New licences</w:t>
      </w:r>
    </w:p>
    <w:p w14:paraId="15FF1733" w14:textId="77777777" w:rsidR="007918DE" w:rsidRPr="001E2783" w:rsidRDefault="004908ED" w:rsidP="007918DE">
      <w:pPr>
        <w:outlineLvl w:val="0"/>
        <w:rPr>
          <w:rFonts w:cs="Arial"/>
        </w:rPr>
      </w:pPr>
      <w:r w:rsidRPr="001E2783">
        <w:rPr>
          <w:rFonts w:cs="Arial"/>
        </w:rPr>
        <w:t>In 2013–</w:t>
      </w:r>
      <w:r w:rsidR="007918DE" w:rsidRPr="001E2783">
        <w:rPr>
          <w:rFonts w:cs="Arial"/>
        </w:rPr>
        <w:t>14</w:t>
      </w:r>
      <w:r w:rsidRPr="001E2783">
        <w:rPr>
          <w:rFonts w:cs="Arial"/>
        </w:rPr>
        <w:t>,</w:t>
      </w:r>
      <w:r w:rsidR="007918DE" w:rsidRPr="001E2783">
        <w:rPr>
          <w:rFonts w:cs="Arial"/>
        </w:rPr>
        <w:t xml:space="preserve"> </w:t>
      </w:r>
      <w:r w:rsidR="007A577C" w:rsidRPr="001E2783">
        <w:rPr>
          <w:rFonts w:cs="Arial"/>
        </w:rPr>
        <w:t>13,298</w:t>
      </w:r>
      <w:r w:rsidR="007918DE" w:rsidRPr="001E2783">
        <w:rPr>
          <w:rFonts w:cs="Arial"/>
        </w:rPr>
        <w:t xml:space="preserve"> new apparatus licences were issued, bringing the number of current licences at 30 June 2014 to </w:t>
      </w:r>
      <w:r w:rsidR="007A577C" w:rsidRPr="001E2783">
        <w:rPr>
          <w:rFonts w:cs="Arial"/>
        </w:rPr>
        <w:t>158,391</w:t>
      </w:r>
      <w:r w:rsidR="007918DE" w:rsidRPr="001E2783">
        <w:rPr>
          <w:rFonts w:cs="Arial"/>
        </w:rPr>
        <w:t xml:space="preserve"> (see Table 47 in Appendix 4). During the reporting period, </w:t>
      </w:r>
      <w:r w:rsidR="007A577C" w:rsidRPr="001E2783">
        <w:rPr>
          <w:rFonts w:cs="Arial"/>
        </w:rPr>
        <w:t>130,985</w:t>
      </w:r>
      <w:r w:rsidR="007918DE" w:rsidRPr="001E2783">
        <w:rPr>
          <w:rFonts w:cs="Arial"/>
        </w:rPr>
        <w:t xml:space="preserve"> licences were renewed. The number of new licences issued for each of the l</w:t>
      </w:r>
      <w:r w:rsidRPr="001E2783">
        <w:rPr>
          <w:rFonts w:cs="Arial"/>
        </w:rPr>
        <w:t xml:space="preserve">ast three years </w:t>
      </w:r>
      <w:r w:rsidR="007A577C" w:rsidRPr="001E2783">
        <w:rPr>
          <w:rFonts w:cs="Arial"/>
        </w:rPr>
        <w:t xml:space="preserve">increased to 13,298 in 2013–14, after </w:t>
      </w:r>
      <w:r w:rsidRPr="001E2783">
        <w:rPr>
          <w:rFonts w:cs="Arial"/>
        </w:rPr>
        <w:t>decreas</w:t>
      </w:r>
      <w:r w:rsidR="007A577C" w:rsidRPr="001E2783">
        <w:rPr>
          <w:rFonts w:cs="Arial"/>
        </w:rPr>
        <w:t>ing</w:t>
      </w:r>
      <w:r w:rsidRPr="001E2783">
        <w:rPr>
          <w:rFonts w:cs="Arial"/>
        </w:rPr>
        <w:t xml:space="preserve"> from </w:t>
      </w:r>
      <w:r w:rsidR="007918DE" w:rsidRPr="001E2783">
        <w:rPr>
          <w:rFonts w:cs="Arial"/>
        </w:rPr>
        <w:t xml:space="preserve">13,882 in 2011–12 to 12,430 in 2012–13. Over the same period, the annual number of apparatus licences issued has averaged </w:t>
      </w:r>
      <w:r w:rsidR="007A577C" w:rsidRPr="001E2783">
        <w:rPr>
          <w:rFonts w:cs="Arial"/>
        </w:rPr>
        <w:t>13,203</w:t>
      </w:r>
      <w:r w:rsidR="007918DE" w:rsidRPr="001E2783">
        <w:rPr>
          <w:rFonts w:cs="Arial"/>
        </w:rPr>
        <w:t>.</w:t>
      </w:r>
    </w:p>
    <w:p w14:paraId="7629C163" w14:textId="77777777" w:rsidR="007918DE" w:rsidRPr="001E2783" w:rsidRDefault="007918DE" w:rsidP="007918DE">
      <w:pPr>
        <w:outlineLvl w:val="0"/>
        <w:rPr>
          <w:rFonts w:cs="Arial"/>
        </w:rPr>
      </w:pPr>
    </w:p>
    <w:p w14:paraId="3AECE635" w14:textId="53EAC851" w:rsidR="00323EAF" w:rsidRPr="001E2783" w:rsidRDefault="007918DE" w:rsidP="007918DE">
      <w:pPr>
        <w:outlineLvl w:val="0"/>
        <w:rPr>
          <w:rFonts w:cs="Arial"/>
        </w:rPr>
      </w:pPr>
      <w:r w:rsidRPr="001E2783">
        <w:rPr>
          <w:rFonts w:cs="Arial"/>
        </w:rPr>
        <w:t>A total of $</w:t>
      </w:r>
      <w:r w:rsidR="00DA2698" w:rsidRPr="001E2783">
        <w:rPr>
          <w:rFonts w:cs="Arial"/>
        </w:rPr>
        <w:t>170,998</w:t>
      </w:r>
      <w:r w:rsidRPr="001E2783">
        <w:rPr>
          <w:rFonts w:cs="Arial"/>
        </w:rPr>
        <w:t xml:space="preserve"> million in licence tax and charges revenue was received in </w:t>
      </w:r>
      <w:r w:rsidR="00DA2698" w:rsidRPr="001E2783">
        <w:rPr>
          <w:rFonts w:cs="Arial"/>
        </w:rPr>
        <w:br/>
      </w:r>
      <w:r w:rsidRPr="001E2783">
        <w:rPr>
          <w:rFonts w:cs="Arial"/>
        </w:rPr>
        <w:t xml:space="preserve">2013–14 (see Table </w:t>
      </w:r>
      <w:r w:rsidR="00C846BB" w:rsidRPr="001E2783">
        <w:rPr>
          <w:rFonts w:cs="Arial"/>
        </w:rPr>
        <w:t>3</w:t>
      </w:r>
      <w:r w:rsidRPr="001E2783">
        <w:rPr>
          <w:rFonts w:cs="Arial"/>
        </w:rPr>
        <w:t>).</w:t>
      </w:r>
    </w:p>
    <w:p w14:paraId="2D4840D1" w14:textId="77777777" w:rsidR="007918DE" w:rsidRPr="001E2783" w:rsidRDefault="007918DE" w:rsidP="007918DE">
      <w:pPr>
        <w:outlineLvl w:val="0"/>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2D333425" w14:textId="77777777" w:rsidTr="00C902FF">
        <w:trPr>
          <w:trHeight w:val="570"/>
        </w:trPr>
        <w:tc>
          <w:tcPr>
            <w:tcW w:w="9645" w:type="dxa"/>
            <w:tcBorders>
              <w:top w:val="single" w:sz="2" w:space="0" w:color="505050"/>
            </w:tcBorders>
            <w:shd w:val="clear" w:color="auto" w:fill="auto"/>
            <w:vAlign w:val="center"/>
          </w:tcPr>
          <w:p w14:paraId="47EB694B" w14:textId="77777777" w:rsidR="00CC119D" w:rsidRPr="001E2783" w:rsidRDefault="00CC119D" w:rsidP="00C846BB">
            <w:pPr>
              <w:pStyle w:val="Caption"/>
              <w:keepNext/>
              <w:rPr>
                <w:rFonts w:ascii="Arial" w:hAnsi="Arial" w:cs="Arial"/>
                <w:color w:val="auto"/>
              </w:rPr>
            </w:pPr>
            <w:r w:rsidRPr="00D3485F">
              <w:rPr>
                <w:rFonts w:ascii="Arial" w:hAnsi="Arial" w:cs="Arial"/>
              </w:rPr>
              <w:t xml:space="preserve">Table </w:t>
            </w:r>
            <w:r w:rsidR="00C846BB" w:rsidRPr="00D3485F">
              <w:rPr>
                <w:rFonts w:ascii="Arial" w:hAnsi="Arial" w:cs="Arial"/>
              </w:rPr>
              <w:t>3</w:t>
            </w:r>
            <w:r w:rsidRPr="00D3485F">
              <w:rPr>
                <w:rFonts w:ascii="Arial" w:hAnsi="Arial" w:cs="Arial"/>
              </w:rPr>
              <w:t>: Radiocommunications apparatus licences</w:t>
            </w:r>
            <w:r w:rsidR="00323EAF" w:rsidRPr="00D3485F">
              <w:rPr>
                <w:rFonts w:ascii="Arial" w:hAnsi="Arial" w:cs="Arial"/>
              </w:rPr>
              <w:t xml:space="preserve"> issued</w:t>
            </w:r>
            <w:r w:rsidRPr="00D3485F">
              <w:rPr>
                <w:rFonts w:ascii="Arial" w:hAnsi="Arial" w:cs="Arial"/>
              </w:rPr>
              <w:t>, 30 June 201</w:t>
            </w:r>
            <w:r w:rsidR="007918DE" w:rsidRPr="00D3485F">
              <w:rPr>
                <w:rFonts w:ascii="Arial" w:hAnsi="Arial" w:cs="Arial"/>
              </w:rPr>
              <w:t>4</w:t>
            </w:r>
          </w:p>
        </w:tc>
      </w:tr>
      <w:tr w:rsidR="001E2783" w:rsidRPr="001E2783" w14:paraId="203BC838" w14:textId="77777777" w:rsidTr="00586A63">
        <w:trPr>
          <w:cantSplit/>
          <w:trHeight w:val="70"/>
        </w:trPr>
        <w:tc>
          <w:tcPr>
            <w:tcW w:w="9645" w:type="dxa"/>
            <w:shd w:val="clear" w:color="auto" w:fill="auto"/>
            <w:tcMar>
              <w:left w:w="28" w:type="dxa"/>
            </w:tcMar>
          </w:tcPr>
          <w:tbl>
            <w:tblPr>
              <w:tblW w:w="93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6248"/>
              <w:gridCol w:w="3119"/>
            </w:tblGrid>
            <w:tr w:rsidR="001E2783" w:rsidRPr="001E2783" w14:paraId="6FA76289" w14:textId="77777777" w:rsidTr="00F67B91">
              <w:trPr>
                <w:trHeight w:val="313"/>
              </w:trPr>
              <w:tc>
                <w:tcPr>
                  <w:tcW w:w="6248" w:type="dxa"/>
                  <w:shd w:val="clear" w:color="auto" w:fill="404040" w:themeFill="text1" w:themeFillTint="BF"/>
                  <w:tcMar>
                    <w:top w:w="57" w:type="dxa"/>
                    <w:left w:w="57" w:type="dxa"/>
                    <w:bottom w:w="57" w:type="dxa"/>
                    <w:right w:w="57" w:type="dxa"/>
                  </w:tcMar>
                  <w:vAlign w:val="center"/>
                </w:tcPr>
                <w:p w14:paraId="20643760" w14:textId="77777777" w:rsidR="00CC119D" w:rsidRPr="004E4548" w:rsidRDefault="00CC119D" w:rsidP="004908ED">
                  <w:pPr>
                    <w:pStyle w:val="TableHeading"/>
                    <w:rPr>
                      <w:rFonts w:ascii="Arial" w:hAnsi="Arial" w:cs="Arial"/>
                      <w:color w:val="FFFFFF" w:themeColor="background1"/>
                    </w:rPr>
                  </w:pPr>
                  <w:r w:rsidRPr="004E4548">
                    <w:rPr>
                      <w:rFonts w:ascii="Arial" w:hAnsi="Arial" w:cs="Arial"/>
                      <w:color w:val="FFFFFF" w:themeColor="background1"/>
                    </w:rPr>
                    <w:t>Type of licence</w:t>
                  </w:r>
                </w:p>
              </w:tc>
              <w:tc>
                <w:tcPr>
                  <w:tcW w:w="3119" w:type="dxa"/>
                  <w:shd w:val="clear" w:color="auto" w:fill="404040" w:themeFill="text1" w:themeFillTint="BF"/>
                  <w:tcMar>
                    <w:top w:w="57" w:type="dxa"/>
                    <w:left w:w="57" w:type="dxa"/>
                    <w:bottom w:w="57" w:type="dxa"/>
                    <w:right w:w="57" w:type="dxa"/>
                  </w:tcMar>
                  <w:vAlign w:val="center"/>
                </w:tcPr>
                <w:p w14:paraId="3FAD1FBD" w14:textId="77777777" w:rsidR="00CC119D" w:rsidRPr="004E4548" w:rsidRDefault="007918DE" w:rsidP="00AF1826">
                  <w:pPr>
                    <w:pStyle w:val="TableHeading"/>
                    <w:jc w:val="right"/>
                    <w:rPr>
                      <w:rFonts w:ascii="Arial" w:hAnsi="Arial" w:cs="Arial"/>
                      <w:color w:val="FFFFFF" w:themeColor="background1"/>
                    </w:rPr>
                  </w:pPr>
                  <w:r w:rsidRPr="004E4548">
                    <w:rPr>
                      <w:rFonts w:ascii="Arial" w:hAnsi="Arial" w:cs="Arial"/>
                      <w:color w:val="FFFFFF" w:themeColor="background1"/>
                    </w:rPr>
                    <w:t>Revenue 2013–14</w:t>
                  </w:r>
                  <w:r w:rsidR="00CC119D" w:rsidRPr="004E4548">
                    <w:rPr>
                      <w:rFonts w:ascii="Arial" w:hAnsi="Arial" w:cs="Arial"/>
                      <w:color w:val="FFFFFF" w:themeColor="background1"/>
                    </w:rPr>
                    <w:t xml:space="preserve"> ($m)</w:t>
                  </w:r>
                </w:p>
              </w:tc>
            </w:tr>
            <w:tr w:rsidR="001E2783" w:rsidRPr="001E2783" w14:paraId="4887095D" w14:textId="77777777" w:rsidTr="00F67B91">
              <w:trPr>
                <w:trHeight w:val="250"/>
              </w:trPr>
              <w:tc>
                <w:tcPr>
                  <w:tcW w:w="9367" w:type="dxa"/>
                  <w:gridSpan w:val="2"/>
                  <w:shd w:val="clear" w:color="auto" w:fill="D9D9D9" w:themeFill="background1" w:themeFillShade="D9"/>
                  <w:noWrap/>
                  <w:tcMar>
                    <w:top w:w="57" w:type="dxa"/>
                    <w:left w:w="57" w:type="dxa"/>
                    <w:bottom w:w="57" w:type="dxa"/>
                    <w:right w:w="57" w:type="dxa"/>
                  </w:tcMar>
                  <w:vAlign w:val="bottom"/>
                </w:tcPr>
                <w:p w14:paraId="037C098D" w14:textId="77777777" w:rsidR="00CC119D" w:rsidRPr="001E2783" w:rsidRDefault="00CC119D" w:rsidP="004908ED">
                  <w:pPr>
                    <w:pStyle w:val="TableTextLeft"/>
                    <w:rPr>
                      <w:rFonts w:cs="Arial"/>
                      <w:i/>
                      <w:sz w:val="20"/>
                      <w:highlight w:val="yellow"/>
                    </w:rPr>
                  </w:pPr>
                  <w:r w:rsidRPr="001E2783">
                    <w:rPr>
                      <w:rFonts w:cs="Arial"/>
                      <w:i/>
                      <w:sz w:val="20"/>
                    </w:rPr>
                    <w:t>Assigned licences</w:t>
                  </w:r>
                </w:p>
              </w:tc>
            </w:tr>
            <w:tr w:rsidR="001E2783" w:rsidRPr="001E2783" w14:paraId="107147F9" w14:textId="77777777" w:rsidTr="00AD5C37">
              <w:trPr>
                <w:trHeight w:val="250"/>
              </w:trPr>
              <w:tc>
                <w:tcPr>
                  <w:tcW w:w="6248" w:type="dxa"/>
                  <w:noWrap/>
                  <w:tcMar>
                    <w:top w:w="57" w:type="dxa"/>
                    <w:left w:w="57" w:type="dxa"/>
                    <w:bottom w:w="57" w:type="dxa"/>
                    <w:right w:w="57" w:type="dxa"/>
                  </w:tcMar>
                  <w:vAlign w:val="bottom"/>
                </w:tcPr>
                <w:p w14:paraId="7F7F15E4" w14:textId="77777777" w:rsidR="00DA2698" w:rsidRPr="001E2783" w:rsidRDefault="00DA2698" w:rsidP="00DA2698">
                  <w:pPr>
                    <w:pStyle w:val="TableTextLeft"/>
                    <w:rPr>
                      <w:rFonts w:cs="Arial"/>
                      <w:sz w:val="20"/>
                    </w:rPr>
                  </w:pPr>
                  <w:r w:rsidRPr="001E2783">
                    <w:rPr>
                      <w:rFonts w:cs="Arial"/>
                      <w:sz w:val="20"/>
                    </w:rPr>
                    <w:t>Public telecommunications service</w:t>
                  </w:r>
                </w:p>
              </w:tc>
              <w:tc>
                <w:tcPr>
                  <w:tcW w:w="3119" w:type="dxa"/>
                  <w:noWrap/>
                  <w:tcMar>
                    <w:top w:w="57" w:type="dxa"/>
                    <w:left w:w="57" w:type="dxa"/>
                    <w:bottom w:w="57" w:type="dxa"/>
                    <w:right w:w="57" w:type="dxa"/>
                  </w:tcMar>
                </w:tcPr>
                <w:p w14:paraId="4977B541" w14:textId="6427F7AF" w:rsidR="00DA2698" w:rsidRPr="001E2783" w:rsidRDefault="00DA2698" w:rsidP="00DA2698">
                  <w:pPr>
                    <w:pStyle w:val="TableTextLeft"/>
                    <w:jc w:val="right"/>
                    <w:rPr>
                      <w:rFonts w:cs="Arial"/>
                      <w:bCs/>
                      <w:kern w:val="32"/>
                      <w:sz w:val="20"/>
                    </w:rPr>
                  </w:pPr>
                  <w:r w:rsidRPr="001E2783">
                    <w:rPr>
                      <w:rFonts w:cs="Arial"/>
                      <w:sz w:val="20"/>
                    </w:rPr>
                    <w:t>80.952</w:t>
                  </w:r>
                </w:p>
              </w:tc>
            </w:tr>
            <w:tr w:rsidR="001E2783" w:rsidRPr="001E2783" w14:paraId="3785A942" w14:textId="77777777" w:rsidTr="00F67B91">
              <w:trPr>
                <w:trHeight w:val="250"/>
              </w:trPr>
              <w:tc>
                <w:tcPr>
                  <w:tcW w:w="6248" w:type="dxa"/>
                  <w:noWrap/>
                  <w:tcMar>
                    <w:top w:w="57" w:type="dxa"/>
                    <w:left w:w="57" w:type="dxa"/>
                    <w:bottom w:w="57" w:type="dxa"/>
                    <w:right w:w="57" w:type="dxa"/>
                  </w:tcMar>
                  <w:vAlign w:val="bottom"/>
                </w:tcPr>
                <w:p w14:paraId="64E2C843" w14:textId="77777777" w:rsidR="00DA2698" w:rsidRPr="001E2783" w:rsidRDefault="00DA2698" w:rsidP="00DA2698">
                  <w:pPr>
                    <w:pStyle w:val="TableTextLeft"/>
                    <w:rPr>
                      <w:rFonts w:cs="Arial"/>
                      <w:sz w:val="20"/>
                    </w:rPr>
                  </w:pPr>
                  <w:r w:rsidRPr="001E2783">
                    <w:rPr>
                      <w:rFonts w:cs="Arial"/>
                      <w:sz w:val="20"/>
                    </w:rPr>
                    <w:t>Fixed</w:t>
                  </w:r>
                </w:p>
              </w:tc>
              <w:tc>
                <w:tcPr>
                  <w:tcW w:w="3119" w:type="dxa"/>
                  <w:noWrap/>
                  <w:tcMar>
                    <w:top w:w="57" w:type="dxa"/>
                    <w:left w:w="57" w:type="dxa"/>
                    <w:bottom w:w="57" w:type="dxa"/>
                    <w:right w:w="57" w:type="dxa"/>
                  </w:tcMar>
                </w:tcPr>
                <w:p w14:paraId="6B29A401" w14:textId="367460CC" w:rsidR="00DA2698" w:rsidRPr="001E2783" w:rsidRDefault="00DA2698" w:rsidP="00DA2698">
                  <w:pPr>
                    <w:pStyle w:val="TableTextLeft"/>
                    <w:jc w:val="right"/>
                    <w:rPr>
                      <w:rFonts w:cs="Arial"/>
                      <w:sz w:val="20"/>
                    </w:rPr>
                  </w:pPr>
                  <w:r w:rsidRPr="001E2783">
                    <w:rPr>
                      <w:rFonts w:cs="Arial"/>
                      <w:sz w:val="20"/>
                    </w:rPr>
                    <w:t>55.958</w:t>
                  </w:r>
                </w:p>
              </w:tc>
            </w:tr>
            <w:tr w:rsidR="001E2783" w:rsidRPr="001E2783" w14:paraId="7D31C997" w14:textId="77777777" w:rsidTr="00F67B91">
              <w:trPr>
                <w:trHeight w:val="250"/>
              </w:trPr>
              <w:tc>
                <w:tcPr>
                  <w:tcW w:w="6248" w:type="dxa"/>
                  <w:noWrap/>
                  <w:tcMar>
                    <w:top w:w="57" w:type="dxa"/>
                    <w:left w:w="57" w:type="dxa"/>
                    <w:bottom w:w="57" w:type="dxa"/>
                    <w:right w:w="57" w:type="dxa"/>
                  </w:tcMar>
                  <w:vAlign w:val="bottom"/>
                </w:tcPr>
                <w:p w14:paraId="1DBB1C39" w14:textId="77777777" w:rsidR="00DA2698" w:rsidRPr="001E2783" w:rsidRDefault="00DA2698" w:rsidP="00DA2698">
                  <w:pPr>
                    <w:pStyle w:val="TableTextLeft"/>
                    <w:rPr>
                      <w:rFonts w:cs="Arial"/>
                      <w:sz w:val="20"/>
                    </w:rPr>
                  </w:pPr>
                  <w:r w:rsidRPr="001E2783">
                    <w:rPr>
                      <w:rFonts w:cs="Arial"/>
                      <w:sz w:val="20"/>
                    </w:rPr>
                    <w:t>Land mobile</w:t>
                  </w:r>
                </w:p>
              </w:tc>
              <w:tc>
                <w:tcPr>
                  <w:tcW w:w="3119" w:type="dxa"/>
                  <w:noWrap/>
                  <w:tcMar>
                    <w:top w:w="57" w:type="dxa"/>
                    <w:left w:w="57" w:type="dxa"/>
                    <w:bottom w:w="57" w:type="dxa"/>
                    <w:right w:w="57" w:type="dxa"/>
                  </w:tcMar>
                </w:tcPr>
                <w:p w14:paraId="2E3688FB" w14:textId="35E5144C" w:rsidR="00DA2698" w:rsidRPr="001E2783" w:rsidRDefault="00DA2698" w:rsidP="00DA2698">
                  <w:pPr>
                    <w:pStyle w:val="TableTextLeft"/>
                    <w:jc w:val="right"/>
                    <w:rPr>
                      <w:rFonts w:cs="Arial"/>
                      <w:sz w:val="20"/>
                    </w:rPr>
                  </w:pPr>
                  <w:r w:rsidRPr="001E2783">
                    <w:rPr>
                      <w:rFonts w:cs="Arial"/>
                      <w:sz w:val="20"/>
                    </w:rPr>
                    <w:t>43.980</w:t>
                  </w:r>
                </w:p>
              </w:tc>
            </w:tr>
            <w:tr w:rsidR="001E2783" w:rsidRPr="001E2783" w14:paraId="2913ACCE" w14:textId="77777777" w:rsidTr="00F67B91">
              <w:trPr>
                <w:trHeight w:val="250"/>
              </w:trPr>
              <w:tc>
                <w:tcPr>
                  <w:tcW w:w="6248" w:type="dxa"/>
                  <w:noWrap/>
                  <w:tcMar>
                    <w:top w:w="57" w:type="dxa"/>
                    <w:left w:w="57" w:type="dxa"/>
                    <w:bottom w:w="57" w:type="dxa"/>
                    <w:right w:w="57" w:type="dxa"/>
                  </w:tcMar>
                  <w:vAlign w:val="bottom"/>
                </w:tcPr>
                <w:p w14:paraId="7A0F9FD6" w14:textId="77777777" w:rsidR="00DA2698" w:rsidRPr="001E2783" w:rsidRDefault="00DA2698" w:rsidP="00DA2698">
                  <w:pPr>
                    <w:pStyle w:val="TableTextLeft"/>
                    <w:rPr>
                      <w:rFonts w:cs="Arial"/>
                      <w:sz w:val="20"/>
                    </w:rPr>
                  </w:pPr>
                  <w:r w:rsidRPr="001E2783">
                    <w:rPr>
                      <w:rFonts w:cs="Arial"/>
                      <w:sz w:val="20"/>
                    </w:rPr>
                    <w:t>Satellite*</w:t>
                  </w:r>
                </w:p>
              </w:tc>
              <w:tc>
                <w:tcPr>
                  <w:tcW w:w="3119" w:type="dxa"/>
                  <w:noWrap/>
                  <w:tcMar>
                    <w:top w:w="57" w:type="dxa"/>
                    <w:left w:w="57" w:type="dxa"/>
                    <w:bottom w:w="57" w:type="dxa"/>
                    <w:right w:w="57" w:type="dxa"/>
                  </w:tcMar>
                </w:tcPr>
                <w:p w14:paraId="4473C9DB" w14:textId="68DA279A" w:rsidR="00DA2698" w:rsidRPr="001E2783" w:rsidRDefault="00DA2698" w:rsidP="00DA2698">
                  <w:pPr>
                    <w:pStyle w:val="TableTextLeft"/>
                    <w:jc w:val="right"/>
                    <w:rPr>
                      <w:rFonts w:cs="Arial"/>
                      <w:sz w:val="20"/>
                    </w:rPr>
                  </w:pPr>
                  <w:r w:rsidRPr="001E2783">
                    <w:rPr>
                      <w:rFonts w:cs="Arial"/>
                      <w:sz w:val="20"/>
                    </w:rPr>
                    <w:t>4.339</w:t>
                  </w:r>
                </w:p>
              </w:tc>
            </w:tr>
            <w:tr w:rsidR="001E2783" w:rsidRPr="001E2783" w14:paraId="132253F0" w14:textId="77777777" w:rsidTr="00F67B91">
              <w:trPr>
                <w:trHeight w:val="250"/>
              </w:trPr>
              <w:tc>
                <w:tcPr>
                  <w:tcW w:w="6248" w:type="dxa"/>
                  <w:noWrap/>
                  <w:tcMar>
                    <w:top w:w="57" w:type="dxa"/>
                    <w:left w:w="57" w:type="dxa"/>
                    <w:bottom w:w="57" w:type="dxa"/>
                    <w:right w:w="57" w:type="dxa"/>
                  </w:tcMar>
                  <w:vAlign w:val="bottom"/>
                </w:tcPr>
                <w:p w14:paraId="72D910EE" w14:textId="77777777" w:rsidR="00DA2698" w:rsidRPr="001E2783" w:rsidRDefault="00DA2698" w:rsidP="00DA2698">
                  <w:pPr>
                    <w:pStyle w:val="TableTextLeft"/>
                    <w:rPr>
                      <w:rFonts w:cs="Arial"/>
                      <w:sz w:val="20"/>
                    </w:rPr>
                  </w:pPr>
                  <w:r w:rsidRPr="001E2783">
                    <w:rPr>
                      <w:rFonts w:cs="Arial"/>
                      <w:sz w:val="20"/>
                    </w:rPr>
                    <w:t>Defence</w:t>
                  </w:r>
                </w:p>
              </w:tc>
              <w:tc>
                <w:tcPr>
                  <w:tcW w:w="3119" w:type="dxa"/>
                  <w:noWrap/>
                  <w:tcMar>
                    <w:top w:w="57" w:type="dxa"/>
                    <w:left w:w="57" w:type="dxa"/>
                    <w:bottom w:w="57" w:type="dxa"/>
                    <w:right w:w="57" w:type="dxa"/>
                  </w:tcMar>
                </w:tcPr>
                <w:p w14:paraId="0C6B8036" w14:textId="4B117F4F" w:rsidR="00DA2698" w:rsidRPr="001E2783" w:rsidRDefault="00DA2698" w:rsidP="00DA2698">
                  <w:pPr>
                    <w:pStyle w:val="TableTextLeft"/>
                    <w:jc w:val="right"/>
                    <w:rPr>
                      <w:rFonts w:cs="Arial"/>
                      <w:sz w:val="20"/>
                    </w:rPr>
                  </w:pPr>
                  <w:r w:rsidRPr="001E2783">
                    <w:rPr>
                      <w:rFonts w:cs="Arial"/>
                      <w:sz w:val="20"/>
                    </w:rPr>
                    <w:t>11.300</w:t>
                  </w:r>
                </w:p>
              </w:tc>
            </w:tr>
            <w:tr w:rsidR="001E2783" w:rsidRPr="001E2783" w14:paraId="0A786B00" w14:textId="77777777" w:rsidTr="00F67B91">
              <w:trPr>
                <w:trHeight w:val="250"/>
              </w:trPr>
              <w:tc>
                <w:tcPr>
                  <w:tcW w:w="6248" w:type="dxa"/>
                  <w:noWrap/>
                  <w:tcMar>
                    <w:top w:w="57" w:type="dxa"/>
                    <w:left w:w="57" w:type="dxa"/>
                    <w:bottom w:w="57" w:type="dxa"/>
                    <w:right w:w="57" w:type="dxa"/>
                  </w:tcMar>
                  <w:vAlign w:val="bottom"/>
                </w:tcPr>
                <w:p w14:paraId="26FADA22" w14:textId="77777777" w:rsidR="00DA2698" w:rsidRPr="001E2783" w:rsidRDefault="00DA2698" w:rsidP="00DA2698">
                  <w:pPr>
                    <w:pStyle w:val="TableTextLeft"/>
                    <w:rPr>
                      <w:rFonts w:cs="Arial"/>
                      <w:sz w:val="20"/>
                    </w:rPr>
                  </w:pPr>
                  <w:r w:rsidRPr="001E2783">
                    <w:rPr>
                      <w:rFonts w:cs="Arial"/>
                      <w:sz w:val="20"/>
                    </w:rPr>
                    <w:t>Other</w:t>
                  </w:r>
                </w:p>
              </w:tc>
              <w:tc>
                <w:tcPr>
                  <w:tcW w:w="3119" w:type="dxa"/>
                  <w:noWrap/>
                  <w:tcMar>
                    <w:top w:w="57" w:type="dxa"/>
                    <w:left w:w="57" w:type="dxa"/>
                    <w:bottom w:w="57" w:type="dxa"/>
                    <w:right w:w="57" w:type="dxa"/>
                  </w:tcMar>
                </w:tcPr>
                <w:p w14:paraId="008F09D2" w14:textId="37800069" w:rsidR="00DA2698" w:rsidRPr="001E2783" w:rsidRDefault="00DA2698" w:rsidP="00DA2698">
                  <w:pPr>
                    <w:pStyle w:val="TableTextLeft"/>
                    <w:jc w:val="right"/>
                    <w:rPr>
                      <w:rFonts w:cs="Arial"/>
                      <w:sz w:val="20"/>
                    </w:rPr>
                  </w:pPr>
                  <w:r w:rsidRPr="001E2783">
                    <w:rPr>
                      <w:rFonts w:cs="Arial"/>
                      <w:sz w:val="20"/>
                    </w:rPr>
                    <w:t>3.125</w:t>
                  </w:r>
                </w:p>
              </w:tc>
            </w:tr>
            <w:tr w:rsidR="001E2783" w:rsidRPr="001E2783" w14:paraId="47F1ABED" w14:textId="77777777" w:rsidTr="00F67B91">
              <w:trPr>
                <w:trHeight w:val="250"/>
              </w:trPr>
              <w:tc>
                <w:tcPr>
                  <w:tcW w:w="6248" w:type="dxa"/>
                  <w:noWrap/>
                  <w:tcMar>
                    <w:top w:w="57" w:type="dxa"/>
                    <w:left w:w="57" w:type="dxa"/>
                    <w:bottom w:w="57" w:type="dxa"/>
                    <w:right w:w="57" w:type="dxa"/>
                  </w:tcMar>
                  <w:vAlign w:val="bottom"/>
                </w:tcPr>
                <w:p w14:paraId="48AD8AD6" w14:textId="77777777" w:rsidR="00DA2698" w:rsidRPr="001E2783" w:rsidRDefault="00DA2698" w:rsidP="00DA2698">
                  <w:pPr>
                    <w:pStyle w:val="TableTextLeft"/>
                    <w:rPr>
                      <w:rFonts w:cs="Arial"/>
                      <w:b/>
                      <w:bCs/>
                      <w:sz w:val="20"/>
                    </w:rPr>
                  </w:pPr>
                  <w:r w:rsidRPr="001E2783">
                    <w:rPr>
                      <w:rFonts w:cs="Arial"/>
                      <w:b/>
                      <w:bCs/>
                      <w:sz w:val="20"/>
                    </w:rPr>
                    <w:t>Total assigned licences</w:t>
                  </w:r>
                </w:p>
              </w:tc>
              <w:tc>
                <w:tcPr>
                  <w:tcW w:w="3119" w:type="dxa"/>
                  <w:noWrap/>
                  <w:tcMar>
                    <w:top w:w="57" w:type="dxa"/>
                    <w:left w:w="57" w:type="dxa"/>
                    <w:bottom w:w="57" w:type="dxa"/>
                    <w:right w:w="57" w:type="dxa"/>
                  </w:tcMar>
                </w:tcPr>
                <w:p w14:paraId="44B3FCAF" w14:textId="47AE2526" w:rsidR="00DA2698" w:rsidRPr="001E2783" w:rsidRDefault="00DA2698" w:rsidP="00DA2698">
                  <w:pPr>
                    <w:pStyle w:val="TableTextLeft"/>
                    <w:jc w:val="right"/>
                    <w:rPr>
                      <w:rFonts w:cs="Arial"/>
                      <w:sz w:val="20"/>
                    </w:rPr>
                  </w:pPr>
                  <w:r w:rsidRPr="001E2783">
                    <w:rPr>
                      <w:rFonts w:cs="Arial"/>
                      <w:sz w:val="20"/>
                    </w:rPr>
                    <w:t>199.654</w:t>
                  </w:r>
                </w:p>
              </w:tc>
            </w:tr>
            <w:tr w:rsidR="001E2783" w:rsidRPr="001E2783" w14:paraId="05967A89" w14:textId="77777777" w:rsidTr="00F67B91">
              <w:trPr>
                <w:trHeight w:val="250"/>
              </w:trPr>
              <w:tc>
                <w:tcPr>
                  <w:tcW w:w="6248" w:type="dxa"/>
                  <w:shd w:val="clear" w:color="auto" w:fill="D9D9D9" w:themeFill="background1" w:themeFillShade="D9"/>
                  <w:noWrap/>
                  <w:tcMar>
                    <w:top w:w="57" w:type="dxa"/>
                    <w:left w:w="57" w:type="dxa"/>
                    <w:bottom w:w="57" w:type="dxa"/>
                    <w:right w:w="57" w:type="dxa"/>
                  </w:tcMar>
                  <w:vAlign w:val="bottom"/>
                </w:tcPr>
                <w:p w14:paraId="1D5D8196" w14:textId="77777777" w:rsidR="00DA2698" w:rsidRPr="001E2783" w:rsidRDefault="00DA2698" w:rsidP="00DA2698">
                  <w:pPr>
                    <w:pStyle w:val="TableTextLeft"/>
                    <w:rPr>
                      <w:rFonts w:cs="Arial"/>
                      <w:i/>
                      <w:sz w:val="20"/>
                    </w:rPr>
                  </w:pPr>
                  <w:r w:rsidRPr="001E2783">
                    <w:rPr>
                      <w:rFonts w:cs="Arial"/>
                      <w:i/>
                      <w:sz w:val="20"/>
                    </w:rPr>
                    <w:t>Non-assigned licences</w:t>
                  </w:r>
                </w:p>
              </w:tc>
              <w:tc>
                <w:tcPr>
                  <w:tcW w:w="3119" w:type="dxa"/>
                  <w:shd w:val="clear" w:color="auto" w:fill="D9D9D9" w:themeFill="background1" w:themeFillShade="D9"/>
                  <w:noWrap/>
                  <w:tcMar>
                    <w:top w:w="57" w:type="dxa"/>
                    <w:left w:w="57" w:type="dxa"/>
                    <w:bottom w:w="57" w:type="dxa"/>
                    <w:right w:w="57" w:type="dxa"/>
                  </w:tcMar>
                </w:tcPr>
                <w:p w14:paraId="27410CD8" w14:textId="2476644A" w:rsidR="00DA2698" w:rsidRPr="001E2783" w:rsidRDefault="00DA2698" w:rsidP="00DA2698">
                  <w:pPr>
                    <w:pStyle w:val="TableTextLeft"/>
                    <w:jc w:val="right"/>
                    <w:rPr>
                      <w:rFonts w:cs="Arial"/>
                      <w:sz w:val="20"/>
                    </w:rPr>
                  </w:pPr>
                  <w:r w:rsidRPr="001E2783">
                    <w:rPr>
                      <w:rFonts w:cs="Arial"/>
                      <w:sz w:val="20"/>
                    </w:rPr>
                    <w:t>1.348</w:t>
                  </w:r>
                </w:p>
              </w:tc>
            </w:tr>
            <w:tr w:rsidR="001E2783" w:rsidRPr="001E2783" w14:paraId="188D1378" w14:textId="77777777" w:rsidTr="00F67B91">
              <w:trPr>
                <w:trHeight w:val="250"/>
              </w:trPr>
              <w:tc>
                <w:tcPr>
                  <w:tcW w:w="6248" w:type="dxa"/>
                  <w:noWrap/>
                  <w:tcMar>
                    <w:top w:w="57" w:type="dxa"/>
                    <w:left w:w="57" w:type="dxa"/>
                    <w:bottom w:w="57" w:type="dxa"/>
                    <w:right w:w="57" w:type="dxa"/>
                  </w:tcMar>
                  <w:vAlign w:val="bottom"/>
                </w:tcPr>
                <w:p w14:paraId="78E798DB" w14:textId="77777777" w:rsidR="00DA2698" w:rsidRPr="001E2783" w:rsidRDefault="00DA2698" w:rsidP="00DA2698">
                  <w:pPr>
                    <w:pStyle w:val="TableTextLeft"/>
                    <w:rPr>
                      <w:rFonts w:cs="Arial"/>
                      <w:b/>
                      <w:bCs/>
                      <w:sz w:val="20"/>
                    </w:rPr>
                  </w:pPr>
                  <w:r w:rsidRPr="001E2783">
                    <w:rPr>
                      <w:rFonts w:cs="Arial"/>
                      <w:b/>
                      <w:bCs/>
                      <w:sz w:val="20"/>
                    </w:rPr>
                    <w:t>Total</w:t>
                  </w:r>
                </w:p>
              </w:tc>
              <w:tc>
                <w:tcPr>
                  <w:tcW w:w="3119" w:type="dxa"/>
                  <w:noWrap/>
                  <w:tcMar>
                    <w:top w:w="57" w:type="dxa"/>
                    <w:left w:w="57" w:type="dxa"/>
                    <w:bottom w:w="57" w:type="dxa"/>
                    <w:right w:w="57" w:type="dxa"/>
                  </w:tcMar>
                </w:tcPr>
                <w:p w14:paraId="67E00783" w14:textId="227A5EF4" w:rsidR="00DA2698" w:rsidRPr="001E2783" w:rsidRDefault="00DA2698" w:rsidP="00DA2698">
                  <w:pPr>
                    <w:pStyle w:val="TableTextLeft"/>
                    <w:jc w:val="right"/>
                    <w:rPr>
                      <w:rFonts w:cs="Arial"/>
                      <w:b/>
                      <w:sz w:val="20"/>
                    </w:rPr>
                  </w:pPr>
                  <w:r w:rsidRPr="001E2783">
                    <w:rPr>
                      <w:rFonts w:cs="Arial"/>
                      <w:sz w:val="20"/>
                    </w:rPr>
                    <w:t>201.002</w:t>
                  </w:r>
                </w:p>
              </w:tc>
            </w:tr>
          </w:tbl>
          <w:p w14:paraId="7730A521" w14:textId="77777777" w:rsidR="00CC119D" w:rsidRPr="001E2783" w:rsidRDefault="00CC119D" w:rsidP="00C902FF">
            <w:pPr>
              <w:ind w:left="720"/>
              <w:rPr>
                <w:rFonts w:cs="Arial"/>
              </w:rPr>
            </w:pPr>
          </w:p>
        </w:tc>
      </w:tr>
      <w:tr w:rsidR="00CC119D" w:rsidRPr="001E2783" w14:paraId="3F221294" w14:textId="77777777" w:rsidTr="00586A63">
        <w:trPr>
          <w:cantSplit/>
          <w:trHeight w:val="291"/>
        </w:trPr>
        <w:tc>
          <w:tcPr>
            <w:tcW w:w="9645" w:type="dxa"/>
            <w:tcBorders>
              <w:bottom w:val="single" w:sz="2" w:space="0" w:color="505050"/>
            </w:tcBorders>
            <w:shd w:val="clear" w:color="auto" w:fill="auto"/>
          </w:tcPr>
          <w:p w14:paraId="307CCF1B" w14:textId="77777777" w:rsidR="00CC119D" w:rsidRPr="001E2783" w:rsidRDefault="00CC119D" w:rsidP="003B5919">
            <w:pPr>
              <w:spacing w:before="120"/>
              <w:rPr>
                <w:rFonts w:cs="Arial"/>
                <w:i/>
                <w:sz w:val="16"/>
                <w:szCs w:val="16"/>
              </w:rPr>
            </w:pPr>
            <w:r w:rsidRPr="001E2783">
              <w:rPr>
                <w:rFonts w:cs="Arial"/>
                <w:i/>
                <w:sz w:val="16"/>
                <w:szCs w:val="16"/>
              </w:rPr>
              <w:t>*Includes Earth, space, Earth receive and space receive licences.</w:t>
            </w:r>
          </w:p>
        </w:tc>
      </w:tr>
    </w:tbl>
    <w:p w14:paraId="192F9474" w14:textId="77777777" w:rsidR="00CC119D" w:rsidRPr="001E2783" w:rsidRDefault="00CC119D" w:rsidP="00CC119D">
      <w:pPr>
        <w:rPr>
          <w:rFonts w:cs="Arial"/>
        </w:rPr>
      </w:pPr>
    </w:p>
    <w:p w14:paraId="515EF411" w14:textId="77777777" w:rsidR="00CC119D" w:rsidRPr="001E2783" w:rsidRDefault="00CC119D" w:rsidP="005761BF">
      <w:pPr>
        <w:pStyle w:val="bodySUBSUBheaderh5"/>
        <w:rPr>
          <w:rFonts w:cs="Arial"/>
        </w:rPr>
      </w:pPr>
      <w:r w:rsidRPr="001E2783">
        <w:rPr>
          <w:rFonts w:cs="Arial"/>
        </w:rPr>
        <w:t>Price-based apparatus licence allocations</w:t>
      </w:r>
      <w:r w:rsidR="00263C57" w:rsidRPr="001E2783">
        <w:rPr>
          <w:rFonts w:cs="Arial"/>
        </w:rPr>
        <w:t>—</w:t>
      </w:r>
      <w:r w:rsidR="00BF4799" w:rsidRPr="001E2783">
        <w:rPr>
          <w:rFonts w:cs="Arial"/>
        </w:rPr>
        <w:t>LPON</w:t>
      </w:r>
      <w:r w:rsidRPr="001E2783">
        <w:rPr>
          <w:rFonts w:cs="Arial"/>
        </w:rPr>
        <w:t xml:space="preserve"> licences</w:t>
      </w:r>
    </w:p>
    <w:p w14:paraId="42C6066B" w14:textId="77777777" w:rsidR="007918DE" w:rsidRPr="001E2783" w:rsidRDefault="007918DE" w:rsidP="007918DE">
      <w:pPr>
        <w:rPr>
          <w:rFonts w:cs="Arial"/>
        </w:rPr>
      </w:pPr>
      <w:r w:rsidRPr="001E2783">
        <w:rPr>
          <w:rFonts w:cs="Arial"/>
        </w:rPr>
        <w:t xml:space="preserve">Every three months, the ACMA offers to allocate </w:t>
      </w:r>
      <w:r w:rsidR="00A60C27" w:rsidRPr="001E2783">
        <w:rPr>
          <w:rFonts w:cs="Arial"/>
        </w:rPr>
        <w:t>LPON</w:t>
      </w:r>
      <w:r w:rsidRPr="001E2783">
        <w:rPr>
          <w:rFonts w:cs="Arial"/>
        </w:rPr>
        <w:t xml:space="preserve"> licences and holds auctions where there are competing applications. LPON licences allow for the provision of niche radio services, such as tourist radio and racing information, or ethnic and religious programming. They operate at very low power outputs and serve relatively small areas. During 2013–14, the ACMA allocated an additional </w:t>
      </w:r>
      <w:r w:rsidR="007A577C" w:rsidRPr="001E2783">
        <w:rPr>
          <w:rFonts w:cs="Arial"/>
        </w:rPr>
        <w:t>45</w:t>
      </w:r>
      <w:r w:rsidRPr="001E2783">
        <w:rPr>
          <w:rFonts w:cs="Arial"/>
        </w:rPr>
        <w:t xml:space="preserve"> LPON licences, raising revenue of $</w:t>
      </w:r>
      <w:r w:rsidR="007A577C" w:rsidRPr="001E2783">
        <w:rPr>
          <w:rFonts w:cs="Arial"/>
        </w:rPr>
        <w:t>20,750</w:t>
      </w:r>
      <w:r w:rsidRPr="001E2783">
        <w:rPr>
          <w:rFonts w:cs="Arial"/>
        </w:rPr>
        <w:t>.</w:t>
      </w:r>
    </w:p>
    <w:p w14:paraId="41F11355" w14:textId="77777777" w:rsidR="00CC119D" w:rsidRPr="001E2783" w:rsidRDefault="00CC119D" w:rsidP="00CC119D">
      <w:pPr>
        <w:rPr>
          <w:rFonts w:cs="Arial"/>
        </w:rPr>
      </w:pPr>
    </w:p>
    <w:p w14:paraId="587F8343" w14:textId="77777777" w:rsidR="00C82F36" w:rsidRPr="001E2783" w:rsidRDefault="00C82F36" w:rsidP="00C82F36">
      <w:pPr>
        <w:pStyle w:val="bodySUBSUBheaderh5"/>
        <w:rPr>
          <w:rFonts w:cs="Arial"/>
        </w:rPr>
      </w:pPr>
      <w:r w:rsidRPr="001E2783">
        <w:rPr>
          <w:rFonts w:cs="Arial"/>
        </w:rPr>
        <w:t>400 MHz band implementation</w:t>
      </w:r>
    </w:p>
    <w:p w14:paraId="2EDB83F2" w14:textId="77777777" w:rsidR="007918DE" w:rsidRPr="001E2783" w:rsidRDefault="007918DE" w:rsidP="007918DE">
      <w:pPr>
        <w:rPr>
          <w:rFonts w:cs="Arial"/>
          <w:szCs w:val="20"/>
        </w:rPr>
      </w:pPr>
      <w:r w:rsidRPr="001E2783">
        <w:rPr>
          <w:rFonts w:cs="Arial"/>
          <w:szCs w:val="20"/>
        </w:rPr>
        <w:t>The ACMA continued to work with industry and government to implement new arrangements for the 400 MHz band during 2</w:t>
      </w:r>
      <w:r w:rsidR="00A60C27" w:rsidRPr="001E2783">
        <w:rPr>
          <w:rFonts w:cs="Arial"/>
          <w:szCs w:val="20"/>
        </w:rPr>
        <w:t xml:space="preserve">013–14. </w:t>
      </w:r>
      <w:r w:rsidRPr="001E2783">
        <w:rPr>
          <w:rFonts w:cs="Arial"/>
          <w:szCs w:val="20"/>
        </w:rPr>
        <w:t>A high percentage of licensees needing to meet the first milestone requirements (mainly involving bandwidth reduction) made the necessary changes to their networks in 2013. The implementation process has provided lengthy lead times for each milestone to allow licensees in industry and government to identify their requirements, budget and plan on how best to meet them</w:t>
      </w:r>
      <w:r w:rsidR="00A60C27" w:rsidRPr="001E2783">
        <w:rPr>
          <w:rFonts w:cs="Arial"/>
          <w:szCs w:val="20"/>
        </w:rPr>
        <w:t>,</w:t>
      </w:r>
      <w:r w:rsidRPr="001E2783">
        <w:rPr>
          <w:rFonts w:cs="Arial"/>
          <w:szCs w:val="20"/>
        </w:rPr>
        <w:t xml:space="preserve"> and implement network upgrades or replacements.</w:t>
      </w:r>
    </w:p>
    <w:p w14:paraId="3661B641" w14:textId="77777777" w:rsidR="007918DE" w:rsidRPr="001E2783" w:rsidRDefault="007918DE" w:rsidP="007918DE">
      <w:pPr>
        <w:rPr>
          <w:rFonts w:cs="Arial"/>
          <w:szCs w:val="20"/>
        </w:rPr>
      </w:pPr>
    </w:p>
    <w:p w14:paraId="5D999F32" w14:textId="77777777" w:rsidR="007918DE" w:rsidRPr="001E2783" w:rsidRDefault="007918DE" w:rsidP="007918DE">
      <w:pPr>
        <w:rPr>
          <w:rFonts w:cs="Arial"/>
          <w:szCs w:val="20"/>
        </w:rPr>
      </w:pPr>
      <w:r w:rsidRPr="001E2783">
        <w:rPr>
          <w:rFonts w:cs="Arial"/>
          <w:szCs w:val="20"/>
        </w:rPr>
        <w:t>Implementation of the second milestone will commence in Adelaide, Brisbane, Melbourne, Per</w:t>
      </w:r>
      <w:r w:rsidR="00A60C27" w:rsidRPr="001E2783">
        <w:rPr>
          <w:rFonts w:cs="Arial"/>
          <w:szCs w:val="20"/>
        </w:rPr>
        <w:t xml:space="preserve">th and Sydney in January 2015. </w:t>
      </w:r>
      <w:r w:rsidRPr="001E2783">
        <w:rPr>
          <w:rFonts w:cs="Arial"/>
          <w:szCs w:val="20"/>
        </w:rPr>
        <w:t xml:space="preserve">Once completed, </w:t>
      </w:r>
      <w:r w:rsidRPr="001E2783">
        <w:rPr>
          <w:rFonts w:cs="Arial"/>
        </w:rPr>
        <w:t xml:space="preserve">harmonised spectrum will be available for use by government agencies, giving them the opportunity to enhance </w:t>
      </w:r>
      <w:r w:rsidRPr="001E2783">
        <w:rPr>
          <w:rFonts w:cs="Arial"/>
          <w:szCs w:val="20"/>
        </w:rPr>
        <w:t>interoperability within and between state, territory and federal emergency services. The ACMA is now working with industry and government to facilitate and support preparation for the changes that will occur in 2015.</w:t>
      </w:r>
    </w:p>
    <w:p w14:paraId="697D3B38" w14:textId="77777777" w:rsidR="007918DE" w:rsidRPr="001E2783" w:rsidRDefault="007918DE" w:rsidP="007918DE">
      <w:pPr>
        <w:rPr>
          <w:rFonts w:cs="Arial"/>
          <w:szCs w:val="20"/>
        </w:rPr>
      </w:pPr>
    </w:p>
    <w:p w14:paraId="0455CF6E" w14:textId="77777777" w:rsidR="007918DE" w:rsidRPr="001E2783" w:rsidRDefault="00A60C27" w:rsidP="007918DE">
      <w:pPr>
        <w:spacing w:after="80"/>
        <w:rPr>
          <w:rFonts w:cs="Arial"/>
          <w:szCs w:val="20"/>
        </w:rPr>
      </w:pPr>
      <w:r w:rsidRPr="001E2783">
        <w:rPr>
          <w:rFonts w:cs="Arial"/>
          <w:szCs w:val="20"/>
        </w:rPr>
        <w:t>In 2013–</w:t>
      </w:r>
      <w:r w:rsidR="007918DE" w:rsidRPr="001E2783">
        <w:rPr>
          <w:rFonts w:cs="Arial"/>
          <w:szCs w:val="20"/>
        </w:rPr>
        <w:t>14, the ACMA continued to facilitate transition in the 400 MHz band through a suite of planning, policy and pricing initiatives, including:</w:t>
      </w:r>
    </w:p>
    <w:p w14:paraId="6B035AA4" w14:textId="77777777" w:rsidR="007918DE" w:rsidRPr="001E2783" w:rsidRDefault="00A60C27" w:rsidP="007918DE">
      <w:pPr>
        <w:pStyle w:val="ListBullet"/>
        <w:rPr>
          <w:rFonts w:cs="Arial"/>
        </w:rPr>
      </w:pPr>
      <w:r w:rsidRPr="001E2783">
        <w:rPr>
          <w:rFonts w:cs="Arial"/>
        </w:rPr>
        <w:t>Undertaking s</w:t>
      </w:r>
      <w:r w:rsidR="007918DE" w:rsidRPr="001E2783">
        <w:rPr>
          <w:rFonts w:cs="Arial"/>
        </w:rPr>
        <w:t>takeholder engagement activities to raise awareness of upcoming changes, including meetings and discussions with individual licensees to help them understand their transition requirements and options.</w:t>
      </w:r>
    </w:p>
    <w:p w14:paraId="7AB941CE" w14:textId="77777777" w:rsidR="007918DE" w:rsidRPr="001E2783" w:rsidRDefault="007918DE" w:rsidP="007918DE">
      <w:pPr>
        <w:pStyle w:val="ListBullet"/>
        <w:rPr>
          <w:rFonts w:cs="Arial"/>
        </w:rPr>
      </w:pPr>
      <w:r w:rsidRPr="001E2783">
        <w:rPr>
          <w:rFonts w:cs="Arial"/>
        </w:rPr>
        <w:t xml:space="preserve">Refining an online tool for licensees to determine their particular transition requirements. </w:t>
      </w:r>
    </w:p>
    <w:p w14:paraId="301E8255" w14:textId="77777777" w:rsidR="007918DE" w:rsidRPr="001E2783" w:rsidRDefault="007918DE" w:rsidP="007918DE">
      <w:pPr>
        <w:pStyle w:val="ListBullet"/>
        <w:rPr>
          <w:rFonts w:cs="Arial"/>
        </w:rPr>
      </w:pPr>
      <w:r w:rsidRPr="001E2783">
        <w:rPr>
          <w:rFonts w:cs="Arial"/>
        </w:rPr>
        <w:t>Applying annual taxation increases in the high-density areas of the band to progressively move the apparatus licence tax to opportunity cost.</w:t>
      </w:r>
    </w:p>
    <w:p w14:paraId="1D7AD285" w14:textId="77777777" w:rsidR="007918DE" w:rsidRPr="001E2783" w:rsidRDefault="007918DE" w:rsidP="007918DE">
      <w:pPr>
        <w:pStyle w:val="ListBullet"/>
        <w:rPr>
          <w:rFonts w:cs="Arial"/>
        </w:rPr>
      </w:pPr>
      <w:r w:rsidRPr="001E2783">
        <w:rPr>
          <w:rFonts w:cs="Arial"/>
        </w:rPr>
        <w:t>Offering financial incentives in the form of discounts for early transition.</w:t>
      </w:r>
    </w:p>
    <w:p w14:paraId="0BEAF16A" w14:textId="77777777" w:rsidR="007918DE" w:rsidRPr="001E2783" w:rsidRDefault="007918DE" w:rsidP="007918DE">
      <w:pPr>
        <w:pStyle w:val="ListBullet"/>
        <w:rPr>
          <w:rFonts w:cs="Arial"/>
          <w:szCs w:val="20"/>
        </w:rPr>
      </w:pPr>
      <w:r w:rsidRPr="001E2783">
        <w:rPr>
          <w:rFonts w:cs="Arial"/>
          <w:szCs w:val="20"/>
        </w:rPr>
        <w:t>Offering exceptions to licensees having difficulty meeting transition time</w:t>
      </w:r>
      <w:r w:rsidR="005F170A" w:rsidRPr="001E2783">
        <w:rPr>
          <w:rFonts w:cs="Arial"/>
          <w:szCs w:val="20"/>
        </w:rPr>
        <w:t xml:space="preserve"> </w:t>
      </w:r>
      <w:r w:rsidRPr="001E2783">
        <w:rPr>
          <w:rFonts w:cs="Arial"/>
          <w:szCs w:val="20"/>
        </w:rPr>
        <w:t>frames.</w:t>
      </w:r>
    </w:p>
    <w:p w14:paraId="4F3C32B8" w14:textId="77777777" w:rsidR="00D76FA6" w:rsidRPr="001E2783" w:rsidRDefault="00D76FA6" w:rsidP="00D76FA6">
      <w:pPr>
        <w:pStyle w:val="ListBullet"/>
        <w:spacing w:after="240"/>
        <w:rPr>
          <w:rFonts w:cs="Arial"/>
          <w:szCs w:val="20"/>
        </w:rPr>
      </w:pPr>
      <w:r w:rsidRPr="001E2783">
        <w:rPr>
          <w:rFonts w:cs="Arial"/>
          <w:szCs w:val="20"/>
        </w:rPr>
        <w:t>Monitoring transmissions in the 400 MHz band in Sydney and Melbourne</w:t>
      </w:r>
      <w:r w:rsidR="00A60C27" w:rsidRPr="001E2783">
        <w:rPr>
          <w:rFonts w:cs="Arial"/>
          <w:szCs w:val="20"/>
        </w:rPr>
        <w:t xml:space="preserve"> to check </w:t>
      </w:r>
      <w:r w:rsidRPr="001E2783">
        <w:rPr>
          <w:rFonts w:cs="Arial"/>
          <w:szCs w:val="20"/>
        </w:rPr>
        <w:t xml:space="preserve">that only licensed transmitters </w:t>
      </w:r>
      <w:r w:rsidR="00904D9B" w:rsidRPr="001E2783">
        <w:rPr>
          <w:rFonts w:cs="Arial"/>
          <w:szCs w:val="20"/>
        </w:rPr>
        <w:t>we</w:t>
      </w:r>
      <w:r w:rsidRPr="001E2783">
        <w:rPr>
          <w:rFonts w:cs="Arial"/>
          <w:szCs w:val="20"/>
        </w:rPr>
        <w:t>re operating.</w:t>
      </w:r>
    </w:p>
    <w:p w14:paraId="5372940F" w14:textId="77777777" w:rsidR="00D76FA6" w:rsidRPr="001E2783" w:rsidRDefault="00D76FA6" w:rsidP="00D76FA6">
      <w:pPr>
        <w:rPr>
          <w:rFonts w:cs="Arial"/>
        </w:rPr>
      </w:pPr>
      <w:r w:rsidRPr="001E2783">
        <w:rPr>
          <w:rFonts w:cs="Arial"/>
        </w:rPr>
        <w:t>In August 2012, the ACMA implemented the first increment i</w:t>
      </w:r>
      <w:r w:rsidR="00A60C27" w:rsidRPr="001E2783">
        <w:rPr>
          <w:rFonts w:cs="Arial"/>
        </w:rPr>
        <w:t>n the licence tax rate for high-</w:t>
      </w:r>
      <w:r w:rsidRPr="001E2783">
        <w:rPr>
          <w:rFonts w:cs="Arial"/>
        </w:rPr>
        <w:t>density areas of the 400 MHz band</w:t>
      </w:r>
      <w:r w:rsidR="00A60C27" w:rsidRPr="001E2783">
        <w:rPr>
          <w:rFonts w:cs="Arial"/>
        </w:rPr>
        <w:t>,</w:t>
      </w:r>
      <w:r w:rsidRPr="001E2783">
        <w:rPr>
          <w:rFonts w:cs="Arial"/>
        </w:rPr>
        <w:t xml:space="preserve"> based </w:t>
      </w:r>
      <w:r w:rsidR="005F170A" w:rsidRPr="001E2783">
        <w:rPr>
          <w:rFonts w:cs="Arial"/>
        </w:rPr>
        <w:t>on opportunity-</w:t>
      </w:r>
      <w:r w:rsidR="00A60C27" w:rsidRPr="001E2783">
        <w:rPr>
          <w:rFonts w:cs="Arial"/>
        </w:rPr>
        <w:t>cost principles.</w:t>
      </w:r>
      <w:r w:rsidRPr="001E2783">
        <w:rPr>
          <w:rFonts w:cs="Arial"/>
        </w:rPr>
        <w:t xml:space="preserve"> Further increases have been signalled but will only be implemented </w:t>
      </w:r>
      <w:r w:rsidR="00A60C27" w:rsidRPr="001E2783">
        <w:rPr>
          <w:rFonts w:cs="Arial"/>
        </w:rPr>
        <w:t xml:space="preserve">if congestion is not removed. </w:t>
      </w:r>
      <w:r w:rsidR="00A308E4" w:rsidRPr="001E2783">
        <w:rPr>
          <w:rFonts w:cs="Arial"/>
        </w:rPr>
        <w:t xml:space="preserve">While </w:t>
      </w:r>
      <w:r w:rsidR="00904D9B" w:rsidRPr="001E2783">
        <w:rPr>
          <w:rFonts w:cs="Arial"/>
        </w:rPr>
        <w:t xml:space="preserve">monitoring suggests that </w:t>
      </w:r>
      <w:r w:rsidR="00A308E4" w:rsidRPr="001E2783">
        <w:rPr>
          <w:rFonts w:cs="Arial"/>
        </w:rPr>
        <w:t>congestion has not yet been removed,</w:t>
      </w:r>
      <w:r w:rsidRPr="001E2783">
        <w:rPr>
          <w:rFonts w:cs="Arial"/>
        </w:rPr>
        <w:t xml:space="preserve"> some intended </w:t>
      </w:r>
      <w:r w:rsidR="00904D9B" w:rsidRPr="001E2783">
        <w:rPr>
          <w:rFonts w:cs="Arial"/>
        </w:rPr>
        <w:t xml:space="preserve">effects </w:t>
      </w:r>
      <w:r w:rsidRPr="001E2783">
        <w:rPr>
          <w:rFonts w:cs="Arial"/>
        </w:rPr>
        <w:t xml:space="preserve">are </w:t>
      </w:r>
      <w:r w:rsidR="00904D9B" w:rsidRPr="001E2783">
        <w:rPr>
          <w:rFonts w:cs="Arial"/>
        </w:rPr>
        <w:t>occurring</w:t>
      </w:r>
      <w:r w:rsidR="00A308E4" w:rsidRPr="001E2783">
        <w:rPr>
          <w:rFonts w:cs="Arial"/>
        </w:rPr>
        <w:t xml:space="preserve">—for example, </w:t>
      </w:r>
      <w:r w:rsidRPr="001E2783">
        <w:rPr>
          <w:rFonts w:cs="Arial"/>
        </w:rPr>
        <w:t>reduc</w:t>
      </w:r>
      <w:r w:rsidR="00A308E4" w:rsidRPr="001E2783">
        <w:rPr>
          <w:rFonts w:cs="Arial"/>
        </w:rPr>
        <w:t>ed</w:t>
      </w:r>
      <w:r w:rsidRPr="001E2783">
        <w:rPr>
          <w:rFonts w:cs="Arial"/>
        </w:rPr>
        <w:t xml:space="preserve"> licence numbers and rotation from low</w:t>
      </w:r>
      <w:r w:rsidR="00A308E4" w:rsidRPr="001E2783">
        <w:rPr>
          <w:rFonts w:cs="Arial"/>
        </w:rPr>
        <w:t>-</w:t>
      </w:r>
      <w:r w:rsidRPr="001E2783">
        <w:rPr>
          <w:rFonts w:cs="Arial"/>
        </w:rPr>
        <w:t xml:space="preserve"> to high</w:t>
      </w:r>
      <w:r w:rsidR="00A308E4" w:rsidRPr="001E2783">
        <w:rPr>
          <w:rFonts w:cs="Arial"/>
        </w:rPr>
        <w:t>-</w:t>
      </w:r>
      <w:r w:rsidRPr="001E2783">
        <w:rPr>
          <w:rFonts w:cs="Arial"/>
        </w:rPr>
        <w:t>value uses.</w:t>
      </w:r>
      <w:r w:rsidR="00904D9B" w:rsidRPr="001E2783">
        <w:rPr>
          <w:rFonts w:cs="Arial"/>
        </w:rPr>
        <w:t xml:space="preserve"> As t</w:t>
      </w:r>
      <w:r w:rsidRPr="001E2783">
        <w:rPr>
          <w:rFonts w:cs="Arial"/>
        </w:rPr>
        <w:t xml:space="preserve">here is no congestion in remote areas of Australia and little risk of congestion emerging in the foreseeable future, opportunity cost is low. </w:t>
      </w:r>
      <w:r w:rsidR="00904D9B" w:rsidRPr="001E2783">
        <w:rPr>
          <w:rFonts w:cs="Arial"/>
        </w:rPr>
        <w:t xml:space="preserve">This means </w:t>
      </w:r>
      <w:r w:rsidRPr="001E2783">
        <w:rPr>
          <w:rFonts w:cs="Arial"/>
        </w:rPr>
        <w:t xml:space="preserve">it </w:t>
      </w:r>
      <w:r w:rsidR="001A170A" w:rsidRPr="001E2783">
        <w:rPr>
          <w:rFonts w:cs="Arial"/>
        </w:rPr>
        <w:t>may</w:t>
      </w:r>
      <w:r w:rsidRPr="001E2783">
        <w:rPr>
          <w:rFonts w:cs="Arial"/>
        </w:rPr>
        <w:t xml:space="preserve"> be appropriate to reduce the licence tax rate.</w:t>
      </w:r>
    </w:p>
    <w:p w14:paraId="6DA6EDC5" w14:textId="77777777" w:rsidR="00D76FA6" w:rsidRPr="001E2783" w:rsidRDefault="00D76FA6" w:rsidP="00D76FA6">
      <w:pPr>
        <w:rPr>
          <w:rFonts w:cs="Arial"/>
        </w:rPr>
      </w:pPr>
    </w:p>
    <w:p w14:paraId="37FC951B" w14:textId="77777777" w:rsidR="00D76FA6" w:rsidRPr="001E2783" w:rsidRDefault="00D76FA6" w:rsidP="00D76FA6">
      <w:pPr>
        <w:rPr>
          <w:rFonts w:cs="Arial"/>
        </w:rPr>
      </w:pPr>
      <w:r w:rsidRPr="001E2783">
        <w:rPr>
          <w:rFonts w:cs="Arial"/>
        </w:rPr>
        <w:t>In June 2014, the ACMA released a discussion paper about the proposed amendments to the Radiocommunications</w:t>
      </w:r>
      <w:r w:rsidRPr="001E2783">
        <w:rPr>
          <w:rFonts w:cs="Arial"/>
          <w:iCs/>
        </w:rPr>
        <w:t xml:space="preserve"> (Transmitter Licen</w:t>
      </w:r>
      <w:r w:rsidR="00904D9B" w:rsidRPr="001E2783">
        <w:rPr>
          <w:rFonts w:cs="Arial"/>
          <w:iCs/>
        </w:rPr>
        <w:t>ce Tax) Determination 2003 (No. </w:t>
      </w:r>
      <w:r w:rsidRPr="001E2783">
        <w:rPr>
          <w:rFonts w:cs="Arial"/>
          <w:iCs/>
        </w:rPr>
        <w:t xml:space="preserve">2) </w:t>
      </w:r>
      <w:r w:rsidRPr="001E2783">
        <w:rPr>
          <w:rFonts w:cs="Arial"/>
        </w:rPr>
        <w:t xml:space="preserve">and the </w:t>
      </w:r>
      <w:r w:rsidRPr="001E2783">
        <w:rPr>
          <w:rFonts w:cs="Arial"/>
          <w:iCs/>
        </w:rPr>
        <w:t>Radiocommunications (Receiver Licen</w:t>
      </w:r>
      <w:r w:rsidR="00904D9B" w:rsidRPr="001E2783">
        <w:rPr>
          <w:rFonts w:cs="Arial"/>
          <w:iCs/>
        </w:rPr>
        <w:t>ce Tax) Determination 2003 (No. </w:t>
      </w:r>
      <w:r w:rsidRPr="001E2783">
        <w:rPr>
          <w:rFonts w:cs="Arial"/>
          <w:iCs/>
        </w:rPr>
        <w:t>2</w:t>
      </w:r>
      <w:r w:rsidR="00904D9B" w:rsidRPr="001E2783">
        <w:rPr>
          <w:rFonts w:cs="Arial"/>
        </w:rPr>
        <w:t xml:space="preserve">). </w:t>
      </w:r>
      <w:r w:rsidRPr="001E2783">
        <w:rPr>
          <w:rFonts w:cs="Arial"/>
        </w:rPr>
        <w:t>The paper proposed changes to the taxes that apply to li</w:t>
      </w:r>
      <w:r w:rsidR="00904D9B" w:rsidRPr="001E2783">
        <w:rPr>
          <w:rFonts w:cs="Arial"/>
        </w:rPr>
        <w:t>cences for services in the high-density and remote-</w:t>
      </w:r>
      <w:r w:rsidRPr="001E2783">
        <w:rPr>
          <w:rFonts w:cs="Arial"/>
        </w:rPr>
        <w:t xml:space="preserve">density areas of the 400 MHz band. The ACMA will consider the outcomes of the consultation in the first half of </w:t>
      </w:r>
      <w:r w:rsidR="00904D9B" w:rsidRPr="001E2783">
        <w:rPr>
          <w:rFonts w:cs="Arial"/>
        </w:rPr>
        <w:t>2014–</w:t>
      </w:r>
      <w:r w:rsidRPr="001E2783">
        <w:rPr>
          <w:rFonts w:cs="Arial"/>
        </w:rPr>
        <w:t>15.</w:t>
      </w:r>
    </w:p>
    <w:p w14:paraId="6FF0EE12" w14:textId="77777777" w:rsidR="00D76FA6" w:rsidRPr="001E2783" w:rsidRDefault="00D76FA6" w:rsidP="00D76FA6">
      <w:pPr>
        <w:rPr>
          <w:rFonts w:cs="Arial"/>
        </w:rPr>
      </w:pPr>
    </w:p>
    <w:p w14:paraId="08EA0A66" w14:textId="77777777" w:rsidR="00D76FA6" w:rsidRPr="001E2783" w:rsidRDefault="00D76FA6" w:rsidP="00D76FA6">
      <w:pPr>
        <w:rPr>
          <w:rFonts w:cs="Arial"/>
        </w:rPr>
      </w:pPr>
      <w:r w:rsidRPr="001E2783">
        <w:rPr>
          <w:rFonts w:cs="Arial"/>
        </w:rPr>
        <w:t>The ACMA acknowledges that transitioning to the new arrangements remains challenging for many users</w:t>
      </w:r>
      <w:r w:rsidR="00904D9B" w:rsidRPr="001E2783">
        <w:rPr>
          <w:rFonts w:cs="Arial"/>
        </w:rPr>
        <w:t>,</w:t>
      </w:r>
      <w:r w:rsidRPr="001E2783">
        <w:rPr>
          <w:rFonts w:cs="Arial"/>
        </w:rPr>
        <w:t xml:space="preserve"> and continues to work closely with licensees and accredited persons to support transition arrangements. The final outcomes of the review will </w:t>
      </w:r>
      <w:r w:rsidR="001A170A" w:rsidRPr="001E2783">
        <w:rPr>
          <w:rFonts w:cs="Arial"/>
        </w:rPr>
        <w:t>harmonise</w:t>
      </w:r>
      <w:r w:rsidRPr="001E2783">
        <w:rPr>
          <w:rFonts w:cs="Arial"/>
        </w:rPr>
        <w:t xml:space="preserve"> government spectrum</w:t>
      </w:r>
      <w:r w:rsidR="001A170A" w:rsidRPr="001E2783">
        <w:rPr>
          <w:rFonts w:cs="Arial"/>
        </w:rPr>
        <w:t>, as well as increase</w:t>
      </w:r>
      <w:r w:rsidRPr="001E2783">
        <w:rPr>
          <w:rFonts w:cs="Arial"/>
        </w:rPr>
        <w:t xml:space="preserve"> technology flexibility and efficiency of allocation and use. Once transition is achieved, the need for further regulatory intervention in the band is expected to be low.</w:t>
      </w:r>
    </w:p>
    <w:p w14:paraId="159DA73A" w14:textId="77777777" w:rsidR="00C82F36" w:rsidRPr="001E2783" w:rsidRDefault="00C82F36" w:rsidP="00CC119D">
      <w:pPr>
        <w:rPr>
          <w:rFonts w:cs="Arial"/>
        </w:rPr>
      </w:pPr>
    </w:p>
    <w:p w14:paraId="5C250A13" w14:textId="77777777" w:rsidR="00CC119D" w:rsidRPr="001E2783" w:rsidRDefault="00CC119D" w:rsidP="005761BF">
      <w:pPr>
        <w:pStyle w:val="BodysubheaderH4"/>
        <w:rPr>
          <w:rFonts w:cs="Arial"/>
        </w:rPr>
      </w:pPr>
      <w:bookmarkStart w:id="103" w:name="_Toc337727556"/>
      <w:r w:rsidRPr="001E2783">
        <w:rPr>
          <w:rFonts w:cs="Arial"/>
        </w:rPr>
        <w:t>Spectrum licensing</w:t>
      </w:r>
      <w:bookmarkEnd w:id="103"/>
    </w:p>
    <w:p w14:paraId="140068FA" w14:textId="77777777" w:rsidR="00D76FA6" w:rsidRPr="001E2783" w:rsidRDefault="00D76FA6" w:rsidP="00D76FA6">
      <w:pPr>
        <w:rPr>
          <w:rFonts w:cs="Arial"/>
          <w:i/>
        </w:rPr>
      </w:pPr>
      <w:r w:rsidRPr="001E2783">
        <w:rPr>
          <w:rFonts w:cs="Arial"/>
          <w:i/>
        </w:rPr>
        <w:t>Rail and safety control communications</w:t>
      </w:r>
    </w:p>
    <w:p w14:paraId="6EC7EBC6" w14:textId="7FF05506" w:rsidR="00D76FA6" w:rsidRPr="001E2783" w:rsidRDefault="00D76FA6" w:rsidP="00D76FA6">
      <w:pPr>
        <w:rPr>
          <w:rFonts w:cs="Arial"/>
        </w:rPr>
      </w:pPr>
      <w:r w:rsidRPr="001E2783">
        <w:rPr>
          <w:rFonts w:cs="Arial"/>
        </w:rPr>
        <w:t>In July 2013</w:t>
      </w:r>
      <w:r w:rsidR="00E52A47" w:rsidRPr="001E2783">
        <w:rPr>
          <w:rFonts w:cs="Arial"/>
        </w:rPr>
        <w:t>,</w:t>
      </w:r>
      <w:r w:rsidRPr="001E2783">
        <w:rPr>
          <w:rFonts w:cs="Arial"/>
        </w:rPr>
        <w:t xml:space="preserve"> the then Minister for Broadband, Communications and the Digital Economy, </w:t>
      </w:r>
      <w:r w:rsidR="001A691C" w:rsidRPr="001E2783">
        <w:rPr>
          <w:rFonts w:cs="Arial"/>
        </w:rPr>
        <w:t>the Hon</w:t>
      </w:r>
      <w:r w:rsidR="0029740E" w:rsidRPr="001E2783">
        <w:rPr>
          <w:rFonts w:cs="Arial"/>
        </w:rPr>
        <w:t>.</w:t>
      </w:r>
      <w:r w:rsidR="001A691C" w:rsidRPr="001E2783">
        <w:rPr>
          <w:rFonts w:cs="Arial"/>
        </w:rPr>
        <w:t xml:space="preserve"> Anthony Albanese</w:t>
      </w:r>
      <w:r w:rsidR="0029740E" w:rsidRPr="001E2783">
        <w:rPr>
          <w:rFonts w:cs="Arial"/>
        </w:rPr>
        <w:t>,</w:t>
      </w:r>
      <w:r w:rsidR="001A691C" w:rsidRPr="001E2783">
        <w:rPr>
          <w:rFonts w:cs="Arial"/>
        </w:rPr>
        <w:t xml:space="preserve"> MP</w:t>
      </w:r>
      <w:r w:rsidRPr="001E2783">
        <w:rPr>
          <w:rFonts w:cs="Arial"/>
        </w:rPr>
        <w:t>, ma</w:t>
      </w:r>
      <w:r w:rsidR="002B5DD1" w:rsidRPr="001E2783">
        <w:rPr>
          <w:rFonts w:cs="Arial"/>
        </w:rPr>
        <w:t>de a direction under subsection </w:t>
      </w:r>
      <w:r w:rsidRPr="001E2783">
        <w:rPr>
          <w:rFonts w:cs="Arial"/>
        </w:rPr>
        <w:t xml:space="preserve">294(2) of the </w:t>
      </w:r>
      <w:r w:rsidR="00E52A47" w:rsidRPr="001E2783">
        <w:rPr>
          <w:rFonts w:cs="Arial"/>
        </w:rPr>
        <w:t xml:space="preserve">Radiocommunications </w:t>
      </w:r>
      <w:r w:rsidRPr="001E2783">
        <w:rPr>
          <w:rFonts w:cs="Arial"/>
        </w:rPr>
        <w:t xml:space="preserve">Act to achieve a national communications solution for rail services. This </w:t>
      </w:r>
      <w:r w:rsidR="00E52A47" w:rsidRPr="001E2783">
        <w:rPr>
          <w:rFonts w:cs="Arial"/>
        </w:rPr>
        <w:t>applied to re</w:t>
      </w:r>
      <w:r w:rsidRPr="001E2783">
        <w:rPr>
          <w:rFonts w:cs="Arial"/>
        </w:rPr>
        <w:t>issue</w:t>
      </w:r>
      <w:r w:rsidR="00E52A47" w:rsidRPr="001E2783">
        <w:rPr>
          <w:rFonts w:cs="Arial"/>
        </w:rPr>
        <w:t>d spe</w:t>
      </w:r>
      <w:r w:rsidR="002B5DD1" w:rsidRPr="001E2783">
        <w:rPr>
          <w:rFonts w:cs="Arial"/>
        </w:rPr>
        <w:t>ctrum licences in the 1775–1785 </w:t>
      </w:r>
      <w:r w:rsidR="00E52A47" w:rsidRPr="001E2783">
        <w:rPr>
          <w:rFonts w:cs="Arial"/>
        </w:rPr>
        <w:t>MHz and 1870–</w:t>
      </w:r>
      <w:r w:rsidR="002B5DD1" w:rsidRPr="001E2783">
        <w:rPr>
          <w:rFonts w:cs="Arial"/>
        </w:rPr>
        <w:t>1880 </w:t>
      </w:r>
      <w:r w:rsidRPr="001E2783">
        <w:rPr>
          <w:rFonts w:cs="Arial"/>
        </w:rPr>
        <w:t>MHz frequency ranges. Along with a public interest price, a condition on purpose of use was applied</w:t>
      </w:r>
      <w:r w:rsidR="00E52A47" w:rsidRPr="001E2783">
        <w:rPr>
          <w:rFonts w:cs="Arial"/>
        </w:rPr>
        <w:t xml:space="preserve"> that</w:t>
      </w:r>
      <w:r w:rsidRPr="001E2783">
        <w:rPr>
          <w:rFonts w:cs="Arial"/>
        </w:rPr>
        <w:t xml:space="preserve"> limits the use of the licence for a particular service, licensee or p</w:t>
      </w:r>
      <w:r w:rsidR="00E52A47" w:rsidRPr="001E2783">
        <w:rPr>
          <w:rFonts w:cs="Arial"/>
        </w:rPr>
        <w:t>urpose. In accordance with the d</w:t>
      </w:r>
      <w:r w:rsidRPr="001E2783">
        <w:rPr>
          <w:rFonts w:cs="Arial"/>
        </w:rPr>
        <w:t>irection,</w:t>
      </w:r>
      <w:r w:rsidR="00E52A47" w:rsidRPr="001E2783">
        <w:rPr>
          <w:rFonts w:cs="Arial"/>
        </w:rPr>
        <w:t xml:space="preserve"> the ACMA has applied a purpose-of-</w:t>
      </w:r>
      <w:r w:rsidRPr="001E2783">
        <w:rPr>
          <w:rFonts w:cs="Arial"/>
        </w:rPr>
        <w:t>use licence condition for the provision of rail safety and control communicat</w:t>
      </w:r>
      <w:r w:rsidR="00E52A47" w:rsidRPr="001E2783">
        <w:rPr>
          <w:rFonts w:cs="Arial"/>
        </w:rPr>
        <w:t>ions to the relevant licences. This is part of the g</w:t>
      </w:r>
      <w:r w:rsidRPr="001E2783">
        <w:rPr>
          <w:rFonts w:cs="Arial"/>
        </w:rPr>
        <w:t>overnment</w:t>
      </w:r>
      <w:r w:rsidR="00E52A47" w:rsidRPr="001E2783">
        <w:rPr>
          <w:rFonts w:cs="Arial"/>
        </w:rPr>
        <w:t>’s</w:t>
      </w:r>
      <w:r w:rsidRPr="001E2783">
        <w:rPr>
          <w:rFonts w:cs="Arial"/>
        </w:rPr>
        <w:t xml:space="preserve"> policy intent to support a spectrum allocation for national rail safety and control communications.</w:t>
      </w:r>
    </w:p>
    <w:p w14:paraId="06AD0A89" w14:textId="77777777" w:rsidR="00D76FA6" w:rsidRPr="001E2783" w:rsidRDefault="00D76FA6" w:rsidP="00D76FA6">
      <w:pPr>
        <w:rPr>
          <w:rFonts w:cs="Arial"/>
        </w:rPr>
      </w:pPr>
    </w:p>
    <w:p w14:paraId="3779EA22" w14:textId="77777777" w:rsidR="007918DE" w:rsidRPr="001E2783" w:rsidRDefault="007918DE" w:rsidP="007918DE">
      <w:pPr>
        <w:rPr>
          <w:rFonts w:cs="Arial"/>
          <w:i/>
        </w:rPr>
      </w:pPr>
      <w:r w:rsidRPr="001E2783">
        <w:rPr>
          <w:rFonts w:cs="Arial"/>
          <w:i/>
        </w:rPr>
        <w:t>Review of technical frameworks</w:t>
      </w:r>
    </w:p>
    <w:p w14:paraId="5B17F550" w14:textId="77777777" w:rsidR="007918DE" w:rsidRPr="001E2783" w:rsidRDefault="007918DE" w:rsidP="007918DE">
      <w:pPr>
        <w:rPr>
          <w:rFonts w:cs="Arial"/>
        </w:rPr>
      </w:pPr>
      <w:r w:rsidRPr="001E2783">
        <w:rPr>
          <w:rFonts w:cs="Arial"/>
        </w:rPr>
        <w:t>The ACMA is working with licensees and other interested parties in technical liaison groups to review the technical framework for each spectrum-licensed band, in order to provide increased flexibility and greater spectrum utility for the next spectrum licence term. The technical liaison group process is conducted for each band as the date of the spectrum licence expiry approaches. In 2013–14, the ACMA completed the review of t</w:t>
      </w:r>
      <w:r w:rsidR="002B5DD1" w:rsidRPr="001E2783">
        <w:rPr>
          <w:rFonts w:cs="Arial"/>
        </w:rPr>
        <w:t>echnical frameworks for the 2.3 </w:t>
      </w:r>
      <w:r w:rsidRPr="001E2783">
        <w:rPr>
          <w:rFonts w:cs="Arial"/>
        </w:rPr>
        <w:t>GHz</w:t>
      </w:r>
      <w:r w:rsidR="00E52A47" w:rsidRPr="001E2783">
        <w:rPr>
          <w:rFonts w:cs="Arial"/>
        </w:rPr>
        <w:t xml:space="preserve"> band</w:t>
      </w:r>
      <w:r w:rsidRPr="001E2783">
        <w:rPr>
          <w:rFonts w:cs="Arial"/>
        </w:rPr>
        <w:t>.</w:t>
      </w:r>
    </w:p>
    <w:p w14:paraId="412AEB88" w14:textId="77777777" w:rsidR="007918DE" w:rsidRPr="001E2783" w:rsidRDefault="007918DE" w:rsidP="007918DE">
      <w:pPr>
        <w:rPr>
          <w:rFonts w:cs="Arial"/>
        </w:rPr>
      </w:pPr>
    </w:p>
    <w:p w14:paraId="269AA8B5" w14:textId="77777777" w:rsidR="007918DE" w:rsidRPr="001E2783" w:rsidRDefault="007918DE" w:rsidP="007918DE">
      <w:pPr>
        <w:rPr>
          <w:rFonts w:cs="Arial"/>
        </w:rPr>
      </w:pPr>
      <w:r w:rsidRPr="001E2783">
        <w:rPr>
          <w:rFonts w:cs="Arial"/>
        </w:rPr>
        <w:t>In January 2014, the ACMA consulted on a series of amendments to the Radiocommunications (Spectrum Licence Tax) Determination 1999 (</w:t>
      </w:r>
      <w:r w:rsidR="002B5DD1" w:rsidRPr="001E2783">
        <w:rPr>
          <w:rFonts w:cs="Arial"/>
        </w:rPr>
        <w:t>1999 </w:t>
      </w:r>
      <w:r w:rsidRPr="001E2783">
        <w:rPr>
          <w:rFonts w:cs="Arial"/>
        </w:rPr>
        <w:t>Determination) to remove expired spectrum licences in the 2</w:t>
      </w:r>
      <w:r w:rsidR="001A170A" w:rsidRPr="001E2783">
        <w:rPr>
          <w:rFonts w:cs="Arial"/>
        </w:rPr>
        <w:t>8–</w:t>
      </w:r>
      <w:r w:rsidR="002B5DD1" w:rsidRPr="001E2783">
        <w:rPr>
          <w:rFonts w:cs="Arial"/>
        </w:rPr>
        <w:t>31 </w:t>
      </w:r>
      <w:r w:rsidRPr="001E2783">
        <w:rPr>
          <w:rFonts w:cs="Arial"/>
        </w:rPr>
        <w:t>GHz band and s</w:t>
      </w:r>
      <w:r w:rsidR="002B5DD1" w:rsidRPr="001E2783">
        <w:rPr>
          <w:rFonts w:cs="Arial"/>
        </w:rPr>
        <w:t>et new base amounts for the 700 MHz, 2.5 </w:t>
      </w:r>
      <w:r w:rsidRPr="001E2783">
        <w:rPr>
          <w:rFonts w:cs="Arial"/>
        </w:rPr>
        <w:t>GHz (including the ‘mid-band gap’) and 2.3</w:t>
      </w:r>
      <w:r w:rsidR="00E52A47" w:rsidRPr="001E2783">
        <w:rPr>
          <w:rFonts w:cs="Arial"/>
        </w:rPr>
        <w:t> </w:t>
      </w:r>
      <w:r w:rsidRPr="001E2783">
        <w:rPr>
          <w:rFonts w:cs="Arial"/>
        </w:rPr>
        <w:t xml:space="preserve">GHz bands. </w:t>
      </w:r>
    </w:p>
    <w:p w14:paraId="1646FB9A" w14:textId="77777777" w:rsidR="007918DE" w:rsidRPr="001E2783" w:rsidRDefault="007918DE" w:rsidP="007918DE">
      <w:pPr>
        <w:rPr>
          <w:rFonts w:cs="Arial"/>
        </w:rPr>
      </w:pPr>
    </w:p>
    <w:p w14:paraId="3C2F003D" w14:textId="77777777" w:rsidR="001A170A" w:rsidRPr="001E2783" w:rsidRDefault="001A170A" w:rsidP="001A170A">
      <w:pPr>
        <w:rPr>
          <w:rFonts w:cs="Arial"/>
        </w:rPr>
      </w:pPr>
      <w:r w:rsidRPr="001E2783">
        <w:rPr>
          <w:rFonts w:cs="Arial"/>
        </w:rPr>
        <w:t xml:space="preserve">The ACMA also proposed to make a new legislative instrument incorporating the above changes to replace the 1999 Determination prior to its sunset date in April 2015 to preserve its ongoing effect, as required under the sunsetting provisions of the </w:t>
      </w:r>
      <w:r w:rsidR="006E7757" w:rsidRPr="001E2783">
        <w:rPr>
          <w:rFonts w:cs="Arial"/>
        </w:rPr>
        <w:t>LIA</w:t>
      </w:r>
      <w:r w:rsidRPr="001E2783">
        <w:rPr>
          <w:rFonts w:cs="Arial"/>
        </w:rPr>
        <w:t>. The c</w:t>
      </w:r>
      <w:r w:rsidR="003575FE" w:rsidRPr="001E2783">
        <w:rPr>
          <w:rFonts w:cs="Arial"/>
        </w:rPr>
        <w:t>onsultation period closed on 28 </w:t>
      </w:r>
      <w:r w:rsidRPr="001E2783">
        <w:rPr>
          <w:rFonts w:cs="Arial"/>
        </w:rPr>
        <w:t>February 2014. The ACMA made the Radiocommunications (Spectrum Licence Tax) Determination 2014 on 30 June 2014.</w:t>
      </w:r>
    </w:p>
    <w:p w14:paraId="7228EDF6" w14:textId="77777777" w:rsidR="007918DE" w:rsidRPr="001E2783" w:rsidRDefault="007918DE" w:rsidP="007918DE">
      <w:pPr>
        <w:rPr>
          <w:rFonts w:cs="Arial"/>
        </w:rPr>
      </w:pPr>
    </w:p>
    <w:p w14:paraId="273DF359" w14:textId="77777777" w:rsidR="007918DE" w:rsidRPr="001E2783" w:rsidRDefault="007918DE" w:rsidP="007918DE">
      <w:pPr>
        <w:rPr>
          <w:rFonts w:cs="Arial"/>
          <w:i/>
        </w:rPr>
      </w:pPr>
      <w:r w:rsidRPr="001E2783">
        <w:rPr>
          <w:rFonts w:cs="Arial"/>
          <w:i/>
        </w:rPr>
        <w:t xml:space="preserve">Spectrum licence trades </w:t>
      </w:r>
    </w:p>
    <w:p w14:paraId="0EAD7646" w14:textId="77777777" w:rsidR="007918DE" w:rsidRPr="001E2783" w:rsidRDefault="007918DE" w:rsidP="007918DE">
      <w:pPr>
        <w:rPr>
          <w:rFonts w:cs="Arial"/>
        </w:rPr>
      </w:pPr>
      <w:r w:rsidRPr="001E2783">
        <w:rPr>
          <w:rFonts w:cs="Arial"/>
        </w:rPr>
        <w:t>Spectrum licences can be traded in part or whole to others by geographic area and bandwidth</w:t>
      </w:r>
      <w:r w:rsidR="00E52A47" w:rsidRPr="001E2783">
        <w:rPr>
          <w:rFonts w:cs="Arial"/>
        </w:rPr>
        <w:t>,</w:t>
      </w:r>
      <w:r w:rsidRPr="001E2783">
        <w:rPr>
          <w:rFonts w:cs="Arial"/>
        </w:rPr>
        <w:t xml:space="preserve"> and can be divided or amalgamated. During 2013–14, the ACMA traded </w:t>
      </w:r>
      <w:r w:rsidR="003575FE" w:rsidRPr="001E2783">
        <w:rPr>
          <w:rFonts w:cs="Arial"/>
        </w:rPr>
        <w:t xml:space="preserve">three </w:t>
      </w:r>
      <w:r w:rsidRPr="001E2783">
        <w:rPr>
          <w:rFonts w:cs="Arial"/>
        </w:rPr>
        <w:t>enti</w:t>
      </w:r>
      <w:r w:rsidR="002B5DD1" w:rsidRPr="001E2783">
        <w:rPr>
          <w:rFonts w:cs="Arial"/>
        </w:rPr>
        <w:t>re spectrum licences in the 2.3 </w:t>
      </w:r>
      <w:r w:rsidRPr="001E2783">
        <w:rPr>
          <w:rFonts w:cs="Arial"/>
        </w:rPr>
        <w:t xml:space="preserve">GHz band and </w:t>
      </w:r>
      <w:r w:rsidR="003575FE" w:rsidRPr="001E2783">
        <w:rPr>
          <w:rFonts w:cs="Arial"/>
        </w:rPr>
        <w:t>one entire spectrum licence</w:t>
      </w:r>
      <w:r w:rsidRPr="001E2783">
        <w:rPr>
          <w:rFonts w:cs="Arial"/>
        </w:rPr>
        <w:t xml:space="preserve"> in the 1800 MHz band.</w:t>
      </w:r>
    </w:p>
    <w:p w14:paraId="2F9F2636" w14:textId="77777777" w:rsidR="007918DE" w:rsidRPr="001E2783" w:rsidRDefault="007918DE" w:rsidP="007918DE">
      <w:pPr>
        <w:rPr>
          <w:rFonts w:cs="Arial"/>
        </w:rPr>
      </w:pPr>
    </w:p>
    <w:p w14:paraId="0789A3BD" w14:textId="77777777" w:rsidR="00CC119D" w:rsidRPr="001E2783" w:rsidRDefault="00CC119D" w:rsidP="005761BF">
      <w:pPr>
        <w:pStyle w:val="BodysubheaderH4"/>
        <w:rPr>
          <w:rFonts w:cs="Arial"/>
        </w:rPr>
      </w:pPr>
      <w:bookmarkStart w:id="104" w:name="_Toc337727557"/>
      <w:r w:rsidRPr="001E2783">
        <w:rPr>
          <w:rFonts w:cs="Arial"/>
        </w:rPr>
        <w:t>Class licensing</w:t>
      </w:r>
      <w:bookmarkEnd w:id="104"/>
    </w:p>
    <w:p w14:paraId="465B2D07" w14:textId="77777777" w:rsidR="00CC119D" w:rsidRPr="001E2783" w:rsidRDefault="00CC119D" w:rsidP="005761BF">
      <w:pPr>
        <w:pStyle w:val="bodySUBSUBheaderh5"/>
        <w:rPr>
          <w:rFonts w:cs="Arial"/>
        </w:rPr>
      </w:pPr>
      <w:r w:rsidRPr="001E2783">
        <w:rPr>
          <w:rFonts w:cs="Arial"/>
        </w:rPr>
        <w:t>Low interference potential devices</w:t>
      </w:r>
    </w:p>
    <w:p w14:paraId="32DB3531" w14:textId="77777777" w:rsidR="00CC119D" w:rsidRPr="001E2783" w:rsidRDefault="00CC119D" w:rsidP="00CC119D">
      <w:pPr>
        <w:rPr>
          <w:rFonts w:cs="Arial"/>
        </w:rPr>
      </w:pPr>
      <w:r w:rsidRPr="001E2783">
        <w:rPr>
          <w:rFonts w:cs="Arial"/>
        </w:rPr>
        <w:t xml:space="preserve">Low interference potential devices include a wide range of low-power radio transmitters used by the public every day, such as garage door openers, wireless local area networking equipment </w:t>
      </w:r>
      <w:r w:rsidR="003575FE" w:rsidRPr="001E2783">
        <w:rPr>
          <w:rFonts w:cs="Arial"/>
        </w:rPr>
        <w:t>(such as Wi</w:t>
      </w:r>
      <w:r w:rsidR="008B7719" w:rsidRPr="001E2783">
        <w:rPr>
          <w:rFonts w:cs="Arial"/>
        </w:rPr>
        <w:t>-</w:t>
      </w:r>
      <w:r w:rsidR="003575FE" w:rsidRPr="001E2783">
        <w:rPr>
          <w:rFonts w:cs="Arial"/>
        </w:rPr>
        <w:t xml:space="preserve">Fi and Bluetooth devices) </w:t>
      </w:r>
      <w:r w:rsidRPr="001E2783">
        <w:rPr>
          <w:rFonts w:cs="Arial"/>
        </w:rPr>
        <w:t>and wireless identification tags. Operation of these common devices without individual coordination is accomplished through class licensing. The ACMA’s class licensing arrangements provide a no-cost-to-the-user authorisation to operate such equipment, without the need to issue individual licences.</w:t>
      </w:r>
    </w:p>
    <w:p w14:paraId="1E9475DD" w14:textId="77777777" w:rsidR="00CC119D" w:rsidRPr="001E2783" w:rsidRDefault="00CC119D" w:rsidP="00CC119D">
      <w:pPr>
        <w:rPr>
          <w:rFonts w:cs="Arial"/>
        </w:rPr>
      </w:pPr>
    </w:p>
    <w:p w14:paraId="407A69B0" w14:textId="77777777" w:rsidR="00CC119D" w:rsidRPr="001E2783" w:rsidRDefault="008E6798" w:rsidP="00CC119D">
      <w:pPr>
        <w:rPr>
          <w:rFonts w:cs="Arial"/>
        </w:rPr>
      </w:pPr>
      <w:r w:rsidRPr="001E2783">
        <w:rPr>
          <w:rFonts w:cs="Arial"/>
        </w:rPr>
        <w:t>R</w:t>
      </w:r>
      <w:r w:rsidR="00CC119D" w:rsidRPr="001E2783">
        <w:rPr>
          <w:rFonts w:cs="Arial"/>
        </w:rPr>
        <w:t>apid</w:t>
      </w:r>
      <w:r w:rsidRPr="001E2783">
        <w:rPr>
          <w:rFonts w:cs="Arial"/>
        </w:rPr>
        <w:t>ly</w:t>
      </w:r>
      <w:r w:rsidR="00CC119D" w:rsidRPr="001E2783">
        <w:rPr>
          <w:rFonts w:cs="Arial"/>
        </w:rPr>
        <w:t xml:space="preserve"> develop</w:t>
      </w:r>
      <w:r w:rsidRPr="001E2783">
        <w:rPr>
          <w:rFonts w:cs="Arial"/>
        </w:rPr>
        <w:t>ing</w:t>
      </w:r>
      <w:r w:rsidR="00CC119D" w:rsidRPr="001E2783">
        <w:rPr>
          <w:rFonts w:cs="Arial"/>
        </w:rPr>
        <w:t xml:space="preserve"> radio technology leads to significant numbers of enquiries from equipment importers who seek </w:t>
      </w:r>
      <w:r w:rsidR="003575FE" w:rsidRPr="001E2783">
        <w:rPr>
          <w:rFonts w:cs="Arial"/>
        </w:rPr>
        <w:t>to</w:t>
      </w:r>
      <w:r w:rsidR="00CC119D" w:rsidRPr="001E2783">
        <w:rPr>
          <w:rFonts w:cs="Arial"/>
        </w:rPr>
        <w:t xml:space="preserve"> inclu</w:t>
      </w:r>
      <w:r w:rsidR="003575FE" w:rsidRPr="001E2783">
        <w:rPr>
          <w:rFonts w:cs="Arial"/>
        </w:rPr>
        <w:t>de</w:t>
      </w:r>
      <w:r w:rsidR="00CC119D" w:rsidRPr="001E2783">
        <w:rPr>
          <w:rFonts w:cs="Arial"/>
        </w:rPr>
        <w:t xml:space="preserve"> new equipment items </w:t>
      </w:r>
      <w:r w:rsidR="003575FE" w:rsidRPr="001E2783">
        <w:rPr>
          <w:rFonts w:cs="Arial"/>
        </w:rPr>
        <w:t>in the low</w:t>
      </w:r>
      <w:r w:rsidR="008B7719" w:rsidRPr="001E2783">
        <w:rPr>
          <w:rFonts w:cs="Arial"/>
        </w:rPr>
        <w:t xml:space="preserve"> </w:t>
      </w:r>
      <w:r w:rsidR="003575FE" w:rsidRPr="001E2783">
        <w:rPr>
          <w:rFonts w:cs="Arial"/>
        </w:rPr>
        <w:t>interference potential devices class licences</w:t>
      </w:r>
      <w:r w:rsidR="00CC119D" w:rsidRPr="001E2783">
        <w:rPr>
          <w:rFonts w:cs="Arial"/>
        </w:rPr>
        <w:t>. However, before the operation of a device can be covered by a class licence, planning studies must be conducted</w:t>
      </w:r>
      <w:r w:rsidRPr="001E2783">
        <w:rPr>
          <w:rFonts w:cs="Arial"/>
        </w:rPr>
        <w:t xml:space="preserve">. These should </w:t>
      </w:r>
      <w:r w:rsidR="00CC119D" w:rsidRPr="001E2783">
        <w:rPr>
          <w:rFonts w:cs="Arial"/>
        </w:rPr>
        <w:t xml:space="preserve">determine a set of common characteristics </w:t>
      </w:r>
      <w:r w:rsidRPr="001E2783">
        <w:rPr>
          <w:rFonts w:cs="Arial"/>
        </w:rPr>
        <w:t xml:space="preserve">that </w:t>
      </w:r>
      <w:r w:rsidR="00CC119D" w:rsidRPr="001E2783">
        <w:rPr>
          <w:rFonts w:cs="Arial"/>
        </w:rPr>
        <w:t>make sure the operation of these devices represents a low interference risk to existing Australian radiocommunications services.</w:t>
      </w:r>
    </w:p>
    <w:p w14:paraId="33356CF0" w14:textId="77777777" w:rsidR="00CC119D" w:rsidRPr="001E2783" w:rsidRDefault="00CC119D" w:rsidP="00CC119D">
      <w:pPr>
        <w:rPr>
          <w:rFonts w:cs="Arial"/>
        </w:rPr>
      </w:pPr>
    </w:p>
    <w:p w14:paraId="23A11186" w14:textId="77777777" w:rsidR="003575FE" w:rsidRPr="001E2783" w:rsidRDefault="00D76FA6" w:rsidP="00D76FA6">
      <w:pPr>
        <w:rPr>
          <w:rFonts w:cs="Arial"/>
        </w:rPr>
      </w:pPr>
      <w:r w:rsidRPr="001E2783">
        <w:rPr>
          <w:rFonts w:cs="Arial"/>
        </w:rPr>
        <w:t xml:space="preserve">The Radiocommunications (Low Interference Potential Devices) Class Licence 2000 (the LIPD Class Licence) is regularly varied to maintain currency and keep pace with technological developments. The ACMA publicly consulted on changes to the </w:t>
      </w:r>
      <w:r w:rsidR="003575FE" w:rsidRPr="001E2783">
        <w:rPr>
          <w:rFonts w:cs="Arial"/>
        </w:rPr>
        <w:t>LIPD C</w:t>
      </w:r>
      <w:r w:rsidRPr="001E2783">
        <w:rPr>
          <w:rFonts w:cs="Arial"/>
        </w:rPr>
        <w:t xml:space="preserve">lass </w:t>
      </w:r>
      <w:r w:rsidR="003575FE" w:rsidRPr="001E2783">
        <w:rPr>
          <w:rFonts w:cs="Arial"/>
        </w:rPr>
        <w:t>L</w:t>
      </w:r>
      <w:r w:rsidR="00E92E97" w:rsidRPr="001E2783">
        <w:rPr>
          <w:rFonts w:cs="Arial"/>
        </w:rPr>
        <w:t>icence on 14 </w:t>
      </w:r>
      <w:r w:rsidRPr="001E2783">
        <w:rPr>
          <w:rFonts w:cs="Arial"/>
        </w:rPr>
        <w:t>March 2014, including updated arrangements for wireless microphones and other transmitters operating in the broadcasting services band</w:t>
      </w:r>
      <w:r w:rsidR="00466D55" w:rsidRPr="001E2783">
        <w:rPr>
          <w:rFonts w:cs="Arial"/>
        </w:rPr>
        <w:t>, and the use of short-range low-</w:t>
      </w:r>
      <w:r w:rsidRPr="001E2783">
        <w:rPr>
          <w:rFonts w:cs="Arial"/>
        </w:rPr>
        <w:t xml:space="preserve">power devices using ultra-wide band (UWB) technology. Submissions closed on </w:t>
      </w:r>
      <w:r w:rsidR="00E92E97" w:rsidRPr="001E2783">
        <w:rPr>
          <w:rFonts w:cs="Arial"/>
        </w:rPr>
        <w:t>27 </w:t>
      </w:r>
      <w:r w:rsidRPr="001E2783">
        <w:rPr>
          <w:rFonts w:cs="Arial"/>
        </w:rPr>
        <w:t>April</w:t>
      </w:r>
      <w:r w:rsidR="006A2B16" w:rsidRPr="001E2783">
        <w:rPr>
          <w:rFonts w:cs="Arial"/>
        </w:rPr>
        <w:t xml:space="preserve"> </w:t>
      </w:r>
      <w:r w:rsidR="008B7719" w:rsidRPr="001E2783">
        <w:rPr>
          <w:rFonts w:cs="Arial"/>
        </w:rPr>
        <w:t xml:space="preserve">2014 </w:t>
      </w:r>
      <w:r w:rsidR="006A2B16" w:rsidRPr="001E2783">
        <w:rPr>
          <w:rFonts w:cs="Arial"/>
        </w:rPr>
        <w:t>and t</w:t>
      </w:r>
      <w:r w:rsidR="003575FE" w:rsidRPr="001E2783">
        <w:rPr>
          <w:rFonts w:cs="Arial"/>
        </w:rPr>
        <w:t xml:space="preserve">he ACMA varied the LIPD </w:t>
      </w:r>
      <w:r w:rsidR="006A2B16" w:rsidRPr="001E2783">
        <w:rPr>
          <w:rFonts w:cs="Arial"/>
        </w:rPr>
        <w:t>C</w:t>
      </w:r>
      <w:r w:rsidR="003575FE" w:rsidRPr="001E2783">
        <w:rPr>
          <w:rFonts w:cs="Arial"/>
        </w:rPr>
        <w:t xml:space="preserve">lass </w:t>
      </w:r>
      <w:r w:rsidR="006A2B16" w:rsidRPr="001E2783">
        <w:rPr>
          <w:rFonts w:cs="Arial"/>
        </w:rPr>
        <w:t>L</w:t>
      </w:r>
      <w:r w:rsidR="003575FE" w:rsidRPr="001E2783">
        <w:rPr>
          <w:rFonts w:cs="Arial"/>
        </w:rPr>
        <w:t xml:space="preserve">icence in June. Arrangements implemented in this variation </w:t>
      </w:r>
      <w:r w:rsidR="006A2B16" w:rsidRPr="001E2783">
        <w:rPr>
          <w:rFonts w:cs="Arial"/>
        </w:rPr>
        <w:t>to the LIPD C</w:t>
      </w:r>
      <w:r w:rsidR="003575FE" w:rsidRPr="001E2783">
        <w:rPr>
          <w:rFonts w:cs="Arial"/>
        </w:rPr>
        <w:t xml:space="preserve">lass </w:t>
      </w:r>
      <w:r w:rsidR="006A2B16" w:rsidRPr="001E2783">
        <w:rPr>
          <w:rFonts w:cs="Arial"/>
        </w:rPr>
        <w:t>L</w:t>
      </w:r>
      <w:r w:rsidR="003575FE" w:rsidRPr="001E2783">
        <w:rPr>
          <w:rFonts w:cs="Arial"/>
        </w:rPr>
        <w:t xml:space="preserve">icence for UWB were modified from those originally proposed, following consideration of issues raised in submissions. </w:t>
      </w:r>
    </w:p>
    <w:p w14:paraId="752A0F74" w14:textId="77777777" w:rsidR="003575FE" w:rsidRPr="001E2783" w:rsidRDefault="003575FE" w:rsidP="00D76FA6">
      <w:pPr>
        <w:rPr>
          <w:rFonts w:cs="Arial"/>
        </w:rPr>
      </w:pPr>
    </w:p>
    <w:p w14:paraId="699FC3CF" w14:textId="77777777" w:rsidR="00D76FA6" w:rsidRPr="001E2783" w:rsidRDefault="003575FE" w:rsidP="00D76FA6">
      <w:pPr>
        <w:rPr>
          <w:rFonts w:cs="Arial"/>
        </w:rPr>
      </w:pPr>
      <w:r w:rsidRPr="001E2783">
        <w:rPr>
          <w:rFonts w:cs="Arial"/>
        </w:rPr>
        <w:t xml:space="preserve">The ACMA will be consulting further on key aspects of UWB regulation </w:t>
      </w:r>
      <w:r w:rsidR="006A2B16" w:rsidRPr="001E2783">
        <w:rPr>
          <w:rFonts w:cs="Arial"/>
        </w:rPr>
        <w:t xml:space="preserve">so that </w:t>
      </w:r>
      <w:r w:rsidRPr="001E2783">
        <w:rPr>
          <w:rFonts w:cs="Arial"/>
        </w:rPr>
        <w:t>stakeholder views are fully considered and there is greater harmonisation with international arrangements for UWB in Australia.</w:t>
      </w:r>
    </w:p>
    <w:p w14:paraId="3127C0FB" w14:textId="77777777" w:rsidR="007918DE" w:rsidRPr="001E2783" w:rsidRDefault="007918DE" w:rsidP="00CC119D">
      <w:pPr>
        <w:rPr>
          <w:rFonts w:cs="Arial"/>
        </w:rPr>
      </w:pPr>
    </w:p>
    <w:p w14:paraId="5D231C6C" w14:textId="77777777" w:rsidR="00CC119D" w:rsidRPr="001E2783" w:rsidRDefault="00466D55" w:rsidP="00CC119D">
      <w:pPr>
        <w:pStyle w:val="BodysubheaderH4"/>
        <w:rPr>
          <w:rFonts w:cs="Arial"/>
        </w:rPr>
      </w:pPr>
      <w:r w:rsidRPr="001E2783">
        <w:rPr>
          <w:rFonts w:cs="Arial"/>
        </w:rPr>
        <w:t>Accredited p</w:t>
      </w:r>
      <w:r w:rsidR="00CC119D" w:rsidRPr="001E2783">
        <w:rPr>
          <w:rFonts w:cs="Arial"/>
        </w:rPr>
        <w:t>ersons scheme</w:t>
      </w:r>
    </w:p>
    <w:p w14:paraId="270640C4" w14:textId="77777777" w:rsidR="007918DE" w:rsidRPr="001E2783" w:rsidRDefault="007918DE" w:rsidP="007918DE">
      <w:pPr>
        <w:rPr>
          <w:rFonts w:cs="Arial"/>
        </w:rPr>
      </w:pPr>
      <w:r w:rsidRPr="001E2783">
        <w:rPr>
          <w:rFonts w:cs="Arial"/>
        </w:rPr>
        <w:t xml:space="preserve">The </w:t>
      </w:r>
      <w:r w:rsidR="00466D55" w:rsidRPr="001E2783">
        <w:rPr>
          <w:rFonts w:cs="Arial"/>
        </w:rPr>
        <w:t>a</w:t>
      </w:r>
      <w:r w:rsidRPr="001E2783">
        <w:rPr>
          <w:rFonts w:cs="Arial"/>
        </w:rPr>
        <w:t xml:space="preserve">ccredited </w:t>
      </w:r>
      <w:r w:rsidR="00466D55" w:rsidRPr="001E2783">
        <w:rPr>
          <w:rFonts w:cs="Arial"/>
        </w:rPr>
        <w:t>p</w:t>
      </w:r>
      <w:r w:rsidRPr="001E2783">
        <w:rPr>
          <w:rFonts w:cs="Arial"/>
        </w:rPr>
        <w:t>ersons (APs) scheme provides a market-based solution for frequency coordination and device registration. Under the scheme, the ACMA accredits appropriately qualified persons to issue frequency assignment certificates for apparatus licences and interference impact certificates for spectrum licences. Since its introduction, radiocommunications licensees have seen the benefit of using the services of appropriately qualified APs. APs now undertake the majority of frequency assignment activity for the Australian radiocommunications sector.</w:t>
      </w:r>
    </w:p>
    <w:p w14:paraId="35EF5766" w14:textId="77777777" w:rsidR="007918DE" w:rsidRPr="001E2783" w:rsidRDefault="007918DE" w:rsidP="007918DE">
      <w:pPr>
        <w:rPr>
          <w:rFonts w:cs="Arial"/>
        </w:rPr>
      </w:pPr>
    </w:p>
    <w:p w14:paraId="39F8C6BC" w14:textId="77777777" w:rsidR="007918DE" w:rsidRPr="001E2783" w:rsidRDefault="007918DE" w:rsidP="007918DE">
      <w:pPr>
        <w:rPr>
          <w:rFonts w:cs="Arial"/>
        </w:rPr>
      </w:pPr>
      <w:r w:rsidRPr="001E2783">
        <w:rPr>
          <w:rFonts w:cs="Arial"/>
        </w:rPr>
        <w:t>During 2013–14, the ACMA performed its annual review of assignment activity undertaken by all APs. The aim of this process is to keep APs’ skills and knowledge of frequency assignment and interference impact certification current, and to maintain the integrity of spectrum management arrangements. APs who have been inactive for at least two years are asked to provide advice on why their accreditation should not be withdrawn. In the reporting period, ac</w:t>
      </w:r>
      <w:r w:rsidR="00466D55" w:rsidRPr="001E2783">
        <w:rPr>
          <w:rFonts w:cs="Arial"/>
        </w:rPr>
        <w:t>creditation was withdrawn from three</w:t>
      </w:r>
      <w:r w:rsidRPr="001E2783">
        <w:rPr>
          <w:rFonts w:cs="Arial"/>
        </w:rPr>
        <w:t xml:space="preserve"> inactive APs. One AP sought a review of the decision to withdraw accreditation, which resulted in that decision being reversed. </w:t>
      </w:r>
    </w:p>
    <w:p w14:paraId="17ECFC9B" w14:textId="77777777" w:rsidR="007918DE" w:rsidRPr="001E2783" w:rsidRDefault="007918DE" w:rsidP="007918DE">
      <w:pPr>
        <w:rPr>
          <w:rFonts w:cs="Arial"/>
        </w:rPr>
      </w:pPr>
    </w:p>
    <w:p w14:paraId="79A385C5" w14:textId="77777777" w:rsidR="00CC119D" w:rsidRPr="001E2783" w:rsidRDefault="007918DE" w:rsidP="007918DE">
      <w:pPr>
        <w:rPr>
          <w:rFonts w:cs="Arial"/>
        </w:rPr>
      </w:pPr>
      <w:r w:rsidRPr="001E2783">
        <w:rPr>
          <w:rFonts w:cs="Arial"/>
        </w:rPr>
        <w:t xml:space="preserve">In 2013–14, the total number of APs increased from 39 to 41 (see Table </w:t>
      </w:r>
      <w:r w:rsidR="00C846BB" w:rsidRPr="001E2783">
        <w:rPr>
          <w:rFonts w:cs="Arial"/>
        </w:rPr>
        <w:t>4</w:t>
      </w:r>
      <w:r w:rsidRPr="001E2783">
        <w:rPr>
          <w:rFonts w:cs="Arial"/>
        </w:rPr>
        <w:t>)</w:t>
      </w:r>
      <w:r w:rsidR="00466D55" w:rsidRPr="001E2783">
        <w:rPr>
          <w:rFonts w:cs="Arial"/>
        </w:rPr>
        <w:t xml:space="preserve"> and f</w:t>
      </w:r>
      <w:r w:rsidRPr="001E2783">
        <w:rPr>
          <w:rFonts w:cs="Arial"/>
        </w:rPr>
        <w:t>ive new applicants were accredited. With the percentage of assignment activity perf</w:t>
      </w:r>
      <w:r w:rsidR="00466D55" w:rsidRPr="001E2783">
        <w:rPr>
          <w:rFonts w:cs="Arial"/>
        </w:rPr>
        <w:t>ormed by APs continuing to grow</w:t>
      </w:r>
      <w:r w:rsidRPr="001E2783">
        <w:rPr>
          <w:rFonts w:cs="Arial"/>
        </w:rPr>
        <w:t xml:space="preserve">—increasing by </w:t>
      </w:r>
      <w:r w:rsidR="00DF4DD2" w:rsidRPr="001E2783">
        <w:rPr>
          <w:rFonts w:cs="Arial"/>
        </w:rPr>
        <w:t xml:space="preserve">three </w:t>
      </w:r>
      <w:r w:rsidRPr="001E2783">
        <w:rPr>
          <w:rFonts w:cs="Arial"/>
        </w:rPr>
        <w:t xml:space="preserve">per cent in 2013–14 (see Table </w:t>
      </w:r>
      <w:r w:rsidR="00C846BB" w:rsidRPr="001E2783">
        <w:rPr>
          <w:rFonts w:cs="Arial"/>
        </w:rPr>
        <w:t>5</w:t>
      </w:r>
      <w:r w:rsidRPr="001E2783">
        <w:rPr>
          <w:rFonts w:cs="Arial"/>
        </w:rPr>
        <w:t>)—the AP scheme is considered to be operating effectively.</w:t>
      </w:r>
    </w:p>
    <w:p w14:paraId="114FD101" w14:textId="77777777" w:rsidR="007918DE" w:rsidRPr="001E2783" w:rsidRDefault="007918DE" w:rsidP="007918DE">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49E684B6" w14:textId="77777777" w:rsidTr="00C902FF">
        <w:trPr>
          <w:trHeight w:val="570"/>
        </w:trPr>
        <w:tc>
          <w:tcPr>
            <w:tcW w:w="9645" w:type="dxa"/>
            <w:tcBorders>
              <w:top w:val="single" w:sz="2" w:space="0" w:color="505050"/>
            </w:tcBorders>
            <w:shd w:val="clear" w:color="auto" w:fill="auto"/>
            <w:vAlign w:val="center"/>
          </w:tcPr>
          <w:p w14:paraId="3E11BF59" w14:textId="77777777" w:rsidR="00CC119D" w:rsidRPr="001E2783" w:rsidRDefault="00CC119D" w:rsidP="00C846BB">
            <w:pPr>
              <w:pStyle w:val="Caption"/>
              <w:keepNext/>
              <w:rPr>
                <w:rFonts w:ascii="Arial" w:hAnsi="Arial" w:cs="Arial"/>
                <w:color w:val="auto"/>
              </w:rPr>
            </w:pPr>
            <w:r w:rsidRPr="00D3485F">
              <w:rPr>
                <w:rFonts w:ascii="Arial" w:hAnsi="Arial" w:cs="Arial"/>
              </w:rPr>
              <w:t xml:space="preserve">Table </w:t>
            </w:r>
            <w:r w:rsidR="00C846BB" w:rsidRPr="00D3485F">
              <w:rPr>
                <w:rFonts w:ascii="Arial" w:hAnsi="Arial" w:cs="Arial"/>
              </w:rPr>
              <w:t>4</w:t>
            </w:r>
            <w:r w:rsidR="004132D4" w:rsidRPr="00D3485F">
              <w:rPr>
                <w:rFonts w:ascii="Arial" w:hAnsi="Arial" w:cs="Arial"/>
              </w:rPr>
              <w:t xml:space="preserve">: </w:t>
            </w:r>
            <w:r w:rsidR="005B75AB" w:rsidRPr="00D3485F">
              <w:rPr>
                <w:rFonts w:ascii="Arial" w:hAnsi="Arial" w:cs="Arial"/>
              </w:rPr>
              <w:t xml:space="preserve">Number of </w:t>
            </w:r>
            <w:r w:rsidR="004132D4" w:rsidRPr="00D3485F">
              <w:rPr>
                <w:rFonts w:ascii="Arial" w:hAnsi="Arial" w:cs="Arial"/>
              </w:rPr>
              <w:t>APs, 30 June 20</w:t>
            </w:r>
            <w:r w:rsidR="007918DE" w:rsidRPr="00D3485F">
              <w:rPr>
                <w:rFonts w:ascii="Arial" w:hAnsi="Arial" w:cs="Arial"/>
              </w:rPr>
              <w:t>10</w:t>
            </w:r>
            <w:r w:rsidRPr="00D3485F">
              <w:rPr>
                <w:rFonts w:ascii="Arial" w:hAnsi="Arial" w:cs="Arial"/>
              </w:rPr>
              <w:t xml:space="preserve"> to 30 June 20</w:t>
            </w:r>
            <w:r w:rsidR="004132D4" w:rsidRPr="00D3485F">
              <w:rPr>
                <w:rFonts w:ascii="Arial" w:hAnsi="Arial" w:cs="Arial"/>
              </w:rPr>
              <w:t>1</w:t>
            </w:r>
            <w:r w:rsidR="007918DE" w:rsidRPr="00D3485F">
              <w:rPr>
                <w:rFonts w:ascii="Arial" w:hAnsi="Arial" w:cs="Arial"/>
              </w:rPr>
              <w:t>4</w:t>
            </w:r>
          </w:p>
        </w:tc>
      </w:tr>
      <w:tr w:rsidR="001E2783" w:rsidRPr="001E2783" w14:paraId="398B4E45" w14:textId="77777777" w:rsidTr="00C902FF">
        <w:trPr>
          <w:trHeight w:val="644"/>
        </w:trPr>
        <w:tc>
          <w:tcPr>
            <w:tcW w:w="9645" w:type="dxa"/>
            <w:shd w:val="clear" w:color="auto" w:fill="auto"/>
            <w:tcMar>
              <w:left w:w="28" w:type="dxa"/>
            </w:tcMar>
          </w:tcPr>
          <w:tbl>
            <w:tblPr>
              <w:tblW w:w="77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44"/>
              <w:gridCol w:w="1544"/>
              <w:gridCol w:w="1545"/>
              <w:gridCol w:w="1544"/>
              <w:gridCol w:w="1545"/>
            </w:tblGrid>
            <w:tr w:rsidR="001E2783" w:rsidRPr="001E2783" w14:paraId="762249BB" w14:textId="77777777" w:rsidTr="00F67B91">
              <w:tc>
                <w:tcPr>
                  <w:tcW w:w="1544" w:type="dxa"/>
                  <w:shd w:val="clear" w:color="auto" w:fill="404040" w:themeFill="text1" w:themeFillTint="BF"/>
                  <w:tcMar>
                    <w:top w:w="57" w:type="dxa"/>
                    <w:left w:w="57" w:type="dxa"/>
                    <w:bottom w:w="57" w:type="dxa"/>
                    <w:right w:w="57" w:type="dxa"/>
                  </w:tcMar>
                </w:tcPr>
                <w:p w14:paraId="2B7E099E" w14:textId="77777777" w:rsidR="007918DE" w:rsidRPr="004E4548" w:rsidRDefault="007918DE" w:rsidP="00466D55">
                  <w:pPr>
                    <w:pStyle w:val="TableHeading"/>
                    <w:rPr>
                      <w:rFonts w:ascii="Arial" w:hAnsi="Arial" w:cs="Arial"/>
                      <w:color w:val="FFFFFF" w:themeColor="background1"/>
                    </w:rPr>
                  </w:pPr>
                  <w:r w:rsidRPr="004E4548">
                    <w:rPr>
                      <w:rFonts w:ascii="Arial" w:hAnsi="Arial" w:cs="Arial"/>
                      <w:color w:val="FFFFFF" w:themeColor="background1"/>
                    </w:rPr>
                    <w:t>30 June 2010</w:t>
                  </w:r>
                </w:p>
              </w:tc>
              <w:tc>
                <w:tcPr>
                  <w:tcW w:w="1544" w:type="dxa"/>
                  <w:shd w:val="clear" w:color="auto" w:fill="404040" w:themeFill="text1" w:themeFillTint="BF"/>
                  <w:tcMar>
                    <w:top w:w="57" w:type="dxa"/>
                    <w:left w:w="57" w:type="dxa"/>
                    <w:bottom w:w="57" w:type="dxa"/>
                    <w:right w:w="57" w:type="dxa"/>
                  </w:tcMar>
                </w:tcPr>
                <w:p w14:paraId="1D43C186" w14:textId="77777777" w:rsidR="007918DE" w:rsidRPr="004E4548" w:rsidRDefault="007918DE" w:rsidP="00466D55">
                  <w:pPr>
                    <w:pStyle w:val="TableHeading"/>
                    <w:rPr>
                      <w:rFonts w:ascii="Arial" w:hAnsi="Arial" w:cs="Arial"/>
                      <w:color w:val="FFFFFF" w:themeColor="background1"/>
                    </w:rPr>
                  </w:pPr>
                  <w:r w:rsidRPr="004E4548">
                    <w:rPr>
                      <w:rFonts w:ascii="Arial" w:hAnsi="Arial" w:cs="Arial"/>
                      <w:color w:val="FFFFFF" w:themeColor="background1"/>
                    </w:rPr>
                    <w:t>30 June 2011</w:t>
                  </w:r>
                </w:p>
              </w:tc>
              <w:tc>
                <w:tcPr>
                  <w:tcW w:w="1545" w:type="dxa"/>
                  <w:shd w:val="clear" w:color="auto" w:fill="404040" w:themeFill="text1" w:themeFillTint="BF"/>
                  <w:tcMar>
                    <w:top w:w="57" w:type="dxa"/>
                    <w:left w:w="57" w:type="dxa"/>
                    <w:bottom w:w="57" w:type="dxa"/>
                    <w:right w:w="57" w:type="dxa"/>
                  </w:tcMar>
                </w:tcPr>
                <w:p w14:paraId="4B640453" w14:textId="77777777" w:rsidR="007918DE" w:rsidRPr="004E4548" w:rsidRDefault="007918DE" w:rsidP="00466D55">
                  <w:pPr>
                    <w:pStyle w:val="TableHeading"/>
                    <w:rPr>
                      <w:rFonts w:ascii="Arial" w:hAnsi="Arial" w:cs="Arial"/>
                      <w:color w:val="FFFFFF" w:themeColor="background1"/>
                    </w:rPr>
                  </w:pPr>
                  <w:r w:rsidRPr="004E4548">
                    <w:rPr>
                      <w:rFonts w:ascii="Arial" w:hAnsi="Arial" w:cs="Arial"/>
                      <w:color w:val="FFFFFF" w:themeColor="background1"/>
                    </w:rPr>
                    <w:t>30 June 2012</w:t>
                  </w:r>
                </w:p>
              </w:tc>
              <w:tc>
                <w:tcPr>
                  <w:tcW w:w="1544" w:type="dxa"/>
                  <w:shd w:val="clear" w:color="auto" w:fill="404040" w:themeFill="text1" w:themeFillTint="BF"/>
                  <w:tcMar>
                    <w:top w:w="57" w:type="dxa"/>
                    <w:left w:w="57" w:type="dxa"/>
                    <w:bottom w:w="57" w:type="dxa"/>
                    <w:right w:w="57" w:type="dxa"/>
                  </w:tcMar>
                </w:tcPr>
                <w:p w14:paraId="5706CB67" w14:textId="77777777" w:rsidR="007918DE" w:rsidRPr="004E4548" w:rsidRDefault="007918DE" w:rsidP="00466D55">
                  <w:pPr>
                    <w:pStyle w:val="TableHeading"/>
                    <w:rPr>
                      <w:rFonts w:ascii="Arial" w:hAnsi="Arial" w:cs="Arial"/>
                      <w:color w:val="FFFFFF" w:themeColor="background1"/>
                    </w:rPr>
                  </w:pPr>
                  <w:r w:rsidRPr="004E4548">
                    <w:rPr>
                      <w:rFonts w:ascii="Arial" w:hAnsi="Arial" w:cs="Arial"/>
                      <w:color w:val="FFFFFF" w:themeColor="background1"/>
                    </w:rPr>
                    <w:t>30 June 2013</w:t>
                  </w:r>
                </w:p>
              </w:tc>
              <w:tc>
                <w:tcPr>
                  <w:tcW w:w="1545" w:type="dxa"/>
                  <w:shd w:val="clear" w:color="auto" w:fill="404040" w:themeFill="text1" w:themeFillTint="BF"/>
                  <w:tcMar>
                    <w:top w:w="57" w:type="dxa"/>
                    <w:left w:w="57" w:type="dxa"/>
                    <w:bottom w:w="57" w:type="dxa"/>
                    <w:right w:w="57" w:type="dxa"/>
                  </w:tcMar>
                </w:tcPr>
                <w:p w14:paraId="3AB613CC" w14:textId="77777777" w:rsidR="007918DE" w:rsidRPr="004E4548" w:rsidRDefault="007918DE" w:rsidP="00466D55">
                  <w:pPr>
                    <w:pStyle w:val="TableHeading"/>
                    <w:rPr>
                      <w:rFonts w:ascii="Arial" w:hAnsi="Arial" w:cs="Arial"/>
                      <w:color w:val="FFFFFF" w:themeColor="background1"/>
                    </w:rPr>
                  </w:pPr>
                  <w:r w:rsidRPr="004E4548">
                    <w:rPr>
                      <w:rFonts w:ascii="Arial" w:hAnsi="Arial" w:cs="Arial"/>
                      <w:color w:val="FFFFFF" w:themeColor="background1"/>
                    </w:rPr>
                    <w:t>30 June 2014</w:t>
                  </w:r>
                </w:p>
              </w:tc>
            </w:tr>
            <w:tr w:rsidR="001E2783" w:rsidRPr="001E2783" w14:paraId="387A1659" w14:textId="77777777" w:rsidTr="00F67B91">
              <w:tc>
                <w:tcPr>
                  <w:tcW w:w="1544" w:type="dxa"/>
                  <w:tcMar>
                    <w:top w:w="57" w:type="dxa"/>
                    <w:left w:w="57" w:type="dxa"/>
                    <w:bottom w:w="57" w:type="dxa"/>
                    <w:right w:w="57" w:type="dxa"/>
                  </w:tcMar>
                </w:tcPr>
                <w:p w14:paraId="1C7375DC" w14:textId="77777777" w:rsidR="005B75AB" w:rsidRPr="001E2783" w:rsidRDefault="005B75AB" w:rsidP="00466D55">
                  <w:pPr>
                    <w:pStyle w:val="TableTextLeft"/>
                    <w:rPr>
                      <w:rFonts w:cs="Arial"/>
                      <w:sz w:val="20"/>
                    </w:rPr>
                  </w:pPr>
                  <w:r w:rsidRPr="001E2783">
                    <w:rPr>
                      <w:rFonts w:cs="Arial"/>
                      <w:sz w:val="20"/>
                    </w:rPr>
                    <w:t>6</w:t>
                  </w:r>
                  <w:r w:rsidR="00D76FA6" w:rsidRPr="001E2783">
                    <w:rPr>
                      <w:rFonts w:cs="Arial"/>
                      <w:sz w:val="20"/>
                    </w:rPr>
                    <w:t>9</w:t>
                  </w:r>
                </w:p>
              </w:tc>
              <w:tc>
                <w:tcPr>
                  <w:tcW w:w="1544" w:type="dxa"/>
                  <w:tcMar>
                    <w:top w:w="57" w:type="dxa"/>
                    <w:left w:w="57" w:type="dxa"/>
                    <w:bottom w:w="57" w:type="dxa"/>
                    <w:right w:w="57" w:type="dxa"/>
                  </w:tcMar>
                </w:tcPr>
                <w:p w14:paraId="147D3431" w14:textId="77777777" w:rsidR="005B75AB" w:rsidRPr="001E2783" w:rsidRDefault="00D76FA6" w:rsidP="00466D55">
                  <w:pPr>
                    <w:pStyle w:val="TableTextLeft"/>
                    <w:rPr>
                      <w:rFonts w:cs="Arial"/>
                      <w:sz w:val="20"/>
                    </w:rPr>
                  </w:pPr>
                  <w:r w:rsidRPr="001E2783">
                    <w:rPr>
                      <w:rFonts w:cs="Arial"/>
                      <w:sz w:val="20"/>
                    </w:rPr>
                    <w:t>57</w:t>
                  </w:r>
                </w:p>
              </w:tc>
              <w:tc>
                <w:tcPr>
                  <w:tcW w:w="1545" w:type="dxa"/>
                  <w:tcMar>
                    <w:top w:w="57" w:type="dxa"/>
                    <w:left w:w="57" w:type="dxa"/>
                    <w:bottom w:w="57" w:type="dxa"/>
                    <w:right w:w="57" w:type="dxa"/>
                  </w:tcMar>
                </w:tcPr>
                <w:p w14:paraId="22480947" w14:textId="77777777" w:rsidR="005B75AB" w:rsidRPr="001E2783" w:rsidRDefault="005B75AB" w:rsidP="00466D55">
                  <w:pPr>
                    <w:pStyle w:val="TableTextLeft"/>
                    <w:rPr>
                      <w:rFonts w:cs="Arial"/>
                      <w:sz w:val="20"/>
                    </w:rPr>
                  </w:pPr>
                  <w:r w:rsidRPr="001E2783">
                    <w:rPr>
                      <w:rFonts w:cs="Arial"/>
                      <w:sz w:val="20"/>
                    </w:rPr>
                    <w:t>5</w:t>
                  </w:r>
                  <w:r w:rsidR="00D76FA6" w:rsidRPr="001E2783">
                    <w:rPr>
                      <w:rFonts w:cs="Arial"/>
                      <w:sz w:val="20"/>
                    </w:rPr>
                    <w:t>3</w:t>
                  </w:r>
                </w:p>
              </w:tc>
              <w:tc>
                <w:tcPr>
                  <w:tcW w:w="1544" w:type="dxa"/>
                  <w:tcMar>
                    <w:top w:w="57" w:type="dxa"/>
                    <w:left w:w="57" w:type="dxa"/>
                    <w:bottom w:w="57" w:type="dxa"/>
                    <w:right w:w="57" w:type="dxa"/>
                  </w:tcMar>
                </w:tcPr>
                <w:p w14:paraId="4098BB97" w14:textId="77777777" w:rsidR="005B75AB" w:rsidRPr="001E2783" w:rsidRDefault="00D76FA6" w:rsidP="00466D55">
                  <w:pPr>
                    <w:pStyle w:val="TableTextLeft"/>
                    <w:rPr>
                      <w:rFonts w:cs="Arial"/>
                      <w:sz w:val="20"/>
                    </w:rPr>
                  </w:pPr>
                  <w:r w:rsidRPr="001E2783">
                    <w:rPr>
                      <w:rFonts w:cs="Arial"/>
                      <w:sz w:val="20"/>
                    </w:rPr>
                    <w:t>39</w:t>
                  </w:r>
                </w:p>
              </w:tc>
              <w:tc>
                <w:tcPr>
                  <w:tcW w:w="1545" w:type="dxa"/>
                  <w:tcMar>
                    <w:top w:w="57" w:type="dxa"/>
                    <w:left w:w="57" w:type="dxa"/>
                    <w:bottom w:w="57" w:type="dxa"/>
                    <w:right w:w="57" w:type="dxa"/>
                  </w:tcMar>
                </w:tcPr>
                <w:p w14:paraId="3E615EAE" w14:textId="77777777" w:rsidR="005B75AB" w:rsidRPr="001E2783" w:rsidRDefault="00D76FA6" w:rsidP="00466D55">
                  <w:pPr>
                    <w:pStyle w:val="TableTextLeft"/>
                    <w:rPr>
                      <w:rFonts w:cs="Arial"/>
                      <w:sz w:val="20"/>
                    </w:rPr>
                  </w:pPr>
                  <w:r w:rsidRPr="001E2783">
                    <w:rPr>
                      <w:rFonts w:cs="Arial"/>
                      <w:sz w:val="20"/>
                    </w:rPr>
                    <w:t>41</w:t>
                  </w:r>
                </w:p>
              </w:tc>
            </w:tr>
          </w:tbl>
          <w:p w14:paraId="3EB825B4" w14:textId="77777777" w:rsidR="00CC119D" w:rsidRPr="001E2783" w:rsidRDefault="00CC119D" w:rsidP="00C902FF">
            <w:pPr>
              <w:rPr>
                <w:rFonts w:cs="Arial"/>
                <w:b/>
              </w:rPr>
            </w:pPr>
          </w:p>
        </w:tc>
      </w:tr>
      <w:tr w:rsidR="00CC119D" w:rsidRPr="001E2783" w14:paraId="1D6D1B8D" w14:textId="77777777" w:rsidTr="00C902FF">
        <w:trPr>
          <w:trHeight w:val="291"/>
        </w:trPr>
        <w:tc>
          <w:tcPr>
            <w:tcW w:w="9645" w:type="dxa"/>
            <w:tcBorders>
              <w:bottom w:val="single" w:sz="2" w:space="0" w:color="505050"/>
            </w:tcBorders>
            <w:shd w:val="clear" w:color="auto" w:fill="auto"/>
          </w:tcPr>
          <w:p w14:paraId="30468BC7" w14:textId="77777777" w:rsidR="00CC119D" w:rsidRPr="001E2783" w:rsidRDefault="00CC119D" w:rsidP="00C902FF">
            <w:pPr>
              <w:rPr>
                <w:rFonts w:cs="Arial"/>
              </w:rPr>
            </w:pPr>
          </w:p>
        </w:tc>
      </w:tr>
    </w:tbl>
    <w:p w14:paraId="7DC6A3EB" w14:textId="77777777" w:rsidR="00CC119D" w:rsidRPr="001E2783" w:rsidRDefault="00CC119D" w:rsidP="00CC119D">
      <w:pPr>
        <w:rPr>
          <w:rFonts w:cs="Arial"/>
        </w:rPr>
      </w:pPr>
    </w:p>
    <w:p w14:paraId="488B7B50" w14:textId="77777777" w:rsidR="007918DE" w:rsidRPr="001E2783" w:rsidRDefault="007918DE" w:rsidP="007918DE">
      <w:pPr>
        <w:rPr>
          <w:rFonts w:cs="Arial"/>
        </w:rPr>
      </w:pPr>
      <w:r w:rsidRPr="001E2783">
        <w:rPr>
          <w:rFonts w:cs="Arial"/>
        </w:rPr>
        <w:t xml:space="preserve">APs register all devices that require authorisation to operate under a spectrum licence, supporting the self-regulatory approach to spectrum management introduced in 1997. This approach allows licensees to take responsibility for much of the administration </w:t>
      </w:r>
      <w:r w:rsidR="00466D55" w:rsidRPr="001E2783">
        <w:rPr>
          <w:rFonts w:cs="Arial"/>
        </w:rPr>
        <w:t>of</w:t>
      </w:r>
      <w:r w:rsidRPr="001E2783">
        <w:rPr>
          <w:rFonts w:cs="Arial"/>
        </w:rPr>
        <w:t xml:space="preserve"> their spectrum licen</w:t>
      </w:r>
      <w:r w:rsidR="00466D55" w:rsidRPr="001E2783">
        <w:rPr>
          <w:rFonts w:cs="Arial"/>
        </w:rPr>
        <w:t>ces. In 2013–14, APs registered</w:t>
      </w:r>
      <w:r w:rsidRPr="001E2783">
        <w:rPr>
          <w:rFonts w:cs="Arial"/>
        </w:rPr>
        <w:t xml:space="preserve"> </w:t>
      </w:r>
      <w:r w:rsidR="00DF4DD2" w:rsidRPr="001E2783">
        <w:rPr>
          <w:rFonts w:cs="Arial"/>
        </w:rPr>
        <w:t xml:space="preserve">176,532 </w:t>
      </w:r>
      <w:r w:rsidRPr="001E2783">
        <w:rPr>
          <w:rFonts w:cs="Arial"/>
        </w:rPr>
        <w:t>devices operated under spectrum licences.</w:t>
      </w:r>
    </w:p>
    <w:p w14:paraId="2A06792A" w14:textId="77777777" w:rsidR="00CC119D" w:rsidRPr="001E2783" w:rsidRDefault="00CC119D" w:rsidP="00CC119D">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5565E8D5" w14:textId="77777777" w:rsidTr="00C902FF">
        <w:trPr>
          <w:trHeight w:val="570"/>
        </w:trPr>
        <w:tc>
          <w:tcPr>
            <w:tcW w:w="9645" w:type="dxa"/>
            <w:tcBorders>
              <w:top w:val="single" w:sz="2" w:space="0" w:color="505050"/>
            </w:tcBorders>
            <w:shd w:val="clear" w:color="auto" w:fill="auto"/>
            <w:vAlign w:val="center"/>
          </w:tcPr>
          <w:p w14:paraId="55631693" w14:textId="77777777" w:rsidR="00CC119D" w:rsidRPr="001E2783" w:rsidRDefault="007918DE" w:rsidP="00C846BB">
            <w:pPr>
              <w:pStyle w:val="Caption"/>
              <w:keepNext/>
              <w:rPr>
                <w:rFonts w:ascii="Arial" w:hAnsi="Arial" w:cs="Arial"/>
                <w:color w:val="auto"/>
              </w:rPr>
            </w:pPr>
            <w:r w:rsidRPr="00D3485F">
              <w:rPr>
                <w:rFonts w:ascii="Arial" w:hAnsi="Arial" w:cs="Arial"/>
              </w:rPr>
              <w:t xml:space="preserve">Table </w:t>
            </w:r>
            <w:r w:rsidR="00C846BB" w:rsidRPr="00D3485F">
              <w:rPr>
                <w:rFonts w:ascii="Arial" w:hAnsi="Arial" w:cs="Arial"/>
              </w:rPr>
              <w:t>5</w:t>
            </w:r>
            <w:r w:rsidRPr="00D3485F">
              <w:rPr>
                <w:rFonts w:ascii="Arial" w:hAnsi="Arial" w:cs="Arial"/>
              </w:rPr>
              <w:t>: Assignments registered, 2009–10 to 2013–14</w:t>
            </w:r>
          </w:p>
        </w:tc>
      </w:tr>
      <w:tr w:rsidR="001E2783" w:rsidRPr="001E2783" w14:paraId="31288DB1" w14:textId="77777777" w:rsidTr="00A95AD8">
        <w:trPr>
          <w:trHeight w:val="580"/>
        </w:trPr>
        <w:tc>
          <w:tcPr>
            <w:tcW w:w="9645" w:type="dxa"/>
            <w:shd w:val="clear" w:color="auto" w:fill="auto"/>
            <w:tcMar>
              <w:left w:w="28" w:type="dxa"/>
            </w:tcMar>
          </w:tcPr>
          <w:tbl>
            <w:tblPr>
              <w:tblW w:w="94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19"/>
              <w:gridCol w:w="1396"/>
              <w:gridCol w:w="1396"/>
              <w:gridCol w:w="1396"/>
              <w:gridCol w:w="1396"/>
              <w:gridCol w:w="1396"/>
            </w:tblGrid>
            <w:tr w:rsidR="001E2783" w:rsidRPr="001E2783" w14:paraId="7F4003CC" w14:textId="77777777" w:rsidTr="00F67B91">
              <w:tc>
                <w:tcPr>
                  <w:tcW w:w="2519" w:type="dxa"/>
                  <w:shd w:val="clear" w:color="auto" w:fill="404040" w:themeFill="text1" w:themeFillTint="BF"/>
                  <w:tcMar>
                    <w:top w:w="57" w:type="dxa"/>
                    <w:left w:w="57" w:type="dxa"/>
                    <w:bottom w:w="57" w:type="dxa"/>
                    <w:right w:w="57" w:type="dxa"/>
                  </w:tcMar>
                </w:tcPr>
                <w:p w14:paraId="41A20EA4" w14:textId="77777777" w:rsidR="007918DE" w:rsidRPr="004E4548" w:rsidRDefault="007918DE" w:rsidP="008B7719">
                  <w:pPr>
                    <w:pStyle w:val="ACMATableText"/>
                    <w:keepNext/>
                    <w:keepLines/>
                    <w:spacing w:line="240" w:lineRule="atLeast"/>
                    <w:ind w:left="720"/>
                    <w:rPr>
                      <w:rFonts w:cs="Arial"/>
                      <w:b/>
                      <w:color w:val="FFFFFF" w:themeColor="background1"/>
                    </w:rPr>
                  </w:pPr>
                </w:p>
              </w:tc>
              <w:tc>
                <w:tcPr>
                  <w:tcW w:w="1396" w:type="dxa"/>
                  <w:shd w:val="clear" w:color="auto" w:fill="404040" w:themeFill="text1" w:themeFillTint="BF"/>
                  <w:tcMar>
                    <w:top w:w="57" w:type="dxa"/>
                    <w:left w:w="57" w:type="dxa"/>
                    <w:bottom w:w="57" w:type="dxa"/>
                    <w:right w:w="57" w:type="dxa"/>
                  </w:tcMar>
                </w:tcPr>
                <w:p w14:paraId="01188C90" w14:textId="77777777" w:rsidR="007918DE" w:rsidRPr="004E4548" w:rsidRDefault="007918DE" w:rsidP="008B7719">
                  <w:pPr>
                    <w:pStyle w:val="TableHeading"/>
                    <w:keepNext/>
                    <w:keepLines/>
                    <w:rPr>
                      <w:rFonts w:ascii="Arial" w:hAnsi="Arial" w:cs="Arial"/>
                      <w:color w:val="FFFFFF" w:themeColor="background1"/>
                    </w:rPr>
                  </w:pPr>
                  <w:r w:rsidRPr="004E4548">
                    <w:rPr>
                      <w:rFonts w:ascii="Arial" w:hAnsi="Arial" w:cs="Arial"/>
                      <w:color w:val="FFFFFF" w:themeColor="background1"/>
                    </w:rPr>
                    <w:t>2009–10</w:t>
                  </w:r>
                </w:p>
              </w:tc>
              <w:tc>
                <w:tcPr>
                  <w:tcW w:w="1396" w:type="dxa"/>
                  <w:shd w:val="clear" w:color="auto" w:fill="404040" w:themeFill="text1" w:themeFillTint="BF"/>
                  <w:tcMar>
                    <w:top w:w="57" w:type="dxa"/>
                    <w:left w:w="57" w:type="dxa"/>
                    <w:bottom w:w="57" w:type="dxa"/>
                    <w:right w:w="57" w:type="dxa"/>
                  </w:tcMar>
                </w:tcPr>
                <w:p w14:paraId="25D521C4" w14:textId="77777777" w:rsidR="007918DE" w:rsidRPr="004E4548" w:rsidRDefault="007918DE" w:rsidP="008B7719">
                  <w:pPr>
                    <w:pStyle w:val="TableHeading"/>
                    <w:keepNext/>
                    <w:keepLines/>
                    <w:rPr>
                      <w:rFonts w:ascii="Arial" w:hAnsi="Arial" w:cs="Arial"/>
                      <w:color w:val="FFFFFF" w:themeColor="background1"/>
                    </w:rPr>
                  </w:pPr>
                  <w:r w:rsidRPr="004E4548">
                    <w:rPr>
                      <w:rFonts w:ascii="Arial" w:hAnsi="Arial" w:cs="Arial"/>
                      <w:color w:val="FFFFFF" w:themeColor="background1"/>
                    </w:rPr>
                    <w:t>2010–11</w:t>
                  </w:r>
                </w:p>
              </w:tc>
              <w:tc>
                <w:tcPr>
                  <w:tcW w:w="1396" w:type="dxa"/>
                  <w:shd w:val="clear" w:color="auto" w:fill="404040" w:themeFill="text1" w:themeFillTint="BF"/>
                  <w:tcMar>
                    <w:top w:w="57" w:type="dxa"/>
                    <w:left w:w="57" w:type="dxa"/>
                    <w:bottom w:w="57" w:type="dxa"/>
                    <w:right w:w="57" w:type="dxa"/>
                  </w:tcMar>
                </w:tcPr>
                <w:p w14:paraId="7C7D318B" w14:textId="77777777" w:rsidR="007918DE" w:rsidRPr="004E4548" w:rsidRDefault="007918DE" w:rsidP="008B7719">
                  <w:pPr>
                    <w:pStyle w:val="TableHeading"/>
                    <w:keepNext/>
                    <w:keepLines/>
                    <w:rPr>
                      <w:rFonts w:ascii="Arial" w:hAnsi="Arial" w:cs="Arial"/>
                      <w:color w:val="FFFFFF" w:themeColor="background1"/>
                    </w:rPr>
                  </w:pPr>
                  <w:r w:rsidRPr="004E4548">
                    <w:rPr>
                      <w:rFonts w:ascii="Arial" w:hAnsi="Arial" w:cs="Arial"/>
                      <w:color w:val="FFFFFF" w:themeColor="background1"/>
                    </w:rPr>
                    <w:t>2011–12</w:t>
                  </w:r>
                </w:p>
              </w:tc>
              <w:tc>
                <w:tcPr>
                  <w:tcW w:w="1396" w:type="dxa"/>
                  <w:shd w:val="clear" w:color="auto" w:fill="404040" w:themeFill="text1" w:themeFillTint="BF"/>
                  <w:tcMar>
                    <w:top w:w="57" w:type="dxa"/>
                    <w:left w:w="57" w:type="dxa"/>
                    <w:bottom w:w="57" w:type="dxa"/>
                    <w:right w:w="57" w:type="dxa"/>
                  </w:tcMar>
                </w:tcPr>
                <w:p w14:paraId="69E2A8ED" w14:textId="77777777" w:rsidR="007918DE" w:rsidRPr="004E4548" w:rsidRDefault="007918DE" w:rsidP="008B7719">
                  <w:pPr>
                    <w:pStyle w:val="TableHeading"/>
                    <w:keepNext/>
                    <w:keepLines/>
                    <w:rPr>
                      <w:rFonts w:ascii="Arial" w:hAnsi="Arial" w:cs="Arial"/>
                      <w:color w:val="FFFFFF" w:themeColor="background1"/>
                    </w:rPr>
                  </w:pPr>
                  <w:r w:rsidRPr="004E4548">
                    <w:rPr>
                      <w:rFonts w:ascii="Arial" w:hAnsi="Arial" w:cs="Arial"/>
                      <w:color w:val="FFFFFF" w:themeColor="background1"/>
                    </w:rPr>
                    <w:t>2012–13</w:t>
                  </w:r>
                </w:p>
              </w:tc>
              <w:tc>
                <w:tcPr>
                  <w:tcW w:w="1396" w:type="dxa"/>
                  <w:shd w:val="clear" w:color="auto" w:fill="404040" w:themeFill="text1" w:themeFillTint="BF"/>
                  <w:tcMar>
                    <w:top w:w="57" w:type="dxa"/>
                    <w:left w:w="57" w:type="dxa"/>
                    <w:bottom w:w="57" w:type="dxa"/>
                    <w:right w:w="57" w:type="dxa"/>
                  </w:tcMar>
                </w:tcPr>
                <w:p w14:paraId="37778542" w14:textId="77777777" w:rsidR="007918DE" w:rsidRPr="004E4548" w:rsidRDefault="007918DE" w:rsidP="008B7719">
                  <w:pPr>
                    <w:pStyle w:val="TableHeading"/>
                    <w:keepNext/>
                    <w:keepLines/>
                    <w:rPr>
                      <w:rFonts w:ascii="Arial" w:hAnsi="Arial" w:cs="Arial"/>
                      <w:color w:val="FFFFFF" w:themeColor="background1"/>
                    </w:rPr>
                  </w:pPr>
                  <w:r w:rsidRPr="004E4548">
                    <w:rPr>
                      <w:rFonts w:ascii="Arial" w:hAnsi="Arial" w:cs="Arial"/>
                      <w:color w:val="FFFFFF" w:themeColor="background1"/>
                    </w:rPr>
                    <w:t>2013–14</w:t>
                  </w:r>
                </w:p>
              </w:tc>
            </w:tr>
            <w:tr w:rsidR="001E2783" w:rsidRPr="001E2783" w14:paraId="6D58CE6F" w14:textId="77777777" w:rsidTr="00F67B91">
              <w:tc>
                <w:tcPr>
                  <w:tcW w:w="2519" w:type="dxa"/>
                  <w:tcMar>
                    <w:top w:w="57" w:type="dxa"/>
                    <w:left w:w="57" w:type="dxa"/>
                    <w:bottom w:w="57" w:type="dxa"/>
                    <w:right w:w="57" w:type="dxa"/>
                  </w:tcMar>
                </w:tcPr>
                <w:p w14:paraId="55DEAC9C" w14:textId="77777777" w:rsidR="007918DE" w:rsidRPr="001E2783" w:rsidRDefault="007918DE" w:rsidP="008B7719">
                  <w:pPr>
                    <w:pStyle w:val="TableTextLeft"/>
                    <w:keepNext/>
                    <w:keepLines/>
                    <w:rPr>
                      <w:rFonts w:cs="Arial"/>
                      <w:sz w:val="20"/>
                    </w:rPr>
                  </w:pPr>
                  <w:r w:rsidRPr="001E2783">
                    <w:rPr>
                      <w:rFonts w:cs="Arial"/>
                      <w:sz w:val="20"/>
                    </w:rPr>
                    <w:t>Frequency assignments registered by APs</w:t>
                  </w:r>
                </w:p>
              </w:tc>
              <w:tc>
                <w:tcPr>
                  <w:tcW w:w="1396" w:type="dxa"/>
                  <w:tcMar>
                    <w:top w:w="57" w:type="dxa"/>
                    <w:left w:w="57" w:type="dxa"/>
                    <w:bottom w:w="57" w:type="dxa"/>
                    <w:right w:w="57" w:type="dxa"/>
                  </w:tcMar>
                </w:tcPr>
                <w:p w14:paraId="5A90AE1E" w14:textId="77777777" w:rsidR="007918DE" w:rsidRPr="001E2783" w:rsidRDefault="007918DE" w:rsidP="008B7719">
                  <w:pPr>
                    <w:pStyle w:val="TableTextLeft"/>
                    <w:keepNext/>
                    <w:keepLines/>
                    <w:rPr>
                      <w:rFonts w:cs="Arial"/>
                      <w:sz w:val="20"/>
                    </w:rPr>
                  </w:pPr>
                  <w:r w:rsidRPr="001E2783">
                    <w:rPr>
                      <w:rFonts w:cs="Arial"/>
                      <w:sz w:val="20"/>
                    </w:rPr>
                    <w:t>15,343</w:t>
                  </w:r>
                </w:p>
                <w:p w14:paraId="7B749FBE" w14:textId="77777777" w:rsidR="007918DE" w:rsidRPr="001E2783" w:rsidRDefault="007918DE" w:rsidP="008B7719">
                  <w:pPr>
                    <w:pStyle w:val="TableTextLeft"/>
                    <w:keepNext/>
                    <w:keepLines/>
                    <w:rPr>
                      <w:rFonts w:cs="Arial"/>
                      <w:sz w:val="20"/>
                    </w:rPr>
                  </w:pPr>
                  <w:r w:rsidRPr="001E2783">
                    <w:rPr>
                      <w:rFonts w:cs="Arial"/>
                      <w:sz w:val="20"/>
                    </w:rPr>
                    <w:t>74%</w:t>
                  </w:r>
                </w:p>
              </w:tc>
              <w:tc>
                <w:tcPr>
                  <w:tcW w:w="1396" w:type="dxa"/>
                  <w:tcMar>
                    <w:top w:w="57" w:type="dxa"/>
                    <w:left w:w="57" w:type="dxa"/>
                    <w:bottom w:w="57" w:type="dxa"/>
                    <w:right w:w="57" w:type="dxa"/>
                  </w:tcMar>
                </w:tcPr>
                <w:p w14:paraId="44213CFA" w14:textId="77777777" w:rsidR="007918DE" w:rsidRPr="001E2783" w:rsidRDefault="007918DE" w:rsidP="008B7719">
                  <w:pPr>
                    <w:pStyle w:val="TableTextLeft"/>
                    <w:keepNext/>
                    <w:keepLines/>
                    <w:rPr>
                      <w:rFonts w:cs="Arial"/>
                      <w:sz w:val="20"/>
                    </w:rPr>
                  </w:pPr>
                  <w:r w:rsidRPr="001E2783">
                    <w:rPr>
                      <w:rFonts w:cs="Arial"/>
                      <w:sz w:val="20"/>
                    </w:rPr>
                    <w:t>16,278</w:t>
                  </w:r>
                </w:p>
                <w:p w14:paraId="4A2D0D86" w14:textId="77777777" w:rsidR="007918DE" w:rsidRPr="001E2783" w:rsidRDefault="007918DE" w:rsidP="008B7719">
                  <w:pPr>
                    <w:pStyle w:val="TableTextLeft"/>
                    <w:keepNext/>
                    <w:keepLines/>
                    <w:rPr>
                      <w:rFonts w:cs="Arial"/>
                      <w:sz w:val="20"/>
                    </w:rPr>
                  </w:pPr>
                  <w:r w:rsidRPr="001E2783">
                    <w:rPr>
                      <w:rFonts w:cs="Arial"/>
                      <w:sz w:val="20"/>
                    </w:rPr>
                    <w:t>72%</w:t>
                  </w:r>
                </w:p>
              </w:tc>
              <w:tc>
                <w:tcPr>
                  <w:tcW w:w="1396" w:type="dxa"/>
                  <w:shd w:val="clear" w:color="auto" w:fill="auto"/>
                  <w:tcMar>
                    <w:top w:w="57" w:type="dxa"/>
                    <w:left w:w="57" w:type="dxa"/>
                    <w:bottom w:w="57" w:type="dxa"/>
                    <w:right w:w="57" w:type="dxa"/>
                  </w:tcMar>
                </w:tcPr>
                <w:p w14:paraId="3D6CAB31" w14:textId="77777777" w:rsidR="007918DE" w:rsidRPr="001E2783" w:rsidRDefault="007918DE" w:rsidP="008B7719">
                  <w:pPr>
                    <w:pStyle w:val="TableTextLeft"/>
                    <w:keepNext/>
                    <w:keepLines/>
                    <w:rPr>
                      <w:rFonts w:cs="Arial"/>
                      <w:sz w:val="20"/>
                      <w:highlight w:val="yellow"/>
                    </w:rPr>
                  </w:pPr>
                  <w:r w:rsidRPr="001E2783">
                    <w:rPr>
                      <w:rFonts w:cs="Arial"/>
                      <w:sz w:val="20"/>
                    </w:rPr>
                    <w:t>20,544</w:t>
                  </w:r>
                </w:p>
                <w:p w14:paraId="0CF044A8" w14:textId="77777777" w:rsidR="007918DE" w:rsidRPr="001E2783" w:rsidRDefault="007918DE" w:rsidP="008B7719">
                  <w:pPr>
                    <w:pStyle w:val="TableTextLeft"/>
                    <w:keepNext/>
                    <w:keepLines/>
                    <w:rPr>
                      <w:rFonts w:cs="Arial"/>
                      <w:sz w:val="20"/>
                    </w:rPr>
                  </w:pPr>
                  <w:r w:rsidRPr="001E2783">
                    <w:rPr>
                      <w:rFonts w:cs="Arial"/>
                      <w:sz w:val="20"/>
                    </w:rPr>
                    <w:t>77%</w:t>
                  </w:r>
                </w:p>
              </w:tc>
              <w:tc>
                <w:tcPr>
                  <w:tcW w:w="1396" w:type="dxa"/>
                  <w:tcMar>
                    <w:top w:w="57" w:type="dxa"/>
                    <w:left w:w="57" w:type="dxa"/>
                    <w:bottom w:w="57" w:type="dxa"/>
                    <w:right w:w="57" w:type="dxa"/>
                  </w:tcMar>
                </w:tcPr>
                <w:p w14:paraId="788689F0" w14:textId="77777777" w:rsidR="007918DE" w:rsidRPr="001E2783" w:rsidRDefault="007918DE" w:rsidP="008B7719">
                  <w:pPr>
                    <w:pStyle w:val="TableTextLeft"/>
                    <w:keepNext/>
                    <w:keepLines/>
                    <w:rPr>
                      <w:rFonts w:cs="Arial"/>
                      <w:sz w:val="20"/>
                    </w:rPr>
                  </w:pPr>
                  <w:r w:rsidRPr="001E2783">
                    <w:rPr>
                      <w:rFonts w:cs="Arial"/>
                      <w:sz w:val="20"/>
                    </w:rPr>
                    <w:t>19,040</w:t>
                  </w:r>
                  <w:r w:rsidRPr="001E2783">
                    <w:rPr>
                      <w:rFonts w:cs="Arial"/>
                      <w:sz w:val="20"/>
                    </w:rPr>
                    <w:br/>
                    <w:t>80%</w:t>
                  </w:r>
                </w:p>
              </w:tc>
              <w:tc>
                <w:tcPr>
                  <w:tcW w:w="1396" w:type="dxa"/>
                  <w:tcMar>
                    <w:top w:w="57" w:type="dxa"/>
                    <w:left w:w="57" w:type="dxa"/>
                    <w:bottom w:w="57" w:type="dxa"/>
                    <w:right w:w="57" w:type="dxa"/>
                  </w:tcMar>
                </w:tcPr>
                <w:p w14:paraId="5C66C322" w14:textId="77777777" w:rsidR="007918DE" w:rsidRPr="001E2783" w:rsidRDefault="00A95AD8" w:rsidP="008B7719">
                  <w:pPr>
                    <w:pStyle w:val="TableTextLeft"/>
                    <w:keepNext/>
                    <w:keepLines/>
                    <w:rPr>
                      <w:rFonts w:cs="Arial"/>
                      <w:sz w:val="20"/>
                    </w:rPr>
                  </w:pPr>
                  <w:r w:rsidRPr="001E2783">
                    <w:rPr>
                      <w:rFonts w:cs="Arial"/>
                      <w:sz w:val="20"/>
                    </w:rPr>
                    <w:t>20,230</w:t>
                  </w:r>
                  <w:r w:rsidRPr="001E2783">
                    <w:rPr>
                      <w:rFonts w:cs="Arial"/>
                      <w:sz w:val="20"/>
                    </w:rPr>
                    <w:br/>
                    <w:t>83%</w:t>
                  </w:r>
                </w:p>
              </w:tc>
            </w:tr>
            <w:tr w:rsidR="001E2783" w:rsidRPr="001E2783" w14:paraId="4620D8F0" w14:textId="77777777" w:rsidTr="00F67B91">
              <w:tc>
                <w:tcPr>
                  <w:tcW w:w="2519" w:type="dxa"/>
                  <w:tcMar>
                    <w:top w:w="57" w:type="dxa"/>
                    <w:left w:w="57" w:type="dxa"/>
                    <w:bottom w:w="57" w:type="dxa"/>
                    <w:right w:w="57" w:type="dxa"/>
                  </w:tcMar>
                </w:tcPr>
                <w:p w14:paraId="02F4656D" w14:textId="77777777" w:rsidR="007918DE" w:rsidRPr="001E2783" w:rsidRDefault="007918DE" w:rsidP="008B7719">
                  <w:pPr>
                    <w:pStyle w:val="TableTextLeft"/>
                    <w:keepNext/>
                    <w:keepLines/>
                    <w:rPr>
                      <w:rFonts w:cs="Arial"/>
                      <w:sz w:val="20"/>
                    </w:rPr>
                  </w:pPr>
                  <w:r w:rsidRPr="001E2783">
                    <w:rPr>
                      <w:rFonts w:cs="Arial"/>
                      <w:sz w:val="20"/>
                    </w:rPr>
                    <w:t>Frequency assignments performed by the ACMA</w:t>
                  </w:r>
                </w:p>
              </w:tc>
              <w:tc>
                <w:tcPr>
                  <w:tcW w:w="1396" w:type="dxa"/>
                  <w:tcMar>
                    <w:top w:w="57" w:type="dxa"/>
                    <w:left w:w="57" w:type="dxa"/>
                    <w:bottom w:w="57" w:type="dxa"/>
                    <w:right w:w="57" w:type="dxa"/>
                  </w:tcMar>
                </w:tcPr>
                <w:p w14:paraId="74E3A5B1" w14:textId="77777777" w:rsidR="007918DE" w:rsidRPr="001E2783" w:rsidRDefault="007918DE" w:rsidP="008B7719">
                  <w:pPr>
                    <w:pStyle w:val="TableTextLeft"/>
                    <w:keepNext/>
                    <w:keepLines/>
                    <w:rPr>
                      <w:rFonts w:cs="Arial"/>
                      <w:sz w:val="20"/>
                    </w:rPr>
                  </w:pPr>
                  <w:r w:rsidRPr="001E2783">
                    <w:rPr>
                      <w:rFonts w:cs="Arial"/>
                      <w:sz w:val="20"/>
                    </w:rPr>
                    <w:t>5,559</w:t>
                  </w:r>
                </w:p>
                <w:p w14:paraId="5C585FC0" w14:textId="77777777" w:rsidR="007918DE" w:rsidRPr="001E2783" w:rsidRDefault="007918DE" w:rsidP="008B7719">
                  <w:pPr>
                    <w:pStyle w:val="TableTextLeft"/>
                    <w:keepNext/>
                    <w:keepLines/>
                    <w:rPr>
                      <w:rFonts w:cs="Arial"/>
                      <w:sz w:val="20"/>
                    </w:rPr>
                  </w:pPr>
                  <w:r w:rsidRPr="001E2783">
                    <w:rPr>
                      <w:rFonts w:cs="Arial"/>
                      <w:sz w:val="20"/>
                    </w:rPr>
                    <w:t>26%</w:t>
                  </w:r>
                </w:p>
              </w:tc>
              <w:tc>
                <w:tcPr>
                  <w:tcW w:w="1396" w:type="dxa"/>
                  <w:tcMar>
                    <w:top w:w="57" w:type="dxa"/>
                    <w:left w:w="57" w:type="dxa"/>
                    <w:bottom w:w="57" w:type="dxa"/>
                    <w:right w:w="57" w:type="dxa"/>
                  </w:tcMar>
                </w:tcPr>
                <w:p w14:paraId="455E419C" w14:textId="77777777" w:rsidR="007918DE" w:rsidRPr="001E2783" w:rsidRDefault="007918DE" w:rsidP="008B7719">
                  <w:pPr>
                    <w:pStyle w:val="TableTextLeft"/>
                    <w:keepNext/>
                    <w:keepLines/>
                    <w:rPr>
                      <w:rFonts w:cs="Arial"/>
                      <w:sz w:val="20"/>
                    </w:rPr>
                  </w:pPr>
                  <w:r w:rsidRPr="001E2783">
                    <w:rPr>
                      <w:rFonts w:cs="Arial"/>
                      <w:sz w:val="20"/>
                    </w:rPr>
                    <w:t>6,272</w:t>
                  </w:r>
                </w:p>
                <w:p w14:paraId="4C07D6FC" w14:textId="77777777" w:rsidR="007918DE" w:rsidRPr="001E2783" w:rsidRDefault="007918DE" w:rsidP="008B7719">
                  <w:pPr>
                    <w:pStyle w:val="TableTextLeft"/>
                    <w:keepNext/>
                    <w:keepLines/>
                    <w:rPr>
                      <w:rFonts w:cs="Arial"/>
                      <w:sz w:val="20"/>
                    </w:rPr>
                  </w:pPr>
                  <w:r w:rsidRPr="001E2783">
                    <w:rPr>
                      <w:rFonts w:cs="Arial"/>
                      <w:sz w:val="20"/>
                    </w:rPr>
                    <w:t>28%</w:t>
                  </w:r>
                </w:p>
              </w:tc>
              <w:tc>
                <w:tcPr>
                  <w:tcW w:w="1396" w:type="dxa"/>
                  <w:shd w:val="clear" w:color="auto" w:fill="auto"/>
                  <w:tcMar>
                    <w:top w:w="57" w:type="dxa"/>
                    <w:left w:w="57" w:type="dxa"/>
                    <w:bottom w:w="57" w:type="dxa"/>
                    <w:right w:w="57" w:type="dxa"/>
                  </w:tcMar>
                </w:tcPr>
                <w:p w14:paraId="63CF6F2A" w14:textId="77777777" w:rsidR="007918DE" w:rsidRPr="001E2783" w:rsidRDefault="007918DE" w:rsidP="008B7719">
                  <w:pPr>
                    <w:pStyle w:val="TableTextLeft"/>
                    <w:keepNext/>
                    <w:keepLines/>
                    <w:rPr>
                      <w:rFonts w:cs="Arial"/>
                      <w:sz w:val="20"/>
                      <w:highlight w:val="yellow"/>
                    </w:rPr>
                  </w:pPr>
                  <w:r w:rsidRPr="001E2783">
                    <w:rPr>
                      <w:rFonts w:cs="Arial"/>
                      <w:sz w:val="20"/>
                    </w:rPr>
                    <w:t>5,978</w:t>
                  </w:r>
                </w:p>
                <w:p w14:paraId="27E8947F" w14:textId="77777777" w:rsidR="007918DE" w:rsidRPr="001E2783" w:rsidRDefault="007918DE" w:rsidP="008B7719">
                  <w:pPr>
                    <w:pStyle w:val="TableTextLeft"/>
                    <w:keepNext/>
                    <w:keepLines/>
                    <w:rPr>
                      <w:rFonts w:cs="Arial"/>
                      <w:sz w:val="20"/>
                    </w:rPr>
                  </w:pPr>
                  <w:r w:rsidRPr="001E2783">
                    <w:rPr>
                      <w:rFonts w:cs="Arial"/>
                      <w:sz w:val="20"/>
                    </w:rPr>
                    <w:t>23%</w:t>
                  </w:r>
                </w:p>
              </w:tc>
              <w:tc>
                <w:tcPr>
                  <w:tcW w:w="1396" w:type="dxa"/>
                  <w:tcMar>
                    <w:top w:w="57" w:type="dxa"/>
                    <w:left w:w="57" w:type="dxa"/>
                    <w:bottom w:w="57" w:type="dxa"/>
                    <w:right w:w="57" w:type="dxa"/>
                  </w:tcMar>
                </w:tcPr>
                <w:p w14:paraId="209597BE" w14:textId="77777777" w:rsidR="007918DE" w:rsidRPr="001E2783" w:rsidRDefault="007918DE" w:rsidP="008B7719">
                  <w:pPr>
                    <w:pStyle w:val="TableTextLeft"/>
                    <w:keepNext/>
                    <w:keepLines/>
                    <w:rPr>
                      <w:rFonts w:cs="Arial"/>
                      <w:sz w:val="20"/>
                    </w:rPr>
                  </w:pPr>
                  <w:r w:rsidRPr="001E2783">
                    <w:rPr>
                      <w:rFonts w:cs="Arial"/>
                      <w:sz w:val="20"/>
                    </w:rPr>
                    <w:t>4,627</w:t>
                  </w:r>
                  <w:r w:rsidRPr="001E2783">
                    <w:rPr>
                      <w:rFonts w:cs="Arial"/>
                      <w:sz w:val="20"/>
                    </w:rPr>
                    <w:br/>
                    <w:t>20%</w:t>
                  </w:r>
                </w:p>
              </w:tc>
              <w:tc>
                <w:tcPr>
                  <w:tcW w:w="1396" w:type="dxa"/>
                  <w:tcMar>
                    <w:top w:w="57" w:type="dxa"/>
                    <w:left w:w="57" w:type="dxa"/>
                    <w:bottom w:w="57" w:type="dxa"/>
                    <w:right w:w="57" w:type="dxa"/>
                  </w:tcMar>
                </w:tcPr>
                <w:p w14:paraId="25EB1211" w14:textId="77777777" w:rsidR="007918DE" w:rsidRPr="001E2783" w:rsidRDefault="00A95AD8" w:rsidP="008B7719">
                  <w:pPr>
                    <w:pStyle w:val="TableTextLeft"/>
                    <w:keepNext/>
                    <w:keepLines/>
                    <w:rPr>
                      <w:rFonts w:cs="Arial"/>
                      <w:sz w:val="20"/>
                    </w:rPr>
                  </w:pPr>
                  <w:r w:rsidRPr="001E2783">
                    <w:rPr>
                      <w:rFonts w:cs="Arial"/>
                      <w:sz w:val="20"/>
                    </w:rPr>
                    <w:t>4,198</w:t>
                  </w:r>
                  <w:r w:rsidRPr="001E2783">
                    <w:rPr>
                      <w:rFonts w:cs="Arial"/>
                      <w:sz w:val="20"/>
                    </w:rPr>
                    <w:br/>
                    <w:t>17%</w:t>
                  </w:r>
                </w:p>
              </w:tc>
            </w:tr>
          </w:tbl>
          <w:p w14:paraId="752F42F4" w14:textId="77777777" w:rsidR="00CC119D" w:rsidRPr="001E2783" w:rsidRDefault="00CC119D" w:rsidP="00C902FF">
            <w:pPr>
              <w:rPr>
                <w:rFonts w:cs="Arial"/>
              </w:rPr>
            </w:pPr>
          </w:p>
        </w:tc>
      </w:tr>
      <w:tr w:rsidR="00CC119D" w:rsidRPr="001E2783" w14:paraId="0AC9A030" w14:textId="77777777" w:rsidTr="00A95AD8">
        <w:trPr>
          <w:trHeight w:val="66"/>
        </w:trPr>
        <w:tc>
          <w:tcPr>
            <w:tcW w:w="9645" w:type="dxa"/>
            <w:tcBorders>
              <w:bottom w:val="single" w:sz="2" w:space="0" w:color="505050"/>
            </w:tcBorders>
            <w:shd w:val="clear" w:color="auto" w:fill="auto"/>
          </w:tcPr>
          <w:p w14:paraId="7BD08D4C" w14:textId="77777777" w:rsidR="00CC119D" w:rsidRPr="001E2783" w:rsidRDefault="00CC119D" w:rsidP="00C902FF">
            <w:pPr>
              <w:rPr>
                <w:rFonts w:cs="Arial"/>
              </w:rPr>
            </w:pPr>
          </w:p>
        </w:tc>
      </w:tr>
    </w:tbl>
    <w:p w14:paraId="74130369" w14:textId="77777777" w:rsidR="00CC119D" w:rsidRPr="001E2783" w:rsidRDefault="00CC119D" w:rsidP="00CC119D">
      <w:pPr>
        <w:rPr>
          <w:rFonts w:cs="Arial"/>
        </w:rPr>
      </w:pPr>
    </w:p>
    <w:p w14:paraId="1876D945" w14:textId="77777777" w:rsidR="00CC119D" w:rsidRPr="001E2783" w:rsidRDefault="00CC119D" w:rsidP="00CC119D">
      <w:pPr>
        <w:pStyle w:val="BodysubheaderH4"/>
        <w:rPr>
          <w:rFonts w:cs="Arial"/>
        </w:rPr>
      </w:pPr>
      <w:r w:rsidRPr="001E2783">
        <w:rPr>
          <w:rFonts w:cs="Arial"/>
        </w:rPr>
        <w:t>Certificates of proficiency and operator examinations</w:t>
      </w:r>
    </w:p>
    <w:p w14:paraId="2279E4F0" w14:textId="77777777" w:rsidR="007918DE" w:rsidRPr="001E2783" w:rsidRDefault="007918DE" w:rsidP="007918DE">
      <w:pPr>
        <w:rPr>
          <w:rFonts w:cs="Arial"/>
        </w:rPr>
      </w:pPr>
      <w:r w:rsidRPr="001E2783">
        <w:rPr>
          <w:rFonts w:cs="Arial"/>
        </w:rPr>
        <w:t>The Australian Maritime College (AMC) in Launceston has provided marine radio operator certification and examination services on behalf of the ACMA since 2002. Under this arrangement, the AMC is also responsible for promoting the certification services and keeping examination methods relevant and accessible to marine radio users.</w:t>
      </w:r>
    </w:p>
    <w:p w14:paraId="39509FDB" w14:textId="77777777" w:rsidR="007918DE" w:rsidRPr="001E2783" w:rsidRDefault="007918DE" w:rsidP="007918DE">
      <w:pPr>
        <w:rPr>
          <w:rFonts w:cs="Arial"/>
        </w:rPr>
      </w:pPr>
    </w:p>
    <w:p w14:paraId="65117823" w14:textId="77777777" w:rsidR="00CC119D" w:rsidRPr="001E2783" w:rsidRDefault="007918DE" w:rsidP="007918DE">
      <w:pPr>
        <w:rPr>
          <w:rFonts w:cs="Arial"/>
        </w:rPr>
      </w:pPr>
      <w:r w:rsidRPr="001E2783">
        <w:rPr>
          <w:rFonts w:cs="Arial"/>
        </w:rPr>
        <w:t xml:space="preserve">Table </w:t>
      </w:r>
      <w:r w:rsidR="00C846BB" w:rsidRPr="001E2783">
        <w:rPr>
          <w:rFonts w:cs="Arial"/>
        </w:rPr>
        <w:t>6</w:t>
      </w:r>
      <w:r w:rsidRPr="001E2783">
        <w:rPr>
          <w:rFonts w:cs="Arial"/>
        </w:rPr>
        <w:t xml:space="preserve"> details activity levels for the AMC’s last two last financial years (Jan–Dec).</w:t>
      </w:r>
    </w:p>
    <w:p w14:paraId="6A3ABFE9" w14:textId="77777777" w:rsidR="007918DE" w:rsidRPr="001E2783" w:rsidRDefault="007918DE" w:rsidP="007918DE">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6096CDF3" w14:textId="77777777" w:rsidTr="00C902FF">
        <w:trPr>
          <w:trHeight w:val="570"/>
        </w:trPr>
        <w:tc>
          <w:tcPr>
            <w:tcW w:w="9645" w:type="dxa"/>
            <w:tcBorders>
              <w:top w:val="single" w:sz="2" w:space="0" w:color="505050"/>
            </w:tcBorders>
            <w:shd w:val="clear" w:color="auto" w:fill="auto"/>
            <w:vAlign w:val="center"/>
          </w:tcPr>
          <w:p w14:paraId="6AE14EBE" w14:textId="77777777" w:rsidR="00CC119D" w:rsidRPr="001E2783" w:rsidRDefault="00CC119D" w:rsidP="00AF1826">
            <w:pPr>
              <w:pStyle w:val="Caption"/>
              <w:keepNext/>
              <w:keepLines/>
              <w:rPr>
                <w:rFonts w:ascii="Arial" w:hAnsi="Arial" w:cs="Arial"/>
                <w:color w:val="auto"/>
              </w:rPr>
            </w:pPr>
            <w:r w:rsidRPr="00D3485F">
              <w:rPr>
                <w:rFonts w:ascii="Arial" w:hAnsi="Arial" w:cs="Arial"/>
              </w:rPr>
              <w:t xml:space="preserve">Table </w:t>
            </w:r>
            <w:r w:rsidR="00C846BB" w:rsidRPr="00D3485F">
              <w:rPr>
                <w:rFonts w:ascii="Arial" w:hAnsi="Arial" w:cs="Arial"/>
              </w:rPr>
              <w:t>6</w:t>
            </w:r>
            <w:r w:rsidRPr="00D3485F">
              <w:rPr>
                <w:rFonts w:ascii="Arial" w:hAnsi="Arial" w:cs="Arial"/>
              </w:rPr>
              <w:t>: Marine radio operator certification and examination services—activity levels</w:t>
            </w:r>
          </w:p>
        </w:tc>
      </w:tr>
      <w:tr w:rsidR="001E2783" w:rsidRPr="001E2783" w14:paraId="25019C4A" w14:textId="77777777" w:rsidTr="007458BA">
        <w:trPr>
          <w:trHeight w:val="1272"/>
        </w:trPr>
        <w:tc>
          <w:tcPr>
            <w:tcW w:w="9645" w:type="dxa"/>
            <w:shd w:val="clear" w:color="auto" w:fill="auto"/>
            <w:tcMar>
              <w:left w:w="28" w:type="dxa"/>
            </w:tcMar>
          </w:tcPr>
          <w:tbl>
            <w:tblPr>
              <w:tblStyle w:val="TableGrid"/>
              <w:tblW w:w="0" w:type="auto"/>
              <w:tblLayout w:type="fixed"/>
              <w:tblLook w:val="04A0" w:firstRow="1" w:lastRow="0" w:firstColumn="1" w:lastColumn="0" w:noHBand="0" w:noVBand="1"/>
            </w:tblPr>
            <w:tblGrid>
              <w:gridCol w:w="6488"/>
              <w:gridCol w:w="1701"/>
              <w:gridCol w:w="1413"/>
            </w:tblGrid>
            <w:tr w:rsidR="001E2783" w:rsidRPr="001E2783" w14:paraId="32FE2642" w14:textId="77777777" w:rsidTr="00F67B91">
              <w:trPr>
                <w:trHeight w:val="367"/>
              </w:trPr>
              <w:tc>
                <w:tcPr>
                  <w:tcW w:w="6488" w:type="dxa"/>
                  <w:shd w:val="clear" w:color="auto" w:fill="404040" w:themeFill="text1" w:themeFillTint="BF"/>
                  <w:tcMar>
                    <w:top w:w="57" w:type="dxa"/>
                    <w:left w:w="57" w:type="dxa"/>
                    <w:bottom w:w="57" w:type="dxa"/>
                    <w:right w:w="57" w:type="dxa"/>
                  </w:tcMar>
                  <w:vAlign w:val="center"/>
                </w:tcPr>
                <w:p w14:paraId="1467D818" w14:textId="77777777" w:rsidR="00CC119D" w:rsidRPr="004E4548" w:rsidRDefault="00CC119D" w:rsidP="00AF1826">
                  <w:pPr>
                    <w:pStyle w:val="TableHeading"/>
                    <w:keepNext/>
                    <w:keepLines/>
                    <w:rPr>
                      <w:rFonts w:ascii="Arial" w:hAnsi="Arial" w:cs="Arial"/>
                      <w:color w:val="FFFFFF" w:themeColor="background1"/>
                    </w:rPr>
                  </w:pPr>
                </w:p>
              </w:tc>
              <w:tc>
                <w:tcPr>
                  <w:tcW w:w="1701" w:type="dxa"/>
                  <w:shd w:val="clear" w:color="auto" w:fill="404040" w:themeFill="text1" w:themeFillTint="BF"/>
                  <w:tcMar>
                    <w:top w:w="57" w:type="dxa"/>
                    <w:left w:w="57" w:type="dxa"/>
                    <w:bottom w:w="57" w:type="dxa"/>
                    <w:right w:w="57" w:type="dxa"/>
                  </w:tcMar>
                  <w:vAlign w:val="center"/>
                </w:tcPr>
                <w:p w14:paraId="6ED9CB03" w14:textId="77777777" w:rsidR="00CC119D" w:rsidRPr="004E4548" w:rsidRDefault="00D12CA5" w:rsidP="00AF1826">
                  <w:pPr>
                    <w:pStyle w:val="TableHeading"/>
                    <w:keepNext/>
                    <w:keepLines/>
                    <w:jc w:val="right"/>
                    <w:rPr>
                      <w:rFonts w:ascii="Arial" w:hAnsi="Arial" w:cs="Arial"/>
                      <w:color w:val="FFFFFF" w:themeColor="background1"/>
                    </w:rPr>
                  </w:pPr>
                  <w:r w:rsidRPr="004E4548">
                    <w:rPr>
                      <w:rFonts w:ascii="Arial" w:hAnsi="Arial" w:cs="Arial"/>
                      <w:color w:val="FFFFFF" w:themeColor="background1"/>
                    </w:rPr>
                    <w:t>201</w:t>
                  </w:r>
                  <w:r w:rsidR="007918DE" w:rsidRPr="004E4548">
                    <w:rPr>
                      <w:rFonts w:ascii="Arial" w:hAnsi="Arial" w:cs="Arial"/>
                      <w:color w:val="FFFFFF" w:themeColor="background1"/>
                    </w:rPr>
                    <w:t>2</w:t>
                  </w:r>
                </w:p>
              </w:tc>
              <w:tc>
                <w:tcPr>
                  <w:tcW w:w="1413" w:type="dxa"/>
                  <w:shd w:val="clear" w:color="auto" w:fill="404040" w:themeFill="text1" w:themeFillTint="BF"/>
                  <w:tcMar>
                    <w:top w:w="57" w:type="dxa"/>
                    <w:left w:w="57" w:type="dxa"/>
                    <w:bottom w:w="57" w:type="dxa"/>
                    <w:right w:w="57" w:type="dxa"/>
                  </w:tcMar>
                  <w:vAlign w:val="center"/>
                </w:tcPr>
                <w:p w14:paraId="344E1811" w14:textId="77777777" w:rsidR="00CC119D" w:rsidRPr="004E4548" w:rsidRDefault="00D12CA5" w:rsidP="00AF1826">
                  <w:pPr>
                    <w:pStyle w:val="TableHeading"/>
                    <w:keepNext/>
                    <w:keepLines/>
                    <w:jc w:val="right"/>
                    <w:rPr>
                      <w:rFonts w:ascii="Arial" w:hAnsi="Arial" w:cs="Arial"/>
                      <w:color w:val="FFFFFF" w:themeColor="background1"/>
                    </w:rPr>
                  </w:pPr>
                  <w:r w:rsidRPr="004E4548">
                    <w:rPr>
                      <w:rFonts w:ascii="Arial" w:hAnsi="Arial" w:cs="Arial"/>
                      <w:color w:val="FFFFFF" w:themeColor="background1"/>
                    </w:rPr>
                    <w:t>20</w:t>
                  </w:r>
                  <w:r w:rsidR="00CC119D" w:rsidRPr="004E4548">
                    <w:rPr>
                      <w:rFonts w:ascii="Arial" w:hAnsi="Arial" w:cs="Arial"/>
                      <w:color w:val="FFFFFF" w:themeColor="background1"/>
                    </w:rPr>
                    <w:t>1</w:t>
                  </w:r>
                  <w:r w:rsidR="007918DE" w:rsidRPr="004E4548">
                    <w:rPr>
                      <w:rFonts w:ascii="Arial" w:hAnsi="Arial" w:cs="Arial"/>
                      <w:color w:val="FFFFFF" w:themeColor="background1"/>
                    </w:rPr>
                    <w:t>3</w:t>
                  </w:r>
                </w:p>
              </w:tc>
            </w:tr>
            <w:tr w:rsidR="001E2783" w:rsidRPr="001E2783" w14:paraId="56C091FD" w14:textId="77777777" w:rsidTr="00F67B91">
              <w:trPr>
                <w:trHeight w:val="429"/>
              </w:trPr>
              <w:tc>
                <w:tcPr>
                  <w:tcW w:w="9602" w:type="dxa"/>
                  <w:gridSpan w:val="3"/>
                  <w:shd w:val="clear" w:color="auto" w:fill="D9D9D9" w:themeFill="background1" w:themeFillShade="D9"/>
                  <w:tcMar>
                    <w:top w:w="57" w:type="dxa"/>
                    <w:left w:w="57" w:type="dxa"/>
                    <w:bottom w:w="57" w:type="dxa"/>
                    <w:right w:w="57" w:type="dxa"/>
                  </w:tcMar>
                  <w:vAlign w:val="center"/>
                </w:tcPr>
                <w:p w14:paraId="5B0E82E6" w14:textId="77777777" w:rsidR="00CC119D" w:rsidRPr="001E2783" w:rsidRDefault="00CC119D" w:rsidP="00AF1826">
                  <w:pPr>
                    <w:pStyle w:val="TableTextLeft"/>
                    <w:keepNext/>
                    <w:keepLines/>
                    <w:rPr>
                      <w:rFonts w:cs="Arial"/>
                      <w:b/>
                      <w:sz w:val="20"/>
                    </w:rPr>
                  </w:pPr>
                  <w:r w:rsidRPr="001E2783">
                    <w:rPr>
                      <w:rFonts w:cs="Arial"/>
                      <w:b/>
                      <w:sz w:val="20"/>
                    </w:rPr>
                    <w:t>Total applications received</w:t>
                  </w:r>
                </w:p>
              </w:tc>
            </w:tr>
            <w:tr w:rsidR="001E2783" w:rsidRPr="001E2783" w14:paraId="4A05C7A0" w14:textId="77777777" w:rsidTr="00F67B91">
              <w:tc>
                <w:tcPr>
                  <w:tcW w:w="6488" w:type="dxa"/>
                  <w:tcMar>
                    <w:top w:w="57" w:type="dxa"/>
                    <w:left w:w="57" w:type="dxa"/>
                    <w:bottom w:w="57" w:type="dxa"/>
                    <w:right w:w="57" w:type="dxa"/>
                  </w:tcMar>
                </w:tcPr>
                <w:p w14:paraId="34AD67FC" w14:textId="77777777" w:rsidR="00D76FA6" w:rsidRPr="001E2783" w:rsidRDefault="00D76FA6" w:rsidP="00AF1826">
                  <w:pPr>
                    <w:pStyle w:val="TableTextLeft"/>
                    <w:keepNext/>
                    <w:keepLines/>
                    <w:rPr>
                      <w:rFonts w:cs="Arial"/>
                      <w:sz w:val="20"/>
                    </w:rPr>
                  </w:pPr>
                  <w:r w:rsidRPr="001E2783">
                    <w:rPr>
                      <w:rFonts w:cs="Arial"/>
                      <w:sz w:val="20"/>
                    </w:rPr>
                    <w:t>Marine Radio Operators Certificates of Proficiency (MROVP)</w:t>
                  </w:r>
                </w:p>
              </w:tc>
              <w:tc>
                <w:tcPr>
                  <w:tcW w:w="1701" w:type="dxa"/>
                  <w:tcMar>
                    <w:top w:w="57" w:type="dxa"/>
                    <w:left w:w="57" w:type="dxa"/>
                    <w:bottom w:w="57" w:type="dxa"/>
                    <w:right w:w="57" w:type="dxa"/>
                  </w:tcMar>
                </w:tcPr>
                <w:p w14:paraId="7B7AF68D" w14:textId="77777777" w:rsidR="00D76FA6" w:rsidRPr="001E2783" w:rsidRDefault="00D76FA6" w:rsidP="00AF1826">
                  <w:pPr>
                    <w:pStyle w:val="TableTextLeft"/>
                    <w:keepNext/>
                    <w:keepLines/>
                    <w:jc w:val="right"/>
                    <w:rPr>
                      <w:rFonts w:cs="Arial"/>
                      <w:sz w:val="20"/>
                    </w:rPr>
                  </w:pPr>
                  <w:r w:rsidRPr="001E2783">
                    <w:rPr>
                      <w:rFonts w:cs="Arial"/>
                      <w:sz w:val="20"/>
                    </w:rPr>
                    <w:t>4,363</w:t>
                  </w:r>
                </w:p>
              </w:tc>
              <w:tc>
                <w:tcPr>
                  <w:tcW w:w="1413" w:type="dxa"/>
                  <w:tcMar>
                    <w:top w:w="57" w:type="dxa"/>
                    <w:left w:w="57" w:type="dxa"/>
                    <w:bottom w:w="57" w:type="dxa"/>
                    <w:right w:w="57" w:type="dxa"/>
                  </w:tcMar>
                </w:tcPr>
                <w:p w14:paraId="37516E6B" w14:textId="77777777" w:rsidR="00D76FA6" w:rsidRPr="001E2783" w:rsidRDefault="00D76FA6" w:rsidP="00AF1826">
                  <w:pPr>
                    <w:pStyle w:val="TableTextLeft"/>
                    <w:keepNext/>
                    <w:keepLines/>
                    <w:jc w:val="right"/>
                    <w:rPr>
                      <w:rFonts w:cs="Arial"/>
                      <w:sz w:val="20"/>
                    </w:rPr>
                  </w:pPr>
                  <w:r w:rsidRPr="001E2783">
                    <w:rPr>
                      <w:rFonts w:cs="Arial"/>
                      <w:sz w:val="20"/>
                    </w:rPr>
                    <w:t>4,074</w:t>
                  </w:r>
                </w:p>
              </w:tc>
            </w:tr>
            <w:tr w:rsidR="001E2783" w:rsidRPr="001E2783" w14:paraId="03CBA528" w14:textId="77777777" w:rsidTr="00F67B91">
              <w:tc>
                <w:tcPr>
                  <w:tcW w:w="6488" w:type="dxa"/>
                  <w:tcMar>
                    <w:top w:w="57" w:type="dxa"/>
                    <w:left w:w="57" w:type="dxa"/>
                    <w:bottom w:w="57" w:type="dxa"/>
                    <w:right w:w="57" w:type="dxa"/>
                  </w:tcMar>
                </w:tcPr>
                <w:p w14:paraId="5AC82D46" w14:textId="77777777" w:rsidR="00D76FA6" w:rsidRPr="001E2783" w:rsidRDefault="00D76FA6" w:rsidP="00AF1826">
                  <w:pPr>
                    <w:pStyle w:val="TableTextLeft"/>
                    <w:keepNext/>
                    <w:keepLines/>
                    <w:rPr>
                      <w:rFonts w:cs="Arial"/>
                      <w:sz w:val="20"/>
                    </w:rPr>
                  </w:pPr>
                  <w:r w:rsidRPr="001E2783">
                    <w:rPr>
                      <w:rFonts w:cs="Arial"/>
                      <w:sz w:val="20"/>
                    </w:rPr>
                    <w:t>Marine Radio Operators VHF Certificate of Proficiency (MROVCP)</w:t>
                  </w:r>
                </w:p>
              </w:tc>
              <w:tc>
                <w:tcPr>
                  <w:tcW w:w="1701" w:type="dxa"/>
                  <w:tcMar>
                    <w:top w:w="57" w:type="dxa"/>
                    <w:left w:w="57" w:type="dxa"/>
                    <w:bottom w:w="57" w:type="dxa"/>
                    <w:right w:w="57" w:type="dxa"/>
                  </w:tcMar>
                </w:tcPr>
                <w:p w14:paraId="4C7DC2B3" w14:textId="77777777" w:rsidR="00D76FA6" w:rsidRPr="001E2783" w:rsidRDefault="00D76FA6" w:rsidP="00AF1826">
                  <w:pPr>
                    <w:pStyle w:val="TableTextLeft"/>
                    <w:keepNext/>
                    <w:keepLines/>
                    <w:jc w:val="right"/>
                    <w:rPr>
                      <w:rFonts w:cs="Arial"/>
                      <w:sz w:val="20"/>
                    </w:rPr>
                  </w:pPr>
                  <w:r w:rsidRPr="001E2783">
                    <w:rPr>
                      <w:rFonts w:cs="Arial"/>
                      <w:sz w:val="20"/>
                    </w:rPr>
                    <w:t>1,642</w:t>
                  </w:r>
                </w:p>
              </w:tc>
              <w:tc>
                <w:tcPr>
                  <w:tcW w:w="1413" w:type="dxa"/>
                  <w:tcMar>
                    <w:top w:w="57" w:type="dxa"/>
                    <w:left w:w="57" w:type="dxa"/>
                    <w:bottom w:w="57" w:type="dxa"/>
                    <w:right w:w="57" w:type="dxa"/>
                  </w:tcMar>
                </w:tcPr>
                <w:p w14:paraId="0FA338ED" w14:textId="77777777" w:rsidR="00D76FA6" w:rsidRPr="001E2783" w:rsidRDefault="00D76FA6" w:rsidP="00AF1826">
                  <w:pPr>
                    <w:pStyle w:val="TableTextLeft"/>
                    <w:keepNext/>
                    <w:keepLines/>
                    <w:jc w:val="right"/>
                    <w:rPr>
                      <w:rFonts w:cs="Arial"/>
                      <w:sz w:val="20"/>
                    </w:rPr>
                  </w:pPr>
                  <w:r w:rsidRPr="001E2783">
                    <w:rPr>
                      <w:rFonts w:cs="Arial"/>
                      <w:sz w:val="20"/>
                    </w:rPr>
                    <w:t>1,537</w:t>
                  </w:r>
                </w:p>
              </w:tc>
            </w:tr>
            <w:tr w:rsidR="001E2783" w:rsidRPr="001E2783" w14:paraId="191AF4FC" w14:textId="77777777" w:rsidTr="00F67B91">
              <w:tc>
                <w:tcPr>
                  <w:tcW w:w="6488" w:type="dxa"/>
                  <w:tcMar>
                    <w:top w:w="57" w:type="dxa"/>
                    <w:left w:w="57" w:type="dxa"/>
                    <w:bottom w:w="57" w:type="dxa"/>
                    <w:right w:w="57" w:type="dxa"/>
                  </w:tcMar>
                </w:tcPr>
                <w:p w14:paraId="368BA6D4" w14:textId="77777777" w:rsidR="007918DE" w:rsidRPr="001E2783" w:rsidRDefault="007918DE" w:rsidP="00AF1826">
                  <w:pPr>
                    <w:pStyle w:val="TableTextLeft"/>
                    <w:keepNext/>
                    <w:keepLines/>
                    <w:rPr>
                      <w:rFonts w:cs="Arial"/>
                      <w:sz w:val="20"/>
                    </w:rPr>
                  </w:pPr>
                  <w:r w:rsidRPr="001E2783">
                    <w:rPr>
                      <w:rFonts w:cs="Arial"/>
                      <w:sz w:val="20"/>
                    </w:rPr>
                    <w:t>Marine Satellite Communications Certificates</w:t>
                  </w:r>
                </w:p>
              </w:tc>
              <w:tc>
                <w:tcPr>
                  <w:tcW w:w="1701" w:type="dxa"/>
                  <w:tcMar>
                    <w:top w:w="57" w:type="dxa"/>
                    <w:left w:w="57" w:type="dxa"/>
                    <w:bottom w:w="57" w:type="dxa"/>
                    <w:right w:w="57" w:type="dxa"/>
                  </w:tcMar>
                </w:tcPr>
                <w:p w14:paraId="268BEECE" w14:textId="77777777" w:rsidR="007918DE" w:rsidRPr="001E2783" w:rsidRDefault="007918DE" w:rsidP="00AF1826">
                  <w:pPr>
                    <w:pStyle w:val="TableTextLeft"/>
                    <w:keepNext/>
                    <w:keepLines/>
                    <w:jc w:val="right"/>
                    <w:rPr>
                      <w:rFonts w:cs="Arial"/>
                      <w:sz w:val="20"/>
                    </w:rPr>
                  </w:pPr>
                  <w:r w:rsidRPr="001E2783">
                    <w:rPr>
                      <w:rFonts w:cs="Arial"/>
                      <w:sz w:val="20"/>
                    </w:rPr>
                    <w:t>39</w:t>
                  </w:r>
                </w:p>
              </w:tc>
              <w:tc>
                <w:tcPr>
                  <w:tcW w:w="1413" w:type="dxa"/>
                  <w:tcMar>
                    <w:top w:w="57" w:type="dxa"/>
                    <w:left w:w="57" w:type="dxa"/>
                    <w:bottom w:w="57" w:type="dxa"/>
                    <w:right w:w="57" w:type="dxa"/>
                  </w:tcMar>
                </w:tcPr>
                <w:p w14:paraId="61551BDE" w14:textId="77777777" w:rsidR="007918DE" w:rsidRPr="001E2783" w:rsidRDefault="007918DE" w:rsidP="00AF1826">
                  <w:pPr>
                    <w:pStyle w:val="TableTextLeft"/>
                    <w:keepNext/>
                    <w:keepLines/>
                    <w:jc w:val="right"/>
                    <w:rPr>
                      <w:rFonts w:cs="Arial"/>
                      <w:sz w:val="20"/>
                    </w:rPr>
                  </w:pPr>
                  <w:r w:rsidRPr="001E2783">
                    <w:rPr>
                      <w:rFonts w:cs="Arial"/>
                      <w:sz w:val="20"/>
                    </w:rPr>
                    <w:t>40</w:t>
                  </w:r>
                </w:p>
              </w:tc>
            </w:tr>
            <w:tr w:rsidR="001E2783" w:rsidRPr="001E2783" w14:paraId="2212AA16" w14:textId="77777777" w:rsidTr="00F67B91">
              <w:trPr>
                <w:trHeight w:val="449"/>
              </w:trPr>
              <w:tc>
                <w:tcPr>
                  <w:tcW w:w="9602" w:type="dxa"/>
                  <w:gridSpan w:val="3"/>
                  <w:shd w:val="clear" w:color="auto" w:fill="D9D9D9" w:themeFill="background1" w:themeFillShade="D9"/>
                  <w:tcMar>
                    <w:top w:w="57" w:type="dxa"/>
                    <w:left w:w="57" w:type="dxa"/>
                    <w:bottom w:w="57" w:type="dxa"/>
                    <w:right w:w="57" w:type="dxa"/>
                  </w:tcMar>
                  <w:vAlign w:val="center"/>
                </w:tcPr>
                <w:p w14:paraId="3A351926" w14:textId="77777777" w:rsidR="00CC119D" w:rsidRPr="001E2783" w:rsidRDefault="00CC119D" w:rsidP="00AF1826">
                  <w:pPr>
                    <w:pStyle w:val="TableTextLeft"/>
                    <w:keepNext/>
                    <w:keepLines/>
                    <w:rPr>
                      <w:rFonts w:cs="Arial"/>
                      <w:b/>
                      <w:sz w:val="20"/>
                    </w:rPr>
                  </w:pPr>
                  <w:r w:rsidRPr="001E2783">
                    <w:rPr>
                      <w:rFonts w:cs="Arial"/>
                      <w:b/>
                      <w:sz w:val="20"/>
                    </w:rPr>
                    <w:t>Total handbook sales</w:t>
                  </w:r>
                </w:p>
              </w:tc>
            </w:tr>
            <w:tr w:rsidR="001E2783" w:rsidRPr="001E2783" w14:paraId="1275D8E7" w14:textId="77777777" w:rsidTr="00F67B91">
              <w:tc>
                <w:tcPr>
                  <w:tcW w:w="6488" w:type="dxa"/>
                  <w:tcMar>
                    <w:top w:w="57" w:type="dxa"/>
                    <w:left w:w="57" w:type="dxa"/>
                    <w:bottom w:w="57" w:type="dxa"/>
                    <w:right w:w="57" w:type="dxa"/>
                  </w:tcMar>
                </w:tcPr>
                <w:p w14:paraId="4113DB52" w14:textId="77777777" w:rsidR="007918DE" w:rsidRPr="001E2783" w:rsidRDefault="007918DE" w:rsidP="00AF1826">
                  <w:pPr>
                    <w:pStyle w:val="TableTextLeft"/>
                    <w:keepNext/>
                    <w:keepLines/>
                    <w:rPr>
                      <w:rFonts w:cs="Arial"/>
                      <w:sz w:val="20"/>
                      <w:lang w:eastAsia="en-US"/>
                    </w:rPr>
                  </w:pPr>
                  <w:r w:rsidRPr="001E2783">
                    <w:rPr>
                      <w:rFonts w:cs="Arial"/>
                      <w:sz w:val="20"/>
                    </w:rPr>
                    <w:t>Marine Radio Operators Handbooks</w:t>
                  </w:r>
                </w:p>
              </w:tc>
              <w:tc>
                <w:tcPr>
                  <w:tcW w:w="1701" w:type="dxa"/>
                  <w:tcMar>
                    <w:top w:w="57" w:type="dxa"/>
                    <w:left w:w="57" w:type="dxa"/>
                    <w:bottom w:w="57" w:type="dxa"/>
                    <w:right w:w="57" w:type="dxa"/>
                  </w:tcMar>
                </w:tcPr>
                <w:p w14:paraId="31D19DA6" w14:textId="77777777" w:rsidR="007918DE" w:rsidRPr="001E2783" w:rsidRDefault="007918DE" w:rsidP="00AF1826">
                  <w:pPr>
                    <w:pStyle w:val="TableTextLeft"/>
                    <w:keepNext/>
                    <w:keepLines/>
                    <w:jc w:val="right"/>
                    <w:rPr>
                      <w:rFonts w:cs="Arial"/>
                      <w:sz w:val="20"/>
                      <w:lang w:eastAsia="en-US"/>
                    </w:rPr>
                  </w:pPr>
                  <w:r w:rsidRPr="001E2783">
                    <w:rPr>
                      <w:rFonts w:cs="Arial"/>
                      <w:sz w:val="20"/>
                    </w:rPr>
                    <w:t>3,801</w:t>
                  </w:r>
                </w:p>
              </w:tc>
              <w:tc>
                <w:tcPr>
                  <w:tcW w:w="1413" w:type="dxa"/>
                  <w:tcMar>
                    <w:top w:w="57" w:type="dxa"/>
                    <w:left w:w="57" w:type="dxa"/>
                    <w:bottom w:w="57" w:type="dxa"/>
                    <w:right w:w="57" w:type="dxa"/>
                  </w:tcMar>
                </w:tcPr>
                <w:p w14:paraId="5199C05F" w14:textId="77777777" w:rsidR="007918DE" w:rsidRPr="001E2783" w:rsidRDefault="007918DE" w:rsidP="00AF1826">
                  <w:pPr>
                    <w:pStyle w:val="TableTextLeft"/>
                    <w:keepNext/>
                    <w:keepLines/>
                    <w:jc w:val="right"/>
                    <w:rPr>
                      <w:rFonts w:cs="Arial"/>
                      <w:sz w:val="20"/>
                    </w:rPr>
                  </w:pPr>
                  <w:r w:rsidRPr="001E2783">
                    <w:rPr>
                      <w:rFonts w:cs="Arial"/>
                      <w:sz w:val="20"/>
                    </w:rPr>
                    <w:t>2,878</w:t>
                  </w:r>
                </w:p>
              </w:tc>
            </w:tr>
            <w:tr w:rsidR="001E2783" w:rsidRPr="001E2783" w14:paraId="65631EB8" w14:textId="77777777" w:rsidTr="00F67B91">
              <w:tc>
                <w:tcPr>
                  <w:tcW w:w="6488" w:type="dxa"/>
                  <w:tcMar>
                    <w:top w:w="57" w:type="dxa"/>
                    <w:left w:w="57" w:type="dxa"/>
                    <w:bottom w:w="57" w:type="dxa"/>
                    <w:right w:w="57" w:type="dxa"/>
                  </w:tcMar>
                </w:tcPr>
                <w:p w14:paraId="4E0EC7F8" w14:textId="77777777" w:rsidR="007918DE" w:rsidRPr="001E2783" w:rsidRDefault="007918DE" w:rsidP="00AF1826">
                  <w:pPr>
                    <w:pStyle w:val="TableTextLeft"/>
                    <w:keepNext/>
                    <w:keepLines/>
                    <w:rPr>
                      <w:rFonts w:cs="Arial"/>
                      <w:sz w:val="20"/>
                      <w:lang w:eastAsia="en-US"/>
                    </w:rPr>
                  </w:pPr>
                  <w:r w:rsidRPr="001E2783">
                    <w:rPr>
                      <w:rFonts w:cs="Arial"/>
                      <w:sz w:val="20"/>
                    </w:rPr>
                    <w:t>Marine Radio Operators VHF Handbooks</w:t>
                  </w:r>
                </w:p>
              </w:tc>
              <w:tc>
                <w:tcPr>
                  <w:tcW w:w="1701" w:type="dxa"/>
                  <w:tcMar>
                    <w:top w:w="57" w:type="dxa"/>
                    <w:left w:w="57" w:type="dxa"/>
                    <w:bottom w:w="57" w:type="dxa"/>
                    <w:right w:w="57" w:type="dxa"/>
                  </w:tcMar>
                </w:tcPr>
                <w:p w14:paraId="281A5BD2" w14:textId="77777777" w:rsidR="007918DE" w:rsidRPr="001E2783" w:rsidRDefault="007918DE" w:rsidP="00AF1826">
                  <w:pPr>
                    <w:pStyle w:val="TableTextLeft"/>
                    <w:keepNext/>
                    <w:keepLines/>
                    <w:jc w:val="right"/>
                    <w:rPr>
                      <w:rFonts w:cs="Arial"/>
                      <w:sz w:val="20"/>
                      <w:lang w:eastAsia="en-US"/>
                    </w:rPr>
                  </w:pPr>
                  <w:r w:rsidRPr="001E2783">
                    <w:rPr>
                      <w:rFonts w:cs="Arial"/>
                      <w:sz w:val="20"/>
                    </w:rPr>
                    <w:t>2,151</w:t>
                  </w:r>
                </w:p>
              </w:tc>
              <w:tc>
                <w:tcPr>
                  <w:tcW w:w="1413" w:type="dxa"/>
                  <w:tcMar>
                    <w:top w:w="57" w:type="dxa"/>
                    <w:left w:w="57" w:type="dxa"/>
                    <w:bottom w:w="57" w:type="dxa"/>
                    <w:right w:w="57" w:type="dxa"/>
                  </w:tcMar>
                </w:tcPr>
                <w:p w14:paraId="16416241" w14:textId="77777777" w:rsidR="007918DE" w:rsidRPr="001E2783" w:rsidRDefault="007918DE" w:rsidP="00AF1826">
                  <w:pPr>
                    <w:pStyle w:val="TableTextLeft"/>
                    <w:keepNext/>
                    <w:keepLines/>
                    <w:jc w:val="right"/>
                    <w:rPr>
                      <w:rFonts w:cs="Arial"/>
                      <w:sz w:val="20"/>
                    </w:rPr>
                  </w:pPr>
                  <w:r w:rsidRPr="001E2783">
                    <w:rPr>
                      <w:rFonts w:cs="Arial"/>
                      <w:sz w:val="20"/>
                    </w:rPr>
                    <w:t>2,122</w:t>
                  </w:r>
                </w:p>
              </w:tc>
            </w:tr>
          </w:tbl>
          <w:p w14:paraId="269E6125" w14:textId="77777777" w:rsidR="00CC119D" w:rsidRPr="001E2783" w:rsidRDefault="00CC119D" w:rsidP="00AF1826">
            <w:pPr>
              <w:keepNext/>
              <w:keepLines/>
              <w:ind w:left="720"/>
              <w:rPr>
                <w:rFonts w:cs="Arial"/>
              </w:rPr>
            </w:pPr>
          </w:p>
        </w:tc>
      </w:tr>
      <w:tr w:rsidR="00CC119D" w:rsidRPr="001E2783" w14:paraId="1EA30828" w14:textId="77777777" w:rsidTr="00C902FF">
        <w:trPr>
          <w:trHeight w:val="291"/>
        </w:trPr>
        <w:tc>
          <w:tcPr>
            <w:tcW w:w="9645" w:type="dxa"/>
            <w:tcBorders>
              <w:bottom w:val="single" w:sz="2" w:space="0" w:color="505050"/>
            </w:tcBorders>
            <w:shd w:val="clear" w:color="auto" w:fill="auto"/>
          </w:tcPr>
          <w:p w14:paraId="49D5802D" w14:textId="77777777" w:rsidR="00CC119D" w:rsidRPr="001E2783" w:rsidRDefault="007918DE" w:rsidP="00AF1826">
            <w:pPr>
              <w:keepNext/>
              <w:keepLines/>
              <w:spacing w:before="120"/>
              <w:rPr>
                <w:rFonts w:cs="Arial"/>
                <w:i/>
                <w:sz w:val="16"/>
                <w:szCs w:val="16"/>
              </w:rPr>
            </w:pPr>
            <w:r w:rsidRPr="001E2783">
              <w:rPr>
                <w:rFonts w:cs="Arial"/>
                <w:i/>
                <w:sz w:val="16"/>
                <w:szCs w:val="16"/>
              </w:rPr>
              <w:t>Source: Office of Maritime Communications Annual Performance Report 1 January to 31 December 2013</w:t>
            </w:r>
            <w:r w:rsidR="000F5969" w:rsidRPr="001E2783">
              <w:rPr>
                <w:rFonts w:cs="Arial"/>
                <w:i/>
                <w:sz w:val="16"/>
                <w:szCs w:val="16"/>
              </w:rPr>
              <w:t>.</w:t>
            </w:r>
          </w:p>
        </w:tc>
      </w:tr>
    </w:tbl>
    <w:p w14:paraId="6F7C96C8" w14:textId="77777777" w:rsidR="00CC119D" w:rsidRPr="001E2783" w:rsidRDefault="00CC119D" w:rsidP="00CC119D">
      <w:pPr>
        <w:rPr>
          <w:rFonts w:cs="Arial"/>
        </w:rPr>
      </w:pPr>
    </w:p>
    <w:p w14:paraId="19B175F6" w14:textId="77777777" w:rsidR="009D2E0E" w:rsidRPr="001E2783" w:rsidRDefault="009D2E0E" w:rsidP="009D2E0E">
      <w:pPr>
        <w:pStyle w:val="BodysubheaderH4"/>
        <w:rPr>
          <w:rFonts w:cs="Arial"/>
        </w:rPr>
      </w:pPr>
      <w:r w:rsidRPr="001E2783">
        <w:rPr>
          <w:rFonts w:cs="Arial"/>
        </w:rPr>
        <w:t>Review of marine radio operator qualifications for recreational boaters</w:t>
      </w:r>
    </w:p>
    <w:p w14:paraId="48072938" w14:textId="77777777" w:rsidR="009D2E0E" w:rsidRPr="001E2783" w:rsidRDefault="009D2E0E" w:rsidP="009D2E0E">
      <w:pPr>
        <w:spacing w:after="80"/>
        <w:rPr>
          <w:rFonts w:eastAsiaTheme="minorHAnsi" w:cs="Arial"/>
          <w:szCs w:val="20"/>
          <w:lang w:eastAsia="en-US"/>
        </w:rPr>
      </w:pPr>
      <w:r w:rsidRPr="001E2783">
        <w:rPr>
          <w:rFonts w:cs="Arial"/>
        </w:rPr>
        <w:t xml:space="preserve">In October 2012, the ACMA published the outcomes of its review of regulatory arrangements for VHF marine radio operator qualifications for recreational boaters. Outcomes were that the ACMA would: </w:t>
      </w:r>
    </w:p>
    <w:p w14:paraId="55C534CA" w14:textId="77777777" w:rsidR="009D2E0E" w:rsidRPr="001E2783" w:rsidRDefault="009D2E0E" w:rsidP="009D2E0E">
      <w:pPr>
        <w:pStyle w:val="ListBullet"/>
        <w:rPr>
          <w:rFonts w:eastAsiaTheme="minorHAnsi" w:cs="Arial"/>
          <w:lang w:eastAsia="en-US"/>
        </w:rPr>
      </w:pPr>
      <w:r w:rsidRPr="001E2783">
        <w:rPr>
          <w:rFonts w:eastAsiaTheme="minorHAnsi" w:cs="Arial"/>
          <w:lang w:eastAsia="en-US"/>
        </w:rPr>
        <w:t>Coordinate the development and implementation of the Australian Waters Qualification (AWQ), which will become the new mandatory qualification for recreational boaters using VHF marine radio channels within Australian territorial waters. It is anticipated that the AWQ arrangement will begin during 2014–15.</w:t>
      </w:r>
    </w:p>
    <w:p w14:paraId="0987155C" w14:textId="77777777" w:rsidR="009D2E0E" w:rsidRPr="001E2783" w:rsidRDefault="009D2E0E" w:rsidP="009D2E0E">
      <w:pPr>
        <w:pStyle w:val="ListBullet"/>
        <w:spacing w:after="240"/>
        <w:rPr>
          <w:rFonts w:eastAsiaTheme="minorHAnsi" w:cs="Arial"/>
          <w:lang w:eastAsia="en-US"/>
        </w:rPr>
      </w:pPr>
      <w:r w:rsidRPr="001E2783">
        <w:rPr>
          <w:rFonts w:eastAsiaTheme="minorHAnsi" w:cs="Arial"/>
          <w:lang w:eastAsia="en-US"/>
        </w:rPr>
        <w:t>Align its remaining marine radio certificate of proficiency framework with the Maritime Training Package administered by the Transport and Logistics Industry Skills Council (TLISC) in the longer term.</w:t>
      </w:r>
    </w:p>
    <w:p w14:paraId="1E4B1416" w14:textId="77777777" w:rsidR="009D2E0E" w:rsidRPr="001E2783" w:rsidRDefault="009D2E0E" w:rsidP="009D2E0E">
      <w:pPr>
        <w:rPr>
          <w:rFonts w:eastAsiaTheme="minorHAnsi" w:cs="Arial"/>
          <w:lang w:eastAsia="en-US"/>
        </w:rPr>
      </w:pPr>
      <w:r w:rsidRPr="001E2783">
        <w:rPr>
          <w:rFonts w:eastAsiaTheme="minorHAnsi" w:cs="Arial"/>
          <w:lang w:eastAsia="en-US"/>
        </w:rPr>
        <w:t>The ACMA has facilitated the development of the proposed AWQ syllabus with extensive input from interested marine safety and training stakeholders. The TLISC has proposed to include the AWQ in the Maritime Training Package—expected to occur in the next financial year. The AWQ is also expected to be included in the Radiocommunications (Maritime Ship Stat</w:t>
      </w:r>
      <w:r w:rsidR="00E92E97" w:rsidRPr="001E2783">
        <w:rPr>
          <w:rFonts w:eastAsiaTheme="minorHAnsi" w:cs="Arial"/>
          <w:lang w:eastAsia="en-US"/>
        </w:rPr>
        <w:t>ion – 27 </w:t>
      </w:r>
      <w:r w:rsidRPr="001E2783">
        <w:rPr>
          <w:rFonts w:eastAsiaTheme="minorHAnsi" w:cs="Arial"/>
          <w:lang w:eastAsia="en-US"/>
        </w:rPr>
        <w:t>MHz and VHF) Class Licence at this time.</w:t>
      </w:r>
    </w:p>
    <w:p w14:paraId="414E432B" w14:textId="77777777" w:rsidR="009D2E0E" w:rsidRPr="001E2783" w:rsidRDefault="009D2E0E" w:rsidP="009D2E0E">
      <w:pPr>
        <w:rPr>
          <w:rFonts w:eastAsiaTheme="minorHAnsi" w:cs="Arial"/>
          <w:lang w:eastAsia="en-US"/>
        </w:rPr>
      </w:pPr>
    </w:p>
    <w:p w14:paraId="7273A4C8" w14:textId="77777777" w:rsidR="009D2E0E" w:rsidRPr="001E2783" w:rsidRDefault="009D2E0E" w:rsidP="009D2E0E">
      <w:pPr>
        <w:rPr>
          <w:rFonts w:eastAsiaTheme="minorHAnsi" w:cs="Arial"/>
          <w:lang w:eastAsia="en-US"/>
        </w:rPr>
      </w:pPr>
      <w:r w:rsidRPr="001E2783">
        <w:rPr>
          <w:rFonts w:eastAsiaTheme="minorHAnsi" w:cs="Arial"/>
          <w:lang w:eastAsia="en-US"/>
        </w:rPr>
        <w:t xml:space="preserve">An independent study was commissioned into how to align the two qualification arrangements. The main issues identified were the requirement to include a competency component in the ACMA’s marine radio examinations and some amendments to the components of the TLISC marine radio syllabi. It is anticipated that all these issues will be resolved </w:t>
      </w:r>
      <w:r w:rsidR="00E36AC5" w:rsidRPr="001E2783">
        <w:rPr>
          <w:rFonts w:eastAsiaTheme="minorHAnsi" w:cs="Arial"/>
          <w:lang w:eastAsia="en-US"/>
        </w:rPr>
        <w:t>in</w:t>
      </w:r>
      <w:r w:rsidRPr="001E2783">
        <w:rPr>
          <w:rFonts w:eastAsiaTheme="minorHAnsi" w:cs="Arial"/>
          <w:lang w:eastAsia="en-US"/>
        </w:rPr>
        <w:t xml:space="preserve"> the next financial year.</w:t>
      </w:r>
    </w:p>
    <w:p w14:paraId="59857687" w14:textId="77777777" w:rsidR="009D2E0E" w:rsidRPr="001E2783" w:rsidRDefault="009D2E0E" w:rsidP="009D2E0E">
      <w:pPr>
        <w:rPr>
          <w:rFonts w:eastAsiaTheme="minorHAnsi" w:cs="Arial"/>
          <w:lang w:eastAsia="en-US"/>
        </w:rPr>
      </w:pPr>
    </w:p>
    <w:p w14:paraId="70210C35" w14:textId="77777777" w:rsidR="009D2E0E" w:rsidRPr="001E2783" w:rsidRDefault="009D2E0E" w:rsidP="009D2E0E">
      <w:pPr>
        <w:rPr>
          <w:rFonts w:eastAsiaTheme="minorHAnsi" w:cs="Arial"/>
          <w:lang w:eastAsia="en-US"/>
        </w:rPr>
      </w:pPr>
      <w:r w:rsidRPr="001E2783">
        <w:rPr>
          <w:rFonts w:eastAsiaTheme="minorHAnsi" w:cs="Arial"/>
          <w:lang w:eastAsia="en-US"/>
        </w:rPr>
        <w:t xml:space="preserve">In 2013–14, the ACMA continued its information campaign to inform recreational marine radio operators of the correct VHF radio channels to use in particular circumstances and the protocols they need to follow. The ACMA has produced 11 short videos, one in collaboration with the Bureau of Meteorology, to disseminate key campaign messages, and has also distributed online and printed material through organisations with close links to the recreational boating sector. State marine safety and regulatory bodies, marine volunteer organisations, boating industry organisations and other key interested bodies supported the campaign. The ACMA </w:t>
      </w:r>
      <w:r w:rsidR="00E36AC5" w:rsidRPr="001E2783">
        <w:rPr>
          <w:rFonts w:eastAsiaTheme="minorHAnsi" w:cs="Arial"/>
          <w:lang w:eastAsia="en-US"/>
        </w:rPr>
        <w:t xml:space="preserve">also </w:t>
      </w:r>
      <w:r w:rsidRPr="001E2783">
        <w:rPr>
          <w:rFonts w:eastAsiaTheme="minorHAnsi" w:cs="Arial"/>
          <w:lang w:eastAsia="en-US"/>
        </w:rPr>
        <w:t>used social media to disseminate key marine radio information messages, and attended selected boat shows and marine events in cooperation with AMC, the Bureau of Meteorology, and the Australian and New Zealand Safe Boating Education Group.</w:t>
      </w:r>
    </w:p>
    <w:p w14:paraId="6C99E95C" w14:textId="77777777" w:rsidR="00CC119D" w:rsidRPr="001E2783" w:rsidRDefault="00CC119D" w:rsidP="00CC119D">
      <w:pPr>
        <w:pStyle w:val="BodysubheaderH4"/>
        <w:rPr>
          <w:rFonts w:cs="Arial"/>
        </w:rPr>
      </w:pPr>
      <w:r w:rsidRPr="001E2783">
        <w:rPr>
          <w:rFonts w:cs="Arial"/>
        </w:rPr>
        <w:t>Amateur radio operator examination services</w:t>
      </w:r>
    </w:p>
    <w:p w14:paraId="679A6E8C" w14:textId="77777777" w:rsidR="00D76FA6" w:rsidRPr="001E2783" w:rsidRDefault="00D76FA6" w:rsidP="00D76FA6">
      <w:pPr>
        <w:rPr>
          <w:rFonts w:cs="Arial"/>
        </w:rPr>
      </w:pPr>
      <w:r w:rsidRPr="001E2783">
        <w:rPr>
          <w:rFonts w:cs="Arial"/>
        </w:rPr>
        <w:t xml:space="preserve">The Wireless Institute of Australia (WIA) has provided examination services to the amateur radio community on behalf of the Australian Government since 1991. The WIA also issues amateur certificates of proficiency, administers amateur call signs and makes recommendations to the ACMA about their allocation. </w:t>
      </w:r>
    </w:p>
    <w:p w14:paraId="2A8FE214" w14:textId="77777777" w:rsidR="00D12CA5" w:rsidRPr="001E2783" w:rsidRDefault="00D12CA5" w:rsidP="00D12CA5">
      <w:pPr>
        <w:rPr>
          <w:rFonts w:cs="Arial"/>
        </w:rPr>
      </w:pPr>
    </w:p>
    <w:p w14:paraId="6CE0DE59" w14:textId="77777777" w:rsidR="007918DE" w:rsidRPr="001E2783" w:rsidRDefault="007918DE" w:rsidP="007918DE">
      <w:pPr>
        <w:rPr>
          <w:rFonts w:cs="Arial"/>
        </w:rPr>
      </w:pPr>
      <w:r w:rsidRPr="001E2783">
        <w:rPr>
          <w:rFonts w:cs="Arial"/>
        </w:rPr>
        <w:t>The ACMA is responsible for issuing and varying amateur transmitter licences. During 2013, the WIA conducted 925</w:t>
      </w:r>
      <w:r w:rsidR="00D76FA6" w:rsidRPr="001E2783">
        <w:rPr>
          <w:rFonts w:cs="Arial"/>
        </w:rPr>
        <w:t xml:space="preserve"> </w:t>
      </w:r>
      <w:r w:rsidRPr="001E2783">
        <w:rPr>
          <w:rFonts w:cs="Arial"/>
        </w:rPr>
        <w:t>amateur examinat</w:t>
      </w:r>
      <w:r w:rsidR="00E92E97" w:rsidRPr="001E2783">
        <w:rPr>
          <w:rFonts w:cs="Arial"/>
        </w:rPr>
        <w:t>ions. Table </w:t>
      </w:r>
      <w:r w:rsidR="00CF691B" w:rsidRPr="001E2783">
        <w:rPr>
          <w:rFonts w:cs="Arial"/>
        </w:rPr>
        <w:t>7</w:t>
      </w:r>
      <w:r w:rsidRPr="001E2783">
        <w:rPr>
          <w:rFonts w:cs="Arial"/>
        </w:rPr>
        <w:t xml:space="preserve"> details the number of amateur certificates of proficiency issued based on the results of these examinations. Some amateurs may have needed to successfully undertake more than one examination to qualify for the relevant certificate of proficiency. </w:t>
      </w:r>
    </w:p>
    <w:p w14:paraId="09BEE84F" w14:textId="77777777" w:rsidR="007918DE" w:rsidRPr="001E2783" w:rsidRDefault="007918DE" w:rsidP="007918DE">
      <w:pPr>
        <w:rPr>
          <w:rFonts w:cs="Arial"/>
        </w:rPr>
      </w:pPr>
    </w:p>
    <w:p w14:paraId="7BE2C86E" w14:textId="77777777" w:rsidR="00D76FA6" w:rsidRPr="001E2783" w:rsidRDefault="00D76FA6" w:rsidP="00D76FA6">
      <w:pPr>
        <w:rPr>
          <w:rFonts w:cs="Arial"/>
        </w:rPr>
      </w:pPr>
      <w:r w:rsidRPr="001E2783">
        <w:rPr>
          <w:rFonts w:cs="Arial"/>
        </w:rPr>
        <w:t>The WIA also made 1,062 recommendations on call sign allocation. The ACMA allocated 899 call signs based on these recommendations and approved 192 call sign changes.</w:t>
      </w:r>
    </w:p>
    <w:p w14:paraId="46302AD5" w14:textId="77777777" w:rsidR="00CC119D" w:rsidRPr="001E2783" w:rsidRDefault="00CC119D" w:rsidP="00CC119D">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1E9EE12B" w14:textId="77777777" w:rsidTr="00C902FF">
        <w:trPr>
          <w:trHeight w:val="570"/>
        </w:trPr>
        <w:tc>
          <w:tcPr>
            <w:tcW w:w="9645" w:type="dxa"/>
            <w:tcBorders>
              <w:top w:val="single" w:sz="2" w:space="0" w:color="505050"/>
            </w:tcBorders>
            <w:shd w:val="clear" w:color="auto" w:fill="auto"/>
            <w:vAlign w:val="center"/>
          </w:tcPr>
          <w:p w14:paraId="40E8056B" w14:textId="77777777" w:rsidR="00CC119D" w:rsidRPr="00D3485F" w:rsidRDefault="00CC119D" w:rsidP="004042F8">
            <w:pPr>
              <w:pStyle w:val="Caption"/>
              <w:keepNext/>
              <w:keepLines/>
              <w:spacing w:before="120" w:after="120"/>
              <w:rPr>
                <w:rFonts w:ascii="Arial" w:hAnsi="Arial" w:cs="Arial"/>
              </w:rPr>
            </w:pPr>
            <w:r w:rsidRPr="00D3485F">
              <w:rPr>
                <w:rFonts w:ascii="Arial" w:hAnsi="Arial" w:cs="Arial"/>
              </w:rPr>
              <w:t xml:space="preserve">Table </w:t>
            </w:r>
            <w:r w:rsidR="00C846BB" w:rsidRPr="00D3485F">
              <w:rPr>
                <w:rFonts w:ascii="Arial" w:hAnsi="Arial" w:cs="Arial"/>
              </w:rPr>
              <w:t>7</w:t>
            </w:r>
            <w:r w:rsidRPr="00D3485F">
              <w:rPr>
                <w:rFonts w:ascii="Arial" w:hAnsi="Arial" w:cs="Arial"/>
              </w:rPr>
              <w:t xml:space="preserve">: Amateur certificates of proficiency issued, </w:t>
            </w:r>
            <w:r w:rsidR="007918DE" w:rsidRPr="00D3485F">
              <w:rPr>
                <w:rFonts w:ascii="Arial" w:hAnsi="Arial" w:cs="Arial"/>
              </w:rPr>
              <w:t>2012 and 2013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37"/>
              <w:gridCol w:w="2707"/>
              <w:gridCol w:w="2707"/>
            </w:tblGrid>
            <w:tr w:rsidR="001E2783" w:rsidRPr="001E2783" w14:paraId="24599AD4" w14:textId="77777777" w:rsidTr="00F67B91">
              <w:trPr>
                <w:trHeight w:val="296"/>
              </w:trPr>
              <w:tc>
                <w:tcPr>
                  <w:tcW w:w="3937" w:type="dxa"/>
                  <w:vMerge w:val="restart"/>
                  <w:shd w:val="clear" w:color="auto" w:fill="404040" w:themeFill="text1" w:themeFillTint="BF"/>
                  <w:tcMar>
                    <w:top w:w="57" w:type="dxa"/>
                    <w:left w:w="57" w:type="dxa"/>
                    <w:bottom w:w="57" w:type="dxa"/>
                    <w:right w:w="57" w:type="dxa"/>
                  </w:tcMar>
                  <w:vAlign w:val="center"/>
                </w:tcPr>
                <w:p w14:paraId="2024C41F" w14:textId="77777777" w:rsidR="00CC119D" w:rsidRPr="004E4548" w:rsidRDefault="00CC119D" w:rsidP="00146F2B">
                  <w:pPr>
                    <w:pStyle w:val="TableHeading"/>
                    <w:ind w:left="29"/>
                    <w:rPr>
                      <w:rFonts w:ascii="Arial" w:hAnsi="Arial" w:cs="Arial"/>
                      <w:color w:val="FFFFFF" w:themeColor="background1"/>
                    </w:rPr>
                  </w:pPr>
                  <w:r w:rsidRPr="004E4548">
                    <w:rPr>
                      <w:rFonts w:ascii="Arial" w:hAnsi="Arial" w:cs="Arial"/>
                      <w:color w:val="FFFFFF" w:themeColor="background1"/>
                    </w:rPr>
                    <w:t>Certificate level</w:t>
                  </w:r>
                </w:p>
              </w:tc>
              <w:tc>
                <w:tcPr>
                  <w:tcW w:w="5414" w:type="dxa"/>
                  <w:gridSpan w:val="2"/>
                  <w:shd w:val="clear" w:color="auto" w:fill="404040" w:themeFill="text1" w:themeFillTint="BF"/>
                  <w:tcMar>
                    <w:top w:w="57" w:type="dxa"/>
                    <w:left w:w="57" w:type="dxa"/>
                    <w:bottom w:w="57" w:type="dxa"/>
                    <w:right w:w="57" w:type="dxa"/>
                  </w:tcMar>
                </w:tcPr>
                <w:p w14:paraId="3D84A278" w14:textId="77777777" w:rsidR="00CC119D" w:rsidRPr="004E4548" w:rsidRDefault="00CC119D" w:rsidP="00C902FF">
                  <w:pPr>
                    <w:pStyle w:val="TableHeading"/>
                    <w:ind w:left="61"/>
                    <w:jc w:val="center"/>
                    <w:rPr>
                      <w:rFonts w:ascii="Arial" w:hAnsi="Arial" w:cs="Arial"/>
                      <w:color w:val="FFFFFF" w:themeColor="background1"/>
                    </w:rPr>
                  </w:pPr>
                  <w:r w:rsidRPr="004E4548">
                    <w:rPr>
                      <w:rFonts w:ascii="Arial" w:hAnsi="Arial" w:cs="Arial"/>
                      <w:color w:val="FFFFFF" w:themeColor="background1"/>
                    </w:rPr>
                    <w:t>Certificates issued</w:t>
                  </w:r>
                </w:p>
              </w:tc>
            </w:tr>
            <w:tr w:rsidR="001E2783" w:rsidRPr="001E2783" w14:paraId="51BAD6D8" w14:textId="77777777" w:rsidTr="00F67B91">
              <w:trPr>
                <w:trHeight w:val="257"/>
              </w:trPr>
              <w:tc>
                <w:tcPr>
                  <w:tcW w:w="3937" w:type="dxa"/>
                  <w:vMerge/>
                  <w:shd w:val="clear" w:color="auto" w:fill="404040" w:themeFill="text1" w:themeFillTint="BF"/>
                  <w:tcMar>
                    <w:top w:w="57" w:type="dxa"/>
                    <w:left w:w="57" w:type="dxa"/>
                    <w:bottom w:w="57" w:type="dxa"/>
                    <w:right w:w="57" w:type="dxa"/>
                  </w:tcMar>
                </w:tcPr>
                <w:p w14:paraId="1C958A90" w14:textId="77777777" w:rsidR="00D12CA5" w:rsidRPr="004E4548" w:rsidRDefault="00D12CA5" w:rsidP="00C902FF">
                  <w:pPr>
                    <w:pStyle w:val="TableHeading"/>
                    <w:ind w:left="29"/>
                    <w:rPr>
                      <w:rFonts w:ascii="Arial" w:hAnsi="Arial" w:cs="Arial"/>
                      <w:color w:val="FFFFFF" w:themeColor="background1"/>
                    </w:rPr>
                  </w:pPr>
                </w:p>
              </w:tc>
              <w:tc>
                <w:tcPr>
                  <w:tcW w:w="2707" w:type="dxa"/>
                  <w:shd w:val="clear" w:color="auto" w:fill="404040" w:themeFill="text1" w:themeFillTint="BF"/>
                  <w:tcMar>
                    <w:top w:w="57" w:type="dxa"/>
                    <w:left w:w="57" w:type="dxa"/>
                    <w:bottom w:w="57" w:type="dxa"/>
                    <w:right w:w="57" w:type="dxa"/>
                  </w:tcMar>
                </w:tcPr>
                <w:p w14:paraId="2FF17E18" w14:textId="77777777" w:rsidR="00D12CA5" w:rsidRPr="004E4548" w:rsidRDefault="007918DE" w:rsidP="00D12CA5">
                  <w:pPr>
                    <w:pStyle w:val="TableHeading"/>
                    <w:ind w:left="141"/>
                    <w:jc w:val="right"/>
                    <w:rPr>
                      <w:rFonts w:ascii="Arial" w:hAnsi="Arial" w:cs="Arial"/>
                      <w:color w:val="FFFFFF" w:themeColor="background1"/>
                    </w:rPr>
                  </w:pPr>
                  <w:r w:rsidRPr="004E4548">
                    <w:rPr>
                      <w:rFonts w:ascii="Arial" w:hAnsi="Arial" w:cs="Arial"/>
                      <w:color w:val="FFFFFF" w:themeColor="background1"/>
                    </w:rPr>
                    <w:t>2012</w:t>
                  </w:r>
                </w:p>
              </w:tc>
              <w:tc>
                <w:tcPr>
                  <w:tcW w:w="2707" w:type="dxa"/>
                  <w:shd w:val="clear" w:color="auto" w:fill="404040" w:themeFill="text1" w:themeFillTint="BF"/>
                  <w:tcMar>
                    <w:top w:w="57" w:type="dxa"/>
                    <w:left w:w="57" w:type="dxa"/>
                    <w:bottom w:w="57" w:type="dxa"/>
                    <w:right w:w="57" w:type="dxa"/>
                  </w:tcMar>
                </w:tcPr>
                <w:p w14:paraId="5E7F3901" w14:textId="77777777" w:rsidR="00D12CA5" w:rsidRPr="004E4548" w:rsidRDefault="007918DE" w:rsidP="00D12CA5">
                  <w:pPr>
                    <w:pStyle w:val="TableHeading"/>
                    <w:ind w:left="-1"/>
                    <w:jc w:val="right"/>
                    <w:rPr>
                      <w:rFonts w:ascii="Arial" w:hAnsi="Arial" w:cs="Arial"/>
                      <w:color w:val="FFFFFF" w:themeColor="background1"/>
                    </w:rPr>
                  </w:pPr>
                  <w:r w:rsidRPr="004E4548">
                    <w:rPr>
                      <w:rFonts w:ascii="Arial" w:hAnsi="Arial" w:cs="Arial"/>
                      <w:color w:val="FFFFFF" w:themeColor="background1"/>
                    </w:rPr>
                    <w:t>2013</w:t>
                  </w:r>
                </w:p>
              </w:tc>
            </w:tr>
            <w:tr w:rsidR="001E2783" w:rsidRPr="001E2783" w14:paraId="3943E6E8" w14:textId="77777777" w:rsidTr="00F67B91">
              <w:tc>
                <w:tcPr>
                  <w:tcW w:w="3937" w:type="dxa"/>
                  <w:tcMar>
                    <w:top w:w="57" w:type="dxa"/>
                    <w:left w:w="57" w:type="dxa"/>
                    <w:bottom w:w="57" w:type="dxa"/>
                    <w:right w:w="57" w:type="dxa"/>
                  </w:tcMar>
                </w:tcPr>
                <w:p w14:paraId="07D10380" w14:textId="77777777" w:rsidR="007918DE" w:rsidRPr="001E2783" w:rsidRDefault="007918DE" w:rsidP="001C3CE5">
                  <w:pPr>
                    <w:pStyle w:val="TableTextLeft"/>
                    <w:rPr>
                      <w:rFonts w:cs="Arial"/>
                      <w:sz w:val="20"/>
                    </w:rPr>
                  </w:pPr>
                  <w:r w:rsidRPr="001E2783">
                    <w:rPr>
                      <w:rFonts w:cs="Arial"/>
                      <w:sz w:val="20"/>
                    </w:rPr>
                    <w:t>Foundation</w:t>
                  </w:r>
                </w:p>
              </w:tc>
              <w:tc>
                <w:tcPr>
                  <w:tcW w:w="2707" w:type="dxa"/>
                  <w:tcMar>
                    <w:top w:w="57" w:type="dxa"/>
                    <w:left w:w="57" w:type="dxa"/>
                    <w:bottom w:w="57" w:type="dxa"/>
                    <w:right w:w="57" w:type="dxa"/>
                  </w:tcMar>
                </w:tcPr>
                <w:p w14:paraId="787FEF9B" w14:textId="77777777" w:rsidR="007918DE" w:rsidRPr="001E2783" w:rsidRDefault="007918DE" w:rsidP="001C3CE5">
                  <w:pPr>
                    <w:pStyle w:val="TableTextLeft"/>
                    <w:jc w:val="right"/>
                    <w:rPr>
                      <w:rFonts w:cs="Arial"/>
                      <w:sz w:val="20"/>
                    </w:rPr>
                  </w:pPr>
                  <w:r w:rsidRPr="001E2783">
                    <w:rPr>
                      <w:rFonts w:cs="Arial"/>
                      <w:sz w:val="20"/>
                    </w:rPr>
                    <w:t>356</w:t>
                  </w:r>
                </w:p>
              </w:tc>
              <w:tc>
                <w:tcPr>
                  <w:tcW w:w="2707" w:type="dxa"/>
                  <w:tcMar>
                    <w:top w:w="57" w:type="dxa"/>
                    <w:left w:w="57" w:type="dxa"/>
                    <w:bottom w:w="57" w:type="dxa"/>
                    <w:right w:w="57" w:type="dxa"/>
                  </w:tcMar>
                </w:tcPr>
                <w:p w14:paraId="5F1810A8" w14:textId="77777777" w:rsidR="007918DE" w:rsidRPr="001E2783" w:rsidRDefault="007918DE" w:rsidP="001C3CE5">
                  <w:pPr>
                    <w:pStyle w:val="TableTextLeft"/>
                    <w:jc w:val="right"/>
                    <w:rPr>
                      <w:rFonts w:cs="Arial"/>
                      <w:sz w:val="20"/>
                    </w:rPr>
                  </w:pPr>
                  <w:r w:rsidRPr="001E2783">
                    <w:rPr>
                      <w:rFonts w:cs="Arial"/>
                      <w:sz w:val="20"/>
                    </w:rPr>
                    <w:t>394</w:t>
                  </w:r>
                </w:p>
              </w:tc>
            </w:tr>
            <w:tr w:rsidR="001E2783" w:rsidRPr="001E2783" w14:paraId="6A015C97" w14:textId="77777777" w:rsidTr="00F67B91">
              <w:tc>
                <w:tcPr>
                  <w:tcW w:w="3937" w:type="dxa"/>
                  <w:tcMar>
                    <w:top w:w="57" w:type="dxa"/>
                    <w:left w:w="57" w:type="dxa"/>
                    <w:bottom w:w="57" w:type="dxa"/>
                    <w:right w:w="57" w:type="dxa"/>
                  </w:tcMar>
                </w:tcPr>
                <w:p w14:paraId="7CFE1F01" w14:textId="77777777" w:rsidR="007918DE" w:rsidRPr="001E2783" w:rsidRDefault="007918DE" w:rsidP="001C3CE5">
                  <w:pPr>
                    <w:pStyle w:val="TableTextLeft"/>
                    <w:rPr>
                      <w:rFonts w:cs="Arial"/>
                      <w:sz w:val="20"/>
                    </w:rPr>
                  </w:pPr>
                  <w:r w:rsidRPr="001E2783">
                    <w:rPr>
                      <w:rFonts w:cs="Arial"/>
                      <w:sz w:val="20"/>
                    </w:rPr>
                    <w:t>Standard</w:t>
                  </w:r>
                </w:p>
              </w:tc>
              <w:tc>
                <w:tcPr>
                  <w:tcW w:w="2707" w:type="dxa"/>
                  <w:tcMar>
                    <w:top w:w="57" w:type="dxa"/>
                    <w:left w:w="57" w:type="dxa"/>
                    <w:bottom w:w="57" w:type="dxa"/>
                    <w:right w:w="57" w:type="dxa"/>
                  </w:tcMar>
                </w:tcPr>
                <w:p w14:paraId="3BF86991" w14:textId="77777777" w:rsidR="007918DE" w:rsidRPr="001E2783" w:rsidRDefault="007918DE" w:rsidP="001C3CE5">
                  <w:pPr>
                    <w:pStyle w:val="TableTextLeft"/>
                    <w:jc w:val="right"/>
                    <w:rPr>
                      <w:rFonts w:cs="Arial"/>
                      <w:sz w:val="20"/>
                    </w:rPr>
                  </w:pPr>
                  <w:r w:rsidRPr="001E2783">
                    <w:rPr>
                      <w:rFonts w:cs="Arial"/>
                      <w:sz w:val="20"/>
                    </w:rPr>
                    <w:t>98</w:t>
                  </w:r>
                </w:p>
              </w:tc>
              <w:tc>
                <w:tcPr>
                  <w:tcW w:w="2707" w:type="dxa"/>
                  <w:tcMar>
                    <w:top w:w="57" w:type="dxa"/>
                    <w:left w:w="57" w:type="dxa"/>
                    <w:bottom w:w="57" w:type="dxa"/>
                    <w:right w:w="57" w:type="dxa"/>
                  </w:tcMar>
                </w:tcPr>
                <w:p w14:paraId="43F6B16C" w14:textId="77777777" w:rsidR="007918DE" w:rsidRPr="001E2783" w:rsidRDefault="007918DE" w:rsidP="001C3CE5">
                  <w:pPr>
                    <w:pStyle w:val="TableTextLeft"/>
                    <w:jc w:val="right"/>
                    <w:rPr>
                      <w:rFonts w:cs="Arial"/>
                      <w:sz w:val="20"/>
                    </w:rPr>
                  </w:pPr>
                  <w:r w:rsidRPr="001E2783">
                    <w:rPr>
                      <w:rFonts w:cs="Arial"/>
                      <w:sz w:val="20"/>
                    </w:rPr>
                    <w:t>112</w:t>
                  </w:r>
                </w:p>
              </w:tc>
            </w:tr>
            <w:tr w:rsidR="001E2783" w:rsidRPr="001E2783" w14:paraId="09966A51" w14:textId="77777777" w:rsidTr="00F67B91">
              <w:tc>
                <w:tcPr>
                  <w:tcW w:w="3937" w:type="dxa"/>
                  <w:tcMar>
                    <w:top w:w="57" w:type="dxa"/>
                    <w:left w:w="57" w:type="dxa"/>
                    <w:bottom w:w="57" w:type="dxa"/>
                    <w:right w:w="57" w:type="dxa"/>
                  </w:tcMar>
                </w:tcPr>
                <w:p w14:paraId="5149FD52" w14:textId="77777777" w:rsidR="007918DE" w:rsidRPr="001E2783" w:rsidRDefault="007918DE" w:rsidP="001C3CE5">
                  <w:pPr>
                    <w:pStyle w:val="TableTextLeft"/>
                    <w:rPr>
                      <w:rFonts w:cs="Arial"/>
                      <w:sz w:val="20"/>
                    </w:rPr>
                  </w:pPr>
                  <w:r w:rsidRPr="001E2783">
                    <w:rPr>
                      <w:rFonts w:cs="Arial"/>
                      <w:sz w:val="20"/>
                    </w:rPr>
                    <w:t>Advanced</w:t>
                  </w:r>
                </w:p>
              </w:tc>
              <w:tc>
                <w:tcPr>
                  <w:tcW w:w="2707" w:type="dxa"/>
                  <w:tcMar>
                    <w:top w:w="57" w:type="dxa"/>
                    <w:left w:w="57" w:type="dxa"/>
                    <w:bottom w:w="57" w:type="dxa"/>
                    <w:right w:w="57" w:type="dxa"/>
                  </w:tcMar>
                </w:tcPr>
                <w:p w14:paraId="1E882548" w14:textId="77777777" w:rsidR="007918DE" w:rsidRPr="001E2783" w:rsidRDefault="007918DE" w:rsidP="001C3CE5">
                  <w:pPr>
                    <w:pStyle w:val="TableTextLeft"/>
                    <w:jc w:val="right"/>
                    <w:rPr>
                      <w:rFonts w:cs="Arial"/>
                      <w:sz w:val="20"/>
                    </w:rPr>
                  </w:pPr>
                  <w:r w:rsidRPr="001E2783">
                    <w:rPr>
                      <w:rFonts w:cs="Arial"/>
                      <w:sz w:val="20"/>
                    </w:rPr>
                    <w:t>89</w:t>
                  </w:r>
                </w:p>
              </w:tc>
              <w:tc>
                <w:tcPr>
                  <w:tcW w:w="2707" w:type="dxa"/>
                  <w:tcMar>
                    <w:top w:w="57" w:type="dxa"/>
                    <w:left w:w="57" w:type="dxa"/>
                    <w:bottom w:w="57" w:type="dxa"/>
                    <w:right w:w="57" w:type="dxa"/>
                  </w:tcMar>
                </w:tcPr>
                <w:p w14:paraId="680B039C" w14:textId="77777777" w:rsidR="007918DE" w:rsidRPr="001E2783" w:rsidRDefault="007918DE" w:rsidP="001C3CE5">
                  <w:pPr>
                    <w:pStyle w:val="TableTextLeft"/>
                    <w:jc w:val="right"/>
                    <w:rPr>
                      <w:rFonts w:cs="Arial"/>
                      <w:sz w:val="20"/>
                    </w:rPr>
                  </w:pPr>
                  <w:r w:rsidRPr="001E2783">
                    <w:rPr>
                      <w:rFonts w:cs="Arial"/>
                      <w:sz w:val="20"/>
                    </w:rPr>
                    <w:t>97</w:t>
                  </w:r>
                </w:p>
              </w:tc>
            </w:tr>
            <w:tr w:rsidR="001E2783" w:rsidRPr="001E2783" w14:paraId="3AAF06C9" w14:textId="77777777" w:rsidTr="00F67B91">
              <w:tc>
                <w:tcPr>
                  <w:tcW w:w="3937" w:type="dxa"/>
                  <w:tcMar>
                    <w:top w:w="57" w:type="dxa"/>
                    <w:left w:w="57" w:type="dxa"/>
                    <w:bottom w:w="57" w:type="dxa"/>
                    <w:right w:w="57" w:type="dxa"/>
                  </w:tcMar>
                </w:tcPr>
                <w:p w14:paraId="6A795574" w14:textId="77777777" w:rsidR="007918DE" w:rsidRPr="001E2783" w:rsidRDefault="007918DE" w:rsidP="001C3CE5">
                  <w:pPr>
                    <w:pStyle w:val="TableTextLeft"/>
                    <w:rPr>
                      <w:rFonts w:cs="Arial"/>
                      <w:b/>
                      <w:sz w:val="20"/>
                    </w:rPr>
                  </w:pPr>
                  <w:r w:rsidRPr="001E2783">
                    <w:rPr>
                      <w:rFonts w:cs="Arial"/>
                      <w:b/>
                      <w:sz w:val="20"/>
                    </w:rPr>
                    <w:t>Total</w:t>
                  </w:r>
                </w:p>
              </w:tc>
              <w:tc>
                <w:tcPr>
                  <w:tcW w:w="2707" w:type="dxa"/>
                  <w:tcMar>
                    <w:top w:w="57" w:type="dxa"/>
                    <w:left w:w="57" w:type="dxa"/>
                    <w:bottom w:w="57" w:type="dxa"/>
                    <w:right w:w="57" w:type="dxa"/>
                  </w:tcMar>
                </w:tcPr>
                <w:p w14:paraId="4BD02D8A" w14:textId="77777777" w:rsidR="007918DE" w:rsidRPr="001E2783" w:rsidRDefault="007918DE" w:rsidP="001C3CE5">
                  <w:pPr>
                    <w:pStyle w:val="TableTextLeft"/>
                    <w:jc w:val="right"/>
                    <w:rPr>
                      <w:rFonts w:cs="Arial"/>
                      <w:b/>
                      <w:sz w:val="20"/>
                    </w:rPr>
                  </w:pPr>
                  <w:r w:rsidRPr="001E2783">
                    <w:rPr>
                      <w:rFonts w:cs="Arial"/>
                      <w:b/>
                      <w:sz w:val="20"/>
                    </w:rPr>
                    <w:t>543</w:t>
                  </w:r>
                </w:p>
              </w:tc>
              <w:tc>
                <w:tcPr>
                  <w:tcW w:w="2707" w:type="dxa"/>
                  <w:tcMar>
                    <w:top w:w="57" w:type="dxa"/>
                    <w:left w:w="57" w:type="dxa"/>
                    <w:bottom w:w="57" w:type="dxa"/>
                    <w:right w:w="57" w:type="dxa"/>
                  </w:tcMar>
                </w:tcPr>
                <w:p w14:paraId="0C6FDE47" w14:textId="77777777" w:rsidR="007918DE" w:rsidRPr="001E2783" w:rsidRDefault="007918DE" w:rsidP="001C3CE5">
                  <w:pPr>
                    <w:pStyle w:val="TableTextLeft"/>
                    <w:jc w:val="right"/>
                    <w:rPr>
                      <w:rFonts w:cs="Arial"/>
                      <w:b/>
                      <w:sz w:val="20"/>
                    </w:rPr>
                  </w:pPr>
                  <w:r w:rsidRPr="001E2783">
                    <w:rPr>
                      <w:rFonts w:cs="Arial"/>
                      <w:b/>
                      <w:sz w:val="20"/>
                    </w:rPr>
                    <w:t>603</w:t>
                  </w:r>
                </w:p>
              </w:tc>
            </w:tr>
          </w:tbl>
          <w:p w14:paraId="67A42150" w14:textId="77777777" w:rsidR="00CC119D" w:rsidRPr="001E2783" w:rsidRDefault="00CC119D" w:rsidP="00C902FF">
            <w:pPr>
              <w:ind w:left="720"/>
              <w:rPr>
                <w:rFonts w:cs="Arial"/>
              </w:rPr>
            </w:pPr>
          </w:p>
        </w:tc>
      </w:tr>
      <w:tr w:rsidR="00CC119D" w:rsidRPr="001E2783" w14:paraId="7E02AEE4" w14:textId="77777777" w:rsidTr="00C902FF">
        <w:trPr>
          <w:trHeight w:val="291"/>
        </w:trPr>
        <w:tc>
          <w:tcPr>
            <w:tcW w:w="9645" w:type="dxa"/>
            <w:tcBorders>
              <w:bottom w:val="single" w:sz="2" w:space="0" w:color="505050"/>
            </w:tcBorders>
            <w:shd w:val="clear" w:color="auto" w:fill="auto"/>
          </w:tcPr>
          <w:p w14:paraId="5030DFB3" w14:textId="77777777" w:rsidR="00CC119D" w:rsidRPr="001E2783" w:rsidRDefault="007918DE" w:rsidP="007918DE">
            <w:pPr>
              <w:spacing w:before="60"/>
              <w:rPr>
                <w:rFonts w:cs="Arial"/>
              </w:rPr>
            </w:pPr>
            <w:r w:rsidRPr="001E2783">
              <w:rPr>
                <w:rFonts w:cs="Arial"/>
                <w:i/>
                <w:sz w:val="16"/>
                <w:szCs w:val="16"/>
              </w:rPr>
              <w:t>Source: Wireless Institute of Australia Annual Report 1 January to 31 December 2013.</w:t>
            </w:r>
          </w:p>
        </w:tc>
      </w:tr>
    </w:tbl>
    <w:p w14:paraId="47FC4B00" w14:textId="77777777" w:rsidR="00CC119D" w:rsidRPr="001E2783" w:rsidRDefault="00CC119D" w:rsidP="00CC119D">
      <w:pPr>
        <w:rPr>
          <w:rFonts w:cs="Arial"/>
        </w:rPr>
      </w:pPr>
    </w:p>
    <w:p w14:paraId="34D627AD" w14:textId="77777777" w:rsidR="00E33AD1" w:rsidRPr="001E2783" w:rsidRDefault="00E33AD1" w:rsidP="00E33AD1">
      <w:pPr>
        <w:pStyle w:val="Heading3"/>
      </w:pPr>
      <w:bookmarkStart w:id="105" w:name="_Toc260730515"/>
      <w:bookmarkStart w:id="106" w:name="_Toc264884695"/>
      <w:bookmarkStart w:id="107" w:name="_Toc337727558"/>
      <w:bookmarkStart w:id="108" w:name="_Toc400018523"/>
      <w:r w:rsidRPr="001E2783">
        <w:t>Broadcasting licence area plans and variations</w:t>
      </w:r>
      <w:bookmarkEnd w:id="105"/>
      <w:bookmarkEnd w:id="106"/>
      <w:bookmarkEnd w:id="107"/>
      <w:bookmarkEnd w:id="108"/>
    </w:p>
    <w:p w14:paraId="16BCE82C" w14:textId="77777777" w:rsidR="00E33AD1" w:rsidRPr="001E2783" w:rsidRDefault="00E33AD1" w:rsidP="00E33AD1">
      <w:pPr>
        <w:pStyle w:val="BodysubheaderH4"/>
        <w:rPr>
          <w:rFonts w:cs="Arial"/>
        </w:rPr>
      </w:pPr>
      <w:r w:rsidRPr="001E2783">
        <w:rPr>
          <w:rFonts w:cs="Arial"/>
        </w:rPr>
        <w:t>Television licence area plans</w:t>
      </w:r>
    </w:p>
    <w:p w14:paraId="6823AF08" w14:textId="77777777" w:rsidR="007918DE" w:rsidRPr="001E2783" w:rsidRDefault="00B7234B" w:rsidP="007918DE">
      <w:pPr>
        <w:rPr>
          <w:rFonts w:cs="Arial"/>
        </w:rPr>
      </w:pPr>
      <w:r w:rsidRPr="001E2783">
        <w:rPr>
          <w:rFonts w:cs="Arial"/>
        </w:rPr>
        <w:t>TLAPs</w:t>
      </w:r>
      <w:r w:rsidR="007918DE" w:rsidRPr="001E2783">
        <w:rPr>
          <w:rFonts w:cs="Arial"/>
        </w:rPr>
        <w:t xml:space="preserve"> are the long</w:t>
      </w:r>
      <w:r w:rsidR="007B6CF0" w:rsidRPr="001E2783">
        <w:rPr>
          <w:rFonts w:cs="Arial"/>
        </w:rPr>
        <w:t>-</w:t>
      </w:r>
      <w:r w:rsidR="007918DE" w:rsidRPr="001E2783">
        <w:rPr>
          <w:rFonts w:cs="Arial"/>
        </w:rPr>
        <w:t>term planning instruments for television broadcasting services, specifying and allotting channels to particular providers of television services and determining the characteristics, including technical specifications, of the broadcasting services that are to be available in particular parts of Australia with the use of those channels. TLAPs are also the primary instruments for managing the restack of digital television broadcasting services.</w:t>
      </w:r>
    </w:p>
    <w:p w14:paraId="3BFEB7F3" w14:textId="77777777" w:rsidR="007918DE" w:rsidRPr="001E2783" w:rsidRDefault="007918DE" w:rsidP="007918DE">
      <w:pPr>
        <w:rPr>
          <w:rFonts w:cs="Arial"/>
        </w:rPr>
      </w:pPr>
    </w:p>
    <w:p w14:paraId="35E3AA4A" w14:textId="77777777" w:rsidR="008F7489" w:rsidRPr="001E2783" w:rsidRDefault="007918DE" w:rsidP="007918DE">
      <w:pPr>
        <w:rPr>
          <w:rFonts w:cs="Arial"/>
        </w:rPr>
      </w:pPr>
      <w:r w:rsidRPr="001E2783">
        <w:rPr>
          <w:rFonts w:cs="Arial"/>
        </w:rPr>
        <w:t xml:space="preserve">During the reporting period, the ACMA completed </w:t>
      </w:r>
      <w:r w:rsidR="00E92E97" w:rsidRPr="001E2783">
        <w:rPr>
          <w:rFonts w:cs="Arial"/>
        </w:rPr>
        <w:t>four TLAP variations (see Table </w:t>
      </w:r>
      <w:r w:rsidR="00CF691B" w:rsidRPr="001E2783">
        <w:rPr>
          <w:rFonts w:cs="Arial"/>
        </w:rPr>
        <w:t>8</w:t>
      </w:r>
      <w:r w:rsidRPr="001E2783">
        <w:rPr>
          <w:rFonts w:cs="Arial"/>
        </w:rPr>
        <w:t>).</w:t>
      </w:r>
    </w:p>
    <w:p w14:paraId="7A089785" w14:textId="77777777" w:rsidR="007918DE" w:rsidRPr="001E2783" w:rsidRDefault="007918DE" w:rsidP="007918DE">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29CA4EE5" w14:textId="77777777">
        <w:trPr>
          <w:trHeight w:val="570"/>
        </w:trPr>
        <w:tc>
          <w:tcPr>
            <w:tcW w:w="9645" w:type="dxa"/>
            <w:tcBorders>
              <w:top w:val="single" w:sz="2" w:space="0" w:color="505050"/>
            </w:tcBorders>
            <w:shd w:val="clear" w:color="auto" w:fill="auto"/>
            <w:vAlign w:val="center"/>
          </w:tcPr>
          <w:p w14:paraId="36A9C3D3" w14:textId="77777777" w:rsidR="008F7489" w:rsidRPr="001E2783" w:rsidRDefault="008F7489" w:rsidP="004042F8">
            <w:pPr>
              <w:pStyle w:val="Caption"/>
              <w:keepNext/>
              <w:keepLines/>
              <w:spacing w:before="120" w:after="120"/>
              <w:rPr>
                <w:rFonts w:ascii="Arial" w:hAnsi="Arial" w:cs="Arial"/>
                <w:color w:val="auto"/>
              </w:rPr>
            </w:pPr>
            <w:r w:rsidRPr="00D3485F">
              <w:rPr>
                <w:rFonts w:ascii="Arial" w:hAnsi="Arial" w:cs="Arial"/>
              </w:rPr>
              <w:t xml:space="preserve">Table </w:t>
            </w:r>
            <w:r w:rsidR="00CF691B" w:rsidRPr="00D3485F">
              <w:rPr>
                <w:rFonts w:ascii="Arial" w:hAnsi="Arial" w:cs="Arial"/>
              </w:rPr>
              <w:t>8</w:t>
            </w:r>
            <w:r w:rsidR="00F31EA0" w:rsidRPr="00D3485F">
              <w:rPr>
                <w:rFonts w:ascii="Arial" w:hAnsi="Arial" w:cs="Arial"/>
              </w:rPr>
              <w:t>:</w:t>
            </w:r>
            <w:r w:rsidRPr="00D3485F">
              <w:rPr>
                <w:rFonts w:ascii="Arial" w:hAnsi="Arial" w:cs="Arial"/>
              </w:rPr>
              <w:t xml:space="preserve"> Variations to TLAPs</w:t>
            </w:r>
          </w:p>
        </w:tc>
      </w:tr>
      <w:tr w:rsidR="001E2783" w:rsidRPr="001E2783" w14:paraId="4CF883D9" w14:textId="77777777" w:rsidTr="007C2BF5">
        <w:trPr>
          <w:trHeight w:val="721"/>
        </w:trPr>
        <w:tc>
          <w:tcPr>
            <w:tcW w:w="9645" w:type="dxa"/>
            <w:shd w:val="clear" w:color="auto" w:fill="auto"/>
            <w:tcMar>
              <w:left w:w="28" w:type="dxa"/>
            </w:tcMa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33"/>
              <w:gridCol w:w="6874"/>
            </w:tblGrid>
            <w:tr w:rsidR="001E2783" w:rsidRPr="001E2783" w14:paraId="07B2B771" w14:textId="77777777" w:rsidTr="00F67B91">
              <w:trPr>
                <w:cantSplit/>
                <w:trHeight w:val="315"/>
              </w:trPr>
              <w:tc>
                <w:tcPr>
                  <w:tcW w:w="2733" w:type="dxa"/>
                  <w:shd w:val="clear" w:color="auto" w:fill="404040" w:themeFill="text1" w:themeFillTint="BF"/>
                  <w:tcMar>
                    <w:top w:w="57" w:type="dxa"/>
                    <w:left w:w="57" w:type="dxa"/>
                    <w:bottom w:w="57" w:type="dxa"/>
                    <w:right w:w="57" w:type="dxa"/>
                  </w:tcMar>
                  <w:vAlign w:val="center"/>
                </w:tcPr>
                <w:p w14:paraId="5141677B" w14:textId="77777777" w:rsidR="008F7489" w:rsidRPr="004E4548" w:rsidRDefault="008F7489" w:rsidP="004042F8">
                  <w:pPr>
                    <w:pStyle w:val="TableHeading"/>
                    <w:keepNext/>
                    <w:keepLines/>
                    <w:rPr>
                      <w:rFonts w:ascii="Arial" w:hAnsi="Arial" w:cs="Arial"/>
                      <w:color w:val="FFFFFF" w:themeColor="background1"/>
                    </w:rPr>
                  </w:pPr>
                  <w:r w:rsidRPr="004E4548">
                    <w:rPr>
                      <w:rFonts w:ascii="Arial" w:hAnsi="Arial" w:cs="Arial"/>
                      <w:color w:val="FFFFFF" w:themeColor="background1"/>
                    </w:rPr>
                    <w:t>Service area</w:t>
                  </w:r>
                </w:p>
              </w:tc>
              <w:tc>
                <w:tcPr>
                  <w:tcW w:w="6874" w:type="dxa"/>
                  <w:shd w:val="clear" w:color="auto" w:fill="404040" w:themeFill="text1" w:themeFillTint="BF"/>
                  <w:tcMar>
                    <w:top w:w="57" w:type="dxa"/>
                    <w:left w:w="57" w:type="dxa"/>
                    <w:bottom w:w="57" w:type="dxa"/>
                    <w:right w:w="57" w:type="dxa"/>
                  </w:tcMar>
                  <w:vAlign w:val="center"/>
                </w:tcPr>
                <w:p w14:paraId="552BADAD" w14:textId="77777777" w:rsidR="008F7489" w:rsidRPr="004E4548" w:rsidRDefault="008F7489" w:rsidP="004042F8">
                  <w:pPr>
                    <w:pStyle w:val="TableHeading"/>
                    <w:keepNext/>
                    <w:keepLines/>
                    <w:rPr>
                      <w:rFonts w:ascii="Arial" w:hAnsi="Arial" w:cs="Arial"/>
                      <w:color w:val="FFFFFF" w:themeColor="background1"/>
                    </w:rPr>
                  </w:pPr>
                  <w:r w:rsidRPr="004E4548">
                    <w:rPr>
                      <w:rFonts w:ascii="Arial" w:hAnsi="Arial" w:cs="Arial"/>
                      <w:color w:val="FFFFFF" w:themeColor="background1"/>
                    </w:rPr>
                    <w:t>Purpose of variation</w:t>
                  </w:r>
                </w:p>
              </w:tc>
            </w:tr>
            <w:tr w:rsidR="001E2783" w:rsidRPr="001E2783" w14:paraId="7CFB2A76" w14:textId="77777777" w:rsidTr="00F67B91">
              <w:trPr>
                <w:cantSplit/>
              </w:trPr>
              <w:tc>
                <w:tcPr>
                  <w:tcW w:w="2733" w:type="dxa"/>
                  <w:tcMar>
                    <w:top w:w="57" w:type="dxa"/>
                    <w:left w:w="57" w:type="dxa"/>
                    <w:bottom w:w="57" w:type="dxa"/>
                    <w:right w:w="57" w:type="dxa"/>
                  </w:tcMar>
                  <w:vAlign w:val="center"/>
                </w:tcPr>
                <w:p w14:paraId="6E342B9C" w14:textId="77777777" w:rsidR="007918DE" w:rsidRPr="001E2783" w:rsidRDefault="007918DE" w:rsidP="004042F8">
                  <w:pPr>
                    <w:pStyle w:val="TableTextLeft"/>
                    <w:keepNext/>
                    <w:keepLines/>
                    <w:rPr>
                      <w:rFonts w:cs="Arial"/>
                      <w:sz w:val="20"/>
                    </w:rPr>
                  </w:pPr>
                  <w:r w:rsidRPr="001E2783">
                    <w:rPr>
                      <w:rFonts w:cs="Arial"/>
                      <w:sz w:val="20"/>
                    </w:rPr>
                    <w:t>Brisbane—</w:t>
                  </w:r>
                  <w:r w:rsidRPr="001E2783">
                    <w:rPr>
                      <w:rFonts w:cs="Arial"/>
                      <w:sz w:val="20"/>
                    </w:rPr>
                    <w:br/>
                    <w:t>December 2013</w:t>
                  </w:r>
                </w:p>
              </w:tc>
              <w:tc>
                <w:tcPr>
                  <w:tcW w:w="6874" w:type="dxa"/>
                  <w:tcMar>
                    <w:top w:w="57" w:type="dxa"/>
                    <w:left w:w="57" w:type="dxa"/>
                    <w:bottom w:w="57" w:type="dxa"/>
                    <w:right w:w="57" w:type="dxa"/>
                  </w:tcMar>
                  <w:vAlign w:val="center"/>
                </w:tcPr>
                <w:p w14:paraId="6279FD66" w14:textId="77777777" w:rsidR="007918DE" w:rsidRPr="001E2783" w:rsidRDefault="007918DE" w:rsidP="004042F8">
                  <w:pPr>
                    <w:pStyle w:val="TableTextLeft"/>
                    <w:keepNext/>
                    <w:keepLines/>
                    <w:rPr>
                      <w:rFonts w:cs="Arial"/>
                      <w:sz w:val="20"/>
                    </w:rPr>
                  </w:pPr>
                  <w:r w:rsidRPr="001E2783">
                    <w:rPr>
                      <w:rFonts w:cs="Arial"/>
                      <w:sz w:val="20"/>
                    </w:rPr>
                    <w:t>To extend the channel allotment end date for the Brisbane community television servic</w:t>
                  </w:r>
                  <w:r w:rsidR="00E92E97" w:rsidRPr="001E2783">
                    <w:rPr>
                      <w:rFonts w:cs="Arial"/>
                      <w:sz w:val="20"/>
                    </w:rPr>
                    <w:t>e contained in the TLAP from 31 December 2013 to 31 </w:t>
                  </w:r>
                  <w:r w:rsidRPr="001E2783">
                    <w:rPr>
                      <w:rFonts w:cs="Arial"/>
                      <w:sz w:val="20"/>
                    </w:rPr>
                    <w:t>December 2014.</w:t>
                  </w:r>
                </w:p>
              </w:tc>
            </w:tr>
            <w:tr w:rsidR="001E2783" w:rsidRPr="001E2783" w14:paraId="33C3F18B" w14:textId="77777777" w:rsidTr="00F67B91">
              <w:trPr>
                <w:cantSplit/>
              </w:trPr>
              <w:tc>
                <w:tcPr>
                  <w:tcW w:w="2733" w:type="dxa"/>
                  <w:tcMar>
                    <w:top w:w="57" w:type="dxa"/>
                    <w:left w:w="57" w:type="dxa"/>
                    <w:bottom w:w="57" w:type="dxa"/>
                    <w:right w:w="57" w:type="dxa"/>
                  </w:tcMar>
                  <w:vAlign w:val="center"/>
                </w:tcPr>
                <w:p w14:paraId="4A98ED19" w14:textId="77777777" w:rsidR="007918DE" w:rsidRPr="001E2783" w:rsidRDefault="007918DE" w:rsidP="004042F8">
                  <w:pPr>
                    <w:pStyle w:val="TableTextLeft"/>
                    <w:keepNext/>
                    <w:keepLines/>
                    <w:rPr>
                      <w:rFonts w:cs="Arial"/>
                      <w:sz w:val="20"/>
                    </w:rPr>
                  </w:pPr>
                  <w:r w:rsidRPr="001E2783">
                    <w:rPr>
                      <w:rFonts w:cs="Arial"/>
                      <w:sz w:val="20"/>
                    </w:rPr>
                    <w:t>Melbourne—</w:t>
                  </w:r>
                  <w:r w:rsidRPr="001E2783">
                    <w:rPr>
                      <w:rFonts w:cs="Arial"/>
                      <w:sz w:val="20"/>
                    </w:rPr>
                    <w:br/>
                    <w:t>December 2013</w:t>
                  </w:r>
                </w:p>
              </w:tc>
              <w:tc>
                <w:tcPr>
                  <w:tcW w:w="6874" w:type="dxa"/>
                  <w:tcMar>
                    <w:top w:w="57" w:type="dxa"/>
                    <w:left w:w="57" w:type="dxa"/>
                    <w:bottom w:w="57" w:type="dxa"/>
                    <w:right w:w="57" w:type="dxa"/>
                  </w:tcMar>
                  <w:vAlign w:val="center"/>
                </w:tcPr>
                <w:p w14:paraId="67CCB837" w14:textId="77777777" w:rsidR="007918DE" w:rsidRPr="001E2783" w:rsidRDefault="007918DE" w:rsidP="004042F8">
                  <w:pPr>
                    <w:pStyle w:val="TableTextLeft"/>
                    <w:keepNext/>
                    <w:keepLines/>
                    <w:rPr>
                      <w:rFonts w:cs="Arial"/>
                      <w:sz w:val="20"/>
                    </w:rPr>
                  </w:pPr>
                  <w:r w:rsidRPr="001E2783">
                    <w:rPr>
                      <w:rFonts w:cs="Arial"/>
                      <w:sz w:val="20"/>
                    </w:rPr>
                    <w:t>To extend the channel allotment end date for the Melbourne community television servic</w:t>
                  </w:r>
                  <w:r w:rsidR="00E92E97" w:rsidRPr="001E2783">
                    <w:rPr>
                      <w:rFonts w:cs="Arial"/>
                      <w:sz w:val="20"/>
                    </w:rPr>
                    <w:t>e contained in the TLAP from 31 December 2013 to 31 </w:t>
                  </w:r>
                  <w:r w:rsidRPr="001E2783">
                    <w:rPr>
                      <w:rFonts w:cs="Arial"/>
                      <w:sz w:val="20"/>
                    </w:rPr>
                    <w:t>December 2014</w:t>
                  </w:r>
                  <w:r w:rsidR="00E36AC5" w:rsidRPr="001E2783">
                    <w:rPr>
                      <w:rFonts w:cs="Arial"/>
                      <w:sz w:val="20"/>
                    </w:rPr>
                    <w:t>, and to make changes to the technical specifications to the commercial television repeaters in the Safety Beach area</w:t>
                  </w:r>
                  <w:r w:rsidRPr="001E2783">
                    <w:rPr>
                      <w:rFonts w:cs="Arial"/>
                      <w:sz w:val="20"/>
                    </w:rPr>
                    <w:t>.</w:t>
                  </w:r>
                </w:p>
              </w:tc>
            </w:tr>
            <w:tr w:rsidR="001E2783" w:rsidRPr="001E2783" w14:paraId="3A4E2F5E" w14:textId="77777777" w:rsidTr="00F67B91">
              <w:trPr>
                <w:cantSplit/>
              </w:trPr>
              <w:tc>
                <w:tcPr>
                  <w:tcW w:w="2733" w:type="dxa"/>
                  <w:tcMar>
                    <w:top w:w="57" w:type="dxa"/>
                    <w:left w:w="57" w:type="dxa"/>
                    <w:bottom w:w="57" w:type="dxa"/>
                    <w:right w:w="57" w:type="dxa"/>
                  </w:tcMar>
                  <w:vAlign w:val="center"/>
                </w:tcPr>
                <w:p w14:paraId="7F1639FC" w14:textId="4E40628A" w:rsidR="007918DE" w:rsidRPr="001E2783" w:rsidRDefault="007918DE" w:rsidP="004375F1">
                  <w:pPr>
                    <w:pStyle w:val="TableTextLeft"/>
                    <w:keepNext/>
                    <w:keepLines/>
                    <w:rPr>
                      <w:rFonts w:cs="Arial"/>
                      <w:sz w:val="20"/>
                    </w:rPr>
                  </w:pPr>
                  <w:r w:rsidRPr="001E2783">
                    <w:rPr>
                      <w:rFonts w:cs="Arial"/>
                      <w:sz w:val="20"/>
                    </w:rPr>
                    <w:t>Sydney—</w:t>
                  </w:r>
                  <w:r w:rsidRPr="001E2783">
                    <w:rPr>
                      <w:rFonts w:cs="Arial"/>
                      <w:sz w:val="20"/>
                    </w:rPr>
                    <w:br/>
                    <w:t>December 2013</w:t>
                  </w:r>
                </w:p>
              </w:tc>
              <w:tc>
                <w:tcPr>
                  <w:tcW w:w="6874" w:type="dxa"/>
                  <w:tcMar>
                    <w:top w:w="57" w:type="dxa"/>
                    <w:left w:w="57" w:type="dxa"/>
                    <w:bottom w:w="57" w:type="dxa"/>
                    <w:right w:w="57" w:type="dxa"/>
                  </w:tcMar>
                  <w:vAlign w:val="center"/>
                </w:tcPr>
                <w:p w14:paraId="12BB663F" w14:textId="77777777" w:rsidR="007918DE" w:rsidRPr="001E2783" w:rsidRDefault="007918DE" w:rsidP="004042F8">
                  <w:pPr>
                    <w:pStyle w:val="TableTextLeft"/>
                    <w:keepNext/>
                    <w:keepLines/>
                    <w:rPr>
                      <w:rFonts w:cs="Arial"/>
                      <w:sz w:val="20"/>
                    </w:rPr>
                  </w:pPr>
                  <w:r w:rsidRPr="001E2783">
                    <w:rPr>
                      <w:rFonts w:cs="Arial"/>
                      <w:sz w:val="20"/>
                    </w:rPr>
                    <w:t>To extend the channel allotment end date for the Sydney community television servic</w:t>
                  </w:r>
                  <w:r w:rsidR="00E92E97" w:rsidRPr="001E2783">
                    <w:rPr>
                      <w:rFonts w:cs="Arial"/>
                      <w:sz w:val="20"/>
                    </w:rPr>
                    <w:t>e contained in the TLAP from 31 </w:t>
                  </w:r>
                  <w:r w:rsidRPr="001E2783">
                    <w:rPr>
                      <w:rFonts w:cs="Arial"/>
                      <w:sz w:val="20"/>
                    </w:rPr>
                    <w:t>Decembe</w:t>
                  </w:r>
                  <w:r w:rsidR="00E92E97" w:rsidRPr="001E2783">
                    <w:rPr>
                      <w:rFonts w:cs="Arial"/>
                      <w:sz w:val="20"/>
                    </w:rPr>
                    <w:t>r 2013 to 31 </w:t>
                  </w:r>
                  <w:r w:rsidRPr="001E2783">
                    <w:rPr>
                      <w:rFonts w:cs="Arial"/>
                      <w:sz w:val="20"/>
                    </w:rPr>
                    <w:t>December 2014.</w:t>
                  </w:r>
                </w:p>
              </w:tc>
            </w:tr>
            <w:tr w:rsidR="001E2783" w:rsidRPr="001E2783" w14:paraId="6BC7574E" w14:textId="77777777" w:rsidTr="00F67B91">
              <w:trPr>
                <w:cantSplit/>
              </w:trPr>
              <w:tc>
                <w:tcPr>
                  <w:tcW w:w="2733" w:type="dxa"/>
                  <w:tcMar>
                    <w:top w:w="57" w:type="dxa"/>
                    <w:left w:w="57" w:type="dxa"/>
                    <w:bottom w:w="57" w:type="dxa"/>
                    <w:right w:w="57" w:type="dxa"/>
                  </w:tcMar>
                  <w:vAlign w:val="center"/>
                </w:tcPr>
                <w:p w14:paraId="647BF0A1" w14:textId="77777777" w:rsidR="007918DE" w:rsidRPr="001E2783" w:rsidRDefault="007918DE" w:rsidP="004042F8">
                  <w:pPr>
                    <w:pStyle w:val="TableTextLeft"/>
                    <w:keepNext/>
                    <w:keepLines/>
                    <w:rPr>
                      <w:rFonts w:cs="Arial"/>
                      <w:sz w:val="20"/>
                    </w:rPr>
                  </w:pPr>
                  <w:r w:rsidRPr="001E2783">
                    <w:rPr>
                      <w:rFonts w:cs="Arial"/>
                      <w:sz w:val="20"/>
                    </w:rPr>
                    <w:t>Southern New South Wales—June 2014</w:t>
                  </w:r>
                </w:p>
              </w:tc>
              <w:tc>
                <w:tcPr>
                  <w:tcW w:w="6874" w:type="dxa"/>
                  <w:tcMar>
                    <w:top w:w="57" w:type="dxa"/>
                    <w:left w:w="57" w:type="dxa"/>
                    <w:bottom w:w="57" w:type="dxa"/>
                    <w:right w:w="57" w:type="dxa"/>
                  </w:tcMar>
                  <w:vAlign w:val="center"/>
                </w:tcPr>
                <w:p w14:paraId="01CB3545" w14:textId="77777777" w:rsidR="007918DE" w:rsidRPr="001E2783" w:rsidRDefault="007918DE" w:rsidP="004042F8">
                  <w:pPr>
                    <w:pStyle w:val="TableTextLeft"/>
                    <w:keepNext/>
                    <w:keepLines/>
                    <w:rPr>
                      <w:rFonts w:cs="Arial"/>
                      <w:sz w:val="20"/>
                    </w:rPr>
                  </w:pPr>
                  <w:r w:rsidRPr="001E2783">
                    <w:rPr>
                      <w:rFonts w:cs="Arial"/>
                      <w:sz w:val="20"/>
                    </w:rPr>
                    <w:t>To swap the WIN TV Ulladulla post-restack channel allotment with the Ulladulla unassigned channel allotment.</w:t>
                  </w:r>
                </w:p>
              </w:tc>
            </w:tr>
          </w:tbl>
          <w:p w14:paraId="596D30DD" w14:textId="77777777" w:rsidR="008F7489" w:rsidRPr="001E2783" w:rsidRDefault="008F7489">
            <w:pPr>
              <w:rPr>
                <w:rFonts w:cs="Arial"/>
              </w:rPr>
            </w:pPr>
          </w:p>
        </w:tc>
      </w:tr>
      <w:tr w:rsidR="008F7489" w:rsidRPr="001E2783" w14:paraId="5B62F98B" w14:textId="77777777">
        <w:trPr>
          <w:trHeight w:val="291"/>
        </w:trPr>
        <w:tc>
          <w:tcPr>
            <w:tcW w:w="9645" w:type="dxa"/>
            <w:tcBorders>
              <w:bottom w:val="single" w:sz="2" w:space="0" w:color="505050"/>
            </w:tcBorders>
            <w:shd w:val="clear" w:color="auto" w:fill="auto"/>
          </w:tcPr>
          <w:p w14:paraId="74E6F572" w14:textId="77777777" w:rsidR="008F7489" w:rsidRPr="001E2783" w:rsidRDefault="008F7489">
            <w:pPr>
              <w:rPr>
                <w:rFonts w:cs="Arial"/>
              </w:rPr>
            </w:pPr>
          </w:p>
        </w:tc>
      </w:tr>
    </w:tbl>
    <w:p w14:paraId="7F0C2F52" w14:textId="77777777" w:rsidR="00CC119D" w:rsidRPr="001E2783" w:rsidRDefault="00CC119D" w:rsidP="00CC119D">
      <w:pPr>
        <w:rPr>
          <w:rFonts w:cs="Arial"/>
          <w:highlight w:val="yellow"/>
        </w:rPr>
      </w:pPr>
    </w:p>
    <w:p w14:paraId="1180573A" w14:textId="77777777" w:rsidR="007918DE" w:rsidRPr="001E2783" w:rsidRDefault="007918DE" w:rsidP="007918DE">
      <w:pPr>
        <w:pStyle w:val="BodysubheaderH4"/>
        <w:rPr>
          <w:rFonts w:cs="Arial"/>
        </w:rPr>
      </w:pPr>
      <w:r w:rsidRPr="001E2783">
        <w:rPr>
          <w:rFonts w:cs="Arial"/>
        </w:rPr>
        <w:t>Radio licence area plan variations</w:t>
      </w:r>
    </w:p>
    <w:p w14:paraId="039EF80F" w14:textId="77777777" w:rsidR="007918DE" w:rsidRPr="001E2783" w:rsidRDefault="007918DE" w:rsidP="007918DE">
      <w:pPr>
        <w:rPr>
          <w:rFonts w:cs="Arial"/>
        </w:rPr>
      </w:pPr>
      <w:r w:rsidRPr="001E2783">
        <w:rPr>
          <w:rFonts w:cs="Arial"/>
        </w:rPr>
        <w:t xml:space="preserve">Radio licence area plans (LAPs) are the planning instrument for radio services in Australia. </w:t>
      </w:r>
    </w:p>
    <w:p w14:paraId="049EFC78" w14:textId="77777777" w:rsidR="007918DE" w:rsidRPr="001E2783" w:rsidRDefault="007918DE" w:rsidP="007918DE">
      <w:pPr>
        <w:rPr>
          <w:rFonts w:cs="Arial"/>
        </w:rPr>
      </w:pPr>
    </w:p>
    <w:p w14:paraId="624830BA" w14:textId="77777777" w:rsidR="007918DE" w:rsidRPr="001E2783" w:rsidRDefault="007918DE" w:rsidP="007918DE">
      <w:pPr>
        <w:rPr>
          <w:rFonts w:cs="Arial"/>
        </w:rPr>
      </w:pPr>
      <w:r w:rsidRPr="001E2783">
        <w:rPr>
          <w:rFonts w:cs="Arial"/>
        </w:rPr>
        <w:t>Over the reporting period, the ACMA completed four vari</w:t>
      </w:r>
      <w:r w:rsidR="00E92E97" w:rsidRPr="001E2783">
        <w:rPr>
          <w:rFonts w:cs="Arial"/>
        </w:rPr>
        <w:t>ations to radio LAPs (see Table </w:t>
      </w:r>
      <w:r w:rsidR="00CF691B" w:rsidRPr="001E2783">
        <w:rPr>
          <w:rFonts w:cs="Arial"/>
        </w:rPr>
        <w:t>9</w:t>
      </w:r>
      <w:r w:rsidRPr="001E2783">
        <w:rPr>
          <w:rFonts w:cs="Arial"/>
        </w:rPr>
        <w:t>).</w:t>
      </w:r>
    </w:p>
    <w:p w14:paraId="06824510" w14:textId="77777777" w:rsidR="007918DE" w:rsidRPr="001E2783" w:rsidRDefault="007918DE" w:rsidP="007918DE">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706F36F8" w14:textId="77777777" w:rsidTr="007918DE">
        <w:trPr>
          <w:trHeight w:val="570"/>
        </w:trPr>
        <w:tc>
          <w:tcPr>
            <w:tcW w:w="9645" w:type="dxa"/>
            <w:tcBorders>
              <w:top w:val="single" w:sz="2" w:space="0" w:color="505050"/>
            </w:tcBorders>
            <w:shd w:val="clear" w:color="auto" w:fill="auto"/>
            <w:vAlign w:val="center"/>
          </w:tcPr>
          <w:p w14:paraId="4EA02318" w14:textId="77777777" w:rsidR="007918DE" w:rsidRPr="001E2783" w:rsidRDefault="007918DE" w:rsidP="00A92E4E">
            <w:pPr>
              <w:pStyle w:val="Caption"/>
              <w:keepNext/>
              <w:keepLines/>
              <w:rPr>
                <w:rFonts w:ascii="Arial" w:hAnsi="Arial" w:cs="Arial"/>
                <w:color w:val="auto"/>
              </w:rPr>
            </w:pPr>
            <w:r w:rsidRPr="001E2783">
              <w:rPr>
                <w:rFonts w:ascii="Arial" w:hAnsi="Arial" w:cs="Arial"/>
                <w:color w:val="auto"/>
              </w:rPr>
              <w:br w:type="page"/>
            </w:r>
            <w:r w:rsidRPr="001E2783">
              <w:rPr>
                <w:rFonts w:ascii="Arial" w:hAnsi="Arial" w:cs="Arial"/>
                <w:color w:val="auto"/>
              </w:rPr>
              <w:br w:type="page"/>
            </w:r>
            <w:r w:rsidRPr="00D3485F">
              <w:rPr>
                <w:rFonts w:ascii="Arial" w:hAnsi="Arial" w:cs="Arial"/>
              </w:rPr>
              <w:t xml:space="preserve">Table </w:t>
            </w:r>
            <w:r w:rsidR="00CF691B" w:rsidRPr="00D3485F">
              <w:rPr>
                <w:rFonts w:ascii="Arial" w:hAnsi="Arial" w:cs="Arial"/>
              </w:rPr>
              <w:t>9</w:t>
            </w:r>
            <w:r w:rsidRPr="00D3485F">
              <w:rPr>
                <w:rFonts w:ascii="Arial" w:hAnsi="Arial" w:cs="Arial"/>
              </w:rPr>
              <w:t>: Variations to LAPs</w:t>
            </w:r>
          </w:p>
        </w:tc>
      </w:tr>
      <w:tr w:rsidR="001E2783" w:rsidRPr="001E2783" w14:paraId="1F5B2814" w14:textId="77777777" w:rsidTr="007918DE">
        <w:trPr>
          <w:trHeight w:val="424"/>
        </w:trPr>
        <w:tc>
          <w:tcPr>
            <w:tcW w:w="9645" w:type="dxa"/>
            <w:shd w:val="clear" w:color="auto" w:fill="auto"/>
            <w:tcMar>
              <w:left w:w="28" w:type="dxa"/>
            </w:tcMar>
          </w:tcPr>
          <w:tbl>
            <w:tblPr>
              <w:tblW w:w="9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1"/>
              <w:gridCol w:w="7654"/>
            </w:tblGrid>
            <w:tr w:rsidR="001E2783" w:rsidRPr="001E2783" w14:paraId="240CB7A3" w14:textId="77777777" w:rsidTr="00CF691B">
              <w:trPr>
                <w:cantSplit/>
              </w:trPr>
              <w:tc>
                <w:tcPr>
                  <w:tcW w:w="1811" w:type="dxa"/>
                  <w:shd w:val="clear" w:color="auto" w:fill="404040" w:themeFill="text1" w:themeFillTint="BF"/>
                  <w:tcMar>
                    <w:top w:w="57" w:type="dxa"/>
                    <w:left w:w="57" w:type="dxa"/>
                    <w:bottom w:w="57" w:type="dxa"/>
                    <w:right w:w="57" w:type="dxa"/>
                  </w:tcMar>
                </w:tcPr>
                <w:p w14:paraId="759CAD78" w14:textId="77777777" w:rsidR="007918DE" w:rsidRPr="004E4548" w:rsidRDefault="007918DE" w:rsidP="00A92E4E">
                  <w:pPr>
                    <w:pStyle w:val="TableHeading"/>
                    <w:keepNext/>
                    <w:keepLines/>
                    <w:rPr>
                      <w:rFonts w:ascii="Arial" w:hAnsi="Arial" w:cs="Arial"/>
                      <w:color w:val="FFFFFF" w:themeColor="background1"/>
                    </w:rPr>
                  </w:pPr>
                  <w:r w:rsidRPr="004E4548">
                    <w:rPr>
                      <w:rFonts w:ascii="Arial" w:hAnsi="Arial" w:cs="Arial"/>
                      <w:color w:val="FFFFFF" w:themeColor="background1"/>
                    </w:rPr>
                    <w:t>Service area</w:t>
                  </w:r>
                </w:p>
              </w:tc>
              <w:tc>
                <w:tcPr>
                  <w:tcW w:w="7654" w:type="dxa"/>
                  <w:shd w:val="clear" w:color="auto" w:fill="404040" w:themeFill="text1" w:themeFillTint="BF"/>
                  <w:tcMar>
                    <w:top w:w="57" w:type="dxa"/>
                    <w:left w:w="57" w:type="dxa"/>
                    <w:bottom w:w="57" w:type="dxa"/>
                    <w:right w:w="57" w:type="dxa"/>
                  </w:tcMar>
                </w:tcPr>
                <w:p w14:paraId="16B7CBA8" w14:textId="77777777" w:rsidR="007918DE" w:rsidRPr="004E4548" w:rsidRDefault="007918DE" w:rsidP="00A92E4E">
                  <w:pPr>
                    <w:pStyle w:val="TableHeading"/>
                    <w:keepNext/>
                    <w:keepLines/>
                    <w:rPr>
                      <w:rFonts w:ascii="Arial" w:hAnsi="Arial" w:cs="Arial"/>
                      <w:color w:val="FFFFFF" w:themeColor="background1"/>
                    </w:rPr>
                  </w:pPr>
                  <w:r w:rsidRPr="004E4548">
                    <w:rPr>
                      <w:rFonts w:ascii="Arial" w:hAnsi="Arial" w:cs="Arial"/>
                      <w:color w:val="FFFFFF" w:themeColor="background1"/>
                    </w:rPr>
                    <w:t>Purpose of variation</w:t>
                  </w:r>
                </w:p>
              </w:tc>
            </w:tr>
            <w:tr w:rsidR="001E2783" w:rsidRPr="001E2783" w14:paraId="1D2CCA6F" w14:textId="77777777" w:rsidTr="00CF691B">
              <w:trPr>
                <w:cantSplit/>
              </w:trPr>
              <w:tc>
                <w:tcPr>
                  <w:tcW w:w="1811" w:type="dxa"/>
                  <w:tcMar>
                    <w:top w:w="57" w:type="dxa"/>
                    <w:left w:w="57" w:type="dxa"/>
                    <w:bottom w:w="57" w:type="dxa"/>
                    <w:right w:w="57" w:type="dxa"/>
                  </w:tcMar>
                </w:tcPr>
                <w:p w14:paraId="16EDA642" w14:textId="77777777" w:rsidR="007918DE" w:rsidRPr="001E2783" w:rsidRDefault="007918DE" w:rsidP="00A92E4E">
                  <w:pPr>
                    <w:pStyle w:val="TableTextLeft"/>
                    <w:keepNext/>
                    <w:keepLines/>
                    <w:rPr>
                      <w:rFonts w:cs="Arial"/>
                      <w:sz w:val="20"/>
                    </w:rPr>
                  </w:pPr>
                  <w:r w:rsidRPr="001E2783">
                    <w:rPr>
                      <w:rFonts w:cs="Arial"/>
                      <w:sz w:val="20"/>
                    </w:rPr>
                    <w:t>Darwin Radio—</w:t>
                  </w:r>
                  <w:r w:rsidRPr="001E2783">
                    <w:rPr>
                      <w:rFonts w:cs="Arial"/>
                      <w:sz w:val="20"/>
                    </w:rPr>
                    <w:br/>
                    <w:t>January 2014</w:t>
                  </w:r>
                </w:p>
              </w:tc>
              <w:tc>
                <w:tcPr>
                  <w:tcW w:w="7654" w:type="dxa"/>
                  <w:tcMar>
                    <w:top w:w="57" w:type="dxa"/>
                    <w:left w:w="57" w:type="dxa"/>
                    <w:bottom w:w="57" w:type="dxa"/>
                    <w:right w:w="57" w:type="dxa"/>
                  </w:tcMar>
                </w:tcPr>
                <w:p w14:paraId="360FF4BD" w14:textId="77777777" w:rsidR="007918DE" w:rsidRPr="001E2783" w:rsidRDefault="007918DE" w:rsidP="00A92E4E">
                  <w:pPr>
                    <w:pStyle w:val="TableTextLeft"/>
                    <w:keepNext/>
                    <w:keepLines/>
                    <w:rPr>
                      <w:rFonts w:cs="Arial"/>
                      <w:sz w:val="20"/>
                    </w:rPr>
                  </w:pPr>
                  <w:r w:rsidRPr="001E2783">
                    <w:rPr>
                      <w:rFonts w:cs="Arial"/>
                      <w:sz w:val="20"/>
                    </w:rPr>
                    <w:t>To confirm the current operation of 8PNN Darwin, 8PNN Katherine</w:t>
                  </w:r>
                  <w:r w:rsidR="00B7234B" w:rsidRPr="001E2783">
                    <w:rPr>
                      <w:rFonts w:cs="Arial"/>
                      <w:sz w:val="20"/>
                    </w:rPr>
                    <w:t>,</w:t>
                  </w:r>
                  <w:r w:rsidRPr="001E2783">
                    <w:rPr>
                      <w:rFonts w:cs="Arial"/>
                      <w:sz w:val="20"/>
                    </w:rPr>
                    <w:t xml:space="preserve"> and </w:t>
                  </w:r>
                  <w:r w:rsidR="00931A52" w:rsidRPr="001E2783">
                    <w:rPr>
                      <w:rFonts w:cs="Arial"/>
                      <w:sz w:val="20"/>
                    </w:rPr>
                    <w:t>8HOT and 8MIX at Adelaide River;</w:t>
                  </w:r>
                  <w:r w:rsidRPr="001E2783">
                    <w:rPr>
                      <w:rFonts w:cs="Arial"/>
                      <w:sz w:val="20"/>
                    </w:rPr>
                    <w:t xml:space="preserve"> change the technical specifications for the national radio broadcasting services 8ABCFM, 8DDD, 8JJJ, 8PNN and 8SBSFM, and the commercial radio broadcasting service 8MIX to reflect th</w:t>
                  </w:r>
                  <w:r w:rsidR="00931A52" w:rsidRPr="001E2783">
                    <w:rPr>
                      <w:rFonts w:cs="Arial"/>
                      <w:sz w:val="20"/>
                    </w:rPr>
                    <w:t>eir actual operating conditions;</w:t>
                  </w:r>
                  <w:r w:rsidRPr="001E2783">
                    <w:rPr>
                      <w:rFonts w:cs="Arial"/>
                      <w:sz w:val="20"/>
                    </w:rPr>
                    <w:t xml:space="preserve"> change the technical specifications for the commercial radio broadcasting serv</w:t>
                  </w:r>
                  <w:r w:rsidR="00931A52" w:rsidRPr="001E2783">
                    <w:rPr>
                      <w:rFonts w:cs="Arial"/>
                      <w:sz w:val="20"/>
                    </w:rPr>
                    <w:t>ice 8HOT to match those of 8MIX;</w:t>
                  </w:r>
                  <w:r w:rsidRPr="001E2783">
                    <w:rPr>
                      <w:rFonts w:cs="Arial"/>
                      <w:sz w:val="20"/>
                    </w:rPr>
                    <w:t xml:space="preserve"> modify the transmission site, output radiation pattern and antenna height of the community radio broadca</w:t>
                  </w:r>
                  <w:r w:rsidR="00931A52" w:rsidRPr="001E2783">
                    <w:rPr>
                      <w:rFonts w:cs="Arial"/>
                      <w:sz w:val="20"/>
                    </w:rPr>
                    <w:t>sting services 8GGG, 8KNB, 8TOP and 8KTR;</w:t>
                  </w:r>
                  <w:r w:rsidRPr="001E2783">
                    <w:rPr>
                      <w:rFonts w:cs="Arial"/>
                      <w:sz w:val="20"/>
                    </w:rPr>
                    <w:t xml:space="preserve"> make an FM frequency available for a new community radio service at Darwin</w:t>
                  </w:r>
                  <w:r w:rsidR="00931A52" w:rsidRPr="001E2783">
                    <w:rPr>
                      <w:rFonts w:cs="Arial"/>
                      <w:sz w:val="20"/>
                    </w:rPr>
                    <w:t>;</w:t>
                  </w:r>
                  <w:r w:rsidRPr="001E2783">
                    <w:rPr>
                      <w:rFonts w:cs="Arial"/>
                      <w:sz w:val="20"/>
                    </w:rPr>
                    <w:t xml:space="preserve"> and update the description of the existing commercial and community radio licence areas in the Darwin LAP to 2006 census data.</w:t>
                  </w:r>
                </w:p>
              </w:tc>
            </w:tr>
            <w:tr w:rsidR="001E2783" w:rsidRPr="001E2783" w14:paraId="394BEDAD" w14:textId="77777777" w:rsidTr="00CF691B">
              <w:trPr>
                <w:cantSplit/>
              </w:trPr>
              <w:tc>
                <w:tcPr>
                  <w:tcW w:w="1811" w:type="dxa"/>
                  <w:tcMar>
                    <w:top w:w="57" w:type="dxa"/>
                    <w:left w:w="57" w:type="dxa"/>
                    <w:bottom w:w="57" w:type="dxa"/>
                    <w:right w:w="57" w:type="dxa"/>
                  </w:tcMar>
                </w:tcPr>
                <w:p w14:paraId="5A5EBAA5" w14:textId="77777777" w:rsidR="007918DE" w:rsidRPr="001E2783" w:rsidRDefault="007918DE" w:rsidP="00A92E4E">
                  <w:pPr>
                    <w:pStyle w:val="TableTextLeft"/>
                    <w:keepNext/>
                    <w:keepLines/>
                    <w:rPr>
                      <w:rFonts w:cs="Arial"/>
                      <w:sz w:val="20"/>
                    </w:rPr>
                  </w:pPr>
                  <w:r w:rsidRPr="001E2783">
                    <w:rPr>
                      <w:rFonts w:cs="Arial"/>
                      <w:sz w:val="20"/>
                    </w:rPr>
                    <w:t>Gosford Radio—</w:t>
                  </w:r>
                  <w:r w:rsidRPr="001E2783">
                    <w:rPr>
                      <w:rFonts w:cs="Arial"/>
                      <w:sz w:val="20"/>
                    </w:rPr>
                    <w:br/>
                    <w:t>January 2014</w:t>
                  </w:r>
                </w:p>
              </w:tc>
              <w:tc>
                <w:tcPr>
                  <w:tcW w:w="7654" w:type="dxa"/>
                  <w:tcMar>
                    <w:top w:w="57" w:type="dxa"/>
                    <w:left w:w="57" w:type="dxa"/>
                    <w:bottom w:w="57" w:type="dxa"/>
                    <w:right w:w="57" w:type="dxa"/>
                  </w:tcMar>
                </w:tcPr>
                <w:p w14:paraId="7F2B403A" w14:textId="77777777" w:rsidR="007918DE" w:rsidRPr="001E2783" w:rsidRDefault="007918DE" w:rsidP="00A92E4E">
                  <w:pPr>
                    <w:pStyle w:val="TableTextLeft"/>
                    <w:keepNext/>
                    <w:keepLines/>
                    <w:rPr>
                      <w:rFonts w:cs="Arial"/>
                      <w:sz w:val="20"/>
                    </w:rPr>
                  </w:pPr>
                  <w:r w:rsidRPr="001E2783">
                    <w:rPr>
                      <w:rFonts w:cs="Arial"/>
                      <w:sz w:val="20"/>
                    </w:rPr>
                    <w:t xml:space="preserve">To make available AM frequency 747 kHz with a maximum effective radiated power (ERP) of 500 watts (W) during the day and 200 W at night with an omni-directional antenna pattern </w:t>
                  </w:r>
                  <w:r w:rsidR="00931A52" w:rsidRPr="001E2783">
                    <w:rPr>
                      <w:rFonts w:cs="Arial"/>
                      <w:sz w:val="20"/>
                    </w:rPr>
                    <w:t>available at Gosford for a high-</w:t>
                  </w:r>
                  <w:r w:rsidRPr="001E2783">
                    <w:rPr>
                      <w:rFonts w:cs="Arial"/>
                      <w:sz w:val="20"/>
                    </w:rPr>
                    <w:t>powered open narrowcasting (HPON) broadcasting service</w:t>
                  </w:r>
                  <w:r w:rsidR="00931A52" w:rsidRPr="001E2783">
                    <w:rPr>
                      <w:rFonts w:cs="Arial"/>
                      <w:sz w:val="20"/>
                    </w:rPr>
                    <w:t>;</w:t>
                  </w:r>
                  <w:r w:rsidRPr="001E2783">
                    <w:rPr>
                      <w:rFonts w:cs="Arial"/>
                      <w:sz w:val="20"/>
                    </w:rPr>
                    <w:t xml:space="preserve"> and update the description of the existing commercial and community radio licence areas in the Gosford LAP to 2006 census data.</w:t>
                  </w:r>
                </w:p>
              </w:tc>
            </w:tr>
            <w:tr w:rsidR="001E2783" w:rsidRPr="001E2783" w14:paraId="3DD10220" w14:textId="77777777" w:rsidTr="00CF691B">
              <w:trPr>
                <w:cantSplit/>
              </w:trPr>
              <w:tc>
                <w:tcPr>
                  <w:tcW w:w="1811" w:type="dxa"/>
                  <w:tcMar>
                    <w:top w:w="57" w:type="dxa"/>
                    <w:left w:w="57" w:type="dxa"/>
                    <w:bottom w:w="57" w:type="dxa"/>
                    <w:right w:w="57" w:type="dxa"/>
                  </w:tcMar>
                </w:tcPr>
                <w:p w14:paraId="30E9E263" w14:textId="77777777" w:rsidR="007918DE" w:rsidRPr="001E2783" w:rsidRDefault="007918DE" w:rsidP="00A92E4E">
                  <w:pPr>
                    <w:pStyle w:val="TableTextLeft"/>
                    <w:keepNext/>
                    <w:keepLines/>
                    <w:rPr>
                      <w:rFonts w:cs="Arial"/>
                      <w:sz w:val="20"/>
                    </w:rPr>
                  </w:pPr>
                  <w:r w:rsidRPr="001E2783">
                    <w:rPr>
                      <w:rFonts w:cs="Arial"/>
                      <w:sz w:val="20"/>
                    </w:rPr>
                    <w:t>Lismore Radio—</w:t>
                  </w:r>
                  <w:r w:rsidRPr="001E2783">
                    <w:rPr>
                      <w:rFonts w:cs="Arial"/>
                      <w:sz w:val="20"/>
                    </w:rPr>
                    <w:br/>
                    <w:t>January 2014</w:t>
                  </w:r>
                </w:p>
              </w:tc>
              <w:tc>
                <w:tcPr>
                  <w:tcW w:w="7654" w:type="dxa"/>
                  <w:tcMar>
                    <w:top w:w="57" w:type="dxa"/>
                    <w:left w:w="57" w:type="dxa"/>
                    <w:bottom w:w="57" w:type="dxa"/>
                    <w:right w:w="57" w:type="dxa"/>
                  </w:tcMar>
                </w:tcPr>
                <w:p w14:paraId="179EAFF5" w14:textId="77777777" w:rsidR="007918DE" w:rsidRPr="001E2783" w:rsidRDefault="007918DE" w:rsidP="00A92E4E">
                  <w:pPr>
                    <w:pStyle w:val="TableTextLeft"/>
                    <w:keepNext/>
                    <w:keepLines/>
                    <w:rPr>
                      <w:rFonts w:cs="Arial"/>
                      <w:sz w:val="20"/>
                    </w:rPr>
                  </w:pPr>
                  <w:r w:rsidRPr="001E2783">
                    <w:rPr>
                      <w:rFonts w:cs="Arial"/>
                      <w:sz w:val="20"/>
                    </w:rPr>
                    <w:t>To make available an FM frequency 91.1 MHz with a maximum ERP of 1 kilowatt (kW) with an omni-directional antenna pattern available at Lismore for a HPON broadcasting service</w:t>
                  </w:r>
                  <w:r w:rsidR="00931A52" w:rsidRPr="001E2783">
                    <w:rPr>
                      <w:rFonts w:cs="Arial"/>
                      <w:sz w:val="20"/>
                    </w:rPr>
                    <w:t>;</w:t>
                  </w:r>
                  <w:r w:rsidRPr="001E2783">
                    <w:rPr>
                      <w:rFonts w:cs="Arial"/>
                      <w:sz w:val="20"/>
                    </w:rPr>
                    <w:t xml:space="preserve"> and update the description of the existing commercial and community radio licence areas in the Lismore LAP to 2006 census data.</w:t>
                  </w:r>
                </w:p>
              </w:tc>
            </w:tr>
            <w:tr w:rsidR="001E2783" w:rsidRPr="001E2783" w14:paraId="4E26B393" w14:textId="77777777" w:rsidTr="00CF691B">
              <w:trPr>
                <w:cantSplit/>
              </w:trPr>
              <w:tc>
                <w:tcPr>
                  <w:tcW w:w="1811" w:type="dxa"/>
                  <w:tcMar>
                    <w:top w:w="57" w:type="dxa"/>
                    <w:left w:w="57" w:type="dxa"/>
                    <w:bottom w:w="57" w:type="dxa"/>
                    <w:right w:w="57" w:type="dxa"/>
                  </w:tcMar>
                </w:tcPr>
                <w:p w14:paraId="164B6157" w14:textId="77777777" w:rsidR="007918DE" w:rsidRPr="001E2783" w:rsidRDefault="007918DE" w:rsidP="00A92E4E">
                  <w:pPr>
                    <w:pStyle w:val="TableTextLeft"/>
                    <w:keepNext/>
                    <w:keepLines/>
                    <w:rPr>
                      <w:rFonts w:cs="Arial"/>
                      <w:sz w:val="20"/>
                    </w:rPr>
                  </w:pPr>
                  <w:r w:rsidRPr="001E2783">
                    <w:rPr>
                      <w:rFonts w:cs="Arial"/>
                      <w:sz w:val="20"/>
                    </w:rPr>
                    <w:t>Sydney Radio—</w:t>
                  </w:r>
                  <w:r w:rsidRPr="001E2783">
                    <w:rPr>
                      <w:rFonts w:cs="Arial"/>
                      <w:sz w:val="20"/>
                    </w:rPr>
                    <w:br/>
                    <w:t>December 2013</w:t>
                  </w:r>
                </w:p>
              </w:tc>
              <w:tc>
                <w:tcPr>
                  <w:tcW w:w="7654" w:type="dxa"/>
                  <w:tcMar>
                    <w:top w:w="57" w:type="dxa"/>
                    <w:left w:w="57" w:type="dxa"/>
                    <w:bottom w:w="57" w:type="dxa"/>
                    <w:right w:w="57" w:type="dxa"/>
                  </w:tcMar>
                </w:tcPr>
                <w:p w14:paraId="64E206AB" w14:textId="77777777" w:rsidR="007918DE" w:rsidRPr="001E2783" w:rsidRDefault="007918DE" w:rsidP="00A92E4E">
                  <w:pPr>
                    <w:pStyle w:val="TableTextLeft"/>
                    <w:keepNext/>
                    <w:keepLines/>
                    <w:rPr>
                      <w:rFonts w:cs="Arial"/>
                      <w:sz w:val="20"/>
                    </w:rPr>
                  </w:pPr>
                  <w:r w:rsidRPr="001E2783">
                    <w:rPr>
                      <w:rFonts w:cs="Arial"/>
                      <w:sz w:val="20"/>
                    </w:rPr>
                    <w:t>To change the frequency (from 1476 kHz to 1386 kHz) and modify the radiation pattern of the Penrith HPON radio service currently operating on 1476 kHz</w:t>
                  </w:r>
                  <w:r w:rsidR="00931A52" w:rsidRPr="001E2783">
                    <w:rPr>
                      <w:rFonts w:cs="Arial"/>
                      <w:sz w:val="20"/>
                    </w:rPr>
                    <w:t>;</w:t>
                  </w:r>
                  <w:r w:rsidRPr="001E2783">
                    <w:rPr>
                      <w:rFonts w:cs="Arial"/>
                      <w:sz w:val="20"/>
                    </w:rPr>
                    <w:t xml:space="preserve"> change the frequency to 783 kHz of the planned but unallocated Sydney community radio broadcasting service on 1386 kHz to accommodate the frequency change for the Penrith HPON service</w:t>
                  </w:r>
                  <w:r w:rsidR="00931A52" w:rsidRPr="001E2783">
                    <w:rPr>
                      <w:rFonts w:cs="Arial"/>
                      <w:sz w:val="20"/>
                    </w:rPr>
                    <w:t xml:space="preserve">; and </w:t>
                  </w:r>
                  <w:r w:rsidRPr="001E2783">
                    <w:rPr>
                      <w:rFonts w:cs="Arial"/>
                      <w:sz w:val="20"/>
                    </w:rPr>
                    <w:t>change the polarisation of the Campbelltown commercial radio broadcasting service 2MAC.</w:t>
                  </w:r>
                </w:p>
              </w:tc>
            </w:tr>
          </w:tbl>
          <w:p w14:paraId="3DC3E5FE" w14:textId="77777777" w:rsidR="007918DE" w:rsidRPr="001E2783" w:rsidRDefault="007918DE" w:rsidP="00A92E4E">
            <w:pPr>
              <w:keepNext/>
              <w:keepLines/>
              <w:rPr>
                <w:rFonts w:cs="Arial"/>
              </w:rPr>
            </w:pPr>
          </w:p>
        </w:tc>
      </w:tr>
      <w:tr w:rsidR="007918DE" w:rsidRPr="001E2783" w14:paraId="0899CEBB" w14:textId="77777777" w:rsidTr="007918DE">
        <w:trPr>
          <w:trHeight w:val="88"/>
        </w:trPr>
        <w:tc>
          <w:tcPr>
            <w:tcW w:w="9645" w:type="dxa"/>
            <w:tcBorders>
              <w:bottom w:val="single" w:sz="2" w:space="0" w:color="505050"/>
            </w:tcBorders>
            <w:shd w:val="clear" w:color="auto" w:fill="auto"/>
          </w:tcPr>
          <w:p w14:paraId="071D42D6" w14:textId="77777777" w:rsidR="007918DE" w:rsidRPr="001E2783" w:rsidRDefault="007918DE" w:rsidP="00A92E4E">
            <w:pPr>
              <w:keepNext/>
              <w:keepLines/>
              <w:ind w:left="720"/>
              <w:rPr>
                <w:rFonts w:cs="Arial"/>
              </w:rPr>
            </w:pPr>
          </w:p>
        </w:tc>
      </w:tr>
    </w:tbl>
    <w:p w14:paraId="0F9C9E40" w14:textId="77777777" w:rsidR="007918DE" w:rsidRPr="001E2783" w:rsidRDefault="007918DE" w:rsidP="007918DE">
      <w:pPr>
        <w:rPr>
          <w:rFonts w:cs="Arial"/>
        </w:rPr>
      </w:pPr>
    </w:p>
    <w:p w14:paraId="066FA737" w14:textId="77777777" w:rsidR="00CC119D" w:rsidRPr="001E2783" w:rsidRDefault="00CC119D" w:rsidP="00CC119D">
      <w:pPr>
        <w:pStyle w:val="Heading3"/>
      </w:pPr>
      <w:bookmarkStart w:id="109" w:name="_Toc297218453"/>
      <w:bookmarkStart w:id="110" w:name="_Toc337727560"/>
      <w:bookmarkStart w:id="111" w:name="_Toc400018524"/>
      <w:r w:rsidRPr="001E2783">
        <w:t>Broadcasting licensing</w:t>
      </w:r>
      <w:bookmarkEnd w:id="109"/>
      <w:bookmarkEnd w:id="110"/>
      <w:bookmarkEnd w:id="111"/>
    </w:p>
    <w:p w14:paraId="046E91AC" w14:textId="77777777" w:rsidR="00D12CA5" w:rsidRPr="001E2783" w:rsidRDefault="007918DE" w:rsidP="00D12CA5">
      <w:pPr>
        <w:spacing w:after="80"/>
        <w:rPr>
          <w:rFonts w:cs="Arial"/>
        </w:rPr>
      </w:pPr>
      <w:r w:rsidRPr="001E2783">
        <w:rPr>
          <w:rFonts w:cs="Arial"/>
        </w:rPr>
        <w:t>In 2013–14</w:t>
      </w:r>
      <w:r w:rsidR="00D12CA5" w:rsidRPr="001E2783">
        <w:rPr>
          <w:rFonts w:cs="Arial"/>
        </w:rPr>
        <w:t>, the ACMA:</w:t>
      </w:r>
    </w:p>
    <w:p w14:paraId="20D718CD" w14:textId="77777777" w:rsidR="00D12CA5" w:rsidRPr="001E2783" w:rsidRDefault="00075899" w:rsidP="00D12CA5">
      <w:pPr>
        <w:pStyle w:val="ListBullet"/>
        <w:tabs>
          <w:tab w:val="clear" w:pos="295"/>
          <w:tab w:val="num" w:pos="437"/>
        </w:tabs>
        <w:ind w:left="284"/>
        <w:rPr>
          <w:rFonts w:cs="Arial"/>
        </w:rPr>
      </w:pPr>
      <w:r w:rsidRPr="001E2783">
        <w:rPr>
          <w:rFonts w:cs="Arial"/>
        </w:rPr>
        <w:t>i</w:t>
      </w:r>
      <w:r w:rsidR="00D12CA5" w:rsidRPr="001E2783">
        <w:rPr>
          <w:rFonts w:cs="Arial"/>
        </w:rPr>
        <w:t xml:space="preserve">ssued </w:t>
      </w:r>
      <w:r w:rsidR="00385D2F" w:rsidRPr="001E2783">
        <w:rPr>
          <w:rFonts w:cs="Arial"/>
        </w:rPr>
        <w:t>221</w:t>
      </w:r>
      <w:r w:rsidR="00D12CA5" w:rsidRPr="001E2783">
        <w:rPr>
          <w:rFonts w:cs="Arial"/>
        </w:rPr>
        <w:t xml:space="preserve"> transmitter licences for national radio and television services</w:t>
      </w:r>
    </w:p>
    <w:p w14:paraId="76DF357B" w14:textId="77777777" w:rsidR="00385D2F" w:rsidRPr="001E2783" w:rsidRDefault="00385D2F" w:rsidP="00D12CA5">
      <w:pPr>
        <w:pStyle w:val="ListBullet"/>
        <w:tabs>
          <w:tab w:val="clear" w:pos="295"/>
          <w:tab w:val="num" w:pos="437"/>
        </w:tabs>
        <w:ind w:left="284"/>
        <w:rPr>
          <w:rFonts w:cs="Arial"/>
        </w:rPr>
      </w:pPr>
      <w:r w:rsidRPr="001E2783">
        <w:rPr>
          <w:rFonts w:cs="Arial"/>
        </w:rPr>
        <w:t>issued 250 transmitter licences for commercial radio and television services</w:t>
      </w:r>
    </w:p>
    <w:p w14:paraId="6C1394AF" w14:textId="77777777" w:rsidR="00D12CA5" w:rsidRPr="001E2783" w:rsidRDefault="00D12CA5" w:rsidP="00D12CA5">
      <w:pPr>
        <w:pStyle w:val="ListBullet"/>
        <w:tabs>
          <w:tab w:val="clear" w:pos="295"/>
          <w:tab w:val="num" w:pos="437"/>
        </w:tabs>
        <w:ind w:left="284"/>
        <w:rPr>
          <w:rFonts w:cs="Arial"/>
        </w:rPr>
      </w:pPr>
      <w:r w:rsidRPr="001E2783">
        <w:rPr>
          <w:rFonts w:cs="Arial"/>
        </w:rPr>
        <w:t xml:space="preserve">issued </w:t>
      </w:r>
      <w:r w:rsidR="00385D2F" w:rsidRPr="001E2783">
        <w:rPr>
          <w:rFonts w:cs="Arial"/>
        </w:rPr>
        <w:t>147</w:t>
      </w:r>
      <w:r w:rsidR="007918DE" w:rsidRPr="001E2783">
        <w:rPr>
          <w:rFonts w:cs="Arial"/>
        </w:rPr>
        <w:t xml:space="preserve"> </w:t>
      </w:r>
      <w:r w:rsidRPr="001E2783">
        <w:rPr>
          <w:rFonts w:cs="Arial"/>
        </w:rPr>
        <w:t>broadcasting retransmission licences</w:t>
      </w:r>
    </w:p>
    <w:p w14:paraId="463BF815" w14:textId="77777777" w:rsidR="00D12CA5" w:rsidRPr="001E2783" w:rsidRDefault="00D12CA5" w:rsidP="00D12CA5">
      <w:pPr>
        <w:pStyle w:val="ListBullet"/>
        <w:tabs>
          <w:tab w:val="clear" w:pos="295"/>
          <w:tab w:val="num" w:pos="437"/>
        </w:tabs>
        <w:ind w:left="284"/>
        <w:rPr>
          <w:rFonts w:cs="Arial"/>
        </w:rPr>
      </w:pPr>
      <w:r w:rsidRPr="001E2783">
        <w:rPr>
          <w:rFonts w:cs="Arial"/>
        </w:rPr>
        <w:t xml:space="preserve">varied </w:t>
      </w:r>
      <w:r w:rsidR="00385D2F" w:rsidRPr="001E2783">
        <w:rPr>
          <w:rFonts w:cs="Arial"/>
        </w:rPr>
        <w:t>48</w:t>
      </w:r>
      <w:r w:rsidR="007918DE" w:rsidRPr="001E2783">
        <w:rPr>
          <w:rFonts w:cs="Arial"/>
        </w:rPr>
        <w:t xml:space="preserve"> </w:t>
      </w:r>
      <w:r w:rsidRPr="001E2783">
        <w:rPr>
          <w:rFonts w:cs="Arial"/>
        </w:rPr>
        <w:t>radio and television apparatus licences</w:t>
      </w:r>
    </w:p>
    <w:p w14:paraId="05A916DF" w14:textId="77777777" w:rsidR="00D12CA5" w:rsidRPr="001E2783" w:rsidRDefault="00D12CA5" w:rsidP="00D12CA5">
      <w:pPr>
        <w:pStyle w:val="ListBullet"/>
        <w:tabs>
          <w:tab w:val="clear" w:pos="295"/>
          <w:tab w:val="num" w:pos="437"/>
        </w:tabs>
        <w:spacing w:after="240"/>
        <w:ind w:left="284"/>
        <w:rPr>
          <w:rFonts w:cs="Arial"/>
        </w:rPr>
      </w:pPr>
      <w:r w:rsidRPr="001E2783">
        <w:rPr>
          <w:rFonts w:cs="Arial"/>
        </w:rPr>
        <w:t xml:space="preserve">issued </w:t>
      </w:r>
      <w:r w:rsidR="00385D2F" w:rsidRPr="001E2783">
        <w:rPr>
          <w:rFonts w:cs="Arial"/>
        </w:rPr>
        <w:t>94</w:t>
      </w:r>
      <w:r w:rsidR="007918DE" w:rsidRPr="001E2783">
        <w:rPr>
          <w:rFonts w:cs="Arial"/>
        </w:rPr>
        <w:t xml:space="preserve"> </w:t>
      </w:r>
      <w:r w:rsidRPr="001E2783">
        <w:rPr>
          <w:rFonts w:cs="Arial"/>
        </w:rPr>
        <w:t>special event broadcasting licences for radio and television services.</w:t>
      </w:r>
    </w:p>
    <w:p w14:paraId="42DF294D" w14:textId="77777777" w:rsidR="000317E9" w:rsidRPr="001E2783" w:rsidRDefault="000317E9" w:rsidP="000317E9">
      <w:pPr>
        <w:pStyle w:val="BodysubheaderH4"/>
        <w:rPr>
          <w:rFonts w:cs="Arial"/>
        </w:rPr>
      </w:pPr>
      <w:r w:rsidRPr="001E2783">
        <w:rPr>
          <w:rFonts w:cs="Arial"/>
        </w:rPr>
        <w:t>Temporary community broadcasting licences</w:t>
      </w:r>
    </w:p>
    <w:p w14:paraId="064042F9" w14:textId="77777777" w:rsidR="00BD4A97" w:rsidRPr="001E2783" w:rsidRDefault="00BD4A97" w:rsidP="00BD4A97">
      <w:pPr>
        <w:rPr>
          <w:rFonts w:cs="Arial"/>
        </w:rPr>
      </w:pPr>
      <w:r w:rsidRPr="001E2783">
        <w:rPr>
          <w:rFonts w:cs="Arial"/>
        </w:rPr>
        <w:t xml:space="preserve">Temporary community broadcasting licences are allocated for a maximum 12-month licence period. During the reporting period, the ACMA allocated </w:t>
      </w:r>
      <w:r w:rsidR="009248F7" w:rsidRPr="001E2783">
        <w:rPr>
          <w:rFonts w:cs="Arial"/>
        </w:rPr>
        <w:t>86</w:t>
      </w:r>
      <w:r w:rsidRPr="001E2783">
        <w:rPr>
          <w:rFonts w:cs="Arial"/>
        </w:rPr>
        <w:t xml:space="preserve"> temporary licences.</w:t>
      </w:r>
      <w:r w:rsidR="00E92E97" w:rsidRPr="001E2783">
        <w:rPr>
          <w:rFonts w:cs="Arial"/>
        </w:rPr>
        <w:t xml:space="preserve"> As at 30 </w:t>
      </w:r>
      <w:r w:rsidRPr="001E2783">
        <w:rPr>
          <w:rFonts w:cs="Arial"/>
        </w:rPr>
        <w:t xml:space="preserve">June 2014, there were </w:t>
      </w:r>
      <w:r w:rsidR="009248F7" w:rsidRPr="001E2783">
        <w:rPr>
          <w:rFonts w:cs="Arial"/>
        </w:rPr>
        <w:t>85</w:t>
      </w:r>
      <w:r w:rsidRPr="001E2783">
        <w:rPr>
          <w:rFonts w:cs="Arial"/>
        </w:rPr>
        <w:t xml:space="preserve"> temporary licences—</w:t>
      </w:r>
      <w:r w:rsidR="009248F7" w:rsidRPr="001E2783">
        <w:rPr>
          <w:rFonts w:cs="Arial"/>
        </w:rPr>
        <w:t>one</w:t>
      </w:r>
      <w:r w:rsidRPr="001E2783">
        <w:rPr>
          <w:rFonts w:cs="Arial"/>
        </w:rPr>
        <w:t xml:space="preserve"> licence allocated in th</w:t>
      </w:r>
      <w:r w:rsidR="009248F7" w:rsidRPr="001E2783">
        <w:rPr>
          <w:rFonts w:cs="Arial"/>
        </w:rPr>
        <w:t>e previous reporting period was</w:t>
      </w:r>
      <w:r w:rsidRPr="001E2783">
        <w:rPr>
          <w:rFonts w:cs="Arial"/>
        </w:rPr>
        <w:t xml:space="preserve"> still operating. </w:t>
      </w:r>
    </w:p>
    <w:p w14:paraId="6A55EF52" w14:textId="77777777" w:rsidR="000317E9" w:rsidRPr="001E2783" w:rsidRDefault="000317E9" w:rsidP="000317E9">
      <w:pPr>
        <w:rPr>
          <w:rFonts w:cs="Arial"/>
        </w:rPr>
      </w:pPr>
    </w:p>
    <w:p w14:paraId="7DCB04B6" w14:textId="77777777" w:rsidR="000317E9" w:rsidRPr="001E2783" w:rsidRDefault="000317E9" w:rsidP="000317E9">
      <w:pPr>
        <w:pStyle w:val="BodysubheaderH4"/>
        <w:rPr>
          <w:rFonts w:cs="Arial"/>
        </w:rPr>
      </w:pPr>
      <w:r w:rsidRPr="001E2783">
        <w:rPr>
          <w:rFonts w:cs="Arial"/>
        </w:rPr>
        <w:t>Community radio broadcasting licences</w:t>
      </w:r>
    </w:p>
    <w:p w14:paraId="7080B7D8" w14:textId="77777777" w:rsidR="00BD4A97" w:rsidRPr="001E2783" w:rsidRDefault="00BD4A97" w:rsidP="00BD4A97">
      <w:pPr>
        <w:keepNext/>
        <w:spacing w:after="80"/>
        <w:rPr>
          <w:rFonts w:cs="Arial"/>
        </w:rPr>
      </w:pPr>
      <w:r w:rsidRPr="001E2783">
        <w:rPr>
          <w:rFonts w:cs="Arial"/>
        </w:rPr>
        <w:t>During the reporting period, the ACMA:</w:t>
      </w:r>
    </w:p>
    <w:p w14:paraId="1519D1E2" w14:textId="77777777" w:rsidR="00BD4A97" w:rsidRPr="001E2783" w:rsidRDefault="00BD4A97" w:rsidP="00BD4A97">
      <w:pPr>
        <w:pStyle w:val="ListBullet"/>
        <w:tabs>
          <w:tab w:val="clear" w:pos="295"/>
        </w:tabs>
        <w:ind w:left="284"/>
        <w:rPr>
          <w:rFonts w:cs="Arial"/>
        </w:rPr>
      </w:pPr>
      <w:r w:rsidRPr="001E2783">
        <w:rPr>
          <w:rFonts w:cs="Arial"/>
        </w:rPr>
        <w:t xml:space="preserve">allocated </w:t>
      </w:r>
      <w:r w:rsidR="009248F7" w:rsidRPr="001E2783">
        <w:rPr>
          <w:rFonts w:cs="Arial"/>
        </w:rPr>
        <w:t xml:space="preserve">six </w:t>
      </w:r>
      <w:r w:rsidRPr="001E2783">
        <w:rPr>
          <w:rFonts w:cs="Arial"/>
        </w:rPr>
        <w:t>community radio broadcasting licences for Wilcannia and Young (New South Wales), Gin Gin (Queensland), Wodonga (Victoria), Augusta and Kalgoorlie (Western Australia)</w:t>
      </w:r>
    </w:p>
    <w:p w14:paraId="1A957AAF" w14:textId="77777777" w:rsidR="00BD4A97" w:rsidRPr="001E2783" w:rsidRDefault="00BD4A97" w:rsidP="00BD4A97">
      <w:pPr>
        <w:pStyle w:val="ListBullet"/>
        <w:tabs>
          <w:tab w:val="clear" w:pos="295"/>
        </w:tabs>
        <w:ind w:left="284"/>
        <w:rPr>
          <w:rFonts w:cs="Arial"/>
        </w:rPr>
      </w:pPr>
      <w:r w:rsidRPr="001E2783">
        <w:rPr>
          <w:rFonts w:cs="Arial"/>
        </w:rPr>
        <w:t>decided not to allocate the community radio broadcasting licences for Tiaro and Bundaberg (Queensland)</w:t>
      </w:r>
    </w:p>
    <w:p w14:paraId="73904C29" w14:textId="77777777" w:rsidR="00BD4A97" w:rsidRPr="001E2783" w:rsidDel="001120B9" w:rsidRDefault="00BD4A97" w:rsidP="00BD4A97">
      <w:pPr>
        <w:pStyle w:val="ListBullet"/>
        <w:tabs>
          <w:tab w:val="clear" w:pos="295"/>
        </w:tabs>
        <w:spacing w:after="240"/>
        <w:ind w:left="284"/>
        <w:rPr>
          <w:rFonts w:cs="Arial"/>
        </w:rPr>
      </w:pPr>
      <w:r w:rsidRPr="001E2783" w:rsidDel="001120B9">
        <w:rPr>
          <w:rFonts w:cs="Arial"/>
        </w:rPr>
        <w:t xml:space="preserve">renewed </w:t>
      </w:r>
      <w:r w:rsidR="009248F7" w:rsidRPr="001E2783">
        <w:rPr>
          <w:rFonts w:cs="Arial"/>
        </w:rPr>
        <w:t>36</w:t>
      </w:r>
      <w:r w:rsidRPr="001E2783" w:rsidDel="001120B9">
        <w:rPr>
          <w:rFonts w:cs="Arial"/>
        </w:rPr>
        <w:t xml:space="preserve"> community</w:t>
      </w:r>
      <w:r w:rsidRPr="001E2783">
        <w:rPr>
          <w:rFonts w:cs="Arial"/>
        </w:rPr>
        <w:t xml:space="preserve"> radio</w:t>
      </w:r>
      <w:r w:rsidRPr="001E2783" w:rsidDel="001120B9">
        <w:rPr>
          <w:rFonts w:cs="Arial"/>
        </w:rPr>
        <w:t xml:space="preserve"> broadcasting licences, of which </w:t>
      </w:r>
      <w:r w:rsidR="009248F7" w:rsidRPr="001E2783">
        <w:rPr>
          <w:rFonts w:cs="Arial"/>
        </w:rPr>
        <w:t>three</w:t>
      </w:r>
      <w:r w:rsidRPr="001E2783" w:rsidDel="001120B9">
        <w:rPr>
          <w:rFonts w:cs="Arial"/>
        </w:rPr>
        <w:t xml:space="preserve"> were remote Indigenous broadcasting services.</w:t>
      </w:r>
    </w:p>
    <w:p w14:paraId="01C6B0C4" w14:textId="77777777" w:rsidR="00BD4A97" w:rsidRPr="001E2783" w:rsidRDefault="00BD4A97" w:rsidP="00BD4A97">
      <w:pPr>
        <w:rPr>
          <w:rFonts w:cs="Arial"/>
        </w:rPr>
      </w:pPr>
      <w:r w:rsidRPr="001E2783">
        <w:rPr>
          <w:rFonts w:cs="Arial"/>
        </w:rPr>
        <w:t xml:space="preserve">Consideration of </w:t>
      </w:r>
      <w:r w:rsidR="009248F7" w:rsidRPr="001E2783">
        <w:rPr>
          <w:rFonts w:cs="Arial"/>
        </w:rPr>
        <w:t>two applications</w:t>
      </w:r>
      <w:r w:rsidRPr="001E2783">
        <w:rPr>
          <w:rFonts w:cs="Arial"/>
        </w:rPr>
        <w:t xml:space="preserve"> for community radio broadcasting licence</w:t>
      </w:r>
      <w:r w:rsidR="009248F7" w:rsidRPr="001E2783">
        <w:rPr>
          <w:rFonts w:cs="Arial"/>
        </w:rPr>
        <w:t>s</w:t>
      </w:r>
      <w:r w:rsidRPr="001E2783">
        <w:rPr>
          <w:rFonts w:cs="Arial"/>
        </w:rPr>
        <w:t xml:space="preserve"> in </w:t>
      </w:r>
      <w:r w:rsidR="009248F7" w:rsidRPr="001E2783">
        <w:rPr>
          <w:rFonts w:cs="Arial"/>
        </w:rPr>
        <w:t xml:space="preserve">Coffs Harbour (New South Wales) and </w:t>
      </w:r>
      <w:r w:rsidRPr="001E2783">
        <w:rPr>
          <w:rFonts w:cs="Arial"/>
        </w:rPr>
        <w:t>Geraldton (Western Australia) was ongoing at the end of the reporting period.</w:t>
      </w:r>
    </w:p>
    <w:p w14:paraId="3E780A06" w14:textId="77777777" w:rsidR="00BD4A97" w:rsidRPr="001E2783" w:rsidRDefault="00BD4A97" w:rsidP="00BD4A97">
      <w:pPr>
        <w:rPr>
          <w:rFonts w:cs="Arial"/>
        </w:rPr>
      </w:pPr>
    </w:p>
    <w:p w14:paraId="1E255237" w14:textId="77777777" w:rsidR="00BD4A97" w:rsidRPr="001E2783" w:rsidRDefault="00BD4A97" w:rsidP="00BD4A97">
      <w:pPr>
        <w:rPr>
          <w:rFonts w:cs="Arial"/>
        </w:rPr>
      </w:pPr>
      <w:r w:rsidRPr="001E2783">
        <w:rPr>
          <w:rFonts w:cs="Arial"/>
        </w:rPr>
        <w:t xml:space="preserve">There were </w:t>
      </w:r>
      <w:r w:rsidR="009248F7" w:rsidRPr="001E2783">
        <w:rPr>
          <w:rFonts w:cs="Arial"/>
        </w:rPr>
        <w:t>358</w:t>
      </w:r>
      <w:r w:rsidRPr="001E2783">
        <w:rPr>
          <w:rFonts w:cs="Arial"/>
        </w:rPr>
        <w:t xml:space="preserve"> community ra</w:t>
      </w:r>
      <w:r w:rsidR="00E92E97" w:rsidRPr="001E2783">
        <w:rPr>
          <w:rFonts w:cs="Arial"/>
        </w:rPr>
        <w:t>dio broadcasting licences at 30 </w:t>
      </w:r>
      <w:r w:rsidRPr="001E2783">
        <w:rPr>
          <w:rFonts w:cs="Arial"/>
        </w:rPr>
        <w:t>June 2014, of which 72 were remote Indigenous broadcasting services.</w:t>
      </w:r>
    </w:p>
    <w:p w14:paraId="18CFBDC8" w14:textId="77777777" w:rsidR="00790C4F" w:rsidRPr="001E2783" w:rsidRDefault="00790C4F" w:rsidP="00790C4F">
      <w:pPr>
        <w:rPr>
          <w:rFonts w:cs="Arial"/>
        </w:rPr>
      </w:pPr>
    </w:p>
    <w:p w14:paraId="74B0652A" w14:textId="77777777" w:rsidR="00CC119D" w:rsidRPr="001E2783" w:rsidRDefault="00CC119D" w:rsidP="00CC119D">
      <w:pPr>
        <w:pStyle w:val="BodysubheaderH4"/>
        <w:rPr>
          <w:rFonts w:cs="Arial"/>
        </w:rPr>
      </w:pPr>
      <w:r w:rsidRPr="001E2783">
        <w:rPr>
          <w:rFonts w:cs="Arial"/>
        </w:rPr>
        <w:t>Commercial radio broadcasting licences</w:t>
      </w:r>
    </w:p>
    <w:p w14:paraId="2E25EF59" w14:textId="77777777" w:rsidR="00930977" w:rsidRPr="001E2783" w:rsidRDefault="007918DE" w:rsidP="00930977">
      <w:pPr>
        <w:rPr>
          <w:rFonts w:cs="Arial"/>
        </w:rPr>
      </w:pPr>
      <w:r w:rsidRPr="001E2783">
        <w:rPr>
          <w:rFonts w:cs="Arial"/>
        </w:rPr>
        <w:t>During 2013–14</w:t>
      </w:r>
      <w:r w:rsidR="00930977" w:rsidRPr="001E2783">
        <w:rPr>
          <w:rFonts w:cs="Arial"/>
        </w:rPr>
        <w:t xml:space="preserve">, the ACMA renewed </w:t>
      </w:r>
      <w:r w:rsidR="00385D2F" w:rsidRPr="001E2783">
        <w:rPr>
          <w:rFonts w:cs="Arial"/>
        </w:rPr>
        <w:t>38</w:t>
      </w:r>
      <w:r w:rsidRPr="001E2783">
        <w:rPr>
          <w:rFonts w:cs="Arial"/>
        </w:rPr>
        <w:t xml:space="preserve"> </w:t>
      </w:r>
      <w:r w:rsidR="00930977" w:rsidRPr="001E2783">
        <w:rPr>
          <w:rFonts w:cs="Arial"/>
        </w:rPr>
        <w:t xml:space="preserve">commercial radio broadcasting licences for services using the </w:t>
      </w:r>
      <w:r w:rsidR="00931A52" w:rsidRPr="001E2783">
        <w:rPr>
          <w:rFonts w:cs="Arial"/>
        </w:rPr>
        <w:t>broadcasting services bands (</w:t>
      </w:r>
      <w:r w:rsidR="00930977" w:rsidRPr="001E2783">
        <w:rPr>
          <w:rFonts w:cs="Arial"/>
        </w:rPr>
        <w:t>BSB</w:t>
      </w:r>
      <w:r w:rsidR="00931A52" w:rsidRPr="001E2783">
        <w:rPr>
          <w:rFonts w:cs="Arial"/>
        </w:rPr>
        <w:t>)</w:t>
      </w:r>
      <w:r w:rsidR="00930977" w:rsidRPr="001E2783">
        <w:rPr>
          <w:rFonts w:cs="Arial"/>
        </w:rPr>
        <w:t>. No new commercial radio broadcasting licences were allocated for services using the BSB during the reporting period.</w:t>
      </w:r>
    </w:p>
    <w:p w14:paraId="005C032D" w14:textId="77777777" w:rsidR="007918DE" w:rsidRPr="001E2783" w:rsidRDefault="007918DE" w:rsidP="00930977">
      <w:pPr>
        <w:rPr>
          <w:rFonts w:cs="Arial"/>
        </w:rPr>
      </w:pPr>
    </w:p>
    <w:p w14:paraId="64F280A7" w14:textId="77777777" w:rsidR="00930977" w:rsidRPr="001E2783" w:rsidRDefault="00E92E97" w:rsidP="00930977">
      <w:pPr>
        <w:rPr>
          <w:rFonts w:cs="Arial"/>
        </w:rPr>
      </w:pPr>
      <w:r w:rsidRPr="001E2783">
        <w:rPr>
          <w:rFonts w:cs="Arial"/>
        </w:rPr>
        <w:t>As at 30 </w:t>
      </w:r>
      <w:r w:rsidR="007918DE" w:rsidRPr="001E2783">
        <w:rPr>
          <w:rFonts w:cs="Arial"/>
        </w:rPr>
        <w:t>June 2014</w:t>
      </w:r>
      <w:r w:rsidR="00930977" w:rsidRPr="001E2783">
        <w:rPr>
          <w:rFonts w:cs="Arial"/>
        </w:rPr>
        <w:t xml:space="preserve">, there were </w:t>
      </w:r>
      <w:r w:rsidR="00385D2F" w:rsidRPr="001E2783">
        <w:rPr>
          <w:rFonts w:cs="Arial"/>
        </w:rPr>
        <w:t>273</w:t>
      </w:r>
      <w:r w:rsidR="007918DE" w:rsidRPr="001E2783">
        <w:rPr>
          <w:rFonts w:cs="Arial"/>
        </w:rPr>
        <w:t xml:space="preserve"> </w:t>
      </w:r>
      <w:r w:rsidR="00930977" w:rsidRPr="001E2783">
        <w:rPr>
          <w:rFonts w:cs="Arial"/>
        </w:rPr>
        <w:t>commercial radio broadcasting licences.</w:t>
      </w:r>
    </w:p>
    <w:p w14:paraId="463E866C" w14:textId="77777777" w:rsidR="00CC119D" w:rsidRPr="001E2783" w:rsidRDefault="00CC119D" w:rsidP="00CC119D">
      <w:pPr>
        <w:pStyle w:val="BodysubheaderH4"/>
        <w:rPr>
          <w:rFonts w:cs="Arial"/>
        </w:rPr>
      </w:pPr>
    </w:p>
    <w:p w14:paraId="67B7B9D8" w14:textId="77777777" w:rsidR="00CC119D" w:rsidRPr="001E2783" w:rsidRDefault="00CC119D" w:rsidP="00CC119D">
      <w:pPr>
        <w:pStyle w:val="BodysubheaderH4"/>
        <w:rPr>
          <w:rFonts w:cs="Arial"/>
        </w:rPr>
      </w:pPr>
      <w:r w:rsidRPr="001E2783">
        <w:rPr>
          <w:rFonts w:cs="Arial"/>
        </w:rPr>
        <w:t>Commercial television</w:t>
      </w:r>
    </w:p>
    <w:p w14:paraId="0E6180CB" w14:textId="77777777" w:rsidR="00930977" w:rsidRPr="001E2783" w:rsidRDefault="00930977" w:rsidP="00930977">
      <w:pPr>
        <w:rPr>
          <w:rFonts w:cs="Arial"/>
        </w:rPr>
      </w:pPr>
      <w:r w:rsidRPr="001E2783">
        <w:rPr>
          <w:rFonts w:cs="Arial"/>
        </w:rPr>
        <w:t>As at 3</w:t>
      </w:r>
      <w:r w:rsidR="00E92E97" w:rsidRPr="001E2783">
        <w:rPr>
          <w:rFonts w:cs="Arial"/>
        </w:rPr>
        <w:t>0 </w:t>
      </w:r>
      <w:r w:rsidRPr="001E2783">
        <w:rPr>
          <w:rFonts w:cs="Arial"/>
        </w:rPr>
        <w:t>June 201</w:t>
      </w:r>
      <w:r w:rsidR="00405B78" w:rsidRPr="001E2783">
        <w:rPr>
          <w:rFonts w:cs="Arial"/>
        </w:rPr>
        <w:t>4</w:t>
      </w:r>
      <w:r w:rsidRPr="001E2783">
        <w:rPr>
          <w:rFonts w:cs="Arial"/>
        </w:rPr>
        <w:t xml:space="preserve">, there were </w:t>
      </w:r>
      <w:r w:rsidR="00405B78" w:rsidRPr="001E2783">
        <w:rPr>
          <w:rFonts w:cs="Arial"/>
        </w:rPr>
        <w:t>69</w:t>
      </w:r>
      <w:r w:rsidR="001A50B3" w:rsidRPr="001E2783">
        <w:rPr>
          <w:rFonts w:cs="Arial"/>
        </w:rPr>
        <w:t xml:space="preserve"> </w:t>
      </w:r>
      <w:r w:rsidRPr="001E2783">
        <w:rPr>
          <w:rFonts w:cs="Arial"/>
        </w:rPr>
        <w:t>commercial television broadcasting licences.</w:t>
      </w:r>
    </w:p>
    <w:p w14:paraId="4D969FBF" w14:textId="77777777" w:rsidR="00930977" w:rsidRPr="001E2783" w:rsidRDefault="00930977" w:rsidP="00930977">
      <w:pPr>
        <w:rPr>
          <w:rFonts w:cs="Arial"/>
        </w:rPr>
      </w:pPr>
    </w:p>
    <w:p w14:paraId="267B3E7A" w14:textId="77777777" w:rsidR="00930977" w:rsidRPr="001E2783" w:rsidRDefault="00930977" w:rsidP="00930977">
      <w:pPr>
        <w:rPr>
          <w:rFonts w:cs="Arial"/>
        </w:rPr>
      </w:pPr>
      <w:r w:rsidRPr="001E2783">
        <w:rPr>
          <w:rFonts w:cs="Arial"/>
        </w:rPr>
        <w:t xml:space="preserve">During </w:t>
      </w:r>
      <w:r w:rsidR="00405B78" w:rsidRPr="001E2783">
        <w:rPr>
          <w:rFonts w:cs="Arial"/>
        </w:rPr>
        <w:t>2013–14</w:t>
      </w:r>
      <w:r w:rsidRPr="001E2783">
        <w:rPr>
          <w:rFonts w:cs="Arial"/>
        </w:rPr>
        <w:t>, the ACMA renewed</w:t>
      </w:r>
      <w:r w:rsidR="001A50B3" w:rsidRPr="001E2783">
        <w:rPr>
          <w:rFonts w:cs="Arial"/>
        </w:rPr>
        <w:t xml:space="preserve"> </w:t>
      </w:r>
      <w:r w:rsidR="00405B78" w:rsidRPr="001E2783">
        <w:rPr>
          <w:rFonts w:cs="Arial"/>
        </w:rPr>
        <w:t xml:space="preserve">13 </w:t>
      </w:r>
      <w:r w:rsidRPr="001E2783">
        <w:rPr>
          <w:rFonts w:cs="Arial"/>
        </w:rPr>
        <w:t>commercial television broadcasting licences.</w:t>
      </w:r>
    </w:p>
    <w:p w14:paraId="61188ADC" w14:textId="77777777" w:rsidR="00930977" w:rsidRPr="001E2783" w:rsidRDefault="00930977" w:rsidP="00930977">
      <w:pPr>
        <w:rPr>
          <w:rFonts w:cs="Arial"/>
        </w:rPr>
      </w:pPr>
    </w:p>
    <w:p w14:paraId="05941123" w14:textId="77777777" w:rsidR="000317E9" w:rsidRPr="001E2783" w:rsidRDefault="000317E9" w:rsidP="000317E9">
      <w:pPr>
        <w:pStyle w:val="BodysubheaderH4"/>
        <w:rPr>
          <w:rFonts w:cs="Arial"/>
        </w:rPr>
      </w:pPr>
      <w:r w:rsidRPr="001E2783">
        <w:rPr>
          <w:rFonts w:cs="Arial"/>
        </w:rPr>
        <w:t>Community television</w:t>
      </w:r>
    </w:p>
    <w:p w14:paraId="1C621ED2" w14:textId="77777777" w:rsidR="00BD4A97" w:rsidRPr="001E2783" w:rsidRDefault="00BD4A97" w:rsidP="00BD4A97">
      <w:pPr>
        <w:rPr>
          <w:rFonts w:cs="Arial"/>
        </w:rPr>
      </w:pPr>
      <w:r w:rsidRPr="001E2783">
        <w:rPr>
          <w:rFonts w:cs="Arial"/>
        </w:rPr>
        <w:t xml:space="preserve">During the reporting period, the ACMA renewed </w:t>
      </w:r>
      <w:r w:rsidR="009248F7" w:rsidRPr="001E2783">
        <w:rPr>
          <w:rFonts w:cs="Arial"/>
        </w:rPr>
        <w:t>three</w:t>
      </w:r>
      <w:r w:rsidRPr="001E2783">
        <w:rPr>
          <w:rFonts w:cs="Arial"/>
        </w:rPr>
        <w:t xml:space="preserve"> community television broadcasting licences.</w:t>
      </w:r>
    </w:p>
    <w:p w14:paraId="7B450D1E" w14:textId="77777777" w:rsidR="009248F7" w:rsidRPr="001E2783" w:rsidRDefault="009248F7" w:rsidP="00BD4A97">
      <w:pPr>
        <w:rPr>
          <w:rFonts w:cs="Arial"/>
        </w:rPr>
      </w:pPr>
    </w:p>
    <w:p w14:paraId="231525E5" w14:textId="77777777" w:rsidR="009248F7" w:rsidRPr="001E2783" w:rsidRDefault="009248F7" w:rsidP="009248F7">
      <w:pPr>
        <w:rPr>
          <w:rFonts w:cs="Arial"/>
        </w:rPr>
      </w:pPr>
      <w:r w:rsidRPr="001E2783">
        <w:rPr>
          <w:rFonts w:cs="Arial"/>
        </w:rPr>
        <w:t>The licences for three remote Indigenous community television broadcasting licences lapsed because the licensees did not submit an application for renewal.</w:t>
      </w:r>
    </w:p>
    <w:p w14:paraId="7D5B8E8A" w14:textId="77777777" w:rsidR="009248F7" w:rsidRPr="001E2783" w:rsidRDefault="009248F7" w:rsidP="009248F7">
      <w:pPr>
        <w:rPr>
          <w:rFonts w:cs="Arial"/>
        </w:rPr>
      </w:pPr>
    </w:p>
    <w:p w14:paraId="3C7847DB" w14:textId="77777777" w:rsidR="009248F7" w:rsidRPr="001E2783" w:rsidRDefault="009248F7" w:rsidP="009248F7">
      <w:pPr>
        <w:rPr>
          <w:rFonts w:cs="Arial"/>
        </w:rPr>
      </w:pPr>
      <w:r w:rsidRPr="001E2783">
        <w:rPr>
          <w:rFonts w:cs="Arial"/>
        </w:rPr>
        <w:t>During 2013–14, 12 remote Indigenous community television broadcasting licences were surrendered to the ACMA.</w:t>
      </w:r>
    </w:p>
    <w:p w14:paraId="6D6982FC" w14:textId="77777777" w:rsidR="00BD4A97" w:rsidRPr="001E2783" w:rsidRDefault="00BD4A97" w:rsidP="00BD4A97">
      <w:pPr>
        <w:rPr>
          <w:rFonts w:cs="Arial"/>
        </w:rPr>
      </w:pPr>
    </w:p>
    <w:p w14:paraId="03D2E301" w14:textId="77777777" w:rsidR="00BD4A97" w:rsidRPr="001E2783" w:rsidRDefault="00BD4A97" w:rsidP="00BD4A97">
      <w:pPr>
        <w:rPr>
          <w:rFonts w:cs="Arial"/>
        </w:rPr>
      </w:pPr>
      <w:r w:rsidRPr="001E2783">
        <w:rPr>
          <w:rFonts w:cs="Arial"/>
        </w:rPr>
        <w:t xml:space="preserve">There were </w:t>
      </w:r>
      <w:r w:rsidR="009248F7" w:rsidRPr="001E2783">
        <w:rPr>
          <w:rFonts w:cs="Arial"/>
        </w:rPr>
        <w:t>54</w:t>
      </w:r>
      <w:r w:rsidRPr="001E2783">
        <w:rPr>
          <w:rFonts w:cs="Arial"/>
        </w:rPr>
        <w:t xml:space="preserve"> community television broadcasting licences at 30 June 2014, of which </w:t>
      </w:r>
      <w:r w:rsidR="009248F7" w:rsidRPr="001E2783">
        <w:rPr>
          <w:rFonts w:cs="Arial"/>
        </w:rPr>
        <w:t>51</w:t>
      </w:r>
      <w:r w:rsidRPr="001E2783">
        <w:rPr>
          <w:rFonts w:cs="Arial"/>
        </w:rPr>
        <w:t xml:space="preserve"> were remote Indigenous broadcasting services. The other three services were in Brisbane, Melbourne and Sydney.</w:t>
      </w:r>
    </w:p>
    <w:p w14:paraId="4C5B4EBE" w14:textId="77777777" w:rsidR="00BD4A97" w:rsidRPr="001E2783" w:rsidRDefault="00BD4A97" w:rsidP="00BD4A97">
      <w:pPr>
        <w:rPr>
          <w:rFonts w:cs="Arial"/>
        </w:rPr>
      </w:pPr>
    </w:p>
    <w:p w14:paraId="65E89D65" w14:textId="77777777" w:rsidR="00BD4A97" w:rsidRPr="001E2783" w:rsidRDefault="00BD4A97" w:rsidP="00BD4A97">
      <w:pPr>
        <w:pStyle w:val="BodysubheaderH4"/>
        <w:rPr>
          <w:rFonts w:cs="Arial"/>
        </w:rPr>
      </w:pPr>
      <w:r w:rsidRPr="001E2783">
        <w:rPr>
          <w:rFonts w:cs="Arial"/>
        </w:rPr>
        <w:t>Community television trial</w:t>
      </w:r>
    </w:p>
    <w:p w14:paraId="27EB2BBF" w14:textId="77777777" w:rsidR="00BD4A97" w:rsidRPr="001E2783" w:rsidRDefault="00BD4A97" w:rsidP="00BD4A97">
      <w:pPr>
        <w:rPr>
          <w:rFonts w:cs="Arial"/>
        </w:rPr>
      </w:pPr>
      <w:r w:rsidRPr="001E2783">
        <w:rPr>
          <w:rFonts w:cs="Arial"/>
        </w:rPr>
        <w:t>During 2013–14, the ACMA decided to extend community television trials in Adel</w:t>
      </w:r>
      <w:r w:rsidR="00950C24" w:rsidRPr="001E2783">
        <w:rPr>
          <w:rFonts w:cs="Arial"/>
        </w:rPr>
        <w:t>aide and Perth for a further 12-</w:t>
      </w:r>
      <w:r w:rsidR="00E92E97" w:rsidRPr="001E2783">
        <w:rPr>
          <w:rFonts w:cs="Arial"/>
        </w:rPr>
        <w:t>month period from 1 January 2014 to 31 </w:t>
      </w:r>
      <w:r w:rsidRPr="001E2783">
        <w:rPr>
          <w:rFonts w:cs="Arial"/>
        </w:rPr>
        <w:t xml:space="preserve">December 2014. </w:t>
      </w:r>
    </w:p>
    <w:p w14:paraId="03FA0220" w14:textId="77777777" w:rsidR="00CC119D" w:rsidRPr="001E2783" w:rsidRDefault="00CC119D" w:rsidP="00CC119D">
      <w:pPr>
        <w:rPr>
          <w:rFonts w:cs="Arial"/>
        </w:rPr>
      </w:pPr>
    </w:p>
    <w:p w14:paraId="293040E5" w14:textId="77777777" w:rsidR="00CC119D" w:rsidRPr="001E2783" w:rsidRDefault="00CC119D" w:rsidP="00CC119D">
      <w:pPr>
        <w:pStyle w:val="Heading3"/>
      </w:pPr>
      <w:bookmarkStart w:id="112" w:name="_Toc337727561"/>
      <w:bookmarkStart w:id="113" w:name="_Toc400018525"/>
      <w:r w:rsidRPr="001E2783">
        <w:t>Telecommunications licensing</w:t>
      </w:r>
      <w:bookmarkEnd w:id="112"/>
      <w:bookmarkEnd w:id="113"/>
    </w:p>
    <w:p w14:paraId="3B365EAB" w14:textId="77777777" w:rsidR="00CC119D" w:rsidRPr="001E2783" w:rsidRDefault="00CC119D" w:rsidP="00CC119D">
      <w:pPr>
        <w:pStyle w:val="BodysubheaderH4"/>
        <w:rPr>
          <w:rFonts w:cs="Arial"/>
        </w:rPr>
      </w:pPr>
      <w:r w:rsidRPr="001E2783">
        <w:rPr>
          <w:rFonts w:cs="Arial"/>
        </w:rPr>
        <w:t>Carrier licensing</w:t>
      </w:r>
    </w:p>
    <w:p w14:paraId="2FDA98EB" w14:textId="77777777" w:rsidR="00D76FA6" w:rsidRPr="001E2783" w:rsidRDefault="00D76FA6" w:rsidP="00D76FA6">
      <w:pPr>
        <w:rPr>
          <w:rFonts w:cs="Arial"/>
          <w:szCs w:val="20"/>
        </w:rPr>
      </w:pPr>
      <w:r w:rsidRPr="001E2783">
        <w:rPr>
          <w:rFonts w:cs="Arial"/>
          <w:szCs w:val="20"/>
        </w:rPr>
        <w:t xml:space="preserve">The ACMA granted </w:t>
      </w:r>
      <w:r w:rsidR="00405B78" w:rsidRPr="001E2783">
        <w:rPr>
          <w:rFonts w:cs="Arial"/>
          <w:szCs w:val="20"/>
        </w:rPr>
        <w:t>22</w:t>
      </w:r>
      <w:r w:rsidRPr="001E2783">
        <w:rPr>
          <w:rFonts w:cs="Arial"/>
          <w:szCs w:val="20"/>
        </w:rPr>
        <w:t xml:space="preserve"> </w:t>
      </w:r>
      <w:r w:rsidR="00950C24" w:rsidRPr="001E2783">
        <w:rPr>
          <w:rFonts w:cs="Arial"/>
          <w:szCs w:val="20"/>
        </w:rPr>
        <w:t>carrier licences in 2013–</w:t>
      </w:r>
      <w:r w:rsidRPr="001E2783">
        <w:rPr>
          <w:rFonts w:cs="Arial"/>
          <w:szCs w:val="20"/>
        </w:rPr>
        <w:t>14, all within the statutory 20-day time frame. This is an increase from 2012–13, when 21</w:t>
      </w:r>
      <w:r w:rsidR="00950C24" w:rsidRPr="001E2783">
        <w:rPr>
          <w:rFonts w:cs="Arial"/>
          <w:szCs w:val="20"/>
        </w:rPr>
        <w:t xml:space="preserve"> licences were issued. As at 30 </w:t>
      </w:r>
      <w:r w:rsidRPr="001E2783">
        <w:rPr>
          <w:rFonts w:cs="Arial"/>
          <w:szCs w:val="20"/>
        </w:rPr>
        <w:t xml:space="preserve">June 2014, there were </w:t>
      </w:r>
      <w:r w:rsidR="00405B78" w:rsidRPr="001E2783">
        <w:rPr>
          <w:rFonts w:cs="Arial"/>
          <w:szCs w:val="20"/>
        </w:rPr>
        <w:t xml:space="preserve">208 </w:t>
      </w:r>
      <w:r w:rsidRPr="001E2783">
        <w:rPr>
          <w:rFonts w:cs="Arial"/>
          <w:szCs w:val="20"/>
        </w:rPr>
        <w:t>licensed carriers in Australia.</w:t>
      </w:r>
    </w:p>
    <w:p w14:paraId="70293E31" w14:textId="77777777" w:rsidR="00D76FA6" w:rsidRPr="001E2783" w:rsidRDefault="00D76FA6" w:rsidP="00D76FA6">
      <w:pPr>
        <w:rPr>
          <w:rFonts w:cs="Arial"/>
          <w:szCs w:val="20"/>
        </w:rPr>
      </w:pPr>
    </w:p>
    <w:p w14:paraId="7943E14C" w14:textId="77777777" w:rsidR="00D76FA6" w:rsidRPr="001E2783" w:rsidRDefault="00D76FA6" w:rsidP="00D76FA6">
      <w:pPr>
        <w:rPr>
          <w:rFonts w:cs="Arial"/>
          <w:szCs w:val="20"/>
        </w:rPr>
      </w:pPr>
      <w:r w:rsidRPr="001E2783">
        <w:rPr>
          <w:rFonts w:cs="Arial"/>
          <w:szCs w:val="20"/>
        </w:rPr>
        <w:t xml:space="preserve">A licensed carrier can surrender its licence by providing a written notice to the ACMA. </w:t>
      </w:r>
      <w:r w:rsidR="00950C24" w:rsidRPr="001E2783">
        <w:rPr>
          <w:rFonts w:cs="Arial"/>
          <w:szCs w:val="20"/>
        </w:rPr>
        <w:t>In 2013–14, 1</w:t>
      </w:r>
      <w:r w:rsidR="00405B78" w:rsidRPr="001E2783">
        <w:rPr>
          <w:rFonts w:cs="Arial"/>
          <w:szCs w:val="20"/>
        </w:rPr>
        <w:t>3</w:t>
      </w:r>
      <w:r w:rsidRPr="001E2783">
        <w:rPr>
          <w:rFonts w:cs="Arial"/>
          <w:szCs w:val="20"/>
        </w:rPr>
        <w:t xml:space="preserve"> carrier licences were surrendered. In addition, </w:t>
      </w:r>
      <w:r w:rsidR="00405B78" w:rsidRPr="001E2783">
        <w:rPr>
          <w:rFonts w:cs="Arial"/>
          <w:szCs w:val="20"/>
        </w:rPr>
        <w:t>two carrier licences were cancelled as the corporation holding the licences was deregistered by the Australian Securities and Investments Commission</w:t>
      </w:r>
      <w:r w:rsidRPr="001E2783">
        <w:rPr>
          <w:rFonts w:cs="Arial"/>
          <w:szCs w:val="20"/>
        </w:rPr>
        <w:t xml:space="preserve">. </w:t>
      </w:r>
    </w:p>
    <w:p w14:paraId="3C27186C" w14:textId="77777777" w:rsidR="00D76FA6" w:rsidRPr="001E2783" w:rsidRDefault="00D76FA6" w:rsidP="00D76FA6">
      <w:pPr>
        <w:rPr>
          <w:rFonts w:cs="Arial"/>
          <w:szCs w:val="20"/>
        </w:rPr>
      </w:pPr>
    </w:p>
    <w:p w14:paraId="42E0ABCB" w14:textId="17111C35" w:rsidR="00D76FA6" w:rsidRPr="001E2783" w:rsidRDefault="00D76FA6" w:rsidP="00D76FA6">
      <w:pPr>
        <w:rPr>
          <w:rFonts w:cs="Arial"/>
          <w:szCs w:val="20"/>
        </w:rPr>
      </w:pPr>
      <w:r w:rsidRPr="001E2783">
        <w:rPr>
          <w:rFonts w:cs="Arial"/>
          <w:szCs w:val="20"/>
        </w:rPr>
        <w:t xml:space="preserve">The ACMA has issued </w:t>
      </w:r>
      <w:r w:rsidR="00405B78" w:rsidRPr="001E2783">
        <w:rPr>
          <w:rFonts w:cs="Arial"/>
          <w:szCs w:val="20"/>
        </w:rPr>
        <w:t xml:space="preserve">129 </w:t>
      </w:r>
      <w:r w:rsidRPr="001E2783">
        <w:rPr>
          <w:rFonts w:cs="Arial"/>
          <w:szCs w:val="20"/>
        </w:rPr>
        <w:t>nominated carrier declara</w:t>
      </w:r>
      <w:r w:rsidR="00950C24" w:rsidRPr="001E2783">
        <w:rPr>
          <w:rFonts w:cs="Arial"/>
          <w:szCs w:val="20"/>
        </w:rPr>
        <w:t xml:space="preserve">tions from 1 July 1997. In </w:t>
      </w:r>
      <w:r w:rsidR="004375F1">
        <w:rPr>
          <w:rFonts w:cs="Arial"/>
          <w:szCs w:val="20"/>
        </w:rPr>
        <w:br/>
      </w:r>
      <w:r w:rsidR="00950C24" w:rsidRPr="001E2783">
        <w:rPr>
          <w:rFonts w:cs="Arial"/>
          <w:szCs w:val="20"/>
        </w:rPr>
        <w:t>2013–</w:t>
      </w:r>
      <w:r w:rsidRPr="001E2783">
        <w:rPr>
          <w:rFonts w:cs="Arial"/>
          <w:szCs w:val="20"/>
        </w:rPr>
        <w:t xml:space="preserve">14, the ACMA issued </w:t>
      </w:r>
      <w:r w:rsidR="00405B78" w:rsidRPr="001E2783">
        <w:rPr>
          <w:rFonts w:cs="Arial"/>
          <w:szCs w:val="20"/>
        </w:rPr>
        <w:t xml:space="preserve">five </w:t>
      </w:r>
      <w:r w:rsidRPr="001E2783">
        <w:rPr>
          <w:rFonts w:cs="Arial"/>
          <w:szCs w:val="20"/>
        </w:rPr>
        <w:t>nominated carrier declarations</w:t>
      </w:r>
      <w:r w:rsidR="00950C24" w:rsidRPr="001E2783">
        <w:rPr>
          <w:rFonts w:cs="Arial"/>
          <w:szCs w:val="20"/>
        </w:rPr>
        <w:t xml:space="preserve"> and revoked t</w:t>
      </w:r>
      <w:r w:rsidRPr="001E2783">
        <w:rPr>
          <w:rFonts w:cs="Arial"/>
          <w:szCs w:val="20"/>
        </w:rPr>
        <w:t>wo</w:t>
      </w:r>
      <w:r w:rsidR="00405B78" w:rsidRPr="001E2783">
        <w:rPr>
          <w:rFonts w:cs="Arial"/>
          <w:szCs w:val="20"/>
        </w:rPr>
        <w:t>. As at 30 </w:t>
      </w:r>
      <w:r w:rsidRPr="001E2783">
        <w:rPr>
          <w:rFonts w:cs="Arial"/>
          <w:szCs w:val="20"/>
        </w:rPr>
        <w:t xml:space="preserve">June 2014, there were </w:t>
      </w:r>
      <w:r w:rsidR="00405B78" w:rsidRPr="001E2783">
        <w:rPr>
          <w:rFonts w:cs="Arial"/>
          <w:szCs w:val="20"/>
        </w:rPr>
        <w:t xml:space="preserve">74 </w:t>
      </w:r>
      <w:r w:rsidRPr="001E2783">
        <w:rPr>
          <w:rFonts w:cs="Arial"/>
          <w:szCs w:val="20"/>
        </w:rPr>
        <w:t>nominated carrier declarations in force.</w:t>
      </w:r>
    </w:p>
    <w:p w14:paraId="402B6C4E" w14:textId="77777777" w:rsidR="00D76FA6" w:rsidRPr="001E2783" w:rsidRDefault="00D76FA6" w:rsidP="00D76FA6">
      <w:pPr>
        <w:rPr>
          <w:rFonts w:cs="Arial"/>
          <w:szCs w:val="20"/>
        </w:rPr>
      </w:pPr>
    </w:p>
    <w:p w14:paraId="5CE6B2D8" w14:textId="44CDF070" w:rsidR="00D76FA6" w:rsidRPr="001E2783" w:rsidRDefault="00D76FA6" w:rsidP="00D76FA6">
      <w:pPr>
        <w:rPr>
          <w:rFonts w:cs="Arial"/>
          <w:szCs w:val="20"/>
        </w:rPr>
      </w:pPr>
      <w:r w:rsidRPr="001E2783">
        <w:rPr>
          <w:rFonts w:cs="Arial"/>
          <w:szCs w:val="20"/>
        </w:rPr>
        <w:t xml:space="preserve">A complete list of carrier licences and nominated carrier declarations </w:t>
      </w:r>
      <w:r w:rsidR="00405B78" w:rsidRPr="001E2783">
        <w:rPr>
          <w:rFonts w:cs="Arial"/>
          <w:szCs w:val="20"/>
        </w:rPr>
        <w:t xml:space="preserve">granted in </w:t>
      </w:r>
      <w:r w:rsidR="00970328" w:rsidRPr="001E2783">
        <w:rPr>
          <w:rFonts w:cs="Arial"/>
          <w:szCs w:val="20"/>
        </w:rPr>
        <w:br/>
      </w:r>
      <w:r w:rsidR="00405B78" w:rsidRPr="001E2783">
        <w:rPr>
          <w:rFonts w:cs="Arial"/>
          <w:szCs w:val="20"/>
        </w:rPr>
        <w:t xml:space="preserve">2013–14 </w:t>
      </w:r>
      <w:r w:rsidRPr="001E2783">
        <w:rPr>
          <w:rFonts w:cs="Arial"/>
          <w:szCs w:val="20"/>
        </w:rPr>
        <w:t>is provided at Appendix 4.</w:t>
      </w:r>
    </w:p>
    <w:p w14:paraId="1967DF63" w14:textId="77777777" w:rsidR="00D76FA6" w:rsidRPr="001E2783" w:rsidRDefault="00D76FA6" w:rsidP="00D76FA6">
      <w:pPr>
        <w:rPr>
          <w:rFonts w:cs="Arial"/>
          <w:szCs w:val="20"/>
        </w:rPr>
      </w:pPr>
    </w:p>
    <w:p w14:paraId="40F1A76A" w14:textId="77777777" w:rsidR="00D76FA6" w:rsidRPr="001E2783" w:rsidRDefault="00D76FA6" w:rsidP="00D76FA6">
      <w:pPr>
        <w:rPr>
          <w:rFonts w:cs="Arial"/>
          <w:szCs w:val="20"/>
        </w:rPr>
      </w:pPr>
      <w:r w:rsidRPr="001E2783">
        <w:rPr>
          <w:rFonts w:cs="Arial"/>
          <w:szCs w:val="20"/>
        </w:rPr>
        <w:t>The ACMA issued one trial certificate during 2013</w:t>
      </w:r>
      <w:r w:rsidR="00950C24" w:rsidRPr="001E2783">
        <w:rPr>
          <w:rFonts w:cs="Arial"/>
          <w:szCs w:val="20"/>
        </w:rPr>
        <w:t>–</w:t>
      </w:r>
      <w:r w:rsidRPr="001E2783">
        <w:rPr>
          <w:rFonts w:cs="Arial"/>
          <w:szCs w:val="20"/>
        </w:rPr>
        <w:t>14, compared with two in the previous reporting period.</w:t>
      </w:r>
    </w:p>
    <w:p w14:paraId="11B06E2B" w14:textId="77777777" w:rsidR="00CC119D" w:rsidRPr="001E2783" w:rsidRDefault="00CC119D" w:rsidP="00CC119D">
      <w:pPr>
        <w:rPr>
          <w:rFonts w:cs="Arial"/>
        </w:rPr>
      </w:pPr>
    </w:p>
    <w:p w14:paraId="387F273C" w14:textId="77777777" w:rsidR="00CC119D" w:rsidRPr="001E2783" w:rsidRDefault="00CC119D" w:rsidP="00CC119D">
      <w:pPr>
        <w:pStyle w:val="Heading2"/>
      </w:pPr>
      <w:bookmarkStart w:id="114" w:name="_Toc337727562"/>
      <w:bookmarkStart w:id="115" w:name="_Toc400018526"/>
      <w:r w:rsidRPr="001E2783">
        <w:t>Telecommunications numbering</w:t>
      </w:r>
      <w:bookmarkEnd w:id="114"/>
      <w:bookmarkEnd w:id="115"/>
    </w:p>
    <w:p w14:paraId="01110ACF" w14:textId="77777777" w:rsidR="00740827" w:rsidRPr="001E2783" w:rsidRDefault="00740827" w:rsidP="00740827">
      <w:pPr>
        <w:rPr>
          <w:rFonts w:cs="Arial"/>
        </w:rPr>
      </w:pPr>
      <w:bookmarkStart w:id="116" w:name="OLE_LINK1"/>
      <w:bookmarkStart w:id="117" w:name="OLE_LINK2"/>
      <w:r w:rsidRPr="001E2783">
        <w:rPr>
          <w:rFonts w:cs="Arial"/>
        </w:rPr>
        <w:t xml:space="preserve">The ACMA </w:t>
      </w:r>
      <w:r w:rsidR="007E772A" w:rsidRPr="001E2783">
        <w:rPr>
          <w:rFonts w:cs="Arial"/>
        </w:rPr>
        <w:t xml:space="preserve">is responsible for </w:t>
      </w:r>
      <w:r w:rsidRPr="001E2783">
        <w:rPr>
          <w:rFonts w:cs="Arial"/>
        </w:rPr>
        <w:t>the Telecommunications Numbering Plan 1997, which sets out the framework for the numbering of carriage services in Australia and the use of numbers in connection with the supply of such services. The ACMA also manag</w:t>
      </w:r>
      <w:r w:rsidR="00F66E9F" w:rsidRPr="001E2783">
        <w:rPr>
          <w:rFonts w:cs="Arial"/>
        </w:rPr>
        <w:t>es</w:t>
      </w:r>
      <w:r w:rsidRPr="001E2783">
        <w:rPr>
          <w:rFonts w:cs="Arial"/>
        </w:rPr>
        <w:t xml:space="preserve"> the numbering resource and plan</w:t>
      </w:r>
      <w:r w:rsidR="00F66E9F" w:rsidRPr="001E2783">
        <w:rPr>
          <w:rFonts w:cs="Arial"/>
        </w:rPr>
        <w:t>s</w:t>
      </w:r>
      <w:r w:rsidRPr="001E2783">
        <w:rPr>
          <w:rFonts w:cs="Arial"/>
        </w:rPr>
        <w:t xml:space="preserve"> for new numbering developments in Australia. </w:t>
      </w:r>
    </w:p>
    <w:p w14:paraId="05D84ACB" w14:textId="77777777" w:rsidR="00740827" w:rsidRPr="001E2783" w:rsidRDefault="00740827" w:rsidP="00740827">
      <w:pPr>
        <w:rPr>
          <w:rFonts w:cs="Arial"/>
        </w:rPr>
      </w:pPr>
    </w:p>
    <w:p w14:paraId="55BA0BF0" w14:textId="77777777" w:rsidR="00405B78" w:rsidRPr="001E2783" w:rsidRDefault="007C2BF5" w:rsidP="00405B78">
      <w:pPr>
        <w:pStyle w:val="Heading3"/>
      </w:pPr>
      <w:bookmarkStart w:id="118" w:name="_Toc400018527"/>
      <w:r w:rsidRPr="001E2783">
        <w:t>Numbering</w:t>
      </w:r>
      <w:r w:rsidR="00405B78" w:rsidRPr="001E2783">
        <w:t xml:space="preserve"> reform activities</w:t>
      </w:r>
      <w:bookmarkEnd w:id="118"/>
    </w:p>
    <w:p w14:paraId="5D68D261" w14:textId="77777777" w:rsidR="00405B78" w:rsidRPr="001E2783" w:rsidRDefault="00405B78" w:rsidP="00405B78">
      <w:pPr>
        <w:rPr>
          <w:rFonts w:cs="Arial"/>
        </w:rPr>
      </w:pPr>
      <w:r w:rsidRPr="001E2783">
        <w:rPr>
          <w:rFonts w:cs="Arial"/>
        </w:rPr>
        <w:t>In 2012, the ACMA completed a detailed examination of Australia’s telephone numbering arrangements (the Numbering Work Program) in response to issues raised by consumers and industry through the ACMA’s Numbering Advisory Committee. The issues identified by stakeholders had arisen due to deep changes in industry structures, service offerings and consumer behaviour that have occurred since the Numbering Plan was made. The aim of the ACMA’s work was to identify what changes were needed to make the numbering resource more flexible, so that new technologies, uses and potential markets could be more readily accommodated as they emerge, and how best to remove artificial barriers to the efficient use of the resource.</w:t>
      </w:r>
    </w:p>
    <w:p w14:paraId="195BCC2D" w14:textId="77777777" w:rsidR="00405B78" w:rsidRPr="001E2783" w:rsidRDefault="00405B78" w:rsidP="00405B78">
      <w:pPr>
        <w:rPr>
          <w:rFonts w:cs="Arial"/>
        </w:rPr>
      </w:pPr>
    </w:p>
    <w:p w14:paraId="71B49444" w14:textId="77777777" w:rsidR="00405B78" w:rsidRPr="001E2783" w:rsidRDefault="00405B78" w:rsidP="00405B78">
      <w:pPr>
        <w:rPr>
          <w:rFonts w:cs="Arial"/>
        </w:rPr>
      </w:pPr>
      <w:r w:rsidRPr="001E2783">
        <w:rPr>
          <w:rFonts w:cs="Arial"/>
        </w:rPr>
        <w:t xml:space="preserve">During 2013–14, the ACMA continued to implement changes foreshadowed in the Numbering Work Program with the majority of the short- and medium-term actions completed. </w:t>
      </w:r>
    </w:p>
    <w:p w14:paraId="37A8DE34" w14:textId="77777777" w:rsidR="00405B78" w:rsidRPr="001E2783" w:rsidRDefault="00405B78" w:rsidP="00405B78">
      <w:pPr>
        <w:rPr>
          <w:rFonts w:cs="Arial"/>
        </w:rPr>
      </w:pPr>
    </w:p>
    <w:p w14:paraId="64614123" w14:textId="77777777" w:rsidR="00405B78" w:rsidRPr="001E2783" w:rsidRDefault="00405B78" w:rsidP="00405B78">
      <w:pPr>
        <w:rPr>
          <w:rFonts w:cs="Arial"/>
        </w:rPr>
      </w:pPr>
      <w:r w:rsidRPr="001E2783">
        <w:rPr>
          <w:rFonts w:cs="Arial"/>
        </w:rPr>
        <w:t>In partnership with Communications Alliance, the ACMA expects to progress further work to streamline numbering arrangements</w:t>
      </w:r>
      <w:r w:rsidR="00B319A4" w:rsidRPr="001E2783">
        <w:rPr>
          <w:rFonts w:cs="Arial"/>
        </w:rPr>
        <w:t>,</w:t>
      </w:r>
      <w:r w:rsidRPr="001E2783">
        <w:rPr>
          <w:rFonts w:cs="Arial"/>
        </w:rPr>
        <w:t xml:space="preserve"> including changes to evolve the Numb</w:t>
      </w:r>
      <w:r w:rsidR="00B319A4" w:rsidRPr="001E2783">
        <w:rPr>
          <w:rFonts w:cs="Arial"/>
        </w:rPr>
        <w:t>ering Plan to a more principles-</w:t>
      </w:r>
      <w:r w:rsidRPr="001E2783">
        <w:rPr>
          <w:rFonts w:cs="Arial"/>
        </w:rPr>
        <w:t>based document supported by industry c</w:t>
      </w:r>
      <w:r w:rsidR="00B319A4" w:rsidRPr="001E2783">
        <w:rPr>
          <w:rFonts w:cs="Arial"/>
        </w:rPr>
        <w:t>odes and guidelines during 2014–</w:t>
      </w:r>
      <w:r w:rsidRPr="001E2783">
        <w:rPr>
          <w:rFonts w:cs="Arial"/>
        </w:rPr>
        <w:t>15 and 2015</w:t>
      </w:r>
      <w:r w:rsidR="00B319A4" w:rsidRPr="001E2783">
        <w:rPr>
          <w:rFonts w:cs="Arial"/>
        </w:rPr>
        <w:t>–</w:t>
      </w:r>
      <w:r w:rsidRPr="001E2783">
        <w:rPr>
          <w:rFonts w:cs="Arial"/>
        </w:rPr>
        <w:t>16.</w:t>
      </w:r>
    </w:p>
    <w:p w14:paraId="020CCA2A" w14:textId="77777777" w:rsidR="00405B78" w:rsidRPr="001E2783" w:rsidRDefault="00405B78" w:rsidP="00405B78">
      <w:pPr>
        <w:rPr>
          <w:rFonts w:cs="Arial"/>
        </w:rPr>
      </w:pPr>
    </w:p>
    <w:p w14:paraId="3FB456B2" w14:textId="77777777" w:rsidR="00405B78" w:rsidRPr="001E2783" w:rsidRDefault="00405B78" w:rsidP="00B319A4">
      <w:pPr>
        <w:pStyle w:val="BodysubheaderH4"/>
        <w:rPr>
          <w:rFonts w:cs="Arial"/>
        </w:rPr>
      </w:pPr>
      <w:r w:rsidRPr="001E2783">
        <w:rPr>
          <w:rFonts w:cs="Arial"/>
        </w:rPr>
        <w:t>Numbering services</w:t>
      </w:r>
    </w:p>
    <w:p w14:paraId="046EAF4E" w14:textId="77777777" w:rsidR="00405B78" w:rsidRPr="001E2783" w:rsidRDefault="00405B78" w:rsidP="00405B78">
      <w:pPr>
        <w:rPr>
          <w:rFonts w:cs="Arial"/>
        </w:rPr>
      </w:pPr>
      <w:r w:rsidRPr="001E2783">
        <w:rPr>
          <w:rFonts w:cs="Arial"/>
        </w:rPr>
        <w:t>One of the recommendations from the Numbering Work Program was for the ACMA to examine alternatives for the sustainable provision of numbering services in the long term. This work was undertaken during 2013</w:t>
      </w:r>
      <w:r w:rsidR="00B319A4" w:rsidRPr="001E2783">
        <w:rPr>
          <w:rFonts w:cs="Arial"/>
        </w:rPr>
        <w:t>,</w:t>
      </w:r>
      <w:r w:rsidRPr="001E2783">
        <w:rPr>
          <w:rFonts w:cs="Arial"/>
        </w:rPr>
        <w:t xml:space="preserve"> with </w:t>
      </w:r>
      <w:r w:rsidR="00B319A4" w:rsidRPr="001E2783">
        <w:rPr>
          <w:rFonts w:cs="Arial"/>
        </w:rPr>
        <w:t xml:space="preserve">the </w:t>
      </w:r>
      <w:r w:rsidRPr="001E2783">
        <w:rPr>
          <w:rFonts w:cs="Arial"/>
        </w:rPr>
        <w:t>ACMA deciding it would be timely to test the market for the supply of numbering administration services. This would identify whether the market could provide the full suite of numbering administration functions more efficiently and innovatively than the existing arrangements.</w:t>
      </w:r>
    </w:p>
    <w:p w14:paraId="2547F624" w14:textId="77777777" w:rsidR="00405B78" w:rsidRPr="001E2783" w:rsidRDefault="00405B78" w:rsidP="00405B78">
      <w:pPr>
        <w:rPr>
          <w:rFonts w:cs="Arial"/>
        </w:rPr>
      </w:pPr>
    </w:p>
    <w:p w14:paraId="54BA7C66" w14:textId="77777777" w:rsidR="00405B78" w:rsidRPr="001E2783" w:rsidRDefault="00405B78" w:rsidP="00405B78">
      <w:pPr>
        <w:rPr>
          <w:rFonts w:cs="Arial"/>
        </w:rPr>
      </w:pPr>
      <w:r w:rsidRPr="001E2783">
        <w:rPr>
          <w:rFonts w:cs="Arial"/>
        </w:rPr>
        <w:t>In January 2014, the ACMA released a request for tender for an expanded range of numbering allocation and administration services. The ACMA expects to finalise the procurement process in the first quarter of 2014–15.</w:t>
      </w:r>
    </w:p>
    <w:p w14:paraId="11432D2C" w14:textId="77777777" w:rsidR="00D76FA6" w:rsidRPr="001E2783" w:rsidRDefault="00D76FA6" w:rsidP="00D76FA6">
      <w:pPr>
        <w:rPr>
          <w:rFonts w:cs="Arial"/>
        </w:rPr>
      </w:pPr>
    </w:p>
    <w:p w14:paraId="5928BBD6" w14:textId="77777777" w:rsidR="00D76FA6" w:rsidRPr="001E2783" w:rsidRDefault="00D76FA6" w:rsidP="00D76FA6">
      <w:pPr>
        <w:pStyle w:val="Heading3"/>
      </w:pPr>
      <w:bookmarkStart w:id="119" w:name="_Toc400018528"/>
      <w:r w:rsidRPr="001E2783">
        <w:t xml:space="preserve">New arrangements for mobile calls to </w:t>
      </w:r>
      <w:r w:rsidR="00B319A4" w:rsidRPr="001E2783">
        <w:t>1800 and 13/1300</w:t>
      </w:r>
      <w:r w:rsidRPr="001E2783">
        <w:t xml:space="preserve"> numbers</w:t>
      </w:r>
      <w:bookmarkEnd w:id="119"/>
    </w:p>
    <w:p w14:paraId="0ABAEC31" w14:textId="77777777" w:rsidR="00B319A4" w:rsidRPr="001E2783" w:rsidRDefault="00B319A4" w:rsidP="00B319A4">
      <w:pPr>
        <w:spacing w:after="80"/>
        <w:rPr>
          <w:rFonts w:cs="Arial"/>
          <w:szCs w:val="20"/>
        </w:rPr>
      </w:pPr>
      <w:r w:rsidRPr="001E2783">
        <w:rPr>
          <w:rFonts w:cs="Arial"/>
          <w:szCs w:val="20"/>
        </w:rPr>
        <w:t>In June 2014, the ACMA agreed to a framework for call charges from mobile phones to 1800 (freephone) and 13/1300 (local rate) numbers. Developed in close consultation with the telecommunications industry and without direct regulatory intervention, the new arrangements take account of market changes in recent years and are intended to deliver a range of consumer benefits:</w:t>
      </w:r>
    </w:p>
    <w:p w14:paraId="4003D969" w14:textId="77777777" w:rsidR="00B319A4" w:rsidRPr="001E2783" w:rsidRDefault="00B319A4" w:rsidP="00B319A4">
      <w:pPr>
        <w:pStyle w:val="ListBullet"/>
        <w:rPr>
          <w:rFonts w:cs="Arial"/>
        </w:rPr>
      </w:pPr>
      <w:r w:rsidRPr="001E2783">
        <w:rPr>
          <w:rFonts w:cs="Arial"/>
        </w:rPr>
        <w:t>Individual mobile operators have made separate plans to make all calls to 1800 numbers from mobile phones free-of-charge and will be advising their customers about these plans in due course.</w:t>
      </w:r>
    </w:p>
    <w:p w14:paraId="6EB8612A" w14:textId="77777777" w:rsidR="00B319A4" w:rsidRPr="001E2783" w:rsidRDefault="00B319A4" w:rsidP="00B319A4">
      <w:pPr>
        <w:pStyle w:val="ListBullet"/>
        <w:rPr>
          <w:rFonts w:cs="Arial"/>
        </w:rPr>
      </w:pPr>
      <w:r w:rsidRPr="001E2783">
        <w:rPr>
          <w:rFonts w:cs="Arial"/>
        </w:rPr>
        <w:t>Mobile operators will offer ‘13-friendly’ mobile plans in accordance with a guideline developed by Communications Alliance. Under these plans, calls to 13 and 1300 numbers will be charged against the included-value allowance of the plan, rather than billed separately.</w:t>
      </w:r>
    </w:p>
    <w:p w14:paraId="32748829" w14:textId="77777777" w:rsidR="00B319A4" w:rsidRPr="001E2783" w:rsidRDefault="00B319A4" w:rsidP="00B319A4">
      <w:pPr>
        <w:pStyle w:val="ListBullet"/>
        <w:spacing w:after="240"/>
        <w:rPr>
          <w:rFonts w:cs="Arial"/>
        </w:rPr>
      </w:pPr>
      <w:r w:rsidRPr="001E2783">
        <w:rPr>
          <w:rFonts w:cs="Arial"/>
        </w:rPr>
        <w:t>Industry is implementing an awareness campaign to alert consumers to consider whether a ‘13-friendly’ plan is appropriate for them when choosing their provider.</w:t>
      </w:r>
    </w:p>
    <w:p w14:paraId="3B986922" w14:textId="77777777" w:rsidR="00B319A4" w:rsidRPr="001E2783" w:rsidRDefault="00B319A4" w:rsidP="00B319A4">
      <w:pPr>
        <w:rPr>
          <w:rFonts w:cs="Arial"/>
          <w:szCs w:val="20"/>
        </w:rPr>
      </w:pPr>
      <w:r w:rsidRPr="001E2783">
        <w:rPr>
          <w:rFonts w:cs="Arial"/>
          <w:szCs w:val="20"/>
        </w:rPr>
        <w:t>These initiatives will work in conjunction with other protections—notably call and data usage alerts from mobile providers—now required under the TCP Code.</w:t>
      </w:r>
    </w:p>
    <w:p w14:paraId="610607D4" w14:textId="77777777" w:rsidR="00B319A4" w:rsidRPr="001E2783" w:rsidRDefault="00B319A4" w:rsidP="00B319A4">
      <w:pPr>
        <w:rPr>
          <w:rFonts w:cs="Arial"/>
          <w:szCs w:val="20"/>
        </w:rPr>
      </w:pPr>
    </w:p>
    <w:p w14:paraId="3F673EFC" w14:textId="77777777" w:rsidR="00B319A4" w:rsidRPr="001E2783" w:rsidRDefault="00B319A4" w:rsidP="00B319A4">
      <w:pPr>
        <w:rPr>
          <w:rFonts w:cs="Arial"/>
          <w:szCs w:val="20"/>
        </w:rPr>
      </w:pPr>
      <w:r w:rsidRPr="001E2783">
        <w:rPr>
          <w:rFonts w:cs="Arial"/>
          <w:szCs w:val="20"/>
        </w:rPr>
        <w:t>The ACMA and industry will monitor how these issues work in practice so that consumers’ experience is improved in both the short and long term.</w:t>
      </w:r>
    </w:p>
    <w:p w14:paraId="76E823C2" w14:textId="77777777" w:rsidR="00B319A4" w:rsidRPr="001E2783" w:rsidRDefault="00B319A4" w:rsidP="00B319A4">
      <w:pPr>
        <w:rPr>
          <w:rFonts w:cs="Arial"/>
          <w:szCs w:val="20"/>
        </w:rPr>
      </w:pPr>
    </w:p>
    <w:p w14:paraId="42B0BDFD" w14:textId="77777777" w:rsidR="00CC119D" w:rsidRPr="001E2783" w:rsidRDefault="00CC119D" w:rsidP="00CC119D">
      <w:pPr>
        <w:pStyle w:val="Heading3"/>
      </w:pPr>
      <w:bookmarkStart w:id="120" w:name="_Toc337727564"/>
      <w:bookmarkStart w:id="121" w:name="_Toc400018529"/>
      <w:bookmarkEnd w:id="116"/>
      <w:bookmarkEnd w:id="117"/>
      <w:r w:rsidRPr="001E2783">
        <w:t>Numbering Advisory Committee</w:t>
      </w:r>
      <w:bookmarkEnd w:id="120"/>
      <w:bookmarkEnd w:id="121"/>
    </w:p>
    <w:p w14:paraId="11757E23" w14:textId="77777777" w:rsidR="00B3523E" w:rsidRPr="001E2783" w:rsidRDefault="00B3523E" w:rsidP="00B3523E">
      <w:pPr>
        <w:rPr>
          <w:rFonts w:cs="Arial"/>
        </w:rPr>
      </w:pPr>
      <w:r w:rsidRPr="001E2783">
        <w:rPr>
          <w:rFonts w:cs="Arial"/>
        </w:rPr>
        <w:t>The Numbering Advisory Committee (NAC) is a formally constituted advisory committee to the ACMA and comprises representatives of the telecommunications industry, telecommunications users, community groups and government. The NAC provides advice and recommendation</w:t>
      </w:r>
      <w:r w:rsidR="00950C24" w:rsidRPr="001E2783">
        <w:rPr>
          <w:rFonts w:cs="Arial"/>
        </w:rPr>
        <w:t>s on issues related to the ACMA’</w:t>
      </w:r>
      <w:r w:rsidRPr="001E2783">
        <w:rPr>
          <w:rFonts w:cs="Arial"/>
        </w:rPr>
        <w:t>s numbering functions with the objective of improving the benefits to suppliers and users of carriage services</w:t>
      </w:r>
      <w:r w:rsidR="00950C24" w:rsidRPr="001E2783">
        <w:rPr>
          <w:rFonts w:cs="Arial"/>
        </w:rPr>
        <w:t>,</w:t>
      </w:r>
      <w:r w:rsidRPr="001E2783">
        <w:rPr>
          <w:rFonts w:cs="Arial"/>
        </w:rPr>
        <w:t xml:space="preserve"> and facilitating competition.</w:t>
      </w:r>
    </w:p>
    <w:p w14:paraId="6374B56B" w14:textId="77777777" w:rsidR="00B3523E" w:rsidRPr="001E2783" w:rsidRDefault="00B3523E" w:rsidP="00B3523E">
      <w:pPr>
        <w:rPr>
          <w:rFonts w:cs="Arial"/>
        </w:rPr>
      </w:pPr>
    </w:p>
    <w:p w14:paraId="0F60A643" w14:textId="77777777" w:rsidR="00B3523E" w:rsidRPr="001E2783" w:rsidRDefault="00B3523E" w:rsidP="00B3523E">
      <w:pPr>
        <w:rPr>
          <w:rFonts w:cs="Arial"/>
        </w:rPr>
      </w:pPr>
      <w:r w:rsidRPr="001E2783">
        <w:rPr>
          <w:rFonts w:cs="Arial"/>
        </w:rPr>
        <w:t>The NAC met on three occasions during 2013–14. It provided advice on the Numbering Administration P</w:t>
      </w:r>
      <w:r w:rsidR="00950C24" w:rsidRPr="001E2783">
        <w:rPr>
          <w:rFonts w:cs="Arial"/>
        </w:rPr>
        <w:t>roject, sunsetting of numbering-</w:t>
      </w:r>
      <w:r w:rsidRPr="001E2783">
        <w:rPr>
          <w:rFonts w:cs="Arial"/>
        </w:rPr>
        <w:t>related legislative instruments and a range of other numbering matters.</w:t>
      </w:r>
      <w:r w:rsidRPr="001E2783" w:rsidDel="00CE5FEE">
        <w:rPr>
          <w:rFonts w:cs="Arial"/>
        </w:rPr>
        <w:t xml:space="preserve"> </w:t>
      </w:r>
    </w:p>
    <w:p w14:paraId="09D70A65" w14:textId="77777777" w:rsidR="00CC119D" w:rsidRPr="001E2783" w:rsidRDefault="00CC119D" w:rsidP="00CC119D">
      <w:pPr>
        <w:rPr>
          <w:rFonts w:cs="Arial"/>
        </w:rPr>
      </w:pPr>
    </w:p>
    <w:p w14:paraId="19B6850F" w14:textId="77777777" w:rsidR="00CC119D" w:rsidRPr="001E2783" w:rsidRDefault="00CC119D" w:rsidP="00CC119D">
      <w:pPr>
        <w:pStyle w:val="Heading3"/>
      </w:pPr>
      <w:bookmarkStart w:id="122" w:name="_Toc337727565"/>
      <w:bookmarkStart w:id="123" w:name="_Toc400018530"/>
      <w:r w:rsidRPr="001E2783">
        <w:t>Number allocations register</w:t>
      </w:r>
      <w:bookmarkEnd w:id="122"/>
      <w:bookmarkEnd w:id="123"/>
    </w:p>
    <w:p w14:paraId="0A1B450D" w14:textId="4CF3FE15" w:rsidR="00CC119D" w:rsidRPr="001E2783" w:rsidRDefault="00CC119D" w:rsidP="00CC119D">
      <w:pPr>
        <w:rPr>
          <w:rFonts w:cs="Arial"/>
        </w:rPr>
      </w:pPr>
      <w:r w:rsidRPr="001E2783">
        <w:rPr>
          <w:rFonts w:cs="Arial"/>
        </w:rPr>
        <w:t xml:space="preserve">The ACMA maintains a register of numbers allocated to </w:t>
      </w:r>
      <w:r w:rsidR="00A34A4C" w:rsidRPr="001E2783">
        <w:rPr>
          <w:rFonts w:cs="Arial"/>
        </w:rPr>
        <w:t>carriage service providers (</w:t>
      </w:r>
      <w:r w:rsidRPr="001E2783">
        <w:rPr>
          <w:rFonts w:cs="Arial"/>
        </w:rPr>
        <w:t>CSPs</w:t>
      </w:r>
      <w:r w:rsidR="00A34A4C" w:rsidRPr="001E2783">
        <w:rPr>
          <w:rFonts w:cs="Arial"/>
        </w:rPr>
        <w:t>)</w:t>
      </w:r>
      <w:r w:rsidRPr="001E2783">
        <w:rPr>
          <w:rFonts w:cs="Arial"/>
        </w:rPr>
        <w:t xml:space="preserve"> and numbers that have been permanently transferred from one CSP to another. The information is contained in a database known as the Online Numbering System (NUMB). CSPs use the register to perform functions such as routing and billing</w:t>
      </w:r>
      <w:r w:rsidR="00950C24" w:rsidRPr="001E2783">
        <w:rPr>
          <w:rFonts w:cs="Arial"/>
        </w:rPr>
        <w:t>,</w:t>
      </w:r>
      <w:r w:rsidRPr="001E2783">
        <w:rPr>
          <w:rFonts w:cs="Arial"/>
        </w:rPr>
        <w:t xml:space="preserve"> and </w:t>
      </w:r>
      <w:r w:rsidR="00A34A4C" w:rsidRPr="001E2783">
        <w:rPr>
          <w:rFonts w:cs="Arial"/>
        </w:rPr>
        <w:t xml:space="preserve">to </w:t>
      </w:r>
      <w:r w:rsidRPr="001E2783">
        <w:rPr>
          <w:rFonts w:cs="Arial"/>
        </w:rPr>
        <w:t xml:space="preserve">apply, transfer and surrender numbers. </w:t>
      </w:r>
      <w:r w:rsidR="004131EA" w:rsidRPr="001E2783">
        <w:rPr>
          <w:rFonts w:cs="Arial"/>
        </w:rPr>
        <w:t>The ACMA uses NUMB</w:t>
      </w:r>
      <w:r w:rsidRPr="001E2783">
        <w:rPr>
          <w:rFonts w:cs="Arial"/>
        </w:rPr>
        <w:t xml:space="preserve"> to administer the</w:t>
      </w:r>
      <w:r w:rsidR="006E2AEC" w:rsidRPr="001E2783">
        <w:rPr>
          <w:rFonts w:cs="Arial"/>
        </w:rPr>
        <w:t xml:space="preserve"> a</w:t>
      </w:r>
      <w:r w:rsidR="004131EA" w:rsidRPr="001E2783">
        <w:rPr>
          <w:rFonts w:cs="Arial"/>
        </w:rPr>
        <w:t xml:space="preserve">nnual </w:t>
      </w:r>
      <w:r w:rsidR="006E2AEC" w:rsidRPr="001E2783">
        <w:rPr>
          <w:rFonts w:cs="Arial"/>
        </w:rPr>
        <w:t>n</w:t>
      </w:r>
      <w:r w:rsidR="004131EA" w:rsidRPr="001E2783">
        <w:rPr>
          <w:rFonts w:cs="Arial"/>
        </w:rPr>
        <w:t xml:space="preserve">umbering </w:t>
      </w:r>
      <w:r w:rsidR="006E2AEC" w:rsidRPr="001E2783">
        <w:rPr>
          <w:rFonts w:cs="Arial"/>
        </w:rPr>
        <w:t>c</w:t>
      </w:r>
      <w:r w:rsidR="004131EA" w:rsidRPr="001E2783">
        <w:rPr>
          <w:rFonts w:cs="Arial"/>
        </w:rPr>
        <w:t>harge (ANC)</w:t>
      </w:r>
      <w:r w:rsidR="00D825B1" w:rsidRPr="001E2783">
        <w:rPr>
          <w:rFonts w:cs="Arial"/>
        </w:rPr>
        <w:t>.</w:t>
      </w:r>
    </w:p>
    <w:p w14:paraId="5334CAD4" w14:textId="77777777" w:rsidR="00B3523E" w:rsidRPr="001E2783" w:rsidRDefault="00B3523E" w:rsidP="00CC119D">
      <w:pPr>
        <w:rPr>
          <w:rFonts w:cs="Arial"/>
        </w:rPr>
      </w:pPr>
    </w:p>
    <w:p w14:paraId="2B560F51" w14:textId="77777777" w:rsidR="00CC119D" w:rsidRPr="001E2783" w:rsidRDefault="00CC119D" w:rsidP="00CC119D">
      <w:pPr>
        <w:pStyle w:val="Heading3"/>
      </w:pPr>
      <w:bookmarkStart w:id="124" w:name="_Toc337727566"/>
      <w:bookmarkStart w:id="125" w:name="_Toc400018531"/>
      <w:r w:rsidRPr="001E2783">
        <w:t>Numbering transactions</w:t>
      </w:r>
      <w:bookmarkEnd w:id="124"/>
      <w:bookmarkEnd w:id="125"/>
    </w:p>
    <w:p w14:paraId="1F966A46" w14:textId="77777777" w:rsidR="00B3523E" w:rsidRPr="001E2783" w:rsidRDefault="00B3523E" w:rsidP="00B3523E">
      <w:pPr>
        <w:rPr>
          <w:rFonts w:cs="Arial"/>
        </w:rPr>
      </w:pPr>
      <w:r w:rsidRPr="001E2783">
        <w:rPr>
          <w:rFonts w:cs="Arial"/>
        </w:rPr>
        <w:t xml:space="preserve">During 2013–14, the ACMA assessed </w:t>
      </w:r>
      <w:r w:rsidR="0033488E" w:rsidRPr="001E2783">
        <w:rPr>
          <w:rFonts w:cs="Arial"/>
        </w:rPr>
        <w:t>54</w:t>
      </w:r>
      <w:r w:rsidRPr="001E2783">
        <w:rPr>
          <w:rFonts w:cs="Arial"/>
        </w:rPr>
        <w:t xml:space="preserve"> separate applications for numbers from </w:t>
      </w:r>
      <w:r w:rsidR="0033488E" w:rsidRPr="001E2783">
        <w:rPr>
          <w:rFonts w:cs="Arial"/>
        </w:rPr>
        <w:t>13</w:t>
      </w:r>
      <w:r w:rsidRPr="001E2783">
        <w:rPr>
          <w:rFonts w:cs="Arial"/>
        </w:rPr>
        <w:t xml:space="preserve"> different CSPs. </w:t>
      </w:r>
      <w:r w:rsidR="0033488E" w:rsidRPr="001E2783">
        <w:rPr>
          <w:rFonts w:cs="Arial"/>
        </w:rPr>
        <w:t xml:space="preserve">Two </w:t>
      </w:r>
      <w:r w:rsidRPr="001E2783">
        <w:rPr>
          <w:rFonts w:cs="Arial"/>
        </w:rPr>
        <w:t>CSP</w:t>
      </w:r>
      <w:r w:rsidR="0033488E" w:rsidRPr="001E2783">
        <w:rPr>
          <w:rFonts w:cs="Arial"/>
        </w:rPr>
        <w:t>s were</w:t>
      </w:r>
      <w:r w:rsidRPr="001E2783">
        <w:rPr>
          <w:rFonts w:cs="Arial"/>
        </w:rPr>
        <w:t xml:space="preserve"> allocated both geographic and other numbers. The most common number types allocated remain geographic and digital mobile numbers.</w:t>
      </w:r>
    </w:p>
    <w:p w14:paraId="6877BCB8" w14:textId="77777777" w:rsidR="00B3523E" w:rsidRPr="001E2783" w:rsidRDefault="00B3523E" w:rsidP="00B3523E">
      <w:pPr>
        <w:rPr>
          <w:rFonts w:cs="Arial"/>
        </w:rPr>
      </w:pPr>
    </w:p>
    <w:p w14:paraId="548FCF03" w14:textId="77777777" w:rsidR="00B3523E" w:rsidRPr="001E2783" w:rsidRDefault="004131EA" w:rsidP="00B3523E">
      <w:pPr>
        <w:spacing w:after="80"/>
        <w:rPr>
          <w:rFonts w:cs="Arial"/>
        </w:rPr>
      </w:pPr>
      <w:r w:rsidRPr="001E2783">
        <w:rPr>
          <w:rFonts w:cs="Arial"/>
        </w:rPr>
        <w:t>T</w:t>
      </w:r>
      <w:r w:rsidR="00B3523E" w:rsidRPr="001E2783">
        <w:rPr>
          <w:rFonts w:cs="Arial"/>
        </w:rPr>
        <w:t xml:space="preserve">he ACMA met its statutory requirements and KPIs by processing numbering applications within the 10-day statutory time frame. The time taken to process routine applications was approximately </w:t>
      </w:r>
      <w:r w:rsidR="0033488E" w:rsidRPr="001E2783">
        <w:rPr>
          <w:rFonts w:cs="Arial"/>
        </w:rPr>
        <w:t xml:space="preserve">7.4 </w:t>
      </w:r>
      <w:r w:rsidR="00B3523E" w:rsidRPr="001E2783">
        <w:rPr>
          <w:rFonts w:cs="Arial"/>
        </w:rPr>
        <w:t xml:space="preserve">working days, </w:t>
      </w:r>
      <w:r w:rsidR="0033488E" w:rsidRPr="001E2783">
        <w:rPr>
          <w:rFonts w:cs="Arial"/>
        </w:rPr>
        <w:t xml:space="preserve">compared with the average of three working days </w:t>
      </w:r>
      <w:r w:rsidR="00B3523E" w:rsidRPr="001E2783">
        <w:rPr>
          <w:rFonts w:cs="Arial"/>
        </w:rPr>
        <w:t>for 2012–13. In 2013–14, the ACMA allocated:</w:t>
      </w:r>
    </w:p>
    <w:p w14:paraId="2C057CB5" w14:textId="77777777" w:rsidR="00B3523E" w:rsidRPr="001E2783" w:rsidRDefault="0033488E" w:rsidP="00B3523E">
      <w:pPr>
        <w:pStyle w:val="ListBullet"/>
        <w:tabs>
          <w:tab w:val="clear" w:pos="295"/>
          <w:tab w:val="num" w:pos="437"/>
        </w:tabs>
        <w:ind w:left="284"/>
        <w:rPr>
          <w:rFonts w:cs="Arial"/>
        </w:rPr>
      </w:pPr>
      <w:r w:rsidRPr="001E2783">
        <w:rPr>
          <w:rFonts w:cs="Arial"/>
        </w:rPr>
        <w:t xml:space="preserve">1,453,000 </w:t>
      </w:r>
      <w:r w:rsidR="00B3523E" w:rsidRPr="001E2783">
        <w:rPr>
          <w:rFonts w:cs="Arial"/>
        </w:rPr>
        <w:t xml:space="preserve">geographic numbers, </w:t>
      </w:r>
      <w:r w:rsidRPr="001E2783">
        <w:rPr>
          <w:rFonts w:cs="Arial"/>
        </w:rPr>
        <w:t xml:space="preserve">344,700 </w:t>
      </w:r>
      <w:r w:rsidR="00B7234B" w:rsidRPr="001E2783">
        <w:rPr>
          <w:rFonts w:cs="Arial"/>
        </w:rPr>
        <w:t>fewer</w:t>
      </w:r>
      <w:r w:rsidRPr="001E2783">
        <w:rPr>
          <w:rFonts w:cs="Arial"/>
        </w:rPr>
        <w:t xml:space="preserve"> </w:t>
      </w:r>
      <w:r w:rsidR="00B3523E" w:rsidRPr="001E2783">
        <w:rPr>
          <w:rFonts w:cs="Arial"/>
        </w:rPr>
        <w:t xml:space="preserve">than the </w:t>
      </w:r>
      <w:r w:rsidR="0066191F" w:rsidRPr="001E2783">
        <w:rPr>
          <w:rFonts w:cs="Arial"/>
        </w:rPr>
        <w:t xml:space="preserve">1,797,700 </w:t>
      </w:r>
      <w:r w:rsidR="00B3523E" w:rsidRPr="001E2783">
        <w:rPr>
          <w:rFonts w:cs="Arial"/>
        </w:rPr>
        <w:t>geographic numbers allocated in 2012–13</w:t>
      </w:r>
    </w:p>
    <w:p w14:paraId="698E04B1" w14:textId="77777777" w:rsidR="00B3523E" w:rsidRPr="001E2783" w:rsidRDefault="0066191F" w:rsidP="00B3523E">
      <w:pPr>
        <w:pStyle w:val="ListBullet"/>
        <w:tabs>
          <w:tab w:val="clear" w:pos="295"/>
          <w:tab w:val="num" w:pos="437"/>
        </w:tabs>
        <w:spacing w:after="240"/>
        <w:ind w:left="284"/>
        <w:rPr>
          <w:rFonts w:cs="Arial"/>
        </w:rPr>
      </w:pPr>
      <w:r w:rsidRPr="001E2783">
        <w:rPr>
          <w:rFonts w:cs="Arial"/>
        </w:rPr>
        <w:t xml:space="preserve">2,620,000 </w:t>
      </w:r>
      <w:r w:rsidR="00B3523E" w:rsidRPr="001E2783">
        <w:rPr>
          <w:rFonts w:cs="Arial"/>
        </w:rPr>
        <w:t xml:space="preserve">digital mobile numbers, </w:t>
      </w:r>
      <w:r w:rsidRPr="001E2783">
        <w:rPr>
          <w:rFonts w:cs="Arial"/>
        </w:rPr>
        <w:t xml:space="preserve">290,000 </w:t>
      </w:r>
      <w:r w:rsidR="00B7234B" w:rsidRPr="001E2783">
        <w:rPr>
          <w:rFonts w:cs="Arial"/>
        </w:rPr>
        <w:t>fewer</w:t>
      </w:r>
      <w:r w:rsidR="00B3523E" w:rsidRPr="001E2783">
        <w:rPr>
          <w:rFonts w:cs="Arial"/>
        </w:rPr>
        <w:t xml:space="preserve"> than the </w:t>
      </w:r>
      <w:r w:rsidRPr="001E2783">
        <w:rPr>
          <w:rFonts w:cs="Arial"/>
        </w:rPr>
        <w:t xml:space="preserve">2,910,000 </w:t>
      </w:r>
      <w:r w:rsidR="00B3523E" w:rsidRPr="001E2783">
        <w:rPr>
          <w:rFonts w:cs="Arial"/>
        </w:rPr>
        <w:t>digital mobile numbers allocated in 2012–13.</w:t>
      </w:r>
    </w:p>
    <w:p w14:paraId="0856EB72" w14:textId="77777777" w:rsidR="00B3523E" w:rsidRPr="001E2783" w:rsidRDefault="00B3523E" w:rsidP="00B3523E">
      <w:pPr>
        <w:rPr>
          <w:rFonts w:cs="Arial"/>
        </w:rPr>
      </w:pPr>
      <w:r w:rsidRPr="001E2783">
        <w:rPr>
          <w:rFonts w:cs="Arial"/>
        </w:rPr>
        <w:t xml:space="preserve">Table </w:t>
      </w:r>
      <w:r w:rsidR="00D27ED3" w:rsidRPr="001E2783">
        <w:rPr>
          <w:rFonts w:cs="Arial"/>
        </w:rPr>
        <w:t>10</w:t>
      </w:r>
      <w:r w:rsidRPr="001E2783">
        <w:rPr>
          <w:rFonts w:cs="Arial"/>
        </w:rPr>
        <w:t xml:space="preserve"> shows the amount of numbers allocated by number type in 2013–14.</w:t>
      </w:r>
    </w:p>
    <w:p w14:paraId="09933289" w14:textId="77777777" w:rsidR="00B3523E" w:rsidRPr="001E2783" w:rsidRDefault="00B3523E" w:rsidP="00B3523E">
      <w:pPr>
        <w:rPr>
          <w:rFonts w:cs="Arial"/>
        </w:rPr>
      </w:pPr>
    </w:p>
    <w:p w14:paraId="6F065522" w14:textId="77777777" w:rsidR="00B3523E" w:rsidRPr="001E2783" w:rsidRDefault="00B3523E" w:rsidP="00B3523E">
      <w:pPr>
        <w:rPr>
          <w:rFonts w:cs="Arial"/>
        </w:rPr>
      </w:pPr>
      <w:r w:rsidRPr="001E2783">
        <w:rPr>
          <w:rFonts w:cs="Arial"/>
        </w:rPr>
        <w:t xml:space="preserve">During 2013–14, the ACMA received </w:t>
      </w:r>
      <w:r w:rsidR="0066191F" w:rsidRPr="001E2783">
        <w:rPr>
          <w:rFonts w:cs="Arial"/>
        </w:rPr>
        <w:t>five</w:t>
      </w:r>
      <w:r w:rsidRPr="001E2783">
        <w:rPr>
          <w:rFonts w:cs="Arial"/>
        </w:rPr>
        <w:t xml:space="preserve"> applications to surrender numbers from </w:t>
      </w:r>
      <w:r w:rsidR="0066191F" w:rsidRPr="001E2783">
        <w:rPr>
          <w:rFonts w:cs="Arial"/>
        </w:rPr>
        <w:t xml:space="preserve">four </w:t>
      </w:r>
      <w:r w:rsidRPr="001E2783">
        <w:rPr>
          <w:rFonts w:cs="Arial"/>
        </w:rPr>
        <w:t xml:space="preserve">CSPs. There were </w:t>
      </w:r>
      <w:r w:rsidR="0066191F" w:rsidRPr="001E2783">
        <w:rPr>
          <w:rFonts w:cs="Arial"/>
        </w:rPr>
        <w:t xml:space="preserve">six </w:t>
      </w:r>
      <w:r w:rsidRPr="001E2783">
        <w:rPr>
          <w:rFonts w:cs="Arial"/>
        </w:rPr>
        <w:t>permanent transfers of numbers</w:t>
      </w:r>
      <w:r w:rsidR="00E92E97" w:rsidRPr="001E2783">
        <w:rPr>
          <w:rFonts w:cs="Arial"/>
        </w:rPr>
        <w:t xml:space="preserve"> between CSPs in 2013–14. Table </w:t>
      </w:r>
      <w:r w:rsidR="00D27ED3" w:rsidRPr="001E2783">
        <w:rPr>
          <w:rFonts w:cs="Arial"/>
        </w:rPr>
        <w:t>11</w:t>
      </w:r>
      <w:r w:rsidRPr="001E2783">
        <w:rPr>
          <w:rFonts w:cs="Arial"/>
        </w:rPr>
        <w:t xml:space="preserve"> shows the numbers surre</w:t>
      </w:r>
      <w:r w:rsidR="00E92E97" w:rsidRPr="001E2783">
        <w:rPr>
          <w:rFonts w:cs="Arial"/>
        </w:rPr>
        <w:t>ndered by number type and Table </w:t>
      </w:r>
      <w:r w:rsidR="00D27ED3" w:rsidRPr="001E2783">
        <w:rPr>
          <w:rFonts w:cs="Arial"/>
        </w:rPr>
        <w:t>12</w:t>
      </w:r>
      <w:r w:rsidRPr="001E2783">
        <w:rPr>
          <w:rFonts w:cs="Arial"/>
        </w:rPr>
        <w:t xml:space="preserve"> shows the numbers transferred by number type. Some CSPs transfer or surrender multiple number types.</w:t>
      </w:r>
    </w:p>
    <w:p w14:paraId="60FCEF5D" w14:textId="77777777" w:rsidR="00CC119D" w:rsidRPr="001E2783" w:rsidRDefault="00CC119D" w:rsidP="00CC119D">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223EF21C" w14:textId="77777777" w:rsidTr="00C902FF">
        <w:trPr>
          <w:trHeight w:val="570"/>
        </w:trPr>
        <w:tc>
          <w:tcPr>
            <w:tcW w:w="9645" w:type="dxa"/>
            <w:tcBorders>
              <w:top w:val="single" w:sz="2" w:space="0" w:color="505050"/>
            </w:tcBorders>
            <w:shd w:val="clear" w:color="auto" w:fill="auto"/>
            <w:vAlign w:val="center"/>
          </w:tcPr>
          <w:p w14:paraId="62779FEB" w14:textId="77777777" w:rsidR="00CC119D" w:rsidRPr="001E2783" w:rsidRDefault="00CC119D" w:rsidP="00B7234B">
            <w:pPr>
              <w:pStyle w:val="Caption"/>
              <w:keepNext/>
              <w:keepLines/>
              <w:rPr>
                <w:rFonts w:ascii="Arial" w:hAnsi="Arial" w:cs="Arial"/>
                <w:color w:val="auto"/>
              </w:rPr>
            </w:pPr>
            <w:r w:rsidRPr="00D3485F">
              <w:rPr>
                <w:rFonts w:ascii="Arial" w:hAnsi="Arial" w:cs="Arial"/>
              </w:rPr>
              <w:t xml:space="preserve">Table </w:t>
            </w:r>
            <w:r w:rsidR="00D27ED3" w:rsidRPr="00D3485F">
              <w:rPr>
                <w:rFonts w:ascii="Arial" w:hAnsi="Arial" w:cs="Arial"/>
              </w:rPr>
              <w:t>10</w:t>
            </w:r>
            <w:r w:rsidRPr="00D3485F">
              <w:rPr>
                <w:rFonts w:ascii="Arial" w:hAnsi="Arial" w:cs="Arial"/>
              </w:rPr>
              <w:t>: Quantity of numbers allo</w:t>
            </w:r>
            <w:r w:rsidR="00B3523E" w:rsidRPr="00D3485F">
              <w:rPr>
                <w:rFonts w:ascii="Arial" w:hAnsi="Arial" w:cs="Arial"/>
              </w:rPr>
              <w:t>cated by number type during 2013</w:t>
            </w:r>
            <w:r w:rsidR="00740827" w:rsidRPr="00D3485F">
              <w:rPr>
                <w:rFonts w:ascii="Arial" w:hAnsi="Arial" w:cs="Arial"/>
              </w:rPr>
              <w:t>–1</w:t>
            </w:r>
            <w:r w:rsidR="00B3523E" w:rsidRPr="00D3485F">
              <w:rPr>
                <w:rFonts w:ascii="Arial" w:hAnsi="Arial" w:cs="Arial"/>
              </w:rPr>
              <w:t>4</w:t>
            </w:r>
          </w:p>
        </w:tc>
      </w:tr>
      <w:tr w:rsidR="001E2783" w:rsidRPr="001E2783" w14:paraId="6BDBF6BF" w14:textId="77777777" w:rsidTr="00C902FF">
        <w:trPr>
          <w:trHeight w:val="1250"/>
        </w:trPr>
        <w:tc>
          <w:tcPr>
            <w:tcW w:w="9645" w:type="dxa"/>
            <w:shd w:val="clear" w:color="auto" w:fill="auto"/>
            <w:tcMar>
              <w:left w:w="28" w:type="dxa"/>
            </w:tcMar>
          </w:tcPr>
          <w:tbl>
            <w:tblPr>
              <w:tblW w:w="9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4"/>
              <w:gridCol w:w="2410"/>
              <w:gridCol w:w="2551"/>
            </w:tblGrid>
            <w:tr w:rsidR="001E2783" w:rsidRPr="001E2783" w14:paraId="6370F503" w14:textId="77777777" w:rsidTr="00E92E97">
              <w:trPr>
                <w:trHeight w:val="408"/>
              </w:trPr>
              <w:tc>
                <w:tcPr>
                  <w:tcW w:w="4504" w:type="dxa"/>
                  <w:shd w:val="clear" w:color="auto" w:fill="595959" w:themeFill="text1" w:themeFillTint="A6"/>
                  <w:tcMar>
                    <w:top w:w="57" w:type="dxa"/>
                    <w:left w:w="57" w:type="dxa"/>
                    <w:bottom w:w="57" w:type="dxa"/>
                    <w:right w:w="57" w:type="dxa"/>
                  </w:tcMar>
                  <w:vAlign w:val="center"/>
                </w:tcPr>
                <w:p w14:paraId="63DAD9B0" w14:textId="77777777" w:rsidR="00D701A0" w:rsidRPr="004E4548" w:rsidRDefault="00D701A0" w:rsidP="004131EA">
                  <w:pPr>
                    <w:pStyle w:val="TableHeading"/>
                    <w:rPr>
                      <w:rFonts w:ascii="Arial" w:hAnsi="Arial" w:cs="Arial"/>
                      <w:color w:val="FFFFFF" w:themeColor="background1"/>
                    </w:rPr>
                  </w:pPr>
                  <w:r w:rsidRPr="004E4548">
                    <w:rPr>
                      <w:rFonts w:ascii="Arial" w:hAnsi="Arial" w:cs="Arial"/>
                      <w:color w:val="FFFFFF" w:themeColor="background1"/>
                    </w:rPr>
                    <w:t>Type of number</w:t>
                  </w:r>
                </w:p>
              </w:tc>
              <w:tc>
                <w:tcPr>
                  <w:tcW w:w="2410" w:type="dxa"/>
                  <w:shd w:val="clear" w:color="auto" w:fill="595959" w:themeFill="text1" w:themeFillTint="A6"/>
                  <w:tcMar>
                    <w:top w:w="57" w:type="dxa"/>
                    <w:left w:w="57" w:type="dxa"/>
                    <w:bottom w:w="57" w:type="dxa"/>
                    <w:right w:w="57" w:type="dxa"/>
                  </w:tcMar>
                  <w:vAlign w:val="center"/>
                </w:tcPr>
                <w:p w14:paraId="5DDE13A5" w14:textId="77777777" w:rsidR="00D701A0" w:rsidRPr="004E4548" w:rsidRDefault="00D701A0" w:rsidP="004131EA">
                  <w:pPr>
                    <w:pStyle w:val="TableHeading"/>
                    <w:jc w:val="right"/>
                    <w:rPr>
                      <w:rFonts w:ascii="Arial" w:hAnsi="Arial" w:cs="Arial"/>
                      <w:color w:val="FFFFFF" w:themeColor="background1"/>
                    </w:rPr>
                  </w:pPr>
                  <w:r w:rsidRPr="004E4548">
                    <w:rPr>
                      <w:rFonts w:ascii="Arial" w:hAnsi="Arial" w:cs="Arial"/>
                      <w:color w:val="FFFFFF" w:themeColor="background1"/>
                    </w:rPr>
                    <w:t>CSPs allocated numbers</w:t>
                  </w:r>
                </w:p>
              </w:tc>
              <w:tc>
                <w:tcPr>
                  <w:tcW w:w="2551" w:type="dxa"/>
                  <w:shd w:val="clear" w:color="auto" w:fill="595959" w:themeFill="text1" w:themeFillTint="A6"/>
                  <w:tcMar>
                    <w:top w:w="57" w:type="dxa"/>
                    <w:left w:w="57" w:type="dxa"/>
                    <w:bottom w:w="57" w:type="dxa"/>
                    <w:right w:w="57" w:type="dxa"/>
                  </w:tcMar>
                  <w:vAlign w:val="center"/>
                </w:tcPr>
                <w:p w14:paraId="2BA4918F" w14:textId="77777777" w:rsidR="00D701A0" w:rsidRPr="004E4548" w:rsidRDefault="00D701A0" w:rsidP="004131EA">
                  <w:pPr>
                    <w:pStyle w:val="TableHeading"/>
                    <w:jc w:val="right"/>
                    <w:rPr>
                      <w:rFonts w:ascii="Arial" w:hAnsi="Arial" w:cs="Arial"/>
                      <w:color w:val="FFFFFF" w:themeColor="background1"/>
                    </w:rPr>
                  </w:pPr>
                  <w:r w:rsidRPr="004E4548">
                    <w:rPr>
                      <w:rFonts w:ascii="Arial" w:hAnsi="Arial" w:cs="Arial"/>
                      <w:color w:val="FFFFFF" w:themeColor="background1"/>
                    </w:rPr>
                    <w:t>Quantity of numbers allocated</w:t>
                  </w:r>
                </w:p>
              </w:tc>
            </w:tr>
            <w:tr w:rsidR="001E2783" w:rsidRPr="001E2783" w14:paraId="442BF3B8" w14:textId="77777777" w:rsidTr="00657230">
              <w:tc>
                <w:tcPr>
                  <w:tcW w:w="4504" w:type="dxa"/>
                  <w:tcMar>
                    <w:top w:w="57" w:type="dxa"/>
                    <w:left w:w="57" w:type="dxa"/>
                    <w:bottom w:w="57" w:type="dxa"/>
                    <w:right w:w="57" w:type="dxa"/>
                  </w:tcMar>
                </w:tcPr>
                <w:p w14:paraId="7F745AAA" w14:textId="77777777" w:rsidR="0066191F" w:rsidRPr="001E2783" w:rsidRDefault="0066191F" w:rsidP="004131EA">
                  <w:pPr>
                    <w:pStyle w:val="TableTextLeft"/>
                    <w:rPr>
                      <w:rFonts w:cs="Arial"/>
                      <w:sz w:val="20"/>
                    </w:rPr>
                  </w:pPr>
                  <w:r w:rsidRPr="001E2783">
                    <w:rPr>
                      <w:rFonts w:cs="Arial"/>
                      <w:sz w:val="20"/>
                    </w:rPr>
                    <w:t>Geographic</w:t>
                  </w:r>
                </w:p>
              </w:tc>
              <w:tc>
                <w:tcPr>
                  <w:tcW w:w="2410" w:type="dxa"/>
                  <w:tcMar>
                    <w:top w:w="57" w:type="dxa"/>
                    <w:left w:w="57" w:type="dxa"/>
                    <w:bottom w:w="57" w:type="dxa"/>
                    <w:right w:w="57" w:type="dxa"/>
                  </w:tcMar>
                </w:tcPr>
                <w:p w14:paraId="2DC71F26" w14:textId="77777777" w:rsidR="0066191F" w:rsidRPr="001E2783" w:rsidRDefault="0066191F" w:rsidP="0066191F">
                  <w:pPr>
                    <w:pStyle w:val="TableTextLeft"/>
                    <w:jc w:val="right"/>
                    <w:rPr>
                      <w:rFonts w:cs="Arial"/>
                      <w:sz w:val="20"/>
                    </w:rPr>
                  </w:pPr>
                  <w:r w:rsidRPr="001E2783">
                    <w:rPr>
                      <w:rFonts w:cs="Arial"/>
                      <w:sz w:val="20"/>
                    </w:rPr>
                    <w:t>9</w:t>
                  </w:r>
                </w:p>
              </w:tc>
              <w:tc>
                <w:tcPr>
                  <w:tcW w:w="2551" w:type="dxa"/>
                  <w:shd w:val="clear" w:color="auto" w:fill="FFFFFF"/>
                  <w:tcMar>
                    <w:top w:w="57" w:type="dxa"/>
                    <w:left w:w="57" w:type="dxa"/>
                    <w:bottom w:w="57" w:type="dxa"/>
                    <w:right w:w="57" w:type="dxa"/>
                  </w:tcMar>
                </w:tcPr>
                <w:p w14:paraId="4B02C427" w14:textId="77777777" w:rsidR="0066191F" w:rsidRPr="001E2783" w:rsidRDefault="0066191F" w:rsidP="0066191F">
                  <w:pPr>
                    <w:pStyle w:val="TableTextLeft"/>
                    <w:jc w:val="right"/>
                    <w:rPr>
                      <w:rFonts w:cs="Arial"/>
                      <w:sz w:val="20"/>
                    </w:rPr>
                  </w:pPr>
                  <w:r w:rsidRPr="001E2783">
                    <w:rPr>
                      <w:rFonts w:cs="Arial"/>
                      <w:sz w:val="20"/>
                    </w:rPr>
                    <w:t>1,453,000</w:t>
                  </w:r>
                </w:p>
              </w:tc>
            </w:tr>
            <w:tr w:rsidR="001E2783" w:rsidRPr="001E2783" w14:paraId="1FEFD8DC" w14:textId="77777777" w:rsidTr="00657230">
              <w:tc>
                <w:tcPr>
                  <w:tcW w:w="4504" w:type="dxa"/>
                  <w:tcMar>
                    <w:top w:w="57" w:type="dxa"/>
                    <w:left w:w="57" w:type="dxa"/>
                    <w:bottom w:w="57" w:type="dxa"/>
                    <w:right w:w="57" w:type="dxa"/>
                  </w:tcMar>
                </w:tcPr>
                <w:p w14:paraId="6531B4BB" w14:textId="77777777" w:rsidR="0066191F" w:rsidRPr="001E2783" w:rsidRDefault="0066191F" w:rsidP="004131EA">
                  <w:pPr>
                    <w:pStyle w:val="TableTextLeft"/>
                    <w:rPr>
                      <w:rFonts w:cs="Arial"/>
                      <w:sz w:val="20"/>
                    </w:rPr>
                  </w:pPr>
                  <w:r w:rsidRPr="001E2783">
                    <w:rPr>
                      <w:rFonts w:cs="Arial"/>
                      <w:sz w:val="20"/>
                    </w:rPr>
                    <w:t>Digital mobile</w:t>
                  </w:r>
                </w:p>
              </w:tc>
              <w:tc>
                <w:tcPr>
                  <w:tcW w:w="2410" w:type="dxa"/>
                  <w:tcMar>
                    <w:top w:w="57" w:type="dxa"/>
                    <w:left w:w="57" w:type="dxa"/>
                    <w:bottom w:w="57" w:type="dxa"/>
                    <w:right w:w="57" w:type="dxa"/>
                  </w:tcMar>
                </w:tcPr>
                <w:p w14:paraId="3EEF5070" w14:textId="77777777" w:rsidR="0066191F" w:rsidRPr="001E2783" w:rsidRDefault="0066191F" w:rsidP="0066191F">
                  <w:pPr>
                    <w:pStyle w:val="TableTextLeft"/>
                    <w:jc w:val="right"/>
                    <w:rPr>
                      <w:rFonts w:cs="Arial"/>
                      <w:sz w:val="20"/>
                    </w:rPr>
                  </w:pPr>
                  <w:r w:rsidRPr="001E2783">
                    <w:rPr>
                      <w:rFonts w:cs="Arial"/>
                      <w:sz w:val="20"/>
                    </w:rPr>
                    <w:t>3</w:t>
                  </w:r>
                </w:p>
              </w:tc>
              <w:tc>
                <w:tcPr>
                  <w:tcW w:w="2551" w:type="dxa"/>
                  <w:shd w:val="clear" w:color="auto" w:fill="FFFFFF"/>
                  <w:tcMar>
                    <w:top w:w="57" w:type="dxa"/>
                    <w:left w:w="57" w:type="dxa"/>
                    <w:bottom w:w="57" w:type="dxa"/>
                    <w:right w:w="57" w:type="dxa"/>
                  </w:tcMar>
                </w:tcPr>
                <w:p w14:paraId="7DED9EBE" w14:textId="77777777" w:rsidR="0066191F" w:rsidRPr="001E2783" w:rsidRDefault="0066191F" w:rsidP="0066191F">
                  <w:pPr>
                    <w:pStyle w:val="TableTextLeft"/>
                    <w:jc w:val="right"/>
                    <w:rPr>
                      <w:rFonts w:cs="Arial"/>
                      <w:sz w:val="20"/>
                    </w:rPr>
                  </w:pPr>
                  <w:r w:rsidRPr="001E2783">
                    <w:rPr>
                      <w:rFonts w:cs="Arial"/>
                      <w:sz w:val="20"/>
                    </w:rPr>
                    <w:t>2,620,000</w:t>
                  </w:r>
                </w:p>
              </w:tc>
            </w:tr>
            <w:tr w:rsidR="001E2783" w:rsidRPr="001E2783" w14:paraId="7D6B0116" w14:textId="77777777" w:rsidTr="00657230">
              <w:tc>
                <w:tcPr>
                  <w:tcW w:w="4504" w:type="dxa"/>
                  <w:tcMar>
                    <w:top w:w="57" w:type="dxa"/>
                    <w:left w:w="57" w:type="dxa"/>
                    <w:bottom w:w="57" w:type="dxa"/>
                    <w:right w:w="57" w:type="dxa"/>
                  </w:tcMar>
                </w:tcPr>
                <w:p w14:paraId="4F5F30E2" w14:textId="77777777" w:rsidR="0066191F" w:rsidRPr="001E2783" w:rsidRDefault="0066191F" w:rsidP="004131EA">
                  <w:pPr>
                    <w:pStyle w:val="TableTextLeft"/>
                    <w:rPr>
                      <w:rFonts w:cs="Arial"/>
                      <w:sz w:val="20"/>
                    </w:rPr>
                  </w:pPr>
                  <w:r w:rsidRPr="001E2783">
                    <w:rPr>
                      <w:rFonts w:cs="Arial"/>
                      <w:sz w:val="20"/>
                    </w:rPr>
                    <w:t>Mobile network codes</w:t>
                  </w:r>
                </w:p>
              </w:tc>
              <w:tc>
                <w:tcPr>
                  <w:tcW w:w="2410" w:type="dxa"/>
                  <w:tcMar>
                    <w:top w:w="57" w:type="dxa"/>
                    <w:left w:w="57" w:type="dxa"/>
                    <w:bottom w:w="57" w:type="dxa"/>
                    <w:right w:w="57" w:type="dxa"/>
                  </w:tcMar>
                </w:tcPr>
                <w:p w14:paraId="11E33A73" w14:textId="77777777" w:rsidR="0066191F" w:rsidRPr="001E2783" w:rsidRDefault="0066191F" w:rsidP="0066191F">
                  <w:pPr>
                    <w:pStyle w:val="TableTextLeft"/>
                    <w:jc w:val="right"/>
                    <w:rPr>
                      <w:rFonts w:cs="Arial"/>
                      <w:sz w:val="20"/>
                    </w:rPr>
                  </w:pPr>
                  <w:r w:rsidRPr="001E2783">
                    <w:rPr>
                      <w:rFonts w:cs="Arial"/>
                      <w:sz w:val="20"/>
                    </w:rPr>
                    <w:t>3</w:t>
                  </w:r>
                </w:p>
              </w:tc>
              <w:tc>
                <w:tcPr>
                  <w:tcW w:w="2551" w:type="dxa"/>
                  <w:shd w:val="clear" w:color="auto" w:fill="FFFFFF"/>
                  <w:tcMar>
                    <w:top w:w="57" w:type="dxa"/>
                    <w:left w:w="57" w:type="dxa"/>
                    <w:bottom w:w="57" w:type="dxa"/>
                    <w:right w:w="57" w:type="dxa"/>
                  </w:tcMar>
                </w:tcPr>
                <w:p w14:paraId="55461A47" w14:textId="77777777" w:rsidR="0066191F" w:rsidRPr="001E2783" w:rsidRDefault="0066191F" w:rsidP="0066191F">
                  <w:pPr>
                    <w:pStyle w:val="TableTextLeft"/>
                    <w:jc w:val="right"/>
                    <w:rPr>
                      <w:rFonts w:cs="Arial"/>
                      <w:sz w:val="20"/>
                    </w:rPr>
                  </w:pPr>
                  <w:r w:rsidRPr="001E2783">
                    <w:rPr>
                      <w:rFonts w:cs="Arial"/>
                      <w:sz w:val="20"/>
                    </w:rPr>
                    <w:t>3</w:t>
                  </w:r>
                </w:p>
              </w:tc>
            </w:tr>
            <w:tr w:rsidR="001E2783" w:rsidRPr="001E2783" w14:paraId="76F68ED2" w14:textId="77777777" w:rsidTr="00657230">
              <w:tc>
                <w:tcPr>
                  <w:tcW w:w="4504" w:type="dxa"/>
                  <w:tcMar>
                    <w:top w:w="57" w:type="dxa"/>
                    <w:left w:w="57" w:type="dxa"/>
                    <w:bottom w:w="57" w:type="dxa"/>
                    <w:right w:w="57" w:type="dxa"/>
                  </w:tcMar>
                </w:tcPr>
                <w:p w14:paraId="0D15AD65" w14:textId="77777777" w:rsidR="0066191F" w:rsidRPr="001E2783" w:rsidRDefault="0066191F" w:rsidP="004131EA">
                  <w:pPr>
                    <w:pStyle w:val="TableTextLeft"/>
                    <w:rPr>
                      <w:rFonts w:cs="Arial"/>
                      <w:sz w:val="20"/>
                    </w:rPr>
                  </w:pPr>
                  <w:r w:rsidRPr="001E2783">
                    <w:rPr>
                      <w:rFonts w:cs="Arial"/>
                      <w:sz w:val="20"/>
                    </w:rPr>
                    <w:t>International signalling point code</w:t>
                  </w:r>
                </w:p>
              </w:tc>
              <w:tc>
                <w:tcPr>
                  <w:tcW w:w="2410" w:type="dxa"/>
                  <w:tcMar>
                    <w:top w:w="57" w:type="dxa"/>
                    <w:left w:w="57" w:type="dxa"/>
                    <w:bottom w:w="57" w:type="dxa"/>
                    <w:right w:w="57" w:type="dxa"/>
                  </w:tcMar>
                </w:tcPr>
                <w:p w14:paraId="13A9ADAC" w14:textId="77777777" w:rsidR="0066191F" w:rsidRPr="001E2783" w:rsidRDefault="0066191F" w:rsidP="0066191F">
                  <w:pPr>
                    <w:pStyle w:val="TableTextLeft"/>
                    <w:jc w:val="right"/>
                    <w:rPr>
                      <w:rFonts w:cs="Arial"/>
                      <w:sz w:val="20"/>
                    </w:rPr>
                  </w:pPr>
                  <w:r w:rsidRPr="001E2783">
                    <w:rPr>
                      <w:rFonts w:cs="Arial"/>
                      <w:sz w:val="20"/>
                    </w:rPr>
                    <w:t>1</w:t>
                  </w:r>
                </w:p>
              </w:tc>
              <w:tc>
                <w:tcPr>
                  <w:tcW w:w="2551" w:type="dxa"/>
                  <w:shd w:val="clear" w:color="auto" w:fill="FFFFFF"/>
                  <w:tcMar>
                    <w:top w:w="57" w:type="dxa"/>
                    <w:left w:w="57" w:type="dxa"/>
                    <w:bottom w:w="57" w:type="dxa"/>
                    <w:right w:w="57" w:type="dxa"/>
                  </w:tcMar>
                </w:tcPr>
                <w:p w14:paraId="6F7858E0" w14:textId="77777777" w:rsidR="0066191F" w:rsidRPr="001E2783" w:rsidRDefault="0066191F" w:rsidP="0066191F">
                  <w:pPr>
                    <w:pStyle w:val="TableTextLeft"/>
                    <w:jc w:val="right"/>
                    <w:rPr>
                      <w:rFonts w:cs="Arial"/>
                      <w:sz w:val="20"/>
                    </w:rPr>
                  </w:pPr>
                  <w:r w:rsidRPr="001E2783">
                    <w:rPr>
                      <w:rFonts w:cs="Arial"/>
                      <w:sz w:val="20"/>
                    </w:rPr>
                    <w:t>1</w:t>
                  </w:r>
                </w:p>
              </w:tc>
            </w:tr>
            <w:tr w:rsidR="001E2783" w:rsidRPr="001E2783" w14:paraId="4FC22F37" w14:textId="77777777" w:rsidTr="00657230">
              <w:tc>
                <w:tcPr>
                  <w:tcW w:w="4504" w:type="dxa"/>
                  <w:tcMar>
                    <w:top w:w="57" w:type="dxa"/>
                    <w:left w:w="57" w:type="dxa"/>
                    <w:bottom w:w="57" w:type="dxa"/>
                    <w:right w:w="57" w:type="dxa"/>
                  </w:tcMar>
                </w:tcPr>
                <w:p w14:paraId="7FEA9B24" w14:textId="12F5E6A1" w:rsidR="00791856" w:rsidRPr="001E2783" w:rsidRDefault="00D62C54" w:rsidP="004131EA">
                  <w:pPr>
                    <w:pStyle w:val="TableTextLeft"/>
                    <w:rPr>
                      <w:rFonts w:cs="Arial"/>
                      <w:sz w:val="20"/>
                    </w:rPr>
                  </w:pPr>
                  <w:r w:rsidRPr="001E2783">
                    <w:rPr>
                      <w:rFonts w:cs="Arial"/>
                      <w:sz w:val="20"/>
                    </w:rPr>
                    <w:t>Pre-selection over-ride code</w:t>
                  </w:r>
                </w:p>
              </w:tc>
              <w:tc>
                <w:tcPr>
                  <w:tcW w:w="2410" w:type="dxa"/>
                  <w:tcMar>
                    <w:top w:w="57" w:type="dxa"/>
                    <w:left w:w="57" w:type="dxa"/>
                    <w:bottom w:w="57" w:type="dxa"/>
                    <w:right w:w="57" w:type="dxa"/>
                  </w:tcMar>
                </w:tcPr>
                <w:p w14:paraId="664EBB2C" w14:textId="178223C9" w:rsidR="00791856" w:rsidRPr="001E2783" w:rsidRDefault="00791856" w:rsidP="0066191F">
                  <w:pPr>
                    <w:pStyle w:val="TableTextLeft"/>
                    <w:jc w:val="right"/>
                    <w:rPr>
                      <w:rFonts w:cs="Arial"/>
                      <w:sz w:val="20"/>
                    </w:rPr>
                  </w:pPr>
                  <w:r w:rsidRPr="001E2783">
                    <w:rPr>
                      <w:rFonts w:cs="Arial"/>
                      <w:sz w:val="20"/>
                    </w:rPr>
                    <w:t>2</w:t>
                  </w:r>
                </w:p>
              </w:tc>
              <w:tc>
                <w:tcPr>
                  <w:tcW w:w="2551" w:type="dxa"/>
                  <w:shd w:val="clear" w:color="auto" w:fill="FFFFFF"/>
                  <w:tcMar>
                    <w:top w:w="57" w:type="dxa"/>
                    <w:left w:w="57" w:type="dxa"/>
                    <w:bottom w:w="57" w:type="dxa"/>
                    <w:right w:w="57" w:type="dxa"/>
                  </w:tcMar>
                </w:tcPr>
                <w:p w14:paraId="756F7401" w14:textId="76A39302" w:rsidR="00791856" w:rsidRPr="001E2783" w:rsidRDefault="00791856" w:rsidP="0066191F">
                  <w:pPr>
                    <w:pStyle w:val="TableTextLeft"/>
                    <w:jc w:val="right"/>
                    <w:rPr>
                      <w:rFonts w:cs="Arial"/>
                      <w:sz w:val="20"/>
                    </w:rPr>
                  </w:pPr>
                  <w:r w:rsidRPr="001E2783">
                    <w:rPr>
                      <w:rFonts w:cs="Arial"/>
                      <w:sz w:val="20"/>
                    </w:rPr>
                    <w:t>3</w:t>
                  </w:r>
                </w:p>
              </w:tc>
            </w:tr>
            <w:tr w:rsidR="001E2783" w:rsidRPr="001E2783" w14:paraId="0F05AA66" w14:textId="77777777" w:rsidTr="00657230">
              <w:tc>
                <w:tcPr>
                  <w:tcW w:w="4504" w:type="dxa"/>
                  <w:tcMar>
                    <w:top w:w="57" w:type="dxa"/>
                    <w:left w:w="57" w:type="dxa"/>
                    <w:bottom w:w="57" w:type="dxa"/>
                    <w:right w:w="57" w:type="dxa"/>
                  </w:tcMar>
                </w:tcPr>
                <w:p w14:paraId="6BD1FB75" w14:textId="77777777" w:rsidR="0066191F" w:rsidRPr="001E2783" w:rsidRDefault="0066191F" w:rsidP="004131EA">
                  <w:pPr>
                    <w:pStyle w:val="TableTextLeft"/>
                    <w:rPr>
                      <w:rFonts w:cs="Arial"/>
                      <w:b/>
                      <w:sz w:val="20"/>
                    </w:rPr>
                  </w:pPr>
                  <w:r w:rsidRPr="001E2783">
                    <w:rPr>
                      <w:rFonts w:cs="Arial"/>
                      <w:b/>
                      <w:sz w:val="20"/>
                    </w:rPr>
                    <w:t>Total numbers allocated</w:t>
                  </w:r>
                </w:p>
              </w:tc>
              <w:tc>
                <w:tcPr>
                  <w:tcW w:w="2410" w:type="dxa"/>
                  <w:tcMar>
                    <w:top w:w="57" w:type="dxa"/>
                    <w:left w:w="57" w:type="dxa"/>
                    <w:bottom w:w="57" w:type="dxa"/>
                    <w:right w:w="57" w:type="dxa"/>
                  </w:tcMar>
                </w:tcPr>
                <w:p w14:paraId="71A8AA5E" w14:textId="77777777" w:rsidR="0066191F" w:rsidRPr="001E2783" w:rsidRDefault="0066191F" w:rsidP="0066191F">
                  <w:pPr>
                    <w:pStyle w:val="TableTextLeft"/>
                    <w:jc w:val="right"/>
                    <w:rPr>
                      <w:rFonts w:cs="Arial"/>
                      <w:sz w:val="20"/>
                    </w:rPr>
                  </w:pPr>
                </w:p>
              </w:tc>
              <w:tc>
                <w:tcPr>
                  <w:tcW w:w="2551" w:type="dxa"/>
                  <w:shd w:val="clear" w:color="auto" w:fill="FFFFFF"/>
                  <w:tcMar>
                    <w:top w:w="57" w:type="dxa"/>
                    <w:left w:w="57" w:type="dxa"/>
                    <w:bottom w:w="57" w:type="dxa"/>
                    <w:right w:w="57" w:type="dxa"/>
                  </w:tcMar>
                </w:tcPr>
                <w:p w14:paraId="6E9CC385" w14:textId="49633C79" w:rsidR="0066191F" w:rsidRPr="001E2783" w:rsidRDefault="0066191F" w:rsidP="00963709">
                  <w:pPr>
                    <w:pStyle w:val="TableTextLeft"/>
                    <w:jc w:val="right"/>
                    <w:rPr>
                      <w:rFonts w:cs="Arial"/>
                      <w:b/>
                      <w:sz w:val="20"/>
                    </w:rPr>
                  </w:pPr>
                  <w:r w:rsidRPr="001E2783">
                    <w:rPr>
                      <w:rFonts w:cs="Arial"/>
                      <w:b/>
                      <w:sz w:val="20"/>
                    </w:rPr>
                    <w:t>4,073,0</w:t>
                  </w:r>
                  <w:r w:rsidR="00963709" w:rsidRPr="001E2783">
                    <w:rPr>
                      <w:rFonts w:cs="Arial"/>
                      <w:b/>
                      <w:sz w:val="20"/>
                    </w:rPr>
                    <w:t>07</w:t>
                  </w:r>
                </w:p>
              </w:tc>
            </w:tr>
          </w:tbl>
          <w:p w14:paraId="6766BFE1" w14:textId="77777777" w:rsidR="00CC119D" w:rsidRPr="001E2783" w:rsidRDefault="00CC119D" w:rsidP="00D701A0">
            <w:pPr>
              <w:tabs>
                <w:tab w:val="left" w:pos="2524"/>
              </w:tabs>
              <w:ind w:left="720"/>
              <w:rPr>
                <w:rFonts w:cs="Arial"/>
              </w:rPr>
            </w:pPr>
          </w:p>
        </w:tc>
      </w:tr>
      <w:tr w:rsidR="00CC119D" w:rsidRPr="001E2783" w14:paraId="457ED7FB" w14:textId="77777777" w:rsidTr="00C902FF">
        <w:trPr>
          <w:trHeight w:val="291"/>
        </w:trPr>
        <w:tc>
          <w:tcPr>
            <w:tcW w:w="9645" w:type="dxa"/>
            <w:tcBorders>
              <w:bottom w:val="single" w:sz="2" w:space="0" w:color="505050"/>
            </w:tcBorders>
            <w:shd w:val="clear" w:color="auto" w:fill="auto"/>
          </w:tcPr>
          <w:p w14:paraId="7095FFAF" w14:textId="77777777" w:rsidR="00CC119D" w:rsidRPr="001E2783" w:rsidRDefault="00CC119D" w:rsidP="00C902FF">
            <w:pPr>
              <w:ind w:left="720"/>
              <w:rPr>
                <w:rFonts w:cs="Arial"/>
              </w:rPr>
            </w:pPr>
          </w:p>
        </w:tc>
      </w:tr>
    </w:tbl>
    <w:p w14:paraId="2E309851" w14:textId="77777777" w:rsidR="00CC119D" w:rsidRPr="001E2783" w:rsidRDefault="00CC119D" w:rsidP="00CC119D">
      <w:pPr>
        <w:rPr>
          <w:rFonts w:cs="Arial"/>
        </w:rPr>
      </w:pPr>
    </w:p>
    <w:p w14:paraId="195036FE" w14:textId="77777777" w:rsidR="00CC119D" w:rsidRPr="001E2783" w:rsidRDefault="00CC119D" w:rsidP="00CC119D">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673116BF" w14:textId="77777777" w:rsidTr="00C902FF">
        <w:trPr>
          <w:trHeight w:val="570"/>
        </w:trPr>
        <w:tc>
          <w:tcPr>
            <w:tcW w:w="9645" w:type="dxa"/>
            <w:tcBorders>
              <w:top w:val="single" w:sz="2" w:space="0" w:color="505050"/>
            </w:tcBorders>
            <w:shd w:val="clear" w:color="auto" w:fill="auto"/>
            <w:vAlign w:val="center"/>
          </w:tcPr>
          <w:p w14:paraId="355A6067" w14:textId="77777777" w:rsidR="00CC119D" w:rsidRPr="001E2783" w:rsidRDefault="00CC119D" w:rsidP="00B7234B">
            <w:pPr>
              <w:pStyle w:val="Caption"/>
              <w:keepNext/>
              <w:keepLines/>
              <w:rPr>
                <w:rFonts w:ascii="Arial" w:hAnsi="Arial" w:cs="Arial"/>
                <w:color w:val="auto"/>
              </w:rPr>
            </w:pPr>
            <w:r w:rsidRPr="00D3485F">
              <w:rPr>
                <w:rFonts w:ascii="Arial" w:hAnsi="Arial" w:cs="Arial"/>
              </w:rPr>
              <w:t xml:space="preserve">Table </w:t>
            </w:r>
            <w:r w:rsidR="00D27ED3" w:rsidRPr="00D3485F">
              <w:rPr>
                <w:rFonts w:ascii="Arial" w:hAnsi="Arial" w:cs="Arial"/>
              </w:rPr>
              <w:t>11</w:t>
            </w:r>
            <w:r w:rsidRPr="00D3485F">
              <w:rPr>
                <w:rFonts w:ascii="Arial" w:hAnsi="Arial" w:cs="Arial"/>
              </w:rPr>
              <w:t>: Quantity of numbers surren</w:t>
            </w:r>
            <w:r w:rsidR="00937C1C" w:rsidRPr="00D3485F">
              <w:rPr>
                <w:rFonts w:ascii="Arial" w:hAnsi="Arial" w:cs="Arial"/>
              </w:rPr>
              <w:t>dered by number type during 2013</w:t>
            </w:r>
            <w:r w:rsidR="00740827" w:rsidRPr="00D3485F">
              <w:rPr>
                <w:rFonts w:ascii="Arial" w:hAnsi="Arial" w:cs="Arial"/>
              </w:rPr>
              <w:t>–1</w:t>
            </w:r>
            <w:r w:rsidR="00937C1C" w:rsidRPr="00D3485F">
              <w:rPr>
                <w:rFonts w:ascii="Arial" w:hAnsi="Arial" w:cs="Arial"/>
              </w:rPr>
              <w:t>4</w:t>
            </w:r>
          </w:p>
        </w:tc>
      </w:tr>
      <w:tr w:rsidR="001E2783" w:rsidRPr="001E2783" w14:paraId="34A90FA1" w14:textId="77777777" w:rsidTr="00F545B7">
        <w:trPr>
          <w:trHeight w:val="1545"/>
        </w:trPr>
        <w:tc>
          <w:tcPr>
            <w:tcW w:w="9645" w:type="dxa"/>
            <w:shd w:val="clear" w:color="auto" w:fill="auto"/>
            <w:tcMar>
              <w:left w:w="28" w:type="dxa"/>
            </w:tcMar>
          </w:tcPr>
          <w:tbl>
            <w:tblPr>
              <w:tblW w:w="12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45"/>
              <w:gridCol w:w="2995"/>
              <w:gridCol w:w="3525"/>
              <w:gridCol w:w="2955"/>
            </w:tblGrid>
            <w:tr w:rsidR="001E2783" w:rsidRPr="001E2783" w14:paraId="3B20BF70" w14:textId="77777777" w:rsidTr="00657230">
              <w:trPr>
                <w:gridAfter w:val="1"/>
                <w:wAfter w:w="2955" w:type="dxa"/>
                <w:trHeight w:val="419"/>
              </w:trPr>
              <w:tc>
                <w:tcPr>
                  <w:tcW w:w="2945" w:type="dxa"/>
                  <w:shd w:val="clear" w:color="auto" w:fill="404040" w:themeFill="text1" w:themeFillTint="BF"/>
                  <w:tcMar>
                    <w:top w:w="57" w:type="dxa"/>
                    <w:left w:w="57" w:type="dxa"/>
                    <w:bottom w:w="57" w:type="dxa"/>
                    <w:right w:w="57" w:type="dxa"/>
                  </w:tcMar>
                  <w:vAlign w:val="center"/>
                </w:tcPr>
                <w:p w14:paraId="61429A97" w14:textId="77777777" w:rsidR="005B06FF" w:rsidRPr="004E4548" w:rsidRDefault="005B06FF" w:rsidP="004131EA">
                  <w:pPr>
                    <w:pStyle w:val="TableHeading"/>
                    <w:rPr>
                      <w:rFonts w:ascii="Arial" w:hAnsi="Arial" w:cs="Arial"/>
                      <w:color w:val="FFFFFF" w:themeColor="background1"/>
                    </w:rPr>
                  </w:pPr>
                  <w:r w:rsidRPr="004E4548">
                    <w:rPr>
                      <w:rFonts w:ascii="Arial" w:hAnsi="Arial" w:cs="Arial"/>
                      <w:color w:val="FFFFFF" w:themeColor="background1"/>
                    </w:rPr>
                    <w:t>Type of number</w:t>
                  </w:r>
                </w:p>
              </w:tc>
              <w:tc>
                <w:tcPr>
                  <w:tcW w:w="2995" w:type="dxa"/>
                  <w:shd w:val="clear" w:color="auto" w:fill="404040" w:themeFill="text1" w:themeFillTint="BF"/>
                  <w:tcMar>
                    <w:top w:w="57" w:type="dxa"/>
                    <w:left w:w="57" w:type="dxa"/>
                    <w:bottom w:w="57" w:type="dxa"/>
                    <w:right w:w="57" w:type="dxa"/>
                  </w:tcMar>
                  <w:vAlign w:val="center"/>
                </w:tcPr>
                <w:p w14:paraId="533180B3" w14:textId="77777777" w:rsidR="005B06FF" w:rsidRPr="004E4548" w:rsidRDefault="005B06FF" w:rsidP="004131EA">
                  <w:pPr>
                    <w:pStyle w:val="TableHeading"/>
                    <w:rPr>
                      <w:rFonts w:ascii="Arial" w:hAnsi="Arial" w:cs="Arial"/>
                      <w:color w:val="FFFFFF" w:themeColor="background1"/>
                    </w:rPr>
                  </w:pPr>
                  <w:r w:rsidRPr="004E4548">
                    <w:rPr>
                      <w:rFonts w:ascii="Arial" w:hAnsi="Arial" w:cs="Arial"/>
                      <w:color w:val="FFFFFF" w:themeColor="background1"/>
                    </w:rPr>
                    <w:t>CSPs surrendering numbers</w:t>
                  </w:r>
                </w:p>
              </w:tc>
              <w:tc>
                <w:tcPr>
                  <w:tcW w:w="3525" w:type="dxa"/>
                  <w:shd w:val="clear" w:color="auto" w:fill="404040" w:themeFill="text1" w:themeFillTint="BF"/>
                  <w:tcMar>
                    <w:top w:w="57" w:type="dxa"/>
                    <w:left w:w="57" w:type="dxa"/>
                    <w:bottom w:w="57" w:type="dxa"/>
                    <w:right w:w="57" w:type="dxa"/>
                  </w:tcMar>
                  <w:vAlign w:val="center"/>
                </w:tcPr>
                <w:p w14:paraId="2D2337CF" w14:textId="77777777" w:rsidR="005B06FF" w:rsidRPr="004E4548" w:rsidRDefault="005B06FF" w:rsidP="00970328">
                  <w:pPr>
                    <w:pStyle w:val="TableHeading"/>
                    <w:jc w:val="right"/>
                    <w:rPr>
                      <w:rFonts w:ascii="Arial" w:hAnsi="Arial" w:cs="Arial"/>
                      <w:color w:val="FFFFFF" w:themeColor="background1"/>
                    </w:rPr>
                  </w:pPr>
                  <w:r w:rsidRPr="004E4548">
                    <w:rPr>
                      <w:rFonts w:ascii="Arial" w:hAnsi="Arial" w:cs="Arial"/>
                      <w:color w:val="FFFFFF" w:themeColor="background1"/>
                    </w:rPr>
                    <w:t>Quantity of numbers surrendered</w:t>
                  </w:r>
                </w:p>
              </w:tc>
            </w:tr>
            <w:tr w:rsidR="001E2783" w:rsidRPr="001E2783" w14:paraId="231B6EB0" w14:textId="77777777" w:rsidTr="00657230">
              <w:trPr>
                <w:gridAfter w:val="1"/>
                <w:wAfter w:w="2955" w:type="dxa"/>
              </w:trPr>
              <w:tc>
                <w:tcPr>
                  <w:tcW w:w="2945" w:type="dxa"/>
                  <w:tcMar>
                    <w:top w:w="57" w:type="dxa"/>
                    <w:left w:w="57" w:type="dxa"/>
                    <w:bottom w:w="57" w:type="dxa"/>
                    <w:right w:w="57" w:type="dxa"/>
                  </w:tcMar>
                  <w:vAlign w:val="center"/>
                </w:tcPr>
                <w:p w14:paraId="725D1136" w14:textId="77777777" w:rsidR="00952724" w:rsidRPr="001E2783" w:rsidRDefault="00952724" w:rsidP="00543418">
                  <w:pPr>
                    <w:pStyle w:val="TableTextLeft"/>
                    <w:rPr>
                      <w:rFonts w:cs="Arial"/>
                      <w:sz w:val="20"/>
                    </w:rPr>
                  </w:pPr>
                  <w:r w:rsidRPr="001E2783">
                    <w:rPr>
                      <w:rFonts w:cs="Arial"/>
                      <w:sz w:val="20"/>
                    </w:rPr>
                    <w:t>Geographic</w:t>
                  </w:r>
                </w:p>
              </w:tc>
              <w:tc>
                <w:tcPr>
                  <w:tcW w:w="2995" w:type="dxa"/>
                  <w:tcMar>
                    <w:top w:w="57" w:type="dxa"/>
                    <w:left w:w="57" w:type="dxa"/>
                    <w:bottom w:w="57" w:type="dxa"/>
                    <w:right w:w="57" w:type="dxa"/>
                  </w:tcMar>
                </w:tcPr>
                <w:p w14:paraId="776A4989" w14:textId="77777777" w:rsidR="00952724" w:rsidRPr="001E2783" w:rsidRDefault="00952724" w:rsidP="00952724">
                  <w:pPr>
                    <w:pStyle w:val="TableTextLeft"/>
                    <w:jc w:val="right"/>
                    <w:rPr>
                      <w:rFonts w:cs="Arial"/>
                      <w:sz w:val="20"/>
                    </w:rPr>
                  </w:pPr>
                  <w:r w:rsidRPr="001E2783">
                    <w:rPr>
                      <w:rFonts w:cs="Arial"/>
                      <w:sz w:val="20"/>
                    </w:rPr>
                    <w:t>1</w:t>
                  </w:r>
                </w:p>
              </w:tc>
              <w:tc>
                <w:tcPr>
                  <w:tcW w:w="3525" w:type="dxa"/>
                  <w:shd w:val="clear" w:color="auto" w:fill="FFFFFF"/>
                  <w:tcMar>
                    <w:top w:w="57" w:type="dxa"/>
                    <w:left w:w="57" w:type="dxa"/>
                    <w:bottom w:w="57" w:type="dxa"/>
                    <w:right w:w="57" w:type="dxa"/>
                  </w:tcMar>
                </w:tcPr>
                <w:p w14:paraId="439415F7" w14:textId="77777777" w:rsidR="00952724" w:rsidRPr="001E2783" w:rsidRDefault="00952724" w:rsidP="00952724">
                  <w:pPr>
                    <w:pStyle w:val="TableTextLeft"/>
                    <w:jc w:val="right"/>
                    <w:rPr>
                      <w:rFonts w:cs="Arial"/>
                      <w:sz w:val="20"/>
                    </w:rPr>
                  </w:pPr>
                  <w:r w:rsidRPr="001E2783">
                    <w:rPr>
                      <w:rFonts w:cs="Arial"/>
                      <w:sz w:val="20"/>
                    </w:rPr>
                    <w:t>90,000</w:t>
                  </w:r>
                </w:p>
              </w:tc>
            </w:tr>
            <w:tr w:rsidR="001E2783" w:rsidRPr="001E2783" w14:paraId="27C3E78A" w14:textId="77777777" w:rsidTr="00657230">
              <w:trPr>
                <w:gridAfter w:val="1"/>
                <w:wAfter w:w="2955" w:type="dxa"/>
              </w:trPr>
              <w:tc>
                <w:tcPr>
                  <w:tcW w:w="2945" w:type="dxa"/>
                  <w:tcMar>
                    <w:top w:w="57" w:type="dxa"/>
                    <w:left w:w="57" w:type="dxa"/>
                    <w:bottom w:w="57" w:type="dxa"/>
                    <w:right w:w="57" w:type="dxa"/>
                  </w:tcMar>
                  <w:vAlign w:val="center"/>
                </w:tcPr>
                <w:p w14:paraId="6E721420" w14:textId="77777777" w:rsidR="00952724" w:rsidRPr="001E2783" w:rsidRDefault="00952724" w:rsidP="00543418">
                  <w:pPr>
                    <w:pStyle w:val="TableTextLeft"/>
                    <w:rPr>
                      <w:rFonts w:cs="Arial"/>
                      <w:sz w:val="20"/>
                    </w:rPr>
                  </w:pPr>
                  <w:r w:rsidRPr="001E2783">
                    <w:rPr>
                      <w:rFonts w:cs="Arial"/>
                      <w:sz w:val="20"/>
                    </w:rPr>
                    <w:t>Operator service</w:t>
                  </w:r>
                </w:p>
              </w:tc>
              <w:tc>
                <w:tcPr>
                  <w:tcW w:w="2995" w:type="dxa"/>
                  <w:tcMar>
                    <w:top w:w="57" w:type="dxa"/>
                    <w:left w:w="57" w:type="dxa"/>
                    <w:bottom w:w="57" w:type="dxa"/>
                    <w:right w:w="57" w:type="dxa"/>
                  </w:tcMar>
                </w:tcPr>
                <w:p w14:paraId="297B06B0" w14:textId="77777777" w:rsidR="00952724" w:rsidRPr="001E2783" w:rsidRDefault="00952724" w:rsidP="00952724">
                  <w:pPr>
                    <w:pStyle w:val="TableTextLeft"/>
                    <w:jc w:val="right"/>
                    <w:rPr>
                      <w:rFonts w:cs="Arial"/>
                      <w:sz w:val="20"/>
                    </w:rPr>
                  </w:pPr>
                  <w:r w:rsidRPr="001E2783">
                    <w:rPr>
                      <w:rFonts w:cs="Arial"/>
                      <w:sz w:val="20"/>
                    </w:rPr>
                    <w:t>1</w:t>
                  </w:r>
                </w:p>
              </w:tc>
              <w:tc>
                <w:tcPr>
                  <w:tcW w:w="3525" w:type="dxa"/>
                  <w:shd w:val="clear" w:color="auto" w:fill="FFFFFF"/>
                  <w:tcMar>
                    <w:top w:w="57" w:type="dxa"/>
                    <w:left w:w="57" w:type="dxa"/>
                    <w:bottom w:w="57" w:type="dxa"/>
                    <w:right w:w="57" w:type="dxa"/>
                  </w:tcMar>
                </w:tcPr>
                <w:p w14:paraId="6FBC598A" w14:textId="77777777" w:rsidR="00952724" w:rsidRPr="001E2783" w:rsidRDefault="00952724" w:rsidP="00952724">
                  <w:pPr>
                    <w:pStyle w:val="TableTextLeft"/>
                    <w:jc w:val="right"/>
                    <w:rPr>
                      <w:rFonts w:cs="Arial"/>
                      <w:sz w:val="20"/>
                    </w:rPr>
                  </w:pPr>
                  <w:r w:rsidRPr="001E2783">
                    <w:rPr>
                      <w:rFonts w:cs="Arial"/>
                      <w:sz w:val="20"/>
                    </w:rPr>
                    <w:t>1</w:t>
                  </w:r>
                </w:p>
              </w:tc>
            </w:tr>
            <w:tr w:rsidR="001E2783" w:rsidRPr="001E2783" w14:paraId="7F5A8402" w14:textId="77777777" w:rsidTr="00657230">
              <w:trPr>
                <w:gridAfter w:val="1"/>
                <w:wAfter w:w="2955" w:type="dxa"/>
              </w:trPr>
              <w:tc>
                <w:tcPr>
                  <w:tcW w:w="2945" w:type="dxa"/>
                  <w:tcMar>
                    <w:top w:w="57" w:type="dxa"/>
                    <w:left w:w="57" w:type="dxa"/>
                    <w:bottom w:w="57" w:type="dxa"/>
                    <w:right w:w="57" w:type="dxa"/>
                  </w:tcMar>
                  <w:vAlign w:val="center"/>
                </w:tcPr>
                <w:p w14:paraId="21965BE5" w14:textId="77777777" w:rsidR="00952724" w:rsidRPr="001E2783" w:rsidDel="0099561A" w:rsidRDefault="00952724" w:rsidP="00543418">
                  <w:pPr>
                    <w:pStyle w:val="TableTextLeft"/>
                    <w:rPr>
                      <w:rFonts w:cs="Arial"/>
                      <w:sz w:val="20"/>
                    </w:rPr>
                  </w:pPr>
                  <w:r w:rsidRPr="001E2783">
                    <w:rPr>
                      <w:rFonts w:cs="Arial"/>
                      <w:sz w:val="20"/>
                    </w:rPr>
                    <w:t>Telex</w:t>
                  </w:r>
                </w:p>
              </w:tc>
              <w:tc>
                <w:tcPr>
                  <w:tcW w:w="2995" w:type="dxa"/>
                  <w:tcMar>
                    <w:top w:w="57" w:type="dxa"/>
                    <w:left w:w="57" w:type="dxa"/>
                    <w:bottom w:w="57" w:type="dxa"/>
                    <w:right w:w="57" w:type="dxa"/>
                  </w:tcMar>
                </w:tcPr>
                <w:p w14:paraId="205033F7" w14:textId="77777777" w:rsidR="00952724" w:rsidRPr="001E2783" w:rsidRDefault="00952724" w:rsidP="00952724">
                  <w:pPr>
                    <w:pStyle w:val="TableTextLeft"/>
                    <w:jc w:val="right"/>
                    <w:rPr>
                      <w:rFonts w:cs="Arial"/>
                      <w:sz w:val="20"/>
                    </w:rPr>
                  </w:pPr>
                  <w:r w:rsidRPr="001E2783">
                    <w:rPr>
                      <w:rFonts w:cs="Arial"/>
                      <w:sz w:val="20"/>
                    </w:rPr>
                    <w:t>1</w:t>
                  </w:r>
                </w:p>
              </w:tc>
              <w:tc>
                <w:tcPr>
                  <w:tcW w:w="3525" w:type="dxa"/>
                  <w:shd w:val="clear" w:color="auto" w:fill="FFFFFF"/>
                  <w:tcMar>
                    <w:top w:w="57" w:type="dxa"/>
                    <w:left w:w="57" w:type="dxa"/>
                    <w:bottom w:w="57" w:type="dxa"/>
                    <w:right w:w="57" w:type="dxa"/>
                  </w:tcMar>
                </w:tcPr>
                <w:p w14:paraId="3FE6410E" w14:textId="77777777" w:rsidR="00952724" w:rsidRPr="001E2783" w:rsidRDefault="00952724" w:rsidP="00952724">
                  <w:pPr>
                    <w:pStyle w:val="TableTextLeft"/>
                    <w:jc w:val="right"/>
                    <w:rPr>
                      <w:rFonts w:cs="Arial"/>
                      <w:sz w:val="20"/>
                    </w:rPr>
                  </w:pPr>
                  <w:r w:rsidRPr="001E2783">
                    <w:rPr>
                      <w:rFonts w:cs="Arial"/>
                      <w:sz w:val="20"/>
                    </w:rPr>
                    <w:t>3</w:t>
                  </w:r>
                </w:p>
              </w:tc>
            </w:tr>
            <w:tr w:rsidR="001E2783" w:rsidRPr="001E2783" w14:paraId="05ACD069" w14:textId="77777777" w:rsidTr="00657230">
              <w:trPr>
                <w:gridAfter w:val="1"/>
                <w:wAfter w:w="2955" w:type="dxa"/>
              </w:trPr>
              <w:tc>
                <w:tcPr>
                  <w:tcW w:w="2945" w:type="dxa"/>
                  <w:tcMar>
                    <w:top w:w="57" w:type="dxa"/>
                    <w:left w:w="57" w:type="dxa"/>
                    <w:bottom w:w="57" w:type="dxa"/>
                    <w:right w:w="57" w:type="dxa"/>
                  </w:tcMar>
                  <w:vAlign w:val="center"/>
                </w:tcPr>
                <w:p w14:paraId="4E873D55" w14:textId="77777777" w:rsidR="00952724" w:rsidRPr="001E2783" w:rsidRDefault="00952724" w:rsidP="00543418">
                  <w:pPr>
                    <w:pStyle w:val="TableTextLeft"/>
                    <w:rPr>
                      <w:rFonts w:cs="Arial"/>
                      <w:sz w:val="20"/>
                    </w:rPr>
                  </w:pPr>
                  <w:r w:rsidRPr="001E2783">
                    <w:rPr>
                      <w:rFonts w:cs="Arial"/>
                      <w:sz w:val="20"/>
                    </w:rPr>
                    <w:t>DNAS</w:t>
                  </w:r>
                </w:p>
              </w:tc>
              <w:tc>
                <w:tcPr>
                  <w:tcW w:w="2995" w:type="dxa"/>
                  <w:tcMar>
                    <w:top w:w="57" w:type="dxa"/>
                    <w:left w:w="57" w:type="dxa"/>
                    <w:bottom w:w="57" w:type="dxa"/>
                    <w:right w:w="57" w:type="dxa"/>
                  </w:tcMar>
                </w:tcPr>
                <w:p w14:paraId="3548C26B" w14:textId="77777777" w:rsidR="00952724" w:rsidRPr="001E2783" w:rsidRDefault="00952724" w:rsidP="00952724">
                  <w:pPr>
                    <w:pStyle w:val="TableTextLeft"/>
                    <w:jc w:val="right"/>
                    <w:rPr>
                      <w:rFonts w:cs="Arial"/>
                      <w:sz w:val="20"/>
                    </w:rPr>
                  </w:pPr>
                  <w:r w:rsidRPr="001E2783">
                    <w:rPr>
                      <w:rFonts w:cs="Arial"/>
                      <w:sz w:val="20"/>
                    </w:rPr>
                    <w:t>1</w:t>
                  </w:r>
                </w:p>
              </w:tc>
              <w:tc>
                <w:tcPr>
                  <w:tcW w:w="3525" w:type="dxa"/>
                  <w:shd w:val="clear" w:color="auto" w:fill="FFFFFF"/>
                  <w:tcMar>
                    <w:top w:w="57" w:type="dxa"/>
                    <w:left w:w="57" w:type="dxa"/>
                    <w:bottom w:w="57" w:type="dxa"/>
                    <w:right w:w="57" w:type="dxa"/>
                  </w:tcMar>
                </w:tcPr>
                <w:p w14:paraId="435742DC" w14:textId="77777777" w:rsidR="00952724" w:rsidRPr="001E2783" w:rsidRDefault="00952724" w:rsidP="00952724">
                  <w:pPr>
                    <w:pStyle w:val="TableTextLeft"/>
                    <w:jc w:val="right"/>
                    <w:rPr>
                      <w:rFonts w:cs="Arial"/>
                      <w:sz w:val="20"/>
                    </w:rPr>
                  </w:pPr>
                  <w:r w:rsidRPr="001E2783">
                    <w:rPr>
                      <w:rFonts w:cs="Arial"/>
                      <w:sz w:val="20"/>
                    </w:rPr>
                    <w:t>1</w:t>
                  </w:r>
                </w:p>
              </w:tc>
            </w:tr>
            <w:tr w:rsidR="001E2783" w:rsidRPr="001E2783" w14:paraId="053646C7" w14:textId="77777777" w:rsidTr="00657230">
              <w:trPr>
                <w:gridAfter w:val="1"/>
                <w:wAfter w:w="2955" w:type="dxa"/>
              </w:trPr>
              <w:tc>
                <w:tcPr>
                  <w:tcW w:w="2945" w:type="dxa"/>
                  <w:tcMar>
                    <w:top w:w="57" w:type="dxa"/>
                    <w:left w:w="57" w:type="dxa"/>
                    <w:bottom w:w="57" w:type="dxa"/>
                    <w:right w:w="57" w:type="dxa"/>
                  </w:tcMar>
                  <w:vAlign w:val="center"/>
                </w:tcPr>
                <w:p w14:paraId="51C4017E" w14:textId="77777777" w:rsidR="00952724" w:rsidRPr="001E2783" w:rsidRDefault="00952724" w:rsidP="00543418">
                  <w:pPr>
                    <w:pStyle w:val="TableTextLeft"/>
                    <w:rPr>
                      <w:rFonts w:cs="Arial"/>
                      <w:sz w:val="20"/>
                    </w:rPr>
                  </w:pPr>
                  <w:r w:rsidRPr="001E2783">
                    <w:rPr>
                      <w:rFonts w:cs="Arial"/>
                      <w:sz w:val="20"/>
                    </w:rPr>
                    <w:t>Calling card service</w:t>
                  </w:r>
                </w:p>
              </w:tc>
              <w:tc>
                <w:tcPr>
                  <w:tcW w:w="2995" w:type="dxa"/>
                  <w:tcMar>
                    <w:top w:w="57" w:type="dxa"/>
                    <w:left w:w="57" w:type="dxa"/>
                    <w:bottom w:w="57" w:type="dxa"/>
                    <w:right w:w="57" w:type="dxa"/>
                  </w:tcMar>
                </w:tcPr>
                <w:p w14:paraId="677A2533" w14:textId="77777777" w:rsidR="00952724" w:rsidRPr="001E2783" w:rsidRDefault="00952724" w:rsidP="00952724">
                  <w:pPr>
                    <w:pStyle w:val="TableTextLeft"/>
                    <w:jc w:val="right"/>
                    <w:rPr>
                      <w:rFonts w:cs="Arial"/>
                      <w:sz w:val="20"/>
                    </w:rPr>
                  </w:pPr>
                  <w:r w:rsidRPr="001E2783">
                    <w:rPr>
                      <w:rFonts w:cs="Arial"/>
                      <w:sz w:val="20"/>
                    </w:rPr>
                    <w:t>1</w:t>
                  </w:r>
                </w:p>
              </w:tc>
              <w:tc>
                <w:tcPr>
                  <w:tcW w:w="3525" w:type="dxa"/>
                  <w:shd w:val="clear" w:color="auto" w:fill="FFFFFF"/>
                  <w:tcMar>
                    <w:top w:w="57" w:type="dxa"/>
                    <w:left w:w="57" w:type="dxa"/>
                    <w:bottom w:w="57" w:type="dxa"/>
                    <w:right w:w="57" w:type="dxa"/>
                  </w:tcMar>
                </w:tcPr>
                <w:p w14:paraId="53F1FAFB" w14:textId="77777777" w:rsidR="00952724" w:rsidRPr="001E2783" w:rsidRDefault="00952724" w:rsidP="00952724">
                  <w:pPr>
                    <w:pStyle w:val="TableTextLeft"/>
                    <w:jc w:val="right"/>
                    <w:rPr>
                      <w:rFonts w:cs="Arial"/>
                      <w:sz w:val="20"/>
                    </w:rPr>
                  </w:pPr>
                  <w:r w:rsidRPr="001E2783">
                    <w:rPr>
                      <w:rFonts w:cs="Arial"/>
                      <w:sz w:val="20"/>
                    </w:rPr>
                    <w:t>1</w:t>
                  </w:r>
                </w:p>
              </w:tc>
            </w:tr>
            <w:tr w:rsidR="001E2783" w:rsidRPr="001E2783" w14:paraId="25EE1987" w14:textId="77777777" w:rsidTr="00657230">
              <w:trPr>
                <w:gridAfter w:val="1"/>
                <w:wAfter w:w="2955" w:type="dxa"/>
              </w:trPr>
              <w:tc>
                <w:tcPr>
                  <w:tcW w:w="2945" w:type="dxa"/>
                  <w:tcMar>
                    <w:top w:w="57" w:type="dxa"/>
                    <w:left w:w="57" w:type="dxa"/>
                    <w:bottom w:w="57" w:type="dxa"/>
                    <w:right w:w="57" w:type="dxa"/>
                  </w:tcMar>
                  <w:vAlign w:val="center"/>
                </w:tcPr>
                <w:p w14:paraId="0E4600BC" w14:textId="77777777" w:rsidR="00952724" w:rsidRPr="001E2783" w:rsidRDefault="00952724" w:rsidP="00543418">
                  <w:pPr>
                    <w:pStyle w:val="TableTextLeft"/>
                    <w:rPr>
                      <w:rFonts w:cs="Arial"/>
                      <w:sz w:val="20"/>
                    </w:rPr>
                  </w:pPr>
                  <w:r w:rsidRPr="001E2783">
                    <w:rPr>
                      <w:rFonts w:cs="Arial"/>
                      <w:sz w:val="20"/>
                    </w:rPr>
                    <w:t>International service</w:t>
                  </w:r>
                </w:p>
              </w:tc>
              <w:tc>
                <w:tcPr>
                  <w:tcW w:w="2995" w:type="dxa"/>
                  <w:tcMar>
                    <w:top w:w="57" w:type="dxa"/>
                    <w:left w:w="57" w:type="dxa"/>
                    <w:bottom w:w="57" w:type="dxa"/>
                    <w:right w:w="57" w:type="dxa"/>
                  </w:tcMar>
                </w:tcPr>
                <w:p w14:paraId="2E96E7DE" w14:textId="77777777" w:rsidR="00952724" w:rsidRPr="001E2783" w:rsidRDefault="00952724" w:rsidP="00952724">
                  <w:pPr>
                    <w:pStyle w:val="TableTextLeft"/>
                    <w:jc w:val="right"/>
                    <w:rPr>
                      <w:rFonts w:cs="Arial"/>
                      <w:sz w:val="20"/>
                    </w:rPr>
                  </w:pPr>
                  <w:r w:rsidRPr="001E2783">
                    <w:rPr>
                      <w:rFonts w:cs="Arial"/>
                      <w:sz w:val="20"/>
                    </w:rPr>
                    <w:t>1</w:t>
                  </w:r>
                </w:p>
              </w:tc>
              <w:tc>
                <w:tcPr>
                  <w:tcW w:w="3525" w:type="dxa"/>
                  <w:shd w:val="clear" w:color="auto" w:fill="FFFFFF"/>
                  <w:tcMar>
                    <w:top w:w="57" w:type="dxa"/>
                    <w:left w:w="57" w:type="dxa"/>
                    <w:bottom w:w="57" w:type="dxa"/>
                    <w:right w:w="57" w:type="dxa"/>
                  </w:tcMar>
                </w:tcPr>
                <w:p w14:paraId="6E49F2A2" w14:textId="77777777" w:rsidR="00952724" w:rsidRPr="001E2783" w:rsidRDefault="00952724" w:rsidP="00952724">
                  <w:pPr>
                    <w:pStyle w:val="TableTextLeft"/>
                    <w:jc w:val="right"/>
                    <w:rPr>
                      <w:rFonts w:cs="Arial"/>
                      <w:sz w:val="20"/>
                    </w:rPr>
                  </w:pPr>
                  <w:r w:rsidRPr="001E2783">
                    <w:rPr>
                      <w:rFonts w:cs="Arial"/>
                      <w:sz w:val="20"/>
                    </w:rPr>
                    <w:t>1</w:t>
                  </w:r>
                </w:p>
              </w:tc>
            </w:tr>
            <w:tr w:rsidR="001E2783" w:rsidRPr="001E2783" w14:paraId="484B2377" w14:textId="77777777" w:rsidTr="00657230">
              <w:trPr>
                <w:gridAfter w:val="1"/>
                <w:wAfter w:w="2955" w:type="dxa"/>
              </w:trPr>
              <w:tc>
                <w:tcPr>
                  <w:tcW w:w="2945" w:type="dxa"/>
                  <w:tcMar>
                    <w:top w:w="57" w:type="dxa"/>
                    <w:left w:w="57" w:type="dxa"/>
                    <w:bottom w:w="57" w:type="dxa"/>
                    <w:right w:w="57" w:type="dxa"/>
                  </w:tcMar>
                  <w:vAlign w:val="center"/>
                </w:tcPr>
                <w:p w14:paraId="3A562071" w14:textId="77777777" w:rsidR="00952724" w:rsidRPr="001E2783" w:rsidRDefault="00952724" w:rsidP="00543418">
                  <w:pPr>
                    <w:pStyle w:val="TableTextLeft"/>
                    <w:rPr>
                      <w:rFonts w:cs="Arial"/>
                      <w:sz w:val="20"/>
                    </w:rPr>
                  </w:pPr>
                  <w:r w:rsidRPr="001E2783">
                    <w:rPr>
                      <w:rFonts w:cs="Arial"/>
                      <w:sz w:val="20"/>
                    </w:rPr>
                    <w:t>LICS</w:t>
                  </w:r>
                </w:p>
              </w:tc>
              <w:tc>
                <w:tcPr>
                  <w:tcW w:w="2995" w:type="dxa"/>
                  <w:tcMar>
                    <w:top w:w="57" w:type="dxa"/>
                    <w:left w:w="57" w:type="dxa"/>
                    <w:bottom w:w="57" w:type="dxa"/>
                    <w:right w:w="57" w:type="dxa"/>
                  </w:tcMar>
                </w:tcPr>
                <w:p w14:paraId="15276512" w14:textId="77777777" w:rsidR="00952724" w:rsidRPr="001E2783" w:rsidRDefault="00952724" w:rsidP="00952724">
                  <w:pPr>
                    <w:pStyle w:val="TableTextLeft"/>
                    <w:jc w:val="right"/>
                    <w:rPr>
                      <w:rFonts w:cs="Arial"/>
                      <w:sz w:val="20"/>
                    </w:rPr>
                  </w:pPr>
                  <w:r w:rsidRPr="001E2783">
                    <w:rPr>
                      <w:rFonts w:cs="Arial"/>
                      <w:sz w:val="20"/>
                    </w:rPr>
                    <w:t>1</w:t>
                  </w:r>
                </w:p>
              </w:tc>
              <w:tc>
                <w:tcPr>
                  <w:tcW w:w="3525" w:type="dxa"/>
                  <w:shd w:val="clear" w:color="auto" w:fill="FFFFFF"/>
                  <w:tcMar>
                    <w:top w:w="57" w:type="dxa"/>
                    <w:left w:w="57" w:type="dxa"/>
                    <w:bottom w:w="57" w:type="dxa"/>
                    <w:right w:w="57" w:type="dxa"/>
                  </w:tcMar>
                </w:tcPr>
                <w:p w14:paraId="235D2B19" w14:textId="77777777" w:rsidR="00952724" w:rsidRPr="001E2783" w:rsidRDefault="00952724" w:rsidP="00952724">
                  <w:pPr>
                    <w:pStyle w:val="TableTextLeft"/>
                    <w:jc w:val="right"/>
                    <w:rPr>
                      <w:rFonts w:cs="Arial"/>
                      <w:sz w:val="20"/>
                    </w:rPr>
                  </w:pPr>
                  <w:r w:rsidRPr="001E2783">
                    <w:rPr>
                      <w:rFonts w:cs="Arial"/>
                      <w:sz w:val="20"/>
                    </w:rPr>
                    <w:t>1,000</w:t>
                  </w:r>
                </w:p>
              </w:tc>
            </w:tr>
            <w:tr w:rsidR="001E2783" w:rsidRPr="001E2783" w14:paraId="416AB108" w14:textId="77777777" w:rsidTr="00657230">
              <w:tc>
                <w:tcPr>
                  <w:tcW w:w="2945" w:type="dxa"/>
                  <w:tcMar>
                    <w:top w:w="57" w:type="dxa"/>
                    <w:left w:w="57" w:type="dxa"/>
                    <w:bottom w:w="57" w:type="dxa"/>
                    <w:right w:w="57" w:type="dxa"/>
                  </w:tcMar>
                </w:tcPr>
                <w:p w14:paraId="059C6DB7" w14:textId="77777777" w:rsidR="00952724" w:rsidRPr="001E2783" w:rsidRDefault="00952724" w:rsidP="004131EA">
                  <w:pPr>
                    <w:pStyle w:val="TableTextLeft"/>
                    <w:rPr>
                      <w:rFonts w:cs="Arial"/>
                      <w:b/>
                      <w:sz w:val="20"/>
                    </w:rPr>
                  </w:pPr>
                  <w:r w:rsidRPr="001E2783">
                    <w:rPr>
                      <w:rFonts w:cs="Arial"/>
                      <w:b/>
                      <w:sz w:val="20"/>
                    </w:rPr>
                    <w:t>Total numbers surrendered</w:t>
                  </w:r>
                </w:p>
              </w:tc>
              <w:tc>
                <w:tcPr>
                  <w:tcW w:w="2995" w:type="dxa"/>
                  <w:tcMar>
                    <w:top w:w="57" w:type="dxa"/>
                    <w:left w:w="57" w:type="dxa"/>
                    <w:bottom w:w="57" w:type="dxa"/>
                    <w:right w:w="57" w:type="dxa"/>
                  </w:tcMar>
                  <w:vAlign w:val="center"/>
                </w:tcPr>
                <w:p w14:paraId="5D29C505" w14:textId="77777777" w:rsidR="00952724" w:rsidRPr="001E2783" w:rsidRDefault="00952724" w:rsidP="00952724">
                  <w:pPr>
                    <w:pStyle w:val="TableTextLeft"/>
                    <w:jc w:val="right"/>
                    <w:rPr>
                      <w:rFonts w:cs="Arial"/>
                      <w:b/>
                      <w:sz w:val="20"/>
                    </w:rPr>
                  </w:pPr>
                </w:p>
              </w:tc>
              <w:tc>
                <w:tcPr>
                  <w:tcW w:w="3525" w:type="dxa"/>
                  <w:shd w:val="clear" w:color="auto" w:fill="FFFFFF"/>
                  <w:tcMar>
                    <w:top w:w="57" w:type="dxa"/>
                    <w:left w:w="57" w:type="dxa"/>
                    <w:bottom w:w="57" w:type="dxa"/>
                    <w:right w:w="57" w:type="dxa"/>
                  </w:tcMar>
                </w:tcPr>
                <w:p w14:paraId="26782BDB" w14:textId="77777777" w:rsidR="00952724" w:rsidRPr="001E2783" w:rsidRDefault="00952724" w:rsidP="00952724">
                  <w:pPr>
                    <w:pStyle w:val="TableTextLeft"/>
                    <w:jc w:val="right"/>
                    <w:rPr>
                      <w:rFonts w:cs="Arial"/>
                      <w:b/>
                      <w:sz w:val="20"/>
                    </w:rPr>
                  </w:pPr>
                  <w:r w:rsidRPr="001E2783">
                    <w:rPr>
                      <w:rFonts w:cs="Arial"/>
                      <w:b/>
                      <w:sz w:val="20"/>
                    </w:rPr>
                    <w:t>91,007</w:t>
                  </w:r>
                </w:p>
              </w:tc>
              <w:tc>
                <w:tcPr>
                  <w:tcW w:w="2955" w:type="dxa"/>
                  <w:tcMar>
                    <w:top w:w="57" w:type="dxa"/>
                    <w:left w:w="57" w:type="dxa"/>
                    <w:bottom w:w="57" w:type="dxa"/>
                    <w:right w:w="57" w:type="dxa"/>
                  </w:tcMar>
                </w:tcPr>
                <w:p w14:paraId="6B373EA2" w14:textId="77777777" w:rsidR="00952724" w:rsidRPr="001E2783" w:rsidRDefault="00952724" w:rsidP="005B06FF">
                  <w:pPr>
                    <w:jc w:val="right"/>
                    <w:rPr>
                      <w:rFonts w:cs="Arial"/>
                    </w:rPr>
                  </w:pPr>
                  <w:r w:rsidRPr="001E2783">
                    <w:rPr>
                      <w:rFonts w:cs="Arial"/>
                    </w:rPr>
                    <w:t>x</w:t>
                  </w:r>
                </w:p>
              </w:tc>
            </w:tr>
          </w:tbl>
          <w:p w14:paraId="35165434" w14:textId="77777777" w:rsidR="00CC119D" w:rsidRPr="001E2783" w:rsidRDefault="00CC119D" w:rsidP="00C902FF">
            <w:pPr>
              <w:ind w:left="720"/>
              <w:rPr>
                <w:rFonts w:cs="Arial"/>
              </w:rPr>
            </w:pPr>
          </w:p>
        </w:tc>
      </w:tr>
      <w:tr w:rsidR="00CC119D" w:rsidRPr="001E2783" w14:paraId="4E180553" w14:textId="77777777" w:rsidTr="00C902FF">
        <w:trPr>
          <w:trHeight w:val="80"/>
        </w:trPr>
        <w:tc>
          <w:tcPr>
            <w:tcW w:w="9645" w:type="dxa"/>
            <w:tcBorders>
              <w:bottom w:val="single" w:sz="2" w:space="0" w:color="505050"/>
            </w:tcBorders>
            <w:shd w:val="clear" w:color="auto" w:fill="auto"/>
          </w:tcPr>
          <w:p w14:paraId="54C96AEE" w14:textId="77777777" w:rsidR="00CC119D" w:rsidRPr="001E2783" w:rsidRDefault="00CC119D" w:rsidP="00C902FF">
            <w:pPr>
              <w:ind w:left="720"/>
              <w:rPr>
                <w:rFonts w:cs="Arial"/>
              </w:rPr>
            </w:pPr>
          </w:p>
        </w:tc>
      </w:tr>
    </w:tbl>
    <w:p w14:paraId="0A912B54" w14:textId="77777777" w:rsidR="00CC119D" w:rsidRPr="001E2783" w:rsidRDefault="00CC119D" w:rsidP="00CC119D">
      <w:pPr>
        <w:rPr>
          <w:rFonts w:cs="Arial"/>
        </w:rPr>
      </w:pPr>
    </w:p>
    <w:p w14:paraId="7E37F7C0" w14:textId="77777777" w:rsidR="00CC119D" w:rsidRPr="001E2783" w:rsidRDefault="00CC119D" w:rsidP="00CC119D">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5E6F7ED6" w14:textId="77777777" w:rsidTr="00C902FF">
        <w:trPr>
          <w:trHeight w:val="570"/>
        </w:trPr>
        <w:tc>
          <w:tcPr>
            <w:tcW w:w="9645" w:type="dxa"/>
            <w:tcBorders>
              <w:top w:val="single" w:sz="2" w:space="0" w:color="505050"/>
            </w:tcBorders>
            <w:shd w:val="clear" w:color="auto" w:fill="auto"/>
            <w:vAlign w:val="center"/>
          </w:tcPr>
          <w:p w14:paraId="44287078" w14:textId="77777777" w:rsidR="00CC119D" w:rsidRPr="001E2783" w:rsidRDefault="00CC119D" w:rsidP="00B7234B">
            <w:pPr>
              <w:pStyle w:val="Caption"/>
              <w:keepNext/>
              <w:keepLines/>
              <w:rPr>
                <w:rFonts w:ascii="Arial" w:hAnsi="Arial" w:cs="Arial"/>
                <w:color w:val="auto"/>
              </w:rPr>
            </w:pPr>
            <w:r w:rsidRPr="00D3485F">
              <w:rPr>
                <w:rFonts w:ascii="Arial" w:hAnsi="Arial" w:cs="Arial"/>
              </w:rPr>
              <w:t xml:space="preserve">Table </w:t>
            </w:r>
            <w:r w:rsidR="00D27ED3" w:rsidRPr="00D3485F">
              <w:rPr>
                <w:rFonts w:ascii="Arial" w:hAnsi="Arial" w:cs="Arial"/>
              </w:rPr>
              <w:t>12</w:t>
            </w:r>
            <w:r w:rsidRPr="00D3485F">
              <w:rPr>
                <w:rFonts w:ascii="Arial" w:hAnsi="Arial" w:cs="Arial"/>
              </w:rPr>
              <w:t>: Quantity of numbers transf</w:t>
            </w:r>
            <w:r w:rsidR="00937C1C" w:rsidRPr="00D3485F">
              <w:rPr>
                <w:rFonts w:ascii="Arial" w:hAnsi="Arial" w:cs="Arial"/>
              </w:rPr>
              <w:t>erred by number type during 2013</w:t>
            </w:r>
            <w:r w:rsidR="00740827" w:rsidRPr="00D3485F">
              <w:rPr>
                <w:rFonts w:ascii="Arial" w:hAnsi="Arial" w:cs="Arial"/>
              </w:rPr>
              <w:t>–1</w:t>
            </w:r>
            <w:r w:rsidR="00937C1C" w:rsidRPr="00D3485F">
              <w:rPr>
                <w:rFonts w:ascii="Arial" w:hAnsi="Arial" w:cs="Arial"/>
              </w:rPr>
              <w:t>4</w:t>
            </w:r>
          </w:p>
        </w:tc>
      </w:tr>
      <w:tr w:rsidR="001E2783" w:rsidRPr="001E2783" w14:paraId="2EB60E05" w14:textId="77777777" w:rsidTr="00C902FF">
        <w:trPr>
          <w:trHeight w:val="142"/>
        </w:trPr>
        <w:tc>
          <w:tcPr>
            <w:tcW w:w="9645" w:type="dxa"/>
            <w:shd w:val="clear" w:color="auto" w:fill="auto"/>
            <w:tcMar>
              <w:left w:w="28" w:type="dxa"/>
            </w:tcMar>
          </w:tcPr>
          <w:tbl>
            <w:tblPr>
              <w:tblW w:w="9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60"/>
              <w:gridCol w:w="2880"/>
              <w:gridCol w:w="3525"/>
            </w:tblGrid>
            <w:tr w:rsidR="001E2783" w:rsidRPr="001E2783" w14:paraId="1E28BEB8" w14:textId="77777777" w:rsidTr="00657230">
              <w:trPr>
                <w:trHeight w:val="447"/>
              </w:trPr>
              <w:tc>
                <w:tcPr>
                  <w:tcW w:w="3060" w:type="dxa"/>
                  <w:shd w:val="clear" w:color="auto" w:fill="404040" w:themeFill="text1" w:themeFillTint="BF"/>
                  <w:tcMar>
                    <w:top w:w="57" w:type="dxa"/>
                    <w:left w:w="57" w:type="dxa"/>
                    <w:bottom w:w="57" w:type="dxa"/>
                    <w:right w:w="57" w:type="dxa"/>
                  </w:tcMar>
                  <w:vAlign w:val="center"/>
                </w:tcPr>
                <w:p w14:paraId="7661D060" w14:textId="77777777" w:rsidR="00CC119D" w:rsidRPr="004E4548" w:rsidRDefault="00CC119D" w:rsidP="002275A2">
                  <w:pPr>
                    <w:pStyle w:val="ACMATableText"/>
                    <w:spacing w:before="10" w:after="10"/>
                    <w:ind w:left="40"/>
                    <w:rPr>
                      <w:rFonts w:cs="Arial"/>
                      <w:b/>
                      <w:color w:val="FFFFFF" w:themeColor="background1"/>
                    </w:rPr>
                  </w:pPr>
                  <w:r w:rsidRPr="004E4548">
                    <w:rPr>
                      <w:rFonts w:cs="Arial"/>
                      <w:b/>
                      <w:color w:val="FFFFFF" w:themeColor="background1"/>
                    </w:rPr>
                    <w:t>Type of number</w:t>
                  </w:r>
                </w:p>
              </w:tc>
              <w:tc>
                <w:tcPr>
                  <w:tcW w:w="2880" w:type="dxa"/>
                  <w:shd w:val="clear" w:color="auto" w:fill="404040" w:themeFill="text1" w:themeFillTint="BF"/>
                  <w:tcMar>
                    <w:top w:w="57" w:type="dxa"/>
                    <w:left w:w="57" w:type="dxa"/>
                    <w:bottom w:w="57" w:type="dxa"/>
                    <w:right w:w="57" w:type="dxa"/>
                  </w:tcMar>
                  <w:vAlign w:val="center"/>
                </w:tcPr>
                <w:p w14:paraId="2183DDA6" w14:textId="77777777" w:rsidR="00CC119D" w:rsidRPr="004E4548" w:rsidRDefault="00CC119D" w:rsidP="002275A2">
                  <w:pPr>
                    <w:pStyle w:val="ACMATableText"/>
                    <w:spacing w:before="10" w:after="10"/>
                    <w:ind w:left="53"/>
                    <w:rPr>
                      <w:rFonts w:cs="Arial"/>
                      <w:b/>
                      <w:color w:val="FFFFFF" w:themeColor="background1"/>
                    </w:rPr>
                  </w:pPr>
                  <w:r w:rsidRPr="004E4548">
                    <w:rPr>
                      <w:rFonts w:cs="Arial"/>
                      <w:b/>
                      <w:color w:val="FFFFFF" w:themeColor="background1"/>
                    </w:rPr>
                    <w:t>CSPs transferring numbers</w:t>
                  </w:r>
                </w:p>
              </w:tc>
              <w:tc>
                <w:tcPr>
                  <w:tcW w:w="3525" w:type="dxa"/>
                  <w:shd w:val="clear" w:color="auto" w:fill="404040" w:themeFill="text1" w:themeFillTint="BF"/>
                  <w:tcMar>
                    <w:top w:w="57" w:type="dxa"/>
                    <w:left w:w="57" w:type="dxa"/>
                    <w:bottom w:w="57" w:type="dxa"/>
                    <w:right w:w="57" w:type="dxa"/>
                  </w:tcMar>
                  <w:vAlign w:val="center"/>
                </w:tcPr>
                <w:p w14:paraId="5ADAFD00" w14:textId="77777777" w:rsidR="00CC119D" w:rsidRPr="004E4548" w:rsidRDefault="00CC119D" w:rsidP="00970328">
                  <w:pPr>
                    <w:pStyle w:val="ACMATableText"/>
                    <w:spacing w:before="10" w:after="10"/>
                    <w:ind w:left="53"/>
                    <w:jc w:val="right"/>
                    <w:rPr>
                      <w:rFonts w:cs="Arial"/>
                      <w:b/>
                      <w:color w:val="FFFFFF" w:themeColor="background1"/>
                    </w:rPr>
                  </w:pPr>
                  <w:r w:rsidRPr="004E4548">
                    <w:rPr>
                      <w:rFonts w:cs="Arial"/>
                      <w:b/>
                      <w:color w:val="FFFFFF" w:themeColor="background1"/>
                    </w:rPr>
                    <w:t>Quantity of numbers transferred</w:t>
                  </w:r>
                </w:p>
              </w:tc>
            </w:tr>
            <w:tr w:rsidR="001E2783" w:rsidRPr="001E2783" w14:paraId="27D19C02" w14:textId="77777777" w:rsidTr="00657230">
              <w:tc>
                <w:tcPr>
                  <w:tcW w:w="3060" w:type="dxa"/>
                  <w:tcMar>
                    <w:top w:w="57" w:type="dxa"/>
                    <w:left w:w="57" w:type="dxa"/>
                    <w:bottom w:w="57" w:type="dxa"/>
                    <w:right w:w="57" w:type="dxa"/>
                  </w:tcMar>
                  <w:vAlign w:val="center"/>
                </w:tcPr>
                <w:p w14:paraId="1C296AE5" w14:textId="77777777" w:rsidR="00952724" w:rsidRPr="001E2783" w:rsidRDefault="00952724" w:rsidP="00543418">
                  <w:pPr>
                    <w:pStyle w:val="TableTextLeft"/>
                    <w:rPr>
                      <w:rFonts w:cs="Arial"/>
                      <w:sz w:val="20"/>
                    </w:rPr>
                  </w:pPr>
                  <w:r w:rsidRPr="001E2783">
                    <w:rPr>
                      <w:rFonts w:cs="Arial"/>
                      <w:sz w:val="20"/>
                    </w:rPr>
                    <w:t>Geographic</w:t>
                  </w:r>
                </w:p>
              </w:tc>
              <w:tc>
                <w:tcPr>
                  <w:tcW w:w="2880" w:type="dxa"/>
                  <w:tcMar>
                    <w:top w:w="57" w:type="dxa"/>
                    <w:left w:w="57" w:type="dxa"/>
                    <w:bottom w:w="57" w:type="dxa"/>
                    <w:right w:w="57" w:type="dxa"/>
                  </w:tcMar>
                </w:tcPr>
                <w:p w14:paraId="7BF682B1" w14:textId="5B5E4EA9" w:rsidR="00952724" w:rsidRPr="001E2783" w:rsidRDefault="00791856" w:rsidP="00543418">
                  <w:pPr>
                    <w:pStyle w:val="TableTextLeft"/>
                    <w:jc w:val="right"/>
                    <w:rPr>
                      <w:rFonts w:cs="Arial"/>
                      <w:sz w:val="20"/>
                    </w:rPr>
                  </w:pPr>
                  <w:r w:rsidRPr="001E2783">
                    <w:rPr>
                      <w:rFonts w:cs="Arial"/>
                      <w:sz w:val="20"/>
                    </w:rPr>
                    <w:t>6</w:t>
                  </w:r>
                </w:p>
              </w:tc>
              <w:tc>
                <w:tcPr>
                  <w:tcW w:w="3525" w:type="dxa"/>
                  <w:shd w:val="clear" w:color="auto" w:fill="FFFFFF"/>
                  <w:tcMar>
                    <w:top w:w="57" w:type="dxa"/>
                    <w:left w:w="57" w:type="dxa"/>
                    <w:bottom w:w="57" w:type="dxa"/>
                    <w:right w:w="57" w:type="dxa"/>
                  </w:tcMar>
                </w:tcPr>
                <w:p w14:paraId="3B00C6A6" w14:textId="77777777" w:rsidR="00952724" w:rsidRPr="001E2783" w:rsidRDefault="00952724" w:rsidP="00543418">
                  <w:pPr>
                    <w:pStyle w:val="TableTextLeft"/>
                    <w:jc w:val="right"/>
                    <w:rPr>
                      <w:rFonts w:cs="Arial"/>
                      <w:sz w:val="20"/>
                    </w:rPr>
                  </w:pPr>
                  <w:r w:rsidRPr="001E2783">
                    <w:rPr>
                      <w:rFonts w:cs="Arial"/>
                      <w:sz w:val="20"/>
                    </w:rPr>
                    <w:t>3,290,700</w:t>
                  </w:r>
                </w:p>
              </w:tc>
            </w:tr>
            <w:tr w:rsidR="001E2783" w:rsidRPr="001E2783" w14:paraId="5A7D2E20" w14:textId="77777777" w:rsidTr="00657230">
              <w:tc>
                <w:tcPr>
                  <w:tcW w:w="3060" w:type="dxa"/>
                  <w:tcMar>
                    <w:top w:w="57" w:type="dxa"/>
                    <w:left w:w="57" w:type="dxa"/>
                    <w:bottom w:w="57" w:type="dxa"/>
                    <w:right w:w="57" w:type="dxa"/>
                  </w:tcMar>
                  <w:vAlign w:val="center"/>
                </w:tcPr>
                <w:p w14:paraId="2F5ABA11" w14:textId="77777777" w:rsidR="00952724" w:rsidRPr="001E2783" w:rsidRDefault="00952724" w:rsidP="00543418">
                  <w:pPr>
                    <w:pStyle w:val="TableTextLeft"/>
                    <w:rPr>
                      <w:rFonts w:cs="Arial"/>
                      <w:sz w:val="20"/>
                    </w:rPr>
                  </w:pPr>
                  <w:r w:rsidRPr="001E2783">
                    <w:rPr>
                      <w:rFonts w:cs="Arial"/>
                      <w:sz w:val="20"/>
                    </w:rPr>
                    <w:t>LICS</w:t>
                  </w:r>
                </w:p>
              </w:tc>
              <w:tc>
                <w:tcPr>
                  <w:tcW w:w="2880" w:type="dxa"/>
                  <w:tcMar>
                    <w:top w:w="57" w:type="dxa"/>
                    <w:left w:w="57" w:type="dxa"/>
                    <w:bottom w:w="57" w:type="dxa"/>
                    <w:right w:w="57" w:type="dxa"/>
                  </w:tcMar>
                </w:tcPr>
                <w:p w14:paraId="46A0E0A3" w14:textId="77777777" w:rsidR="00952724" w:rsidRPr="001E2783" w:rsidRDefault="00952724" w:rsidP="00543418">
                  <w:pPr>
                    <w:pStyle w:val="TableTextLeft"/>
                    <w:jc w:val="right"/>
                    <w:rPr>
                      <w:rFonts w:cs="Arial"/>
                      <w:sz w:val="20"/>
                    </w:rPr>
                  </w:pPr>
                  <w:r w:rsidRPr="001E2783">
                    <w:rPr>
                      <w:rFonts w:cs="Arial"/>
                      <w:sz w:val="20"/>
                    </w:rPr>
                    <w:t>1</w:t>
                  </w:r>
                </w:p>
              </w:tc>
              <w:tc>
                <w:tcPr>
                  <w:tcW w:w="3525" w:type="dxa"/>
                  <w:shd w:val="clear" w:color="auto" w:fill="FFFFFF"/>
                  <w:tcMar>
                    <w:top w:w="57" w:type="dxa"/>
                    <w:left w:w="57" w:type="dxa"/>
                    <w:bottom w:w="57" w:type="dxa"/>
                    <w:right w:w="57" w:type="dxa"/>
                  </w:tcMar>
                </w:tcPr>
                <w:p w14:paraId="24D6AB7A" w14:textId="77777777" w:rsidR="00952724" w:rsidRPr="001E2783" w:rsidRDefault="00952724" w:rsidP="00543418">
                  <w:pPr>
                    <w:pStyle w:val="TableTextLeft"/>
                    <w:jc w:val="right"/>
                    <w:rPr>
                      <w:rFonts w:cs="Arial"/>
                      <w:sz w:val="20"/>
                    </w:rPr>
                  </w:pPr>
                  <w:r w:rsidRPr="001E2783">
                    <w:rPr>
                      <w:rFonts w:cs="Arial"/>
                      <w:sz w:val="20"/>
                    </w:rPr>
                    <w:t>1,000</w:t>
                  </w:r>
                </w:p>
              </w:tc>
            </w:tr>
            <w:tr w:rsidR="001E2783" w:rsidRPr="001E2783" w14:paraId="63D85072" w14:textId="77777777" w:rsidTr="00657230">
              <w:tc>
                <w:tcPr>
                  <w:tcW w:w="3060" w:type="dxa"/>
                  <w:tcMar>
                    <w:top w:w="57" w:type="dxa"/>
                    <w:left w:w="57" w:type="dxa"/>
                    <w:bottom w:w="57" w:type="dxa"/>
                    <w:right w:w="57" w:type="dxa"/>
                  </w:tcMar>
                </w:tcPr>
                <w:p w14:paraId="0F5F746B" w14:textId="77777777" w:rsidR="00952724" w:rsidRPr="001E2783" w:rsidRDefault="00952724" w:rsidP="00543418">
                  <w:pPr>
                    <w:pStyle w:val="TableTextLeft"/>
                    <w:rPr>
                      <w:rFonts w:cs="Arial"/>
                      <w:b/>
                      <w:sz w:val="20"/>
                    </w:rPr>
                  </w:pPr>
                  <w:r w:rsidRPr="001E2783">
                    <w:rPr>
                      <w:rFonts w:cs="Arial"/>
                      <w:b/>
                      <w:sz w:val="20"/>
                    </w:rPr>
                    <w:t>Total numbers transferred</w:t>
                  </w:r>
                </w:p>
              </w:tc>
              <w:tc>
                <w:tcPr>
                  <w:tcW w:w="2880" w:type="dxa"/>
                  <w:tcMar>
                    <w:top w:w="57" w:type="dxa"/>
                    <w:left w:w="57" w:type="dxa"/>
                    <w:bottom w:w="57" w:type="dxa"/>
                    <w:right w:w="57" w:type="dxa"/>
                  </w:tcMar>
                  <w:vAlign w:val="center"/>
                </w:tcPr>
                <w:p w14:paraId="5C01EAD6" w14:textId="77777777" w:rsidR="00952724" w:rsidRPr="001E2783" w:rsidRDefault="00952724" w:rsidP="00543418">
                  <w:pPr>
                    <w:pStyle w:val="TableTextLeft"/>
                    <w:jc w:val="right"/>
                    <w:rPr>
                      <w:rFonts w:cs="Arial"/>
                      <w:b/>
                      <w:sz w:val="20"/>
                    </w:rPr>
                  </w:pPr>
                </w:p>
              </w:tc>
              <w:tc>
                <w:tcPr>
                  <w:tcW w:w="3525" w:type="dxa"/>
                  <w:shd w:val="clear" w:color="auto" w:fill="FFFFFF"/>
                  <w:tcMar>
                    <w:top w:w="57" w:type="dxa"/>
                    <w:left w:w="57" w:type="dxa"/>
                    <w:bottom w:w="57" w:type="dxa"/>
                    <w:right w:w="57" w:type="dxa"/>
                  </w:tcMar>
                  <w:vAlign w:val="center"/>
                </w:tcPr>
                <w:p w14:paraId="509AF5E6" w14:textId="77777777" w:rsidR="00952724" w:rsidRPr="001E2783" w:rsidRDefault="00952724" w:rsidP="00543418">
                  <w:pPr>
                    <w:pStyle w:val="TableTextLeft"/>
                    <w:jc w:val="right"/>
                    <w:rPr>
                      <w:rFonts w:cs="Arial"/>
                      <w:b/>
                      <w:sz w:val="20"/>
                    </w:rPr>
                  </w:pPr>
                  <w:r w:rsidRPr="001E2783">
                    <w:rPr>
                      <w:rFonts w:cs="Arial"/>
                      <w:b/>
                      <w:sz w:val="20"/>
                    </w:rPr>
                    <w:t>3,291,700</w:t>
                  </w:r>
                </w:p>
              </w:tc>
            </w:tr>
          </w:tbl>
          <w:p w14:paraId="7C9301B9" w14:textId="77777777" w:rsidR="00CC119D" w:rsidRPr="001E2783" w:rsidRDefault="00CC119D" w:rsidP="00C902FF">
            <w:pPr>
              <w:ind w:left="720"/>
              <w:rPr>
                <w:rFonts w:cs="Arial"/>
              </w:rPr>
            </w:pPr>
          </w:p>
        </w:tc>
      </w:tr>
      <w:tr w:rsidR="00CC119D" w:rsidRPr="001E2783" w14:paraId="77E3366E" w14:textId="77777777" w:rsidTr="00C902FF">
        <w:trPr>
          <w:trHeight w:val="80"/>
        </w:trPr>
        <w:tc>
          <w:tcPr>
            <w:tcW w:w="9645" w:type="dxa"/>
            <w:tcBorders>
              <w:bottom w:val="single" w:sz="2" w:space="0" w:color="505050"/>
            </w:tcBorders>
            <w:shd w:val="clear" w:color="auto" w:fill="auto"/>
          </w:tcPr>
          <w:p w14:paraId="19449A61" w14:textId="77777777" w:rsidR="00CC119D" w:rsidRPr="001E2783" w:rsidRDefault="00CC119D" w:rsidP="00C902FF">
            <w:pPr>
              <w:ind w:left="720"/>
              <w:rPr>
                <w:rFonts w:cs="Arial"/>
              </w:rPr>
            </w:pPr>
          </w:p>
        </w:tc>
      </w:tr>
    </w:tbl>
    <w:p w14:paraId="62AC06D4" w14:textId="77777777" w:rsidR="00CC119D" w:rsidRPr="001E2783" w:rsidRDefault="00CC119D" w:rsidP="00CC119D">
      <w:pPr>
        <w:rPr>
          <w:rFonts w:cs="Arial"/>
        </w:rPr>
      </w:pPr>
    </w:p>
    <w:p w14:paraId="7C8EF05E" w14:textId="77777777" w:rsidR="00CC119D" w:rsidRPr="001E2783" w:rsidRDefault="00937C1C" w:rsidP="003C4144">
      <w:pPr>
        <w:keepNext/>
        <w:keepLines/>
        <w:rPr>
          <w:rFonts w:cs="Arial"/>
        </w:rPr>
      </w:pPr>
      <w:r w:rsidRPr="001E2783">
        <w:rPr>
          <w:rFonts w:cs="Arial"/>
        </w:rPr>
        <w:t xml:space="preserve">INMS is contracted to the ACMA to provide delegated services to industry for freephone (1800), local rate (13) and six- and eight-digit premium rate numbers. Services undertaken by INMS include number allocations, withdrawals, reservations and placements in quarantine. Table </w:t>
      </w:r>
      <w:r w:rsidR="00D27ED3" w:rsidRPr="001E2783">
        <w:rPr>
          <w:rFonts w:cs="Arial"/>
        </w:rPr>
        <w:t>13</w:t>
      </w:r>
      <w:r w:rsidRPr="001E2783">
        <w:rPr>
          <w:rFonts w:cs="Arial"/>
        </w:rPr>
        <w:t xml:space="preserve"> shows the quantity of numbers allocated by INMS and Table </w:t>
      </w:r>
      <w:r w:rsidR="00D27ED3" w:rsidRPr="001E2783">
        <w:rPr>
          <w:rFonts w:cs="Arial"/>
        </w:rPr>
        <w:t xml:space="preserve">14 </w:t>
      </w:r>
      <w:r w:rsidRPr="001E2783">
        <w:rPr>
          <w:rFonts w:cs="Arial"/>
        </w:rPr>
        <w:t>shows the quantity surrendered in 2013–14 by number type.</w:t>
      </w:r>
    </w:p>
    <w:p w14:paraId="12A841EF" w14:textId="77777777" w:rsidR="00937C1C" w:rsidRPr="001E2783" w:rsidRDefault="00937C1C" w:rsidP="00CC119D">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0CCFD3FE" w14:textId="77777777" w:rsidTr="00C902FF">
        <w:trPr>
          <w:trHeight w:val="570"/>
        </w:trPr>
        <w:tc>
          <w:tcPr>
            <w:tcW w:w="9645" w:type="dxa"/>
            <w:tcBorders>
              <w:top w:val="single" w:sz="2" w:space="0" w:color="505050"/>
            </w:tcBorders>
            <w:shd w:val="clear" w:color="auto" w:fill="auto"/>
            <w:vAlign w:val="center"/>
          </w:tcPr>
          <w:p w14:paraId="5BF623FF" w14:textId="77777777" w:rsidR="00CC119D" w:rsidRPr="001E2783" w:rsidRDefault="00CC119D" w:rsidP="00B7234B">
            <w:pPr>
              <w:pStyle w:val="Caption"/>
              <w:keepNext/>
              <w:keepLines/>
              <w:rPr>
                <w:rFonts w:ascii="Arial" w:hAnsi="Arial" w:cs="Arial"/>
                <w:color w:val="auto"/>
              </w:rPr>
            </w:pPr>
            <w:r w:rsidRPr="00D3485F">
              <w:rPr>
                <w:rFonts w:ascii="Arial" w:hAnsi="Arial" w:cs="Arial"/>
              </w:rPr>
              <w:t xml:space="preserve">Table </w:t>
            </w:r>
            <w:r w:rsidR="00D27ED3" w:rsidRPr="00D3485F">
              <w:rPr>
                <w:rFonts w:ascii="Arial" w:hAnsi="Arial" w:cs="Arial"/>
              </w:rPr>
              <w:t>13</w:t>
            </w:r>
            <w:r w:rsidRPr="00D3485F">
              <w:rPr>
                <w:rFonts w:ascii="Arial" w:hAnsi="Arial" w:cs="Arial"/>
              </w:rPr>
              <w:t>: Quantity of numbers allocated by INMS by number t</w:t>
            </w:r>
            <w:r w:rsidR="00937C1C" w:rsidRPr="00D3485F">
              <w:rPr>
                <w:rFonts w:ascii="Arial" w:hAnsi="Arial" w:cs="Arial"/>
              </w:rPr>
              <w:t>ype and digit length during 2013</w:t>
            </w:r>
            <w:r w:rsidR="00A361D5" w:rsidRPr="00D3485F">
              <w:rPr>
                <w:rFonts w:ascii="Arial" w:hAnsi="Arial" w:cs="Arial"/>
              </w:rPr>
              <w:t>–1</w:t>
            </w:r>
            <w:r w:rsidR="00937C1C" w:rsidRPr="00D3485F">
              <w:rPr>
                <w:rFonts w:ascii="Arial" w:hAnsi="Arial" w:cs="Arial"/>
              </w:rPr>
              <w:t>4</w:t>
            </w:r>
          </w:p>
        </w:tc>
      </w:tr>
      <w:tr w:rsidR="001E2783" w:rsidRPr="001E2783" w14:paraId="24668712" w14:textId="77777777" w:rsidTr="00C902FF">
        <w:trPr>
          <w:trHeight w:val="1099"/>
        </w:trPr>
        <w:tc>
          <w:tcPr>
            <w:tcW w:w="9645" w:type="dxa"/>
            <w:shd w:val="clear" w:color="auto" w:fill="auto"/>
            <w:tcMar>
              <w:left w:w="28" w:type="dxa"/>
            </w:tcMar>
          </w:tcPr>
          <w:tbl>
            <w:tblPr>
              <w:tblW w:w="9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40"/>
              <w:gridCol w:w="3525"/>
            </w:tblGrid>
            <w:tr w:rsidR="001E2783" w:rsidRPr="001E2783" w14:paraId="3269C2D9" w14:textId="77777777" w:rsidTr="00084B92">
              <w:trPr>
                <w:trHeight w:val="355"/>
              </w:trPr>
              <w:tc>
                <w:tcPr>
                  <w:tcW w:w="5940" w:type="dxa"/>
                  <w:shd w:val="clear" w:color="auto" w:fill="404040" w:themeFill="text1" w:themeFillTint="BF"/>
                  <w:tcMar>
                    <w:top w:w="57" w:type="dxa"/>
                    <w:left w:w="57" w:type="dxa"/>
                    <w:bottom w:w="57" w:type="dxa"/>
                    <w:right w:w="57" w:type="dxa"/>
                  </w:tcMar>
                  <w:vAlign w:val="center"/>
                </w:tcPr>
                <w:p w14:paraId="1C046F66" w14:textId="77777777" w:rsidR="00272C9E" w:rsidRPr="004E4548" w:rsidRDefault="00272C9E" w:rsidP="004131EA">
                  <w:pPr>
                    <w:pStyle w:val="TableHeading"/>
                    <w:keepNext/>
                    <w:keepLines/>
                    <w:rPr>
                      <w:rFonts w:ascii="Arial" w:hAnsi="Arial" w:cs="Arial"/>
                      <w:color w:val="FFFFFF" w:themeColor="background1"/>
                    </w:rPr>
                  </w:pPr>
                  <w:r w:rsidRPr="004E4548">
                    <w:rPr>
                      <w:rFonts w:ascii="Arial" w:hAnsi="Arial" w:cs="Arial"/>
                      <w:color w:val="FFFFFF" w:themeColor="background1"/>
                    </w:rPr>
                    <w:t>Type of number</w:t>
                  </w:r>
                </w:p>
              </w:tc>
              <w:tc>
                <w:tcPr>
                  <w:tcW w:w="3525" w:type="dxa"/>
                  <w:shd w:val="clear" w:color="auto" w:fill="404040" w:themeFill="text1" w:themeFillTint="BF"/>
                  <w:tcMar>
                    <w:top w:w="57" w:type="dxa"/>
                    <w:left w:w="57" w:type="dxa"/>
                    <w:bottom w:w="57" w:type="dxa"/>
                    <w:right w:w="57" w:type="dxa"/>
                  </w:tcMar>
                  <w:vAlign w:val="center"/>
                </w:tcPr>
                <w:p w14:paraId="71325167" w14:textId="77777777" w:rsidR="00272C9E" w:rsidRPr="004E4548" w:rsidRDefault="00272C9E" w:rsidP="00970328">
                  <w:pPr>
                    <w:pStyle w:val="TableHeading"/>
                    <w:keepNext/>
                    <w:keepLines/>
                    <w:jc w:val="right"/>
                    <w:rPr>
                      <w:rFonts w:ascii="Arial" w:hAnsi="Arial" w:cs="Arial"/>
                      <w:color w:val="FFFFFF" w:themeColor="background1"/>
                    </w:rPr>
                  </w:pPr>
                  <w:r w:rsidRPr="004E4548">
                    <w:rPr>
                      <w:rFonts w:ascii="Arial" w:hAnsi="Arial" w:cs="Arial"/>
                      <w:color w:val="FFFFFF" w:themeColor="background1"/>
                    </w:rPr>
                    <w:t>Quantity of numbers allocated</w:t>
                  </w:r>
                </w:p>
              </w:tc>
            </w:tr>
            <w:tr w:rsidR="001E2783" w:rsidRPr="001E2783" w14:paraId="516266D8" w14:textId="77777777" w:rsidTr="00084B92">
              <w:tc>
                <w:tcPr>
                  <w:tcW w:w="5940" w:type="dxa"/>
                  <w:tcMar>
                    <w:top w:w="57" w:type="dxa"/>
                    <w:left w:w="57" w:type="dxa"/>
                    <w:bottom w:w="57" w:type="dxa"/>
                    <w:right w:w="57" w:type="dxa"/>
                  </w:tcMar>
                </w:tcPr>
                <w:p w14:paraId="1E64BE00" w14:textId="77777777" w:rsidR="00952724" w:rsidRPr="001E2783" w:rsidRDefault="00952724" w:rsidP="004131EA">
                  <w:pPr>
                    <w:pStyle w:val="TableTextLeft"/>
                    <w:keepNext/>
                    <w:keepLines/>
                    <w:rPr>
                      <w:rFonts w:cs="Arial"/>
                      <w:sz w:val="20"/>
                    </w:rPr>
                  </w:pPr>
                  <w:r w:rsidRPr="001E2783">
                    <w:rPr>
                      <w:rFonts w:cs="Arial"/>
                      <w:sz w:val="20"/>
                    </w:rPr>
                    <w:t>Freephone and local rate (1800, 1300, 13)</w:t>
                  </w:r>
                </w:p>
              </w:tc>
              <w:tc>
                <w:tcPr>
                  <w:tcW w:w="3525" w:type="dxa"/>
                  <w:shd w:val="clear" w:color="auto" w:fill="FFFFFF"/>
                  <w:tcMar>
                    <w:top w:w="57" w:type="dxa"/>
                    <w:left w:w="57" w:type="dxa"/>
                    <w:bottom w:w="57" w:type="dxa"/>
                    <w:right w:w="57" w:type="dxa"/>
                  </w:tcMar>
                </w:tcPr>
                <w:p w14:paraId="19D9BE33" w14:textId="77777777" w:rsidR="00952724" w:rsidRPr="001E2783" w:rsidRDefault="00952724" w:rsidP="00952724">
                  <w:pPr>
                    <w:pStyle w:val="TableTextLeft"/>
                    <w:keepNext/>
                    <w:keepLines/>
                    <w:jc w:val="right"/>
                    <w:rPr>
                      <w:rFonts w:cs="Arial"/>
                      <w:sz w:val="20"/>
                    </w:rPr>
                  </w:pPr>
                  <w:r w:rsidRPr="001E2783">
                    <w:rPr>
                      <w:rFonts w:cs="Arial"/>
                      <w:sz w:val="20"/>
                    </w:rPr>
                    <w:t>54,769</w:t>
                  </w:r>
                </w:p>
              </w:tc>
            </w:tr>
            <w:tr w:rsidR="001E2783" w:rsidRPr="001E2783" w14:paraId="5289D18C" w14:textId="77777777" w:rsidTr="00084B92">
              <w:tc>
                <w:tcPr>
                  <w:tcW w:w="5940" w:type="dxa"/>
                  <w:tcMar>
                    <w:top w:w="57" w:type="dxa"/>
                    <w:left w:w="57" w:type="dxa"/>
                    <w:bottom w:w="57" w:type="dxa"/>
                    <w:right w:w="57" w:type="dxa"/>
                  </w:tcMar>
                </w:tcPr>
                <w:p w14:paraId="47104EC6" w14:textId="77777777" w:rsidR="00952724" w:rsidRPr="001E2783" w:rsidRDefault="00952724" w:rsidP="004131EA">
                  <w:pPr>
                    <w:pStyle w:val="TableTextLeft"/>
                    <w:keepNext/>
                    <w:keepLines/>
                    <w:rPr>
                      <w:rFonts w:cs="Arial"/>
                      <w:sz w:val="20"/>
                    </w:rPr>
                  </w:pPr>
                  <w:r w:rsidRPr="001E2783">
                    <w:rPr>
                      <w:rFonts w:cs="Arial"/>
                      <w:sz w:val="20"/>
                    </w:rPr>
                    <w:t>Premium rate numbers (six- and eight-digit 19 numbers)</w:t>
                  </w:r>
                </w:p>
              </w:tc>
              <w:tc>
                <w:tcPr>
                  <w:tcW w:w="3525" w:type="dxa"/>
                  <w:shd w:val="clear" w:color="auto" w:fill="FFFFFF"/>
                  <w:tcMar>
                    <w:top w:w="57" w:type="dxa"/>
                    <w:left w:w="57" w:type="dxa"/>
                    <w:bottom w:w="57" w:type="dxa"/>
                    <w:right w:w="57" w:type="dxa"/>
                  </w:tcMar>
                </w:tcPr>
                <w:p w14:paraId="57AAE7C2" w14:textId="77777777" w:rsidR="00952724" w:rsidRPr="001E2783" w:rsidRDefault="00952724" w:rsidP="00952724">
                  <w:pPr>
                    <w:pStyle w:val="TableTextLeft"/>
                    <w:keepNext/>
                    <w:keepLines/>
                    <w:jc w:val="right"/>
                    <w:rPr>
                      <w:rFonts w:cs="Arial"/>
                      <w:sz w:val="20"/>
                    </w:rPr>
                  </w:pPr>
                  <w:r w:rsidRPr="001E2783">
                    <w:rPr>
                      <w:rFonts w:cs="Arial"/>
                      <w:sz w:val="20"/>
                    </w:rPr>
                    <w:t>44</w:t>
                  </w:r>
                </w:p>
              </w:tc>
            </w:tr>
            <w:tr w:rsidR="001E2783" w:rsidRPr="001E2783" w14:paraId="68E49891" w14:textId="77777777" w:rsidTr="00084B92">
              <w:tc>
                <w:tcPr>
                  <w:tcW w:w="5940" w:type="dxa"/>
                  <w:tcMar>
                    <w:top w:w="57" w:type="dxa"/>
                    <w:left w:w="57" w:type="dxa"/>
                    <w:bottom w:w="57" w:type="dxa"/>
                    <w:right w:w="57" w:type="dxa"/>
                  </w:tcMar>
                </w:tcPr>
                <w:p w14:paraId="0C38BA0F" w14:textId="77777777" w:rsidR="00952724" w:rsidRPr="001E2783" w:rsidRDefault="00952724" w:rsidP="004131EA">
                  <w:pPr>
                    <w:pStyle w:val="TableTextLeft"/>
                    <w:keepNext/>
                    <w:keepLines/>
                    <w:rPr>
                      <w:rFonts w:cs="Arial"/>
                      <w:b/>
                      <w:sz w:val="20"/>
                    </w:rPr>
                  </w:pPr>
                  <w:r w:rsidRPr="001E2783">
                    <w:rPr>
                      <w:rFonts w:cs="Arial"/>
                      <w:b/>
                      <w:sz w:val="20"/>
                    </w:rPr>
                    <w:t>Total numbers allocated</w:t>
                  </w:r>
                </w:p>
              </w:tc>
              <w:tc>
                <w:tcPr>
                  <w:tcW w:w="3525" w:type="dxa"/>
                  <w:shd w:val="clear" w:color="auto" w:fill="FFFFFF"/>
                  <w:tcMar>
                    <w:top w:w="57" w:type="dxa"/>
                    <w:left w:w="57" w:type="dxa"/>
                    <w:bottom w:w="57" w:type="dxa"/>
                    <w:right w:w="57" w:type="dxa"/>
                  </w:tcMar>
                </w:tcPr>
                <w:p w14:paraId="77468EE3" w14:textId="77777777" w:rsidR="00952724" w:rsidRPr="001E2783" w:rsidRDefault="00952724" w:rsidP="00952724">
                  <w:pPr>
                    <w:pStyle w:val="TableTextLeft"/>
                    <w:keepNext/>
                    <w:keepLines/>
                    <w:jc w:val="right"/>
                    <w:rPr>
                      <w:rFonts w:cs="Arial"/>
                      <w:b/>
                      <w:sz w:val="20"/>
                    </w:rPr>
                  </w:pPr>
                  <w:r w:rsidRPr="001E2783">
                    <w:rPr>
                      <w:rFonts w:cs="Arial"/>
                      <w:b/>
                      <w:sz w:val="20"/>
                    </w:rPr>
                    <w:t>54,813</w:t>
                  </w:r>
                </w:p>
              </w:tc>
            </w:tr>
          </w:tbl>
          <w:p w14:paraId="24BDE77E" w14:textId="77777777" w:rsidR="00CC119D" w:rsidRPr="001E2783" w:rsidRDefault="00CC119D" w:rsidP="004131EA">
            <w:pPr>
              <w:pStyle w:val="TableTextLeft"/>
              <w:rPr>
                <w:rFonts w:cs="Arial"/>
              </w:rPr>
            </w:pPr>
          </w:p>
        </w:tc>
      </w:tr>
      <w:tr w:rsidR="00CC119D" w:rsidRPr="001E2783" w14:paraId="39C6232D" w14:textId="77777777" w:rsidTr="00C902FF">
        <w:trPr>
          <w:trHeight w:val="80"/>
        </w:trPr>
        <w:tc>
          <w:tcPr>
            <w:tcW w:w="9645" w:type="dxa"/>
            <w:tcBorders>
              <w:bottom w:val="single" w:sz="2" w:space="0" w:color="505050"/>
            </w:tcBorders>
            <w:shd w:val="clear" w:color="auto" w:fill="auto"/>
          </w:tcPr>
          <w:p w14:paraId="0C587D28" w14:textId="77777777" w:rsidR="00CC119D" w:rsidRPr="001E2783" w:rsidRDefault="00CC119D" w:rsidP="004131EA">
            <w:pPr>
              <w:pStyle w:val="TableTextLeft"/>
              <w:rPr>
                <w:rFonts w:cs="Arial"/>
              </w:rPr>
            </w:pPr>
          </w:p>
        </w:tc>
      </w:tr>
    </w:tbl>
    <w:p w14:paraId="01403F4E" w14:textId="77777777" w:rsidR="00CC119D" w:rsidRPr="001E2783" w:rsidRDefault="00CC119D" w:rsidP="00084B92">
      <w:pPr>
        <w:ind w:left="142"/>
        <w:rPr>
          <w:rFonts w:cs="Arial"/>
        </w:rPr>
      </w:pPr>
    </w:p>
    <w:p w14:paraId="18C95187" w14:textId="77777777" w:rsidR="00084B92" w:rsidRPr="001E2783" w:rsidRDefault="00084B92" w:rsidP="00084B92">
      <w:pPr>
        <w:ind w:left="142"/>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D3485F" w14:paraId="63A9E80D" w14:textId="77777777" w:rsidTr="00C902FF">
        <w:trPr>
          <w:trHeight w:val="570"/>
        </w:trPr>
        <w:tc>
          <w:tcPr>
            <w:tcW w:w="9645" w:type="dxa"/>
            <w:tcBorders>
              <w:top w:val="single" w:sz="2" w:space="0" w:color="505050"/>
            </w:tcBorders>
            <w:shd w:val="clear" w:color="auto" w:fill="auto"/>
            <w:vAlign w:val="center"/>
          </w:tcPr>
          <w:p w14:paraId="7E4978BD" w14:textId="77777777" w:rsidR="00CC119D" w:rsidRPr="00D3485F" w:rsidRDefault="00CC119D" w:rsidP="00B7234B">
            <w:pPr>
              <w:pStyle w:val="Caption"/>
              <w:keepNext/>
              <w:keepLines/>
              <w:rPr>
                <w:rFonts w:ascii="Arial" w:hAnsi="Arial" w:cs="Arial"/>
              </w:rPr>
            </w:pPr>
            <w:r w:rsidRPr="00D3485F">
              <w:rPr>
                <w:rFonts w:ascii="Arial" w:hAnsi="Arial" w:cs="Arial"/>
              </w:rPr>
              <w:t xml:space="preserve">Table </w:t>
            </w:r>
            <w:r w:rsidR="00D27ED3" w:rsidRPr="00D3485F">
              <w:rPr>
                <w:rFonts w:ascii="Arial" w:hAnsi="Arial" w:cs="Arial"/>
              </w:rPr>
              <w:t>14</w:t>
            </w:r>
            <w:r w:rsidRPr="00D3485F">
              <w:rPr>
                <w:rFonts w:ascii="Arial" w:hAnsi="Arial" w:cs="Arial"/>
              </w:rPr>
              <w:t>: Quantity of numbers surrendered by INMS by number t</w:t>
            </w:r>
            <w:r w:rsidR="00937C1C" w:rsidRPr="00D3485F">
              <w:rPr>
                <w:rFonts w:ascii="Arial" w:hAnsi="Arial" w:cs="Arial"/>
              </w:rPr>
              <w:t>ype and digit length during 2013</w:t>
            </w:r>
            <w:r w:rsidR="00A361D5" w:rsidRPr="00D3485F">
              <w:rPr>
                <w:rFonts w:ascii="Arial" w:hAnsi="Arial" w:cs="Arial"/>
              </w:rPr>
              <w:t>–1</w:t>
            </w:r>
            <w:r w:rsidR="00937C1C" w:rsidRPr="00D3485F">
              <w:rPr>
                <w:rFonts w:ascii="Arial" w:hAnsi="Arial" w:cs="Arial"/>
              </w:rPr>
              <w:t>4</w:t>
            </w:r>
          </w:p>
        </w:tc>
      </w:tr>
      <w:tr w:rsidR="001E2783" w:rsidRPr="001E2783" w14:paraId="67477A4A" w14:textId="77777777" w:rsidTr="00C902FF">
        <w:trPr>
          <w:trHeight w:val="1287"/>
        </w:trPr>
        <w:tc>
          <w:tcPr>
            <w:tcW w:w="9645" w:type="dxa"/>
            <w:shd w:val="clear" w:color="auto" w:fill="auto"/>
            <w:tcMar>
              <w:left w:w="28" w:type="dxa"/>
            </w:tcMar>
          </w:tcPr>
          <w:tbl>
            <w:tblPr>
              <w:tblW w:w="94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38"/>
              <w:gridCol w:w="3544"/>
            </w:tblGrid>
            <w:tr w:rsidR="001E2783" w:rsidRPr="001E2783" w14:paraId="7397EF41" w14:textId="77777777" w:rsidTr="00084B92">
              <w:trPr>
                <w:trHeight w:val="408"/>
              </w:trPr>
              <w:tc>
                <w:tcPr>
                  <w:tcW w:w="5938" w:type="dxa"/>
                  <w:shd w:val="clear" w:color="auto" w:fill="404040" w:themeFill="text1" w:themeFillTint="BF"/>
                  <w:tcMar>
                    <w:top w:w="57" w:type="dxa"/>
                    <w:left w:w="57" w:type="dxa"/>
                    <w:bottom w:w="57" w:type="dxa"/>
                    <w:right w:w="57" w:type="dxa"/>
                  </w:tcMar>
                  <w:vAlign w:val="center"/>
                </w:tcPr>
                <w:p w14:paraId="083826D9" w14:textId="77777777" w:rsidR="00272C9E" w:rsidRPr="004E4548" w:rsidRDefault="00272C9E" w:rsidP="004131EA">
                  <w:pPr>
                    <w:pStyle w:val="TableHeading"/>
                    <w:rPr>
                      <w:rFonts w:ascii="Arial" w:hAnsi="Arial" w:cs="Arial"/>
                      <w:color w:val="FFFFFF" w:themeColor="background1"/>
                    </w:rPr>
                  </w:pPr>
                  <w:r w:rsidRPr="004E4548">
                    <w:rPr>
                      <w:rFonts w:ascii="Arial" w:hAnsi="Arial" w:cs="Arial"/>
                      <w:color w:val="FFFFFF" w:themeColor="background1"/>
                    </w:rPr>
                    <w:t>Type of number</w:t>
                  </w:r>
                </w:p>
              </w:tc>
              <w:tc>
                <w:tcPr>
                  <w:tcW w:w="3544" w:type="dxa"/>
                  <w:shd w:val="clear" w:color="auto" w:fill="404040" w:themeFill="text1" w:themeFillTint="BF"/>
                  <w:tcMar>
                    <w:top w:w="57" w:type="dxa"/>
                    <w:left w:w="57" w:type="dxa"/>
                    <w:bottom w:w="57" w:type="dxa"/>
                    <w:right w:w="57" w:type="dxa"/>
                  </w:tcMar>
                  <w:vAlign w:val="center"/>
                </w:tcPr>
                <w:p w14:paraId="6D370A6D" w14:textId="77777777" w:rsidR="00272C9E" w:rsidRPr="004E4548" w:rsidRDefault="00272C9E" w:rsidP="00970328">
                  <w:pPr>
                    <w:pStyle w:val="TableHeading"/>
                    <w:jc w:val="right"/>
                    <w:rPr>
                      <w:rFonts w:ascii="Arial" w:hAnsi="Arial" w:cs="Arial"/>
                      <w:color w:val="FFFFFF" w:themeColor="background1"/>
                    </w:rPr>
                  </w:pPr>
                  <w:r w:rsidRPr="004E4548">
                    <w:rPr>
                      <w:rFonts w:ascii="Arial" w:hAnsi="Arial" w:cs="Arial"/>
                      <w:color w:val="FFFFFF" w:themeColor="background1"/>
                    </w:rPr>
                    <w:t>Quantity of numbers surrendered</w:t>
                  </w:r>
                </w:p>
              </w:tc>
            </w:tr>
            <w:tr w:rsidR="001E2783" w:rsidRPr="001E2783" w14:paraId="2201CD41" w14:textId="77777777" w:rsidTr="00084B92">
              <w:tc>
                <w:tcPr>
                  <w:tcW w:w="5938" w:type="dxa"/>
                  <w:tcMar>
                    <w:top w:w="57" w:type="dxa"/>
                    <w:left w:w="57" w:type="dxa"/>
                    <w:bottom w:w="57" w:type="dxa"/>
                    <w:right w:w="57" w:type="dxa"/>
                  </w:tcMar>
                </w:tcPr>
                <w:p w14:paraId="26C293F7" w14:textId="77777777" w:rsidR="00952724" w:rsidRPr="001E2783" w:rsidRDefault="00952724" w:rsidP="004131EA">
                  <w:pPr>
                    <w:pStyle w:val="TableTextLeft"/>
                    <w:rPr>
                      <w:rFonts w:cs="Arial"/>
                      <w:sz w:val="20"/>
                    </w:rPr>
                  </w:pPr>
                  <w:r w:rsidRPr="001E2783">
                    <w:rPr>
                      <w:rFonts w:cs="Arial"/>
                      <w:sz w:val="20"/>
                    </w:rPr>
                    <w:t>Freephone and local rate (1800, 1300, 13)</w:t>
                  </w:r>
                </w:p>
              </w:tc>
              <w:tc>
                <w:tcPr>
                  <w:tcW w:w="3544" w:type="dxa"/>
                  <w:shd w:val="clear" w:color="auto" w:fill="FFFFFF"/>
                  <w:tcMar>
                    <w:top w:w="57" w:type="dxa"/>
                    <w:left w:w="57" w:type="dxa"/>
                    <w:bottom w:w="57" w:type="dxa"/>
                    <w:right w:w="57" w:type="dxa"/>
                  </w:tcMar>
                </w:tcPr>
                <w:p w14:paraId="11B32E3E" w14:textId="77777777" w:rsidR="00952724" w:rsidRPr="001E2783" w:rsidRDefault="00952724" w:rsidP="00952724">
                  <w:pPr>
                    <w:pStyle w:val="TableTextLeft"/>
                    <w:jc w:val="right"/>
                    <w:rPr>
                      <w:rFonts w:cs="Arial"/>
                      <w:sz w:val="20"/>
                    </w:rPr>
                  </w:pPr>
                  <w:r w:rsidRPr="001E2783">
                    <w:rPr>
                      <w:rFonts w:cs="Arial"/>
                      <w:sz w:val="20"/>
                    </w:rPr>
                    <w:t>19,517</w:t>
                  </w:r>
                </w:p>
              </w:tc>
            </w:tr>
            <w:tr w:rsidR="001E2783" w:rsidRPr="001E2783" w14:paraId="084B53F0" w14:textId="77777777" w:rsidTr="00084B92">
              <w:tc>
                <w:tcPr>
                  <w:tcW w:w="5938" w:type="dxa"/>
                  <w:tcMar>
                    <w:top w:w="57" w:type="dxa"/>
                    <w:left w:w="57" w:type="dxa"/>
                    <w:bottom w:w="57" w:type="dxa"/>
                    <w:right w:w="57" w:type="dxa"/>
                  </w:tcMar>
                </w:tcPr>
                <w:p w14:paraId="3A2BEA17" w14:textId="77777777" w:rsidR="00952724" w:rsidRPr="001E2783" w:rsidRDefault="00952724" w:rsidP="004131EA">
                  <w:pPr>
                    <w:pStyle w:val="TableTextLeft"/>
                    <w:rPr>
                      <w:rFonts w:cs="Arial"/>
                      <w:sz w:val="20"/>
                    </w:rPr>
                  </w:pPr>
                  <w:r w:rsidRPr="001E2783">
                    <w:rPr>
                      <w:rFonts w:cs="Arial"/>
                      <w:sz w:val="20"/>
                    </w:rPr>
                    <w:t>Premium rate numbers (six- and eight-digit 19 numbers)</w:t>
                  </w:r>
                </w:p>
              </w:tc>
              <w:tc>
                <w:tcPr>
                  <w:tcW w:w="3544" w:type="dxa"/>
                  <w:shd w:val="clear" w:color="auto" w:fill="FFFFFF"/>
                  <w:tcMar>
                    <w:top w:w="57" w:type="dxa"/>
                    <w:left w:w="57" w:type="dxa"/>
                    <w:bottom w:w="57" w:type="dxa"/>
                    <w:right w:w="57" w:type="dxa"/>
                  </w:tcMar>
                </w:tcPr>
                <w:p w14:paraId="41C04607" w14:textId="77777777" w:rsidR="00952724" w:rsidRPr="001E2783" w:rsidRDefault="00952724" w:rsidP="00952724">
                  <w:pPr>
                    <w:pStyle w:val="TableTextLeft"/>
                    <w:jc w:val="right"/>
                    <w:rPr>
                      <w:rFonts w:cs="Arial"/>
                      <w:sz w:val="20"/>
                    </w:rPr>
                  </w:pPr>
                  <w:r w:rsidRPr="001E2783">
                    <w:rPr>
                      <w:rFonts w:cs="Arial"/>
                      <w:sz w:val="20"/>
                    </w:rPr>
                    <w:t>273</w:t>
                  </w:r>
                </w:p>
              </w:tc>
            </w:tr>
            <w:tr w:rsidR="001E2783" w:rsidRPr="001E2783" w14:paraId="6A8E904C" w14:textId="77777777" w:rsidTr="00084B92">
              <w:tc>
                <w:tcPr>
                  <w:tcW w:w="5938" w:type="dxa"/>
                  <w:tcMar>
                    <w:top w:w="57" w:type="dxa"/>
                    <w:left w:w="57" w:type="dxa"/>
                    <w:bottom w:w="57" w:type="dxa"/>
                    <w:right w:w="57" w:type="dxa"/>
                  </w:tcMar>
                </w:tcPr>
                <w:p w14:paraId="4CDFC60D" w14:textId="77777777" w:rsidR="00952724" w:rsidRPr="001E2783" w:rsidRDefault="00952724" w:rsidP="004131EA">
                  <w:pPr>
                    <w:pStyle w:val="TableTextLeft"/>
                    <w:rPr>
                      <w:rFonts w:cs="Arial"/>
                      <w:b/>
                      <w:sz w:val="20"/>
                    </w:rPr>
                  </w:pPr>
                  <w:r w:rsidRPr="001E2783">
                    <w:rPr>
                      <w:rFonts w:cs="Arial"/>
                      <w:b/>
                      <w:sz w:val="20"/>
                    </w:rPr>
                    <w:t>Total numbers surrendered</w:t>
                  </w:r>
                </w:p>
              </w:tc>
              <w:tc>
                <w:tcPr>
                  <w:tcW w:w="3544" w:type="dxa"/>
                  <w:shd w:val="clear" w:color="auto" w:fill="FFFFFF"/>
                  <w:tcMar>
                    <w:top w:w="57" w:type="dxa"/>
                    <w:left w:w="57" w:type="dxa"/>
                    <w:bottom w:w="57" w:type="dxa"/>
                    <w:right w:w="57" w:type="dxa"/>
                  </w:tcMar>
                </w:tcPr>
                <w:p w14:paraId="3FBDAC7A" w14:textId="77777777" w:rsidR="00952724" w:rsidRPr="001E2783" w:rsidRDefault="00952724" w:rsidP="00952724">
                  <w:pPr>
                    <w:pStyle w:val="TableTextLeft"/>
                    <w:jc w:val="right"/>
                    <w:rPr>
                      <w:rFonts w:cs="Arial"/>
                      <w:b/>
                      <w:sz w:val="20"/>
                    </w:rPr>
                  </w:pPr>
                  <w:r w:rsidRPr="001E2783">
                    <w:rPr>
                      <w:rFonts w:cs="Arial"/>
                      <w:b/>
                      <w:sz w:val="20"/>
                    </w:rPr>
                    <w:t>19,790</w:t>
                  </w:r>
                </w:p>
              </w:tc>
            </w:tr>
          </w:tbl>
          <w:p w14:paraId="7A42947D" w14:textId="77777777" w:rsidR="00CC119D" w:rsidRPr="001E2783" w:rsidRDefault="00CC119D" w:rsidP="00C902FF">
            <w:pPr>
              <w:ind w:left="720"/>
              <w:rPr>
                <w:rFonts w:cs="Arial"/>
              </w:rPr>
            </w:pPr>
          </w:p>
        </w:tc>
      </w:tr>
      <w:tr w:rsidR="00CC119D" w:rsidRPr="001E2783" w14:paraId="67CA49E7" w14:textId="77777777" w:rsidTr="00C902FF">
        <w:trPr>
          <w:trHeight w:val="291"/>
        </w:trPr>
        <w:tc>
          <w:tcPr>
            <w:tcW w:w="9645" w:type="dxa"/>
            <w:tcBorders>
              <w:bottom w:val="single" w:sz="2" w:space="0" w:color="505050"/>
            </w:tcBorders>
            <w:shd w:val="clear" w:color="auto" w:fill="auto"/>
          </w:tcPr>
          <w:p w14:paraId="3C2B64E4" w14:textId="77777777" w:rsidR="00CC119D" w:rsidRPr="001E2783" w:rsidRDefault="00CC119D" w:rsidP="00C902FF">
            <w:pPr>
              <w:ind w:left="720"/>
              <w:rPr>
                <w:rFonts w:cs="Arial"/>
              </w:rPr>
            </w:pPr>
          </w:p>
        </w:tc>
      </w:tr>
    </w:tbl>
    <w:p w14:paraId="56822345" w14:textId="77777777" w:rsidR="00CC119D" w:rsidRPr="001E2783" w:rsidRDefault="00CC119D" w:rsidP="006803A4">
      <w:pPr>
        <w:rPr>
          <w:rFonts w:cs="Arial"/>
        </w:rPr>
      </w:pPr>
    </w:p>
    <w:p w14:paraId="598FEDAC" w14:textId="77777777" w:rsidR="00CC119D" w:rsidRPr="001E2783" w:rsidRDefault="00CC119D" w:rsidP="00363471">
      <w:pPr>
        <w:pStyle w:val="Heading3"/>
        <w:tabs>
          <w:tab w:val="left" w:pos="1399"/>
        </w:tabs>
      </w:pPr>
      <w:bookmarkStart w:id="126" w:name="_Toc337727567"/>
      <w:bookmarkStart w:id="127" w:name="_Toc400018532"/>
      <w:r w:rsidRPr="001E2783">
        <w:t>Portability</w:t>
      </w:r>
      <w:bookmarkEnd w:id="126"/>
      <w:bookmarkEnd w:id="127"/>
    </w:p>
    <w:p w14:paraId="019DD700" w14:textId="77777777" w:rsidR="00363471" w:rsidRPr="001E2783" w:rsidRDefault="00363471" w:rsidP="00363471">
      <w:pPr>
        <w:rPr>
          <w:rFonts w:cs="Arial"/>
        </w:rPr>
      </w:pPr>
      <w:r w:rsidRPr="001E2783">
        <w:rPr>
          <w:rFonts w:cs="Arial"/>
        </w:rPr>
        <w:t>Number portability is available for local, mobile, and freephone and local rate numbers.</w:t>
      </w:r>
    </w:p>
    <w:p w14:paraId="1F4DC39D" w14:textId="77777777" w:rsidR="00363471" w:rsidRPr="001E2783" w:rsidRDefault="00363471" w:rsidP="00363471">
      <w:pPr>
        <w:rPr>
          <w:rFonts w:cs="Arial"/>
        </w:rPr>
      </w:pPr>
    </w:p>
    <w:p w14:paraId="055622C0" w14:textId="77777777" w:rsidR="00363471" w:rsidRPr="001E2783" w:rsidRDefault="00363471" w:rsidP="00363471">
      <w:pPr>
        <w:rPr>
          <w:rFonts w:cs="Arial"/>
        </w:rPr>
      </w:pPr>
      <w:r w:rsidRPr="001E2783">
        <w:rPr>
          <w:rFonts w:cs="Arial"/>
        </w:rPr>
        <w:t xml:space="preserve">The ACMA monitors the effectiveness of porting arrangements, including CSP compliance with the arrangements specified in the Numbering Plan and industry codes that set out the procedures for number portability. The ACMA is able to register new and revised industry codes, which makes them enforceable under the </w:t>
      </w:r>
      <w:r w:rsidRPr="001E2783">
        <w:rPr>
          <w:rFonts w:cs="Arial"/>
          <w:i/>
        </w:rPr>
        <w:t>Telecommunications Act</w:t>
      </w:r>
      <w:r w:rsidR="00B7234B" w:rsidRPr="001E2783">
        <w:rPr>
          <w:rFonts w:cs="Arial"/>
          <w:i/>
        </w:rPr>
        <w:t xml:space="preserve"> 1997</w:t>
      </w:r>
      <w:r w:rsidRPr="001E2783">
        <w:rPr>
          <w:rFonts w:cs="Arial"/>
        </w:rPr>
        <w:t>.</w:t>
      </w:r>
    </w:p>
    <w:p w14:paraId="547FCE04" w14:textId="77777777" w:rsidR="00363471" w:rsidRPr="001E2783" w:rsidRDefault="00363471" w:rsidP="00363471">
      <w:pPr>
        <w:rPr>
          <w:rFonts w:cs="Arial"/>
        </w:rPr>
      </w:pPr>
    </w:p>
    <w:p w14:paraId="460F62BB" w14:textId="77777777" w:rsidR="009C1959" w:rsidRPr="001E2783" w:rsidRDefault="00870FE8" w:rsidP="009C1959">
      <w:pPr>
        <w:rPr>
          <w:rFonts w:cs="Arial"/>
        </w:rPr>
      </w:pPr>
      <w:r w:rsidRPr="001E2783">
        <w:rPr>
          <w:rFonts w:cs="Arial"/>
        </w:rPr>
        <w:t>In 2013–</w:t>
      </w:r>
      <w:r w:rsidR="009C1959" w:rsidRPr="001E2783">
        <w:rPr>
          <w:rFonts w:cs="Arial"/>
        </w:rPr>
        <w:t xml:space="preserve">14, the ACMA continued to work with Communications Alliance and industry to identify regulatory issues that may emerge during rollout of the NBN. Communications Alliance reviewed the Local Number Portability Industry Code in 2013. The </w:t>
      </w:r>
      <w:r w:rsidRPr="001E2783">
        <w:rPr>
          <w:rFonts w:cs="Arial"/>
        </w:rPr>
        <w:t xml:space="preserve">ACMA registered the </w:t>
      </w:r>
      <w:r w:rsidR="009C1959" w:rsidRPr="001E2783">
        <w:rPr>
          <w:rFonts w:cs="Arial"/>
        </w:rPr>
        <w:t>revised code on 16 December 2013 and</w:t>
      </w:r>
      <w:r w:rsidR="002360EE" w:rsidRPr="001E2783">
        <w:rPr>
          <w:rFonts w:cs="Arial"/>
        </w:rPr>
        <w:t xml:space="preserve"> it</w:t>
      </w:r>
      <w:r w:rsidR="00E92E97" w:rsidRPr="001E2783">
        <w:rPr>
          <w:rFonts w:cs="Arial"/>
        </w:rPr>
        <w:t xml:space="preserve"> took effect on 1 </w:t>
      </w:r>
      <w:r w:rsidR="009C1959" w:rsidRPr="001E2783">
        <w:rPr>
          <w:rFonts w:cs="Arial"/>
        </w:rPr>
        <w:t>March 2014. A parallel review of possible future improvements, with recommendations on any improved industry arrangements to meet customers’ porting needs</w:t>
      </w:r>
      <w:r w:rsidRPr="001E2783">
        <w:rPr>
          <w:rFonts w:cs="Arial"/>
        </w:rPr>
        <w:t>,</w:t>
      </w:r>
      <w:r w:rsidR="009C1959" w:rsidRPr="001E2783">
        <w:rPr>
          <w:rFonts w:cs="Arial"/>
        </w:rPr>
        <w:t xml:space="preserve"> is ongoing.</w:t>
      </w:r>
    </w:p>
    <w:p w14:paraId="574B780C" w14:textId="77777777" w:rsidR="009C1959" w:rsidRPr="001E2783" w:rsidRDefault="009C1959" w:rsidP="009C1959">
      <w:pPr>
        <w:rPr>
          <w:rFonts w:cs="Arial"/>
        </w:rPr>
      </w:pPr>
    </w:p>
    <w:p w14:paraId="05495594" w14:textId="77777777" w:rsidR="009C1959" w:rsidRPr="001E2783" w:rsidRDefault="009C1959" w:rsidP="009C1959">
      <w:pPr>
        <w:rPr>
          <w:rFonts w:cs="Arial"/>
        </w:rPr>
      </w:pPr>
      <w:r w:rsidRPr="001E2783">
        <w:rPr>
          <w:rFonts w:cs="Arial"/>
        </w:rPr>
        <w:t xml:space="preserve">The ACMA also receives and handles enquiries and complaints about number portability from industry and consumers, with </w:t>
      </w:r>
      <w:r w:rsidR="002360EE" w:rsidRPr="001E2783">
        <w:rPr>
          <w:rFonts w:cs="Arial"/>
        </w:rPr>
        <w:t>73</w:t>
      </w:r>
      <w:r w:rsidRPr="001E2783">
        <w:rPr>
          <w:rFonts w:cs="Arial"/>
        </w:rPr>
        <w:t xml:space="preserve"> contacts in 2013</w:t>
      </w:r>
      <w:r w:rsidR="00870FE8" w:rsidRPr="001E2783">
        <w:rPr>
          <w:rFonts w:cs="Arial"/>
        </w:rPr>
        <w:t>–</w:t>
      </w:r>
      <w:r w:rsidRPr="001E2783">
        <w:rPr>
          <w:rFonts w:cs="Arial"/>
        </w:rPr>
        <w:t xml:space="preserve">14. </w:t>
      </w:r>
    </w:p>
    <w:p w14:paraId="6964D3D9" w14:textId="77777777" w:rsidR="009C1959" w:rsidRPr="001E2783" w:rsidRDefault="009C1959" w:rsidP="009C1959">
      <w:pPr>
        <w:rPr>
          <w:rFonts w:cs="Arial"/>
        </w:rPr>
      </w:pPr>
    </w:p>
    <w:p w14:paraId="5C2017CD" w14:textId="77777777" w:rsidR="00CC119D" w:rsidRPr="001E2783" w:rsidRDefault="009C1959" w:rsidP="009C1959">
      <w:pPr>
        <w:rPr>
          <w:rFonts w:cs="Arial"/>
        </w:rPr>
      </w:pPr>
      <w:r w:rsidRPr="001E2783">
        <w:rPr>
          <w:rFonts w:cs="Arial"/>
        </w:rPr>
        <w:t>Where appropriate, the ACMA may also grant an exemption from the number portability requirements. No exemptions from number portability</w:t>
      </w:r>
      <w:r w:rsidR="00870FE8" w:rsidRPr="001E2783">
        <w:rPr>
          <w:rFonts w:cs="Arial"/>
        </w:rPr>
        <w:t xml:space="preserve"> were sought or granted in 2013–</w:t>
      </w:r>
      <w:r w:rsidRPr="001E2783">
        <w:rPr>
          <w:rFonts w:cs="Arial"/>
        </w:rPr>
        <w:t>14.</w:t>
      </w:r>
    </w:p>
    <w:p w14:paraId="563E09DC" w14:textId="77777777" w:rsidR="009C1959" w:rsidRPr="001E2783" w:rsidRDefault="009C1959" w:rsidP="009C1959">
      <w:pPr>
        <w:rPr>
          <w:rFonts w:cs="Arial"/>
        </w:rPr>
      </w:pPr>
    </w:p>
    <w:p w14:paraId="250D1677" w14:textId="77777777" w:rsidR="00363471" w:rsidRPr="001E2783" w:rsidRDefault="00CC119D" w:rsidP="00363471">
      <w:pPr>
        <w:pStyle w:val="Heading3"/>
      </w:pPr>
      <w:bookmarkStart w:id="128" w:name="_Toc337727568"/>
      <w:bookmarkStart w:id="129" w:name="_Toc400018533"/>
      <w:r w:rsidRPr="001E2783">
        <w:t>Pre-selection</w:t>
      </w:r>
      <w:bookmarkEnd w:id="128"/>
      <w:bookmarkEnd w:id="129"/>
    </w:p>
    <w:p w14:paraId="02238908" w14:textId="77777777" w:rsidR="009C1959" w:rsidRPr="001E2783" w:rsidRDefault="009C1959" w:rsidP="009C1959">
      <w:pPr>
        <w:rPr>
          <w:rFonts w:cs="Arial"/>
        </w:rPr>
      </w:pPr>
      <w:r w:rsidRPr="001E2783">
        <w:rPr>
          <w:rFonts w:cs="Arial"/>
        </w:rPr>
        <w:t>CSPs are required to make pre-selection available on request for most standard telephone services. Pre-selection includes national long-distance calls, international calls and mobile calls</w:t>
      </w:r>
      <w:r w:rsidR="00870FE8" w:rsidRPr="001E2783">
        <w:rPr>
          <w:rFonts w:cs="Arial"/>
        </w:rPr>
        <w:t>,</w:t>
      </w:r>
      <w:r w:rsidRPr="001E2783">
        <w:rPr>
          <w:rFonts w:cs="Arial"/>
        </w:rPr>
        <w:t xml:space="preserve"> but not local calls.</w:t>
      </w:r>
    </w:p>
    <w:p w14:paraId="284CBB6B" w14:textId="77777777" w:rsidR="009C1959" w:rsidRPr="001E2783" w:rsidRDefault="009C1959" w:rsidP="009C1959">
      <w:pPr>
        <w:rPr>
          <w:rFonts w:cs="Arial"/>
        </w:rPr>
      </w:pPr>
    </w:p>
    <w:p w14:paraId="22BEC49A" w14:textId="77777777" w:rsidR="009C1959" w:rsidRPr="001E2783" w:rsidRDefault="009C1959" w:rsidP="009C1959">
      <w:pPr>
        <w:rPr>
          <w:rFonts w:cs="Arial"/>
        </w:rPr>
      </w:pPr>
      <w:r w:rsidRPr="001E2783">
        <w:rPr>
          <w:rFonts w:cs="Arial"/>
        </w:rPr>
        <w:t>Under the Telecommunications Act, the ACMA is able to exempt a carrier/CSP from the obligation to provide pre-selection. No exemptions were sought or granted during 2013</w:t>
      </w:r>
      <w:r w:rsidR="00870FE8" w:rsidRPr="001E2783">
        <w:rPr>
          <w:rFonts w:cs="Arial"/>
        </w:rPr>
        <w:t>–</w:t>
      </w:r>
      <w:r w:rsidRPr="001E2783">
        <w:rPr>
          <w:rFonts w:cs="Arial"/>
        </w:rPr>
        <w:t xml:space="preserve">14. </w:t>
      </w:r>
    </w:p>
    <w:p w14:paraId="0B89126D" w14:textId="77777777" w:rsidR="009C1959" w:rsidRPr="001E2783" w:rsidRDefault="009C1959" w:rsidP="009C1959">
      <w:pPr>
        <w:rPr>
          <w:rFonts w:cs="Arial"/>
        </w:rPr>
      </w:pPr>
    </w:p>
    <w:p w14:paraId="2494A835" w14:textId="49D63468" w:rsidR="002360EE" w:rsidRPr="001E2783" w:rsidRDefault="009C1959" w:rsidP="002360EE">
      <w:pPr>
        <w:rPr>
          <w:rFonts w:cs="Arial"/>
        </w:rPr>
      </w:pPr>
      <w:r w:rsidRPr="001E2783">
        <w:rPr>
          <w:rFonts w:cs="Arial"/>
        </w:rPr>
        <w:t xml:space="preserve">A proposal to amend pre-selection obligations was included in a consultation paper released by </w:t>
      </w:r>
      <w:r w:rsidR="00B7234B" w:rsidRPr="001E2783">
        <w:rPr>
          <w:rFonts w:cs="Arial"/>
        </w:rPr>
        <w:t>DoC</w:t>
      </w:r>
      <w:r w:rsidRPr="001E2783">
        <w:rPr>
          <w:rFonts w:cs="Arial"/>
        </w:rPr>
        <w:t xml:space="preserve"> in April 2014.</w:t>
      </w:r>
      <w:r w:rsidR="002360EE" w:rsidRPr="001E2783">
        <w:rPr>
          <w:rFonts w:cs="Arial"/>
        </w:rPr>
        <w:t xml:space="preserve"> This matter is subject to ongoing consideration and </w:t>
      </w:r>
      <w:r w:rsidR="001A691C" w:rsidRPr="001E2783">
        <w:rPr>
          <w:rFonts w:cs="Arial"/>
        </w:rPr>
        <w:t>should</w:t>
      </w:r>
      <w:r w:rsidR="002360EE" w:rsidRPr="001E2783">
        <w:rPr>
          <w:rFonts w:cs="Arial"/>
        </w:rPr>
        <w:t xml:space="preserve"> be finalised in the next reporting period.</w:t>
      </w:r>
    </w:p>
    <w:p w14:paraId="7605AD1A" w14:textId="77777777" w:rsidR="00BD4A97" w:rsidRPr="001E2783" w:rsidRDefault="00BD4A97" w:rsidP="009C1959">
      <w:pPr>
        <w:rPr>
          <w:rFonts w:cs="Arial"/>
        </w:rPr>
      </w:pPr>
    </w:p>
    <w:p w14:paraId="52CEB2F5" w14:textId="77777777" w:rsidR="00CC119D" w:rsidRPr="001E2783" w:rsidRDefault="00CC119D" w:rsidP="00CC119D">
      <w:pPr>
        <w:pStyle w:val="Heading2"/>
      </w:pPr>
      <w:bookmarkStart w:id="130" w:name="_Toc337727569"/>
      <w:bookmarkStart w:id="131" w:name="_Toc400018534"/>
      <w:r w:rsidRPr="001E2783">
        <w:t>Revenue and fees</w:t>
      </w:r>
      <w:bookmarkEnd w:id="130"/>
      <w:bookmarkEnd w:id="131"/>
    </w:p>
    <w:p w14:paraId="5EB44C3A" w14:textId="77777777" w:rsidR="00457206" w:rsidRPr="001E2783" w:rsidRDefault="00457206" w:rsidP="00457206">
      <w:pPr>
        <w:rPr>
          <w:rFonts w:cs="Arial"/>
        </w:rPr>
      </w:pPr>
      <w:r w:rsidRPr="001E2783">
        <w:rPr>
          <w:rFonts w:cs="Arial"/>
        </w:rPr>
        <w:t>The ACMA is responsible for the efficient regulation and allocation of public resources such as telecommunications numbering and the radiofrequency spectrum. It also collects annual revenues through broadcasting, radiocommunications and telecommunications licence taxes, levies, fees and charges. The administration of taxes, levies, fees and charges plays a key role in the planning, allocation and use of public resources. These public resources are indispensable inputs to industry in the innovative and dynamic communications sector of the economy.</w:t>
      </w:r>
    </w:p>
    <w:p w14:paraId="7FAC29BD" w14:textId="77777777" w:rsidR="0090062E" w:rsidRPr="001E2783" w:rsidRDefault="0090062E" w:rsidP="00457206">
      <w:pPr>
        <w:rPr>
          <w:rFonts w:cs="Arial"/>
        </w:rPr>
      </w:pPr>
    </w:p>
    <w:p w14:paraId="4FC02F1A" w14:textId="77777777" w:rsidR="00457206" w:rsidRPr="001E2783" w:rsidRDefault="00457206" w:rsidP="00457206">
      <w:pPr>
        <w:rPr>
          <w:rFonts w:cs="Arial"/>
        </w:rPr>
      </w:pPr>
      <w:r w:rsidRPr="001E2783">
        <w:rPr>
          <w:rFonts w:cs="Arial"/>
        </w:rPr>
        <w:t>Where feasible under the applicable legislation, the ACMA sets fees, taxes and charges so they support the effective use of public resources. They also recover the costs of regulating the industry. In accordance with government cost-recovery policy and guidelines, and where it is cost-effective, the ACMA seeks to charge individuals or firms for the costs of providing the activity.</w:t>
      </w:r>
    </w:p>
    <w:p w14:paraId="1ADBD0DD" w14:textId="77777777" w:rsidR="00457206" w:rsidRPr="001E2783" w:rsidRDefault="00457206" w:rsidP="00457206">
      <w:pPr>
        <w:tabs>
          <w:tab w:val="left" w:pos="1410"/>
        </w:tabs>
        <w:rPr>
          <w:rFonts w:cs="Arial"/>
        </w:rPr>
      </w:pPr>
    </w:p>
    <w:p w14:paraId="7DE86EA5" w14:textId="77777777" w:rsidR="00457206" w:rsidRPr="001E2783" w:rsidRDefault="00457206" w:rsidP="00457206">
      <w:pPr>
        <w:rPr>
          <w:rFonts w:cs="Arial"/>
        </w:rPr>
      </w:pPr>
      <w:r w:rsidRPr="001E2783">
        <w:rPr>
          <w:rFonts w:cs="Arial"/>
        </w:rPr>
        <w:t xml:space="preserve">Revenue raised by the ACMA in taxes, charges, levies and other revenue is shown in tables </w:t>
      </w:r>
      <w:r w:rsidR="00D27ED3" w:rsidRPr="001E2783">
        <w:rPr>
          <w:rFonts w:cs="Arial"/>
        </w:rPr>
        <w:t>15</w:t>
      </w:r>
      <w:r w:rsidRPr="001E2783">
        <w:rPr>
          <w:rFonts w:cs="Arial"/>
        </w:rPr>
        <w:t xml:space="preserve"> to </w:t>
      </w:r>
      <w:r w:rsidR="00D27ED3" w:rsidRPr="001E2783">
        <w:rPr>
          <w:rFonts w:cs="Arial"/>
        </w:rPr>
        <w:t>18</w:t>
      </w:r>
      <w:r w:rsidRPr="001E2783">
        <w:rPr>
          <w:rFonts w:cs="Arial"/>
        </w:rPr>
        <w:t>.</w:t>
      </w:r>
    </w:p>
    <w:p w14:paraId="58E9B144" w14:textId="77777777" w:rsidR="00CC119D" w:rsidRPr="001E2783" w:rsidRDefault="00CC119D" w:rsidP="00CC119D">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16429F6D" w14:textId="77777777" w:rsidTr="0090062E">
        <w:trPr>
          <w:trHeight w:val="354"/>
        </w:trPr>
        <w:tc>
          <w:tcPr>
            <w:tcW w:w="9645" w:type="dxa"/>
            <w:tcBorders>
              <w:top w:val="single" w:sz="2" w:space="0" w:color="505050"/>
            </w:tcBorders>
            <w:shd w:val="clear" w:color="auto" w:fill="auto"/>
            <w:vAlign w:val="center"/>
          </w:tcPr>
          <w:p w14:paraId="59471021" w14:textId="3A387EC6" w:rsidR="00A55940" w:rsidRPr="001E2783" w:rsidRDefault="00A55940" w:rsidP="00970328">
            <w:pPr>
              <w:pStyle w:val="Caption"/>
              <w:keepNext/>
              <w:keepLines/>
              <w:spacing w:before="120" w:after="120"/>
              <w:rPr>
                <w:rFonts w:ascii="Arial" w:hAnsi="Arial" w:cs="Arial"/>
                <w:color w:val="auto"/>
              </w:rPr>
            </w:pPr>
            <w:r w:rsidRPr="00D3485F">
              <w:rPr>
                <w:rFonts w:ascii="Arial" w:hAnsi="Arial" w:cs="Arial"/>
              </w:rPr>
              <w:t>Table 15: Resource taxes</w:t>
            </w:r>
          </w:p>
        </w:tc>
      </w:tr>
      <w:tr w:rsidR="00A55940" w:rsidRPr="001E2783" w14:paraId="212BA971" w14:textId="77777777" w:rsidTr="008C2249">
        <w:trPr>
          <w:trHeight w:val="291"/>
        </w:trPr>
        <w:tc>
          <w:tcPr>
            <w:tcW w:w="9645" w:type="dxa"/>
            <w:tcBorders>
              <w:bottom w:val="single" w:sz="2" w:space="0" w:color="505050"/>
            </w:tcBorders>
            <w:shd w:val="clear" w:color="auto" w:fill="auto"/>
          </w:tcPr>
          <w:tbl>
            <w:tblPr>
              <w:tblW w:w="93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964"/>
              <w:gridCol w:w="2679"/>
              <w:gridCol w:w="2680"/>
            </w:tblGrid>
            <w:tr w:rsidR="001E2783" w:rsidRPr="001E2783" w14:paraId="6B650647" w14:textId="77777777" w:rsidTr="008C2249">
              <w:trPr>
                <w:cantSplit/>
                <w:tblHeader/>
              </w:trPr>
              <w:tc>
                <w:tcPr>
                  <w:tcW w:w="3964" w:type="dxa"/>
                  <w:shd w:val="clear" w:color="auto" w:fill="404040" w:themeFill="text1" w:themeFillTint="BF"/>
                  <w:tcMar>
                    <w:top w:w="57" w:type="dxa"/>
                    <w:left w:w="57" w:type="dxa"/>
                    <w:bottom w:w="57" w:type="dxa"/>
                    <w:right w:w="57" w:type="dxa"/>
                  </w:tcMar>
                </w:tcPr>
                <w:p w14:paraId="2E3CB4C5" w14:textId="77777777" w:rsidR="00A55940" w:rsidRPr="004E4548" w:rsidRDefault="00A55940" w:rsidP="00A55940">
                  <w:pPr>
                    <w:pStyle w:val="TableHeading"/>
                    <w:rPr>
                      <w:rFonts w:ascii="Arial" w:hAnsi="Arial" w:cs="Arial"/>
                      <w:color w:val="FFFFFF" w:themeColor="background1"/>
                    </w:rPr>
                  </w:pPr>
                  <w:r w:rsidRPr="004E4548">
                    <w:rPr>
                      <w:rFonts w:ascii="Arial" w:hAnsi="Arial" w:cs="Arial"/>
                      <w:color w:val="FFFFFF" w:themeColor="background1"/>
                    </w:rPr>
                    <w:t>Description</w:t>
                  </w:r>
                </w:p>
              </w:tc>
              <w:tc>
                <w:tcPr>
                  <w:tcW w:w="2679" w:type="dxa"/>
                  <w:shd w:val="clear" w:color="auto" w:fill="404040" w:themeFill="text1" w:themeFillTint="BF"/>
                  <w:tcMar>
                    <w:top w:w="57" w:type="dxa"/>
                    <w:left w:w="57" w:type="dxa"/>
                    <w:bottom w:w="57" w:type="dxa"/>
                    <w:right w:w="57" w:type="dxa"/>
                  </w:tcMar>
                </w:tcPr>
                <w:p w14:paraId="69EFA61B" w14:textId="77777777" w:rsidR="00A55940" w:rsidRPr="004E4548" w:rsidRDefault="00A55940" w:rsidP="00A55940">
                  <w:pPr>
                    <w:pStyle w:val="TableHeading"/>
                    <w:rPr>
                      <w:rFonts w:ascii="Arial" w:hAnsi="Arial" w:cs="Arial"/>
                      <w:color w:val="FFFFFF" w:themeColor="background1"/>
                    </w:rPr>
                  </w:pPr>
                  <w:r w:rsidRPr="004E4548">
                    <w:rPr>
                      <w:rFonts w:ascii="Arial" w:hAnsi="Arial" w:cs="Arial"/>
                      <w:color w:val="FFFFFF" w:themeColor="background1"/>
                    </w:rPr>
                    <w:t>Revenue in 2012–13 ($m)</w:t>
                  </w:r>
                </w:p>
              </w:tc>
              <w:tc>
                <w:tcPr>
                  <w:tcW w:w="2680" w:type="dxa"/>
                  <w:shd w:val="clear" w:color="auto" w:fill="404040" w:themeFill="text1" w:themeFillTint="BF"/>
                  <w:tcMar>
                    <w:top w:w="57" w:type="dxa"/>
                    <w:left w:w="57" w:type="dxa"/>
                    <w:bottom w:w="57" w:type="dxa"/>
                    <w:right w:w="57" w:type="dxa"/>
                  </w:tcMar>
                </w:tcPr>
                <w:p w14:paraId="29C45105" w14:textId="77777777" w:rsidR="00A55940" w:rsidRPr="004E4548" w:rsidRDefault="00A55940" w:rsidP="0090062E">
                  <w:pPr>
                    <w:pStyle w:val="TableHeading"/>
                    <w:jc w:val="right"/>
                    <w:rPr>
                      <w:rFonts w:ascii="Arial" w:hAnsi="Arial" w:cs="Arial"/>
                      <w:color w:val="FFFFFF" w:themeColor="background1"/>
                    </w:rPr>
                  </w:pPr>
                  <w:r w:rsidRPr="004E4548">
                    <w:rPr>
                      <w:rFonts w:ascii="Arial" w:hAnsi="Arial" w:cs="Arial"/>
                      <w:color w:val="FFFFFF" w:themeColor="background1"/>
                    </w:rPr>
                    <w:t>Revenue in 2013–14 ($m)</w:t>
                  </w:r>
                </w:p>
              </w:tc>
            </w:tr>
            <w:tr w:rsidR="001E2783" w:rsidRPr="001E2783" w14:paraId="299E8AE7" w14:textId="77777777" w:rsidTr="008C2249">
              <w:trPr>
                <w:cantSplit/>
              </w:trPr>
              <w:tc>
                <w:tcPr>
                  <w:tcW w:w="3964" w:type="dxa"/>
                  <w:tcMar>
                    <w:top w:w="57" w:type="dxa"/>
                    <w:left w:w="57" w:type="dxa"/>
                    <w:bottom w:w="57" w:type="dxa"/>
                    <w:right w:w="57" w:type="dxa"/>
                  </w:tcMar>
                </w:tcPr>
                <w:p w14:paraId="1DAECD5A" w14:textId="29696853" w:rsidR="00A55940" w:rsidRPr="001E2783" w:rsidRDefault="000E43D7" w:rsidP="000E43D7">
                  <w:pPr>
                    <w:pStyle w:val="TableTextLeft"/>
                    <w:rPr>
                      <w:rFonts w:cs="Arial"/>
                      <w:sz w:val="20"/>
                    </w:rPr>
                  </w:pPr>
                  <w:r w:rsidRPr="001E2783">
                    <w:rPr>
                      <w:rFonts w:cs="Arial"/>
                      <w:sz w:val="20"/>
                    </w:rPr>
                    <w:t>Reissue of 15-year spectrum licences</w:t>
                  </w:r>
                  <w:r w:rsidRPr="001E2783">
                    <w:rPr>
                      <w:rFonts w:cs="Arial"/>
                      <w:sz w:val="20"/>
                      <w:vertAlign w:val="superscript"/>
                    </w:rPr>
                    <w:t>^</w:t>
                  </w:r>
                </w:p>
              </w:tc>
              <w:tc>
                <w:tcPr>
                  <w:tcW w:w="2679" w:type="dxa"/>
                  <w:tcMar>
                    <w:top w:w="57" w:type="dxa"/>
                    <w:left w:w="57" w:type="dxa"/>
                    <w:bottom w:w="57" w:type="dxa"/>
                    <w:right w:w="57" w:type="dxa"/>
                  </w:tcMar>
                </w:tcPr>
                <w:p w14:paraId="5608BD67" w14:textId="77777777" w:rsidR="00A55940" w:rsidRPr="001E2783" w:rsidRDefault="00A55940" w:rsidP="00A55940">
                  <w:pPr>
                    <w:pStyle w:val="TableTextLeft"/>
                    <w:jc w:val="right"/>
                    <w:rPr>
                      <w:rFonts w:cs="Arial"/>
                      <w:sz w:val="20"/>
                    </w:rPr>
                  </w:pPr>
                  <w:r w:rsidRPr="001E2783">
                    <w:rPr>
                      <w:rFonts w:cs="Arial"/>
                      <w:sz w:val="20"/>
                    </w:rPr>
                    <w:t>1,481.653</w:t>
                  </w:r>
                </w:p>
              </w:tc>
              <w:tc>
                <w:tcPr>
                  <w:tcW w:w="2680" w:type="dxa"/>
                  <w:tcMar>
                    <w:top w:w="57" w:type="dxa"/>
                    <w:left w:w="57" w:type="dxa"/>
                    <w:bottom w:w="57" w:type="dxa"/>
                    <w:right w:w="57" w:type="dxa"/>
                  </w:tcMar>
                </w:tcPr>
                <w:p w14:paraId="2856EBBD" w14:textId="77777777" w:rsidR="00A55940" w:rsidRPr="001E2783" w:rsidRDefault="00A55940" w:rsidP="00A55940">
                  <w:pPr>
                    <w:pStyle w:val="TableTextLeft"/>
                    <w:jc w:val="right"/>
                    <w:rPr>
                      <w:rFonts w:cs="Arial"/>
                      <w:sz w:val="20"/>
                    </w:rPr>
                  </w:pPr>
                  <w:r w:rsidRPr="001E2783">
                    <w:rPr>
                      <w:rFonts w:cs="Arial"/>
                      <w:sz w:val="20"/>
                    </w:rPr>
                    <w:t>0</w:t>
                  </w:r>
                </w:p>
              </w:tc>
            </w:tr>
            <w:tr w:rsidR="001E2783" w:rsidRPr="001E2783" w14:paraId="5FDDF73F" w14:textId="77777777" w:rsidTr="008C2249">
              <w:trPr>
                <w:cantSplit/>
              </w:trPr>
              <w:tc>
                <w:tcPr>
                  <w:tcW w:w="3964" w:type="dxa"/>
                  <w:tcMar>
                    <w:top w:w="57" w:type="dxa"/>
                    <w:left w:w="57" w:type="dxa"/>
                    <w:bottom w:w="57" w:type="dxa"/>
                    <w:right w:w="57" w:type="dxa"/>
                  </w:tcMar>
                </w:tcPr>
                <w:p w14:paraId="42438035" w14:textId="77777777" w:rsidR="00A55940" w:rsidRPr="001E2783" w:rsidRDefault="00A55940" w:rsidP="00A55940">
                  <w:pPr>
                    <w:pStyle w:val="TableTextLeft"/>
                    <w:rPr>
                      <w:rFonts w:cs="Arial"/>
                      <w:sz w:val="20"/>
                    </w:rPr>
                  </w:pPr>
                  <w:r w:rsidRPr="001E2783">
                    <w:rPr>
                      <w:rFonts w:cs="Arial"/>
                      <w:sz w:val="20"/>
                    </w:rPr>
                    <w:t>Apparatus auctions</w:t>
                  </w:r>
                </w:p>
              </w:tc>
              <w:tc>
                <w:tcPr>
                  <w:tcW w:w="2679" w:type="dxa"/>
                  <w:tcMar>
                    <w:top w:w="57" w:type="dxa"/>
                    <w:left w:w="57" w:type="dxa"/>
                    <w:bottom w:w="57" w:type="dxa"/>
                    <w:right w:w="57" w:type="dxa"/>
                  </w:tcMar>
                </w:tcPr>
                <w:p w14:paraId="329A4540" w14:textId="77777777" w:rsidR="00A55940" w:rsidRPr="001E2783" w:rsidRDefault="00A55940" w:rsidP="00A55940">
                  <w:pPr>
                    <w:pStyle w:val="TableTextLeft"/>
                    <w:jc w:val="right"/>
                    <w:rPr>
                      <w:rFonts w:cs="Arial"/>
                      <w:sz w:val="20"/>
                    </w:rPr>
                  </w:pPr>
                  <w:r w:rsidRPr="001E2783">
                    <w:rPr>
                      <w:rFonts w:cs="Arial"/>
                      <w:sz w:val="20"/>
                    </w:rPr>
                    <w:t>0.064</w:t>
                  </w:r>
                </w:p>
              </w:tc>
              <w:tc>
                <w:tcPr>
                  <w:tcW w:w="2680" w:type="dxa"/>
                  <w:tcMar>
                    <w:top w:w="57" w:type="dxa"/>
                    <w:left w:w="57" w:type="dxa"/>
                    <w:bottom w:w="57" w:type="dxa"/>
                    <w:right w:w="57" w:type="dxa"/>
                  </w:tcMar>
                </w:tcPr>
                <w:p w14:paraId="635F737A" w14:textId="77777777" w:rsidR="00A55940" w:rsidRPr="001E2783" w:rsidRDefault="00A55940" w:rsidP="00A55940">
                  <w:pPr>
                    <w:pStyle w:val="TableTextLeft"/>
                    <w:jc w:val="right"/>
                    <w:rPr>
                      <w:rFonts w:cs="Arial"/>
                      <w:sz w:val="20"/>
                    </w:rPr>
                  </w:pPr>
                  <w:r w:rsidRPr="001E2783">
                    <w:rPr>
                      <w:rFonts w:cs="Arial"/>
                      <w:sz w:val="20"/>
                    </w:rPr>
                    <w:t>0.041</w:t>
                  </w:r>
                </w:p>
              </w:tc>
            </w:tr>
            <w:tr w:rsidR="001E2783" w:rsidRPr="001E2783" w14:paraId="1D0D518B" w14:textId="77777777" w:rsidTr="008C2249">
              <w:trPr>
                <w:cantSplit/>
              </w:trPr>
              <w:tc>
                <w:tcPr>
                  <w:tcW w:w="3964" w:type="dxa"/>
                  <w:tcMar>
                    <w:top w:w="57" w:type="dxa"/>
                    <w:left w:w="57" w:type="dxa"/>
                    <w:bottom w:w="57" w:type="dxa"/>
                    <w:right w:w="57" w:type="dxa"/>
                  </w:tcMar>
                </w:tcPr>
                <w:p w14:paraId="61630340" w14:textId="77777777" w:rsidR="00A55940" w:rsidRPr="001E2783" w:rsidRDefault="00A55940" w:rsidP="00A55940">
                  <w:pPr>
                    <w:pStyle w:val="TableTextLeft"/>
                    <w:rPr>
                      <w:rFonts w:cs="Arial"/>
                      <w:sz w:val="20"/>
                    </w:rPr>
                  </w:pPr>
                  <w:r w:rsidRPr="001E2783">
                    <w:rPr>
                      <w:rFonts w:cs="Arial"/>
                      <w:sz w:val="20"/>
                    </w:rPr>
                    <w:t>Number auctions</w:t>
                  </w:r>
                </w:p>
              </w:tc>
              <w:tc>
                <w:tcPr>
                  <w:tcW w:w="2679" w:type="dxa"/>
                  <w:tcMar>
                    <w:top w:w="57" w:type="dxa"/>
                    <w:left w:w="57" w:type="dxa"/>
                    <w:bottom w:w="57" w:type="dxa"/>
                    <w:right w:w="57" w:type="dxa"/>
                  </w:tcMar>
                </w:tcPr>
                <w:p w14:paraId="2E80A683" w14:textId="77777777" w:rsidR="00A55940" w:rsidRPr="001E2783" w:rsidRDefault="00A55940" w:rsidP="00A55940">
                  <w:pPr>
                    <w:pStyle w:val="TableTextLeft"/>
                    <w:jc w:val="right"/>
                    <w:rPr>
                      <w:rFonts w:cs="Arial"/>
                      <w:sz w:val="20"/>
                    </w:rPr>
                  </w:pPr>
                  <w:r w:rsidRPr="001E2783">
                    <w:rPr>
                      <w:rFonts w:cs="Arial"/>
                      <w:sz w:val="20"/>
                    </w:rPr>
                    <w:t>1.660</w:t>
                  </w:r>
                </w:p>
              </w:tc>
              <w:tc>
                <w:tcPr>
                  <w:tcW w:w="2680" w:type="dxa"/>
                  <w:tcMar>
                    <w:top w:w="57" w:type="dxa"/>
                    <w:left w:w="57" w:type="dxa"/>
                    <w:bottom w:w="57" w:type="dxa"/>
                    <w:right w:w="57" w:type="dxa"/>
                  </w:tcMar>
                </w:tcPr>
                <w:p w14:paraId="1880B786" w14:textId="77777777" w:rsidR="00A55940" w:rsidRPr="001E2783" w:rsidRDefault="00A55940" w:rsidP="00A55940">
                  <w:pPr>
                    <w:pStyle w:val="TableTextLeft"/>
                    <w:jc w:val="right"/>
                    <w:rPr>
                      <w:rFonts w:cs="Arial"/>
                      <w:sz w:val="20"/>
                    </w:rPr>
                  </w:pPr>
                  <w:r w:rsidRPr="001E2783">
                    <w:rPr>
                      <w:rFonts w:cs="Arial"/>
                      <w:sz w:val="20"/>
                    </w:rPr>
                    <w:t>1.539</w:t>
                  </w:r>
                </w:p>
              </w:tc>
            </w:tr>
            <w:tr w:rsidR="001E2783" w:rsidRPr="001E2783" w14:paraId="5FCEC133" w14:textId="77777777" w:rsidTr="008C2249">
              <w:trPr>
                <w:cantSplit/>
              </w:trPr>
              <w:tc>
                <w:tcPr>
                  <w:tcW w:w="3964" w:type="dxa"/>
                  <w:tcMar>
                    <w:top w:w="57" w:type="dxa"/>
                    <w:left w:w="57" w:type="dxa"/>
                    <w:bottom w:w="57" w:type="dxa"/>
                    <w:right w:w="57" w:type="dxa"/>
                  </w:tcMar>
                </w:tcPr>
                <w:p w14:paraId="22FE0E60" w14:textId="77777777" w:rsidR="00A55940" w:rsidRPr="001E2783" w:rsidRDefault="00A55940" w:rsidP="00A55940">
                  <w:pPr>
                    <w:pStyle w:val="TableTextLeft"/>
                    <w:rPr>
                      <w:rFonts w:cs="Arial"/>
                      <w:sz w:val="20"/>
                    </w:rPr>
                  </w:pPr>
                  <w:r w:rsidRPr="001E2783">
                    <w:rPr>
                      <w:rFonts w:cs="Arial"/>
                      <w:sz w:val="20"/>
                    </w:rPr>
                    <w:t>Spectrum licence tax*</w:t>
                  </w:r>
                </w:p>
              </w:tc>
              <w:tc>
                <w:tcPr>
                  <w:tcW w:w="2679" w:type="dxa"/>
                  <w:tcMar>
                    <w:top w:w="57" w:type="dxa"/>
                    <w:left w:w="57" w:type="dxa"/>
                    <w:bottom w:w="57" w:type="dxa"/>
                    <w:right w:w="57" w:type="dxa"/>
                  </w:tcMar>
                </w:tcPr>
                <w:p w14:paraId="077A3A4B" w14:textId="77777777" w:rsidR="00A55940" w:rsidRPr="001E2783" w:rsidRDefault="00A55940" w:rsidP="00A55940">
                  <w:pPr>
                    <w:pStyle w:val="TableTextLeft"/>
                    <w:jc w:val="right"/>
                    <w:rPr>
                      <w:rFonts w:cs="Arial"/>
                      <w:sz w:val="20"/>
                    </w:rPr>
                  </w:pPr>
                  <w:r w:rsidRPr="001E2783">
                    <w:rPr>
                      <w:rFonts w:cs="Arial"/>
                      <w:sz w:val="20"/>
                    </w:rPr>
                    <w:t>0.321</w:t>
                  </w:r>
                </w:p>
              </w:tc>
              <w:tc>
                <w:tcPr>
                  <w:tcW w:w="2680" w:type="dxa"/>
                  <w:tcMar>
                    <w:top w:w="57" w:type="dxa"/>
                    <w:left w:w="57" w:type="dxa"/>
                    <w:bottom w:w="57" w:type="dxa"/>
                    <w:right w:w="57" w:type="dxa"/>
                  </w:tcMar>
                </w:tcPr>
                <w:p w14:paraId="771AF24F" w14:textId="77777777" w:rsidR="00A55940" w:rsidRPr="001E2783" w:rsidRDefault="00A55940" w:rsidP="00A55940">
                  <w:pPr>
                    <w:pStyle w:val="TableTextLeft"/>
                    <w:jc w:val="right"/>
                    <w:rPr>
                      <w:rFonts w:cs="Arial"/>
                      <w:sz w:val="20"/>
                    </w:rPr>
                  </w:pPr>
                  <w:r w:rsidRPr="001E2783">
                    <w:rPr>
                      <w:rFonts w:cs="Arial"/>
                      <w:sz w:val="20"/>
                    </w:rPr>
                    <w:t xml:space="preserve">0.324 </w:t>
                  </w:r>
                </w:p>
              </w:tc>
            </w:tr>
            <w:tr w:rsidR="001E2783" w:rsidRPr="001E2783" w14:paraId="5DEC69F7" w14:textId="77777777" w:rsidTr="008C2249">
              <w:trPr>
                <w:cantSplit/>
              </w:trPr>
              <w:tc>
                <w:tcPr>
                  <w:tcW w:w="3964" w:type="dxa"/>
                  <w:tcMar>
                    <w:top w:w="57" w:type="dxa"/>
                    <w:left w:w="57" w:type="dxa"/>
                    <w:bottom w:w="57" w:type="dxa"/>
                    <w:right w:w="57" w:type="dxa"/>
                  </w:tcMar>
                </w:tcPr>
                <w:p w14:paraId="19D6AF26" w14:textId="77777777" w:rsidR="00A55940" w:rsidRPr="001E2783" w:rsidRDefault="00A55940" w:rsidP="00A55940">
                  <w:pPr>
                    <w:pStyle w:val="TableTextLeft"/>
                    <w:rPr>
                      <w:rFonts w:cs="Arial"/>
                      <w:sz w:val="20"/>
                    </w:rPr>
                  </w:pPr>
                  <w:r w:rsidRPr="001E2783">
                    <w:rPr>
                      <w:rFonts w:cs="Arial"/>
                      <w:sz w:val="20"/>
                    </w:rPr>
                    <w:t>Annual numbering charge</w:t>
                  </w:r>
                </w:p>
              </w:tc>
              <w:tc>
                <w:tcPr>
                  <w:tcW w:w="2679" w:type="dxa"/>
                  <w:tcMar>
                    <w:top w:w="57" w:type="dxa"/>
                    <w:left w:w="57" w:type="dxa"/>
                    <w:bottom w:w="57" w:type="dxa"/>
                    <w:right w:w="57" w:type="dxa"/>
                  </w:tcMar>
                </w:tcPr>
                <w:p w14:paraId="5C0A14AD" w14:textId="77777777" w:rsidR="00A55940" w:rsidRPr="001E2783" w:rsidRDefault="00A55940" w:rsidP="00A55940">
                  <w:pPr>
                    <w:pStyle w:val="TableTextLeft"/>
                    <w:jc w:val="right"/>
                    <w:rPr>
                      <w:rFonts w:cs="Arial"/>
                      <w:sz w:val="20"/>
                    </w:rPr>
                  </w:pPr>
                  <w:r w:rsidRPr="001E2783">
                    <w:rPr>
                      <w:rFonts w:cs="Arial"/>
                      <w:sz w:val="20"/>
                    </w:rPr>
                    <w:t>60.000</w:t>
                  </w:r>
                </w:p>
              </w:tc>
              <w:tc>
                <w:tcPr>
                  <w:tcW w:w="2680" w:type="dxa"/>
                  <w:tcMar>
                    <w:top w:w="57" w:type="dxa"/>
                    <w:left w:w="57" w:type="dxa"/>
                    <w:bottom w:w="57" w:type="dxa"/>
                    <w:right w:w="57" w:type="dxa"/>
                  </w:tcMar>
                </w:tcPr>
                <w:p w14:paraId="09C822D1" w14:textId="77777777" w:rsidR="00A55940" w:rsidRPr="001E2783" w:rsidRDefault="00A55940" w:rsidP="00A55940">
                  <w:pPr>
                    <w:pStyle w:val="TableTextLeft"/>
                    <w:jc w:val="right"/>
                    <w:rPr>
                      <w:rFonts w:cs="Arial"/>
                      <w:sz w:val="20"/>
                    </w:rPr>
                  </w:pPr>
                  <w:r w:rsidRPr="001E2783">
                    <w:rPr>
                      <w:rFonts w:cs="Arial"/>
                      <w:sz w:val="20"/>
                    </w:rPr>
                    <w:t>60.000</w:t>
                  </w:r>
                </w:p>
              </w:tc>
            </w:tr>
            <w:tr w:rsidR="001E2783" w:rsidRPr="001E2783" w14:paraId="57A741D1" w14:textId="77777777" w:rsidTr="008C2249">
              <w:trPr>
                <w:cantSplit/>
              </w:trPr>
              <w:tc>
                <w:tcPr>
                  <w:tcW w:w="3964" w:type="dxa"/>
                  <w:tcMar>
                    <w:top w:w="57" w:type="dxa"/>
                    <w:left w:w="57" w:type="dxa"/>
                    <w:bottom w:w="57" w:type="dxa"/>
                    <w:right w:w="57" w:type="dxa"/>
                  </w:tcMar>
                </w:tcPr>
                <w:p w14:paraId="51AA11DB" w14:textId="77777777" w:rsidR="00A55940" w:rsidRPr="001E2783" w:rsidRDefault="00A55940" w:rsidP="00A55940">
                  <w:pPr>
                    <w:pStyle w:val="TableTextLeft"/>
                    <w:rPr>
                      <w:rFonts w:cs="Arial"/>
                      <w:sz w:val="20"/>
                    </w:rPr>
                  </w:pPr>
                  <w:r w:rsidRPr="001E2783">
                    <w:rPr>
                      <w:rFonts w:cs="Arial"/>
                      <w:sz w:val="20"/>
                    </w:rPr>
                    <w:t>Apparatus licence tax</w:t>
                  </w:r>
                </w:p>
              </w:tc>
              <w:tc>
                <w:tcPr>
                  <w:tcW w:w="2679" w:type="dxa"/>
                  <w:tcMar>
                    <w:top w:w="57" w:type="dxa"/>
                    <w:left w:w="57" w:type="dxa"/>
                    <w:bottom w:w="57" w:type="dxa"/>
                    <w:right w:w="57" w:type="dxa"/>
                  </w:tcMar>
                </w:tcPr>
                <w:p w14:paraId="047BD255" w14:textId="77777777" w:rsidR="00A55940" w:rsidRPr="001E2783" w:rsidRDefault="00A55940" w:rsidP="00A55940">
                  <w:pPr>
                    <w:pStyle w:val="TableTextLeft"/>
                    <w:jc w:val="right"/>
                    <w:rPr>
                      <w:rFonts w:cs="Arial"/>
                      <w:sz w:val="20"/>
                    </w:rPr>
                  </w:pPr>
                  <w:r w:rsidRPr="001E2783">
                    <w:rPr>
                      <w:rFonts w:cs="Arial"/>
                      <w:sz w:val="20"/>
                    </w:rPr>
                    <w:t>118.988</w:t>
                  </w:r>
                </w:p>
              </w:tc>
              <w:tc>
                <w:tcPr>
                  <w:tcW w:w="2680" w:type="dxa"/>
                  <w:tcMar>
                    <w:top w:w="57" w:type="dxa"/>
                    <w:left w:w="57" w:type="dxa"/>
                    <w:bottom w:w="57" w:type="dxa"/>
                    <w:right w:w="57" w:type="dxa"/>
                  </w:tcMar>
                </w:tcPr>
                <w:p w14:paraId="1D40BD34" w14:textId="77777777" w:rsidR="00A55940" w:rsidRPr="001E2783" w:rsidRDefault="00A55940" w:rsidP="00A55940">
                  <w:pPr>
                    <w:pStyle w:val="TableTextLeft"/>
                    <w:jc w:val="right"/>
                    <w:rPr>
                      <w:rFonts w:cs="Arial"/>
                      <w:sz w:val="20"/>
                    </w:rPr>
                  </w:pPr>
                  <w:r w:rsidRPr="001E2783">
                    <w:rPr>
                      <w:rFonts w:cs="Arial"/>
                      <w:sz w:val="20"/>
                    </w:rPr>
                    <w:t>170.998</w:t>
                  </w:r>
                </w:p>
              </w:tc>
            </w:tr>
            <w:tr w:rsidR="001E2783" w:rsidRPr="001E2783" w14:paraId="7F2B3DB1" w14:textId="77777777" w:rsidTr="008C2249">
              <w:trPr>
                <w:cantSplit/>
              </w:trPr>
              <w:tc>
                <w:tcPr>
                  <w:tcW w:w="3964" w:type="dxa"/>
                  <w:tcMar>
                    <w:top w:w="57" w:type="dxa"/>
                    <w:left w:w="57" w:type="dxa"/>
                    <w:bottom w:w="57" w:type="dxa"/>
                    <w:right w:w="57" w:type="dxa"/>
                  </w:tcMar>
                </w:tcPr>
                <w:p w14:paraId="4694C52B" w14:textId="17EEAC6A" w:rsidR="00A55940" w:rsidRPr="001E2783" w:rsidRDefault="00A55940" w:rsidP="00A55940">
                  <w:pPr>
                    <w:pStyle w:val="TableTextLeft"/>
                    <w:rPr>
                      <w:rFonts w:cs="Arial"/>
                      <w:sz w:val="20"/>
                    </w:rPr>
                  </w:pPr>
                  <w:r w:rsidRPr="001E2783">
                    <w:rPr>
                      <w:rFonts w:cs="Arial"/>
                      <w:sz w:val="20"/>
                    </w:rPr>
                    <w:t>Broadcasti</w:t>
                  </w:r>
                  <w:r w:rsidR="00970328" w:rsidRPr="001E2783">
                    <w:rPr>
                      <w:rFonts w:cs="Arial"/>
                      <w:sz w:val="20"/>
                    </w:rPr>
                    <w:t>ng licence fees and datacasting </w:t>
                  </w:r>
                  <w:r w:rsidRPr="001E2783">
                    <w:rPr>
                      <w:rFonts w:cs="Arial"/>
                      <w:sz w:val="20"/>
                    </w:rPr>
                    <w:t>charge</w:t>
                  </w:r>
                </w:p>
              </w:tc>
              <w:tc>
                <w:tcPr>
                  <w:tcW w:w="2679" w:type="dxa"/>
                  <w:tcMar>
                    <w:top w:w="57" w:type="dxa"/>
                    <w:left w:w="57" w:type="dxa"/>
                    <w:bottom w:w="57" w:type="dxa"/>
                    <w:right w:w="57" w:type="dxa"/>
                  </w:tcMar>
                </w:tcPr>
                <w:p w14:paraId="545CDF15" w14:textId="77777777" w:rsidR="00A55940" w:rsidRPr="001E2783" w:rsidRDefault="00A55940" w:rsidP="00A55940">
                  <w:pPr>
                    <w:pStyle w:val="TableTextLeft"/>
                    <w:jc w:val="right"/>
                    <w:rPr>
                      <w:rFonts w:cs="Arial"/>
                      <w:sz w:val="20"/>
                    </w:rPr>
                  </w:pPr>
                  <w:r w:rsidRPr="001E2783">
                    <w:rPr>
                      <w:rFonts w:cs="Arial"/>
                      <w:sz w:val="20"/>
                    </w:rPr>
                    <w:t>167.386</w:t>
                  </w:r>
                </w:p>
              </w:tc>
              <w:tc>
                <w:tcPr>
                  <w:tcW w:w="2680" w:type="dxa"/>
                  <w:tcMar>
                    <w:top w:w="57" w:type="dxa"/>
                    <w:left w:w="57" w:type="dxa"/>
                    <w:bottom w:w="57" w:type="dxa"/>
                    <w:right w:w="57" w:type="dxa"/>
                  </w:tcMar>
                </w:tcPr>
                <w:p w14:paraId="09E70804" w14:textId="77777777" w:rsidR="00A55940" w:rsidRPr="001E2783" w:rsidRDefault="00A55940" w:rsidP="00A55940">
                  <w:pPr>
                    <w:pStyle w:val="TableTextLeft"/>
                    <w:jc w:val="right"/>
                    <w:rPr>
                      <w:rFonts w:cs="Arial"/>
                      <w:sz w:val="20"/>
                    </w:rPr>
                  </w:pPr>
                  <w:r w:rsidRPr="001E2783">
                    <w:rPr>
                      <w:rFonts w:cs="Arial"/>
                      <w:sz w:val="20"/>
                    </w:rPr>
                    <w:t>157.188</w:t>
                  </w:r>
                </w:p>
              </w:tc>
            </w:tr>
            <w:tr w:rsidR="001E2783" w:rsidRPr="001E2783" w14:paraId="2F6F1F11" w14:textId="77777777" w:rsidTr="008C2249">
              <w:trPr>
                <w:cantSplit/>
              </w:trPr>
              <w:tc>
                <w:tcPr>
                  <w:tcW w:w="3964" w:type="dxa"/>
                  <w:tcMar>
                    <w:top w:w="57" w:type="dxa"/>
                    <w:left w:w="57" w:type="dxa"/>
                    <w:bottom w:w="57" w:type="dxa"/>
                    <w:right w:w="57" w:type="dxa"/>
                  </w:tcMar>
                </w:tcPr>
                <w:p w14:paraId="38EAB101" w14:textId="77777777" w:rsidR="00A55940" w:rsidRPr="001E2783" w:rsidRDefault="00A55940" w:rsidP="00A55940">
                  <w:pPr>
                    <w:pStyle w:val="TableTextLeft"/>
                    <w:rPr>
                      <w:rFonts w:cs="Arial"/>
                      <w:b/>
                      <w:sz w:val="20"/>
                    </w:rPr>
                  </w:pPr>
                  <w:r w:rsidRPr="001E2783">
                    <w:rPr>
                      <w:rFonts w:cs="Arial"/>
                      <w:b/>
                      <w:sz w:val="20"/>
                    </w:rPr>
                    <w:t>Total taxes</w:t>
                  </w:r>
                </w:p>
              </w:tc>
              <w:tc>
                <w:tcPr>
                  <w:tcW w:w="2679" w:type="dxa"/>
                  <w:tcMar>
                    <w:top w:w="57" w:type="dxa"/>
                    <w:left w:w="57" w:type="dxa"/>
                    <w:bottom w:w="57" w:type="dxa"/>
                    <w:right w:w="57" w:type="dxa"/>
                  </w:tcMar>
                  <w:vAlign w:val="bottom"/>
                </w:tcPr>
                <w:p w14:paraId="1E953707" w14:textId="77777777" w:rsidR="00A55940" w:rsidRPr="001E2783" w:rsidRDefault="00A55940" w:rsidP="00A55940">
                  <w:pPr>
                    <w:pStyle w:val="TableTextLeft"/>
                    <w:jc w:val="right"/>
                    <w:rPr>
                      <w:rFonts w:cs="Arial"/>
                      <w:b/>
                      <w:sz w:val="20"/>
                    </w:rPr>
                  </w:pPr>
                  <w:r w:rsidRPr="001E2783">
                    <w:rPr>
                      <w:rFonts w:cs="Arial"/>
                      <w:sz w:val="20"/>
                    </w:rPr>
                    <w:t>1,830.072</w:t>
                  </w:r>
                </w:p>
              </w:tc>
              <w:tc>
                <w:tcPr>
                  <w:tcW w:w="2680" w:type="dxa"/>
                  <w:tcMar>
                    <w:top w:w="57" w:type="dxa"/>
                    <w:left w:w="57" w:type="dxa"/>
                    <w:bottom w:w="57" w:type="dxa"/>
                    <w:right w:w="57" w:type="dxa"/>
                  </w:tcMar>
                  <w:vAlign w:val="bottom"/>
                </w:tcPr>
                <w:p w14:paraId="5D6CBBD7" w14:textId="77777777" w:rsidR="00A55940" w:rsidRPr="001E2783" w:rsidRDefault="00A55940" w:rsidP="00A55940">
                  <w:pPr>
                    <w:pStyle w:val="TableTextLeft"/>
                    <w:jc w:val="right"/>
                    <w:rPr>
                      <w:rFonts w:cs="Arial"/>
                      <w:b/>
                      <w:sz w:val="20"/>
                    </w:rPr>
                  </w:pPr>
                  <w:r w:rsidRPr="001E2783">
                    <w:rPr>
                      <w:rFonts w:cs="Arial"/>
                      <w:sz w:val="20"/>
                    </w:rPr>
                    <w:t>390.090</w:t>
                  </w:r>
                </w:p>
              </w:tc>
            </w:tr>
          </w:tbl>
          <w:p w14:paraId="0E9264A4" w14:textId="19833AE1" w:rsidR="000E43D7" w:rsidRPr="001E2783" w:rsidRDefault="00633404" w:rsidP="000E43D7">
            <w:pPr>
              <w:spacing w:before="120"/>
              <w:rPr>
                <w:rFonts w:cs="Arial"/>
                <w:i/>
                <w:sz w:val="16"/>
                <w:szCs w:val="16"/>
              </w:rPr>
            </w:pPr>
            <w:r w:rsidRPr="001E2783">
              <w:rPr>
                <w:rFonts w:cs="Arial"/>
                <w:i/>
                <w:sz w:val="16"/>
                <w:szCs w:val="16"/>
              </w:rPr>
              <w:t>^</w:t>
            </w:r>
            <w:r w:rsidR="000E43D7" w:rsidRPr="001E2783">
              <w:rPr>
                <w:rFonts w:cs="Arial"/>
                <w:i/>
                <w:sz w:val="16"/>
                <w:szCs w:val="16"/>
              </w:rPr>
              <w:t>Previously reported as ‘Spectrum auctions’.</w:t>
            </w:r>
            <w:r w:rsidR="000E43D7" w:rsidRPr="001E2783">
              <w:rPr>
                <w:rFonts w:cs="Arial"/>
                <w:i/>
                <w:sz w:val="16"/>
                <w:szCs w:val="16"/>
              </w:rPr>
              <w:br/>
            </w:r>
            <w:r w:rsidR="00A55940" w:rsidRPr="001E2783">
              <w:rPr>
                <w:rFonts w:cs="Arial"/>
                <w:i/>
                <w:sz w:val="16"/>
                <w:szCs w:val="16"/>
              </w:rPr>
              <w:t xml:space="preserve">*Spectrum licence tax </w:t>
            </w:r>
            <w:r w:rsidR="0090062E" w:rsidRPr="001E2783">
              <w:rPr>
                <w:rFonts w:cs="Arial"/>
                <w:i/>
                <w:sz w:val="16"/>
                <w:szCs w:val="16"/>
              </w:rPr>
              <w:t xml:space="preserve">was </w:t>
            </w:r>
            <w:r w:rsidR="00A55940" w:rsidRPr="001E2783">
              <w:rPr>
                <w:rFonts w:cs="Arial"/>
                <w:i/>
                <w:sz w:val="16"/>
                <w:szCs w:val="16"/>
              </w:rPr>
              <w:t>previously reported in Table 16: Cost recovery charges.</w:t>
            </w:r>
          </w:p>
        </w:tc>
      </w:tr>
    </w:tbl>
    <w:p w14:paraId="533AB82D" w14:textId="77777777" w:rsidR="00A55940" w:rsidRPr="001E2783" w:rsidRDefault="00A55940" w:rsidP="00CC119D">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009973EE" w14:textId="77777777" w:rsidTr="0090062E">
        <w:trPr>
          <w:trHeight w:val="377"/>
        </w:trPr>
        <w:tc>
          <w:tcPr>
            <w:tcW w:w="9645" w:type="dxa"/>
            <w:tcBorders>
              <w:top w:val="single" w:sz="2" w:space="0" w:color="505050"/>
            </w:tcBorders>
            <w:shd w:val="clear" w:color="auto" w:fill="auto"/>
            <w:vAlign w:val="center"/>
          </w:tcPr>
          <w:p w14:paraId="102F45E7" w14:textId="2B8AB905" w:rsidR="00CC119D" w:rsidRPr="001E2783" w:rsidRDefault="00CC119D" w:rsidP="00970328">
            <w:pPr>
              <w:pStyle w:val="Caption"/>
              <w:keepNext/>
              <w:keepLines/>
              <w:spacing w:before="120" w:after="120"/>
              <w:rPr>
                <w:rFonts w:ascii="Arial" w:hAnsi="Arial" w:cs="Arial"/>
                <w:color w:val="auto"/>
              </w:rPr>
            </w:pPr>
            <w:r w:rsidRPr="00D3485F">
              <w:rPr>
                <w:rFonts w:ascii="Arial" w:hAnsi="Arial" w:cs="Arial"/>
              </w:rPr>
              <w:t xml:space="preserve">Table </w:t>
            </w:r>
            <w:r w:rsidR="00D27ED3" w:rsidRPr="00D3485F">
              <w:rPr>
                <w:rFonts w:ascii="Arial" w:hAnsi="Arial" w:cs="Arial"/>
              </w:rPr>
              <w:t>16</w:t>
            </w:r>
            <w:r w:rsidRPr="00D3485F">
              <w:rPr>
                <w:rFonts w:ascii="Arial" w:hAnsi="Arial" w:cs="Arial"/>
              </w:rPr>
              <w:t>: Cost recovery charges</w:t>
            </w:r>
            <w:r w:rsidR="0090062E" w:rsidRPr="00D3485F">
              <w:rPr>
                <w:rFonts w:ascii="Arial" w:hAnsi="Arial" w:cs="Arial"/>
              </w:rPr>
              <w:t>*</w:t>
            </w:r>
          </w:p>
        </w:tc>
      </w:tr>
      <w:tr w:rsidR="001E2783" w:rsidRPr="001E2783" w14:paraId="44203705" w14:textId="77777777" w:rsidTr="00C902FF">
        <w:trPr>
          <w:trHeight w:val="565"/>
        </w:trPr>
        <w:tc>
          <w:tcPr>
            <w:tcW w:w="9645" w:type="dxa"/>
            <w:shd w:val="clear" w:color="auto" w:fill="auto"/>
            <w:tcMar>
              <w:left w:w="28" w:type="dxa"/>
            </w:tcMar>
          </w:tcPr>
          <w:tbl>
            <w:tblPr>
              <w:tblW w:w="93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936"/>
              <w:gridCol w:w="2694"/>
              <w:gridCol w:w="2693"/>
            </w:tblGrid>
            <w:tr w:rsidR="001E2783" w:rsidRPr="004E4548" w14:paraId="5C025E9C" w14:textId="77777777" w:rsidTr="0090062E">
              <w:trPr>
                <w:cantSplit/>
              </w:trPr>
              <w:tc>
                <w:tcPr>
                  <w:tcW w:w="3936" w:type="dxa"/>
                  <w:shd w:val="clear" w:color="auto" w:fill="404040" w:themeFill="text1" w:themeFillTint="BF"/>
                  <w:tcMar>
                    <w:top w:w="57" w:type="dxa"/>
                    <w:left w:w="57" w:type="dxa"/>
                    <w:bottom w:w="57" w:type="dxa"/>
                    <w:right w:w="57" w:type="dxa"/>
                  </w:tcMar>
                </w:tcPr>
                <w:p w14:paraId="1A01301B" w14:textId="77777777" w:rsidR="00457206" w:rsidRPr="004E4548" w:rsidRDefault="00457206" w:rsidP="00870FE8">
                  <w:pPr>
                    <w:pStyle w:val="TableHeading"/>
                    <w:rPr>
                      <w:rFonts w:ascii="Arial" w:hAnsi="Arial" w:cs="Arial"/>
                      <w:color w:val="FFFFFF" w:themeColor="background1"/>
                    </w:rPr>
                  </w:pPr>
                  <w:r w:rsidRPr="004E4548">
                    <w:rPr>
                      <w:rFonts w:ascii="Arial" w:hAnsi="Arial" w:cs="Arial"/>
                      <w:color w:val="FFFFFF" w:themeColor="background1"/>
                    </w:rPr>
                    <w:t>Description</w:t>
                  </w:r>
                </w:p>
              </w:tc>
              <w:tc>
                <w:tcPr>
                  <w:tcW w:w="2694" w:type="dxa"/>
                  <w:shd w:val="clear" w:color="auto" w:fill="404040" w:themeFill="text1" w:themeFillTint="BF"/>
                  <w:tcMar>
                    <w:top w:w="57" w:type="dxa"/>
                    <w:left w:w="57" w:type="dxa"/>
                    <w:bottom w:w="57" w:type="dxa"/>
                    <w:right w:w="57" w:type="dxa"/>
                  </w:tcMar>
                </w:tcPr>
                <w:p w14:paraId="3A9F2997" w14:textId="77777777" w:rsidR="00457206" w:rsidRPr="004E4548" w:rsidRDefault="00457206" w:rsidP="00870FE8">
                  <w:pPr>
                    <w:pStyle w:val="TableHeading"/>
                    <w:rPr>
                      <w:rFonts w:ascii="Arial" w:hAnsi="Arial" w:cs="Arial"/>
                      <w:color w:val="FFFFFF" w:themeColor="background1"/>
                    </w:rPr>
                  </w:pPr>
                  <w:r w:rsidRPr="004E4548">
                    <w:rPr>
                      <w:rFonts w:ascii="Arial" w:hAnsi="Arial" w:cs="Arial"/>
                      <w:color w:val="FFFFFF" w:themeColor="background1"/>
                    </w:rPr>
                    <w:t>Revenue in 2012–13 ($m)</w:t>
                  </w:r>
                </w:p>
              </w:tc>
              <w:tc>
                <w:tcPr>
                  <w:tcW w:w="2693" w:type="dxa"/>
                  <w:shd w:val="clear" w:color="auto" w:fill="404040" w:themeFill="text1" w:themeFillTint="BF"/>
                  <w:tcMar>
                    <w:top w:w="57" w:type="dxa"/>
                    <w:left w:w="57" w:type="dxa"/>
                    <w:bottom w:w="57" w:type="dxa"/>
                    <w:right w:w="57" w:type="dxa"/>
                  </w:tcMar>
                </w:tcPr>
                <w:p w14:paraId="070B6A87" w14:textId="77777777" w:rsidR="00457206" w:rsidRPr="004E4548" w:rsidRDefault="00457206" w:rsidP="0090062E">
                  <w:pPr>
                    <w:pStyle w:val="TableHeading"/>
                    <w:jc w:val="right"/>
                    <w:rPr>
                      <w:rFonts w:ascii="Arial" w:hAnsi="Arial" w:cs="Arial"/>
                      <w:color w:val="FFFFFF" w:themeColor="background1"/>
                    </w:rPr>
                  </w:pPr>
                  <w:r w:rsidRPr="004E4548">
                    <w:rPr>
                      <w:rFonts w:ascii="Arial" w:hAnsi="Arial" w:cs="Arial"/>
                      <w:color w:val="FFFFFF" w:themeColor="background1"/>
                    </w:rPr>
                    <w:t>Revenue in 2013–14 ($m)</w:t>
                  </w:r>
                </w:p>
              </w:tc>
            </w:tr>
            <w:tr w:rsidR="001E2783" w:rsidRPr="001E2783" w14:paraId="548E9D2A" w14:textId="77777777" w:rsidTr="0090062E">
              <w:trPr>
                <w:cantSplit/>
              </w:trPr>
              <w:tc>
                <w:tcPr>
                  <w:tcW w:w="3936" w:type="dxa"/>
                  <w:tcMar>
                    <w:top w:w="57" w:type="dxa"/>
                    <w:left w:w="57" w:type="dxa"/>
                    <w:bottom w:w="57" w:type="dxa"/>
                    <w:right w:w="57" w:type="dxa"/>
                  </w:tcMar>
                </w:tcPr>
                <w:p w14:paraId="61F46EE5" w14:textId="77777777" w:rsidR="00305B0D" w:rsidRPr="001E2783" w:rsidRDefault="00305B0D" w:rsidP="00870FE8">
                  <w:pPr>
                    <w:pStyle w:val="TableTextLeft"/>
                    <w:rPr>
                      <w:rFonts w:cs="Arial"/>
                      <w:sz w:val="20"/>
                    </w:rPr>
                  </w:pPr>
                  <w:r w:rsidRPr="001E2783">
                    <w:rPr>
                      <w:rFonts w:cs="Arial"/>
                      <w:sz w:val="20"/>
                    </w:rPr>
                    <w:t>Annual carrier licence charge</w:t>
                  </w:r>
                </w:p>
              </w:tc>
              <w:tc>
                <w:tcPr>
                  <w:tcW w:w="2694" w:type="dxa"/>
                  <w:tcMar>
                    <w:top w:w="57" w:type="dxa"/>
                    <w:left w:w="57" w:type="dxa"/>
                    <w:bottom w:w="57" w:type="dxa"/>
                    <w:right w:w="57" w:type="dxa"/>
                  </w:tcMar>
                </w:tcPr>
                <w:p w14:paraId="794F3A6E" w14:textId="77777777" w:rsidR="00305B0D" w:rsidRPr="001E2783" w:rsidRDefault="00457206" w:rsidP="00870FE8">
                  <w:pPr>
                    <w:pStyle w:val="TableTextLeft"/>
                    <w:jc w:val="right"/>
                    <w:rPr>
                      <w:rFonts w:cs="Arial"/>
                      <w:sz w:val="20"/>
                    </w:rPr>
                  </w:pPr>
                  <w:r w:rsidRPr="001E2783">
                    <w:rPr>
                      <w:rFonts w:cs="Arial"/>
                      <w:sz w:val="20"/>
                    </w:rPr>
                    <w:t>38.885</w:t>
                  </w:r>
                </w:p>
              </w:tc>
              <w:tc>
                <w:tcPr>
                  <w:tcW w:w="2693" w:type="dxa"/>
                  <w:tcMar>
                    <w:top w:w="57" w:type="dxa"/>
                    <w:left w:w="57" w:type="dxa"/>
                    <w:bottom w:w="57" w:type="dxa"/>
                    <w:right w:w="57" w:type="dxa"/>
                  </w:tcMar>
                </w:tcPr>
                <w:p w14:paraId="6F8175BC" w14:textId="204CE9C6" w:rsidR="00305B0D" w:rsidRPr="001E2783" w:rsidRDefault="0090062E" w:rsidP="00084B92">
                  <w:pPr>
                    <w:pStyle w:val="ACMATableText"/>
                    <w:keepNext/>
                    <w:keepLines/>
                    <w:ind w:left="26"/>
                    <w:jc w:val="right"/>
                    <w:rPr>
                      <w:rFonts w:cs="Arial"/>
                      <w:lang w:eastAsia="en-AU"/>
                    </w:rPr>
                  </w:pPr>
                  <w:r w:rsidRPr="001E2783">
                    <w:rPr>
                      <w:rFonts w:cs="Arial"/>
                      <w:lang w:eastAsia="en-AU"/>
                    </w:rPr>
                    <w:t>38.303</w:t>
                  </w:r>
                </w:p>
              </w:tc>
            </w:tr>
            <w:tr w:rsidR="001E2783" w:rsidRPr="001E2783" w14:paraId="5B9DDEFF" w14:textId="77777777" w:rsidTr="0090062E">
              <w:trPr>
                <w:cantSplit/>
              </w:trPr>
              <w:tc>
                <w:tcPr>
                  <w:tcW w:w="3936" w:type="dxa"/>
                  <w:tcMar>
                    <w:top w:w="57" w:type="dxa"/>
                    <w:left w:w="57" w:type="dxa"/>
                    <w:bottom w:w="57" w:type="dxa"/>
                    <w:right w:w="57" w:type="dxa"/>
                  </w:tcMar>
                </w:tcPr>
                <w:p w14:paraId="39687245" w14:textId="77777777" w:rsidR="00305B0D" w:rsidRPr="001E2783" w:rsidRDefault="00305B0D" w:rsidP="00870FE8">
                  <w:pPr>
                    <w:pStyle w:val="TableTextLeft"/>
                    <w:rPr>
                      <w:rFonts w:cs="Arial"/>
                      <w:sz w:val="20"/>
                    </w:rPr>
                  </w:pPr>
                  <w:r w:rsidRPr="001E2783">
                    <w:rPr>
                      <w:rFonts w:cs="Arial"/>
                      <w:sz w:val="20"/>
                    </w:rPr>
                    <w:t>Fee for service charges</w:t>
                  </w:r>
                </w:p>
              </w:tc>
              <w:tc>
                <w:tcPr>
                  <w:tcW w:w="2694" w:type="dxa"/>
                  <w:tcMar>
                    <w:top w:w="57" w:type="dxa"/>
                    <w:left w:w="57" w:type="dxa"/>
                    <w:bottom w:w="57" w:type="dxa"/>
                    <w:right w:w="57" w:type="dxa"/>
                  </w:tcMar>
                </w:tcPr>
                <w:p w14:paraId="76F49AFA" w14:textId="77777777" w:rsidR="00305B0D" w:rsidRPr="001E2783" w:rsidRDefault="00457206" w:rsidP="00870FE8">
                  <w:pPr>
                    <w:pStyle w:val="TableTextLeft"/>
                    <w:jc w:val="right"/>
                    <w:rPr>
                      <w:rFonts w:cs="Arial"/>
                      <w:sz w:val="20"/>
                    </w:rPr>
                  </w:pPr>
                  <w:r w:rsidRPr="001E2783">
                    <w:rPr>
                      <w:rFonts w:cs="Arial"/>
                      <w:sz w:val="20"/>
                    </w:rPr>
                    <w:t>3.122</w:t>
                  </w:r>
                </w:p>
              </w:tc>
              <w:tc>
                <w:tcPr>
                  <w:tcW w:w="2693" w:type="dxa"/>
                  <w:tcMar>
                    <w:top w:w="57" w:type="dxa"/>
                    <w:left w:w="57" w:type="dxa"/>
                    <w:bottom w:w="57" w:type="dxa"/>
                    <w:right w:w="57" w:type="dxa"/>
                  </w:tcMar>
                </w:tcPr>
                <w:p w14:paraId="20EA67D3" w14:textId="26ACAA4A" w:rsidR="00305B0D" w:rsidRPr="001E2783" w:rsidRDefault="0090062E" w:rsidP="00870FE8">
                  <w:pPr>
                    <w:pStyle w:val="TableTextLeft"/>
                    <w:jc w:val="right"/>
                    <w:rPr>
                      <w:rFonts w:cs="Arial"/>
                      <w:sz w:val="20"/>
                    </w:rPr>
                  </w:pPr>
                  <w:r w:rsidRPr="001E2783">
                    <w:rPr>
                      <w:rFonts w:cs="Arial"/>
                      <w:sz w:val="20"/>
                    </w:rPr>
                    <w:t>3.915</w:t>
                  </w:r>
                </w:p>
              </w:tc>
            </w:tr>
            <w:tr w:rsidR="001E2783" w:rsidRPr="001E2783" w14:paraId="63D0406C" w14:textId="77777777" w:rsidTr="0090062E">
              <w:trPr>
                <w:cantSplit/>
              </w:trPr>
              <w:tc>
                <w:tcPr>
                  <w:tcW w:w="3936" w:type="dxa"/>
                  <w:tcMar>
                    <w:top w:w="57" w:type="dxa"/>
                    <w:left w:w="57" w:type="dxa"/>
                    <w:bottom w:w="57" w:type="dxa"/>
                    <w:right w:w="57" w:type="dxa"/>
                  </w:tcMar>
                </w:tcPr>
                <w:p w14:paraId="5280B234" w14:textId="77777777" w:rsidR="00305B0D" w:rsidRPr="001E2783" w:rsidRDefault="00305B0D" w:rsidP="00870FE8">
                  <w:pPr>
                    <w:pStyle w:val="TableTextLeft"/>
                    <w:rPr>
                      <w:rFonts w:cs="Arial"/>
                      <w:sz w:val="20"/>
                    </w:rPr>
                  </w:pPr>
                  <w:r w:rsidRPr="001E2783">
                    <w:rPr>
                      <w:rFonts w:cs="Arial"/>
                      <w:sz w:val="20"/>
                    </w:rPr>
                    <w:t>Do Not Call Register charges</w:t>
                  </w:r>
                </w:p>
              </w:tc>
              <w:tc>
                <w:tcPr>
                  <w:tcW w:w="2694" w:type="dxa"/>
                  <w:tcMar>
                    <w:top w:w="57" w:type="dxa"/>
                    <w:left w:w="57" w:type="dxa"/>
                    <w:bottom w:w="57" w:type="dxa"/>
                    <w:right w:w="57" w:type="dxa"/>
                  </w:tcMar>
                </w:tcPr>
                <w:p w14:paraId="2E415F5D" w14:textId="77777777" w:rsidR="00305B0D" w:rsidRPr="001E2783" w:rsidRDefault="00457206" w:rsidP="00870FE8">
                  <w:pPr>
                    <w:pStyle w:val="TableTextLeft"/>
                    <w:jc w:val="right"/>
                    <w:rPr>
                      <w:rFonts w:cs="Arial"/>
                      <w:sz w:val="20"/>
                    </w:rPr>
                  </w:pPr>
                  <w:r w:rsidRPr="001E2783">
                    <w:rPr>
                      <w:rFonts w:cs="Arial"/>
                      <w:sz w:val="20"/>
                    </w:rPr>
                    <w:t>3.615</w:t>
                  </w:r>
                </w:p>
              </w:tc>
              <w:tc>
                <w:tcPr>
                  <w:tcW w:w="2693" w:type="dxa"/>
                  <w:tcMar>
                    <w:top w:w="57" w:type="dxa"/>
                    <w:left w:w="57" w:type="dxa"/>
                    <w:bottom w:w="57" w:type="dxa"/>
                    <w:right w:w="57" w:type="dxa"/>
                  </w:tcMar>
                </w:tcPr>
                <w:p w14:paraId="1CF450E6" w14:textId="5010D379" w:rsidR="00305B0D" w:rsidRPr="001E2783" w:rsidRDefault="0090062E" w:rsidP="00870FE8">
                  <w:pPr>
                    <w:pStyle w:val="TableTextLeft"/>
                    <w:jc w:val="right"/>
                    <w:rPr>
                      <w:rFonts w:cs="Arial"/>
                      <w:sz w:val="20"/>
                    </w:rPr>
                  </w:pPr>
                  <w:r w:rsidRPr="001E2783">
                    <w:rPr>
                      <w:rFonts w:cs="Arial"/>
                      <w:sz w:val="20"/>
                    </w:rPr>
                    <w:t>3.296</w:t>
                  </w:r>
                </w:p>
              </w:tc>
            </w:tr>
            <w:tr w:rsidR="001E2783" w:rsidRPr="001E2783" w14:paraId="67514ACB" w14:textId="77777777" w:rsidTr="0090062E">
              <w:trPr>
                <w:cantSplit/>
              </w:trPr>
              <w:tc>
                <w:tcPr>
                  <w:tcW w:w="3936" w:type="dxa"/>
                  <w:tcMar>
                    <w:top w:w="57" w:type="dxa"/>
                    <w:left w:w="57" w:type="dxa"/>
                    <w:bottom w:w="57" w:type="dxa"/>
                    <w:right w:w="57" w:type="dxa"/>
                  </w:tcMar>
                </w:tcPr>
                <w:p w14:paraId="47446A44" w14:textId="77777777" w:rsidR="0090062E" w:rsidRPr="001E2783" w:rsidRDefault="0090062E" w:rsidP="0090062E">
                  <w:pPr>
                    <w:pStyle w:val="TableTextLeft"/>
                    <w:rPr>
                      <w:rFonts w:cs="Arial"/>
                      <w:b/>
                      <w:sz w:val="20"/>
                    </w:rPr>
                  </w:pPr>
                  <w:r w:rsidRPr="001E2783">
                    <w:rPr>
                      <w:rFonts w:cs="Arial"/>
                      <w:b/>
                      <w:sz w:val="20"/>
                    </w:rPr>
                    <w:t>Total charges</w:t>
                  </w:r>
                </w:p>
              </w:tc>
              <w:tc>
                <w:tcPr>
                  <w:tcW w:w="2694" w:type="dxa"/>
                  <w:tcMar>
                    <w:top w:w="57" w:type="dxa"/>
                    <w:left w:w="57" w:type="dxa"/>
                    <w:bottom w:w="57" w:type="dxa"/>
                    <w:right w:w="57" w:type="dxa"/>
                  </w:tcMar>
                </w:tcPr>
                <w:p w14:paraId="26AD9649" w14:textId="7A219106" w:rsidR="0090062E" w:rsidRPr="001E2783" w:rsidRDefault="0090062E" w:rsidP="0090062E">
                  <w:pPr>
                    <w:pStyle w:val="TableTextLeft"/>
                    <w:jc w:val="right"/>
                    <w:rPr>
                      <w:rFonts w:cs="Arial"/>
                      <w:b/>
                      <w:sz w:val="20"/>
                    </w:rPr>
                  </w:pPr>
                  <w:r w:rsidRPr="001E2783">
                    <w:rPr>
                      <w:rFonts w:cs="Arial"/>
                      <w:b/>
                      <w:sz w:val="20"/>
                    </w:rPr>
                    <w:t>45.622</w:t>
                  </w:r>
                </w:p>
              </w:tc>
              <w:tc>
                <w:tcPr>
                  <w:tcW w:w="2693" w:type="dxa"/>
                  <w:tcMar>
                    <w:top w:w="57" w:type="dxa"/>
                    <w:left w:w="57" w:type="dxa"/>
                    <w:bottom w:w="57" w:type="dxa"/>
                    <w:right w:w="57" w:type="dxa"/>
                  </w:tcMar>
                </w:tcPr>
                <w:p w14:paraId="6C6B315A" w14:textId="74C58B70" w:rsidR="0090062E" w:rsidRPr="001E2783" w:rsidRDefault="0090062E" w:rsidP="0090062E">
                  <w:pPr>
                    <w:pStyle w:val="TableTextLeft"/>
                    <w:jc w:val="right"/>
                    <w:rPr>
                      <w:rFonts w:cs="Arial"/>
                      <w:b/>
                      <w:sz w:val="20"/>
                    </w:rPr>
                  </w:pPr>
                  <w:r w:rsidRPr="001E2783">
                    <w:rPr>
                      <w:rFonts w:cs="Arial"/>
                      <w:b/>
                      <w:sz w:val="20"/>
                    </w:rPr>
                    <w:t>45.514</w:t>
                  </w:r>
                </w:p>
              </w:tc>
            </w:tr>
          </w:tbl>
          <w:p w14:paraId="34AF4CC0" w14:textId="77777777" w:rsidR="00CC119D" w:rsidRPr="001E2783" w:rsidRDefault="00CC119D" w:rsidP="00C902FF">
            <w:pPr>
              <w:ind w:left="720"/>
              <w:rPr>
                <w:rFonts w:cs="Arial"/>
              </w:rPr>
            </w:pPr>
          </w:p>
        </w:tc>
      </w:tr>
      <w:tr w:rsidR="00CC119D" w:rsidRPr="001E2783" w14:paraId="4103961A" w14:textId="77777777" w:rsidTr="00C902FF">
        <w:trPr>
          <w:trHeight w:val="80"/>
        </w:trPr>
        <w:tc>
          <w:tcPr>
            <w:tcW w:w="9645" w:type="dxa"/>
            <w:tcBorders>
              <w:bottom w:val="single" w:sz="2" w:space="0" w:color="505050"/>
            </w:tcBorders>
            <w:shd w:val="clear" w:color="auto" w:fill="auto"/>
          </w:tcPr>
          <w:p w14:paraId="22EB896B" w14:textId="2F6B896E" w:rsidR="00CC119D" w:rsidRPr="001E2783" w:rsidRDefault="0090062E" w:rsidP="0090062E">
            <w:pPr>
              <w:spacing w:before="120"/>
              <w:rPr>
                <w:rFonts w:cs="Arial"/>
              </w:rPr>
            </w:pPr>
            <w:r w:rsidRPr="001E2783">
              <w:rPr>
                <w:rFonts w:cs="Arial"/>
                <w:i/>
                <w:sz w:val="16"/>
                <w:szCs w:val="16"/>
              </w:rPr>
              <w:t>*Due to a reclassification from charges to taxes, ‘Spectrum licence tax’ is now reported in Table 15: Resource taxes.</w:t>
            </w:r>
          </w:p>
        </w:tc>
      </w:tr>
    </w:tbl>
    <w:p w14:paraId="41A2412E" w14:textId="77777777" w:rsidR="00CC119D" w:rsidRPr="001E2783" w:rsidRDefault="00CC119D" w:rsidP="00CC119D">
      <w:pPr>
        <w:rPr>
          <w:rFonts w:cs="Arial"/>
        </w:rPr>
      </w:pPr>
    </w:p>
    <w:p w14:paraId="08AB6478" w14:textId="77777777" w:rsidR="00CC119D" w:rsidRPr="001E2783" w:rsidRDefault="00CC119D" w:rsidP="00CC119D">
      <w:pPr>
        <w:rPr>
          <w:rFonts w:cs="Arial"/>
        </w:rPr>
      </w:pPr>
    </w:p>
    <w:tbl>
      <w:tblPr>
        <w:tblW w:w="9356" w:type="dxa"/>
        <w:tblLayout w:type="fixed"/>
        <w:tblCellMar>
          <w:left w:w="0" w:type="dxa"/>
          <w:right w:w="0" w:type="dxa"/>
        </w:tblCellMar>
        <w:tblLook w:val="01E0" w:firstRow="1" w:lastRow="1" w:firstColumn="1" w:lastColumn="1" w:noHBand="0" w:noVBand="0"/>
      </w:tblPr>
      <w:tblGrid>
        <w:gridCol w:w="9356"/>
      </w:tblGrid>
      <w:tr w:rsidR="001E2783" w:rsidRPr="001E2783" w14:paraId="78E4C091" w14:textId="77777777" w:rsidTr="00970328">
        <w:trPr>
          <w:trHeight w:val="511"/>
        </w:trPr>
        <w:tc>
          <w:tcPr>
            <w:tcW w:w="9356" w:type="dxa"/>
            <w:tcBorders>
              <w:top w:val="single" w:sz="2" w:space="0" w:color="505050"/>
            </w:tcBorders>
            <w:shd w:val="clear" w:color="auto" w:fill="auto"/>
            <w:vAlign w:val="center"/>
          </w:tcPr>
          <w:p w14:paraId="323A1282" w14:textId="77777777" w:rsidR="00CC119D" w:rsidRPr="001E2783" w:rsidRDefault="00CC119D" w:rsidP="00B708B0">
            <w:pPr>
              <w:pStyle w:val="Caption"/>
              <w:keepNext/>
              <w:keepLines/>
              <w:rPr>
                <w:rFonts w:ascii="Arial" w:hAnsi="Arial" w:cs="Arial"/>
                <w:color w:val="auto"/>
              </w:rPr>
            </w:pPr>
            <w:r w:rsidRPr="00D3485F">
              <w:rPr>
                <w:rFonts w:ascii="Arial" w:hAnsi="Arial" w:cs="Arial"/>
              </w:rPr>
              <w:t xml:space="preserve">Table </w:t>
            </w:r>
            <w:r w:rsidR="00D27ED3" w:rsidRPr="00D3485F">
              <w:rPr>
                <w:rFonts w:ascii="Arial" w:hAnsi="Arial" w:cs="Arial"/>
              </w:rPr>
              <w:t>17</w:t>
            </w:r>
            <w:r w:rsidRPr="00D3485F">
              <w:rPr>
                <w:rFonts w:ascii="Arial" w:hAnsi="Arial" w:cs="Arial"/>
              </w:rPr>
              <w:t>: Industry levies</w:t>
            </w:r>
          </w:p>
        </w:tc>
      </w:tr>
      <w:tr w:rsidR="001E2783" w:rsidRPr="001E2783" w14:paraId="7A5FAB3D" w14:textId="77777777" w:rsidTr="00C902FF">
        <w:trPr>
          <w:trHeight w:val="1295"/>
        </w:trPr>
        <w:tc>
          <w:tcPr>
            <w:tcW w:w="9356" w:type="dxa"/>
            <w:shd w:val="clear" w:color="auto" w:fill="auto"/>
            <w:tcMar>
              <w:left w:w="28" w:type="dxa"/>
            </w:tcMar>
          </w:tcPr>
          <w:tbl>
            <w:tblPr>
              <w:tblW w:w="93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245"/>
              <w:gridCol w:w="2818"/>
              <w:gridCol w:w="3260"/>
            </w:tblGrid>
            <w:tr w:rsidR="001E2783" w:rsidRPr="001E2783" w14:paraId="50212528" w14:textId="77777777" w:rsidTr="00084B92">
              <w:trPr>
                <w:cantSplit/>
              </w:trPr>
              <w:tc>
                <w:tcPr>
                  <w:tcW w:w="3245" w:type="dxa"/>
                  <w:shd w:val="clear" w:color="auto" w:fill="404040" w:themeFill="text1" w:themeFillTint="BF"/>
                  <w:tcMar>
                    <w:top w:w="57" w:type="dxa"/>
                    <w:left w:w="57" w:type="dxa"/>
                    <w:bottom w:w="57" w:type="dxa"/>
                    <w:right w:w="57" w:type="dxa"/>
                  </w:tcMar>
                </w:tcPr>
                <w:p w14:paraId="7ABC757B" w14:textId="77777777" w:rsidR="004925AF" w:rsidRPr="004E4548" w:rsidRDefault="004925AF" w:rsidP="00870FE8">
                  <w:pPr>
                    <w:pStyle w:val="TableHeading"/>
                    <w:rPr>
                      <w:rFonts w:ascii="Arial" w:hAnsi="Arial" w:cs="Arial"/>
                      <w:color w:val="FFFFFF" w:themeColor="background1"/>
                    </w:rPr>
                  </w:pPr>
                  <w:r w:rsidRPr="004E4548">
                    <w:rPr>
                      <w:rFonts w:ascii="Arial" w:hAnsi="Arial" w:cs="Arial"/>
                      <w:color w:val="FFFFFF" w:themeColor="background1"/>
                    </w:rPr>
                    <w:t>Description</w:t>
                  </w:r>
                </w:p>
              </w:tc>
              <w:tc>
                <w:tcPr>
                  <w:tcW w:w="2818" w:type="dxa"/>
                  <w:shd w:val="clear" w:color="auto" w:fill="404040" w:themeFill="text1" w:themeFillTint="BF"/>
                  <w:tcMar>
                    <w:top w:w="57" w:type="dxa"/>
                    <w:left w:w="57" w:type="dxa"/>
                    <w:bottom w:w="57" w:type="dxa"/>
                    <w:right w:w="57" w:type="dxa"/>
                  </w:tcMar>
                </w:tcPr>
                <w:p w14:paraId="2AF3E4CC" w14:textId="77777777" w:rsidR="004925AF" w:rsidRPr="004E4548" w:rsidRDefault="004925AF" w:rsidP="00870FE8">
                  <w:pPr>
                    <w:pStyle w:val="TableHeading"/>
                    <w:rPr>
                      <w:rFonts w:ascii="Arial" w:hAnsi="Arial" w:cs="Arial"/>
                      <w:color w:val="FFFFFF" w:themeColor="background1"/>
                    </w:rPr>
                  </w:pPr>
                  <w:r w:rsidRPr="004E4548">
                    <w:rPr>
                      <w:rFonts w:ascii="Arial" w:hAnsi="Arial" w:cs="Arial"/>
                      <w:color w:val="FFFFFF" w:themeColor="background1"/>
                    </w:rPr>
                    <w:t>Revenue in 2012–13 ($m)</w:t>
                  </w:r>
                </w:p>
              </w:tc>
              <w:tc>
                <w:tcPr>
                  <w:tcW w:w="3260" w:type="dxa"/>
                  <w:shd w:val="clear" w:color="auto" w:fill="404040" w:themeFill="text1" w:themeFillTint="BF"/>
                  <w:tcMar>
                    <w:top w:w="57" w:type="dxa"/>
                    <w:left w:w="57" w:type="dxa"/>
                    <w:bottom w:w="57" w:type="dxa"/>
                    <w:right w:w="57" w:type="dxa"/>
                  </w:tcMar>
                </w:tcPr>
                <w:p w14:paraId="699D3C5A" w14:textId="77777777" w:rsidR="004925AF" w:rsidRPr="004E4548" w:rsidRDefault="004925AF" w:rsidP="00970328">
                  <w:pPr>
                    <w:pStyle w:val="TableHeading"/>
                    <w:jc w:val="right"/>
                    <w:rPr>
                      <w:rFonts w:ascii="Arial" w:hAnsi="Arial" w:cs="Arial"/>
                      <w:color w:val="FFFFFF" w:themeColor="background1"/>
                    </w:rPr>
                  </w:pPr>
                  <w:r w:rsidRPr="004E4548">
                    <w:rPr>
                      <w:rFonts w:ascii="Arial" w:hAnsi="Arial" w:cs="Arial"/>
                      <w:color w:val="FFFFFF" w:themeColor="background1"/>
                    </w:rPr>
                    <w:t>Revenue in 2013–14 ($m)</w:t>
                  </w:r>
                </w:p>
              </w:tc>
            </w:tr>
            <w:tr w:rsidR="001E2783" w:rsidRPr="001E2783" w14:paraId="35E41176" w14:textId="77777777" w:rsidTr="00084B92">
              <w:trPr>
                <w:cantSplit/>
              </w:trPr>
              <w:tc>
                <w:tcPr>
                  <w:tcW w:w="3245" w:type="dxa"/>
                  <w:tcMar>
                    <w:top w:w="57" w:type="dxa"/>
                    <w:left w:w="57" w:type="dxa"/>
                    <w:bottom w:w="57" w:type="dxa"/>
                    <w:right w:w="57" w:type="dxa"/>
                  </w:tcMar>
                </w:tcPr>
                <w:p w14:paraId="229B4EEB" w14:textId="0763D512" w:rsidR="00B708B0" w:rsidRPr="001E2783" w:rsidRDefault="00B708B0" w:rsidP="00B708B0">
                  <w:pPr>
                    <w:pStyle w:val="TableTextLeft"/>
                    <w:rPr>
                      <w:rFonts w:cs="Arial"/>
                      <w:sz w:val="20"/>
                    </w:rPr>
                  </w:pPr>
                  <w:r w:rsidRPr="001E2783">
                    <w:rPr>
                      <w:rFonts w:cs="Arial"/>
                      <w:sz w:val="20"/>
                    </w:rPr>
                    <w:t>USO levy*</w:t>
                  </w:r>
                </w:p>
              </w:tc>
              <w:tc>
                <w:tcPr>
                  <w:tcW w:w="2818" w:type="dxa"/>
                  <w:tcMar>
                    <w:top w:w="57" w:type="dxa"/>
                    <w:left w:w="57" w:type="dxa"/>
                    <w:bottom w:w="57" w:type="dxa"/>
                    <w:right w:w="57" w:type="dxa"/>
                  </w:tcMar>
                </w:tcPr>
                <w:p w14:paraId="3B2F499D" w14:textId="2741410C" w:rsidR="00B708B0" w:rsidRPr="001E2783" w:rsidRDefault="00B708B0" w:rsidP="00B708B0">
                  <w:pPr>
                    <w:pStyle w:val="TableTextLeft"/>
                    <w:jc w:val="right"/>
                    <w:rPr>
                      <w:rFonts w:cs="Arial"/>
                      <w:sz w:val="20"/>
                    </w:rPr>
                  </w:pPr>
                  <w:r w:rsidRPr="001E2783">
                    <w:rPr>
                      <w:rFonts w:cs="Arial"/>
                      <w:sz w:val="20"/>
                    </w:rPr>
                    <w:t>145.128</w:t>
                  </w:r>
                </w:p>
              </w:tc>
              <w:tc>
                <w:tcPr>
                  <w:tcW w:w="3260" w:type="dxa"/>
                  <w:tcMar>
                    <w:top w:w="57" w:type="dxa"/>
                    <w:left w:w="57" w:type="dxa"/>
                    <w:bottom w:w="57" w:type="dxa"/>
                    <w:right w:w="57" w:type="dxa"/>
                  </w:tcMar>
                </w:tcPr>
                <w:p w14:paraId="2027E760" w14:textId="0D692F32" w:rsidR="00B708B0" w:rsidRPr="001E2783" w:rsidRDefault="00B708B0" w:rsidP="00B708B0">
                  <w:pPr>
                    <w:pStyle w:val="ACMATableText"/>
                    <w:jc w:val="right"/>
                    <w:rPr>
                      <w:rFonts w:cs="Arial"/>
                    </w:rPr>
                  </w:pPr>
                  <w:r w:rsidRPr="001E2783">
                    <w:rPr>
                      <w:rFonts w:cs="Arial"/>
                    </w:rPr>
                    <w:t>0</w:t>
                  </w:r>
                </w:p>
              </w:tc>
            </w:tr>
            <w:tr w:rsidR="001E2783" w:rsidRPr="001E2783" w14:paraId="4395543A" w14:textId="77777777" w:rsidTr="00084B92">
              <w:trPr>
                <w:cantSplit/>
              </w:trPr>
              <w:tc>
                <w:tcPr>
                  <w:tcW w:w="3245" w:type="dxa"/>
                  <w:tcMar>
                    <w:top w:w="57" w:type="dxa"/>
                    <w:left w:w="57" w:type="dxa"/>
                    <w:bottom w:w="57" w:type="dxa"/>
                    <w:right w:w="57" w:type="dxa"/>
                  </w:tcMar>
                </w:tcPr>
                <w:p w14:paraId="327CD583" w14:textId="17444FBB" w:rsidR="00B708B0" w:rsidRPr="001E2783" w:rsidRDefault="00B708B0" w:rsidP="00B708B0">
                  <w:pPr>
                    <w:pStyle w:val="TableTextLeft"/>
                    <w:rPr>
                      <w:rFonts w:cs="Arial"/>
                      <w:sz w:val="20"/>
                    </w:rPr>
                  </w:pPr>
                  <w:r w:rsidRPr="001E2783">
                    <w:rPr>
                      <w:rFonts w:cs="Arial"/>
                      <w:sz w:val="20"/>
                    </w:rPr>
                    <w:t>NRS levy*</w:t>
                  </w:r>
                </w:p>
              </w:tc>
              <w:tc>
                <w:tcPr>
                  <w:tcW w:w="2818" w:type="dxa"/>
                  <w:tcMar>
                    <w:top w:w="57" w:type="dxa"/>
                    <w:left w:w="57" w:type="dxa"/>
                    <w:bottom w:w="57" w:type="dxa"/>
                    <w:right w:w="57" w:type="dxa"/>
                  </w:tcMar>
                </w:tcPr>
                <w:p w14:paraId="7A17C5DF" w14:textId="32B3861C" w:rsidR="00B708B0" w:rsidRPr="001E2783" w:rsidRDefault="00B708B0" w:rsidP="00B708B0">
                  <w:pPr>
                    <w:pStyle w:val="TableTextLeft"/>
                    <w:jc w:val="right"/>
                    <w:rPr>
                      <w:rFonts w:cs="Arial"/>
                      <w:sz w:val="20"/>
                    </w:rPr>
                  </w:pPr>
                  <w:r w:rsidRPr="001E2783">
                    <w:rPr>
                      <w:rFonts w:cs="Arial"/>
                      <w:sz w:val="20"/>
                    </w:rPr>
                    <w:t>0.197</w:t>
                  </w:r>
                </w:p>
              </w:tc>
              <w:tc>
                <w:tcPr>
                  <w:tcW w:w="3260" w:type="dxa"/>
                  <w:tcMar>
                    <w:top w:w="57" w:type="dxa"/>
                    <w:left w:w="57" w:type="dxa"/>
                    <w:bottom w:w="57" w:type="dxa"/>
                    <w:right w:w="57" w:type="dxa"/>
                  </w:tcMar>
                </w:tcPr>
                <w:p w14:paraId="7D0F008E" w14:textId="2C2CBD76" w:rsidR="00B708B0" w:rsidRPr="001E2783" w:rsidRDefault="00B708B0" w:rsidP="00B708B0">
                  <w:pPr>
                    <w:pStyle w:val="ACMATableText"/>
                    <w:jc w:val="right"/>
                    <w:rPr>
                      <w:rFonts w:cs="Arial"/>
                    </w:rPr>
                  </w:pPr>
                  <w:r w:rsidRPr="001E2783">
                    <w:rPr>
                      <w:rFonts w:cs="Arial"/>
                    </w:rPr>
                    <w:t>0</w:t>
                  </w:r>
                </w:p>
              </w:tc>
            </w:tr>
            <w:tr w:rsidR="001E2783" w:rsidRPr="001E2783" w14:paraId="3924FC05" w14:textId="77777777" w:rsidTr="00084B92">
              <w:trPr>
                <w:cantSplit/>
              </w:trPr>
              <w:tc>
                <w:tcPr>
                  <w:tcW w:w="3245" w:type="dxa"/>
                  <w:tcMar>
                    <w:top w:w="57" w:type="dxa"/>
                    <w:left w:w="57" w:type="dxa"/>
                    <w:bottom w:w="57" w:type="dxa"/>
                    <w:right w:w="57" w:type="dxa"/>
                  </w:tcMar>
                </w:tcPr>
                <w:p w14:paraId="7AEE2811" w14:textId="4B6D10D0" w:rsidR="00B708B0" w:rsidRPr="001E2783" w:rsidRDefault="00B708B0" w:rsidP="00B708B0">
                  <w:pPr>
                    <w:pStyle w:val="TableTextLeft"/>
                    <w:rPr>
                      <w:rFonts w:cs="Arial"/>
                      <w:sz w:val="20"/>
                    </w:rPr>
                  </w:pPr>
                  <w:r w:rsidRPr="001E2783">
                    <w:rPr>
                      <w:rFonts w:cs="Arial"/>
                      <w:sz w:val="20"/>
                    </w:rPr>
                    <w:t>TIL</w:t>
                  </w:r>
                </w:p>
              </w:tc>
              <w:tc>
                <w:tcPr>
                  <w:tcW w:w="2818" w:type="dxa"/>
                  <w:tcMar>
                    <w:top w:w="57" w:type="dxa"/>
                    <w:left w:w="57" w:type="dxa"/>
                    <w:bottom w:w="57" w:type="dxa"/>
                    <w:right w:w="57" w:type="dxa"/>
                  </w:tcMar>
                </w:tcPr>
                <w:p w14:paraId="1D83FD01" w14:textId="322AD733" w:rsidR="00B708B0" w:rsidRPr="001E2783" w:rsidRDefault="00B708B0" w:rsidP="00B708B0">
                  <w:pPr>
                    <w:pStyle w:val="TableTextLeft"/>
                    <w:jc w:val="right"/>
                    <w:rPr>
                      <w:rFonts w:cs="Arial"/>
                      <w:sz w:val="20"/>
                    </w:rPr>
                  </w:pPr>
                  <w:r w:rsidRPr="001E2783">
                    <w:rPr>
                      <w:rFonts w:cs="Arial"/>
                      <w:sz w:val="20"/>
                    </w:rPr>
                    <w:t>0</w:t>
                  </w:r>
                </w:p>
              </w:tc>
              <w:tc>
                <w:tcPr>
                  <w:tcW w:w="3260" w:type="dxa"/>
                  <w:tcMar>
                    <w:top w:w="57" w:type="dxa"/>
                    <w:left w:w="57" w:type="dxa"/>
                    <w:bottom w:w="57" w:type="dxa"/>
                    <w:right w:w="57" w:type="dxa"/>
                  </w:tcMar>
                </w:tcPr>
                <w:p w14:paraId="6B8DC755" w14:textId="308E9EFD" w:rsidR="00B708B0" w:rsidRPr="001E2783" w:rsidRDefault="00B708B0" w:rsidP="00B708B0">
                  <w:pPr>
                    <w:pStyle w:val="ACMATableText"/>
                    <w:jc w:val="right"/>
                    <w:rPr>
                      <w:rFonts w:cs="Arial"/>
                    </w:rPr>
                  </w:pPr>
                  <w:r w:rsidRPr="001E2783">
                    <w:rPr>
                      <w:rFonts w:cs="Arial"/>
                    </w:rPr>
                    <w:t>220.819</w:t>
                  </w:r>
                </w:p>
              </w:tc>
            </w:tr>
            <w:tr w:rsidR="001E2783" w:rsidRPr="001E2783" w14:paraId="35597F82" w14:textId="77777777" w:rsidTr="008C2249">
              <w:trPr>
                <w:cantSplit/>
              </w:trPr>
              <w:tc>
                <w:tcPr>
                  <w:tcW w:w="3245" w:type="dxa"/>
                  <w:tcMar>
                    <w:top w:w="57" w:type="dxa"/>
                    <w:left w:w="57" w:type="dxa"/>
                    <w:bottom w:w="57" w:type="dxa"/>
                    <w:right w:w="57" w:type="dxa"/>
                  </w:tcMar>
                  <w:vAlign w:val="bottom"/>
                </w:tcPr>
                <w:p w14:paraId="097EAF91" w14:textId="4EC8637A" w:rsidR="00B708B0" w:rsidRPr="001E2783" w:rsidRDefault="00B708B0" w:rsidP="00B708B0">
                  <w:pPr>
                    <w:pStyle w:val="TableTextLeft"/>
                    <w:rPr>
                      <w:rFonts w:cs="Arial"/>
                      <w:b/>
                      <w:sz w:val="20"/>
                    </w:rPr>
                  </w:pPr>
                  <w:r w:rsidRPr="001E2783">
                    <w:rPr>
                      <w:rFonts w:cs="Arial"/>
                      <w:b/>
                      <w:sz w:val="20"/>
                    </w:rPr>
                    <w:t>Total levies</w:t>
                  </w:r>
                </w:p>
              </w:tc>
              <w:tc>
                <w:tcPr>
                  <w:tcW w:w="2818" w:type="dxa"/>
                  <w:tcMar>
                    <w:top w:w="57" w:type="dxa"/>
                    <w:left w:w="57" w:type="dxa"/>
                    <w:bottom w:w="57" w:type="dxa"/>
                    <w:right w:w="57" w:type="dxa"/>
                  </w:tcMar>
                  <w:vAlign w:val="bottom"/>
                </w:tcPr>
                <w:p w14:paraId="5C21FD07" w14:textId="40536F1D" w:rsidR="00B708B0" w:rsidRPr="001E2783" w:rsidRDefault="00B708B0" w:rsidP="00B708B0">
                  <w:pPr>
                    <w:pStyle w:val="TableTextLeft"/>
                    <w:jc w:val="right"/>
                    <w:rPr>
                      <w:rFonts w:cs="Arial"/>
                      <w:b/>
                      <w:sz w:val="20"/>
                    </w:rPr>
                  </w:pPr>
                  <w:r w:rsidRPr="001E2783">
                    <w:rPr>
                      <w:rFonts w:cs="Arial"/>
                      <w:b/>
                      <w:sz w:val="20"/>
                    </w:rPr>
                    <w:t>145.325</w:t>
                  </w:r>
                </w:p>
              </w:tc>
              <w:tc>
                <w:tcPr>
                  <w:tcW w:w="3260" w:type="dxa"/>
                  <w:tcMar>
                    <w:top w:w="57" w:type="dxa"/>
                    <w:left w:w="57" w:type="dxa"/>
                    <w:bottom w:w="57" w:type="dxa"/>
                    <w:right w:w="57" w:type="dxa"/>
                  </w:tcMar>
                  <w:vAlign w:val="bottom"/>
                </w:tcPr>
                <w:p w14:paraId="1EF4EDF4" w14:textId="5BDA9329" w:rsidR="00B708B0" w:rsidRPr="001E2783" w:rsidRDefault="00B708B0" w:rsidP="00B708B0">
                  <w:pPr>
                    <w:pStyle w:val="ACMATableText"/>
                    <w:jc w:val="right"/>
                    <w:rPr>
                      <w:rFonts w:cs="Arial"/>
                      <w:b/>
                    </w:rPr>
                  </w:pPr>
                  <w:r w:rsidRPr="001E2783">
                    <w:rPr>
                      <w:rFonts w:cs="Arial"/>
                      <w:b/>
                    </w:rPr>
                    <w:t>220.819</w:t>
                  </w:r>
                </w:p>
              </w:tc>
            </w:tr>
          </w:tbl>
          <w:p w14:paraId="457D7E36" w14:textId="77777777" w:rsidR="00CC119D" w:rsidRPr="001E2783" w:rsidRDefault="00CC119D" w:rsidP="00C902FF">
            <w:pPr>
              <w:ind w:left="720"/>
              <w:rPr>
                <w:rFonts w:cs="Arial"/>
              </w:rPr>
            </w:pPr>
          </w:p>
        </w:tc>
      </w:tr>
      <w:tr w:rsidR="00CC119D" w:rsidRPr="001E2783" w14:paraId="07E28CA3" w14:textId="77777777" w:rsidTr="00C902FF">
        <w:trPr>
          <w:trHeight w:val="80"/>
        </w:trPr>
        <w:tc>
          <w:tcPr>
            <w:tcW w:w="9356" w:type="dxa"/>
            <w:tcBorders>
              <w:bottom w:val="single" w:sz="2" w:space="0" w:color="505050"/>
            </w:tcBorders>
            <w:shd w:val="clear" w:color="auto" w:fill="auto"/>
          </w:tcPr>
          <w:p w14:paraId="43394A42" w14:textId="195E0D88" w:rsidR="00CC119D" w:rsidRPr="001E2783" w:rsidRDefault="00B708B0" w:rsidP="00B708B0">
            <w:pPr>
              <w:spacing w:before="120"/>
              <w:rPr>
                <w:rFonts w:cs="Arial"/>
                <w:i/>
              </w:rPr>
            </w:pPr>
            <w:r w:rsidRPr="001E2783">
              <w:rPr>
                <w:rFonts w:cs="Arial"/>
                <w:i/>
                <w:sz w:val="16"/>
                <w:szCs w:val="16"/>
              </w:rPr>
              <w:t>*Replaced by TIL in 2013–14.</w:t>
            </w:r>
          </w:p>
        </w:tc>
      </w:tr>
    </w:tbl>
    <w:p w14:paraId="193A07B5" w14:textId="77777777" w:rsidR="00CC119D" w:rsidRPr="001E2783" w:rsidRDefault="00CC119D" w:rsidP="00CC119D">
      <w:pPr>
        <w:rPr>
          <w:rFonts w:cs="Arial"/>
        </w:rPr>
      </w:pPr>
    </w:p>
    <w:p w14:paraId="269E7BDC" w14:textId="77777777" w:rsidR="00B708B0" w:rsidRPr="001E2783" w:rsidRDefault="00B708B0" w:rsidP="00CC119D">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43686EC6" w14:textId="77777777" w:rsidTr="00C902FF">
        <w:trPr>
          <w:trHeight w:val="570"/>
        </w:trPr>
        <w:tc>
          <w:tcPr>
            <w:tcW w:w="9645" w:type="dxa"/>
            <w:tcBorders>
              <w:top w:val="single" w:sz="2" w:space="0" w:color="505050"/>
            </w:tcBorders>
            <w:shd w:val="clear" w:color="auto" w:fill="auto"/>
            <w:vAlign w:val="center"/>
          </w:tcPr>
          <w:p w14:paraId="624670F6" w14:textId="77777777" w:rsidR="00CC119D" w:rsidRPr="001E2783" w:rsidRDefault="00CC119D" w:rsidP="00B708B0">
            <w:pPr>
              <w:pStyle w:val="Caption"/>
              <w:keepNext/>
              <w:keepLines/>
              <w:rPr>
                <w:rFonts w:ascii="Arial" w:hAnsi="Arial" w:cs="Arial"/>
                <w:color w:val="auto"/>
              </w:rPr>
            </w:pPr>
            <w:r w:rsidRPr="00D3485F">
              <w:rPr>
                <w:rFonts w:ascii="Arial" w:hAnsi="Arial" w:cs="Arial"/>
              </w:rPr>
              <w:t xml:space="preserve">Table </w:t>
            </w:r>
            <w:r w:rsidR="00D27ED3" w:rsidRPr="00D3485F">
              <w:rPr>
                <w:rFonts w:ascii="Arial" w:hAnsi="Arial" w:cs="Arial"/>
              </w:rPr>
              <w:t>18</w:t>
            </w:r>
            <w:r w:rsidRPr="00D3485F">
              <w:rPr>
                <w:rFonts w:ascii="Arial" w:hAnsi="Arial" w:cs="Arial"/>
              </w:rPr>
              <w:t>: Other administered revenue</w:t>
            </w:r>
          </w:p>
        </w:tc>
      </w:tr>
      <w:tr w:rsidR="001E2783" w:rsidRPr="001E2783" w14:paraId="763D9628" w14:textId="77777777" w:rsidTr="00507C87">
        <w:trPr>
          <w:trHeight w:val="140"/>
        </w:trPr>
        <w:tc>
          <w:tcPr>
            <w:tcW w:w="9645" w:type="dxa"/>
            <w:shd w:val="clear" w:color="auto" w:fill="auto"/>
            <w:tcMar>
              <w:left w:w="28" w:type="dxa"/>
            </w:tcMar>
          </w:tcPr>
          <w:tbl>
            <w:tblPr>
              <w:tblW w:w="93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795"/>
              <w:gridCol w:w="2764"/>
              <w:gridCol w:w="2764"/>
            </w:tblGrid>
            <w:tr w:rsidR="001E2783" w:rsidRPr="001E2783" w14:paraId="40ABDC3C" w14:textId="77777777" w:rsidTr="00084B92">
              <w:trPr>
                <w:cantSplit/>
              </w:trPr>
              <w:tc>
                <w:tcPr>
                  <w:tcW w:w="3795" w:type="dxa"/>
                  <w:shd w:val="clear" w:color="auto" w:fill="404040" w:themeFill="text1" w:themeFillTint="BF"/>
                  <w:tcMar>
                    <w:top w:w="57" w:type="dxa"/>
                    <w:left w:w="57" w:type="dxa"/>
                    <w:bottom w:w="57" w:type="dxa"/>
                    <w:right w:w="57" w:type="dxa"/>
                  </w:tcMar>
                </w:tcPr>
                <w:p w14:paraId="186E80DE" w14:textId="77777777" w:rsidR="00B708B0" w:rsidRPr="000544EA" w:rsidRDefault="00B708B0" w:rsidP="00B708B0">
                  <w:pPr>
                    <w:pStyle w:val="TableHeading"/>
                    <w:rPr>
                      <w:rFonts w:ascii="Arial" w:hAnsi="Arial" w:cs="Arial"/>
                      <w:color w:val="FFFFFF" w:themeColor="background1"/>
                    </w:rPr>
                  </w:pPr>
                  <w:r w:rsidRPr="000544EA">
                    <w:rPr>
                      <w:rFonts w:ascii="Arial" w:hAnsi="Arial" w:cs="Arial"/>
                      <w:color w:val="FFFFFF" w:themeColor="background1"/>
                    </w:rPr>
                    <w:t>Description</w:t>
                  </w:r>
                </w:p>
              </w:tc>
              <w:tc>
                <w:tcPr>
                  <w:tcW w:w="2764" w:type="dxa"/>
                  <w:shd w:val="clear" w:color="auto" w:fill="404040" w:themeFill="text1" w:themeFillTint="BF"/>
                  <w:tcMar>
                    <w:top w:w="57" w:type="dxa"/>
                    <w:left w:w="57" w:type="dxa"/>
                    <w:bottom w:w="57" w:type="dxa"/>
                    <w:right w:w="57" w:type="dxa"/>
                  </w:tcMar>
                </w:tcPr>
                <w:p w14:paraId="62527D71" w14:textId="64AD5651" w:rsidR="00B708B0" w:rsidRPr="000544EA" w:rsidRDefault="00B708B0" w:rsidP="00B708B0">
                  <w:pPr>
                    <w:pStyle w:val="TableHeading"/>
                    <w:rPr>
                      <w:rFonts w:ascii="Arial" w:hAnsi="Arial" w:cs="Arial"/>
                      <w:color w:val="FFFFFF" w:themeColor="background1"/>
                    </w:rPr>
                  </w:pPr>
                  <w:r w:rsidRPr="000544EA">
                    <w:rPr>
                      <w:rFonts w:ascii="Arial" w:hAnsi="Arial" w:cs="Arial"/>
                      <w:color w:val="FFFFFF" w:themeColor="background1"/>
                    </w:rPr>
                    <w:t>Revenue in 2012–13 ($m)</w:t>
                  </w:r>
                </w:p>
              </w:tc>
              <w:tc>
                <w:tcPr>
                  <w:tcW w:w="2764" w:type="dxa"/>
                  <w:shd w:val="clear" w:color="auto" w:fill="404040" w:themeFill="text1" w:themeFillTint="BF"/>
                  <w:tcMar>
                    <w:top w:w="57" w:type="dxa"/>
                    <w:left w:w="57" w:type="dxa"/>
                    <w:bottom w:w="57" w:type="dxa"/>
                    <w:right w:w="57" w:type="dxa"/>
                  </w:tcMar>
                </w:tcPr>
                <w:p w14:paraId="11A34C1E" w14:textId="5A859BD9" w:rsidR="00B708B0" w:rsidRPr="000544EA" w:rsidRDefault="00B708B0" w:rsidP="00970328">
                  <w:pPr>
                    <w:pStyle w:val="TableHeading"/>
                    <w:jc w:val="right"/>
                    <w:rPr>
                      <w:rFonts w:ascii="Arial" w:hAnsi="Arial" w:cs="Arial"/>
                      <w:color w:val="FFFFFF" w:themeColor="background1"/>
                    </w:rPr>
                  </w:pPr>
                  <w:r w:rsidRPr="000544EA">
                    <w:rPr>
                      <w:rFonts w:ascii="Arial" w:hAnsi="Arial" w:cs="Arial"/>
                      <w:color w:val="FFFFFF" w:themeColor="background1"/>
                    </w:rPr>
                    <w:t>Revenue in 2013–14 ($m)</w:t>
                  </w:r>
                </w:p>
              </w:tc>
            </w:tr>
            <w:tr w:rsidR="001E2783" w:rsidRPr="001E2783" w14:paraId="52DC0E69" w14:textId="77777777" w:rsidTr="00084B92">
              <w:trPr>
                <w:cantSplit/>
              </w:trPr>
              <w:tc>
                <w:tcPr>
                  <w:tcW w:w="3795" w:type="dxa"/>
                  <w:tcMar>
                    <w:top w:w="57" w:type="dxa"/>
                    <w:left w:w="57" w:type="dxa"/>
                    <w:bottom w:w="57" w:type="dxa"/>
                    <w:right w:w="57" w:type="dxa"/>
                  </w:tcMar>
                </w:tcPr>
                <w:p w14:paraId="1C2CD2A0" w14:textId="77777777" w:rsidR="00B708B0" w:rsidRPr="001E2783" w:rsidRDefault="00B708B0" w:rsidP="00B708B0">
                  <w:pPr>
                    <w:pStyle w:val="TableTextLeft"/>
                    <w:rPr>
                      <w:rFonts w:cs="Arial"/>
                      <w:sz w:val="20"/>
                    </w:rPr>
                  </w:pPr>
                  <w:r w:rsidRPr="001E2783">
                    <w:rPr>
                      <w:rFonts w:cs="Arial"/>
                      <w:sz w:val="20"/>
                    </w:rPr>
                    <w:t>Fines and penalties</w:t>
                  </w:r>
                </w:p>
              </w:tc>
              <w:tc>
                <w:tcPr>
                  <w:tcW w:w="2764" w:type="dxa"/>
                  <w:tcMar>
                    <w:top w:w="57" w:type="dxa"/>
                    <w:left w:w="57" w:type="dxa"/>
                    <w:bottom w:w="57" w:type="dxa"/>
                    <w:right w:w="57" w:type="dxa"/>
                  </w:tcMar>
                </w:tcPr>
                <w:p w14:paraId="7E98FC05" w14:textId="77777777" w:rsidR="00B708B0" w:rsidRPr="001E2783" w:rsidRDefault="00B708B0" w:rsidP="00B708B0">
                  <w:pPr>
                    <w:pStyle w:val="TableTextLeft"/>
                    <w:jc w:val="right"/>
                    <w:rPr>
                      <w:rFonts w:cs="Arial"/>
                      <w:sz w:val="20"/>
                    </w:rPr>
                  </w:pPr>
                  <w:r w:rsidRPr="001E2783">
                    <w:rPr>
                      <w:rFonts w:cs="Arial"/>
                      <w:sz w:val="20"/>
                    </w:rPr>
                    <w:t>0.559</w:t>
                  </w:r>
                </w:p>
              </w:tc>
              <w:tc>
                <w:tcPr>
                  <w:tcW w:w="2764" w:type="dxa"/>
                  <w:tcMar>
                    <w:top w:w="57" w:type="dxa"/>
                    <w:left w:w="57" w:type="dxa"/>
                    <w:bottom w:w="57" w:type="dxa"/>
                    <w:right w:w="57" w:type="dxa"/>
                  </w:tcMar>
                </w:tcPr>
                <w:p w14:paraId="4E0938FD" w14:textId="26A10774" w:rsidR="00B708B0" w:rsidRPr="001E2783" w:rsidRDefault="00B708B0" w:rsidP="00B708B0">
                  <w:pPr>
                    <w:pStyle w:val="ACMATableText"/>
                    <w:keepNext/>
                    <w:keepLines/>
                    <w:jc w:val="right"/>
                    <w:rPr>
                      <w:rFonts w:cs="Arial"/>
                    </w:rPr>
                  </w:pPr>
                  <w:r w:rsidRPr="001E2783">
                    <w:rPr>
                      <w:rFonts w:cs="Arial"/>
                    </w:rPr>
                    <w:t>1.147</w:t>
                  </w:r>
                </w:p>
              </w:tc>
            </w:tr>
            <w:tr w:rsidR="001E2783" w:rsidRPr="001E2783" w14:paraId="115B76C5" w14:textId="77777777" w:rsidTr="00084B92">
              <w:trPr>
                <w:cantSplit/>
              </w:trPr>
              <w:tc>
                <w:tcPr>
                  <w:tcW w:w="3795" w:type="dxa"/>
                  <w:tcMar>
                    <w:top w:w="57" w:type="dxa"/>
                    <w:left w:w="57" w:type="dxa"/>
                    <w:bottom w:w="57" w:type="dxa"/>
                    <w:right w:w="57" w:type="dxa"/>
                  </w:tcMar>
                </w:tcPr>
                <w:p w14:paraId="5F21BD71" w14:textId="77777777" w:rsidR="00B708B0" w:rsidRPr="001E2783" w:rsidRDefault="00B708B0" w:rsidP="00B708B0">
                  <w:pPr>
                    <w:pStyle w:val="TableTextLeft"/>
                    <w:rPr>
                      <w:rFonts w:cs="Arial"/>
                      <w:sz w:val="20"/>
                    </w:rPr>
                  </w:pPr>
                  <w:r w:rsidRPr="001E2783">
                    <w:rPr>
                      <w:rFonts w:cs="Arial"/>
                      <w:sz w:val="20"/>
                    </w:rPr>
                    <w:t>Other</w:t>
                  </w:r>
                </w:p>
              </w:tc>
              <w:tc>
                <w:tcPr>
                  <w:tcW w:w="2764" w:type="dxa"/>
                  <w:tcMar>
                    <w:top w:w="57" w:type="dxa"/>
                    <w:left w:w="57" w:type="dxa"/>
                    <w:bottom w:w="57" w:type="dxa"/>
                    <w:right w:w="57" w:type="dxa"/>
                  </w:tcMar>
                </w:tcPr>
                <w:p w14:paraId="2C6D7616" w14:textId="77777777" w:rsidR="00B708B0" w:rsidRPr="001E2783" w:rsidRDefault="00B708B0" w:rsidP="00B708B0">
                  <w:pPr>
                    <w:pStyle w:val="TableTextLeft"/>
                    <w:jc w:val="right"/>
                    <w:rPr>
                      <w:rFonts w:cs="Arial"/>
                      <w:sz w:val="20"/>
                    </w:rPr>
                  </w:pPr>
                  <w:r w:rsidRPr="001E2783">
                    <w:rPr>
                      <w:rFonts w:cs="Arial"/>
                      <w:sz w:val="20"/>
                    </w:rPr>
                    <w:t>0.469</w:t>
                  </w:r>
                </w:p>
              </w:tc>
              <w:tc>
                <w:tcPr>
                  <w:tcW w:w="2764" w:type="dxa"/>
                  <w:tcMar>
                    <w:top w:w="57" w:type="dxa"/>
                    <w:left w:w="57" w:type="dxa"/>
                    <w:bottom w:w="57" w:type="dxa"/>
                    <w:right w:w="57" w:type="dxa"/>
                  </w:tcMar>
                </w:tcPr>
                <w:p w14:paraId="7E580241" w14:textId="0AA7C76F" w:rsidR="00B708B0" w:rsidRPr="001E2783" w:rsidRDefault="00B708B0" w:rsidP="00B708B0">
                  <w:pPr>
                    <w:pStyle w:val="ACMATableText"/>
                    <w:keepNext/>
                    <w:keepLines/>
                    <w:jc w:val="right"/>
                    <w:rPr>
                      <w:rFonts w:cs="Arial"/>
                    </w:rPr>
                  </w:pPr>
                  <w:r w:rsidRPr="001E2783">
                    <w:rPr>
                      <w:rFonts w:cs="Arial"/>
                    </w:rPr>
                    <w:t>0.469</w:t>
                  </w:r>
                </w:p>
              </w:tc>
            </w:tr>
            <w:tr w:rsidR="001E2783" w:rsidRPr="001E2783" w14:paraId="3A56C070" w14:textId="77777777" w:rsidTr="00084B92">
              <w:trPr>
                <w:cantSplit/>
              </w:trPr>
              <w:tc>
                <w:tcPr>
                  <w:tcW w:w="3795" w:type="dxa"/>
                  <w:tcMar>
                    <w:top w:w="57" w:type="dxa"/>
                    <w:left w:w="57" w:type="dxa"/>
                    <w:bottom w:w="57" w:type="dxa"/>
                    <w:right w:w="57" w:type="dxa"/>
                  </w:tcMar>
                </w:tcPr>
                <w:p w14:paraId="7CE8207B" w14:textId="77777777" w:rsidR="00B708B0" w:rsidRPr="001E2783" w:rsidRDefault="00B708B0" w:rsidP="00B708B0">
                  <w:pPr>
                    <w:pStyle w:val="TableTextLeft"/>
                    <w:rPr>
                      <w:rFonts w:cs="Arial"/>
                      <w:b/>
                      <w:sz w:val="20"/>
                    </w:rPr>
                  </w:pPr>
                  <w:r w:rsidRPr="001E2783">
                    <w:rPr>
                      <w:rFonts w:cs="Arial"/>
                      <w:b/>
                      <w:sz w:val="20"/>
                    </w:rPr>
                    <w:t>Total other administered revenue</w:t>
                  </w:r>
                </w:p>
              </w:tc>
              <w:tc>
                <w:tcPr>
                  <w:tcW w:w="2764" w:type="dxa"/>
                  <w:tcMar>
                    <w:top w:w="57" w:type="dxa"/>
                    <w:left w:w="57" w:type="dxa"/>
                    <w:bottom w:w="57" w:type="dxa"/>
                    <w:right w:w="57" w:type="dxa"/>
                  </w:tcMar>
                </w:tcPr>
                <w:p w14:paraId="7033025F" w14:textId="77777777" w:rsidR="00B708B0" w:rsidRPr="001E2783" w:rsidRDefault="00B708B0" w:rsidP="00B708B0">
                  <w:pPr>
                    <w:pStyle w:val="TableTextLeft"/>
                    <w:jc w:val="right"/>
                    <w:rPr>
                      <w:rFonts w:cs="Arial"/>
                      <w:b/>
                      <w:sz w:val="20"/>
                    </w:rPr>
                  </w:pPr>
                  <w:r w:rsidRPr="001E2783">
                    <w:rPr>
                      <w:rFonts w:cs="Arial"/>
                      <w:b/>
                      <w:sz w:val="20"/>
                    </w:rPr>
                    <w:t>1.028</w:t>
                  </w:r>
                </w:p>
              </w:tc>
              <w:tc>
                <w:tcPr>
                  <w:tcW w:w="2764" w:type="dxa"/>
                  <w:tcMar>
                    <w:top w:w="57" w:type="dxa"/>
                    <w:left w:w="57" w:type="dxa"/>
                    <w:bottom w:w="57" w:type="dxa"/>
                    <w:right w:w="57" w:type="dxa"/>
                  </w:tcMar>
                </w:tcPr>
                <w:p w14:paraId="6FEEE1BB" w14:textId="619A9C14" w:rsidR="00B708B0" w:rsidRPr="001E2783" w:rsidRDefault="00B708B0" w:rsidP="00B708B0">
                  <w:pPr>
                    <w:pStyle w:val="ACMATableText"/>
                    <w:keepNext/>
                    <w:keepLines/>
                    <w:jc w:val="right"/>
                    <w:rPr>
                      <w:rFonts w:cs="Arial"/>
                      <w:b/>
                    </w:rPr>
                  </w:pPr>
                  <w:r w:rsidRPr="001E2783">
                    <w:rPr>
                      <w:rFonts w:cs="Arial"/>
                      <w:b/>
                    </w:rPr>
                    <w:t>1.616</w:t>
                  </w:r>
                </w:p>
              </w:tc>
            </w:tr>
          </w:tbl>
          <w:p w14:paraId="2D216C1E" w14:textId="77777777" w:rsidR="00CC119D" w:rsidRPr="001E2783" w:rsidRDefault="00CC119D" w:rsidP="00C902FF">
            <w:pPr>
              <w:ind w:left="720"/>
              <w:rPr>
                <w:rFonts w:cs="Arial"/>
              </w:rPr>
            </w:pPr>
          </w:p>
        </w:tc>
      </w:tr>
      <w:tr w:rsidR="00CC119D" w:rsidRPr="001E2783" w14:paraId="7C3ABA43" w14:textId="77777777" w:rsidTr="00C902FF">
        <w:trPr>
          <w:trHeight w:val="291"/>
        </w:trPr>
        <w:tc>
          <w:tcPr>
            <w:tcW w:w="9645" w:type="dxa"/>
            <w:tcBorders>
              <w:bottom w:val="single" w:sz="2" w:space="0" w:color="505050"/>
            </w:tcBorders>
            <w:shd w:val="clear" w:color="auto" w:fill="auto"/>
          </w:tcPr>
          <w:p w14:paraId="33B685E0" w14:textId="77777777" w:rsidR="00CC119D" w:rsidRPr="001E2783" w:rsidRDefault="00CC119D" w:rsidP="00C902FF">
            <w:pPr>
              <w:ind w:left="720"/>
              <w:rPr>
                <w:rFonts w:cs="Arial"/>
              </w:rPr>
            </w:pPr>
          </w:p>
        </w:tc>
      </w:tr>
    </w:tbl>
    <w:p w14:paraId="74089F03" w14:textId="77777777" w:rsidR="00CC119D" w:rsidRPr="001E2783" w:rsidRDefault="00CC119D" w:rsidP="00CC119D">
      <w:pPr>
        <w:rPr>
          <w:rFonts w:cs="Arial"/>
        </w:rPr>
      </w:pPr>
    </w:p>
    <w:p w14:paraId="09C92DE7" w14:textId="77777777" w:rsidR="008050D7" w:rsidRPr="001E2783" w:rsidRDefault="008050D7" w:rsidP="008050D7">
      <w:pPr>
        <w:pStyle w:val="Heading3"/>
      </w:pPr>
      <w:bookmarkStart w:id="132" w:name="_Toc400018535"/>
      <w:r w:rsidRPr="001E2783">
        <w:t>Stakeholder engagement</w:t>
      </w:r>
      <w:bookmarkEnd w:id="132"/>
    </w:p>
    <w:p w14:paraId="05F2BB7B" w14:textId="77777777" w:rsidR="008050D7" w:rsidRPr="001E2783" w:rsidRDefault="008050D7" w:rsidP="008050D7">
      <w:pPr>
        <w:pStyle w:val="BodysubheaderH4"/>
        <w:rPr>
          <w:rFonts w:cs="Arial"/>
        </w:rPr>
      </w:pPr>
      <w:r w:rsidRPr="001E2783">
        <w:rPr>
          <w:rFonts w:cs="Arial"/>
        </w:rPr>
        <w:t>Broadcasting licence fee information sessions</w:t>
      </w:r>
    </w:p>
    <w:p w14:paraId="4C0F18E0" w14:textId="65DD30CB" w:rsidR="008050D7" w:rsidRPr="001E2783" w:rsidRDefault="00E92E97" w:rsidP="008050D7">
      <w:pPr>
        <w:rPr>
          <w:rFonts w:cs="Arial"/>
        </w:rPr>
      </w:pPr>
      <w:r w:rsidRPr="001E2783">
        <w:rPr>
          <w:rFonts w:cs="Arial"/>
        </w:rPr>
        <w:t>From 28 October to 4 </w:t>
      </w:r>
      <w:r w:rsidR="0000514C" w:rsidRPr="001E2783">
        <w:rPr>
          <w:rFonts w:cs="Arial"/>
        </w:rPr>
        <w:t>November 2013, the ACMA conducted information sessions for commercial television and radio broadcasters in each of our state offices</w:t>
      </w:r>
      <w:r w:rsidR="004B74FC" w:rsidRPr="001E2783">
        <w:rPr>
          <w:rFonts w:cs="Arial"/>
        </w:rPr>
        <w:t xml:space="preserve"> and at</w:t>
      </w:r>
      <w:r w:rsidR="0000514C" w:rsidRPr="001E2783">
        <w:rPr>
          <w:rFonts w:cs="Arial"/>
        </w:rPr>
        <w:t xml:space="preserve"> two site visits. The sessions were held to help broadcasters meet their obligations under sections 205B and 205C of the BSA</w:t>
      </w:r>
      <w:r w:rsidR="004B74FC" w:rsidRPr="001E2783">
        <w:rPr>
          <w:rFonts w:cs="Arial"/>
        </w:rPr>
        <w:t>,</w:t>
      </w:r>
      <w:r w:rsidR="0000514C" w:rsidRPr="001E2783">
        <w:rPr>
          <w:rFonts w:cs="Arial"/>
        </w:rPr>
        <w:t xml:space="preserve"> and provide training on the online</w:t>
      </w:r>
      <w:r w:rsidRPr="001E2783">
        <w:rPr>
          <w:rFonts w:cs="Arial"/>
        </w:rPr>
        <w:t xml:space="preserve"> system for lodging returns (71 </w:t>
      </w:r>
      <w:r w:rsidR="0000514C" w:rsidRPr="001E2783">
        <w:rPr>
          <w:rFonts w:cs="Arial"/>
        </w:rPr>
        <w:t xml:space="preserve">per cent of the industry used the system to lodge returns in </w:t>
      </w:r>
      <w:r w:rsidR="00970328" w:rsidRPr="001E2783">
        <w:rPr>
          <w:rFonts w:cs="Arial"/>
        </w:rPr>
        <w:br/>
      </w:r>
      <w:r w:rsidR="0000514C" w:rsidRPr="001E2783">
        <w:rPr>
          <w:rFonts w:cs="Arial"/>
        </w:rPr>
        <w:t>2013–14).</w:t>
      </w:r>
    </w:p>
    <w:p w14:paraId="7A3A363E" w14:textId="77777777" w:rsidR="0000514C" w:rsidRPr="001E2783" w:rsidRDefault="0000514C" w:rsidP="008050D7">
      <w:pPr>
        <w:rPr>
          <w:rFonts w:cs="Arial"/>
        </w:rPr>
      </w:pPr>
    </w:p>
    <w:p w14:paraId="263FE5CE" w14:textId="77777777" w:rsidR="008050D7" w:rsidRPr="001E2783" w:rsidRDefault="008050D7" w:rsidP="008050D7">
      <w:pPr>
        <w:pStyle w:val="BodysubheaderH4"/>
        <w:rPr>
          <w:rFonts w:cs="Arial"/>
        </w:rPr>
      </w:pPr>
      <w:r w:rsidRPr="001E2783">
        <w:rPr>
          <w:rFonts w:cs="Arial"/>
        </w:rPr>
        <w:t>Telecommunications information sessions</w:t>
      </w:r>
    </w:p>
    <w:p w14:paraId="7C5FDE48" w14:textId="77777777" w:rsidR="0000514C" w:rsidRPr="001E2783" w:rsidRDefault="0000514C" w:rsidP="0000514C">
      <w:pPr>
        <w:rPr>
          <w:rFonts w:cs="Arial"/>
        </w:rPr>
      </w:pPr>
      <w:r w:rsidRPr="001E2783">
        <w:rPr>
          <w:rFonts w:cs="Arial"/>
        </w:rPr>
        <w:t xml:space="preserve">In September 2013, the ACMA conducted information sessions in Sydney and Melbourne to help </w:t>
      </w:r>
      <w:r w:rsidR="004B74FC" w:rsidRPr="001E2783">
        <w:rPr>
          <w:rFonts w:cs="Arial"/>
        </w:rPr>
        <w:t xml:space="preserve">telecommunications </w:t>
      </w:r>
      <w:r w:rsidRPr="001E2783">
        <w:rPr>
          <w:rFonts w:cs="Arial"/>
        </w:rPr>
        <w:t>carriers understand their legislative requirements for eligible revenue reporting and telecommunications funding arrangements.</w:t>
      </w:r>
    </w:p>
    <w:p w14:paraId="04DF772E" w14:textId="77777777" w:rsidR="008050D7" w:rsidRPr="001E2783" w:rsidRDefault="008050D7" w:rsidP="008050D7">
      <w:pPr>
        <w:rPr>
          <w:rFonts w:cs="Arial"/>
        </w:rPr>
      </w:pPr>
    </w:p>
    <w:p w14:paraId="0BEBDF7A" w14:textId="77777777" w:rsidR="008050D7" w:rsidRPr="001E2783" w:rsidRDefault="008050D7" w:rsidP="008050D7">
      <w:pPr>
        <w:pStyle w:val="BodysubheaderH4"/>
        <w:rPr>
          <w:rFonts w:cs="Arial"/>
        </w:rPr>
      </w:pPr>
      <w:r w:rsidRPr="001E2783">
        <w:rPr>
          <w:rFonts w:cs="Arial"/>
        </w:rPr>
        <w:t>Telecommunications services funding</w:t>
      </w:r>
    </w:p>
    <w:p w14:paraId="72E914E6" w14:textId="7A93406D" w:rsidR="0000514C" w:rsidRPr="001E2783" w:rsidRDefault="0000514C" w:rsidP="0000514C">
      <w:pPr>
        <w:rPr>
          <w:rFonts w:cs="Arial"/>
        </w:rPr>
      </w:pPr>
      <w:r w:rsidRPr="001E2783">
        <w:rPr>
          <w:rFonts w:cs="Arial"/>
        </w:rPr>
        <w:t>In 2011, the government signed an agreement with Telstra for basic universal telecommunication</w:t>
      </w:r>
      <w:r w:rsidR="004B74FC" w:rsidRPr="001E2783">
        <w:rPr>
          <w:rFonts w:cs="Arial"/>
        </w:rPr>
        <w:t>s</w:t>
      </w:r>
      <w:r w:rsidRPr="001E2783">
        <w:rPr>
          <w:rFonts w:cs="Arial"/>
        </w:rPr>
        <w:t xml:space="preserve"> service outcomes during and after the rollout of the NBN. Public policy reforms to support the transition to the NBN included establishing </w:t>
      </w:r>
      <w:r w:rsidR="00925051" w:rsidRPr="001E2783">
        <w:rPr>
          <w:rFonts w:cs="Arial"/>
        </w:rPr>
        <w:t xml:space="preserve">TUSMA </w:t>
      </w:r>
      <w:r w:rsidRPr="001E2783">
        <w:rPr>
          <w:rFonts w:cs="Arial"/>
        </w:rPr>
        <w:t xml:space="preserve">under the </w:t>
      </w:r>
      <w:r w:rsidRPr="001E2783">
        <w:rPr>
          <w:rFonts w:cs="Arial"/>
          <w:i/>
        </w:rPr>
        <w:t>Telecommunications Universal Service Management Agency Act 2012</w:t>
      </w:r>
      <w:r w:rsidRPr="001E2783">
        <w:rPr>
          <w:rFonts w:cs="Arial"/>
        </w:rPr>
        <w:t xml:space="preserve"> (TUSMA Act). TUSMA</w:t>
      </w:r>
      <w:r w:rsidR="00E92E97" w:rsidRPr="001E2783">
        <w:rPr>
          <w:rFonts w:cs="Arial"/>
        </w:rPr>
        <w:t xml:space="preserve"> commenced operations from 1 </w:t>
      </w:r>
      <w:r w:rsidRPr="001E2783">
        <w:rPr>
          <w:rFonts w:cs="Arial"/>
        </w:rPr>
        <w:t>July 2012 to deliver the government’s public policy objectives in the telecommunications sector, including giving all Australians reasonable access to a standard teleph</w:t>
      </w:r>
      <w:r w:rsidR="00E43045" w:rsidRPr="001E2783">
        <w:rPr>
          <w:rFonts w:cs="Arial"/>
        </w:rPr>
        <w:t>one service and payphones (the u</w:t>
      </w:r>
      <w:r w:rsidRPr="001E2783">
        <w:rPr>
          <w:rFonts w:cs="Arial"/>
        </w:rPr>
        <w:t xml:space="preserve">niversal </w:t>
      </w:r>
      <w:r w:rsidR="00E43045" w:rsidRPr="001E2783">
        <w:rPr>
          <w:rFonts w:cs="Arial"/>
        </w:rPr>
        <w:t>s</w:t>
      </w:r>
      <w:r w:rsidRPr="001E2783">
        <w:rPr>
          <w:rFonts w:cs="Arial"/>
        </w:rPr>
        <w:t xml:space="preserve">ervice </w:t>
      </w:r>
      <w:r w:rsidR="00E43045" w:rsidRPr="001E2783">
        <w:rPr>
          <w:rFonts w:cs="Arial"/>
        </w:rPr>
        <w:t>o</w:t>
      </w:r>
      <w:r w:rsidRPr="001E2783">
        <w:rPr>
          <w:rFonts w:cs="Arial"/>
        </w:rPr>
        <w:t>bligation or USO) and managing emergency call-handling and the National Relay Service (NRS).</w:t>
      </w:r>
    </w:p>
    <w:p w14:paraId="72D3A3A1" w14:textId="77777777" w:rsidR="0000514C" w:rsidRPr="001E2783" w:rsidRDefault="0000514C" w:rsidP="0000514C">
      <w:pPr>
        <w:rPr>
          <w:rFonts w:cs="Arial"/>
        </w:rPr>
      </w:pPr>
    </w:p>
    <w:p w14:paraId="3C393CDE" w14:textId="77777777" w:rsidR="0000514C" w:rsidRPr="001E2783" w:rsidRDefault="0000514C" w:rsidP="0000514C">
      <w:pPr>
        <w:rPr>
          <w:rFonts w:cs="Arial"/>
        </w:rPr>
      </w:pPr>
      <w:r w:rsidRPr="001E2783">
        <w:rPr>
          <w:rFonts w:cs="Arial"/>
        </w:rPr>
        <w:t>The funding of these telecommunications services and TUSMA’s administrative costs are provided by the government, with the remainder shared by a telecommunications industry levy (TIL) on telecommunicatio</w:t>
      </w:r>
      <w:r w:rsidR="00E92E97" w:rsidRPr="001E2783">
        <w:rPr>
          <w:rFonts w:cs="Arial"/>
        </w:rPr>
        <w:t>ns carriers that earn above $25 </w:t>
      </w:r>
      <w:r w:rsidRPr="001E2783">
        <w:rPr>
          <w:rFonts w:cs="Arial"/>
        </w:rPr>
        <w:t>million. Under the TUSMA Act, the ACMA has an ongoing statutory role to determine a</w:t>
      </w:r>
      <w:r w:rsidR="004B74FC" w:rsidRPr="001E2783">
        <w:rPr>
          <w:rFonts w:cs="Arial"/>
        </w:rPr>
        <w:t>nd collect levies based on the m</w:t>
      </w:r>
      <w:r w:rsidRPr="001E2783">
        <w:rPr>
          <w:rFonts w:cs="Arial"/>
        </w:rPr>
        <w:t>inister’s determination of the amount to be funded by industry.</w:t>
      </w:r>
    </w:p>
    <w:p w14:paraId="66EED1B5" w14:textId="77777777" w:rsidR="00D51832" w:rsidRPr="001E2783" w:rsidRDefault="00D51832" w:rsidP="0000514C">
      <w:pPr>
        <w:rPr>
          <w:rFonts w:cs="Arial"/>
        </w:rPr>
      </w:pPr>
    </w:p>
    <w:p w14:paraId="332A346A" w14:textId="39A1275C" w:rsidR="00D51832" w:rsidRPr="001E2783" w:rsidRDefault="00D51832" w:rsidP="0000514C">
      <w:pPr>
        <w:rPr>
          <w:rFonts w:cs="Arial"/>
        </w:rPr>
      </w:pPr>
      <w:r w:rsidRPr="001E2783">
        <w:rPr>
          <w:rFonts w:cs="Arial"/>
        </w:rPr>
        <w:t xml:space="preserve">The government announced during the reporting period its intention to </w:t>
      </w:r>
      <w:r w:rsidR="00384BD3" w:rsidRPr="001E2783">
        <w:rPr>
          <w:rFonts w:cs="Arial"/>
        </w:rPr>
        <w:t>transition</w:t>
      </w:r>
      <w:r w:rsidRPr="001E2783">
        <w:rPr>
          <w:rFonts w:cs="Arial"/>
        </w:rPr>
        <w:t xml:space="preserve"> TUSMA</w:t>
      </w:r>
      <w:r w:rsidR="00384BD3" w:rsidRPr="001E2783">
        <w:rPr>
          <w:rFonts w:cs="Arial"/>
        </w:rPr>
        <w:t>’s</w:t>
      </w:r>
      <w:r w:rsidRPr="001E2783">
        <w:rPr>
          <w:rFonts w:cs="Arial"/>
        </w:rPr>
        <w:t xml:space="preserve"> functions to the Department of Communications.</w:t>
      </w:r>
    </w:p>
    <w:p w14:paraId="7AE0E158" w14:textId="77777777" w:rsidR="0000514C" w:rsidRPr="001E2783" w:rsidRDefault="0000514C" w:rsidP="0000514C">
      <w:pPr>
        <w:rPr>
          <w:rFonts w:cs="Arial"/>
        </w:rPr>
      </w:pPr>
    </w:p>
    <w:p w14:paraId="2031DEDD" w14:textId="0E4BC162" w:rsidR="008050D7" w:rsidRPr="001E2783" w:rsidRDefault="0000514C" w:rsidP="0000514C">
      <w:pPr>
        <w:rPr>
          <w:rFonts w:cs="Arial"/>
        </w:rPr>
      </w:pPr>
      <w:r w:rsidRPr="001E2783">
        <w:rPr>
          <w:rFonts w:cs="Arial"/>
        </w:rPr>
        <w:t>The first TIL assessment under the TUSMA Act was made</w:t>
      </w:r>
      <w:r w:rsidR="00E92E97" w:rsidRPr="001E2783">
        <w:rPr>
          <w:rFonts w:cs="Arial"/>
        </w:rPr>
        <w:t xml:space="preserve"> on 9 September 2013 for $254.9 </w:t>
      </w:r>
      <w:r w:rsidRPr="001E2783">
        <w:rPr>
          <w:rFonts w:cs="Arial"/>
        </w:rPr>
        <w:t>million and was based on the 201</w:t>
      </w:r>
      <w:r w:rsidR="00405CE5" w:rsidRPr="001E2783">
        <w:rPr>
          <w:rFonts w:cs="Arial"/>
        </w:rPr>
        <w:t>1</w:t>
      </w:r>
      <w:r w:rsidRPr="001E2783">
        <w:rPr>
          <w:rFonts w:cs="Arial"/>
        </w:rPr>
        <w:t>–1</w:t>
      </w:r>
      <w:r w:rsidR="00405CE5" w:rsidRPr="001E2783">
        <w:rPr>
          <w:rFonts w:cs="Arial"/>
        </w:rPr>
        <w:t>2</w:t>
      </w:r>
      <w:r w:rsidRPr="001E2783">
        <w:rPr>
          <w:rFonts w:cs="Arial"/>
        </w:rPr>
        <w:t xml:space="preserve"> eligible revenue assessment. The TIL for this period was capped for non-Telstra carriers in accordance with a government commitment announced on 23 June 2012. Non-Telstra participating persons were required to pay the same amount ($</w:t>
      </w:r>
      <w:r w:rsidR="004B74FC" w:rsidRPr="001E2783">
        <w:rPr>
          <w:rFonts w:cs="Arial"/>
        </w:rPr>
        <w:t>63.4 million in total) of final-</w:t>
      </w:r>
      <w:r w:rsidRPr="001E2783">
        <w:rPr>
          <w:rFonts w:cs="Arial"/>
        </w:rPr>
        <w:t>year USO and NRS levies.</w:t>
      </w:r>
    </w:p>
    <w:p w14:paraId="343F7B5C" w14:textId="77777777" w:rsidR="0000514C" w:rsidRPr="001E2783" w:rsidRDefault="0000514C" w:rsidP="0000514C">
      <w:pPr>
        <w:rPr>
          <w:rFonts w:cs="Arial"/>
        </w:rPr>
      </w:pPr>
    </w:p>
    <w:p w14:paraId="026C3F4F" w14:textId="77777777" w:rsidR="008050D7" w:rsidRPr="001E2783" w:rsidRDefault="008050D7" w:rsidP="008050D7">
      <w:pPr>
        <w:pStyle w:val="BodysubheaderH4"/>
        <w:rPr>
          <w:rFonts w:cs="Arial"/>
        </w:rPr>
      </w:pPr>
      <w:r w:rsidRPr="001E2783">
        <w:rPr>
          <w:rFonts w:cs="Arial"/>
        </w:rPr>
        <w:t>Eligible revenue assessment</w:t>
      </w:r>
    </w:p>
    <w:p w14:paraId="0CE58122" w14:textId="77777777" w:rsidR="00405CE5" w:rsidRPr="001E2783" w:rsidRDefault="00405CE5" w:rsidP="00405CE5">
      <w:pPr>
        <w:tabs>
          <w:tab w:val="left" w:pos="2630"/>
        </w:tabs>
        <w:rPr>
          <w:rFonts w:cs="Arial"/>
        </w:rPr>
      </w:pPr>
      <w:r w:rsidRPr="001E2783">
        <w:rPr>
          <w:rFonts w:cs="Arial"/>
        </w:rPr>
        <w:t>Any person holding a telecommunications carrier licence for any time during an eligible revenue period is required to submit an eligible revenue submission so that the ACMA may determine each carrier’s eligible revenue. Carriers that earn revenue below $25 million during an eligible revenue period and submit an eligible statutory declaration to the ACMA by 31 October of the relevant period are not required to submit an eligible revenue return, and are exempt from the TIL and the annual carrier licence charge. For the 2012–13 eligible revenue period, participating persons were required to lodge submissions with the ACMA by 31 October 2013. The ACMA made a written assessment of participating persons’ eligible revenue for the 2012–13 eligible revenue period under the TUSMA Act on 11 April 2014.</w:t>
      </w:r>
    </w:p>
    <w:p w14:paraId="0F1C8373" w14:textId="77777777" w:rsidR="00405CE5" w:rsidRPr="001E2783" w:rsidRDefault="00405CE5" w:rsidP="00405CE5">
      <w:pPr>
        <w:tabs>
          <w:tab w:val="left" w:pos="2630"/>
        </w:tabs>
        <w:rPr>
          <w:rFonts w:cs="Arial"/>
        </w:rPr>
      </w:pPr>
    </w:p>
    <w:p w14:paraId="5B979B0A" w14:textId="77777777" w:rsidR="00405CE5" w:rsidRPr="001E2783" w:rsidRDefault="00405CE5" w:rsidP="00405CE5">
      <w:pPr>
        <w:tabs>
          <w:tab w:val="left" w:pos="2630"/>
        </w:tabs>
        <w:rPr>
          <w:rFonts w:cs="Arial"/>
        </w:rPr>
      </w:pPr>
      <w:r w:rsidRPr="001E2783">
        <w:rPr>
          <w:rFonts w:cs="Arial"/>
        </w:rPr>
        <w:t xml:space="preserve">The primary function of the eligible revenue process is to determine the contribution that each participating person makes to the cost of providing the USO and NRS, based on its proportion of total industry eligible revenue. The eligible revenue process is also used to determine each participating person’s contribution to annual carrier licence charges. </w:t>
      </w:r>
    </w:p>
    <w:p w14:paraId="53EB826E" w14:textId="77777777" w:rsidR="00405CE5" w:rsidRPr="001E2783" w:rsidRDefault="00405CE5" w:rsidP="00405CE5">
      <w:pPr>
        <w:tabs>
          <w:tab w:val="left" w:pos="2630"/>
        </w:tabs>
        <w:rPr>
          <w:rFonts w:cs="Arial"/>
        </w:rPr>
      </w:pPr>
    </w:p>
    <w:p w14:paraId="5D0EC7F5" w14:textId="6223B67B" w:rsidR="0000514C" w:rsidRPr="001E2783" w:rsidRDefault="00405CE5" w:rsidP="00405CE5">
      <w:pPr>
        <w:tabs>
          <w:tab w:val="left" w:pos="2630"/>
        </w:tabs>
        <w:rPr>
          <w:rFonts w:cs="Arial"/>
        </w:rPr>
      </w:pPr>
      <w:r w:rsidRPr="001E2783">
        <w:rPr>
          <w:rFonts w:cs="Arial"/>
        </w:rPr>
        <w:t>The ACMA’s written assessment of each participating person’s eligible revenue for the 2012–13 eligible revenue period will be used to determine the TIL and annual carrier licence charge (ACLC) for each participating person for the 2013–14 eligible levy period.</w:t>
      </w:r>
    </w:p>
    <w:p w14:paraId="418AACB7" w14:textId="77777777" w:rsidR="00405CE5" w:rsidRPr="001E2783" w:rsidRDefault="00405CE5" w:rsidP="00405CE5">
      <w:pPr>
        <w:tabs>
          <w:tab w:val="left" w:pos="2630"/>
        </w:tabs>
        <w:rPr>
          <w:rFonts w:cs="Arial"/>
        </w:rPr>
      </w:pPr>
    </w:p>
    <w:p w14:paraId="1B19FAA4" w14:textId="77777777" w:rsidR="00FE40DA" w:rsidRPr="001E2783" w:rsidRDefault="00FE40DA" w:rsidP="00FE40DA">
      <w:pPr>
        <w:pStyle w:val="Heading3"/>
      </w:pPr>
      <w:bookmarkStart w:id="133" w:name="_Toc400018536"/>
      <w:r w:rsidRPr="001E2783">
        <w:t>Annual carrier licence charges</w:t>
      </w:r>
      <w:bookmarkEnd w:id="133"/>
    </w:p>
    <w:p w14:paraId="6F353C35" w14:textId="5299EB71" w:rsidR="00F505DB" w:rsidRPr="001E2783" w:rsidRDefault="00F505DB" w:rsidP="003C4144">
      <w:pPr>
        <w:spacing w:after="240"/>
        <w:rPr>
          <w:rFonts w:cs="Arial"/>
        </w:rPr>
      </w:pPr>
      <w:r w:rsidRPr="001E2783">
        <w:rPr>
          <w:rFonts w:cs="Arial"/>
        </w:rPr>
        <w:t xml:space="preserve">Annual carrier licence charges are imposed under the </w:t>
      </w:r>
      <w:r w:rsidRPr="001E2783">
        <w:rPr>
          <w:rFonts w:cs="Arial"/>
          <w:i/>
        </w:rPr>
        <w:t>Telecommunications (Carrier Licence Charges</w:t>
      </w:r>
      <w:r w:rsidR="00BF3EFB" w:rsidRPr="001E2783">
        <w:rPr>
          <w:rFonts w:cs="Arial"/>
          <w:i/>
        </w:rPr>
        <w:t>) Act</w:t>
      </w:r>
      <w:r w:rsidRPr="001E2783">
        <w:rPr>
          <w:rFonts w:cs="Arial"/>
          <w:i/>
        </w:rPr>
        <w:t xml:space="preserve"> </w:t>
      </w:r>
      <w:r w:rsidRPr="001E2783">
        <w:rPr>
          <w:rFonts w:cs="Arial"/>
        </w:rPr>
        <w:t>1997 on participating carriers under cost recovery arrangements in order to recover the costs incurred by the ACMA, ACCC and Australian Government in regulating the telecommunications industry. The total charge is allocated to participating carriers based on their eligible revenue for the previous eligible period as determined by the eligible revenue assessment.</w:t>
      </w:r>
    </w:p>
    <w:p w14:paraId="731E76C5" w14:textId="6853AC98" w:rsidR="00CC119D" w:rsidRPr="001E2783" w:rsidRDefault="00F505DB" w:rsidP="00F505DB">
      <w:pPr>
        <w:rPr>
          <w:rFonts w:cs="Arial"/>
        </w:rPr>
      </w:pPr>
      <w:r w:rsidRPr="001E2783">
        <w:rPr>
          <w:rFonts w:cs="Arial"/>
        </w:rPr>
        <w:t>In 2013–14, the total annual carrier licence charge was $38.303 million.</w:t>
      </w:r>
    </w:p>
    <w:p w14:paraId="6D11406C" w14:textId="77777777" w:rsidR="00F505DB" w:rsidRPr="001E2783" w:rsidRDefault="00F505DB" w:rsidP="00F505DB">
      <w:pPr>
        <w:rPr>
          <w:rFonts w:cs="Arial"/>
        </w:rPr>
      </w:pPr>
    </w:p>
    <w:p w14:paraId="72BF6663" w14:textId="0E7345DC" w:rsidR="00CC119D" w:rsidRPr="001E2783" w:rsidRDefault="00CC119D" w:rsidP="00CC119D">
      <w:pPr>
        <w:pStyle w:val="Heading3"/>
      </w:pPr>
      <w:bookmarkStart w:id="134" w:name="_Toc400018537"/>
      <w:bookmarkStart w:id="135" w:name="_Toc260730528"/>
      <w:bookmarkStart w:id="136" w:name="_Toc274124047"/>
      <w:bookmarkStart w:id="137" w:name="_Toc337727571"/>
      <w:r w:rsidRPr="001E2783">
        <w:t>Do Not Call Register access fees</w:t>
      </w:r>
      <w:bookmarkEnd w:id="134"/>
      <w:r w:rsidRPr="001E2783">
        <w:t xml:space="preserve"> </w:t>
      </w:r>
      <w:bookmarkEnd w:id="135"/>
      <w:bookmarkEnd w:id="136"/>
      <w:bookmarkEnd w:id="137"/>
    </w:p>
    <w:p w14:paraId="33C7E9DD" w14:textId="77777777" w:rsidR="00BD4A97" w:rsidRPr="001E2783" w:rsidRDefault="00BD4A97" w:rsidP="00BD4A97">
      <w:pPr>
        <w:rPr>
          <w:rFonts w:cs="Arial"/>
        </w:rPr>
      </w:pPr>
      <w:r w:rsidRPr="001E2783">
        <w:rPr>
          <w:rFonts w:cs="Arial"/>
        </w:rPr>
        <w:t>Annual subscription fees for telemarketers and fax marketers to check their call lists against the Do Not Call Register ranged from $79 (to check or ‘wash’ up to 20,000 numbers against the register) to $90,000 (to wash up to 100 million numbers). There is also a subscription type that allows telemarketers to wash up to 500 numbers each year at no cost.</w:t>
      </w:r>
    </w:p>
    <w:p w14:paraId="7FB581BD" w14:textId="77777777" w:rsidR="00BD4A97" w:rsidRPr="001E2783" w:rsidRDefault="00BD4A97" w:rsidP="00BD4A97">
      <w:pPr>
        <w:rPr>
          <w:rFonts w:cs="Arial"/>
        </w:rPr>
      </w:pPr>
    </w:p>
    <w:p w14:paraId="713F230C" w14:textId="77777777" w:rsidR="00CC119D" w:rsidRPr="001E2783" w:rsidRDefault="00CC119D" w:rsidP="00CC119D">
      <w:pPr>
        <w:pStyle w:val="Heading3"/>
      </w:pPr>
      <w:bookmarkStart w:id="138" w:name="_Toc337727572"/>
      <w:bookmarkStart w:id="139" w:name="_Toc400018538"/>
      <w:r w:rsidRPr="001E2783">
        <w:t>Numbering charges</w:t>
      </w:r>
      <w:bookmarkEnd w:id="138"/>
      <w:bookmarkEnd w:id="139"/>
    </w:p>
    <w:p w14:paraId="1E307913" w14:textId="71A5C372" w:rsidR="00F558F9" w:rsidRPr="001E2783" w:rsidRDefault="00F558F9" w:rsidP="00F558F9">
      <w:pPr>
        <w:rPr>
          <w:rFonts w:cs="Arial"/>
        </w:rPr>
      </w:pPr>
      <w:r w:rsidRPr="001E2783">
        <w:rPr>
          <w:rFonts w:cs="Arial"/>
        </w:rPr>
        <w:t xml:space="preserve">On behalf of the Australian Government, the ACMA collects a set amount of revenue each year from CSPs that hold telephone numbers. The ACMA collects this revenue through the </w:t>
      </w:r>
      <w:r w:rsidR="004B74FC" w:rsidRPr="001E2783">
        <w:rPr>
          <w:rFonts w:cs="Arial"/>
        </w:rPr>
        <w:t>ANC</w:t>
      </w:r>
      <w:r w:rsidRPr="001E2783">
        <w:rPr>
          <w:rFonts w:cs="Arial"/>
        </w:rPr>
        <w:t>. The ANC revenue target is set by the government through the Federal Budget. As was the case in previous years, the ANC rev</w:t>
      </w:r>
      <w:r w:rsidR="00E92E97" w:rsidRPr="001E2783">
        <w:rPr>
          <w:rFonts w:cs="Arial"/>
        </w:rPr>
        <w:t xml:space="preserve">enue target for </w:t>
      </w:r>
      <w:r w:rsidR="00970328" w:rsidRPr="001E2783">
        <w:rPr>
          <w:rFonts w:cs="Arial"/>
        </w:rPr>
        <w:br/>
      </w:r>
      <w:r w:rsidR="00E92E97" w:rsidRPr="001E2783">
        <w:rPr>
          <w:rFonts w:cs="Arial"/>
        </w:rPr>
        <w:t>2013–14 was $60 </w:t>
      </w:r>
      <w:r w:rsidRPr="001E2783">
        <w:rPr>
          <w:rFonts w:cs="Arial"/>
        </w:rPr>
        <w:t>million.</w:t>
      </w:r>
    </w:p>
    <w:p w14:paraId="44A18F2A" w14:textId="77777777" w:rsidR="00CC119D" w:rsidRPr="001E2783" w:rsidRDefault="00CC119D" w:rsidP="00CC119D">
      <w:pPr>
        <w:rPr>
          <w:rFonts w:cs="Arial"/>
        </w:rPr>
      </w:pPr>
    </w:p>
    <w:p w14:paraId="04FE201E" w14:textId="77777777" w:rsidR="00F558F9" w:rsidRPr="001E2783" w:rsidRDefault="00F558F9" w:rsidP="00F558F9">
      <w:pPr>
        <w:rPr>
          <w:rFonts w:cs="Arial"/>
        </w:rPr>
      </w:pPr>
      <w:r w:rsidRPr="001E2783">
        <w:rPr>
          <w:rFonts w:cs="Arial"/>
        </w:rPr>
        <w:t>CSPs are liable for the charges they incur for the numbers they hold on the census date. The census date is in April</w:t>
      </w:r>
      <w:r w:rsidR="004B74FC" w:rsidRPr="001E2783">
        <w:rPr>
          <w:rFonts w:cs="Arial"/>
        </w:rPr>
        <w:t>,</w:t>
      </w:r>
      <w:r w:rsidRPr="001E2783">
        <w:rPr>
          <w:rFonts w:cs="Arial"/>
        </w:rPr>
        <w:t xml:space="preserve"> with the exact date determined by the ACMA each year. Th</w:t>
      </w:r>
      <w:r w:rsidR="00E92E97" w:rsidRPr="001E2783">
        <w:rPr>
          <w:rFonts w:cs="Arial"/>
        </w:rPr>
        <w:t>e census date for 2013–14 was 6 </w:t>
      </w:r>
      <w:r w:rsidRPr="001E2783">
        <w:rPr>
          <w:rFonts w:cs="Arial"/>
        </w:rPr>
        <w:t xml:space="preserve">April 2014. To enable the ACMA to determine the quantity of numbers held by each CSP on the census date, an embargo on the surrender of most numbers commences 15 working days prior to the census date each year. In 2013–14, the embargo commenced on </w:t>
      </w:r>
      <w:r w:rsidR="0097711B" w:rsidRPr="001E2783">
        <w:rPr>
          <w:rFonts w:cs="Arial"/>
        </w:rPr>
        <w:t>1</w:t>
      </w:r>
      <w:r w:rsidR="00543418" w:rsidRPr="001E2783">
        <w:rPr>
          <w:rFonts w:cs="Arial"/>
        </w:rPr>
        <w:t>7</w:t>
      </w:r>
      <w:r w:rsidRPr="001E2783">
        <w:rPr>
          <w:rFonts w:cs="Arial"/>
        </w:rPr>
        <w:t> March 2014.</w:t>
      </w:r>
    </w:p>
    <w:p w14:paraId="2422DAEB" w14:textId="77777777" w:rsidR="00F558F9" w:rsidRPr="001E2783" w:rsidRDefault="00F558F9" w:rsidP="00F558F9">
      <w:pPr>
        <w:rPr>
          <w:rFonts w:cs="Arial"/>
        </w:rPr>
      </w:pPr>
    </w:p>
    <w:p w14:paraId="68352FCD" w14:textId="77777777" w:rsidR="00F558F9" w:rsidRPr="001E2783" w:rsidRDefault="00F558F9" w:rsidP="00F558F9">
      <w:pPr>
        <w:pStyle w:val="BodysubheaderH4"/>
        <w:rPr>
          <w:rFonts w:cs="Arial"/>
        </w:rPr>
      </w:pPr>
      <w:r w:rsidRPr="001E2783">
        <w:rPr>
          <w:rFonts w:cs="Arial"/>
        </w:rPr>
        <w:t>Amount of charge</w:t>
      </w:r>
    </w:p>
    <w:p w14:paraId="5B77C1C8" w14:textId="77777777" w:rsidR="00D76FA6" w:rsidRPr="001E2783" w:rsidRDefault="00D76FA6" w:rsidP="00D76FA6">
      <w:pPr>
        <w:rPr>
          <w:rFonts w:cs="Arial"/>
        </w:rPr>
      </w:pPr>
      <w:r w:rsidRPr="001E2783">
        <w:rPr>
          <w:rFonts w:cs="Arial"/>
        </w:rPr>
        <w:t xml:space="preserve">The base number charge for 2013–14 was 0.677523935. Employing the opportunity-cost methodology applied in previous years, nine-digit numbers were charged at </w:t>
      </w:r>
      <w:r w:rsidR="00543418" w:rsidRPr="001E2783">
        <w:rPr>
          <w:rFonts w:cs="Arial"/>
        </w:rPr>
        <w:t>6.77523935</w:t>
      </w:r>
      <w:r w:rsidRPr="001E2783">
        <w:rPr>
          <w:rFonts w:cs="Arial"/>
        </w:rPr>
        <w:t xml:space="preserve">, eight-digit numbers at </w:t>
      </w:r>
      <w:r w:rsidR="00543418" w:rsidRPr="001E2783">
        <w:rPr>
          <w:rFonts w:cs="Arial"/>
        </w:rPr>
        <w:t>67.7523935</w:t>
      </w:r>
      <w:r w:rsidRPr="001E2783">
        <w:rPr>
          <w:rFonts w:cs="Arial"/>
        </w:rPr>
        <w:t xml:space="preserve"> and so on. </w:t>
      </w:r>
      <w:r w:rsidR="00543418" w:rsidRPr="001E2783">
        <w:rPr>
          <w:rFonts w:cs="Arial"/>
        </w:rPr>
        <w:t xml:space="preserve">For the first time, three- and four-digit numbers were exempt from ANC. No numbers incurred the maximum cost of $100,000 allowable under the </w:t>
      </w:r>
      <w:r w:rsidR="00543418" w:rsidRPr="001E2783">
        <w:rPr>
          <w:rFonts w:cs="Arial"/>
          <w:i/>
        </w:rPr>
        <w:t>Telecommunications (Numbering Charges) Act</w:t>
      </w:r>
      <w:r w:rsidR="00E65BD5" w:rsidRPr="001E2783">
        <w:rPr>
          <w:rFonts w:cs="Arial"/>
          <w:i/>
        </w:rPr>
        <w:t xml:space="preserve"> 1997</w:t>
      </w:r>
      <w:r w:rsidR="00543418" w:rsidRPr="001E2783">
        <w:rPr>
          <w:rFonts w:cs="Arial"/>
        </w:rPr>
        <w:t>.</w:t>
      </w:r>
    </w:p>
    <w:p w14:paraId="1C520E98" w14:textId="77777777" w:rsidR="00F558F9" w:rsidRPr="001E2783" w:rsidRDefault="00F558F9" w:rsidP="00F558F9">
      <w:pPr>
        <w:rPr>
          <w:rFonts w:cs="Arial"/>
        </w:rPr>
      </w:pPr>
    </w:p>
    <w:p w14:paraId="13069724" w14:textId="77777777" w:rsidR="00F558F9" w:rsidRPr="001E2783" w:rsidRDefault="00F558F9" w:rsidP="00F558F9">
      <w:pPr>
        <w:rPr>
          <w:rFonts w:cs="Arial"/>
        </w:rPr>
      </w:pPr>
      <w:r w:rsidRPr="001E2783">
        <w:rPr>
          <w:rFonts w:cs="Arial"/>
        </w:rPr>
        <w:t>Numbers used for incoming-only international services, internal network services and testing services were subject to a reduced rate of charge. Geographic numbers allocated to a CSP for the purposes of providing a standard telephone service to a customer are exempt from the charge.</w:t>
      </w:r>
    </w:p>
    <w:p w14:paraId="7EE10336" w14:textId="77777777" w:rsidR="00F558F9" w:rsidRPr="001E2783" w:rsidRDefault="00F558F9" w:rsidP="00F558F9">
      <w:pPr>
        <w:rPr>
          <w:rFonts w:cs="Arial"/>
        </w:rPr>
      </w:pPr>
    </w:p>
    <w:p w14:paraId="1945253B" w14:textId="1AD9041B" w:rsidR="00F558F9" w:rsidRPr="001E2783" w:rsidRDefault="00F558F9" w:rsidP="00F558F9">
      <w:pPr>
        <w:rPr>
          <w:rFonts w:cs="Arial"/>
        </w:rPr>
      </w:pPr>
      <w:r w:rsidRPr="001E2783">
        <w:rPr>
          <w:rFonts w:cs="Arial"/>
        </w:rPr>
        <w:t xml:space="preserve">At 30 June 2014, the ACMA had received </w:t>
      </w:r>
      <w:r w:rsidR="004B74FC" w:rsidRPr="001E2783">
        <w:rPr>
          <w:rFonts w:cs="Arial"/>
        </w:rPr>
        <w:t>$</w:t>
      </w:r>
      <w:r w:rsidR="00697881" w:rsidRPr="001E2783">
        <w:rPr>
          <w:rFonts w:cs="Arial"/>
        </w:rPr>
        <w:t xml:space="preserve">58,525,082.56 </w:t>
      </w:r>
      <w:r w:rsidR="00E92E97" w:rsidRPr="001E2783">
        <w:rPr>
          <w:rFonts w:cs="Arial"/>
        </w:rPr>
        <w:t>million of the $60 </w:t>
      </w:r>
      <w:r w:rsidRPr="001E2783">
        <w:rPr>
          <w:rFonts w:cs="Arial"/>
        </w:rPr>
        <w:t xml:space="preserve">million revenue target. The amounts outstanding for each CSP are shown in Table </w:t>
      </w:r>
      <w:r w:rsidR="00D27ED3" w:rsidRPr="001E2783">
        <w:rPr>
          <w:rFonts w:cs="Arial"/>
        </w:rPr>
        <w:t>19</w:t>
      </w:r>
      <w:r w:rsidRPr="001E2783">
        <w:rPr>
          <w:rFonts w:cs="Arial"/>
        </w:rPr>
        <w:t>.</w:t>
      </w:r>
    </w:p>
    <w:p w14:paraId="0CB21098" w14:textId="77777777" w:rsidR="00CC119D" w:rsidRPr="001E2783" w:rsidRDefault="00CC119D" w:rsidP="00CC119D">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184F85A4" w14:textId="77777777" w:rsidTr="00586A63">
        <w:trPr>
          <w:cantSplit/>
          <w:trHeight w:val="570"/>
        </w:trPr>
        <w:tc>
          <w:tcPr>
            <w:tcW w:w="9645" w:type="dxa"/>
            <w:tcBorders>
              <w:top w:val="single" w:sz="2" w:space="0" w:color="505050"/>
            </w:tcBorders>
            <w:shd w:val="clear" w:color="auto" w:fill="auto"/>
            <w:vAlign w:val="center"/>
          </w:tcPr>
          <w:p w14:paraId="263347A0" w14:textId="77777777" w:rsidR="00CC119D" w:rsidRPr="001E2783" w:rsidRDefault="00CC119D" w:rsidP="003C4144">
            <w:pPr>
              <w:pStyle w:val="Caption"/>
              <w:keepNext/>
              <w:keepLines/>
              <w:pageBreakBefore/>
              <w:rPr>
                <w:rFonts w:ascii="Arial" w:hAnsi="Arial" w:cs="Arial"/>
                <w:color w:val="auto"/>
              </w:rPr>
            </w:pPr>
            <w:r w:rsidRPr="00D3485F">
              <w:rPr>
                <w:rFonts w:ascii="Arial" w:hAnsi="Arial" w:cs="Arial"/>
              </w:rPr>
              <w:t xml:space="preserve">Table </w:t>
            </w:r>
            <w:r w:rsidR="00D27ED3" w:rsidRPr="00D3485F">
              <w:rPr>
                <w:rFonts w:ascii="Arial" w:hAnsi="Arial" w:cs="Arial"/>
              </w:rPr>
              <w:t>19</w:t>
            </w:r>
            <w:r w:rsidRPr="00D3485F">
              <w:rPr>
                <w:rFonts w:ascii="Arial" w:hAnsi="Arial" w:cs="Arial"/>
              </w:rPr>
              <w:t>: Annual numbering charge amo</w:t>
            </w:r>
            <w:r w:rsidR="00A361D5" w:rsidRPr="00D3485F">
              <w:rPr>
                <w:rFonts w:ascii="Arial" w:hAnsi="Arial" w:cs="Arial"/>
              </w:rPr>
              <w:t>unts outstanding at 30 June 201</w:t>
            </w:r>
            <w:r w:rsidR="00F558F9" w:rsidRPr="00D3485F">
              <w:rPr>
                <w:rFonts w:ascii="Arial" w:hAnsi="Arial" w:cs="Arial"/>
              </w:rPr>
              <w:t>4</w:t>
            </w:r>
          </w:p>
        </w:tc>
      </w:tr>
      <w:tr w:rsidR="001E2783" w:rsidRPr="001E2783" w14:paraId="7DB20CE7" w14:textId="77777777" w:rsidTr="00586A63">
        <w:trPr>
          <w:cantSplit/>
          <w:trHeight w:val="424"/>
        </w:trPr>
        <w:tc>
          <w:tcPr>
            <w:tcW w:w="9645" w:type="dxa"/>
            <w:shd w:val="clear" w:color="auto" w:fill="auto"/>
            <w:tcMar>
              <w:left w:w="28" w:type="dxa"/>
            </w:tcMar>
          </w:tcPr>
          <w:tbl>
            <w:tblPr>
              <w:tblW w:w="398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5" w:type="dxa"/>
                <w:right w:w="45" w:type="dxa"/>
              </w:tblCellMar>
              <w:tblLook w:val="0000" w:firstRow="0" w:lastRow="0" w:firstColumn="0" w:lastColumn="0" w:noHBand="0" w:noVBand="0"/>
            </w:tblPr>
            <w:tblGrid>
              <w:gridCol w:w="4533"/>
              <w:gridCol w:w="3114"/>
            </w:tblGrid>
            <w:tr w:rsidR="001E2783" w:rsidRPr="001E2783" w14:paraId="42BF69E4" w14:textId="77777777" w:rsidTr="00084B92">
              <w:trPr>
                <w:cantSplit/>
              </w:trPr>
              <w:tc>
                <w:tcPr>
                  <w:tcW w:w="2964" w:type="pct"/>
                  <w:shd w:val="clear" w:color="auto" w:fill="404040" w:themeFill="text1" w:themeFillTint="BF"/>
                  <w:tcMar>
                    <w:top w:w="57" w:type="dxa"/>
                    <w:left w:w="57" w:type="dxa"/>
                    <w:bottom w:w="57" w:type="dxa"/>
                    <w:right w:w="57" w:type="dxa"/>
                  </w:tcMar>
                </w:tcPr>
                <w:p w14:paraId="3DC6A71D" w14:textId="77777777" w:rsidR="00D74109" w:rsidRPr="000544EA" w:rsidRDefault="00D74109" w:rsidP="004B74FC">
                  <w:pPr>
                    <w:pStyle w:val="TableHeading"/>
                    <w:rPr>
                      <w:rFonts w:ascii="Arial" w:hAnsi="Arial" w:cs="Arial"/>
                      <w:color w:val="FFFFFF" w:themeColor="background1"/>
                    </w:rPr>
                  </w:pPr>
                  <w:r w:rsidRPr="000544EA">
                    <w:rPr>
                      <w:rFonts w:ascii="Arial" w:hAnsi="Arial" w:cs="Arial"/>
                      <w:color w:val="FFFFFF" w:themeColor="background1"/>
                    </w:rPr>
                    <w:t>CSP</w:t>
                  </w:r>
                </w:p>
              </w:tc>
              <w:tc>
                <w:tcPr>
                  <w:tcW w:w="2036" w:type="pct"/>
                  <w:shd w:val="clear" w:color="auto" w:fill="404040" w:themeFill="text1" w:themeFillTint="BF"/>
                  <w:tcMar>
                    <w:top w:w="57" w:type="dxa"/>
                    <w:left w:w="57" w:type="dxa"/>
                    <w:bottom w:w="57" w:type="dxa"/>
                    <w:right w:w="57" w:type="dxa"/>
                  </w:tcMar>
                </w:tcPr>
                <w:p w14:paraId="0905E8C4" w14:textId="77777777" w:rsidR="00D74109" w:rsidRPr="000544EA" w:rsidRDefault="00D74109" w:rsidP="00970328">
                  <w:pPr>
                    <w:pStyle w:val="TableHeading"/>
                    <w:jc w:val="right"/>
                    <w:rPr>
                      <w:rFonts w:ascii="Arial" w:hAnsi="Arial" w:cs="Arial"/>
                      <w:color w:val="FFFFFF" w:themeColor="background1"/>
                    </w:rPr>
                  </w:pPr>
                  <w:r w:rsidRPr="000544EA">
                    <w:rPr>
                      <w:rFonts w:ascii="Arial" w:hAnsi="Arial" w:cs="Arial"/>
                      <w:color w:val="FFFFFF" w:themeColor="background1"/>
                    </w:rPr>
                    <w:t>Amount outstanding ($)</w:t>
                  </w:r>
                </w:p>
              </w:tc>
            </w:tr>
            <w:tr w:rsidR="001E2783" w:rsidRPr="001E2783" w14:paraId="25AF8A29" w14:textId="77777777" w:rsidTr="00084B92">
              <w:trPr>
                <w:cantSplit/>
              </w:trPr>
              <w:tc>
                <w:tcPr>
                  <w:tcW w:w="2964" w:type="pct"/>
                  <w:shd w:val="clear" w:color="auto" w:fill="auto"/>
                  <w:tcMar>
                    <w:top w:w="57" w:type="dxa"/>
                    <w:left w:w="57" w:type="dxa"/>
                    <w:bottom w:w="57" w:type="dxa"/>
                    <w:right w:w="57" w:type="dxa"/>
                  </w:tcMar>
                  <w:vAlign w:val="bottom"/>
                </w:tcPr>
                <w:p w14:paraId="444E1CA1" w14:textId="77777777" w:rsidR="00543418" w:rsidRPr="001E2783" w:rsidRDefault="00543418" w:rsidP="00543418">
                  <w:pPr>
                    <w:pStyle w:val="TableTextLeft"/>
                    <w:rPr>
                      <w:rFonts w:cs="Arial"/>
                      <w:sz w:val="20"/>
                    </w:rPr>
                  </w:pPr>
                  <w:r w:rsidRPr="001E2783">
                    <w:rPr>
                      <w:rFonts w:cs="Arial"/>
                      <w:sz w:val="20"/>
                    </w:rPr>
                    <w:t>mBlox Pty Ltd</w:t>
                  </w:r>
                </w:p>
              </w:tc>
              <w:tc>
                <w:tcPr>
                  <w:tcW w:w="2036" w:type="pct"/>
                  <w:shd w:val="clear" w:color="auto" w:fill="auto"/>
                  <w:tcMar>
                    <w:top w:w="57" w:type="dxa"/>
                    <w:left w:w="57" w:type="dxa"/>
                    <w:bottom w:w="57" w:type="dxa"/>
                    <w:right w:w="57" w:type="dxa"/>
                  </w:tcMar>
                  <w:vAlign w:val="bottom"/>
                </w:tcPr>
                <w:p w14:paraId="03AD2D4D" w14:textId="77777777" w:rsidR="00543418" w:rsidRPr="001E2783" w:rsidRDefault="00543418" w:rsidP="00543418">
                  <w:pPr>
                    <w:pStyle w:val="TableTextLeft"/>
                    <w:jc w:val="right"/>
                    <w:rPr>
                      <w:rFonts w:cs="Arial"/>
                      <w:sz w:val="20"/>
                    </w:rPr>
                  </w:pPr>
                  <w:r w:rsidRPr="001E2783">
                    <w:rPr>
                      <w:rFonts w:cs="Arial"/>
                      <w:sz w:val="20"/>
                    </w:rPr>
                    <w:t>$67.75</w:t>
                  </w:r>
                </w:p>
              </w:tc>
            </w:tr>
            <w:tr w:rsidR="001E2783" w:rsidRPr="001E2783" w14:paraId="080AA299" w14:textId="77777777" w:rsidTr="00084B92">
              <w:trPr>
                <w:cantSplit/>
              </w:trPr>
              <w:tc>
                <w:tcPr>
                  <w:tcW w:w="2964" w:type="pct"/>
                  <w:shd w:val="clear" w:color="auto" w:fill="auto"/>
                  <w:tcMar>
                    <w:top w:w="57" w:type="dxa"/>
                    <w:left w:w="57" w:type="dxa"/>
                    <w:bottom w:w="57" w:type="dxa"/>
                    <w:right w:w="57" w:type="dxa"/>
                  </w:tcMar>
                  <w:vAlign w:val="bottom"/>
                </w:tcPr>
                <w:p w14:paraId="5A5420A8" w14:textId="77777777" w:rsidR="00543418" w:rsidRPr="001E2783" w:rsidRDefault="00543418" w:rsidP="00543418">
                  <w:pPr>
                    <w:pStyle w:val="TableTextLeft"/>
                    <w:rPr>
                      <w:rFonts w:cs="Arial"/>
                      <w:sz w:val="20"/>
                    </w:rPr>
                  </w:pPr>
                  <w:r w:rsidRPr="001E2783">
                    <w:rPr>
                      <w:rFonts w:cs="Arial"/>
                      <w:sz w:val="20"/>
                    </w:rPr>
                    <w:t>Mobile Messenger Australia Pty Limited</w:t>
                  </w:r>
                </w:p>
              </w:tc>
              <w:tc>
                <w:tcPr>
                  <w:tcW w:w="2036" w:type="pct"/>
                  <w:shd w:val="clear" w:color="auto" w:fill="auto"/>
                  <w:tcMar>
                    <w:top w:w="57" w:type="dxa"/>
                    <w:left w:w="57" w:type="dxa"/>
                    <w:bottom w:w="57" w:type="dxa"/>
                    <w:right w:w="57" w:type="dxa"/>
                  </w:tcMar>
                  <w:vAlign w:val="bottom"/>
                </w:tcPr>
                <w:p w14:paraId="6875BE19" w14:textId="77777777" w:rsidR="00543418" w:rsidRPr="001E2783" w:rsidRDefault="00543418" w:rsidP="00543418">
                  <w:pPr>
                    <w:pStyle w:val="TableTextLeft"/>
                    <w:jc w:val="right"/>
                    <w:rPr>
                      <w:rFonts w:cs="Arial"/>
                      <w:sz w:val="20"/>
                    </w:rPr>
                  </w:pPr>
                  <w:r w:rsidRPr="001E2783">
                    <w:rPr>
                      <w:rFonts w:cs="Arial"/>
                      <w:sz w:val="20"/>
                    </w:rPr>
                    <w:t>$20,054.71</w:t>
                  </w:r>
                </w:p>
              </w:tc>
            </w:tr>
            <w:tr w:rsidR="001E2783" w:rsidRPr="001E2783" w14:paraId="78AA1024" w14:textId="77777777" w:rsidTr="00084B92">
              <w:trPr>
                <w:cantSplit/>
              </w:trPr>
              <w:tc>
                <w:tcPr>
                  <w:tcW w:w="2964" w:type="pct"/>
                  <w:shd w:val="clear" w:color="auto" w:fill="auto"/>
                  <w:tcMar>
                    <w:top w:w="57" w:type="dxa"/>
                    <w:left w:w="57" w:type="dxa"/>
                    <w:bottom w:w="57" w:type="dxa"/>
                    <w:right w:w="57" w:type="dxa"/>
                  </w:tcMar>
                  <w:vAlign w:val="bottom"/>
                </w:tcPr>
                <w:p w14:paraId="1B0C6F12" w14:textId="77777777" w:rsidR="00543418" w:rsidRPr="001E2783" w:rsidRDefault="00543418" w:rsidP="00543418">
                  <w:pPr>
                    <w:pStyle w:val="TableTextLeft"/>
                    <w:rPr>
                      <w:rFonts w:cs="Arial"/>
                      <w:sz w:val="20"/>
                    </w:rPr>
                  </w:pPr>
                  <w:r w:rsidRPr="001E2783">
                    <w:rPr>
                      <w:rFonts w:cs="Arial"/>
                      <w:sz w:val="20"/>
                    </w:rPr>
                    <w:t>Lycamobile Pty Ltd</w:t>
                  </w:r>
                </w:p>
              </w:tc>
              <w:tc>
                <w:tcPr>
                  <w:tcW w:w="2036" w:type="pct"/>
                  <w:shd w:val="clear" w:color="auto" w:fill="auto"/>
                  <w:tcMar>
                    <w:top w:w="57" w:type="dxa"/>
                    <w:left w:w="57" w:type="dxa"/>
                    <w:bottom w:w="57" w:type="dxa"/>
                    <w:right w:w="57" w:type="dxa"/>
                  </w:tcMar>
                  <w:vAlign w:val="bottom"/>
                </w:tcPr>
                <w:p w14:paraId="470DD4D0" w14:textId="77777777" w:rsidR="00543418" w:rsidRPr="001E2783" w:rsidRDefault="00543418" w:rsidP="00543418">
                  <w:pPr>
                    <w:pStyle w:val="TableTextLeft"/>
                    <w:jc w:val="right"/>
                    <w:rPr>
                      <w:rFonts w:cs="Arial"/>
                      <w:sz w:val="20"/>
                    </w:rPr>
                  </w:pPr>
                  <w:r w:rsidRPr="001E2783">
                    <w:rPr>
                      <w:rFonts w:cs="Arial"/>
                      <w:sz w:val="20"/>
                    </w:rPr>
                    <w:t>$1,356,753.20</w:t>
                  </w:r>
                </w:p>
              </w:tc>
            </w:tr>
            <w:tr w:rsidR="001E2783" w:rsidRPr="001E2783" w14:paraId="459114DC" w14:textId="77777777" w:rsidTr="00084B92">
              <w:trPr>
                <w:cantSplit/>
              </w:trPr>
              <w:tc>
                <w:tcPr>
                  <w:tcW w:w="2964" w:type="pct"/>
                  <w:shd w:val="clear" w:color="auto" w:fill="auto"/>
                  <w:tcMar>
                    <w:top w:w="57" w:type="dxa"/>
                    <w:left w:w="57" w:type="dxa"/>
                    <w:bottom w:w="57" w:type="dxa"/>
                    <w:right w:w="57" w:type="dxa"/>
                  </w:tcMar>
                  <w:vAlign w:val="bottom"/>
                </w:tcPr>
                <w:p w14:paraId="2F3A3A74" w14:textId="77777777" w:rsidR="00543418" w:rsidRPr="001E2783" w:rsidRDefault="00543418" w:rsidP="00543418">
                  <w:pPr>
                    <w:pStyle w:val="TableTextLeft"/>
                    <w:rPr>
                      <w:rFonts w:cs="Arial"/>
                      <w:sz w:val="20"/>
                    </w:rPr>
                  </w:pPr>
                  <w:r w:rsidRPr="001E2783">
                    <w:rPr>
                      <w:rFonts w:cs="Arial"/>
                      <w:sz w:val="20"/>
                    </w:rPr>
                    <w:t>Live Connected Pty Ltd</w:t>
                  </w:r>
                </w:p>
              </w:tc>
              <w:tc>
                <w:tcPr>
                  <w:tcW w:w="2036" w:type="pct"/>
                  <w:shd w:val="clear" w:color="auto" w:fill="auto"/>
                  <w:tcMar>
                    <w:top w:w="57" w:type="dxa"/>
                    <w:left w:w="57" w:type="dxa"/>
                    <w:bottom w:w="57" w:type="dxa"/>
                    <w:right w:w="57" w:type="dxa"/>
                  </w:tcMar>
                  <w:vAlign w:val="bottom"/>
                </w:tcPr>
                <w:p w14:paraId="67E133E7" w14:textId="77777777" w:rsidR="00543418" w:rsidRPr="001E2783" w:rsidRDefault="00543418" w:rsidP="00543418">
                  <w:pPr>
                    <w:pStyle w:val="TableTextLeft"/>
                    <w:jc w:val="right"/>
                    <w:rPr>
                      <w:rFonts w:cs="Arial"/>
                      <w:sz w:val="20"/>
                    </w:rPr>
                  </w:pPr>
                  <w:r w:rsidRPr="001E2783">
                    <w:rPr>
                      <w:rFonts w:cs="Arial"/>
                      <w:sz w:val="20"/>
                    </w:rPr>
                    <w:t>$18,437.46</w:t>
                  </w:r>
                </w:p>
              </w:tc>
            </w:tr>
            <w:tr w:rsidR="001E2783" w:rsidRPr="001E2783" w14:paraId="57E03134" w14:textId="77777777" w:rsidTr="00084B92">
              <w:trPr>
                <w:cantSplit/>
              </w:trPr>
              <w:tc>
                <w:tcPr>
                  <w:tcW w:w="2964" w:type="pct"/>
                  <w:shd w:val="clear" w:color="auto" w:fill="auto"/>
                  <w:tcMar>
                    <w:top w:w="57" w:type="dxa"/>
                    <w:left w:w="57" w:type="dxa"/>
                    <w:bottom w:w="57" w:type="dxa"/>
                    <w:right w:w="57" w:type="dxa"/>
                  </w:tcMar>
                  <w:vAlign w:val="bottom"/>
                </w:tcPr>
                <w:p w14:paraId="69DA23FF" w14:textId="77777777" w:rsidR="00543418" w:rsidRPr="001E2783" w:rsidRDefault="00543418" w:rsidP="00543418">
                  <w:pPr>
                    <w:pStyle w:val="TableTextLeft"/>
                    <w:rPr>
                      <w:rFonts w:cs="Arial"/>
                      <w:sz w:val="20"/>
                    </w:rPr>
                  </w:pPr>
                  <w:r w:rsidRPr="001E2783">
                    <w:rPr>
                      <w:rFonts w:cs="Arial"/>
                      <w:sz w:val="20"/>
                    </w:rPr>
                    <w:t>Vaya Pty Ltd</w:t>
                  </w:r>
                </w:p>
              </w:tc>
              <w:tc>
                <w:tcPr>
                  <w:tcW w:w="2036" w:type="pct"/>
                  <w:shd w:val="clear" w:color="auto" w:fill="auto"/>
                  <w:tcMar>
                    <w:top w:w="57" w:type="dxa"/>
                    <w:left w:w="57" w:type="dxa"/>
                    <w:bottom w:w="57" w:type="dxa"/>
                    <w:right w:w="57" w:type="dxa"/>
                  </w:tcMar>
                  <w:vAlign w:val="bottom"/>
                </w:tcPr>
                <w:p w14:paraId="70A3D2F0" w14:textId="77777777" w:rsidR="00543418" w:rsidRPr="001E2783" w:rsidRDefault="00543418" w:rsidP="00543418">
                  <w:pPr>
                    <w:pStyle w:val="TableTextLeft"/>
                    <w:jc w:val="right"/>
                    <w:rPr>
                      <w:rFonts w:cs="Arial"/>
                      <w:sz w:val="20"/>
                    </w:rPr>
                  </w:pPr>
                  <w:r w:rsidRPr="001E2783">
                    <w:rPr>
                      <w:rFonts w:cs="Arial"/>
                      <w:sz w:val="20"/>
                    </w:rPr>
                    <w:t>$47,917.20</w:t>
                  </w:r>
                </w:p>
              </w:tc>
            </w:tr>
            <w:tr w:rsidR="001E2783" w:rsidRPr="001E2783" w14:paraId="7BF360A5" w14:textId="77777777" w:rsidTr="00084B92">
              <w:trPr>
                <w:cantSplit/>
              </w:trPr>
              <w:tc>
                <w:tcPr>
                  <w:tcW w:w="2964" w:type="pct"/>
                  <w:shd w:val="clear" w:color="auto" w:fill="auto"/>
                  <w:tcMar>
                    <w:top w:w="57" w:type="dxa"/>
                    <w:left w:w="57" w:type="dxa"/>
                    <w:bottom w:w="57" w:type="dxa"/>
                    <w:right w:w="57" w:type="dxa"/>
                  </w:tcMar>
                  <w:vAlign w:val="bottom"/>
                </w:tcPr>
                <w:p w14:paraId="4ECC8702" w14:textId="77777777" w:rsidR="00543418" w:rsidRPr="001E2783" w:rsidRDefault="00543418" w:rsidP="00543418">
                  <w:pPr>
                    <w:pStyle w:val="TableTextLeft"/>
                    <w:rPr>
                      <w:rFonts w:cs="Arial"/>
                      <w:sz w:val="20"/>
                    </w:rPr>
                  </w:pPr>
                  <w:r w:rsidRPr="001E2783">
                    <w:rPr>
                      <w:rFonts w:cs="Arial"/>
                      <w:sz w:val="20"/>
                    </w:rPr>
                    <w:t>Yatango Mobile (Australia) Pty Ltd</w:t>
                  </w:r>
                </w:p>
              </w:tc>
              <w:tc>
                <w:tcPr>
                  <w:tcW w:w="2036" w:type="pct"/>
                  <w:shd w:val="clear" w:color="auto" w:fill="auto"/>
                  <w:tcMar>
                    <w:top w:w="57" w:type="dxa"/>
                    <w:left w:w="57" w:type="dxa"/>
                    <w:bottom w:w="57" w:type="dxa"/>
                    <w:right w:w="57" w:type="dxa"/>
                  </w:tcMar>
                  <w:vAlign w:val="bottom"/>
                </w:tcPr>
                <w:p w14:paraId="17643FE1" w14:textId="77777777" w:rsidR="00543418" w:rsidRPr="001E2783" w:rsidRDefault="00543418" w:rsidP="00543418">
                  <w:pPr>
                    <w:pStyle w:val="TableTextLeft"/>
                    <w:jc w:val="right"/>
                    <w:rPr>
                      <w:rFonts w:cs="Arial"/>
                      <w:sz w:val="20"/>
                    </w:rPr>
                  </w:pPr>
                  <w:r w:rsidRPr="001E2783">
                    <w:rPr>
                      <w:rFonts w:cs="Arial"/>
                      <w:sz w:val="20"/>
                    </w:rPr>
                    <w:t>$31,687.12</w:t>
                  </w:r>
                </w:p>
              </w:tc>
            </w:tr>
            <w:tr w:rsidR="001E2783" w:rsidRPr="001E2783" w14:paraId="0DB2CC8F" w14:textId="77777777" w:rsidTr="00084B92">
              <w:trPr>
                <w:cantSplit/>
              </w:trPr>
              <w:tc>
                <w:tcPr>
                  <w:tcW w:w="2964" w:type="pct"/>
                  <w:shd w:val="clear" w:color="auto" w:fill="auto"/>
                  <w:tcMar>
                    <w:top w:w="57" w:type="dxa"/>
                    <w:left w:w="57" w:type="dxa"/>
                    <w:bottom w:w="57" w:type="dxa"/>
                    <w:right w:w="57" w:type="dxa"/>
                  </w:tcMar>
                </w:tcPr>
                <w:p w14:paraId="42CF85D7" w14:textId="77777777" w:rsidR="00543418" w:rsidRPr="001E2783" w:rsidRDefault="00543418" w:rsidP="00543418">
                  <w:pPr>
                    <w:pStyle w:val="TableTextLeft"/>
                    <w:rPr>
                      <w:rFonts w:cs="Arial"/>
                      <w:b/>
                      <w:sz w:val="20"/>
                    </w:rPr>
                  </w:pPr>
                  <w:r w:rsidRPr="001E2783">
                    <w:rPr>
                      <w:rFonts w:cs="Arial"/>
                      <w:b/>
                      <w:sz w:val="20"/>
                    </w:rPr>
                    <w:t>Total</w:t>
                  </w:r>
                </w:p>
              </w:tc>
              <w:tc>
                <w:tcPr>
                  <w:tcW w:w="2036" w:type="pct"/>
                  <w:shd w:val="clear" w:color="auto" w:fill="auto"/>
                  <w:tcMar>
                    <w:top w:w="57" w:type="dxa"/>
                    <w:left w:w="57" w:type="dxa"/>
                    <w:bottom w:w="57" w:type="dxa"/>
                    <w:right w:w="57" w:type="dxa"/>
                  </w:tcMar>
                </w:tcPr>
                <w:p w14:paraId="2E4E5229" w14:textId="77777777" w:rsidR="00543418" w:rsidRPr="001E2783" w:rsidRDefault="00543418" w:rsidP="00543418">
                  <w:pPr>
                    <w:pStyle w:val="TableTextLeft"/>
                    <w:jc w:val="right"/>
                    <w:rPr>
                      <w:rFonts w:cs="Arial"/>
                      <w:b/>
                      <w:sz w:val="20"/>
                    </w:rPr>
                  </w:pPr>
                  <w:r w:rsidRPr="001E2783">
                    <w:rPr>
                      <w:rFonts w:cs="Arial"/>
                      <w:b/>
                      <w:sz w:val="20"/>
                    </w:rPr>
                    <w:t>$1,474,917.44</w:t>
                  </w:r>
                </w:p>
              </w:tc>
            </w:tr>
          </w:tbl>
          <w:p w14:paraId="1F5E3F60" w14:textId="77777777" w:rsidR="00CC119D" w:rsidRPr="001E2783" w:rsidRDefault="00CC119D" w:rsidP="00C902FF">
            <w:pPr>
              <w:ind w:left="720"/>
              <w:rPr>
                <w:rFonts w:cs="Arial"/>
              </w:rPr>
            </w:pPr>
          </w:p>
        </w:tc>
      </w:tr>
      <w:tr w:rsidR="00CC119D" w:rsidRPr="001E2783" w14:paraId="2598BC14" w14:textId="77777777" w:rsidTr="00586A63">
        <w:trPr>
          <w:cantSplit/>
          <w:trHeight w:val="291"/>
        </w:trPr>
        <w:tc>
          <w:tcPr>
            <w:tcW w:w="9645" w:type="dxa"/>
            <w:tcBorders>
              <w:bottom w:val="single" w:sz="2" w:space="0" w:color="505050"/>
            </w:tcBorders>
            <w:shd w:val="clear" w:color="auto" w:fill="auto"/>
          </w:tcPr>
          <w:p w14:paraId="32A6019D" w14:textId="53D8009D" w:rsidR="00CC119D" w:rsidRPr="001E2783" w:rsidRDefault="00CC119D" w:rsidP="00970328">
            <w:pPr>
              <w:spacing w:before="120"/>
              <w:rPr>
                <w:rFonts w:cs="Arial"/>
                <w:i/>
                <w:sz w:val="16"/>
                <w:szCs w:val="16"/>
              </w:rPr>
            </w:pPr>
            <w:r w:rsidRPr="001E2783">
              <w:rPr>
                <w:rFonts w:cs="Arial"/>
                <w:i/>
                <w:sz w:val="16"/>
                <w:szCs w:val="16"/>
              </w:rPr>
              <w:t>Note: Does not include late payment penalties that apply after 15 June 201</w:t>
            </w:r>
            <w:r w:rsidR="00D51832" w:rsidRPr="001E2783">
              <w:rPr>
                <w:rFonts w:cs="Arial"/>
                <w:i/>
                <w:sz w:val="16"/>
                <w:szCs w:val="16"/>
              </w:rPr>
              <w:t>4</w:t>
            </w:r>
            <w:r w:rsidRPr="001E2783">
              <w:rPr>
                <w:rFonts w:cs="Arial"/>
                <w:i/>
                <w:sz w:val="16"/>
                <w:szCs w:val="16"/>
              </w:rPr>
              <w:t>, the due date for payment.</w:t>
            </w:r>
          </w:p>
        </w:tc>
      </w:tr>
    </w:tbl>
    <w:p w14:paraId="6F740F26" w14:textId="77777777" w:rsidR="00CC119D" w:rsidRPr="001E2783" w:rsidRDefault="00CC119D" w:rsidP="00CC119D">
      <w:pPr>
        <w:rPr>
          <w:rFonts w:cs="Arial"/>
        </w:rPr>
      </w:pPr>
    </w:p>
    <w:p w14:paraId="5276145F" w14:textId="77777777" w:rsidR="00CC119D" w:rsidRPr="001E2783" w:rsidRDefault="00CC119D" w:rsidP="00CC119D">
      <w:pPr>
        <w:pStyle w:val="Heading3"/>
      </w:pPr>
      <w:bookmarkStart w:id="140" w:name="_Toc337727573"/>
      <w:bookmarkStart w:id="141" w:name="_Toc400018539"/>
      <w:r w:rsidRPr="001E2783">
        <w:t>Number auctions</w:t>
      </w:r>
      <w:bookmarkEnd w:id="140"/>
      <w:bookmarkEnd w:id="141"/>
    </w:p>
    <w:p w14:paraId="16F86C30" w14:textId="77777777" w:rsidR="00D76FA6" w:rsidRPr="001E2783" w:rsidRDefault="00D76FA6" w:rsidP="00D76FA6">
      <w:pPr>
        <w:rPr>
          <w:rFonts w:cs="Arial"/>
        </w:rPr>
      </w:pPr>
      <w:r w:rsidRPr="001E2783">
        <w:rPr>
          <w:rFonts w:cs="Arial"/>
        </w:rPr>
        <w:t>In 2004, the smartnumbers online auction system was introdu</w:t>
      </w:r>
      <w:r w:rsidR="00977007" w:rsidRPr="001E2783">
        <w:rPr>
          <w:rFonts w:cs="Arial"/>
        </w:rPr>
        <w:t xml:space="preserve">ced to allocate certain </w:t>
      </w:r>
      <w:r w:rsidR="00E65BD5" w:rsidRPr="001E2783">
        <w:rPr>
          <w:rFonts w:cs="Arial"/>
        </w:rPr>
        <w:t>freephone and local rate numbers (</w:t>
      </w:r>
      <w:r w:rsidR="00977007" w:rsidRPr="001E2783">
        <w:rPr>
          <w:rFonts w:cs="Arial"/>
        </w:rPr>
        <w:t>FLRNs</w:t>
      </w:r>
      <w:r w:rsidR="00E65BD5" w:rsidRPr="001E2783">
        <w:rPr>
          <w:rFonts w:cs="Arial"/>
        </w:rPr>
        <w:t>)</w:t>
      </w:r>
      <w:r w:rsidR="00977007" w:rsidRPr="001E2783">
        <w:rPr>
          <w:rFonts w:cs="Arial"/>
        </w:rPr>
        <w:t>—</w:t>
      </w:r>
      <w:r w:rsidRPr="001E2783">
        <w:rPr>
          <w:rFonts w:cs="Arial"/>
        </w:rPr>
        <w:t xml:space="preserve">13, 1300 and 1800 numbers. Smartnumbers auctions are generally held fortnightly. In 2013–14, the ACMA sold </w:t>
      </w:r>
      <w:r w:rsidR="00543418" w:rsidRPr="001E2783">
        <w:rPr>
          <w:rFonts w:cs="Arial"/>
        </w:rPr>
        <w:t>3,891</w:t>
      </w:r>
      <w:r w:rsidRPr="001E2783">
        <w:rPr>
          <w:rFonts w:cs="Arial"/>
        </w:rPr>
        <w:t xml:space="preserve"> smartnumbers and received </w:t>
      </w:r>
      <w:r w:rsidR="00543418" w:rsidRPr="001E2783">
        <w:rPr>
          <w:rFonts w:cs="Arial"/>
        </w:rPr>
        <w:t>$1,535,841</w:t>
      </w:r>
      <w:r w:rsidRPr="001E2783">
        <w:rPr>
          <w:rFonts w:cs="Arial"/>
        </w:rPr>
        <w:t xml:space="preserve"> in revenue, in contrast to the $1,683,489 in revenue raised from the sale of 4,479 </w:t>
      </w:r>
      <w:r w:rsidRPr="001E2783">
        <w:rPr>
          <w:rFonts w:cs="Arial"/>
          <w:bCs/>
        </w:rPr>
        <w:t>smart</w:t>
      </w:r>
      <w:r w:rsidRPr="001E2783">
        <w:rPr>
          <w:rFonts w:cs="Arial"/>
        </w:rPr>
        <w:t xml:space="preserve">numbers in 2012–13. The ACMA continued to meet its KPIs for </w:t>
      </w:r>
      <w:r w:rsidRPr="001E2783">
        <w:rPr>
          <w:rFonts w:cs="Arial"/>
          <w:bCs/>
        </w:rPr>
        <w:t>smart</w:t>
      </w:r>
      <w:r w:rsidRPr="001E2783">
        <w:rPr>
          <w:rFonts w:cs="Arial"/>
        </w:rPr>
        <w:t>numbers auctions by regularly conducting auctions.</w:t>
      </w:r>
    </w:p>
    <w:p w14:paraId="535B2196" w14:textId="77777777" w:rsidR="00CC119D" w:rsidRPr="001E2783" w:rsidRDefault="00CC119D" w:rsidP="00CC119D">
      <w:pPr>
        <w:rPr>
          <w:rFonts w:cs="Arial"/>
        </w:rPr>
      </w:pPr>
    </w:p>
    <w:p w14:paraId="6A246183" w14:textId="77777777" w:rsidR="00CC119D" w:rsidRPr="001E2783" w:rsidRDefault="00CC119D" w:rsidP="00CC119D">
      <w:pPr>
        <w:pStyle w:val="Heading3"/>
      </w:pPr>
      <w:bookmarkStart w:id="142" w:name="_Toc337727574"/>
      <w:bookmarkStart w:id="143" w:name="_Toc400018540"/>
      <w:r w:rsidRPr="001E2783">
        <w:t>Apparatus licence taxes</w:t>
      </w:r>
      <w:bookmarkEnd w:id="142"/>
      <w:bookmarkEnd w:id="143"/>
    </w:p>
    <w:p w14:paraId="10BDDF9F" w14:textId="77777777" w:rsidR="00CC119D" w:rsidRPr="001E2783" w:rsidRDefault="00CC119D" w:rsidP="00CC119D">
      <w:pPr>
        <w:rPr>
          <w:rFonts w:cs="Arial"/>
        </w:rPr>
      </w:pPr>
      <w:r w:rsidRPr="001E2783">
        <w:rPr>
          <w:rFonts w:cs="Arial"/>
        </w:rPr>
        <w:t>The ACMA uses taxes on the issue of radiocommunications apparatus licences to support the efficient use of spectrum and recover the indirect costs of spectrum management. The tax is calculated by a formula that makes fees determinate, consistent, equitable and transparent. The formula encourages efficiency by making taxes higher in congested locations and spectrum bands, making taxes proportional to the bandwidth and giving discounts for low power.</w:t>
      </w:r>
    </w:p>
    <w:p w14:paraId="5F3881FE" w14:textId="77777777" w:rsidR="00CC119D" w:rsidRPr="001E2783" w:rsidRDefault="00CC119D" w:rsidP="00CC119D">
      <w:pPr>
        <w:rPr>
          <w:rFonts w:cs="Arial"/>
        </w:rPr>
      </w:pPr>
    </w:p>
    <w:p w14:paraId="15DFE610" w14:textId="77777777" w:rsidR="00CC119D" w:rsidRPr="001E2783" w:rsidRDefault="00A8490B" w:rsidP="00CC119D">
      <w:pPr>
        <w:rPr>
          <w:rFonts w:cs="Arial"/>
        </w:rPr>
      </w:pPr>
      <w:r w:rsidRPr="001E2783">
        <w:rPr>
          <w:rFonts w:cs="Arial"/>
        </w:rPr>
        <w:t xml:space="preserve">In </w:t>
      </w:r>
      <w:r w:rsidR="00E92E97" w:rsidRPr="001E2783">
        <w:rPr>
          <w:rFonts w:cs="Arial"/>
        </w:rPr>
        <w:t>2014, the CPI adjustment of 2.4 </w:t>
      </w:r>
      <w:r w:rsidRPr="001E2783">
        <w:rPr>
          <w:rFonts w:cs="Arial"/>
        </w:rPr>
        <w:t>per cent, reflecting price changes from July 2012 to June 2013, applied to all licence taxes except for fix</w:t>
      </w:r>
      <w:r w:rsidR="00977007" w:rsidRPr="001E2783">
        <w:rPr>
          <w:rFonts w:cs="Arial"/>
        </w:rPr>
        <w:t>ed services operating below 960 </w:t>
      </w:r>
      <w:r w:rsidRPr="001E2783">
        <w:rPr>
          <w:rFonts w:cs="Arial"/>
        </w:rPr>
        <w:t>MHz in remote density areas.</w:t>
      </w:r>
    </w:p>
    <w:p w14:paraId="49899FCC" w14:textId="77777777" w:rsidR="00A8490B" w:rsidRPr="001E2783" w:rsidRDefault="00A8490B" w:rsidP="00CC119D">
      <w:pPr>
        <w:rPr>
          <w:rFonts w:cs="Arial"/>
        </w:rPr>
      </w:pPr>
    </w:p>
    <w:p w14:paraId="3FC4207D" w14:textId="77777777" w:rsidR="00CC119D" w:rsidRPr="001E2783" w:rsidRDefault="00CC119D" w:rsidP="00CC119D">
      <w:pPr>
        <w:pStyle w:val="Heading3"/>
      </w:pPr>
      <w:bookmarkStart w:id="144" w:name="_Toc337727575"/>
      <w:bookmarkStart w:id="145" w:name="_Toc400018541"/>
      <w:r w:rsidRPr="001E2783">
        <w:t>Spectrum licence tax</w:t>
      </w:r>
      <w:bookmarkEnd w:id="144"/>
      <w:bookmarkEnd w:id="145"/>
    </w:p>
    <w:p w14:paraId="621F2AE8" w14:textId="77777777" w:rsidR="00A8490B" w:rsidRPr="001E2783" w:rsidRDefault="00A8490B" w:rsidP="00A8490B">
      <w:pPr>
        <w:rPr>
          <w:rFonts w:cs="Arial"/>
        </w:rPr>
      </w:pPr>
      <w:r w:rsidRPr="001E2783">
        <w:rPr>
          <w:rFonts w:cs="Arial"/>
        </w:rPr>
        <w:t xml:space="preserve">The spectrum licence tax is imposed on all holders of spectrum licences at 11 October each year. It allows the ACMA to recover from spectrum licensees the indirect costs of spectrum management activities such as international coordination, domestic planning, interference investigation and policy development. The spectrum licence tax is calculated based on the bandwidth and the population covered in a licence. In 2013–14, the ACMA collected </w:t>
      </w:r>
      <w:r w:rsidR="00B65E08" w:rsidRPr="001E2783">
        <w:rPr>
          <w:rFonts w:cs="Arial"/>
        </w:rPr>
        <w:t xml:space="preserve">approximately </w:t>
      </w:r>
      <w:r w:rsidR="00543418" w:rsidRPr="001E2783">
        <w:rPr>
          <w:rFonts w:cs="Arial"/>
        </w:rPr>
        <w:t>$324,000</w:t>
      </w:r>
      <w:r w:rsidRPr="001E2783">
        <w:rPr>
          <w:rFonts w:cs="Arial"/>
        </w:rPr>
        <w:t xml:space="preserve"> in spectrum licence tax.</w:t>
      </w:r>
    </w:p>
    <w:p w14:paraId="60BDFBC4" w14:textId="77777777" w:rsidR="00FA74E5" w:rsidRPr="001E2783" w:rsidRDefault="00FA74E5" w:rsidP="00CC119D">
      <w:pPr>
        <w:rPr>
          <w:rFonts w:cs="Arial"/>
        </w:rPr>
      </w:pPr>
    </w:p>
    <w:p w14:paraId="73708736" w14:textId="77777777" w:rsidR="00CC119D" w:rsidRPr="001E2783" w:rsidRDefault="00CC119D" w:rsidP="00CC119D">
      <w:pPr>
        <w:pStyle w:val="Heading3"/>
      </w:pPr>
      <w:bookmarkStart w:id="146" w:name="_Toc337727576"/>
      <w:bookmarkStart w:id="147" w:name="_Toc400018542"/>
      <w:r w:rsidRPr="001E2783">
        <w:t>Broadcasting licence fees and datacasting charge</w:t>
      </w:r>
      <w:bookmarkEnd w:id="146"/>
      <w:bookmarkEnd w:id="147"/>
    </w:p>
    <w:p w14:paraId="3F0009DE" w14:textId="77777777" w:rsidR="00CC119D" w:rsidRPr="001E2783" w:rsidRDefault="00CC119D" w:rsidP="00CC119D">
      <w:pPr>
        <w:rPr>
          <w:rFonts w:cs="Arial"/>
          <w:bCs/>
          <w:szCs w:val="26"/>
        </w:rPr>
      </w:pPr>
      <w:r w:rsidRPr="001E2783">
        <w:rPr>
          <w:rFonts w:cs="Arial"/>
          <w:bCs/>
          <w:szCs w:val="26"/>
        </w:rPr>
        <w:t>The ACMA collects broadcasting licence fees</w:t>
      </w:r>
      <w:r w:rsidR="00FA74E5" w:rsidRPr="001E2783">
        <w:rPr>
          <w:rFonts w:cs="Arial"/>
          <w:bCs/>
          <w:szCs w:val="26"/>
        </w:rPr>
        <w:t xml:space="preserve"> (BLF)</w:t>
      </w:r>
      <w:r w:rsidRPr="001E2783">
        <w:rPr>
          <w:rFonts w:cs="Arial"/>
          <w:bCs/>
          <w:szCs w:val="26"/>
        </w:rPr>
        <w:t xml:space="preserve"> from commercial radio and television broadcasting licence-holders under the </w:t>
      </w:r>
      <w:r w:rsidRPr="001E2783">
        <w:rPr>
          <w:rFonts w:cs="Arial"/>
          <w:bCs/>
          <w:i/>
          <w:szCs w:val="26"/>
        </w:rPr>
        <w:t>Television Licence Fees Act 1964</w:t>
      </w:r>
      <w:r w:rsidRPr="001E2783">
        <w:rPr>
          <w:rFonts w:cs="Arial"/>
          <w:bCs/>
          <w:szCs w:val="26"/>
        </w:rPr>
        <w:t xml:space="preserve"> </w:t>
      </w:r>
      <w:r w:rsidR="0000514C" w:rsidRPr="001E2783">
        <w:rPr>
          <w:rFonts w:cs="Arial"/>
          <w:bCs/>
          <w:szCs w:val="26"/>
        </w:rPr>
        <w:t xml:space="preserve">(TLF Act) </w:t>
      </w:r>
      <w:r w:rsidRPr="001E2783">
        <w:rPr>
          <w:rFonts w:cs="Arial"/>
          <w:bCs/>
          <w:szCs w:val="26"/>
        </w:rPr>
        <w:t xml:space="preserve">and the </w:t>
      </w:r>
      <w:r w:rsidRPr="001E2783">
        <w:rPr>
          <w:rFonts w:cs="Arial"/>
          <w:bCs/>
          <w:i/>
          <w:szCs w:val="26"/>
        </w:rPr>
        <w:t>Radio Licence Fees Act 1964</w:t>
      </w:r>
      <w:r w:rsidRPr="001E2783">
        <w:rPr>
          <w:rFonts w:cs="Arial"/>
          <w:bCs/>
          <w:szCs w:val="26"/>
        </w:rPr>
        <w:t>. Supporting documentation is required under sections 205B and 205C of the BSA</w:t>
      </w:r>
      <w:r w:rsidRPr="001E2783">
        <w:rPr>
          <w:rFonts w:cs="Arial"/>
          <w:bCs/>
          <w:i/>
          <w:szCs w:val="26"/>
        </w:rPr>
        <w:t xml:space="preserve">. </w:t>
      </w:r>
      <w:r w:rsidRPr="001E2783">
        <w:rPr>
          <w:rFonts w:cs="Arial"/>
          <w:bCs/>
          <w:szCs w:val="26"/>
        </w:rPr>
        <w:t xml:space="preserve">Fees are calculated as a percentage of the gross earnings of the licence-holders for each broadcasting licence fee period, </w:t>
      </w:r>
      <w:r w:rsidR="006F3057" w:rsidRPr="001E2783">
        <w:rPr>
          <w:rFonts w:cs="Arial"/>
          <w:bCs/>
          <w:szCs w:val="26"/>
        </w:rPr>
        <w:t>less</w:t>
      </w:r>
      <w:r w:rsidRPr="001E2783">
        <w:rPr>
          <w:rFonts w:cs="Arial"/>
          <w:bCs/>
          <w:szCs w:val="26"/>
        </w:rPr>
        <w:t xml:space="preserve"> any rebates that apply.</w:t>
      </w:r>
    </w:p>
    <w:p w14:paraId="09C0EFE9" w14:textId="77777777" w:rsidR="0000514C" w:rsidRPr="001E2783" w:rsidRDefault="0000514C" w:rsidP="0000514C">
      <w:pPr>
        <w:rPr>
          <w:rFonts w:cs="Arial"/>
          <w:bCs/>
          <w:szCs w:val="26"/>
        </w:rPr>
      </w:pPr>
      <w:r w:rsidRPr="001E2783">
        <w:rPr>
          <w:rFonts w:cs="Arial"/>
          <w:bCs/>
          <w:szCs w:val="26"/>
        </w:rPr>
        <w:t xml:space="preserve">Under the </w:t>
      </w:r>
      <w:r w:rsidRPr="001E2783">
        <w:rPr>
          <w:rFonts w:cs="Arial"/>
          <w:bCs/>
          <w:i/>
          <w:szCs w:val="26"/>
        </w:rPr>
        <w:t>Datacasting Charge (Imposition) Act 1998</w:t>
      </w:r>
      <w:r w:rsidRPr="001E2783">
        <w:rPr>
          <w:rFonts w:cs="Arial"/>
          <w:bCs/>
          <w:szCs w:val="26"/>
        </w:rPr>
        <w:t xml:space="preserve">, a datacasting charge is collected from commercial television broadcasting licensees who also hold a transmitter licence issued under the Radiocommunications Act and use the transmitter licence to provide a datacasting service(s) authorised by a licence under Schedule 6 of the BSA. During the current financial </w:t>
      </w:r>
      <w:r w:rsidR="00E92E97" w:rsidRPr="001E2783">
        <w:rPr>
          <w:rFonts w:cs="Arial"/>
          <w:bCs/>
          <w:szCs w:val="26"/>
        </w:rPr>
        <w:t>year, the ACMA collected $1.223 </w:t>
      </w:r>
      <w:r w:rsidRPr="001E2783">
        <w:rPr>
          <w:rFonts w:cs="Arial"/>
          <w:bCs/>
          <w:szCs w:val="26"/>
        </w:rPr>
        <w:t>million from datacasting services for the 2012–13 BLF return period.</w:t>
      </w:r>
    </w:p>
    <w:p w14:paraId="49C07A1D" w14:textId="77777777" w:rsidR="0000514C" w:rsidRPr="001E2783" w:rsidRDefault="0000514C" w:rsidP="0000514C">
      <w:pPr>
        <w:rPr>
          <w:rFonts w:cs="Arial"/>
          <w:bCs/>
          <w:szCs w:val="26"/>
        </w:rPr>
      </w:pPr>
    </w:p>
    <w:p w14:paraId="78197469" w14:textId="77777777" w:rsidR="0000514C" w:rsidRPr="001E2783" w:rsidRDefault="0000514C" w:rsidP="0000514C">
      <w:pPr>
        <w:rPr>
          <w:rFonts w:cs="Arial"/>
          <w:bCs/>
          <w:szCs w:val="26"/>
        </w:rPr>
      </w:pPr>
      <w:r w:rsidRPr="001E2783">
        <w:rPr>
          <w:rFonts w:cs="Arial"/>
          <w:bCs/>
          <w:szCs w:val="26"/>
        </w:rPr>
        <w:t xml:space="preserve">In December 2013, television broadcasters paid a total of </w:t>
      </w:r>
      <w:r w:rsidR="00D74BE4" w:rsidRPr="001E2783">
        <w:rPr>
          <w:rFonts w:cs="Arial"/>
          <w:bCs/>
          <w:szCs w:val="26"/>
        </w:rPr>
        <w:t>$143.350 </w:t>
      </w:r>
      <w:r w:rsidRPr="001E2783">
        <w:rPr>
          <w:rFonts w:cs="Arial"/>
          <w:bCs/>
          <w:szCs w:val="26"/>
        </w:rPr>
        <w:t>million in broadcasting licence fees, and radio broadcasters paid a total of $</w:t>
      </w:r>
      <w:r w:rsidR="00D74BE4" w:rsidRPr="001E2783">
        <w:rPr>
          <w:rFonts w:cs="Arial"/>
          <w:bCs/>
          <w:szCs w:val="26"/>
        </w:rPr>
        <w:t>21.562 </w:t>
      </w:r>
      <w:r w:rsidRPr="001E2783">
        <w:rPr>
          <w:rFonts w:cs="Arial"/>
          <w:bCs/>
          <w:szCs w:val="26"/>
        </w:rPr>
        <w:t>million in broadcasting licence fees for the 2012–13 BLF period.</w:t>
      </w:r>
    </w:p>
    <w:p w14:paraId="0393E419" w14:textId="77777777" w:rsidR="0000514C" w:rsidRPr="001E2783" w:rsidRDefault="0000514C" w:rsidP="0000514C">
      <w:pPr>
        <w:rPr>
          <w:rFonts w:cs="Arial"/>
        </w:rPr>
      </w:pPr>
    </w:p>
    <w:p w14:paraId="5BA2419C" w14:textId="77777777" w:rsidR="0000514C" w:rsidRPr="001E2783" w:rsidRDefault="00E92E97" w:rsidP="0000514C">
      <w:pPr>
        <w:rPr>
          <w:rFonts w:cs="Arial"/>
        </w:rPr>
      </w:pPr>
      <w:r w:rsidRPr="001E2783">
        <w:rPr>
          <w:rFonts w:cs="Arial"/>
        </w:rPr>
        <w:t>Table </w:t>
      </w:r>
      <w:r w:rsidR="0000514C" w:rsidRPr="001E2783">
        <w:rPr>
          <w:rFonts w:cs="Arial"/>
        </w:rPr>
        <w:t>2</w:t>
      </w:r>
      <w:r w:rsidR="00D27ED3" w:rsidRPr="001E2783">
        <w:rPr>
          <w:rFonts w:cs="Arial"/>
        </w:rPr>
        <w:t>0</w:t>
      </w:r>
      <w:r w:rsidR="0000514C" w:rsidRPr="001E2783">
        <w:rPr>
          <w:rFonts w:cs="Arial"/>
        </w:rPr>
        <w:t xml:space="preserve"> shows total broadcasting licence fees collected by the ACMA in the last three financial years.</w:t>
      </w:r>
    </w:p>
    <w:p w14:paraId="7ABBF627" w14:textId="77777777" w:rsidR="00FA74E5" w:rsidRPr="001E2783" w:rsidRDefault="00FA74E5" w:rsidP="00FA74E5">
      <w:pPr>
        <w:rPr>
          <w:rFonts w:cs="Arial"/>
        </w:rPr>
      </w:pPr>
    </w:p>
    <w:tbl>
      <w:tblPr>
        <w:tblW w:w="9656" w:type="dxa"/>
        <w:tblLayout w:type="fixed"/>
        <w:tblCellMar>
          <w:left w:w="0" w:type="dxa"/>
          <w:right w:w="0" w:type="dxa"/>
        </w:tblCellMar>
        <w:tblLook w:val="01E0" w:firstRow="1" w:lastRow="1" w:firstColumn="1" w:lastColumn="1" w:noHBand="0" w:noVBand="0"/>
      </w:tblPr>
      <w:tblGrid>
        <w:gridCol w:w="9656"/>
      </w:tblGrid>
      <w:tr w:rsidR="001E2783" w:rsidRPr="001E2783" w14:paraId="69A8A715" w14:textId="77777777" w:rsidTr="00970328">
        <w:trPr>
          <w:trHeight w:val="452"/>
        </w:trPr>
        <w:tc>
          <w:tcPr>
            <w:tcW w:w="9656" w:type="dxa"/>
            <w:tcBorders>
              <w:top w:val="single" w:sz="2" w:space="0" w:color="505050"/>
            </w:tcBorders>
            <w:shd w:val="clear" w:color="auto" w:fill="auto"/>
            <w:vAlign w:val="center"/>
          </w:tcPr>
          <w:p w14:paraId="17DF395F" w14:textId="77777777" w:rsidR="00CC119D" w:rsidRPr="001E2783" w:rsidRDefault="00CC119D" w:rsidP="00E65BD5">
            <w:pPr>
              <w:pStyle w:val="Caption"/>
              <w:keepNext/>
              <w:keepLines/>
              <w:rPr>
                <w:rFonts w:ascii="Arial" w:hAnsi="Arial" w:cs="Arial"/>
                <w:color w:val="auto"/>
              </w:rPr>
            </w:pPr>
            <w:r w:rsidRPr="00D3485F">
              <w:rPr>
                <w:rFonts w:ascii="Arial" w:hAnsi="Arial" w:cs="Arial"/>
              </w:rPr>
              <w:t xml:space="preserve">Table </w:t>
            </w:r>
            <w:r w:rsidR="00D27ED3" w:rsidRPr="00D3485F">
              <w:rPr>
                <w:rFonts w:ascii="Arial" w:hAnsi="Arial" w:cs="Arial"/>
              </w:rPr>
              <w:t>20</w:t>
            </w:r>
            <w:r w:rsidRPr="00D3485F">
              <w:rPr>
                <w:rFonts w:ascii="Arial" w:hAnsi="Arial" w:cs="Arial"/>
              </w:rPr>
              <w:t>: Broadcasting licence fees</w:t>
            </w:r>
          </w:p>
        </w:tc>
      </w:tr>
      <w:tr w:rsidR="001E2783" w:rsidRPr="001E2783" w14:paraId="2A54BEDF" w14:textId="77777777" w:rsidTr="00C902FF">
        <w:trPr>
          <w:trHeight w:val="2690"/>
        </w:trPr>
        <w:tc>
          <w:tcPr>
            <w:tcW w:w="9656" w:type="dxa"/>
            <w:shd w:val="clear" w:color="auto" w:fill="auto"/>
            <w:tcMar>
              <w:left w:w="28" w:type="dxa"/>
            </w:tcMar>
          </w:tcPr>
          <w:tbl>
            <w:tblPr>
              <w:tblW w:w="93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77"/>
              <w:gridCol w:w="1134"/>
              <w:gridCol w:w="1134"/>
              <w:gridCol w:w="1134"/>
              <w:gridCol w:w="1134"/>
              <w:gridCol w:w="1134"/>
              <w:gridCol w:w="997"/>
            </w:tblGrid>
            <w:tr w:rsidR="001E2783" w:rsidRPr="001E2783" w14:paraId="4D1C5A94" w14:textId="77777777" w:rsidTr="00AF3C19">
              <w:trPr>
                <w:trHeight w:val="274"/>
              </w:trPr>
              <w:tc>
                <w:tcPr>
                  <w:tcW w:w="2677" w:type="dxa"/>
                  <w:vMerge w:val="restart"/>
                  <w:shd w:val="clear" w:color="auto" w:fill="404040" w:themeFill="text1" w:themeFillTint="BF"/>
                  <w:tcMar>
                    <w:top w:w="57" w:type="dxa"/>
                    <w:left w:w="57" w:type="dxa"/>
                    <w:bottom w:w="57" w:type="dxa"/>
                    <w:right w:w="57" w:type="dxa"/>
                  </w:tcMar>
                </w:tcPr>
                <w:p w14:paraId="061ECBF7" w14:textId="77777777" w:rsidR="00CC119D" w:rsidRPr="000544EA" w:rsidRDefault="00CC119D" w:rsidP="00C902FF">
                  <w:pPr>
                    <w:pStyle w:val="ACMATableText"/>
                    <w:keepNext/>
                    <w:widowControl w:val="0"/>
                    <w:spacing w:line="550" w:lineRule="exact"/>
                    <w:outlineLvl w:val="0"/>
                    <w:rPr>
                      <w:rFonts w:cs="Arial"/>
                      <w:color w:val="FFFFFF" w:themeColor="background1"/>
                    </w:rPr>
                  </w:pPr>
                </w:p>
              </w:tc>
              <w:tc>
                <w:tcPr>
                  <w:tcW w:w="3402" w:type="dxa"/>
                  <w:gridSpan w:val="3"/>
                  <w:shd w:val="clear" w:color="auto" w:fill="404040" w:themeFill="text1" w:themeFillTint="BF"/>
                  <w:tcMar>
                    <w:top w:w="57" w:type="dxa"/>
                    <w:left w:w="57" w:type="dxa"/>
                    <w:bottom w:w="57" w:type="dxa"/>
                    <w:right w:w="57" w:type="dxa"/>
                  </w:tcMar>
                </w:tcPr>
                <w:p w14:paraId="66837574" w14:textId="77777777" w:rsidR="00CC119D" w:rsidRPr="000544EA" w:rsidRDefault="00CC119D" w:rsidP="00977007">
                  <w:pPr>
                    <w:pStyle w:val="TableHeading"/>
                    <w:jc w:val="center"/>
                    <w:rPr>
                      <w:rFonts w:ascii="Arial" w:hAnsi="Arial" w:cs="Arial"/>
                      <w:color w:val="FFFFFF" w:themeColor="background1"/>
                    </w:rPr>
                  </w:pPr>
                  <w:r w:rsidRPr="000544EA">
                    <w:rPr>
                      <w:rFonts w:ascii="Arial" w:hAnsi="Arial" w:cs="Arial"/>
                      <w:color w:val="FFFFFF" w:themeColor="background1"/>
                    </w:rPr>
                    <w:t>Number of licences</w:t>
                  </w:r>
                </w:p>
              </w:tc>
              <w:tc>
                <w:tcPr>
                  <w:tcW w:w="3265" w:type="dxa"/>
                  <w:gridSpan w:val="3"/>
                  <w:shd w:val="clear" w:color="auto" w:fill="404040" w:themeFill="text1" w:themeFillTint="BF"/>
                  <w:tcMar>
                    <w:top w:w="57" w:type="dxa"/>
                    <w:left w:w="57" w:type="dxa"/>
                    <w:bottom w:w="57" w:type="dxa"/>
                    <w:right w:w="57" w:type="dxa"/>
                  </w:tcMar>
                </w:tcPr>
                <w:p w14:paraId="5C3DE238" w14:textId="77777777" w:rsidR="00CC119D" w:rsidRPr="000544EA" w:rsidRDefault="00CC119D" w:rsidP="00977007">
                  <w:pPr>
                    <w:pStyle w:val="TableHeading"/>
                    <w:jc w:val="center"/>
                    <w:rPr>
                      <w:rFonts w:ascii="Arial" w:hAnsi="Arial" w:cs="Arial"/>
                      <w:color w:val="FFFFFF" w:themeColor="background1"/>
                    </w:rPr>
                  </w:pPr>
                  <w:r w:rsidRPr="000544EA">
                    <w:rPr>
                      <w:rFonts w:ascii="Arial" w:hAnsi="Arial" w:cs="Arial"/>
                      <w:color w:val="FFFFFF" w:themeColor="background1"/>
                    </w:rPr>
                    <w:t>Total ($m)</w:t>
                  </w:r>
                </w:p>
              </w:tc>
            </w:tr>
            <w:tr w:rsidR="001E2783" w:rsidRPr="001E2783" w14:paraId="3C3C7B62" w14:textId="77777777" w:rsidTr="00AF3C19">
              <w:trPr>
                <w:trHeight w:val="271"/>
              </w:trPr>
              <w:tc>
                <w:tcPr>
                  <w:tcW w:w="2677" w:type="dxa"/>
                  <w:vMerge/>
                  <w:shd w:val="clear" w:color="auto" w:fill="404040" w:themeFill="text1" w:themeFillTint="BF"/>
                  <w:tcMar>
                    <w:top w:w="57" w:type="dxa"/>
                    <w:left w:w="57" w:type="dxa"/>
                    <w:bottom w:w="57" w:type="dxa"/>
                    <w:right w:w="57" w:type="dxa"/>
                  </w:tcMar>
                </w:tcPr>
                <w:p w14:paraId="53CBD09B" w14:textId="77777777" w:rsidR="00FA74E5" w:rsidRPr="000544EA" w:rsidRDefault="00FA74E5" w:rsidP="00C902FF">
                  <w:pPr>
                    <w:pStyle w:val="ACMATableText"/>
                    <w:spacing w:line="240" w:lineRule="atLeast"/>
                    <w:rPr>
                      <w:rFonts w:cs="Arial"/>
                      <w:color w:val="FFFFFF" w:themeColor="background1"/>
                    </w:rPr>
                  </w:pPr>
                </w:p>
              </w:tc>
              <w:tc>
                <w:tcPr>
                  <w:tcW w:w="1134" w:type="dxa"/>
                  <w:shd w:val="clear" w:color="auto" w:fill="404040" w:themeFill="text1" w:themeFillTint="BF"/>
                  <w:tcMar>
                    <w:top w:w="57" w:type="dxa"/>
                    <w:left w:w="57" w:type="dxa"/>
                    <w:bottom w:w="57" w:type="dxa"/>
                    <w:right w:w="57" w:type="dxa"/>
                  </w:tcMar>
                </w:tcPr>
                <w:p w14:paraId="4D0EB947" w14:textId="77777777" w:rsidR="00FA74E5" w:rsidRPr="000544EA" w:rsidRDefault="00FA74E5" w:rsidP="00970328">
                  <w:pPr>
                    <w:pStyle w:val="TableHeading"/>
                    <w:jc w:val="right"/>
                    <w:rPr>
                      <w:rFonts w:ascii="Arial" w:hAnsi="Arial" w:cs="Arial"/>
                      <w:color w:val="FFFFFF" w:themeColor="background1"/>
                    </w:rPr>
                  </w:pPr>
                  <w:r w:rsidRPr="000544EA">
                    <w:rPr>
                      <w:rFonts w:ascii="Arial" w:hAnsi="Arial" w:cs="Arial"/>
                      <w:color w:val="FFFFFF" w:themeColor="background1"/>
                    </w:rPr>
                    <w:t>201</w:t>
                  </w:r>
                  <w:r w:rsidR="00E55AD5" w:rsidRPr="000544EA">
                    <w:rPr>
                      <w:rFonts w:ascii="Arial" w:hAnsi="Arial" w:cs="Arial"/>
                      <w:color w:val="FFFFFF" w:themeColor="background1"/>
                    </w:rPr>
                    <w:t>1</w:t>
                  </w:r>
                  <w:r w:rsidRPr="000544EA">
                    <w:rPr>
                      <w:rFonts w:ascii="Arial" w:hAnsi="Arial" w:cs="Arial"/>
                      <w:color w:val="FFFFFF" w:themeColor="background1"/>
                    </w:rPr>
                    <w:t>–1</w:t>
                  </w:r>
                  <w:r w:rsidR="00E55AD5" w:rsidRPr="000544EA">
                    <w:rPr>
                      <w:rFonts w:ascii="Arial" w:hAnsi="Arial" w:cs="Arial"/>
                      <w:color w:val="FFFFFF" w:themeColor="background1"/>
                    </w:rPr>
                    <w:t>2</w:t>
                  </w:r>
                </w:p>
              </w:tc>
              <w:tc>
                <w:tcPr>
                  <w:tcW w:w="1134" w:type="dxa"/>
                  <w:shd w:val="clear" w:color="auto" w:fill="404040" w:themeFill="text1" w:themeFillTint="BF"/>
                  <w:tcMar>
                    <w:top w:w="57" w:type="dxa"/>
                    <w:left w:w="57" w:type="dxa"/>
                    <w:bottom w:w="57" w:type="dxa"/>
                    <w:right w:w="57" w:type="dxa"/>
                  </w:tcMar>
                </w:tcPr>
                <w:p w14:paraId="48E6B302" w14:textId="77777777" w:rsidR="00FA74E5" w:rsidRPr="000544EA" w:rsidRDefault="00E55AD5" w:rsidP="00970328">
                  <w:pPr>
                    <w:pStyle w:val="TableHeading"/>
                    <w:jc w:val="right"/>
                    <w:rPr>
                      <w:rFonts w:ascii="Arial" w:hAnsi="Arial" w:cs="Arial"/>
                      <w:color w:val="FFFFFF" w:themeColor="background1"/>
                    </w:rPr>
                  </w:pPr>
                  <w:r w:rsidRPr="000544EA">
                    <w:rPr>
                      <w:rFonts w:ascii="Arial" w:hAnsi="Arial" w:cs="Arial"/>
                      <w:color w:val="FFFFFF" w:themeColor="background1"/>
                    </w:rPr>
                    <w:t>2012–13</w:t>
                  </w:r>
                </w:p>
              </w:tc>
              <w:tc>
                <w:tcPr>
                  <w:tcW w:w="1134" w:type="dxa"/>
                  <w:shd w:val="clear" w:color="auto" w:fill="404040" w:themeFill="text1" w:themeFillTint="BF"/>
                  <w:tcMar>
                    <w:top w:w="57" w:type="dxa"/>
                    <w:left w:w="57" w:type="dxa"/>
                    <w:bottom w:w="57" w:type="dxa"/>
                    <w:right w:w="57" w:type="dxa"/>
                  </w:tcMar>
                </w:tcPr>
                <w:p w14:paraId="556E21E0" w14:textId="77777777" w:rsidR="00FA74E5" w:rsidRPr="000544EA" w:rsidRDefault="00E55AD5" w:rsidP="00970328">
                  <w:pPr>
                    <w:pStyle w:val="TableHeading"/>
                    <w:jc w:val="right"/>
                    <w:rPr>
                      <w:rFonts w:ascii="Arial" w:hAnsi="Arial" w:cs="Arial"/>
                      <w:color w:val="FFFFFF" w:themeColor="background1"/>
                    </w:rPr>
                  </w:pPr>
                  <w:r w:rsidRPr="000544EA">
                    <w:rPr>
                      <w:rFonts w:ascii="Arial" w:hAnsi="Arial" w:cs="Arial"/>
                      <w:color w:val="FFFFFF" w:themeColor="background1"/>
                    </w:rPr>
                    <w:t>2013–14</w:t>
                  </w:r>
                </w:p>
              </w:tc>
              <w:tc>
                <w:tcPr>
                  <w:tcW w:w="1134" w:type="dxa"/>
                  <w:shd w:val="clear" w:color="auto" w:fill="404040" w:themeFill="text1" w:themeFillTint="BF"/>
                  <w:tcMar>
                    <w:top w:w="57" w:type="dxa"/>
                    <w:left w:w="57" w:type="dxa"/>
                    <w:bottom w:w="57" w:type="dxa"/>
                    <w:right w:w="57" w:type="dxa"/>
                  </w:tcMar>
                </w:tcPr>
                <w:p w14:paraId="7D167985" w14:textId="77777777" w:rsidR="00FA74E5" w:rsidRPr="000544EA" w:rsidRDefault="00E55AD5" w:rsidP="00970328">
                  <w:pPr>
                    <w:pStyle w:val="TableHeading"/>
                    <w:jc w:val="right"/>
                    <w:rPr>
                      <w:rFonts w:ascii="Arial" w:hAnsi="Arial" w:cs="Arial"/>
                      <w:color w:val="FFFFFF" w:themeColor="background1"/>
                    </w:rPr>
                  </w:pPr>
                  <w:r w:rsidRPr="000544EA">
                    <w:rPr>
                      <w:rFonts w:ascii="Arial" w:hAnsi="Arial" w:cs="Arial"/>
                      <w:color w:val="FFFFFF" w:themeColor="background1"/>
                    </w:rPr>
                    <w:t>2011–12</w:t>
                  </w:r>
                </w:p>
              </w:tc>
              <w:tc>
                <w:tcPr>
                  <w:tcW w:w="1134" w:type="dxa"/>
                  <w:shd w:val="clear" w:color="auto" w:fill="404040" w:themeFill="text1" w:themeFillTint="BF"/>
                  <w:tcMar>
                    <w:top w:w="57" w:type="dxa"/>
                    <w:left w:w="57" w:type="dxa"/>
                    <w:bottom w:w="57" w:type="dxa"/>
                    <w:right w:w="57" w:type="dxa"/>
                  </w:tcMar>
                </w:tcPr>
                <w:p w14:paraId="6240D9C7" w14:textId="77777777" w:rsidR="00FA74E5" w:rsidRPr="000544EA" w:rsidRDefault="00E55AD5" w:rsidP="00970328">
                  <w:pPr>
                    <w:pStyle w:val="TableHeading"/>
                    <w:jc w:val="right"/>
                    <w:rPr>
                      <w:rFonts w:ascii="Arial" w:hAnsi="Arial" w:cs="Arial"/>
                      <w:color w:val="FFFFFF" w:themeColor="background1"/>
                    </w:rPr>
                  </w:pPr>
                  <w:r w:rsidRPr="000544EA">
                    <w:rPr>
                      <w:rFonts w:ascii="Arial" w:hAnsi="Arial" w:cs="Arial"/>
                      <w:color w:val="FFFFFF" w:themeColor="background1"/>
                    </w:rPr>
                    <w:t>2012–13</w:t>
                  </w:r>
                </w:p>
              </w:tc>
              <w:tc>
                <w:tcPr>
                  <w:tcW w:w="997" w:type="dxa"/>
                  <w:shd w:val="clear" w:color="auto" w:fill="404040" w:themeFill="text1" w:themeFillTint="BF"/>
                  <w:tcMar>
                    <w:top w:w="57" w:type="dxa"/>
                    <w:left w:w="57" w:type="dxa"/>
                    <w:bottom w:w="57" w:type="dxa"/>
                    <w:right w:w="57" w:type="dxa"/>
                  </w:tcMar>
                </w:tcPr>
                <w:p w14:paraId="6CEF87E0" w14:textId="77777777" w:rsidR="00FA74E5" w:rsidRPr="000544EA" w:rsidRDefault="00E55AD5" w:rsidP="00970328">
                  <w:pPr>
                    <w:pStyle w:val="TableHeading"/>
                    <w:jc w:val="right"/>
                    <w:rPr>
                      <w:rFonts w:ascii="Arial" w:hAnsi="Arial" w:cs="Arial"/>
                      <w:color w:val="FFFFFF" w:themeColor="background1"/>
                    </w:rPr>
                  </w:pPr>
                  <w:r w:rsidRPr="000544EA">
                    <w:rPr>
                      <w:rFonts w:ascii="Arial" w:hAnsi="Arial" w:cs="Arial"/>
                      <w:color w:val="FFFFFF" w:themeColor="background1"/>
                    </w:rPr>
                    <w:t>2013</w:t>
                  </w:r>
                  <w:r w:rsidR="00FA74E5" w:rsidRPr="000544EA">
                    <w:rPr>
                      <w:rFonts w:ascii="Arial" w:hAnsi="Arial" w:cs="Arial"/>
                      <w:color w:val="FFFFFF" w:themeColor="background1"/>
                    </w:rPr>
                    <w:t>–</w:t>
                  </w:r>
                  <w:r w:rsidRPr="000544EA">
                    <w:rPr>
                      <w:rFonts w:ascii="Arial" w:hAnsi="Arial" w:cs="Arial"/>
                      <w:color w:val="FFFFFF" w:themeColor="background1"/>
                    </w:rPr>
                    <w:t>14</w:t>
                  </w:r>
                </w:p>
              </w:tc>
            </w:tr>
            <w:tr w:rsidR="001E2783" w:rsidRPr="001E2783" w14:paraId="260B64C5" w14:textId="77777777" w:rsidTr="00977007">
              <w:trPr>
                <w:trHeight w:val="469"/>
              </w:trPr>
              <w:tc>
                <w:tcPr>
                  <w:tcW w:w="2677" w:type="dxa"/>
                  <w:tcMar>
                    <w:top w:w="57" w:type="dxa"/>
                    <w:left w:w="57" w:type="dxa"/>
                    <w:bottom w:w="57" w:type="dxa"/>
                    <w:right w:w="57" w:type="dxa"/>
                  </w:tcMar>
                </w:tcPr>
                <w:p w14:paraId="775644BA" w14:textId="77777777" w:rsidR="00FA74E5" w:rsidRPr="001E2783" w:rsidRDefault="00FA74E5" w:rsidP="00977007">
                  <w:pPr>
                    <w:pStyle w:val="TableTextLeft"/>
                    <w:rPr>
                      <w:rFonts w:cs="Arial"/>
                      <w:sz w:val="20"/>
                    </w:rPr>
                  </w:pPr>
                  <w:r w:rsidRPr="001E2783">
                    <w:rPr>
                      <w:rFonts w:cs="Arial"/>
                      <w:sz w:val="20"/>
                    </w:rPr>
                    <w:t xml:space="preserve">Radio licence fees </w:t>
                  </w:r>
                </w:p>
              </w:tc>
              <w:tc>
                <w:tcPr>
                  <w:tcW w:w="1134" w:type="dxa"/>
                  <w:tcMar>
                    <w:top w:w="57" w:type="dxa"/>
                    <w:left w:w="57" w:type="dxa"/>
                    <w:bottom w:w="57" w:type="dxa"/>
                    <w:right w:w="57" w:type="dxa"/>
                  </w:tcMar>
                </w:tcPr>
                <w:p w14:paraId="43978383" w14:textId="77777777" w:rsidR="00FA74E5" w:rsidRPr="001E2783" w:rsidRDefault="00FA74E5" w:rsidP="00970328">
                  <w:pPr>
                    <w:pStyle w:val="TableTextCentred"/>
                    <w:jc w:val="right"/>
                    <w:rPr>
                      <w:rFonts w:cs="Arial"/>
                      <w:sz w:val="20"/>
                    </w:rPr>
                  </w:pPr>
                  <w:r w:rsidRPr="001E2783">
                    <w:rPr>
                      <w:rFonts w:cs="Arial"/>
                      <w:sz w:val="20"/>
                    </w:rPr>
                    <w:t>273</w:t>
                  </w:r>
                </w:p>
              </w:tc>
              <w:tc>
                <w:tcPr>
                  <w:tcW w:w="1134" w:type="dxa"/>
                  <w:tcMar>
                    <w:top w:w="57" w:type="dxa"/>
                    <w:left w:w="57" w:type="dxa"/>
                    <w:bottom w:w="57" w:type="dxa"/>
                    <w:right w:w="57" w:type="dxa"/>
                  </w:tcMar>
                </w:tcPr>
                <w:p w14:paraId="269D20D1" w14:textId="77777777" w:rsidR="00FA74E5" w:rsidRPr="001E2783" w:rsidRDefault="00FA74E5" w:rsidP="00970328">
                  <w:pPr>
                    <w:pStyle w:val="TableTextCentred"/>
                    <w:jc w:val="right"/>
                    <w:rPr>
                      <w:rFonts w:cs="Arial"/>
                      <w:sz w:val="20"/>
                    </w:rPr>
                  </w:pPr>
                  <w:r w:rsidRPr="001E2783">
                    <w:rPr>
                      <w:rFonts w:cs="Arial"/>
                      <w:sz w:val="20"/>
                    </w:rPr>
                    <w:t>273</w:t>
                  </w:r>
                </w:p>
              </w:tc>
              <w:tc>
                <w:tcPr>
                  <w:tcW w:w="1134" w:type="dxa"/>
                  <w:tcMar>
                    <w:top w:w="57" w:type="dxa"/>
                    <w:left w:w="57" w:type="dxa"/>
                    <w:bottom w:w="57" w:type="dxa"/>
                    <w:right w:w="57" w:type="dxa"/>
                  </w:tcMar>
                </w:tcPr>
                <w:p w14:paraId="7500BECD" w14:textId="77777777" w:rsidR="00FA74E5" w:rsidRPr="001E2783" w:rsidRDefault="00FA74E5" w:rsidP="00970328">
                  <w:pPr>
                    <w:pStyle w:val="TableTextCentred"/>
                    <w:jc w:val="right"/>
                    <w:rPr>
                      <w:rFonts w:cs="Arial"/>
                      <w:sz w:val="20"/>
                    </w:rPr>
                  </w:pPr>
                  <w:r w:rsidRPr="001E2783">
                    <w:rPr>
                      <w:rFonts w:cs="Arial"/>
                      <w:sz w:val="20"/>
                    </w:rPr>
                    <w:t>273</w:t>
                  </w:r>
                </w:p>
              </w:tc>
              <w:tc>
                <w:tcPr>
                  <w:tcW w:w="1134" w:type="dxa"/>
                  <w:tcMar>
                    <w:top w:w="57" w:type="dxa"/>
                    <w:left w:w="57" w:type="dxa"/>
                    <w:bottom w:w="57" w:type="dxa"/>
                    <w:right w:w="57" w:type="dxa"/>
                  </w:tcMar>
                </w:tcPr>
                <w:p w14:paraId="38A4A640" w14:textId="77777777" w:rsidR="00FA74E5" w:rsidRPr="001E2783" w:rsidRDefault="00E55AD5" w:rsidP="00970328">
                  <w:pPr>
                    <w:pStyle w:val="TableTextCentred"/>
                    <w:jc w:val="right"/>
                    <w:rPr>
                      <w:rFonts w:cs="Arial"/>
                      <w:sz w:val="20"/>
                    </w:rPr>
                  </w:pPr>
                  <w:r w:rsidRPr="001E2783">
                    <w:rPr>
                      <w:rFonts w:cs="Arial"/>
                      <w:sz w:val="20"/>
                    </w:rPr>
                    <w:t>25.1</w:t>
                  </w:r>
                </w:p>
              </w:tc>
              <w:tc>
                <w:tcPr>
                  <w:tcW w:w="1134" w:type="dxa"/>
                  <w:tcMar>
                    <w:top w:w="57" w:type="dxa"/>
                    <w:left w:w="57" w:type="dxa"/>
                    <w:bottom w:w="57" w:type="dxa"/>
                    <w:right w:w="57" w:type="dxa"/>
                  </w:tcMar>
                </w:tcPr>
                <w:p w14:paraId="1F8AAEC2" w14:textId="77777777" w:rsidR="00FA74E5" w:rsidRPr="001E2783" w:rsidRDefault="00E55AD5" w:rsidP="00970328">
                  <w:pPr>
                    <w:pStyle w:val="TableTextCentred"/>
                    <w:jc w:val="right"/>
                    <w:rPr>
                      <w:rFonts w:cs="Arial"/>
                      <w:sz w:val="20"/>
                    </w:rPr>
                  </w:pPr>
                  <w:r w:rsidRPr="001E2783">
                    <w:rPr>
                      <w:rFonts w:cs="Arial"/>
                      <w:sz w:val="20"/>
                    </w:rPr>
                    <w:t>24.4</w:t>
                  </w:r>
                </w:p>
              </w:tc>
              <w:tc>
                <w:tcPr>
                  <w:tcW w:w="997" w:type="dxa"/>
                  <w:tcMar>
                    <w:top w:w="57" w:type="dxa"/>
                    <w:left w:w="57" w:type="dxa"/>
                    <w:bottom w:w="57" w:type="dxa"/>
                    <w:right w:w="57" w:type="dxa"/>
                  </w:tcMar>
                </w:tcPr>
                <w:p w14:paraId="265F0339" w14:textId="77777777" w:rsidR="00FA74E5" w:rsidRPr="001E2783" w:rsidRDefault="00E55AD5" w:rsidP="00970328">
                  <w:pPr>
                    <w:pStyle w:val="TableTextCentred"/>
                    <w:jc w:val="right"/>
                    <w:rPr>
                      <w:rFonts w:cs="Arial"/>
                      <w:sz w:val="20"/>
                    </w:rPr>
                  </w:pPr>
                  <w:r w:rsidRPr="001E2783">
                    <w:rPr>
                      <w:rFonts w:cs="Arial"/>
                      <w:sz w:val="20"/>
                    </w:rPr>
                    <w:t>21.6</w:t>
                  </w:r>
                </w:p>
              </w:tc>
            </w:tr>
            <w:tr w:rsidR="001E2783" w:rsidRPr="001E2783" w14:paraId="04DCB4EF" w14:textId="77777777" w:rsidTr="00977007">
              <w:trPr>
                <w:trHeight w:val="469"/>
              </w:trPr>
              <w:tc>
                <w:tcPr>
                  <w:tcW w:w="2677" w:type="dxa"/>
                  <w:tcMar>
                    <w:top w:w="57" w:type="dxa"/>
                    <w:left w:w="57" w:type="dxa"/>
                    <w:bottom w:w="57" w:type="dxa"/>
                    <w:right w:w="57" w:type="dxa"/>
                  </w:tcMar>
                </w:tcPr>
                <w:p w14:paraId="1E25A2D9" w14:textId="77777777" w:rsidR="00FA74E5" w:rsidRPr="001E2783" w:rsidRDefault="00FA74E5" w:rsidP="00977007">
                  <w:pPr>
                    <w:pStyle w:val="TableTextLeft"/>
                    <w:rPr>
                      <w:rFonts w:cs="Arial"/>
                      <w:sz w:val="20"/>
                    </w:rPr>
                  </w:pPr>
                  <w:r w:rsidRPr="001E2783">
                    <w:rPr>
                      <w:rFonts w:cs="Arial"/>
                      <w:sz w:val="20"/>
                    </w:rPr>
                    <w:t>TV licence fees obligation</w:t>
                  </w:r>
                </w:p>
              </w:tc>
              <w:tc>
                <w:tcPr>
                  <w:tcW w:w="1134" w:type="dxa"/>
                  <w:tcMar>
                    <w:top w:w="57" w:type="dxa"/>
                    <w:left w:w="57" w:type="dxa"/>
                    <w:bottom w:w="57" w:type="dxa"/>
                    <w:right w:w="57" w:type="dxa"/>
                  </w:tcMar>
                </w:tcPr>
                <w:p w14:paraId="24E52B09" w14:textId="77777777" w:rsidR="00FA74E5" w:rsidRPr="001E2783" w:rsidRDefault="00E55AD5" w:rsidP="00970328">
                  <w:pPr>
                    <w:pStyle w:val="TableTextCentred"/>
                    <w:jc w:val="right"/>
                    <w:rPr>
                      <w:rFonts w:cs="Arial"/>
                      <w:sz w:val="20"/>
                    </w:rPr>
                  </w:pPr>
                  <w:r w:rsidRPr="001E2783">
                    <w:rPr>
                      <w:rFonts w:cs="Arial"/>
                      <w:sz w:val="20"/>
                    </w:rPr>
                    <w:t>68</w:t>
                  </w:r>
                </w:p>
              </w:tc>
              <w:tc>
                <w:tcPr>
                  <w:tcW w:w="1134" w:type="dxa"/>
                  <w:tcMar>
                    <w:top w:w="57" w:type="dxa"/>
                    <w:left w:w="57" w:type="dxa"/>
                    <w:bottom w:w="57" w:type="dxa"/>
                    <w:right w:w="57" w:type="dxa"/>
                  </w:tcMar>
                </w:tcPr>
                <w:p w14:paraId="06B0C7B3" w14:textId="77777777" w:rsidR="00FA74E5" w:rsidRPr="001E2783" w:rsidRDefault="00E55AD5" w:rsidP="00970328">
                  <w:pPr>
                    <w:pStyle w:val="TableTextCentred"/>
                    <w:jc w:val="right"/>
                    <w:rPr>
                      <w:rFonts w:cs="Arial"/>
                      <w:sz w:val="20"/>
                    </w:rPr>
                  </w:pPr>
                  <w:r w:rsidRPr="001E2783">
                    <w:rPr>
                      <w:rFonts w:cs="Arial"/>
                      <w:sz w:val="20"/>
                    </w:rPr>
                    <w:t>69</w:t>
                  </w:r>
                </w:p>
              </w:tc>
              <w:tc>
                <w:tcPr>
                  <w:tcW w:w="1134" w:type="dxa"/>
                  <w:tcMar>
                    <w:top w:w="57" w:type="dxa"/>
                    <w:left w:w="57" w:type="dxa"/>
                    <w:bottom w:w="57" w:type="dxa"/>
                    <w:right w:w="57" w:type="dxa"/>
                  </w:tcMar>
                </w:tcPr>
                <w:p w14:paraId="46E9BFD2" w14:textId="77777777" w:rsidR="00FA74E5" w:rsidRPr="001E2783" w:rsidRDefault="00FA74E5" w:rsidP="00970328">
                  <w:pPr>
                    <w:pStyle w:val="TableTextCentred"/>
                    <w:jc w:val="right"/>
                    <w:rPr>
                      <w:rFonts w:cs="Arial"/>
                      <w:sz w:val="20"/>
                    </w:rPr>
                  </w:pPr>
                  <w:r w:rsidRPr="001E2783">
                    <w:rPr>
                      <w:rFonts w:cs="Arial"/>
                      <w:sz w:val="20"/>
                    </w:rPr>
                    <w:t>69</w:t>
                  </w:r>
                </w:p>
              </w:tc>
              <w:tc>
                <w:tcPr>
                  <w:tcW w:w="1134" w:type="dxa"/>
                  <w:tcMar>
                    <w:top w:w="57" w:type="dxa"/>
                    <w:left w:w="57" w:type="dxa"/>
                    <w:bottom w:w="57" w:type="dxa"/>
                    <w:right w:w="57" w:type="dxa"/>
                  </w:tcMar>
                </w:tcPr>
                <w:p w14:paraId="1070B20F" w14:textId="77777777" w:rsidR="00FA74E5" w:rsidRPr="001E2783" w:rsidRDefault="00E55AD5" w:rsidP="00970328">
                  <w:pPr>
                    <w:pStyle w:val="TableTextCentred"/>
                    <w:jc w:val="right"/>
                    <w:rPr>
                      <w:rFonts w:cs="Arial"/>
                      <w:sz w:val="20"/>
                    </w:rPr>
                  </w:pPr>
                  <w:r w:rsidRPr="001E2783">
                    <w:rPr>
                      <w:rFonts w:cs="Arial"/>
                      <w:sz w:val="20"/>
                    </w:rPr>
                    <w:t>311.4</w:t>
                  </w:r>
                </w:p>
              </w:tc>
              <w:tc>
                <w:tcPr>
                  <w:tcW w:w="1134" w:type="dxa"/>
                  <w:tcMar>
                    <w:top w:w="57" w:type="dxa"/>
                    <w:left w:w="57" w:type="dxa"/>
                    <w:bottom w:w="57" w:type="dxa"/>
                    <w:right w:w="57" w:type="dxa"/>
                  </w:tcMar>
                </w:tcPr>
                <w:p w14:paraId="4E6BA9F6" w14:textId="77777777" w:rsidR="00FA74E5" w:rsidRPr="001E2783" w:rsidRDefault="00E55AD5" w:rsidP="00970328">
                  <w:pPr>
                    <w:pStyle w:val="TableTextCentred"/>
                    <w:jc w:val="right"/>
                    <w:rPr>
                      <w:rFonts w:cs="Arial"/>
                      <w:sz w:val="20"/>
                    </w:rPr>
                  </w:pPr>
                  <w:r w:rsidRPr="001E2783">
                    <w:rPr>
                      <w:rFonts w:cs="Arial"/>
                      <w:sz w:val="20"/>
                    </w:rPr>
                    <w:t>294.8</w:t>
                  </w:r>
                </w:p>
              </w:tc>
              <w:tc>
                <w:tcPr>
                  <w:tcW w:w="997" w:type="dxa"/>
                  <w:tcMar>
                    <w:top w:w="57" w:type="dxa"/>
                    <w:left w:w="57" w:type="dxa"/>
                    <w:bottom w:w="57" w:type="dxa"/>
                    <w:right w:w="57" w:type="dxa"/>
                  </w:tcMar>
                </w:tcPr>
                <w:p w14:paraId="13642B45" w14:textId="77777777" w:rsidR="00FA74E5" w:rsidRPr="001E2783" w:rsidRDefault="00330FA4" w:rsidP="00970328">
                  <w:pPr>
                    <w:pStyle w:val="TableTextCentred"/>
                    <w:jc w:val="right"/>
                    <w:rPr>
                      <w:rFonts w:cs="Arial"/>
                      <w:sz w:val="20"/>
                    </w:rPr>
                  </w:pPr>
                  <w:r w:rsidRPr="001E2783">
                    <w:rPr>
                      <w:rFonts w:cs="Arial"/>
                      <w:sz w:val="20"/>
                    </w:rPr>
                    <w:t>144.56*</w:t>
                  </w:r>
                </w:p>
              </w:tc>
            </w:tr>
            <w:tr w:rsidR="001E2783" w:rsidRPr="001E2783" w14:paraId="695CFDFB" w14:textId="77777777" w:rsidTr="00977007">
              <w:trPr>
                <w:trHeight w:val="457"/>
              </w:trPr>
              <w:tc>
                <w:tcPr>
                  <w:tcW w:w="2677" w:type="dxa"/>
                  <w:tcMar>
                    <w:top w:w="57" w:type="dxa"/>
                    <w:left w:w="57" w:type="dxa"/>
                    <w:bottom w:w="57" w:type="dxa"/>
                    <w:right w:w="57" w:type="dxa"/>
                  </w:tcMar>
                </w:tcPr>
                <w:p w14:paraId="2215F783" w14:textId="77777777" w:rsidR="00FA74E5" w:rsidRPr="001E2783" w:rsidRDefault="00FA74E5" w:rsidP="00977007">
                  <w:pPr>
                    <w:pStyle w:val="TableTextLeft"/>
                    <w:rPr>
                      <w:rFonts w:cs="Arial"/>
                      <w:sz w:val="20"/>
                    </w:rPr>
                  </w:pPr>
                  <w:r w:rsidRPr="001E2783">
                    <w:rPr>
                      <w:rFonts w:cs="Arial"/>
                      <w:sz w:val="20"/>
                    </w:rPr>
                    <w:t>Less digital TV conversion rebate</w:t>
                  </w:r>
                </w:p>
              </w:tc>
              <w:tc>
                <w:tcPr>
                  <w:tcW w:w="1134" w:type="dxa"/>
                  <w:tcMar>
                    <w:top w:w="57" w:type="dxa"/>
                    <w:left w:w="57" w:type="dxa"/>
                    <w:bottom w:w="57" w:type="dxa"/>
                    <w:right w:w="57" w:type="dxa"/>
                  </w:tcMar>
                </w:tcPr>
                <w:p w14:paraId="3FC52964" w14:textId="77777777" w:rsidR="00FA74E5" w:rsidRPr="001E2783" w:rsidRDefault="00FA74E5" w:rsidP="00970328">
                  <w:pPr>
                    <w:pStyle w:val="TableTextCentred"/>
                    <w:jc w:val="right"/>
                    <w:rPr>
                      <w:rFonts w:cs="Arial"/>
                      <w:sz w:val="20"/>
                    </w:rPr>
                  </w:pPr>
                </w:p>
              </w:tc>
              <w:tc>
                <w:tcPr>
                  <w:tcW w:w="1134" w:type="dxa"/>
                  <w:tcMar>
                    <w:top w:w="57" w:type="dxa"/>
                    <w:left w:w="57" w:type="dxa"/>
                    <w:bottom w:w="57" w:type="dxa"/>
                    <w:right w:w="57" w:type="dxa"/>
                  </w:tcMar>
                </w:tcPr>
                <w:p w14:paraId="09D1C224" w14:textId="77777777" w:rsidR="00FA74E5" w:rsidRPr="001E2783" w:rsidRDefault="00FA74E5" w:rsidP="00970328">
                  <w:pPr>
                    <w:pStyle w:val="TableTextCentred"/>
                    <w:jc w:val="right"/>
                    <w:rPr>
                      <w:rFonts w:cs="Arial"/>
                      <w:sz w:val="20"/>
                    </w:rPr>
                  </w:pPr>
                </w:p>
              </w:tc>
              <w:tc>
                <w:tcPr>
                  <w:tcW w:w="1134" w:type="dxa"/>
                  <w:tcMar>
                    <w:top w:w="57" w:type="dxa"/>
                    <w:left w:w="57" w:type="dxa"/>
                    <w:bottom w:w="57" w:type="dxa"/>
                    <w:right w:w="57" w:type="dxa"/>
                  </w:tcMar>
                </w:tcPr>
                <w:p w14:paraId="4F118644" w14:textId="77777777" w:rsidR="00FA74E5" w:rsidRPr="001E2783" w:rsidRDefault="00FA74E5" w:rsidP="00970328">
                  <w:pPr>
                    <w:pStyle w:val="TableTextCentred"/>
                    <w:jc w:val="right"/>
                    <w:rPr>
                      <w:rFonts w:cs="Arial"/>
                      <w:sz w:val="20"/>
                    </w:rPr>
                  </w:pPr>
                </w:p>
              </w:tc>
              <w:tc>
                <w:tcPr>
                  <w:tcW w:w="1134" w:type="dxa"/>
                  <w:tcMar>
                    <w:top w:w="57" w:type="dxa"/>
                    <w:left w:w="57" w:type="dxa"/>
                    <w:bottom w:w="57" w:type="dxa"/>
                    <w:right w:w="57" w:type="dxa"/>
                  </w:tcMar>
                </w:tcPr>
                <w:p w14:paraId="6E58B877" w14:textId="77777777" w:rsidR="00FA74E5" w:rsidRPr="001E2783" w:rsidRDefault="00E55AD5" w:rsidP="00970328">
                  <w:pPr>
                    <w:pStyle w:val="TableTextCentred"/>
                    <w:jc w:val="right"/>
                    <w:rPr>
                      <w:rFonts w:cs="Arial"/>
                      <w:sz w:val="20"/>
                    </w:rPr>
                  </w:pPr>
                  <w:r w:rsidRPr="001E2783">
                    <w:rPr>
                      <w:rFonts w:cs="Arial"/>
                      <w:sz w:val="20"/>
                    </w:rPr>
                    <w:t>3.8</w:t>
                  </w:r>
                </w:p>
              </w:tc>
              <w:tc>
                <w:tcPr>
                  <w:tcW w:w="1134" w:type="dxa"/>
                  <w:tcMar>
                    <w:top w:w="57" w:type="dxa"/>
                    <w:left w:w="57" w:type="dxa"/>
                    <w:bottom w:w="57" w:type="dxa"/>
                    <w:right w:w="57" w:type="dxa"/>
                  </w:tcMar>
                </w:tcPr>
                <w:p w14:paraId="5CA99E4C" w14:textId="77777777" w:rsidR="00FA74E5" w:rsidRPr="001E2783" w:rsidRDefault="00E55AD5" w:rsidP="00970328">
                  <w:pPr>
                    <w:pStyle w:val="TableTextCentred"/>
                    <w:jc w:val="right"/>
                    <w:rPr>
                      <w:rFonts w:cs="Arial"/>
                      <w:sz w:val="20"/>
                    </w:rPr>
                  </w:pPr>
                  <w:r w:rsidRPr="001E2783">
                    <w:rPr>
                      <w:rFonts w:cs="Arial"/>
                      <w:sz w:val="20"/>
                    </w:rPr>
                    <w:t>2.3</w:t>
                  </w:r>
                </w:p>
              </w:tc>
              <w:tc>
                <w:tcPr>
                  <w:tcW w:w="997" w:type="dxa"/>
                  <w:tcMar>
                    <w:top w:w="57" w:type="dxa"/>
                    <w:left w:w="57" w:type="dxa"/>
                    <w:bottom w:w="57" w:type="dxa"/>
                    <w:right w:w="57" w:type="dxa"/>
                  </w:tcMar>
                </w:tcPr>
                <w:p w14:paraId="722AA731" w14:textId="77777777" w:rsidR="00FA74E5" w:rsidRPr="001E2783" w:rsidRDefault="00E55AD5" w:rsidP="00970328">
                  <w:pPr>
                    <w:pStyle w:val="TableTextCentred"/>
                    <w:jc w:val="right"/>
                    <w:rPr>
                      <w:rFonts w:cs="Arial"/>
                      <w:sz w:val="20"/>
                    </w:rPr>
                  </w:pPr>
                  <w:r w:rsidRPr="001E2783">
                    <w:rPr>
                      <w:rFonts w:cs="Arial"/>
                      <w:sz w:val="20"/>
                    </w:rPr>
                    <w:t>1.21</w:t>
                  </w:r>
                </w:p>
              </w:tc>
            </w:tr>
            <w:tr w:rsidR="001E2783" w:rsidRPr="001E2783" w14:paraId="761B5B98" w14:textId="77777777" w:rsidTr="00977007">
              <w:trPr>
                <w:trHeight w:val="481"/>
              </w:trPr>
              <w:tc>
                <w:tcPr>
                  <w:tcW w:w="2677" w:type="dxa"/>
                  <w:tcMar>
                    <w:top w:w="57" w:type="dxa"/>
                    <w:left w:w="57" w:type="dxa"/>
                    <w:bottom w:w="57" w:type="dxa"/>
                    <w:right w:w="57" w:type="dxa"/>
                  </w:tcMar>
                </w:tcPr>
                <w:p w14:paraId="2F8877B4" w14:textId="77777777" w:rsidR="00E55AD5" w:rsidRPr="001E2783" w:rsidRDefault="00E55AD5" w:rsidP="00977007">
                  <w:pPr>
                    <w:pStyle w:val="TableTextLeft"/>
                    <w:rPr>
                      <w:rFonts w:cs="Arial"/>
                      <w:sz w:val="20"/>
                    </w:rPr>
                  </w:pPr>
                  <w:r w:rsidRPr="001E2783">
                    <w:rPr>
                      <w:rFonts w:cs="Arial"/>
                      <w:sz w:val="20"/>
                    </w:rPr>
                    <w:t>Less broadcasting licence fee rebate</w:t>
                  </w:r>
                </w:p>
              </w:tc>
              <w:tc>
                <w:tcPr>
                  <w:tcW w:w="1134" w:type="dxa"/>
                  <w:tcMar>
                    <w:top w:w="57" w:type="dxa"/>
                    <w:left w:w="57" w:type="dxa"/>
                    <w:bottom w:w="57" w:type="dxa"/>
                    <w:right w:w="57" w:type="dxa"/>
                  </w:tcMar>
                </w:tcPr>
                <w:p w14:paraId="2164EEFD" w14:textId="77777777" w:rsidR="00E55AD5" w:rsidRPr="001E2783" w:rsidRDefault="00E55AD5" w:rsidP="00970328">
                  <w:pPr>
                    <w:pStyle w:val="TableTextCentred"/>
                    <w:jc w:val="right"/>
                    <w:rPr>
                      <w:rFonts w:cs="Arial"/>
                      <w:sz w:val="20"/>
                    </w:rPr>
                  </w:pPr>
                </w:p>
              </w:tc>
              <w:tc>
                <w:tcPr>
                  <w:tcW w:w="1134" w:type="dxa"/>
                  <w:tcMar>
                    <w:top w:w="57" w:type="dxa"/>
                    <w:left w:w="57" w:type="dxa"/>
                    <w:bottom w:w="57" w:type="dxa"/>
                    <w:right w:w="57" w:type="dxa"/>
                  </w:tcMar>
                </w:tcPr>
                <w:p w14:paraId="38311509" w14:textId="77777777" w:rsidR="00E55AD5" w:rsidRPr="001E2783" w:rsidRDefault="00E55AD5" w:rsidP="00970328">
                  <w:pPr>
                    <w:pStyle w:val="TableTextCentred"/>
                    <w:jc w:val="right"/>
                    <w:rPr>
                      <w:rFonts w:cs="Arial"/>
                      <w:sz w:val="20"/>
                    </w:rPr>
                  </w:pPr>
                </w:p>
              </w:tc>
              <w:tc>
                <w:tcPr>
                  <w:tcW w:w="1134" w:type="dxa"/>
                  <w:tcMar>
                    <w:top w:w="57" w:type="dxa"/>
                    <w:left w:w="57" w:type="dxa"/>
                    <w:bottom w:w="57" w:type="dxa"/>
                    <w:right w:w="57" w:type="dxa"/>
                  </w:tcMar>
                </w:tcPr>
                <w:p w14:paraId="4E00CBCA" w14:textId="77777777" w:rsidR="00E55AD5" w:rsidRPr="001E2783" w:rsidRDefault="00E55AD5" w:rsidP="00970328">
                  <w:pPr>
                    <w:pStyle w:val="TableTextCentred"/>
                    <w:jc w:val="right"/>
                    <w:rPr>
                      <w:rFonts w:cs="Arial"/>
                      <w:sz w:val="20"/>
                    </w:rPr>
                  </w:pPr>
                </w:p>
              </w:tc>
              <w:tc>
                <w:tcPr>
                  <w:tcW w:w="1134" w:type="dxa"/>
                  <w:tcMar>
                    <w:top w:w="57" w:type="dxa"/>
                    <w:left w:w="57" w:type="dxa"/>
                    <w:bottom w:w="57" w:type="dxa"/>
                    <w:right w:w="57" w:type="dxa"/>
                  </w:tcMar>
                </w:tcPr>
                <w:p w14:paraId="0F96F634" w14:textId="77777777" w:rsidR="00E55AD5" w:rsidRPr="001E2783" w:rsidRDefault="00E55AD5" w:rsidP="00970328">
                  <w:pPr>
                    <w:pStyle w:val="TableTextCentred"/>
                    <w:jc w:val="right"/>
                    <w:rPr>
                      <w:rFonts w:cs="Arial"/>
                      <w:sz w:val="20"/>
                    </w:rPr>
                  </w:pPr>
                  <w:r w:rsidRPr="001E2783">
                    <w:rPr>
                      <w:rFonts w:cs="Arial"/>
                      <w:sz w:val="20"/>
                    </w:rPr>
                    <w:t>153.8</w:t>
                  </w:r>
                </w:p>
              </w:tc>
              <w:tc>
                <w:tcPr>
                  <w:tcW w:w="1134" w:type="dxa"/>
                  <w:tcMar>
                    <w:top w:w="57" w:type="dxa"/>
                    <w:left w:w="57" w:type="dxa"/>
                    <w:bottom w:w="57" w:type="dxa"/>
                    <w:right w:w="57" w:type="dxa"/>
                  </w:tcMar>
                </w:tcPr>
                <w:p w14:paraId="2D6FD8FF" w14:textId="77777777" w:rsidR="00E55AD5" w:rsidRPr="001E2783" w:rsidRDefault="00E55AD5" w:rsidP="00970328">
                  <w:pPr>
                    <w:pStyle w:val="TableTextCentred"/>
                    <w:jc w:val="right"/>
                    <w:rPr>
                      <w:rFonts w:cs="Arial"/>
                      <w:sz w:val="20"/>
                    </w:rPr>
                  </w:pPr>
                  <w:r w:rsidRPr="001E2783">
                    <w:rPr>
                      <w:rFonts w:cs="Arial"/>
                      <w:sz w:val="20"/>
                    </w:rPr>
                    <w:t>143.4</w:t>
                  </w:r>
                </w:p>
              </w:tc>
              <w:tc>
                <w:tcPr>
                  <w:tcW w:w="997" w:type="dxa"/>
                  <w:tcMar>
                    <w:top w:w="57" w:type="dxa"/>
                    <w:left w:w="57" w:type="dxa"/>
                    <w:bottom w:w="57" w:type="dxa"/>
                    <w:right w:w="57" w:type="dxa"/>
                  </w:tcMar>
                </w:tcPr>
                <w:p w14:paraId="36E479A4" w14:textId="77777777" w:rsidR="00E55AD5" w:rsidRPr="001E2783" w:rsidRDefault="00E55AD5" w:rsidP="00970328">
                  <w:pPr>
                    <w:pStyle w:val="TableTextCentred"/>
                    <w:jc w:val="right"/>
                    <w:rPr>
                      <w:rFonts w:cs="Arial"/>
                      <w:sz w:val="20"/>
                    </w:rPr>
                  </w:pPr>
                  <w:r w:rsidRPr="001E2783">
                    <w:rPr>
                      <w:rFonts w:cs="Arial"/>
                      <w:sz w:val="20"/>
                    </w:rPr>
                    <w:t>n/a</w:t>
                  </w:r>
                  <w:r w:rsidR="00330FA4" w:rsidRPr="001E2783">
                    <w:rPr>
                      <w:rFonts w:cs="Arial"/>
                      <w:sz w:val="20"/>
                    </w:rPr>
                    <w:t>*</w:t>
                  </w:r>
                </w:p>
              </w:tc>
            </w:tr>
            <w:tr w:rsidR="001E2783" w:rsidRPr="001E2783" w14:paraId="51DC5279" w14:textId="77777777" w:rsidTr="00977007">
              <w:trPr>
                <w:trHeight w:val="481"/>
              </w:trPr>
              <w:tc>
                <w:tcPr>
                  <w:tcW w:w="2677" w:type="dxa"/>
                  <w:tcMar>
                    <w:top w:w="57" w:type="dxa"/>
                    <w:left w:w="57" w:type="dxa"/>
                    <w:bottom w:w="57" w:type="dxa"/>
                    <w:right w:w="57" w:type="dxa"/>
                  </w:tcMar>
                </w:tcPr>
                <w:p w14:paraId="1295E051" w14:textId="77777777" w:rsidR="00E55AD5" w:rsidRPr="001E2783" w:rsidRDefault="00E55AD5" w:rsidP="00977007">
                  <w:pPr>
                    <w:pStyle w:val="TableTextLeft"/>
                    <w:rPr>
                      <w:rFonts w:cs="Arial"/>
                      <w:sz w:val="20"/>
                    </w:rPr>
                  </w:pPr>
                  <w:r w:rsidRPr="001E2783">
                    <w:rPr>
                      <w:rFonts w:cs="Arial"/>
                      <w:sz w:val="20"/>
                    </w:rPr>
                    <w:t xml:space="preserve">TV licence fees </w:t>
                  </w:r>
                </w:p>
              </w:tc>
              <w:tc>
                <w:tcPr>
                  <w:tcW w:w="1134" w:type="dxa"/>
                  <w:tcMar>
                    <w:top w:w="57" w:type="dxa"/>
                    <w:left w:w="57" w:type="dxa"/>
                    <w:bottom w:w="57" w:type="dxa"/>
                    <w:right w:w="57" w:type="dxa"/>
                  </w:tcMar>
                </w:tcPr>
                <w:p w14:paraId="1ACB2DEA" w14:textId="77777777" w:rsidR="00E55AD5" w:rsidRPr="001E2783" w:rsidRDefault="00E55AD5" w:rsidP="00970328">
                  <w:pPr>
                    <w:pStyle w:val="TableTextCentred"/>
                    <w:jc w:val="right"/>
                    <w:rPr>
                      <w:rFonts w:cs="Arial"/>
                      <w:sz w:val="20"/>
                    </w:rPr>
                  </w:pPr>
                </w:p>
              </w:tc>
              <w:tc>
                <w:tcPr>
                  <w:tcW w:w="1134" w:type="dxa"/>
                  <w:tcMar>
                    <w:top w:w="57" w:type="dxa"/>
                    <w:left w:w="57" w:type="dxa"/>
                    <w:bottom w:w="57" w:type="dxa"/>
                    <w:right w:w="57" w:type="dxa"/>
                  </w:tcMar>
                </w:tcPr>
                <w:p w14:paraId="7FAD1D1B" w14:textId="77777777" w:rsidR="00E55AD5" w:rsidRPr="001E2783" w:rsidRDefault="00E55AD5" w:rsidP="00970328">
                  <w:pPr>
                    <w:pStyle w:val="TableTextCentred"/>
                    <w:jc w:val="right"/>
                    <w:rPr>
                      <w:rFonts w:cs="Arial"/>
                      <w:sz w:val="20"/>
                    </w:rPr>
                  </w:pPr>
                </w:p>
              </w:tc>
              <w:tc>
                <w:tcPr>
                  <w:tcW w:w="1134" w:type="dxa"/>
                  <w:tcMar>
                    <w:top w:w="57" w:type="dxa"/>
                    <w:left w:w="57" w:type="dxa"/>
                    <w:bottom w:w="57" w:type="dxa"/>
                    <w:right w:w="57" w:type="dxa"/>
                  </w:tcMar>
                </w:tcPr>
                <w:p w14:paraId="2F42905E" w14:textId="77777777" w:rsidR="00E55AD5" w:rsidRPr="001E2783" w:rsidRDefault="00E55AD5" w:rsidP="00970328">
                  <w:pPr>
                    <w:pStyle w:val="TableTextCentred"/>
                    <w:jc w:val="right"/>
                    <w:rPr>
                      <w:rFonts w:cs="Arial"/>
                      <w:sz w:val="20"/>
                    </w:rPr>
                  </w:pPr>
                </w:p>
              </w:tc>
              <w:tc>
                <w:tcPr>
                  <w:tcW w:w="1134" w:type="dxa"/>
                  <w:tcMar>
                    <w:top w:w="57" w:type="dxa"/>
                    <w:left w:w="57" w:type="dxa"/>
                    <w:bottom w:w="57" w:type="dxa"/>
                    <w:right w:w="57" w:type="dxa"/>
                  </w:tcMar>
                </w:tcPr>
                <w:p w14:paraId="27A92DDB" w14:textId="77777777" w:rsidR="00E55AD5" w:rsidRPr="001E2783" w:rsidRDefault="00E55AD5" w:rsidP="00970328">
                  <w:pPr>
                    <w:pStyle w:val="TableTextCentred"/>
                    <w:jc w:val="right"/>
                    <w:rPr>
                      <w:rFonts w:cs="Arial"/>
                      <w:sz w:val="20"/>
                    </w:rPr>
                  </w:pPr>
                  <w:r w:rsidRPr="001E2783">
                    <w:rPr>
                      <w:rFonts w:cs="Arial"/>
                      <w:sz w:val="20"/>
                    </w:rPr>
                    <w:t>153.8</w:t>
                  </w:r>
                </w:p>
              </w:tc>
              <w:tc>
                <w:tcPr>
                  <w:tcW w:w="1134" w:type="dxa"/>
                  <w:tcMar>
                    <w:top w:w="57" w:type="dxa"/>
                    <w:left w:w="57" w:type="dxa"/>
                    <w:bottom w:w="57" w:type="dxa"/>
                    <w:right w:w="57" w:type="dxa"/>
                  </w:tcMar>
                </w:tcPr>
                <w:p w14:paraId="2050FDE2" w14:textId="77777777" w:rsidR="00E55AD5" w:rsidRPr="001E2783" w:rsidRDefault="00E55AD5" w:rsidP="00970328">
                  <w:pPr>
                    <w:pStyle w:val="TableTextCentred"/>
                    <w:jc w:val="right"/>
                    <w:rPr>
                      <w:rFonts w:cs="Arial"/>
                      <w:sz w:val="20"/>
                    </w:rPr>
                  </w:pPr>
                  <w:r w:rsidRPr="001E2783">
                    <w:rPr>
                      <w:rFonts w:cs="Arial"/>
                      <w:sz w:val="20"/>
                    </w:rPr>
                    <w:t>149.2</w:t>
                  </w:r>
                </w:p>
              </w:tc>
              <w:tc>
                <w:tcPr>
                  <w:tcW w:w="997" w:type="dxa"/>
                  <w:tcMar>
                    <w:top w:w="57" w:type="dxa"/>
                    <w:left w:w="57" w:type="dxa"/>
                    <w:bottom w:w="57" w:type="dxa"/>
                    <w:right w:w="57" w:type="dxa"/>
                  </w:tcMar>
                </w:tcPr>
                <w:p w14:paraId="5E2879FA" w14:textId="77777777" w:rsidR="00E55AD5" w:rsidRPr="001E2783" w:rsidRDefault="00E55AD5" w:rsidP="00970328">
                  <w:pPr>
                    <w:pStyle w:val="TableTextCentred"/>
                    <w:jc w:val="right"/>
                    <w:rPr>
                      <w:rFonts w:cs="Arial"/>
                      <w:sz w:val="20"/>
                    </w:rPr>
                  </w:pPr>
                  <w:r w:rsidRPr="001E2783">
                    <w:rPr>
                      <w:rFonts w:cs="Arial"/>
                      <w:sz w:val="20"/>
                    </w:rPr>
                    <w:t>143.35</w:t>
                  </w:r>
                </w:p>
              </w:tc>
            </w:tr>
          </w:tbl>
          <w:p w14:paraId="0C54BFF5" w14:textId="77777777" w:rsidR="00CC119D" w:rsidRPr="001E2783" w:rsidRDefault="00CC119D" w:rsidP="00C902FF">
            <w:pPr>
              <w:ind w:left="720"/>
              <w:rPr>
                <w:rFonts w:cs="Arial"/>
              </w:rPr>
            </w:pPr>
          </w:p>
        </w:tc>
      </w:tr>
      <w:tr w:rsidR="00CC119D" w:rsidRPr="001E2783" w14:paraId="644008C4" w14:textId="77777777" w:rsidTr="00C902FF">
        <w:trPr>
          <w:trHeight w:val="93"/>
        </w:trPr>
        <w:tc>
          <w:tcPr>
            <w:tcW w:w="9656" w:type="dxa"/>
            <w:tcBorders>
              <w:bottom w:val="single" w:sz="2" w:space="0" w:color="505050"/>
            </w:tcBorders>
            <w:shd w:val="clear" w:color="auto" w:fill="auto"/>
          </w:tcPr>
          <w:p w14:paraId="102B3294" w14:textId="77777777" w:rsidR="00CC119D" w:rsidRPr="001E2783" w:rsidRDefault="006F3057" w:rsidP="00970328">
            <w:pPr>
              <w:spacing w:before="120"/>
              <w:rPr>
                <w:rFonts w:cs="Arial"/>
                <w:sz w:val="16"/>
                <w:szCs w:val="16"/>
              </w:rPr>
            </w:pPr>
            <w:r w:rsidRPr="001E2783">
              <w:rPr>
                <w:rFonts w:cs="Arial"/>
                <w:sz w:val="16"/>
                <w:szCs w:val="16"/>
              </w:rPr>
              <w:t>*</w:t>
            </w:r>
            <w:r w:rsidR="00330FA4" w:rsidRPr="001E2783">
              <w:rPr>
                <w:rFonts w:cs="Arial"/>
                <w:i/>
                <w:sz w:val="16"/>
                <w:szCs w:val="16"/>
              </w:rPr>
              <w:t xml:space="preserve">On 28 March 2013, the </w:t>
            </w:r>
            <w:r w:rsidR="00330FA4" w:rsidRPr="001E2783">
              <w:rPr>
                <w:rFonts w:cs="Arial"/>
                <w:sz w:val="16"/>
                <w:szCs w:val="16"/>
              </w:rPr>
              <w:t>Television Licence Fees Amendment Act 2013</w:t>
            </w:r>
            <w:r w:rsidR="00330FA4" w:rsidRPr="001E2783">
              <w:rPr>
                <w:rFonts w:cs="Arial"/>
                <w:i/>
                <w:sz w:val="16"/>
                <w:szCs w:val="16"/>
              </w:rPr>
              <w:t xml:space="preserve"> intro</w:t>
            </w:r>
            <w:r w:rsidRPr="001E2783">
              <w:rPr>
                <w:rFonts w:cs="Arial"/>
                <w:i/>
                <w:sz w:val="16"/>
                <w:szCs w:val="16"/>
              </w:rPr>
              <w:t>duced amendments to the TLF Act</w:t>
            </w:r>
            <w:r w:rsidR="00330FA4" w:rsidRPr="001E2783">
              <w:rPr>
                <w:rFonts w:cs="Arial"/>
                <w:i/>
                <w:sz w:val="16"/>
                <w:szCs w:val="16"/>
              </w:rPr>
              <w:t xml:space="preserve"> by permanently reducing the annual licence fee payable by a commercial t</w:t>
            </w:r>
            <w:r w:rsidRPr="001E2783">
              <w:rPr>
                <w:rFonts w:cs="Arial"/>
                <w:i/>
                <w:sz w:val="16"/>
                <w:szCs w:val="16"/>
              </w:rPr>
              <w:t>elevision broadcasting licensee</w:t>
            </w:r>
            <w:r w:rsidR="00330FA4" w:rsidRPr="001E2783">
              <w:rPr>
                <w:rFonts w:cs="Arial"/>
                <w:i/>
                <w:sz w:val="16"/>
                <w:szCs w:val="16"/>
              </w:rPr>
              <w:t xml:space="preserve"> by 50</w:t>
            </w:r>
            <w:r w:rsidRPr="001E2783">
              <w:rPr>
                <w:rFonts w:cs="Arial"/>
                <w:i/>
                <w:sz w:val="16"/>
                <w:szCs w:val="16"/>
              </w:rPr>
              <w:t xml:space="preserve"> per cent</w:t>
            </w:r>
            <w:r w:rsidR="00330FA4" w:rsidRPr="001E2783">
              <w:rPr>
                <w:rFonts w:cs="Arial"/>
                <w:i/>
                <w:sz w:val="16"/>
                <w:szCs w:val="16"/>
              </w:rPr>
              <w:t>, to a maximum of 4.5</w:t>
            </w:r>
            <w:r w:rsidRPr="001E2783">
              <w:rPr>
                <w:rFonts w:cs="Arial"/>
                <w:i/>
                <w:sz w:val="16"/>
                <w:szCs w:val="16"/>
              </w:rPr>
              <w:t xml:space="preserve"> per cent</w:t>
            </w:r>
            <w:r w:rsidR="00330FA4" w:rsidRPr="001E2783">
              <w:rPr>
                <w:rFonts w:cs="Arial"/>
                <w:i/>
                <w:sz w:val="16"/>
                <w:szCs w:val="16"/>
              </w:rPr>
              <w:t xml:space="preserve"> of their gross earnings. </w:t>
            </w:r>
            <w:r w:rsidRPr="001E2783">
              <w:rPr>
                <w:rFonts w:cs="Arial"/>
                <w:i/>
                <w:sz w:val="16"/>
                <w:szCs w:val="16"/>
              </w:rPr>
              <w:t>From the 2012–13 BLF return period onwards, t</w:t>
            </w:r>
            <w:r w:rsidR="00330FA4" w:rsidRPr="001E2783">
              <w:rPr>
                <w:rFonts w:cs="Arial"/>
                <w:i/>
                <w:sz w:val="16"/>
                <w:szCs w:val="16"/>
              </w:rPr>
              <w:t>he broadcasting licence fee rebate no longer exists.</w:t>
            </w:r>
          </w:p>
        </w:tc>
      </w:tr>
    </w:tbl>
    <w:p w14:paraId="079D3F78" w14:textId="77777777" w:rsidR="004D2A82" w:rsidRPr="001E2783" w:rsidRDefault="004D2A82" w:rsidP="005817A4">
      <w:pPr>
        <w:pStyle w:val="BodysubheaderH4"/>
        <w:rPr>
          <w:rFonts w:cs="Arial"/>
        </w:rPr>
      </w:pPr>
    </w:p>
    <w:p w14:paraId="3698802A" w14:textId="77777777" w:rsidR="005817A4" w:rsidRPr="001E2783" w:rsidRDefault="005817A4" w:rsidP="005817A4">
      <w:pPr>
        <w:pStyle w:val="BodysubheaderH4"/>
        <w:rPr>
          <w:rFonts w:cs="Arial"/>
        </w:rPr>
      </w:pPr>
      <w:r w:rsidRPr="001E2783">
        <w:rPr>
          <w:rFonts w:cs="Arial"/>
        </w:rPr>
        <w:t>Regional Equalisation Plan</w:t>
      </w:r>
    </w:p>
    <w:p w14:paraId="13798D1F" w14:textId="77777777" w:rsidR="005817A4" w:rsidRPr="001E2783" w:rsidRDefault="00E55AD5" w:rsidP="00E92E97">
      <w:pPr>
        <w:rPr>
          <w:rFonts w:cs="Arial"/>
        </w:rPr>
      </w:pPr>
      <w:r w:rsidRPr="001E2783">
        <w:rPr>
          <w:rFonts w:cs="Arial"/>
        </w:rPr>
        <w:t xml:space="preserve">The Australian Government introduced a Regional Equalisation Plan (REP) rebate scheme in 2000–01 to assist the rollout of digital television broadcasting services to regional and remote Australia. REP rebates against annual licence fees administered by the ACMA and, where necessary, supplementary grants administered by </w:t>
      </w:r>
      <w:r w:rsidR="00E65BD5" w:rsidRPr="001E2783">
        <w:rPr>
          <w:rFonts w:cs="Arial"/>
        </w:rPr>
        <w:t>DoC</w:t>
      </w:r>
      <w:r w:rsidRPr="001E2783">
        <w:rPr>
          <w:rFonts w:cs="Arial"/>
        </w:rPr>
        <w:t>, are claimable by broadcasters based on their area’s progress in rolling out digital television services</w:t>
      </w:r>
      <w:r w:rsidR="0030793B" w:rsidRPr="001E2783">
        <w:rPr>
          <w:rFonts w:cs="Arial"/>
        </w:rPr>
        <w:t>. The</w:t>
      </w:r>
      <w:r w:rsidRPr="001E2783">
        <w:rPr>
          <w:rFonts w:cs="Arial"/>
        </w:rPr>
        <w:t xml:space="preserve"> scheme </w:t>
      </w:r>
      <w:r w:rsidR="0030793B" w:rsidRPr="001E2783">
        <w:rPr>
          <w:rFonts w:cs="Arial"/>
        </w:rPr>
        <w:t>will end</w:t>
      </w:r>
      <w:r w:rsidR="00E92E97" w:rsidRPr="001E2783">
        <w:rPr>
          <w:rFonts w:cs="Arial"/>
        </w:rPr>
        <w:t xml:space="preserve"> on 31 </w:t>
      </w:r>
      <w:r w:rsidRPr="001E2783">
        <w:rPr>
          <w:rFonts w:cs="Arial"/>
        </w:rPr>
        <w:t>December 2017. Commercial television broadcasters clai</w:t>
      </w:r>
      <w:r w:rsidR="00E92E97" w:rsidRPr="001E2783">
        <w:rPr>
          <w:rFonts w:cs="Arial"/>
        </w:rPr>
        <w:t>med total REP rebates of $1.214 </w:t>
      </w:r>
      <w:r w:rsidRPr="001E2783">
        <w:rPr>
          <w:rFonts w:cs="Arial"/>
        </w:rPr>
        <w:t>million in 2013–14.</w:t>
      </w:r>
    </w:p>
    <w:p w14:paraId="3927AB24" w14:textId="77777777" w:rsidR="009E1745" w:rsidRPr="001E2783" w:rsidRDefault="009E1745" w:rsidP="009E1745">
      <w:pPr>
        <w:rPr>
          <w:rFonts w:cs="Arial"/>
        </w:rPr>
      </w:pPr>
    </w:p>
    <w:p w14:paraId="41DD457E" w14:textId="77777777" w:rsidR="00CC119D" w:rsidRPr="001E2783" w:rsidRDefault="00CC119D" w:rsidP="00CC119D">
      <w:pPr>
        <w:pStyle w:val="Heading2"/>
      </w:pPr>
      <w:bookmarkStart w:id="148" w:name="_Toc337727577"/>
      <w:bookmarkStart w:id="149" w:name="_Toc400018543"/>
      <w:r w:rsidRPr="001E2783">
        <w:t>Technical regulation</w:t>
      </w:r>
      <w:bookmarkEnd w:id="148"/>
      <w:r w:rsidR="00981E90" w:rsidRPr="001E2783">
        <w:t xml:space="preserve"> and related matters</w:t>
      </w:r>
      <w:bookmarkEnd w:id="149"/>
    </w:p>
    <w:p w14:paraId="60BFBC34" w14:textId="77777777" w:rsidR="00A8490B" w:rsidRPr="001E2783" w:rsidRDefault="00A8490B" w:rsidP="00A8490B">
      <w:pPr>
        <w:rPr>
          <w:rFonts w:cs="Arial"/>
        </w:rPr>
      </w:pPr>
      <w:r w:rsidRPr="001E2783">
        <w:rPr>
          <w:rFonts w:cs="Arial"/>
        </w:rPr>
        <w:t>The ACMA works closely with industry to foster self-regulation and supports it to develop technical standards that it may mandate, taking into consideration its obligations under the Telecommunications Act, Radiocommunications Act and BSA.</w:t>
      </w:r>
    </w:p>
    <w:p w14:paraId="36A3F108" w14:textId="77777777" w:rsidR="00A8490B" w:rsidRPr="001E2783" w:rsidRDefault="00A8490B" w:rsidP="00A8490B">
      <w:pPr>
        <w:rPr>
          <w:rFonts w:cs="Arial"/>
        </w:rPr>
      </w:pPr>
    </w:p>
    <w:p w14:paraId="4A628716" w14:textId="77777777" w:rsidR="00A8490B" w:rsidRPr="001E2783" w:rsidRDefault="00A8490B" w:rsidP="00A8490B">
      <w:pPr>
        <w:rPr>
          <w:rFonts w:cs="Arial"/>
        </w:rPr>
      </w:pPr>
      <w:r w:rsidRPr="001E2783">
        <w:rPr>
          <w:rFonts w:cs="Arial"/>
        </w:rPr>
        <w:t>To achieve desired policy outcomes, the ACMA can mandate technical standards. ACMA technical standards are predominantly given regulatory effect through compliance and labelling obligations placed on all suppliers of electrical and electronic equipment, including telecommunications and radiocommunications devices.</w:t>
      </w:r>
    </w:p>
    <w:p w14:paraId="40E54643" w14:textId="77777777" w:rsidR="00A8490B" w:rsidRPr="001E2783" w:rsidRDefault="00A8490B" w:rsidP="00A8490B">
      <w:pPr>
        <w:rPr>
          <w:rFonts w:cs="Arial"/>
        </w:rPr>
      </w:pPr>
    </w:p>
    <w:p w14:paraId="36C54810" w14:textId="77777777" w:rsidR="00A8490B" w:rsidRPr="001E2783" w:rsidRDefault="00A8490B" w:rsidP="00A8490B">
      <w:pPr>
        <w:rPr>
          <w:rFonts w:cs="Arial"/>
        </w:rPr>
      </w:pPr>
      <w:r w:rsidRPr="001E2783">
        <w:rPr>
          <w:rFonts w:cs="Arial"/>
        </w:rPr>
        <w:t>The Technical Advisory Group (TAG) is a consultative forum established and chaired by the ACMA</w:t>
      </w:r>
      <w:r w:rsidR="00395817" w:rsidRPr="001E2783">
        <w:rPr>
          <w:rFonts w:cs="Arial"/>
        </w:rPr>
        <w:t xml:space="preserve"> that</w:t>
      </w:r>
      <w:r w:rsidRPr="001E2783">
        <w:rPr>
          <w:rFonts w:cs="Arial"/>
        </w:rPr>
        <w:t xml:space="preserve"> includes representatives of </w:t>
      </w:r>
      <w:r w:rsidR="00B65E08" w:rsidRPr="001E2783">
        <w:rPr>
          <w:rFonts w:cs="Arial"/>
        </w:rPr>
        <w:t xml:space="preserve">industry associations, </w:t>
      </w:r>
      <w:r w:rsidRPr="001E2783">
        <w:rPr>
          <w:rFonts w:cs="Arial"/>
        </w:rPr>
        <w:t>consumer electronics suppliers, standards development organisations</w:t>
      </w:r>
      <w:r w:rsidR="00B65E08" w:rsidRPr="001E2783">
        <w:rPr>
          <w:rFonts w:cs="Arial"/>
        </w:rPr>
        <w:t>, consumer groups, government agencies</w:t>
      </w:r>
      <w:r w:rsidRPr="001E2783">
        <w:rPr>
          <w:rFonts w:cs="Arial"/>
        </w:rPr>
        <w:t xml:space="preserve"> and ACMA staff from technical regulation areas. The TAG meets on an ad hoc basis as agreed by the members when there are identified matters that require discussion by the group. In 2013</w:t>
      </w:r>
      <w:r w:rsidR="00395817" w:rsidRPr="001E2783">
        <w:rPr>
          <w:rFonts w:cs="Arial"/>
        </w:rPr>
        <w:t>–</w:t>
      </w:r>
      <w:r w:rsidRPr="001E2783">
        <w:rPr>
          <w:rFonts w:cs="Arial"/>
        </w:rPr>
        <w:t>14, the TAG discussed future arrangements for manag</w:t>
      </w:r>
      <w:r w:rsidR="00395817" w:rsidRPr="001E2783">
        <w:rPr>
          <w:rFonts w:cs="Arial"/>
        </w:rPr>
        <w:t>ing quality-of-</w:t>
      </w:r>
      <w:r w:rsidRPr="001E2783">
        <w:rPr>
          <w:rFonts w:cs="Arial"/>
        </w:rPr>
        <w:t xml:space="preserve">service for voice telephony services. TAG members also provided feedback on a Communications Alliance proposal for an Industry Guidance Note to </w:t>
      </w:r>
      <w:r w:rsidR="00395817" w:rsidRPr="001E2783">
        <w:rPr>
          <w:rFonts w:cs="Arial"/>
        </w:rPr>
        <w:t>help</w:t>
      </w:r>
      <w:r w:rsidRPr="001E2783">
        <w:rPr>
          <w:rFonts w:cs="Arial"/>
        </w:rPr>
        <w:t xml:space="preserve"> consumers </w:t>
      </w:r>
      <w:r w:rsidR="00395817" w:rsidRPr="001E2783">
        <w:rPr>
          <w:rFonts w:cs="Arial"/>
        </w:rPr>
        <w:t>understand</w:t>
      </w:r>
      <w:r w:rsidRPr="001E2783">
        <w:rPr>
          <w:rFonts w:cs="Arial"/>
        </w:rPr>
        <w:t xml:space="preserve"> the technical capability of different voice services.</w:t>
      </w:r>
    </w:p>
    <w:p w14:paraId="496A71D7" w14:textId="77777777" w:rsidR="00A8490B" w:rsidRPr="001E2783" w:rsidRDefault="00A8490B" w:rsidP="00A8490B">
      <w:pPr>
        <w:rPr>
          <w:rFonts w:cs="Arial"/>
        </w:rPr>
      </w:pPr>
    </w:p>
    <w:p w14:paraId="139E31C1" w14:textId="77777777" w:rsidR="00CC119D" w:rsidRPr="001E2783" w:rsidRDefault="00CC119D" w:rsidP="00CC119D">
      <w:pPr>
        <w:pStyle w:val="Heading3"/>
        <w:keepNext w:val="0"/>
      </w:pPr>
      <w:bookmarkStart w:id="150" w:name="_Toc337727578"/>
      <w:bookmarkStart w:id="151" w:name="_Toc400018544"/>
      <w:r w:rsidRPr="001E2783">
        <w:t>Regulatory arrangements—technical standards and labelling notices</w:t>
      </w:r>
      <w:bookmarkEnd w:id="150"/>
      <w:bookmarkEnd w:id="151"/>
    </w:p>
    <w:p w14:paraId="36E77B20" w14:textId="77777777" w:rsidR="00CC119D" w:rsidRPr="001E2783" w:rsidRDefault="00CC119D" w:rsidP="00CC119D">
      <w:pPr>
        <w:rPr>
          <w:rFonts w:cs="Arial"/>
        </w:rPr>
      </w:pPr>
      <w:r w:rsidRPr="001E2783">
        <w:rPr>
          <w:rFonts w:cs="Arial"/>
        </w:rPr>
        <w:t>The ACMA administers mandatory regulatory arrangements that require specified items of equipment to meet industry-developed standards.</w:t>
      </w:r>
    </w:p>
    <w:p w14:paraId="696B5570" w14:textId="77777777" w:rsidR="00CC119D" w:rsidRPr="001E2783" w:rsidRDefault="00CC119D" w:rsidP="00CC119D">
      <w:pPr>
        <w:rPr>
          <w:rFonts w:cs="Arial"/>
        </w:rPr>
      </w:pPr>
    </w:p>
    <w:p w14:paraId="55B98938" w14:textId="77777777" w:rsidR="00CC119D" w:rsidRPr="001E2783" w:rsidRDefault="00CC119D" w:rsidP="00CC119D">
      <w:pPr>
        <w:spacing w:after="80"/>
        <w:rPr>
          <w:rFonts w:cs="Arial"/>
        </w:rPr>
      </w:pPr>
      <w:r w:rsidRPr="001E2783">
        <w:rPr>
          <w:rFonts w:cs="Arial"/>
        </w:rPr>
        <w:t>Under these arrangements, the ACMA may require suppliers—Australian manufacturers, importers or their agents—to:</w:t>
      </w:r>
    </w:p>
    <w:p w14:paraId="49D219E3" w14:textId="77777777" w:rsidR="00CC119D" w:rsidRPr="001E2783" w:rsidRDefault="00CC119D" w:rsidP="00CC119D">
      <w:pPr>
        <w:pStyle w:val="ListBullet"/>
        <w:ind w:left="284"/>
        <w:rPr>
          <w:rFonts w:cs="Arial"/>
        </w:rPr>
      </w:pPr>
      <w:r w:rsidRPr="001E2783">
        <w:rPr>
          <w:rFonts w:cs="Arial"/>
        </w:rPr>
        <w:t>ensure equipment subject to mandatory regulatory arrangements complies with technical standards</w:t>
      </w:r>
    </w:p>
    <w:p w14:paraId="1C37EC90" w14:textId="77777777" w:rsidR="00CC119D" w:rsidRPr="001E2783" w:rsidRDefault="00CC119D" w:rsidP="00CC119D">
      <w:pPr>
        <w:pStyle w:val="ListBullet"/>
        <w:ind w:left="284"/>
        <w:rPr>
          <w:rFonts w:cs="Arial"/>
        </w:rPr>
      </w:pPr>
      <w:r w:rsidRPr="001E2783">
        <w:rPr>
          <w:rFonts w:cs="Arial"/>
        </w:rPr>
        <w:t>apply compliance labels to those items where appropriate</w:t>
      </w:r>
    </w:p>
    <w:p w14:paraId="287B14A6" w14:textId="77777777" w:rsidR="00CC119D" w:rsidRPr="001E2783" w:rsidRDefault="00CC119D" w:rsidP="00CC119D">
      <w:pPr>
        <w:pStyle w:val="ListBullet"/>
        <w:spacing w:after="240"/>
        <w:ind w:left="284"/>
        <w:rPr>
          <w:rFonts w:cs="Arial"/>
        </w:rPr>
      </w:pPr>
      <w:r w:rsidRPr="001E2783">
        <w:rPr>
          <w:rFonts w:cs="Arial"/>
        </w:rPr>
        <w:t>keep appropriate records.</w:t>
      </w:r>
    </w:p>
    <w:p w14:paraId="14D3F0F6" w14:textId="77777777" w:rsidR="00CC119D" w:rsidRPr="001E2783" w:rsidRDefault="00CC119D" w:rsidP="00A8490B">
      <w:pPr>
        <w:keepNext/>
        <w:spacing w:after="80"/>
        <w:rPr>
          <w:rFonts w:cs="Arial"/>
        </w:rPr>
      </w:pPr>
      <w:r w:rsidRPr="001E2783">
        <w:rPr>
          <w:rFonts w:cs="Arial"/>
        </w:rPr>
        <w:t xml:space="preserve">The ACMA administers </w:t>
      </w:r>
      <w:r w:rsidR="00A8490B" w:rsidRPr="001E2783">
        <w:rPr>
          <w:rFonts w:cs="Arial"/>
        </w:rPr>
        <w:t>five regulatory arrangements</w:t>
      </w:r>
      <w:r w:rsidRPr="001E2783">
        <w:rPr>
          <w:rFonts w:cs="Arial"/>
        </w:rPr>
        <w:t>:</w:t>
      </w:r>
    </w:p>
    <w:p w14:paraId="21CFB9E0" w14:textId="77777777" w:rsidR="00A8490B" w:rsidRPr="001E2783" w:rsidRDefault="00A8490B" w:rsidP="00A8490B">
      <w:pPr>
        <w:pStyle w:val="ListBullet"/>
        <w:rPr>
          <w:rFonts w:cs="Arial"/>
        </w:rPr>
      </w:pPr>
      <w:r w:rsidRPr="001E2783">
        <w:rPr>
          <w:rFonts w:cs="Arial"/>
        </w:rPr>
        <w:t>telecommunications regulatory arrangements, which specify requirements for telecommunications customer equipment and customer cabling</w:t>
      </w:r>
    </w:p>
    <w:p w14:paraId="391A9C2B" w14:textId="77777777" w:rsidR="00A8490B" w:rsidRPr="001E2783" w:rsidRDefault="00A8490B" w:rsidP="00A8490B">
      <w:pPr>
        <w:pStyle w:val="ListBullet"/>
        <w:rPr>
          <w:rFonts w:cs="Arial"/>
        </w:rPr>
      </w:pPr>
      <w:r w:rsidRPr="001E2783">
        <w:rPr>
          <w:rFonts w:cs="Arial"/>
        </w:rPr>
        <w:t>radiocommunications regulatory arrangements, which specify requirements for radiocommunications transmitters</w:t>
      </w:r>
    </w:p>
    <w:p w14:paraId="4CE5F6A3" w14:textId="77777777" w:rsidR="00A8490B" w:rsidRPr="001E2783" w:rsidRDefault="00A8490B" w:rsidP="00A8490B">
      <w:pPr>
        <w:pStyle w:val="ListBullet"/>
        <w:rPr>
          <w:rFonts w:cs="Arial"/>
        </w:rPr>
      </w:pPr>
      <w:r w:rsidRPr="001E2783">
        <w:rPr>
          <w:rFonts w:cs="Arial"/>
        </w:rPr>
        <w:t>electromagnetic compatibility (EMC) regulatory arrangements, which specify electromagnetic emission requirements for electrical and electronic devices to limit unintended radiation</w:t>
      </w:r>
    </w:p>
    <w:p w14:paraId="2D339CF7" w14:textId="77777777" w:rsidR="00A8490B" w:rsidRPr="001E2783" w:rsidRDefault="00A8490B" w:rsidP="00A8490B">
      <w:pPr>
        <w:pStyle w:val="ListBullet"/>
        <w:rPr>
          <w:rFonts w:cs="Arial"/>
        </w:rPr>
      </w:pPr>
      <w:r w:rsidRPr="001E2783">
        <w:rPr>
          <w:rFonts w:cs="Arial"/>
        </w:rPr>
        <w:t>electromagnetic energy (EME) regulatory arrangements, which set health exposure limits on emissions from radiocommunications transmitters</w:t>
      </w:r>
    </w:p>
    <w:p w14:paraId="301969BA" w14:textId="77777777" w:rsidR="00A8490B" w:rsidRPr="001E2783" w:rsidRDefault="00A8490B" w:rsidP="00A8490B">
      <w:pPr>
        <w:pStyle w:val="ListBullet"/>
        <w:spacing w:after="240"/>
        <w:rPr>
          <w:rFonts w:cs="Arial"/>
          <w:b/>
          <w:i/>
        </w:rPr>
      </w:pPr>
      <w:r w:rsidRPr="001E2783">
        <w:rPr>
          <w:rFonts w:cs="Arial"/>
        </w:rPr>
        <w:t xml:space="preserve">broadcasting regulatory arrangements, which can specify technical standards for specified digital broadcasting equipment and domestic digital receivers. </w:t>
      </w:r>
    </w:p>
    <w:p w14:paraId="59F9CEAC" w14:textId="77777777" w:rsidR="001F2262" w:rsidRPr="001E2783" w:rsidRDefault="001F2262" w:rsidP="00A8490B">
      <w:pPr>
        <w:pStyle w:val="BodysubheaderH4"/>
        <w:rPr>
          <w:rFonts w:cs="Arial"/>
        </w:rPr>
      </w:pPr>
      <w:r w:rsidRPr="001E2783">
        <w:rPr>
          <w:rFonts w:cs="Arial"/>
        </w:rPr>
        <w:t>Labelling notices</w:t>
      </w:r>
    </w:p>
    <w:p w14:paraId="5F7A8EF9" w14:textId="77777777" w:rsidR="001F2262" w:rsidRPr="001E2783" w:rsidRDefault="001F2262" w:rsidP="00A8490B">
      <w:pPr>
        <w:rPr>
          <w:rFonts w:cs="Arial"/>
        </w:rPr>
      </w:pPr>
      <w:r w:rsidRPr="001E2783">
        <w:rPr>
          <w:rFonts w:cs="Arial"/>
        </w:rPr>
        <w:t>The ACMA’s four labelling notices require suppliers to apply a regulatory compliance label to specified devices to illustrate compliance with the requirements of the relevant notice.</w:t>
      </w:r>
      <w:r w:rsidRPr="001E2783">
        <w:rPr>
          <w:rStyle w:val="FootnoteReference"/>
          <w:rFonts w:cs="Arial"/>
        </w:rPr>
        <w:footnoteReference w:id="5"/>
      </w:r>
      <w:r w:rsidRPr="001E2783">
        <w:rPr>
          <w:rFonts w:cs="Arial"/>
        </w:rPr>
        <w:t xml:space="preserve"> </w:t>
      </w:r>
    </w:p>
    <w:p w14:paraId="7BCBD546" w14:textId="77777777" w:rsidR="00960FAF" w:rsidRPr="001E2783" w:rsidRDefault="00960FAF" w:rsidP="001F2262">
      <w:pPr>
        <w:rPr>
          <w:rFonts w:cs="Arial"/>
        </w:rPr>
      </w:pPr>
    </w:p>
    <w:p w14:paraId="55C1D112" w14:textId="77777777" w:rsidR="00A8490B" w:rsidRPr="001E2783" w:rsidRDefault="00A8490B" w:rsidP="00A8490B">
      <w:pPr>
        <w:rPr>
          <w:rFonts w:cs="Arial"/>
        </w:rPr>
      </w:pPr>
      <w:r w:rsidRPr="001E2783">
        <w:rPr>
          <w:rFonts w:cs="Arial"/>
        </w:rPr>
        <w:t xml:space="preserve">In 2012–13, the ACMA </w:t>
      </w:r>
      <w:r w:rsidR="00317690" w:rsidRPr="001E2783">
        <w:rPr>
          <w:rFonts w:cs="Arial"/>
        </w:rPr>
        <w:t>began</w:t>
      </w:r>
      <w:r w:rsidRPr="001E2783">
        <w:rPr>
          <w:rFonts w:cs="Arial"/>
        </w:rPr>
        <w:t xml:space="preserve"> a review of the Telecommunications (Customer Equipment and Customer Cabling) Labelling Notice 2001 (the TLN).</w:t>
      </w:r>
      <w:r w:rsidR="008F09AB" w:rsidRPr="001E2783">
        <w:rPr>
          <w:rFonts w:cs="Arial"/>
        </w:rPr>
        <w:t xml:space="preserve"> During 2013–14, the ACMA consulted informally to develop its understanding of industry needs</w:t>
      </w:r>
      <w:r w:rsidR="006476D5" w:rsidRPr="001E2783">
        <w:rPr>
          <w:rFonts w:cs="Arial"/>
        </w:rPr>
        <w:t xml:space="preserve"> and </w:t>
      </w:r>
      <w:r w:rsidR="008F09AB" w:rsidRPr="001E2783">
        <w:rPr>
          <w:rFonts w:cs="Arial"/>
        </w:rPr>
        <w:t>contribute to the development of a public consultation paper that includes a proposed revised TLN expected to be published early in the next reporting period.</w:t>
      </w:r>
      <w:r w:rsidRPr="001E2783">
        <w:rPr>
          <w:rFonts w:cs="Arial"/>
        </w:rPr>
        <w:t xml:space="preserve"> The </w:t>
      </w:r>
      <w:r w:rsidR="00317690" w:rsidRPr="001E2783">
        <w:rPr>
          <w:rFonts w:cs="Arial"/>
        </w:rPr>
        <w:t xml:space="preserve">purpose </w:t>
      </w:r>
      <w:r w:rsidR="008F09AB" w:rsidRPr="001E2783">
        <w:rPr>
          <w:rFonts w:cs="Arial"/>
        </w:rPr>
        <w:t>of the consultation includes a review of</w:t>
      </w:r>
      <w:r w:rsidRPr="001E2783">
        <w:rPr>
          <w:rFonts w:cs="Arial"/>
        </w:rPr>
        <w:t xml:space="preserve"> definitions and underlying concepts included in the TLN, and how th</w:t>
      </w:r>
      <w:r w:rsidR="00317690" w:rsidRPr="001E2783">
        <w:rPr>
          <w:rFonts w:cs="Arial"/>
        </w:rPr>
        <w:t>ey</w:t>
      </w:r>
      <w:r w:rsidRPr="001E2783">
        <w:rPr>
          <w:rFonts w:cs="Arial"/>
        </w:rPr>
        <w:t xml:space="preserve"> apply to the contemporary communications environment. Under the </w:t>
      </w:r>
      <w:r w:rsidR="00317690" w:rsidRPr="001E2783">
        <w:rPr>
          <w:rFonts w:cs="Arial"/>
        </w:rPr>
        <w:t>LIA</w:t>
      </w:r>
      <w:r w:rsidR="00E92E97" w:rsidRPr="001E2783">
        <w:rPr>
          <w:rFonts w:cs="Arial"/>
        </w:rPr>
        <w:t>, the TLN is due to sunset on 1 </w:t>
      </w:r>
      <w:r w:rsidRPr="001E2783">
        <w:rPr>
          <w:rFonts w:cs="Arial"/>
        </w:rPr>
        <w:t>April 2015. A number of ACMA technical standards are also</w:t>
      </w:r>
      <w:r w:rsidR="00E92E97" w:rsidRPr="001E2783">
        <w:rPr>
          <w:rFonts w:cs="Arial"/>
        </w:rPr>
        <w:t xml:space="preserve"> due to sunset on 1 </w:t>
      </w:r>
      <w:r w:rsidR="008F09AB" w:rsidRPr="001E2783">
        <w:rPr>
          <w:rFonts w:cs="Arial"/>
        </w:rPr>
        <w:t>April and 1 </w:t>
      </w:r>
      <w:r w:rsidRPr="001E2783">
        <w:rPr>
          <w:rFonts w:cs="Arial"/>
        </w:rPr>
        <w:t>October 2015.</w:t>
      </w:r>
    </w:p>
    <w:p w14:paraId="077E7616" w14:textId="77777777" w:rsidR="00A8490B" w:rsidRPr="001E2783" w:rsidRDefault="00A8490B" w:rsidP="00A8490B">
      <w:pPr>
        <w:rPr>
          <w:rFonts w:cs="Arial"/>
        </w:rPr>
      </w:pPr>
    </w:p>
    <w:p w14:paraId="1984D59A" w14:textId="77777777" w:rsidR="00A8490B" w:rsidRPr="001E2783" w:rsidRDefault="00A8490B" w:rsidP="00970328">
      <w:pPr>
        <w:keepLines/>
        <w:rPr>
          <w:rFonts w:cs="Arial"/>
        </w:rPr>
      </w:pPr>
      <w:r w:rsidRPr="001E2783">
        <w:rPr>
          <w:rFonts w:cs="Arial"/>
        </w:rPr>
        <w:t xml:space="preserve">The TLN review is considering the impact of changes in the supply market for communications products, changes in technology (including the emergence of equipment that operates across multiple platforms and technologies) and the rollout of optical-fibre infrastructure. While structural changes to the TLN will be significant as the arrangements are made more contemporary, requirements to comply with technical standards, apply labels and maintain specified records are expected to remain.  </w:t>
      </w:r>
    </w:p>
    <w:p w14:paraId="180343D9" w14:textId="77777777" w:rsidR="00A8490B" w:rsidRPr="001E2783" w:rsidRDefault="00A8490B" w:rsidP="00A8490B">
      <w:pPr>
        <w:rPr>
          <w:rFonts w:cs="Arial"/>
        </w:rPr>
      </w:pPr>
    </w:p>
    <w:p w14:paraId="504E9993" w14:textId="5AA09A46" w:rsidR="001F2262" w:rsidRPr="001E2783" w:rsidRDefault="00A8490B" w:rsidP="00A8490B">
      <w:pPr>
        <w:rPr>
          <w:rFonts w:cs="Arial"/>
        </w:rPr>
      </w:pPr>
      <w:r w:rsidRPr="001E2783">
        <w:rPr>
          <w:rFonts w:cs="Arial"/>
        </w:rPr>
        <w:t>The TLN review will be completed by</w:t>
      </w:r>
      <w:r w:rsidR="0071662D" w:rsidRPr="001E2783">
        <w:rPr>
          <w:rFonts w:cs="Arial"/>
        </w:rPr>
        <w:t xml:space="preserve"> the fourth quarter of </w:t>
      </w:r>
      <w:r w:rsidRPr="001E2783">
        <w:rPr>
          <w:rFonts w:cs="Arial"/>
        </w:rPr>
        <w:t>2014</w:t>
      </w:r>
      <w:r w:rsidR="00317690" w:rsidRPr="001E2783">
        <w:rPr>
          <w:rFonts w:cs="Arial"/>
        </w:rPr>
        <w:t>, so that</w:t>
      </w:r>
      <w:r w:rsidRPr="001E2783">
        <w:rPr>
          <w:rFonts w:cs="Arial"/>
        </w:rPr>
        <w:t xml:space="preserve"> the arrangement continues uninterrupted after the </w:t>
      </w:r>
      <w:r w:rsidR="00970328" w:rsidRPr="001E2783">
        <w:rPr>
          <w:rFonts w:cs="Arial"/>
        </w:rPr>
        <w:t>sunsetting date in April 2015.</w:t>
      </w:r>
    </w:p>
    <w:p w14:paraId="726669A7" w14:textId="77777777" w:rsidR="00A8490B" w:rsidRPr="001E2783" w:rsidRDefault="00A8490B" w:rsidP="00A8490B">
      <w:pPr>
        <w:rPr>
          <w:rFonts w:cs="Arial"/>
        </w:rPr>
      </w:pPr>
    </w:p>
    <w:p w14:paraId="5DF00FEC" w14:textId="77777777" w:rsidR="001F2262" w:rsidRPr="001E2783" w:rsidRDefault="001F2262" w:rsidP="001F2262">
      <w:pPr>
        <w:pStyle w:val="BodysubheaderH4"/>
        <w:rPr>
          <w:rFonts w:cs="Arial"/>
        </w:rPr>
      </w:pPr>
      <w:r w:rsidRPr="001E2783">
        <w:rPr>
          <w:rFonts w:cs="Arial"/>
        </w:rPr>
        <w:t>Technical standards, codes and guidelines</w:t>
      </w:r>
    </w:p>
    <w:p w14:paraId="5D9FAC12" w14:textId="77777777" w:rsidR="00A8490B" w:rsidRPr="001E2783" w:rsidRDefault="00A8490B" w:rsidP="00A8490B">
      <w:pPr>
        <w:rPr>
          <w:rFonts w:cs="Arial"/>
        </w:rPr>
      </w:pPr>
      <w:r w:rsidRPr="001E2783">
        <w:rPr>
          <w:rFonts w:cs="Arial"/>
        </w:rPr>
        <w:t>The ACMA participates in Communications Alliance reference panels and working committees and Standards Aust</w:t>
      </w:r>
      <w:r w:rsidR="00317690" w:rsidRPr="001E2783">
        <w:rPr>
          <w:rFonts w:cs="Arial"/>
        </w:rPr>
        <w:t>ralia technical committees to confirm</w:t>
      </w:r>
      <w:r w:rsidRPr="001E2783">
        <w:rPr>
          <w:rFonts w:cs="Arial"/>
        </w:rPr>
        <w:t xml:space="preserve"> that technical standards and guidelines that are adopted or referenced in its regulatory arrangements meet the minimum necessary requirements for technical regulation. </w:t>
      </w:r>
    </w:p>
    <w:p w14:paraId="5199187D" w14:textId="77777777" w:rsidR="00A8490B" w:rsidRPr="001E2783" w:rsidRDefault="00A8490B" w:rsidP="00A8490B">
      <w:pPr>
        <w:rPr>
          <w:rFonts w:cs="Arial"/>
        </w:rPr>
      </w:pPr>
    </w:p>
    <w:p w14:paraId="794D471A" w14:textId="77777777" w:rsidR="00A8490B" w:rsidRPr="001E2783" w:rsidRDefault="00A8490B" w:rsidP="00A8490B">
      <w:pPr>
        <w:rPr>
          <w:rFonts w:cs="Arial"/>
        </w:rPr>
      </w:pPr>
      <w:r w:rsidRPr="001E2783">
        <w:rPr>
          <w:rFonts w:cs="Arial"/>
        </w:rPr>
        <w:t>The ACMA only mandates a standard that is suitable for adoption under the ACMA heads of power for the relevant arrangement—for example, health and safety, access to emergency call services, radiofrequency interference and network integrity. These are identified within the various Acts under which a standard is made. The ACMA may also choose to determine a standard in response to a ministerial direction on the general exercise of its powers in relation to broadcasting, content and datacasting functions, in accordance with se</w:t>
      </w:r>
      <w:r w:rsidR="00E92E97" w:rsidRPr="001E2783">
        <w:rPr>
          <w:rFonts w:cs="Arial"/>
        </w:rPr>
        <w:t>ction </w:t>
      </w:r>
      <w:r w:rsidRPr="001E2783">
        <w:rPr>
          <w:rFonts w:cs="Arial"/>
        </w:rPr>
        <w:t xml:space="preserve">14 of the ACMA Act. </w:t>
      </w:r>
    </w:p>
    <w:p w14:paraId="24ADAC87" w14:textId="77777777" w:rsidR="00A8490B" w:rsidRPr="001E2783" w:rsidRDefault="00A8490B" w:rsidP="00A8490B">
      <w:pPr>
        <w:rPr>
          <w:rFonts w:cs="Arial"/>
        </w:rPr>
      </w:pPr>
    </w:p>
    <w:p w14:paraId="35C08917" w14:textId="77777777" w:rsidR="00A8490B" w:rsidRPr="001E2783" w:rsidRDefault="006476D5" w:rsidP="00A8490B">
      <w:pPr>
        <w:rPr>
          <w:rFonts w:cs="Arial"/>
        </w:rPr>
      </w:pPr>
      <w:r w:rsidRPr="001E2783">
        <w:rPr>
          <w:rFonts w:cs="Arial"/>
        </w:rPr>
        <w:t>During the reporting period, the ACMA participated in two Communications Alliance Reference Panels, one Communications Alliance Committee, one Communications Alliance Working Group, nine Standards Australia Committees and two industry advisory groups.</w:t>
      </w:r>
    </w:p>
    <w:p w14:paraId="36580D39" w14:textId="77777777" w:rsidR="006476D5" w:rsidRPr="001E2783" w:rsidRDefault="006476D5" w:rsidP="00A8490B">
      <w:pPr>
        <w:rPr>
          <w:rFonts w:cs="Arial"/>
        </w:rPr>
      </w:pPr>
    </w:p>
    <w:p w14:paraId="6B0023B0" w14:textId="77777777" w:rsidR="001F2262" w:rsidRPr="001E2783" w:rsidRDefault="001F2262" w:rsidP="00F641B3">
      <w:pPr>
        <w:pStyle w:val="Heading3"/>
      </w:pPr>
      <w:bookmarkStart w:id="152" w:name="_Toc337727579"/>
      <w:bookmarkStart w:id="153" w:name="_Toc400018545"/>
      <w:r w:rsidRPr="001E2783">
        <w:t>Telecommunications standards</w:t>
      </w:r>
      <w:bookmarkEnd w:id="152"/>
      <w:bookmarkEnd w:id="153"/>
    </w:p>
    <w:p w14:paraId="7F660AEC" w14:textId="77777777" w:rsidR="00A8490B" w:rsidRPr="001E2783" w:rsidRDefault="00A8490B" w:rsidP="00A8490B">
      <w:pPr>
        <w:rPr>
          <w:rFonts w:cs="Arial"/>
        </w:rPr>
      </w:pPr>
      <w:r w:rsidRPr="001E2783">
        <w:rPr>
          <w:rFonts w:cs="Arial"/>
        </w:rPr>
        <w:t xml:space="preserve">The ACMA’s mandatory technical standards for customer equipment are underpinned by technical standards developed by Communications Alliance and Standards Australia. </w:t>
      </w:r>
    </w:p>
    <w:p w14:paraId="08BE06D5" w14:textId="77777777" w:rsidR="00A8490B" w:rsidRPr="001E2783" w:rsidRDefault="00A8490B" w:rsidP="00A8490B">
      <w:pPr>
        <w:rPr>
          <w:rFonts w:cs="Arial"/>
        </w:rPr>
      </w:pPr>
    </w:p>
    <w:p w14:paraId="7D18E008" w14:textId="77777777" w:rsidR="001F2262" w:rsidRPr="001E2783" w:rsidRDefault="00A8490B" w:rsidP="00A8490B">
      <w:pPr>
        <w:rPr>
          <w:rFonts w:cs="Arial"/>
        </w:rPr>
      </w:pPr>
      <w:r w:rsidRPr="001E2783">
        <w:rPr>
          <w:rFonts w:cs="Arial"/>
        </w:rPr>
        <w:t>During 2013–14, the ACMA received five submissions from Communications Alliance for changes to technical standards referenced in the ACMA’s regulatory arrangements. The relevant ACMA technical standards were updated accordingly to reference the revised Communications Alliance arrangements.</w:t>
      </w:r>
    </w:p>
    <w:p w14:paraId="3E579E20" w14:textId="77777777" w:rsidR="00A8490B" w:rsidRPr="001E2783" w:rsidRDefault="00A8490B" w:rsidP="00A8490B">
      <w:pPr>
        <w:rPr>
          <w:rFonts w:cs="Arial"/>
        </w:rPr>
      </w:pPr>
    </w:p>
    <w:p w14:paraId="4259F7FC" w14:textId="77777777" w:rsidR="001F2262" w:rsidRPr="001E2783" w:rsidRDefault="001F2262" w:rsidP="00F641B3">
      <w:pPr>
        <w:pStyle w:val="Heading3"/>
      </w:pPr>
      <w:bookmarkStart w:id="154" w:name="_Toc337727580"/>
      <w:bookmarkStart w:id="155" w:name="_Toc400018546"/>
      <w:r w:rsidRPr="001E2783">
        <w:t>Radiocommunications standards</w:t>
      </w:r>
      <w:bookmarkEnd w:id="154"/>
      <w:bookmarkEnd w:id="155"/>
    </w:p>
    <w:p w14:paraId="108B4788" w14:textId="77777777" w:rsidR="00057F65" w:rsidRPr="001E2783" w:rsidRDefault="00057F65" w:rsidP="00057F65">
      <w:pPr>
        <w:rPr>
          <w:rFonts w:cs="Arial"/>
        </w:rPr>
      </w:pPr>
      <w:r w:rsidRPr="001E2783">
        <w:rPr>
          <w:rFonts w:cs="Arial"/>
        </w:rPr>
        <w:t>The ACMA’s mandatory technical standards for radiocommunications equipment are underpinned by te</w:t>
      </w:r>
      <w:r w:rsidR="00317690" w:rsidRPr="001E2783">
        <w:rPr>
          <w:rFonts w:cs="Arial"/>
        </w:rPr>
        <w:t>chnical standards developed by S</w:t>
      </w:r>
      <w:r w:rsidRPr="001E2783">
        <w:rPr>
          <w:rFonts w:cs="Arial"/>
        </w:rPr>
        <w:t>tandards A</w:t>
      </w:r>
      <w:r w:rsidR="00317690" w:rsidRPr="001E2783">
        <w:rPr>
          <w:rFonts w:cs="Arial"/>
        </w:rPr>
        <w:t>ustralia through its RC4 and RC</w:t>
      </w:r>
      <w:r w:rsidRPr="001E2783">
        <w:rPr>
          <w:rFonts w:cs="Arial"/>
        </w:rPr>
        <w:t>6 working groups.</w:t>
      </w:r>
    </w:p>
    <w:p w14:paraId="4A43DCBC" w14:textId="77777777" w:rsidR="00057F65" w:rsidRPr="001E2783" w:rsidRDefault="00057F65" w:rsidP="00057F65">
      <w:pPr>
        <w:rPr>
          <w:rFonts w:cs="Arial"/>
        </w:rPr>
      </w:pPr>
    </w:p>
    <w:p w14:paraId="2877F835" w14:textId="77777777" w:rsidR="00057F65" w:rsidRPr="001E2783" w:rsidRDefault="00057F65" w:rsidP="00057F65">
      <w:pPr>
        <w:rPr>
          <w:rFonts w:cs="Arial"/>
        </w:rPr>
      </w:pPr>
      <w:r w:rsidRPr="001E2783">
        <w:rPr>
          <w:rFonts w:cs="Arial"/>
        </w:rPr>
        <w:t>The ACMA mandates appropriate aspects of industry radiocommunications standards by way of standards made under section 162 of the Radiocommunications Act. The ACMA’s radiocommunications standards may adopt the industry standard in whole or in part and include specified variations for Australian conditions as required. The requirement to label devices scoped by these standards is given effect through the Radiocommunications Devices (Compliance Label</w:t>
      </w:r>
      <w:r w:rsidR="00D27ED3" w:rsidRPr="001E2783">
        <w:rPr>
          <w:rFonts w:cs="Arial"/>
        </w:rPr>
        <w:t>ling) Notice 2003 (the RLN).</w:t>
      </w:r>
    </w:p>
    <w:p w14:paraId="1D79CFEA" w14:textId="77777777" w:rsidR="00057F65" w:rsidRPr="001E2783" w:rsidRDefault="00057F65" w:rsidP="00057F65">
      <w:pPr>
        <w:rPr>
          <w:rFonts w:cs="Arial"/>
        </w:rPr>
      </w:pPr>
    </w:p>
    <w:p w14:paraId="652A027F" w14:textId="77777777" w:rsidR="00057F65" w:rsidRPr="001E2783" w:rsidRDefault="00CB0DA0" w:rsidP="00057F65">
      <w:pPr>
        <w:rPr>
          <w:rFonts w:cs="Arial"/>
        </w:rPr>
      </w:pPr>
      <w:r w:rsidRPr="001E2783">
        <w:rPr>
          <w:rFonts w:cs="Arial"/>
        </w:rPr>
        <w:t>In 2013–1</w:t>
      </w:r>
      <w:r w:rsidR="00057F65" w:rsidRPr="001E2783">
        <w:rPr>
          <w:rFonts w:cs="Arial"/>
        </w:rPr>
        <w:t xml:space="preserve">4, the ACMA amended the RLN to require suppliers of wireless audio devices to include information </w:t>
      </w:r>
      <w:r w:rsidRPr="001E2783">
        <w:rPr>
          <w:rFonts w:cs="Arial"/>
        </w:rPr>
        <w:t>on</w:t>
      </w:r>
      <w:r w:rsidR="00057F65" w:rsidRPr="001E2783">
        <w:rPr>
          <w:rFonts w:cs="Arial"/>
        </w:rPr>
        <w:t xml:space="preserve"> the operation of devices in the 694</w:t>
      </w:r>
      <w:r w:rsidRPr="001E2783">
        <w:rPr>
          <w:rFonts w:cs="Arial"/>
        </w:rPr>
        <w:t>–</w:t>
      </w:r>
      <w:r w:rsidR="00E92E97" w:rsidRPr="001E2783">
        <w:rPr>
          <w:rFonts w:cs="Arial"/>
        </w:rPr>
        <w:t>820 </w:t>
      </w:r>
      <w:r w:rsidR="00057F65" w:rsidRPr="001E2783">
        <w:rPr>
          <w:rFonts w:cs="Arial"/>
        </w:rPr>
        <w:t>MHz frequency range.</w:t>
      </w:r>
    </w:p>
    <w:p w14:paraId="17AEAEB6" w14:textId="77777777" w:rsidR="00057F65" w:rsidRPr="001E2783" w:rsidRDefault="00057F65" w:rsidP="00057F65">
      <w:pPr>
        <w:rPr>
          <w:rFonts w:cs="Arial"/>
        </w:rPr>
      </w:pPr>
    </w:p>
    <w:p w14:paraId="2371372A" w14:textId="77777777" w:rsidR="00057F65" w:rsidRPr="001E2783" w:rsidRDefault="00057F65" w:rsidP="00057F65">
      <w:pPr>
        <w:rPr>
          <w:rFonts w:cs="Arial"/>
        </w:rPr>
      </w:pPr>
      <w:r w:rsidRPr="001E2783">
        <w:rPr>
          <w:rFonts w:cs="Arial"/>
        </w:rPr>
        <w:t xml:space="preserve">Under the </w:t>
      </w:r>
      <w:r w:rsidR="00CB0DA0" w:rsidRPr="001E2783">
        <w:rPr>
          <w:rFonts w:cs="Arial"/>
        </w:rPr>
        <w:t>LIA</w:t>
      </w:r>
      <w:r w:rsidRPr="001E2783">
        <w:rPr>
          <w:rFonts w:cs="Arial"/>
        </w:rPr>
        <w:t>, the RLN and a number of standards referenced in the RLN are due to sunset in 2015. During 2013</w:t>
      </w:r>
      <w:r w:rsidR="00CB0DA0" w:rsidRPr="001E2783">
        <w:rPr>
          <w:rFonts w:cs="Arial"/>
        </w:rPr>
        <w:t>–</w:t>
      </w:r>
      <w:r w:rsidRPr="001E2783">
        <w:rPr>
          <w:rFonts w:cs="Arial"/>
        </w:rPr>
        <w:t xml:space="preserve">14, the ACMA </w:t>
      </w:r>
      <w:r w:rsidR="00CB0DA0" w:rsidRPr="001E2783">
        <w:rPr>
          <w:rFonts w:cs="Arial"/>
        </w:rPr>
        <w:t>began</w:t>
      </w:r>
      <w:r w:rsidRPr="001E2783">
        <w:rPr>
          <w:rFonts w:cs="Arial"/>
        </w:rPr>
        <w:t xml:space="preserve"> a review of the RLN and those standards that ar</w:t>
      </w:r>
      <w:r w:rsidR="00CB0DA0" w:rsidRPr="001E2783">
        <w:rPr>
          <w:rFonts w:cs="Arial"/>
        </w:rPr>
        <w:t xml:space="preserve">e due to sunset in 2015. </w:t>
      </w:r>
    </w:p>
    <w:p w14:paraId="495DFED4" w14:textId="77777777" w:rsidR="006476D5" w:rsidRPr="001E2783" w:rsidRDefault="006476D5" w:rsidP="00057F65">
      <w:pPr>
        <w:rPr>
          <w:rFonts w:cs="Arial"/>
        </w:rPr>
      </w:pPr>
    </w:p>
    <w:p w14:paraId="3605EA2D" w14:textId="77777777" w:rsidR="00057F65" w:rsidRPr="001E2783" w:rsidRDefault="00057F65" w:rsidP="00057F65">
      <w:pPr>
        <w:rPr>
          <w:rFonts w:cs="Arial"/>
        </w:rPr>
      </w:pPr>
      <w:r w:rsidRPr="001E2783">
        <w:rPr>
          <w:rFonts w:cs="Arial"/>
        </w:rPr>
        <w:t>As part of the review, the ACMA is proposing to move to a model of standards adoption under the RLN where amendments or replacements of industry standards are automatically adopte</w:t>
      </w:r>
      <w:r w:rsidR="00CB0DA0" w:rsidRPr="001E2783">
        <w:rPr>
          <w:rFonts w:cs="Arial"/>
        </w:rPr>
        <w:t>d under the arrangements.</w:t>
      </w:r>
      <w:r w:rsidRPr="001E2783">
        <w:rPr>
          <w:rFonts w:cs="Arial"/>
        </w:rPr>
        <w:t xml:space="preserve"> Currently</w:t>
      </w:r>
      <w:r w:rsidR="00CB0DA0" w:rsidRPr="001E2783">
        <w:rPr>
          <w:rFonts w:cs="Arial"/>
        </w:rPr>
        <w:t>,</w:t>
      </w:r>
      <w:r w:rsidRPr="001E2783">
        <w:rPr>
          <w:rFonts w:cs="Arial"/>
        </w:rPr>
        <w:t xml:space="preserve"> this arrangement only applies to the Radiocommunications (Short Range Devices) Standard 2004. All other ACMA radiocommunications device standards adopt a fixed version of the</w:t>
      </w:r>
      <w:r w:rsidR="006476D5" w:rsidRPr="001E2783">
        <w:rPr>
          <w:rFonts w:cs="Arial"/>
        </w:rPr>
        <w:t xml:space="preserve"> applicable industry standard.</w:t>
      </w:r>
    </w:p>
    <w:p w14:paraId="1BF58E0D" w14:textId="77777777" w:rsidR="00057F65" w:rsidRPr="001E2783" w:rsidRDefault="00057F65" w:rsidP="00057F65">
      <w:pPr>
        <w:rPr>
          <w:rFonts w:cs="Arial"/>
        </w:rPr>
      </w:pPr>
    </w:p>
    <w:p w14:paraId="36574A10" w14:textId="77777777" w:rsidR="001F2262" w:rsidRPr="001E2783" w:rsidRDefault="00057F65" w:rsidP="00057F65">
      <w:pPr>
        <w:rPr>
          <w:rFonts w:cs="Arial"/>
        </w:rPr>
      </w:pPr>
      <w:r w:rsidRPr="001E2783">
        <w:rPr>
          <w:rFonts w:cs="Arial"/>
        </w:rPr>
        <w:t xml:space="preserve">In 2013–14, the ACMA made one new radiocommunications technical standard </w:t>
      </w:r>
      <w:r w:rsidR="00CB0DA0" w:rsidRPr="001E2783">
        <w:rPr>
          <w:rFonts w:cs="Arial"/>
        </w:rPr>
        <w:t>for</w:t>
      </w:r>
      <w:r w:rsidRPr="001E2783">
        <w:rPr>
          <w:rFonts w:cs="Arial"/>
        </w:rPr>
        <w:t xml:space="preserve"> Short Range Devices.</w:t>
      </w:r>
    </w:p>
    <w:p w14:paraId="4DC10A46" w14:textId="77777777" w:rsidR="00057F65" w:rsidRPr="001E2783" w:rsidRDefault="00057F65" w:rsidP="00057F65">
      <w:pPr>
        <w:rPr>
          <w:rFonts w:cs="Arial"/>
        </w:rPr>
      </w:pPr>
    </w:p>
    <w:p w14:paraId="01B3FDB2" w14:textId="77777777" w:rsidR="00057F65" w:rsidRPr="001E2783" w:rsidRDefault="00057F65" w:rsidP="00057F65">
      <w:pPr>
        <w:pStyle w:val="Heading3"/>
      </w:pPr>
      <w:bookmarkStart w:id="156" w:name="_Toc400018547"/>
      <w:r w:rsidRPr="001E2783">
        <w:t>Electromagnetic compatibility standards</w:t>
      </w:r>
      <w:bookmarkEnd w:id="156"/>
    </w:p>
    <w:p w14:paraId="7118361B" w14:textId="77777777" w:rsidR="00057F65" w:rsidRPr="001E2783" w:rsidRDefault="00057F65" w:rsidP="00057F65">
      <w:pPr>
        <w:rPr>
          <w:rFonts w:cs="Arial"/>
        </w:rPr>
      </w:pPr>
      <w:r w:rsidRPr="001E2783">
        <w:rPr>
          <w:rFonts w:cs="Arial"/>
        </w:rPr>
        <w:t>The ACMA, as part of its spectrum management function, determines radiocommunications standards that specify emission limits for electrical and electronic equipment that are not intentional rad</w:t>
      </w:r>
      <w:r w:rsidR="00CB0DA0" w:rsidRPr="001E2783">
        <w:rPr>
          <w:rFonts w:cs="Arial"/>
        </w:rPr>
        <w:t xml:space="preserve">iocommunications transmitters. </w:t>
      </w:r>
      <w:r w:rsidRPr="001E2783">
        <w:rPr>
          <w:rFonts w:cs="Arial"/>
        </w:rPr>
        <w:t>These standards are referred to as electromagnetic compatibility (EMC) standards.</w:t>
      </w:r>
    </w:p>
    <w:p w14:paraId="48E09C9A" w14:textId="77777777" w:rsidR="00057F65" w:rsidRPr="001E2783" w:rsidRDefault="00057F65" w:rsidP="00057F65">
      <w:pPr>
        <w:rPr>
          <w:rFonts w:cs="Arial"/>
        </w:rPr>
      </w:pPr>
    </w:p>
    <w:p w14:paraId="6BE494FD" w14:textId="0CEFC395" w:rsidR="00057F65" w:rsidRPr="001E2783" w:rsidRDefault="00057F65" w:rsidP="00057F65">
      <w:pPr>
        <w:rPr>
          <w:rFonts w:cs="Arial"/>
        </w:rPr>
      </w:pPr>
      <w:r w:rsidRPr="001E2783">
        <w:rPr>
          <w:rFonts w:cs="Arial"/>
        </w:rPr>
        <w:t>The requirement to label devices scoped by EMC standards is given effect through the Radiocommunications Labelling (Electromagnetic Comp</w:t>
      </w:r>
      <w:r w:rsidR="00AD058B" w:rsidRPr="001E2783">
        <w:rPr>
          <w:rFonts w:cs="Arial"/>
        </w:rPr>
        <w:t>atibility) Notice 2008 (the EMC </w:t>
      </w:r>
      <w:r w:rsidR="00970328" w:rsidRPr="001E2783">
        <w:rPr>
          <w:rFonts w:cs="Arial"/>
        </w:rPr>
        <w:t>LN).</w:t>
      </w:r>
    </w:p>
    <w:p w14:paraId="3B348DF8" w14:textId="77777777" w:rsidR="00057F65" w:rsidRPr="001E2783" w:rsidRDefault="00057F65" w:rsidP="00057F65">
      <w:pPr>
        <w:rPr>
          <w:rFonts w:cs="Arial"/>
        </w:rPr>
      </w:pPr>
    </w:p>
    <w:p w14:paraId="6A3737D6" w14:textId="77777777" w:rsidR="00057F65" w:rsidRPr="001E2783" w:rsidRDefault="00057F65" w:rsidP="00057F65">
      <w:pPr>
        <w:rPr>
          <w:rFonts w:cs="Arial"/>
        </w:rPr>
      </w:pPr>
      <w:r w:rsidRPr="001E2783">
        <w:rPr>
          <w:rFonts w:cs="Arial"/>
        </w:rPr>
        <w:t>The ACMA’s mandatory technical standards for EMC are underpinned by technical standards developed by Standards Australia through its TE-003 working group</w:t>
      </w:r>
      <w:r w:rsidR="00CB0DA0" w:rsidRPr="001E2783">
        <w:rPr>
          <w:rFonts w:cs="Arial"/>
        </w:rPr>
        <w:t>,</w:t>
      </w:r>
      <w:r w:rsidRPr="001E2783">
        <w:rPr>
          <w:rFonts w:cs="Arial"/>
        </w:rPr>
        <w:t xml:space="preserve"> and international standards developed by the International Electrotechnical Committee (IEC) and the International Special Committee on Radio Interference (CISPR).</w:t>
      </w:r>
      <w:r w:rsidR="006476D5" w:rsidRPr="001E2783">
        <w:rPr>
          <w:rFonts w:cs="Arial"/>
        </w:rPr>
        <w:t xml:space="preserve"> As part of its ongoing work with TE-003, the ACMA continually updates the list of applicable EMC standards. The standards list was updated a number of times during the reporting period—most recently in January 2014.</w:t>
      </w:r>
    </w:p>
    <w:p w14:paraId="6365F74A" w14:textId="77777777" w:rsidR="00C702F6" w:rsidRPr="001E2783" w:rsidRDefault="00C702F6" w:rsidP="00057F65">
      <w:pPr>
        <w:rPr>
          <w:rFonts w:cs="Arial"/>
        </w:rPr>
      </w:pPr>
    </w:p>
    <w:p w14:paraId="59CCB6F6" w14:textId="77777777" w:rsidR="00C702F6" w:rsidRPr="001E2783" w:rsidRDefault="00C702F6" w:rsidP="00C702F6">
      <w:pPr>
        <w:pStyle w:val="Heading3"/>
        <w:keepNext w:val="0"/>
      </w:pPr>
      <w:bookmarkStart w:id="157" w:name="_Toc400018548"/>
      <w:r w:rsidRPr="001E2783">
        <w:t>Electromagnetic energy standards</w:t>
      </w:r>
      <w:bookmarkEnd w:id="157"/>
    </w:p>
    <w:p w14:paraId="1D93D67B" w14:textId="77777777" w:rsidR="00C702F6" w:rsidRPr="001E2783" w:rsidRDefault="00C702F6" w:rsidP="00C702F6">
      <w:pPr>
        <w:rPr>
          <w:rFonts w:cs="Arial"/>
        </w:rPr>
      </w:pPr>
      <w:r w:rsidRPr="001E2783">
        <w:rPr>
          <w:rFonts w:cs="Arial"/>
        </w:rPr>
        <w:t>The ACMA’s EME health exposure regulatory arrangement requires a wide range of radio transmitter installations and portable equipment, such as mobile phone handsets, to comply with EME limits set out in a standard published by the Australian Radiation Protection and Nuclear Safety Agency (ARPANSA). The Radiation Protection Standard for Maximum Exposure Levels to Radiofrequency Fiel</w:t>
      </w:r>
      <w:r w:rsidR="00E92E97" w:rsidRPr="001E2783">
        <w:rPr>
          <w:rFonts w:cs="Arial"/>
        </w:rPr>
        <w:t>ds – 3 kHz to 300 </w:t>
      </w:r>
      <w:r w:rsidRPr="001E2783">
        <w:rPr>
          <w:rFonts w:cs="Arial"/>
        </w:rPr>
        <w:t>GHz (2002) (the ARPANSA Standard) is based on guidelines from the internationally recognised International Commission for Non-Ionizing Radiation Protection (ICNIRP), which has been adopted by many other countries. The EME arrangement addresses possible adverse health effects without unnecessarily compromising the benefits that radiocommunications technologies bring to modern living.</w:t>
      </w:r>
    </w:p>
    <w:p w14:paraId="4B9801BA" w14:textId="77777777" w:rsidR="00C702F6" w:rsidRPr="001E2783" w:rsidRDefault="00C702F6" w:rsidP="00C702F6">
      <w:pPr>
        <w:rPr>
          <w:rFonts w:cs="Arial"/>
        </w:rPr>
      </w:pPr>
    </w:p>
    <w:p w14:paraId="21871CA1" w14:textId="77777777" w:rsidR="00C702F6" w:rsidRPr="001E2783" w:rsidRDefault="00C702F6" w:rsidP="00C702F6">
      <w:pPr>
        <w:pStyle w:val="CommentText"/>
        <w:rPr>
          <w:rFonts w:cs="Arial"/>
        </w:rPr>
      </w:pPr>
      <w:r w:rsidRPr="001E2783">
        <w:rPr>
          <w:rFonts w:cs="Arial"/>
        </w:rPr>
        <w:t xml:space="preserve">To comply with the EME exposure limits, licensees </w:t>
      </w:r>
      <w:r w:rsidR="00CB0DA0" w:rsidRPr="001E2783">
        <w:rPr>
          <w:rFonts w:cs="Arial"/>
        </w:rPr>
        <w:t>must</w:t>
      </w:r>
      <w:r w:rsidRPr="001E2783">
        <w:rPr>
          <w:rFonts w:cs="Arial"/>
        </w:rPr>
        <w:t xml:space="preserve"> have their transmitter installations assessed, and manufacturers and importers of mobile phones and similar equipment must have their products tested for compliance before supply is permitted to the Australian market. Significant penalties apply for breaches of the EME arrangement. </w:t>
      </w:r>
    </w:p>
    <w:p w14:paraId="57622115" w14:textId="77777777" w:rsidR="00C702F6" w:rsidRPr="001E2783" w:rsidRDefault="00C702F6" w:rsidP="00C702F6">
      <w:pPr>
        <w:pStyle w:val="CommentText"/>
        <w:rPr>
          <w:rFonts w:cs="Arial"/>
        </w:rPr>
      </w:pPr>
    </w:p>
    <w:p w14:paraId="6A9BFF3D" w14:textId="5E3314AE" w:rsidR="00C702F6" w:rsidRPr="001E2783" w:rsidRDefault="00CB0DA0" w:rsidP="00C702F6">
      <w:pPr>
        <w:pStyle w:val="CommentText"/>
        <w:rPr>
          <w:rFonts w:cs="Arial"/>
        </w:rPr>
      </w:pPr>
      <w:r w:rsidRPr="001E2783">
        <w:rPr>
          <w:rFonts w:cs="Arial"/>
        </w:rPr>
        <w:t xml:space="preserve">See </w:t>
      </w:r>
      <w:r w:rsidR="000D4C8F" w:rsidRPr="001E2783">
        <w:rPr>
          <w:rFonts w:cs="Arial"/>
          <w:i/>
        </w:rPr>
        <w:t>Priority compliance areas</w:t>
      </w:r>
      <w:r w:rsidRPr="001E2783">
        <w:rPr>
          <w:rFonts w:cs="Arial"/>
        </w:rPr>
        <w:t xml:space="preserve"> for i</w:t>
      </w:r>
      <w:r w:rsidR="00C702F6" w:rsidRPr="001E2783">
        <w:rPr>
          <w:rFonts w:cs="Arial"/>
        </w:rPr>
        <w:t xml:space="preserve">nformation </w:t>
      </w:r>
      <w:r w:rsidRPr="001E2783">
        <w:rPr>
          <w:rFonts w:cs="Arial"/>
        </w:rPr>
        <w:t xml:space="preserve">on </w:t>
      </w:r>
      <w:r w:rsidR="00C702F6" w:rsidRPr="001E2783">
        <w:rPr>
          <w:rFonts w:cs="Arial"/>
        </w:rPr>
        <w:t xml:space="preserve">the visual inspection program of mobile base stations </w:t>
      </w:r>
      <w:r w:rsidRPr="001E2783">
        <w:rPr>
          <w:rFonts w:cs="Arial"/>
        </w:rPr>
        <w:t xml:space="preserve">the ACMA </w:t>
      </w:r>
      <w:r w:rsidR="00C702F6" w:rsidRPr="001E2783">
        <w:rPr>
          <w:rFonts w:cs="Arial"/>
        </w:rPr>
        <w:t>conducted in 2013</w:t>
      </w:r>
      <w:r w:rsidRPr="001E2783">
        <w:rPr>
          <w:rFonts w:cs="Arial"/>
        </w:rPr>
        <w:t>–</w:t>
      </w:r>
      <w:r w:rsidR="00C702F6" w:rsidRPr="001E2783">
        <w:rPr>
          <w:rFonts w:cs="Arial"/>
        </w:rPr>
        <w:t>14.</w:t>
      </w:r>
    </w:p>
    <w:p w14:paraId="7D9BB47A" w14:textId="77777777" w:rsidR="00C702F6" w:rsidRPr="001E2783" w:rsidRDefault="00C702F6" w:rsidP="00C702F6">
      <w:pPr>
        <w:rPr>
          <w:rFonts w:cs="Arial"/>
        </w:rPr>
      </w:pPr>
    </w:p>
    <w:p w14:paraId="5967AD0C" w14:textId="51F0B40D" w:rsidR="00C702F6" w:rsidRPr="001E2783" w:rsidRDefault="00C702F6" w:rsidP="00C702F6">
      <w:pPr>
        <w:rPr>
          <w:rFonts w:cs="Arial"/>
        </w:rPr>
      </w:pPr>
      <w:r w:rsidRPr="001E2783">
        <w:rPr>
          <w:rFonts w:cs="Arial"/>
        </w:rPr>
        <w:t>During 2013</w:t>
      </w:r>
      <w:r w:rsidR="0071662D" w:rsidRPr="001E2783">
        <w:rPr>
          <w:rFonts w:cs="Arial"/>
        </w:rPr>
        <w:t>–</w:t>
      </w:r>
      <w:r w:rsidRPr="001E2783">
        <w:rPr>
          <w:rFonts w:cs="Arial"/>
        </w:rPr>
        <w:t>14, the ACMA commenced a review of the Radiocommunications (Compliance Labelling —</w:t>
      </w:r>
      <w:r w:rsidR="00F51B4A" w:rsidRPr="001E2783">
        <w:rPr>
          <w:rFonts w:cs="Arial"/>
        </w:rPr>
        <w:t xml:space="preserve"> </w:t>
      </w:r>
      <w:r w:rsidRPr="001E2783">
        <w:rPr>
          <w:rFonts w:cs="Arial"/>
        </w:rPr>
        <w:t xml:space="preserve">Electromagnetic Radiation) Notice 2014 (the EME Labelling Notice) and the Radiocommunications (Electromagnetic Radiation </w:t>
      </w:r>
      <w:r w:rsidR="00970328" w:rsidRPr="001E2783">
        <w:rPr>
          <w:rFonts w:cs="Arial"/>
        </w:rPr>
        <w:t>–</w:t>
      </w:r>
      <w:r w:rsidRPr="001E2783">
        <w:rPr>
          <w:rFonts w:cs="Arial"/>
        </w:rPr>
        <w:t xml:space="preserve"> Human Exposure) Standard 2014 (the Human Exposure Standard) that are subject to sunset provisions in 2015. Draft instruments were released for public comment in March 2014. The review is expected to be complete</w:t>
      </w:r>
      <w:r w:rsidR="00565D3C" w:rsidRPr="001E2783">
        <w:rPr>
          <w:rFonts w:cs="Arial"/>
        </w:rPr>
        <w:t>d</w:t>
      </w:r>
      <w:r w:rsidRPr="001E2783">
        <w:rPr>
          <w:rFonts w:cs="Arial"/>
        </w:rPr>
        <w:t xml:space="preserve"> </w:t>
      </w:r>
      <w:r w:rsidR="0071662D" w:rsidRPr="001E2783">
        <w:rPr>
          <w:rFonts w:cs="Arial"/>
        </w:rPr>
        <w:t>in the next reporting period.</w:t>
      </w:r>
    </w:p>
    <w:p w14:paraId="79668198" w14:textId="77777777" w:rsidR="00057F65" w:rsidRPr="001E2783" w:rsidRDefault="00057F65" w:rsidP="00057F65">
      <w:pPr>
        <w:rPr>
          <w:rFonts w:cs="Arial"/>
        </w:rPr>
      </w:pPr>
    </w:p>
    <w:p w14:paraId="6C86950F" w14:textId="77777777" w:rsidR="001F2262" w:rsidRPr="001E2783" w:rsidRDefault="001F2262" w:rsidP="004D2A82">
      <w:pPr>
        <w:pStyle w:val="Heading3"/>
      </w:pPr>
      <w:bookmarkStart w:id="158" w:name="_Toc337727581"/>
      <w:bookmarkStart w:id="159" w:name="_Toc400018549"/>
      <w:r w:rsidRPr="001E2783">
        <w:t>Broadcasting technical standards—digital television</w:t>
      </w:r>
      <w:bookmarkEnd w:id="158"/>
      <w:bookmarkEnd w:id="159"/>
      <w:r w:rsidRPr="001E2783">
        <w:t xml:space="preserve"> </w:t>
      </w:r>
    </w:p>
    <w:p w14:paraId="02114F92" w14:textId="77777777" w:rsidR="00057F65" w:rsidRPr="001E2783" w:rsidRDefault="00057F65" w:rsidP="00057F65">
      <w:pPr>
        <w:rPr>
          <w:rFonts w:cs="Arial"/>
        </w:rPr>
      </w:pPr>
      <w:r w:rsidRPr="001E2783">
        <w:rPr>
          <w:rFonts w:cs="Arial"/>
        </w:rPr>
        <w:t xml:space="preserve">The ACMA consults with industry and provides input to Standards Australia processes for the development of appropriate industry technical standards for digital television. Where appropriate, the ACMA may determine technical standards for specified broadcast transmitters and broadcast reception equipment operating in digital mode. </w:t>
      </w:r>
    </w:p>
    <w:p w14:paraId="6D2655E6" w14:textId="77777777" w:rsidR="00057F65" w:rsidRPr="001E2783" w:rsidRDefault="00057F65" w:rsidP="00057F65">
      <w:pPr>
        <w:rPr>
          <w:rFonts w:cs="Arial"/>
        </w:rPr>
      </w:pPr>
    </w:p>
    <w:p w14:paraId="72BA4BCB" w14:textId="77777777" w:rsidR="00057F65" w:rsidRPr="001E2783" w:rsidRDefault="00057F65" w:rsidP="00057F65">
      <w:pPr>
        <w:rPr>
          <w:rFonts w:cs="Arial"/>
        </w:rPr>
      </w:pPr>
      <w:r w:rsidRPr="001E2783">
        <w:rPr>
          <w:rFonts w:cs="Arial"/>
        </w:rPr>
        <w:t>The industry technical standards for digital television transmission and reception equipment have been under review by the Standards Australia working committees</w:t>
      </w:r>
      <w:r w:rsidR="00F535A4" w:rsidRPr="001E2783">
        <w:rPr>
          <w:rFonts w:cs="Arial"/>
        </w:rPr>
        <w:t xml:space="preserve"> and </w:t>
      </w:r>
      <w:r w:rsidRPr="001E2783">
        <w:rPr>
          <w:rFonts w:cs="Arial"/>
        </w:rPr>
        <w:t>are expected to be finalised in 2014. The ACMA’s participation in this review provided the opportunity to reference its mandatory parental lock standard within the voluntary industry standard. This aligns the industry standard and the ACMA standard</w:t>
      </w:r>
      <w:r w:rsidR="00F535A4" w:rsidRPr="001E2783">
        <w:rPr>
          <w:rFonts w:cs="Arial"/>
        </w:rPr>
        <w:t>, so</w:t>
      </w:r>
      <w:r w:rsidRPr="001E2783">
        <w:rPr>
          <w:rFonts w:cs="Arial"/>
        </w:rPr>
        <w:t xml:space="preserve"> that industry participants using the industry standard are aware of the obligation to provide the parental lock function in receivers.</w:t>
      </w:r>
    </w:p>
    <w:p w14:paraId="6FFAA999" w14:textId="77777777" w:rsidR="00CC119D" w:rsidRPr="001E2783" w:rsidRDefault="00CC119D" w:rsidP="00CC119D">
      <w:pPr>
        <w:rPr>
          <w:rFonts w:cs="Arial"/>
        </w:rPr>
      </w:pPr>
    </w:p>
    <w:p w14:paraId="7E494059" w14:textId="77777777" w:rsidR="00CC119D" w:rsidRPr="001E2783" w:rsidRDefault="00CC119D" w:rsidP="00853913">
      <w:pPr>
        <w:pStyle w:val="Heading3"/>
      </w:pPr>
      <w:bookmarkStart w:id="160" w:name="_Toc337727584"/>
      <w:bookmarkStart w:id="161" w:name="_Toc400018550"/>
      <w:r w:rsidRPr="001E2783">
        <w:t>Cabling regulation</w:t>
      </w:r>
      <w:bookmarkEnd w:id="160"/>
      <w:bookmarkEnd w:id="161"/>
    </w:p>
    <w:p w14:paraId="5B369A94" w14:textId="77777777" w:rsidR="001F2262" w:rsidRPr="001E2783" w:rsidRDefault="001F2262" w:rsidP="007B01CC">
      <w:pPr>
        <w:rPr>
          <w:rFonts w:cs="Arial"/>
        </w:rPr>
      </w:pPr>
      <w:r w:rsidRPr="001E2783">
        <w:rPr>
          <w:rFonts w:cs="Arial"/>
        </w:rPr>
        <w:t xml:space="preserve">Under the Telecommunications Act, the ACMA has regulatory powers to set safety and network integrity standards for cabling installation practices. </w:t>
      </w:r>
    </w:p>
    <w:p w14:paraId="58D51088" w14:textId="77777777" w:rsidR="00CC119D" w:rsidRPr="001E2783" w:rsidRDefault="00CC119D" w:rsidP="00CC119D">
      <w:pPr>
        <w:rPr>
          <w:rFonts w:cs="Arial"/>
        </w:rPr>
      </w:pPr>
    </w:p>
    <w:p w14:paraId="00E81969" w14:textId="77777777" w:rsidR="00CC119D" w:rsidRPr="001E2783" w:rsidRDefault="00CC119D" w:rsidP="007B01CC">
      <w:pPr>
        <w:spacing w:after="80"/>
        <w:rPr>
          <w:rFonts w:cs="Arial"/>
        </w:rPr>
      </w:pPr>
      <w:r w:rsidRPr="001E2783">
        <w:rPr>
          <w:rFonts w:cs="Arial"/>
        </w:rPr>
        <w:t>The ACMA’s approach to regulating customer cabling includes:</w:t>
      </w:r>
    </w:p>
    <w:p w14:paraId="6323891D" w14:textId="77777777" w:rsidR="00CC119D" w:rsidRPr="001E2783" w:rsidRDefault="00CC119D" w:rsidP="00CC119D">
      <w:pPr>
        <w:pStyle w:val="ListBullet"/>
        <w:ind w:left="284"/>
        <w:rPr>
          <w:rFonts w:cs="Arial"/>
        </w:rPr>
      </w:pPr>
      <w:r w:rsidRPr="001E2783">
        <w:rPr>
          <w:rFonts w:cs="Arial"/>
        </w:rPr>
        <w:t>overseeing the industry-managed cabling registration scheme</w:t>
      </w:r>
    </w:p>
    <w:p w14:paraId="655011AC" w14:textId="77777777" w:rsidR="00CC119D" w:rsidRPr="001E2783" w:rsidRDefault="00CC119D" w:rsidP="00CC119D">
      <w:pPr>
        <w:pStyle w:val="ListBullet"/>
        <w:ind w:left="284"/>
        <w:rPr>
          <w:rFonts w:cs="Arial"/>
        </w:rPr>
      </w:pPr>
      <w:r w:rsidRPr="001E2783">
        <w:rPr>
          <w:rFonts w:cs="Arial"/>
        </w:rPr>
        <w:t>monitoring and enforcing compliance with cabling regulatory requirements</w:t>
      </w:r>
    </w:p>
    <w:p w14:paraId="4BC2ED9E" w14:textId="77777777" w:rsidR="00CC119D" w:rsidRPr="001E2783" w:rsidRDefault="00CC119D" w:rsidP="00CC119D">
      <w:pPr>
        <w:pStyle w:val="ListBullet"/>
        <w:ind w:left="284"/>
        <w:rPr>
          <w:rFonts w:cs="Arial"/>
        </w:rPr>
      </w:pPr>
      <w:r w:rsidRPr="001E2783">
        <w:rPr>
          <w:rFonts w:cs="Arial"/>
        </w:rPr>
        <w:t>supporting greater cabling industry self-regulation</w:t>
      </w:r>
    </w:p>
    <w:p w14:paraId="1022A317" w14:textId="77777777" w:rsidR="00CC119D" w:rsidRPr="001E2783" w:rsidRDefault="00CC119D" w:rsidP="00CC119D">
      <w:pPr>
        <w:pStyle w:val="ListBullet"/>
        <w:spacing w:after="240"/>
        <w:ind w:left="284"/>
        <w:rPr>
          <w:rFonts w:cs="Arial"/>
        </w:rPr>
      </w:pPr>
      <w:r w:rsidRPr="001E2783">
        <w:rPr>
          <w:rFonts w:cs="Arial"/>
        </w:rPr>
        <w:t>promoting consumer and industry awareness of regulatory arrangements of customer cabling.</w:t>
      </w:r>
    </w:p>
    <w:p w14:paraId="1BD750EC" w14:textId="77777777" w:rsidR="00CC119D" w:rsidRPr="001E2783" w:rsidRDefault="00CC119D" w:rsidP="00CC119D">
      <w:pPr>
        <w:pStyle w:val="BodysubheaderH4"/>
        <w:rPr>
          <w:rFonts w:cs="Arial"/>
        </w:rPr>
      </w:pPr>
      <w:r w:rsidRPr="001E2783">
        <w:rPr>
          <w:rFonts w:cs="Arial"/>
        </w:rPr>
        <w:t>Cabling registration scheme</w:t>
      </w:r>
    </w:p>
    <w:p w14:paraId="2E481D9D" w14:textId="77777777" w:rsidR="00CC119D" w:rsidRPr="001E2783" w:rsidRDefault="00CC119D" w:rsidP="00CC119D">
      <w:pPr>
        <w:rPr>
          <w:rFonts w:cs="Arial"/>
        </w:rPr>
      </w:pPr>
      <w:r w:rsidRPr="001E2783">
        <w:rPr>
          <w:rFonts w:cs="Arial"/>
        </w:rPr>
        <w:t xml:space="preserve">Cabling Provider Rules (CPRs) are based on an industry-managed national registration system. The ACMA currently accredits five industry bodies to be registrars under CPRs. These registrars issue registrations to cabling providers. </w:t>
      </w:r>
    </w:p>
    <w:p w14:paraId="1FA4EC80" w14:textId="77777777" w:rsidR="00CC119D" w:rsidRPr="001E2783" w:rsidRDefault="00CC119D" w:rsidP="00CC119D">
      <w:pPr>
        <w:rPr>
          <w:rFonts w:cs="Arial"/>
        </w:rPr>
      </w:pPr>
    </w:p>
    <w:p w14:paraId="1511A386" w14:textId="77777777" w:rsidR="00D956AC" w:rsidRPr="001E2783" w:rsidRDefault="00057F65" w:rsidP="00D956AC">
      <w:pPr>
        <w:rPr>
          <w:rFonts w:cs="Arial"/>
        </w:rPr>
      </w:pPr>
      <w:r w:rsidRPr="001E2783">
        <w:rPr>
          <w:rFonts w:cs="Arial"/>
        </w:rPr>
        <w:t>At 30 June 2014</w:t>
      </w:r>
      <w:r w:rsidR="00D956AC" w:rsidRPr="001E2783">
        <w:rPr>
          <w:rFonts w:cs="Arial"/>
        </w:rPr>
        <w:t xml:space="preserve">, there were </w:t>
      </w:r>
      <w:r w:rsidR="00565D3C" w:rsidRPr="001E2783">
        <w:rPr>
          <w:rFonts w:cs="Arial"/>
        </w:rPr>
        <w:t xml:space="preserve">71,057 </w:t>
      </w:r>
      <w:r w:rsidR="00D956AC" w:rsidRPr="001E2783">
        <w:rPr>
          <w:rFonts w:cs="Arial"/>
        </w:rPr>
        <w:t>registered cablers. The ACMA continues to monitor the performance of registrars in meeting their contractual obligation to provide registration services to the cabling industry. It also works with registrars to improve reporting arrangements and monitor service delivery levels across the industry through quarterly meetings of the ACMA’s Registrars’ Coordinating Committee (RCC). The ACMA also meets quarterly with the Cabling Advisory Group (CAG) on technical issues and related cabling policy. The CAG includes a wide range of representatives from the cabling industry.</w:t>
      </w:r>
    </w:p>
    <w:p w14:paraId="60BB07EC" w14:textId="77777777" w:rsidR="00CC119D" w:rsidRPr="001E2783" w:rsidRDefault="00CC119D" w:rsidP="00CC119D">
      <w:pPr>
        <w:rPr>
          <w:rFonts w:cs="Arial"/>
        </w:rPr>
      </w:pPr>
    </w:p>
    <w:p w14:paraId="022BC413" w14:textId="77777777" w:rsidR="00CC119D" w:rsidRPr="001E2783" w:rsidRDefault="00CC119D" w:rsidP="00CC119D">
      <w:pPr>
        <w:pStyle w:val="BodysubheaderH4"/>
        <w:outlineLvl w:val="0"/>
        <w:rPr>
          <w:rFonts w:cs="Arial"/>
        </w:rPr>
      </w:pPr>
      <w:r w:rsidRPr="001E2783">
        <w:rPr>
          <w:rFonts w:cs="Arial"/>
        </w:rPr>
        <w:t xml:space="preserve">Installation of specialised customer cabling </w:t>
      </w:r>
    </w:p>
    <w:p w14:paraId="640DD07C" w14:textId="77777777" w:rsidR="00D956AC" w:rsidRPr="001E2783" w:rsidRDefault="00C11B5D" w:rsidP="00D956AC">
      <w:pPr>
        <w:spacing w:after="80"/>
        <w:rPr>
          <w:rFonts w:cs="Arial"/>
        </w:rPr>
      </w:pPr>
      <w:r w:rsidRPr="001E2783">
        <w:rPr>
          <w:rFonts w:cs="Arial"/>
        </w:rPr>
        <w:t>Under amendments to the ACMA’s customer cabling regulatory arrangements that commenced on 1 July 2012, registered cabling providers are now required to have the necessary skills to install specialised higher speed cabling in customer premises. This requirement has two primary objectives:</w:t>
      </w:r>
    </w:p>
    <w:p w14:paraId="01041F1D" w14:textId="77777777" w:rsidR="00D956AC" w:rsidRPr="001E2783" w:rsidRDefault="00D956AC" w:rsidP="00D956AC">
      <w:pPr>
        <w:pStyle w:val="ListBullet"/>
        <w:tabs>
          <w:tab w:val="clear" w:pos="295"/>
          <w:tab w:val="num" w:pos="437"/>
        </w:tabs>
        <w:ind w:left="284"/>
        <w:rPr>
          <w:rFonts w:cs="Arial"/>
        </w:rPr>
      </w:pPr>
      <w:r w:rsidRPr="001E2783">
        <w:rPr>
          <w:rFonts w:cs="Arial"/>
        </w:rPr>
        <w:t>to make sure that specialised cabling is installed in accordance with safe installation practices, including appropriate occupational health and safety practices</w:t>
      </w:r>
    </w:p>
    <w:p w14:paraId="162A3B88" w14:textId="77777777" w:rsidR="00D956AC" w:rsidRPr="001E2783" w:rsidRDefault="00D956AC" w:rsidP="00D956AC">
      <w:pPr>
        <w:pStyle w:val="ListBullet"/>
        <w:tabs>
          <w:tab w:val="clear" w:pos="295"/>
          <w:tab w:val="num" w:pos="437"/>
        </w:tabs>
        <w:spacing w:after="240"/>
        <w:ind w:left="284"/>
        <w:rPr>
          <w:rFonts w:cs="Arial"/>
        </w:rPr>
      </w:pPr>
      <w:r w:rsidRPr="001E2783">
        <w:rPr>
          <w:rFonts w:cs="Arial"/>
        </w:rPr>
        <w:t>to give end users the full benefits of the NBN and other high-speed carriage networks.</w:t>
      </w:r>
    </w:p>
    <w:p w14:paraId="6D3A9963" w14:textId="77777777" w:rsidR="00057F65" w:rsidRPr="001E2783" w:rsidRDefault="00057F65" w:rsidP="00970328">
      <w:pPr>
        <w:keepLines/>
        <w:rPr>
          <w:rFonts w:cs="Arial"/>
        </w:rPr>
      </w:pPr>
      <w:r w:rsidRPr="001E2783">
        <w:rPr>
          <w:rFonts w:cs="Arial"/>
        </w:rPr>
        <w:t>Fr</w:t>
      </w:r>
      <w:r w:rsidR="00E92E97" w:rsidRPr="001E2783">
        <w:rPr>
          <w:rFonts w:cs="Arial"/>
        </w:rPr>
        <w:t>om 1 </w:t>
      </w:r>
      <w:r w:rsidRPr="001E2783">
        <w:rPr>
          <w:rFonts w:cs="Arial"/>
        </w:rPr>
        <w:t xml:space="preserve">July 2014, all cabling providers undertaking specialised cabling work (broadband, structured, optical fibre, aerial, underground and coaxial) must have the relevant competencies for the particular specialised cabling work. Cabling providers are only required to have competencies in specialised cabling work if they are actually undertaking that type of work. </w:t>
      </w:r>
    </w:p>
    <w:p w14:paraId="7C1B4D28" w14:textId="77777777" w:rsidR="00CC119D" w:rsidRPr="001E2783" w:rsidRDefault="00CC119D" w:rsidP="00CC119D">
      <w:pPr>
        <w:rPr>
          <w:rFonts w:cs="Arial"/>
        </w:rPr>
      </w:pPr>
    </w:p>
    <w:p w14:paraId="3E6BE633" w14:textId="77777777" w:rsidR="00D956AC" w:rsidRPr="001E2783" w:rsidRDefault="00D956AC" w:rsidP="00C6776B">
      <w:pPr>
        <w:pStyle w:val="BodysubheaderH4"/>
        <w:outlineLvl w:val="0"/>
        <w:rPr>
          <w:rFonts w:cs="Arial"/>
        </w:rPr>
      </w:pPr>
      <w:r w:rsidRPr="001E2783">
        <w:rPr>
          <w:rFonts w:cs="Arial"/>
        </w:rPr>
        <w:t>Review of cabling wiring rules</w:t>
      </w:r>
    </w:p>
    <w:p w14:paraId="4C6B174E" w14:textId="77777777" w:rsidR="00D956AC" w:rsidRPr="001E2783" w:rsidRDefault="00D956AC" w:rsidP="00D956AC">
      <w:pPr>
        <w:rPr>
          <w:rFonts w:cs="Arial"/>
        </w:rPr>
      </w:pPr>
      <w:r w:rsidRPr="001E2783">
        <w:rPr>
          <w:rFonts w:cs="Arial"/>
        </w:rPr>
        <w:t>A review of AS/CA S009</w:t>
      </w:r>
      <w:r w:rsidR="00D767D2" w:rsidRPr="001E2783">
        <w:rPr>
          <w:rFonts w:cs="Arial"/>
        </w:rPr>
        <w:t>:</w:t>
      </w:r>
      <w:r w:rsidRPr="001E2783">
        <w:rPr>
          <w:rFonts w:cs="Arial"/>
        </w:rPr>
        <w:t xml:space="preserve"> </w:t>
      </w:r>
      <w:r w:rsidR="009F40E9" w:rsidRPr="001E2783">
        <w:rPr>
          <w:rFonts w:cs="Arial"/>
          <w:i/>
        </w:rPr>
        <w:t>I</w:t>
      </w:r>
      <w:r w:rsidRPr="001E2783">
        <w:rPr>
          <w:rFonts w:cs="Arial"/>
          <w:i/>
        </w:rPr>
        <w:t>nstallation requirements for customer cabling (Wiring Rules)</w:t>
      </w:r>
      <w:r w:rsidRPr="001E2783">
        <w:rPr>
          <w:rFonts w:cs="Arial"/>
        </w:rPr>
        <w:t xml:space="preserve"> by Communications Alliance was completed in February 2013. The new revised wiring rules (AS/CA S009:2013) replace</w:t>
      </w:r>
      <w:r w:rsidR="00057F65" w:rsidRPr="001E2783">
        <w:rPr>
          <w:rFonts w:cs="Arial"/>
        </w:rPr>
        <w:t>d</w:t>
      </w:r>
      <w:r w:rsidRPr="001E2783">
        <w:rPr>
          <w:rFonts w:cs="Arial"/>
        </w:rPr>
        <w:t xml:space="preserve"> t</w:t>
      </w:r>
      <w:r w:rsidR="00E92E97" w:rsidRPr="001E2783">
        <w:rPr>
          <w:rFonts w:cs="Arial"/>
        </w:rPr>
        <w:t>he current AS/CA S009:2006 on 1 </w:t>
      </w:r>
      <w:r w:rsidRPr="001E2783">
        <w:rPr>
          <w:rFonts w:cs="Arial"/>
        </w:rPr>
        <w:t>July 2013. AS/CA S009 is the industry publication containing the installation practices for providers installing customer cabling that connects to a telecommunications network. Cabling providers registered under the ACMA’s cabling regulatory arrangements are required to comply with the Wiring Rules.</w:t>
      </w:r>
    </w:p>
    <w:p w14:paraId="4369F0F0" w14:textId="77777777" w:rsidR="00D956AC" w:rsidRPr="001E2783" w:rsidRDefault="00D956AC" w:rsidP="00D956AC">
      <w:pPr>
        <w:rPr>
          <w:rFonts w:cs="Arial"/>
        </w:rPr>
      </w:pPr>
    </w:p>
    <w:p w14:paraId="524D0CB7" w14:textId="77777777" w:rsidR="00D956AC" w:rsidRPr="001E2783" w:rsidRDefault="00D956AC" w:rsidP="00C6776B">
      <w:pPr>
        <w:pStyle w:val="BodysubheaderH4"/>
        <w:outlineLvl w:val="0"/>
        <w:rPr>
          <w:rFonts w:cs="Arial"/>
        </w:rPr>
      </w:pPr>
      <w:r w:rsidRPr="001E2783">
        <w:rPr>
          <w:rFonts w:cs="Arial"/>
        </w:rPr>
        <w:t>Review of types of cabling work</w:t>
      </w:r>
    </w:p>
    <w:p w14:paraId="70EDA70A" w14:textId="77777777" w:rsidR="00057F65" w:rsidRPr="001E2783" w:rsidRDefault="00057F65" w:rsidP="00057F65">
      <w:pPr>
        <w:spacing w:after="80"/>
        <w:rPr>
          <w:rFonts w:cs="Arial"/>
        </w:rPr>
      </w:pPr>
      <w:r w:rsidRPr="001E2783">
        <w:rPr>
          <w:rFonts w:cs="Arial"/>
        </w:rPr>
        <w:t>A review of the Telecommunications (Types of Cabling Work) Declaration 1997 was completed in October 2013. The review re-examined the categories of cabling work subject to the ACMA’s CPRs. The review identified and proposed amendments to the declaration to:</w:t>
      </w:r>
    </w:p>
    <w:p w14:paraId="682E0D50" w14:textId="77777777" w:rsidR="00057F65" w:rsidRPr="001E2783" w:rsidRDefault="00E65BD5" w:rsidP="00057F65">
      <w:pPr>
        <w:pStyle w:val="ListBullet"/>
        <w:rPr>
          <w:rFonts w:cs="Arial"/>
        </w:rPr>
      </w:pPr>
      <w:r w:rsidRPr="001E2783">
        <w:rPr>
          <w:rFonts w:cs="Arial"/>
        </w:rPr>
        <w:t>C</w:t>
      </w:r>
      <w:r w:rsidR="00057F65" w:rsidRPr="001E2783">
        <w:rPr>
          <w:rFonts w:cs="Arial"/>
        </w:rPr>
        <w:t>larify the distinction between the simple connection of ‘plug-and-play’ associated customer cabling products (which may be perfor</w:t>
      </w:r>
      <w:r w:rsidR="00F535A4" w:rsidRPr="001E2783">
        <w:rPr>
          <w:rFonts w:cs="Arial"/>
        </w:rPr>
        <w:t xml:space="preserve">med by any person, including end </w:t>
      </w:r>
      <w:r w:rsidR="00057F65" w:rsidRPr="001E2783">
        <w:rPr>
          <w:rFonts w:cs="Arial"/>
        </w:rPr>
        <w:t>users) and the connection or installation of associated customer cabling products that are concealed in building cavities (which must be performed by re</w:t>
      </w:r>
      <w:r w:rsidR="00F535A4" w:rsidRPr="001E2783">
        <w:rPr>
          <w:rFonts w:cs="Arial"/>
        </w:rPr>
        <w:t>gistered cabling providers)</w:t>
      </w:r>
      <w:r w:rsidRPr="001E2783">
        <w:rPr>
          <w:rFonts w:cs="Arial"/>
        </w:rPr>
        <w:t>.</w:t>
      </w:r>
    </w:p>
    <w:p w14:paraId="49C19871" w14:textId="77777777" w:rsidR="00057F65" w:rsidRPr="001E2783" w:rsidRDefault="00E65BD5" w:rsidP="00057F65">
      <w:pPr>
        <w:pStyle w:val="ListBullet"/>
        <w:spacing w:after="240"/>
        <w:rPr>
          <w:rFonts w:cs="Arial"/>
        </w:rPr>
      </w:pPr>
      <w:r w:rsidRPr="001E2783">
        <w:rPr>
          <w:rFonts w:cs="Arial"/>
        </w:rPr>
        <w:t>U</w:t>
      </w:r>
      <w:r w:rsidR="00057F65" w:rsidRPr="001E2783">
        <w:rPr>
          <w:rFonts w:cs="Arial"/>
        </w:rPr>
        <w:t>pdate outdated references and definitions.</w:t>
      </w:r>
    </w:p>
    <w:p w14:paraId="230213D9" w14:textId="77777777" w:rsidR="00057F65" w:rsidRPr="001E2783" w:rsidRDefault="00057F65" w:rsidP="00057F65">
      <w:pPr>
        <w:rPr>
          <w:rFonts w:cs="Arial"/>
        </w:rPr>
      </w:pPr>
      <w:r w:rsidRPr="001E2783">
        <w:rPr>
          <w:rFonts w:cs="Arial"/>
        </w:rPr>
        <w:t>The revised Types of Cabling Work Declaration was made by the ACMA in October 2013.</w:t>
      </w:r>
    </w:p>
    <w:p w14:paraId="21C03BC8" w14:textId="77777777" w:rsidR="00057F65" w:rsidRPr="001E2783" w:rsidRDefault="00057F65" w:rsidP="00057F65">
      <w:pPr>
        <w:rPr>
          <w:rFonts w:cs="Arial"/>
        </w:rPr>
      </w:pPr>
    </w:p>
    <w:p w14:paraId="66C23A3A" w14:textId="77777777" w:rsidR="00057F65" w:rsidRPr="001E2783" w:rsidRDefault="00057F65" w:rsidP="00057F65">
      <w:pPr>
        <w:pStyle w:val="BodysubheaderH4"/>
        <w:rPr>
          <w:rFonts w:cs="Arial"/>
        </w:rPr>
      </w:pPr>
      <w:r w:rsidRPr="001E2783">
        <w:rPr>
          <w:rFonts w:cs="Arial"/>
        </w:rPr>
        <w:t xml:space="preserve">Sunsetting </w:t>
      </w:r>
      <w:r w:rsidR="00F535A4" w:rsidRPr="001E2783">
        <w:rPr>
          <w:rFonts w:cs="Arial"/>
        </w:rPr>
        <w:t>c</w:t>
      </w:r>
      <w:r w:rsidRPr="001E2783">
        <w:rPr>
          <w:rFonts w:cs="Arial"/>
        </w:rPr>
        <w:t>abling instruments</w:t>
      </w:r>
    </w:p>
    <w:p w14:paraId="4440A35A" w14:textId="77777777" w:rsidR="00057F65" w:rsidRPr="001E2783" w:rsidRDefault="00057F65" w:rsidP="00057F65">
      <w:pPr>
        <w:rPr>
          <w:rFonts w:cs="Arial"/>
        </w:rPr>
      </w:pPr>
      <w:r w:rsidRPr="001E2783">
        <w:rPr>
          <w:rFonts w:cs="Arial"/>
        </w:rPr>
        <w:t>The Telecommunications Cabling Provider Rules 2000 and the Accreditation Procedures for Cabling Provider Registrars are due to sunset in October 2015. In June 2014, the ACMA released for public comment a proposal to</w:t>
      </w:r>
      <w:r w:rsidR="00565D3C" w:rsidRPr="001E2783">
        <w:rPr>
          <w:rFonts w:cs="Arial"/>
        </w:rPr>
        <w:t xml:space="preserve"> make</w:t>
      </w:r>
      <w:r w:rsidRPr="001E2783">
        <w:rPr>
          <w:rFonts w:cs="Arial"/>
        </w:rPr>
        <w:t xml:space="preserve"> </w:t>
      </w:r>
      <w:r w:rsidR="00565D3C" w:rsidRPr="001E2783">
        <w:rPr>
          <w:rFonts w:cs="Arial"/>
        </w:rPr>
        <w:t xml:space="preserve">a new instrument to replace </w:t>
      </w:r>
      <w:r w:rsidRPr="001E2783">
        <w:rPr>
          <w:rFonts w:cs="Arial"/>
        </w:rPr>
        <w:t>the cabling instruments prior to their sunsetting date without any substantive changes to their regulatory requirements. In making th</w:t>
      </w:r>
      <w:r w:rsidR="00565D3C" w:rsidRPr="001E2783">
        <w:rPr>
          <w:rFonts w:cs="Arial"/>
        </w:rPr>
        <w:t xml:space="preserve">is </w:t>
      </w:r>
      <w:r w:rsidRPr="001E2783">
        <w:rPr>
          <w:rFonts w:cs="Arial"/>
        </w:rPr>
        <w:t>instrument, the ACMA is seeking to rationalise the overall number of cabling instruments by consolidating the two sunsetting instruments with the Telecommunications Cabling Provider Rules 2000 – Arrangements for Operation of the Registration System (No.</w:t>
      </w:r>
      <w:r w:rsidR="003A4446" w:rsidRPr="001E2783">
        <w:rPr>
          <w:rFonts w:cs="Arial"/>
        </w:rPr>
        <w:t> </w:t>
      </w:r>
      <w:r w:rsidRPr="001E2783">
        <w:rPr>
          <w:rFonts w:cs="Arial"/>
        </w:rPr>
        <w:t>3)</w:t>
      </w:r>
      <w:r w:rsidR="00E65BD5" w:rsidRPr="001E2783">
        <w:rPr>
          <w:rFonts w:cs="Arial"/>
        </w:rPr>
        <w:t> </w:t>
      </w:r>
      <w:r w:rsidRPr="001E2783">
        <w:rPr>
          <w:rFonts w:cs="Arial"/>
        </w:rPr>
        <w:t>(2012). The proposed new consolidated instrument will replace the three individual instruments.</w:t>
      </w:r>
    </w:p>
    <w:p w14:paraId="7EC79D31" w14:textId="77777777" w:rsidR="00057F65" w:rsidRPr="001E2783" w:rsidRDefault="00057F65" w:rsidP="00057F65">
      <w:pPr>
        <w:rPr>
          <w:rFonts w:cs="Arial"/>
        </w:rPr>
      </w:pPr>
    </w:p>
    <w:p w14:paraId="4AE65769" w14:textId="77777777" w:rsidR="00D956AC" w:rsidRPr="001E2783" w:rsidRDefault="003A4446" w:rsidP="00AF3C19">
      <w:pPr>
        <w:pStyle w:val="Heading3"/>
      </w:pPr>
      <w:bookmarkStart w:id="162" w:name="_Toc400018551"/>
      <w:r w:rsidRPr="001E2783">
        <w:t>Quality-of-</w:t>
      </w:r>
      <w:r w:rsidR="00052C7B" w:rsidRPr="001E2783">
        <w:t>service issues for standard telephone services</w:t>
      </w:r>
      <w:bookmarkEnd w:id="162"/>
    </w:p>
    <w:p w14:paraId="01B445AB" w14:textId="77777777" w:rsidR="00057F65" w:rsidRPr="001E2783" w:rsidRDefault="003A4446" w:rsidP="00057F65">
      <w:pPr>
        <w:rPr>
          <w:rFonts w:cs="Arial"/>
        </w:rPr>
      </w:pPr>
      <w:r w:rsidRPr="001E2783">
        <w:rPr>
          <w:rFonts w:cs="Arial"/>
        </w:rPr>
        <w:t>Quality-of-</w:t>
      </w:r>
      <w:r w:rsidR="00057F65" w:rsidRPr="001E2783">
        <w:rPr>
          <w:rFonts w:cs="Arial"/>
        </w:rPr>
        <w:t xml:space="preserve">service (QoS) refers to the technical aspects of a voice connection. While QoS has historically been regulated by means of technical specifications for circuit-switched voice telephony, voice over internet protocol (VoIP) is currently managed by non-regulatory means. </w:t>
      </w:r>
    </w:p>
    <w:p w14:paraId="7BE16185" w14:textId="77777777" w:rsidR="00057F65" w:rsidRPr="001E2783" w:rsidRDefault="00057F65" w:rsidP="00057F65">
      <w:pPr>
        <w:rPr>
          <w:rFonts w:cs="Arial"/>
        </w:rPr>
      </w:pPr>
    </w:p>
    <w:p w14:paraId="10673890" w14:textId="77777777" w:rsidR="00057F65" w:rsidRPr="001E2783" w:rsidRDefault="00057F65" w:rsidP="00057F65">
      <w:pPr>
        <w:rPr>
          <w:rFonts w:cs="Arial"/>
        </w:rPr>
      </w:pPr>
      <w:r w:rsidRPr="001E2783">
        <w:rPr>
          <w:rFonts w:cs="Arial"/>
        </w:rPr>
        <w:t>The ACMA is assessing the current regulatory mechanisms to determine whether they provide sufficient safeguards for the provision of voice telephony services delivered using IP-based networks. While the current regulation was developed primarily to regulate voice-only networks, the contemporary technical, operational and commercial environment is far more complex.</w:t>
      </w:r>
    </w:p>
    <w:p w14:paraId="62F19F7D" w14:textId="77777777" w:rsidR="00057F65" w:rsidRPr="001E2783" w:rsidRDefault="00057F65" w:rsidP="00057F65">
      <w:pPr>
        <w:rPr>
          <w:rFonts w:cs="Arial"/>
        </w:rPr>
      </w:pPr>
    </w:p>
    <w:p w14:paraId="6A805A92" w14:textId="77777777" w:rsidR="00057F65" w:rsidRPr="001E2783" w:rsidRDefault="003A4446" w:rsidP="00970328">
      <w:pPr>
        <w:keepLines/>
        <w:rPr>
          <w:rFonts w:cs="Arial"/>
        </w:rPr>
      </w:pPr>
      <w:r w:rsidRPr="001E2783">
        <w:rPr>
          <w:rFonts w:cs="Arial"/>
        </w:rPr>
        <w:t>As a result of discussions initiated by the ACMA, i</w:t>
      </w:r>
      <w:r w:rsidR="00057F65" w:rsidRPr="001E2783">
        <w:rPr>
          <w:rFonts w:cs="Arial"/>
        </w:rPr>
        <w:t>n 2013</w:t>
      </w:r>
      <w:r w:rsidRPr="001E2783">
        <w:rPr>
          <w:rFonts w:cs="Arial"/>
        </w:rPr>
        <w:t>–</w:t>
      </w:r>
      <w:r w:rsidR="00057F65" w:rsidRPr="001E2783">
        <w:rPr>
          <w:rFonts w:cs="Arial"/>
        </w:rPr>
        <w:t>14 Communications Alliance developed a draft Industry Guidance Note on VoIP Quality of Service. The ACMA has provided feedback to Communications Alliance and is further considering appropriate measures to man</w:t>
      </w:r>
      <w:r w:rsidRPr="001E2783">
        <w:rPr>
          <w:rFonts w:cs="Arial"/>
        </w:rPr>
        <w:t>age QoS issues in light of the g</w:t>
      </w:r>
      <w:r w:rsidR="00057F65" w:rsidRPr="001E2783">
        <w:rPr>
          <w:rFonts w:cs="Arial"/>
        </w:rPr>
        <w:t>overnment’s revised NBN deployment.</w:t>
      </w:r>
    </w:p>
    <w:p w14:paraId="591F7CE9" w14:textId="77777777" w:rsidR="00057F65" w:rsidRPr="001E2783" w:rsidRDefault="00057F65" w:rsidP="00057F65">
      <w:pPr>
        <w:rPr>
          <w:rFonts w:cs="Arial"/>
        </w:rPr>
      </w:pPr>
    </w:p>
    <w:p w14:paraId="2807E9BC" w14:textId="77777777" w:rsidR="00057F65" w:rsidRPr="001E2783" w:rsidRDefault="00057F65" w:rsidP="00057F65">
      <w:pPr>
        <w:pStyle w:val="Heading3"/>
      </w:pPr>
      <w:bookmarkStart w:id="163" w:name="_Toc400018552"/>
      <w:r w:rsidRPr="001E2783">
        <w:t>Advice to the minister on NBN level playing field exemption requests</w:t>
      </w:r>
      <w:bookmarkEnd w:id="163"/>
      <w:r w:rsidRPr="001E2783">
        <w:t xml:space="preserve"> </w:t>
      </w:r>
    </w:p>
    <w:p w14:paraId="529EAB23" w14:textId="77777777" w:rsidR="00057F65" w:rsidRPr="001E2783" w:rsidRDefault="00057F65" w:rsidP="00057F65">
      <w:pPr>
        <w:rPr>
          <w:rFonts w:cs="Arial"/>
        </w:rPr>
      </w:pPr>
      <w:r w:rsidRPr="001E2783">
        <w:rPr>
          <w:rFonts w:cs="Arial"/>
        </w:rPr>
        <w:t>The level playing field arrangements apply to fixed-line local access networks (or a part of such networks) that are built, upgrad</w:t>
      </w:r>
      <w:r w:rsidR="00E92E97" w:rsidRPr="001E2783">
        <w:rPr>
          <w:rFonts w:cs="Arial"/>
        </w:rPr>
        <w:t>ed, altered or extended after 1 </w:t>
      </w:r>
      <w:r w:rsidRPr="001E2783">
        <w:rPr>
          <w:rFonts w:cs="Arial"/>
        </w:rPr>
        <w:t xml:space="preserve">January 2011 so that they are capable of providing carriage services where the download transmission </w:t>
      </w:r>
      <w:r w:rsidR="00E92E97" w:rsidRPr="001E2783">
        <w:rPr>
          <w:rFonts w:cs="Arial"/>
        </w:rPr>
        <w:t>speed is normally more than 25 </w:t>
      </w:r>
      <w:r w:rsidRPr="001E2783">
        <w:rPr>
          <w:rFonts w:cs="Arial"/>
        </w:rPr>
        <w:t>megabits per</w:t>
      </w:r>
      <w:r w:rsidR="003A4446" w:rsidRPr="001E2783">
        <w:rPr>
          <w:rFonts w:cs="Arial"/>
        </w:rPr>
        <w:t xml:space="preserve"> second to residential or small-</w:t>
      </w:r>
      <w:r w:rsidRPr="001E2783">
        <w:rPr>
          <w:rFonts w:cs="Arial"/>
        </w:rPr>
        <w:t>business users. The effect of the arrangements is that such ‘superfast networks’ (other than the NBN) must be wholesale-only, and that the operator of such networks must supply a La</w:t>
      </w:r>
      <w:r w:rsidR="00E92E97" w:rsidRPr="001E2783">
        <w:rPr>
          <w:rFonts w:cs="Arial"/>
        </w:rPr>
        <w:t>yer </w:t>
      </w:r>
      <w:r w:rsidRPr="001E2783">
        <w:rPr>
          <w:rFonts w:cs="Arial"/>
        </w:rPr>
        <w:t>2 bitstream service on an open-access and non-discriminatory basis.</w:t>
      </w:r>
    </w:p>
    <w:p w14:paraId="2C182F63" w14:textId="77777777" w:rsidR="00057F65" w:rsidRPr="001E2783" w:rsidRDefault="00057F65" w:rsidP="00057F65">
      <w:pPr>
        <w:rPr>
          <w:rFonts w:cs="Arial"/>
        </w:rPr>
      </w:pPr>
    </w:p>
    <w:p w14:paraId="36DEC25B" w14:textId="77777777" w:rsidR="00057F65" w:rsidRPr="001E2783" w:rsidRDefault="00057F65" w:rsidP="00057F65">
      <w:pPr>
        <w:rPr>
          <w:rFonts w:cs="Arial"/>
        </w:rPr>
      </w:pPr>
      <w:r w:rsidRPr="001E2783">
        <w:rPr>
          <w:rFonts w:cs="Arial"/>
        </w:rPr>
        <w:t>The arrangements mean that end users have access to the same types of service outcomes whether they are connected to the NBN or another network provider. The arrangements also support NBN Co in achieving its national objectives, including uniform national wholesale pricing, by creating a more level playing field.</w:t>
      </w:r>
    </w:p>
    <w:p w14:paraId="1AD2EB49" w14:textId="77777777" w:rsidR="00057F65" w:rsidRPr="001E2783" w:rsidRDefault="00057F65" w:rsidP="00057F65">
      <w:pPr>
        <w:rPr>
          <w:rFonts w:cs="Arial"/>
        </w:rPr>
      </w:pPr>
    </w:p>
    <w:p w14:paraId="28991B46" w14:textId="77777777" w:rsidR="00057F65" w:rsidRPr="001E2783" w:rsidRDefault="00057F65" w:rsidP="00057F65">
      <w:pPr>
        <w:rPr>
          <w:rFonts w:cs="Arial"/>
        </w:rPr>
      </w:pPr>
      <w:r w:rsidRPr="001E2783">
        <w:rPr>
          <w:rFonts w:cs="Arial"/>
        </w:rPr>
        <w:t>The Tel</w:t>
      </w:r>
      <w:r w:rsidR="003A4446" w:rsidRPr="001E2783">
        <w:rPr>
          <w:rFonts w:cs="Arial"/>
        </w:rPr>
        <w:t>ecommunications Act allows the m</w:t>
      </w:r>
      <w:r w:rsidRPr="001E2783">
        <w:rPr>
          <w:rFonts w:cs="Arial"/>
        </w:rPr>
        <w:t>inister to give exemptions (conditional or unconditional) from the level playing field arrangements. Exemptions may relate to specified networks, specified local access lines or network owners. In considering requests for exemptions, the minister is required to con</w:t>
      </w:r>
      <w:r w:rsidR="003A4446" w:rsidRPr="001E2783">
        <w:rPr>
          <w:rFonts w:cs="Arial"/>
        </w:rPr>
        <w:t>sult the ACMA and ACCC. In 2013–</w:t>
      </w:r>
      <w:r w:rsidRPr="001E2783">
        <w:rPr>
          <w:rFonts w:cs="Arial"/>
        </w:rPr>
        <w:t>14, the ACMA provided technical advice to the minister on an extension to the exemption application for Telstra’s South Brisbane Exchange Service Area</w:t>
      </w:r>
    </w:p>
    <w:p w14:paraId="14B81869" w14:textId="77777777" w:rsidR="00CC119D" w:rsidRPr="001E2783" w:rsidRDefault="00CC119D" w:rsidP="00CC119D">
      <w:pPr>
        <w:rPr>
          <w:rFonts w:cs="Arial"/>
        </w:rPr>
      </w:pPr>
    </w:p>
    <w:p w14:paraId="758D2EA9" w14:textId="77777777" w:rsidR="00CC119D" w:rsidRPr="001E2783" w:rsidRDefault="00CC119D" w:rsidP="00CC119D">
      <w:pPr>
        <w:pStyle w:val="Heading3"/>
      </w:pPr>
      <w:bookmarkStart w:id="164" w:name="_Toc337727586"/>
      <w:bookmarkStart w:id="165" w:name="_Toc400018553"/>
      <w:r w:rsidRPr="001E2783">
        <w:t>Telecommunications infrastructure regulation</w:t>
      </w:r>
      <w:bookmarkEnd w:id="164"/>
      <w:bookmarkEnd w:id="165"/>
    </w:p>
    <w:p w14:paraId="44440447" w14:textId="77777777" w:rsidR="00CC119D" w:rsidRPr="001E2783" w:rsidRDefault="00CC119D" w:rsidP="00CC119D">
      <w:pPr>
        <w:pStyle w:val="BodysubheaderH4"/>
        <w:rPr>
          <w:rFonts w:cs="Arial"/>
        </w:rPr>
      </w:pPr>
      <w:r w:rsidRPr="001E2783">
        <w:rPr>
          <w:rFonts w:cs="Arial"/>
        </w:rPr>
        <w:t>Carriers’ rights and obligations</w:t>
      </w:r>
    </w:p>
    <w:p w14:paraId="0064ED71" w14:textId="77777777" w:rsidR="008D27BF" w:rsidRPr="001E2783" w:rsidRDefault="00E92E97" w:rsidP="008D27BF">
      <w:pPr>
        <w:rPr>
          <w:rFonts w:cs="Arial"/>
        </w:rPr>
      </w:pPr>
      <w:r w:rsidRPr="001E2783">
        <w:rPr>
          <w:rFonts w:cs="Arial"/>
        </w:rPr>
        <w:t>Schedule </w:t>
      </w:r>
      <w:r w:rsidR="008D27BF" w:rsidRPr="001E2783">
        <w:rPr>
          <w:rFonts w:cs="Arial"/>
        </w:rPr>
        <w:t>3 of the Telecommunications Act gives carriers the power to inspect land to determine whether it is suitable for their purposes, install certain facilities on the land and maintain a facility that is situated on the land.</w:t>
      </w:r>
    </w:p>
    <w:p w14:paraId="3AF5ACC4" w14:textId="77777777" w:rsidR="008D27BF" w:rsidRPr="001E2783" w:rsidRDefault="008D27BF" w:rsidP="008D27BF">
      <w:pPr>
        <w:rPr>
          <w:rFonts w:cs="Arial"/>
        </w:rPr>
      </w:pPr>
    </w:p>
    <w:p w14:paraId="7DF1B531" w14:textId="77777777" w:rsidR="008D27BF" w:rsidRPr="001E2783" w:rsidRDefault="008D27BF" w:rsidP="008D27BF">
      <w:pPr>
        <w:rPr>
          <w:rFonts w:cs="Arial"/>
        </w:rPr>
      </w:pPr>
      <w:r w:rsidRPr="001E2783">
        <w:rPr>
          <w:rFonts w:cs="Arial"/>
        </w:rPr>
        <w:t>The Telecommunications (Low-impact Facilities) Determination 1997 specifies the types of facilities (known as ‘low-impact’ facilities) that carriers are entitled to install without seeking state, territory or local government planning approval. Examples of low-impact facilities include small radiocommunications antennae and dishes that are erected on existing towers or buildings and underground cables.</w:t>
      </w:r>
    </w:p>
    <w:p w14:paraId="3CC106CC" w14:textId="77777777" w:rsidR="008D27BF" w:rsidRPr="001E2783" w:rsidRDefault="008D27BF" w:rsidP="008D27BF">
      <w:pPr>
        <w:rPr>
          <w:rFonts w:cs="Arial"/>
        </w:rPr>
      </w:pPr>
    </w:p>
    <w:p w14:paraId="542E8C76" w14:textId="77777777" w:rsidR="008D27BF" w:rsidRPr="001E2783" w:rsidRDefault="008D27BF" w:rsidP="008D27BF">
      <w:pPr>
        <w:rPr>
          <w:rFonts w:cs="Arial"/>
        </w:rPr>
      </w:pPr>
      <w:r w:rsidRPr="001E2783">
        <w:rPr>
          <w:rFonts w:cs="Arial"/>
        </w:rPr>
        <w:t>The ACMA may investigate suspected breaches of the Telecommunications Act, the code of practice and industry codes registered by the ACMA.</w:t>
      </w:r>
    </w:p>
    <w:p w14:paraId="18CF683B" w14:textId="77777777" w:rsidR="008D27BF" w:rsidRPr="001E2783" w:rsidRDefault="008D27BF" w:rsidP="008D27BF">
      <w:pPr>
        <w:rPr>
          <w:rFonts w:cs="Arial"/>
        </w:rPr>
      </w:pPr>
    </w:p>
    <w:p w14:paraId="67DE5F58" w14:textId="77777777" w:rsidR="008D27BF" w:rsidRPr="001E2783" w:rsidRDefault="008D27BF" w:rsidP="008D27BF">
      <w:pPr>
        <w:pStyle w:val="bodySUBSUBheaderh5"/>
        <w:rPr>
          <w:rFonts w:cs="Arial"/>
        </w:rPr>
      </w:pPr>
      <w:r w:rsidRPr="001E2783">
        <w:rPr>
          <w:rFonts w:cs="Arial"/>
        </w:rPr>
        <w:t xml:space="preserve">Enquiries and complaints about carriers’ rights and obligations </w:t>
      </w:r>
    </w:p>
    <w:p w14:paraId="58FCB0D9" w14:textId="708DEAC1" w:rsidR="008D27BF" w:rsidRPr="001E2783" w:rsidRDefault="008D27BF" w:rsidP="008D27BF">
      <w:pPr>
        <w:rPr>
          <w:rFonts w:cs="Arial"/>
        </w:rPr>
      </w:pPr>
      <w:r w:rsidRPr="001E2783">
        <w:rPr>
          <w:rFonts w:cs="Arial"/>
        </w:rPr>
        <w:t xml:space="preserve">In 2013–14, the ACMA received </w:t>
      </w:r>
      <w:r w:rsidR="000C2232" w:rsidRPr="001E2783">
        <w:rPr>
          <w:rFonts w:cs="Arial"/>
        </w:rPr>
        <w:t>no</w:t>
      </w:r>
      <w:r w:rsidRPr="001E2783">
        <w:rPr>
          <w:rFonts w:cs="Arial"/>
        </w:rPr>
        <w:t xml:space="preserve"> complaints ab</w:t>
      </w:r>
      <w:r w:rsidR="00E92E97" w:rsidRPr="001E2783">
        <w:rPr>
          <w:rFonts w:cs="Arial"/>
        </w:rPr>
        <w:t>out matters covered by Schedule </w:t>
      </w:r>
      <w:r w:rsidRPr="001E2783">
        <w:rPr>
          <w:rFonts w:cs="Arial"/>
        </w:rPr>
        <w:t xml:space="preserve">3 of the Telecommunications Act. The ACMA received </w:t>
      </w:r>
      <w:r w:rsidR="000C2232" w:rsidRPr="001E2783">
        <w:rPr>
          <w:rFonts w:cs="Arial"/>
        </w:rPr>
        <w:t>72</w:t>
      </w:r>
      <w:r w:rsidRPr="001E2783">
        <w:rPr>
          <w:rFonts w:cs="Arial"/>
        </w:rPr>
        <w:t xml:space="preserve"> enquiries from local councils, solicitors, landowners and members of the </w:t>
      </w:r>
      <w:r w:rsidR="00E92E97" w:rsidRPr="001E2783">
        <w:rPr>
          <w:rFonts w:cs="Arial"/>
        </w:rPr>
        <w:t>public about Schedule </w:t>
      </w:r>
      <w:r w:rsidRPr="001E2783">
        <w:rPr>
          <w:rFonts w:cs="Arial"/>
        </w:rPr>
        <w:t>3 of the Telecommunications Act and the code of practice.</w:t>
      </w:r>
    </w:p>
    <w:p w14:paraId="711954AA" w14:textId="77777777" w:rsidR="008D27BF" w:rsidRPr="001E2783" w:rsidRDefault="008D27BF" w:rsidP="008D27BF">
      <w:pPr>
        <w:rPr>
          <w:rFonts w:cs="Arial"/>
        </w:rPr>
      </w:pPr>
    </w:p>
    <w:p w14:paraId="73D1E3CF" w14:textId="77777777" w:rsidR="008D27BF" w:rsidRPr="001E2783" w:rsidRDefault="008D27BF" w:rsidP="008D27BF">
      <w:pPr>
        <w:pStyle w:val="BodysubheaderH4"/>
        <w:rPr>
          <w:rFonts w:cs="Arial"/>
        </w:rPr>
      </w:pPr>
      <w:r w:rsidRPr="001E2783">
        <w:rPr>
          <w:rFonts w:cs="Arial"/>
        </w:rPr>
        <w:t>Mobile phone base station deployment</w:t>
      </w:r>
    </w:p>
    <w:p w14:paraId="561D6553" w14:textId="77777777" w:rsidR="008D27BF" w:rsidRPr="001E2783" w:rsidRDefault="008D27BF" w:rsidP="008D27BF">
      <w:pPr>
        <w:rPr>
          <w:rFonts w:cs="Arial"/>
        </w:rPr>
      </w:pPr>
      <w:r w:rsidRPr="001E2783">
        <w:rPr>
          <w:rFonts w:cs="Arial"/>
        </w:rPr>
        <w:t xml:space="preserve">The planning and installation of mobile phone network infrastructure is subject </w:t>
      </w:r>
      <w:r w:rsidR="00D23717" w:rsidRPr="001E2783">
        <w:rPr>
          <w:rFonts w:cs="Arial"/>
        </w:rPr>
        <w:t>to the requirements imposed by i</w:t>
      </w:r>
      <w:r w:rsidRPr="001E2783">
        <w:rPr>
          <w:rFonts w:cs="Arial"/>
        </w:rPr>
        <w:t xml:space="preserve">ndustry </w:t>
      </w:r>
      <w:r w:rsidR="00D23717" w:rsidRPr="001E2783">
        <w:rPr>
          <w:rFonts w:cs="Arial"/>
        </w:rPr>
        <w:t>c</w:t>
      </w:r>
      <w:r w:rsidRPr="001E2783">
        <w:rPr>
          <w:rFonts w:cs="Arial"/>
        </w:rPr>
        <w:t>ode C564:2011</w:t>
      </w:r>
      <w:r w:rsidR="00433917" w:rsidRPr="001E2783">
        <w:rPr>
          <w:rFonts w:cs="Arial"/>
        </w:rPr>
        <w:t> </w:t>
      </w:r>
      <w:r w:rsidRPr="001E2783">
        <w:rPr>
          <w:rFonts w:cs="Arial"/>
          <w:i/>
        </w:rPr>
        <w:t>Mobile Phone Base Station Deployment</w:t>
      </w:r>
      <w:r w:rsidRPr="001E2783">
        <w:rPr>
          <w:rFonts w:cs="Arial"/>
        </w:rPr>
        <w:t>. The code is re</w:t>
      </w:r>
      <w:r w:rsidR="00E92E97" w:rsidRPr="001E2783">
        <w:rPr>
          <w:rFonts w:cs="Arial"/>
        </w:rPr>
        <w:t>gistered by the ACMA under Part </w:t>
      </w:r>
      <w:r w:rsidRPr="001E2783">
        <w:rPr>
          <w:rFonts w:cs="Arial"/>
        </w:rPr>
        <w:t>6 of the Telecommunication</w:t>
      </w:r>
      <w:r w:rsidR="00E92E97" w:rsidRPr="001E2783">
        <w:rPr>
          <w:rFonts w:cs="Arial"/>
        </w:rPr>
        <w:t>s Act and came into effect on 1 </w:t>
      </w:r>
      <w:r w:rsidRPr="001E2783">
        <w:rPr>
          <w:rFonts w:cs="Arial"/>
        </w:rPr>
        <w:t>July 2012.</w:t>
      </w:r>
    </w:p>
    <w:p w14:paraId="40C4F4FF" w14:textId="77777777" w:rsidR="008D27BF" w:rsidRPr="001E2783" w:rsidRDefault="008D27BF" w:rsidP="008D27BF">
      <w:pPr>
        <w:rPr>
          <w:rFonts w:cs="Arial"/>
        </w:rPr>
      </w:pPr>
    </w:p>
    <w:p w14:paraId="5EF7BE4A" w14:textId="77777777" w:rsidR="008D27BF" w:rsidRPr="001E2783" w:rsidRDefault="008D27BF" w:rsidP="008D27BF">
      <w:pPr>
        <w:spacing w:after="80"/>
        <w:rPr>
          <w:rFonts w:cs="Arial"/>
        </w:rPr>
      </w:pPr>
      <w:r w:rsidRPr="001E2783">
        <w:rPr>
          <w:rFonts w:cs="Arial"/>
        </w:rPr>
        <w:t xml:space="preserve">Under the code, industry must take a consultative and precautionary approach to the deployment of mobile phone network infrastructure. </w:t>
      </w:r>
      <w:r w:rsidR="00D23717" w:rsidRPr="001E2783">
        <w:rPr>
          <w:rFonts w:cs="Arial"/>
        </w:rPr>
        <w:t>C</w:t>
      </w:r>
      <w:r w:rsidRPr="001E2783">
        <w:rPr>
          <w:rFonts w:cs="Arial"/>
        </w:rPr>
        <w:t xml:space="preserve">arriers </w:t>
      </w:r>
      <w:r w:rsidR="00D23717" w:rsidRPr="001E2783">
        <w:rPr>
          <w:rFonts w:cs="Arial"/>
        </w:rPr>
        <w:t>must</w:t>
      </w:r>
      <w:r w:rsidRPr="001E2783">
        <w:rPr>
          <w:rFonts w:cs="Arial"/>
        </w:rPr>
        <w:t xml:space="preserve"> consult with local councils and the community on the placement of certain mobile phone facilities, typically low-impact facilities. </w:t>
      </w:r>
      <w:r w:rsidR="00D23717" w:rsidRPr="001E2783">
        <w:rPr>
          <w:rFonts w:cs="Arial"/>
        </w:rPr>
        <w:t>Anyone</w:t>
      </w:r>
      <w:r w:rsidRPr="001E2783">
        <w:rPr>
          <w:rFonts w:cs="Arial"/>
        </w:rPr>
        <w:t xml:space="preserve"> not satisfied that a carrier has complied with the code may complain to th</w:t>
      </w:r>
      <w:r w:rsidR="00E92E97" w:rsidRPr="001E2783">
        <w:rPr>
          <w:rFonts w:cs="Arial"/>
        </w:rPr>
        <w:t>e ACMA. In accordance with Part </w:t>
      </w:r>
      <w:r w:rsidRPr="001E2783">
        <w:rPr>
          <w:rFonts w:cs="Arial"/>
        </w:rPr>
        <w:t>26 of the Telecommunications Act, the ACMA may do one of the following:</w:t>
      </w:r>
    </w:p>
    <w:p w14:paraId="614C0D0C" w14:textId="77777777" w:rsidR="008D27BF" w:rsidRPr="001E2783" w:rsidRDefault="008D27BF" w:rsidP="008D27BF">
      <w:pPr>
        <w:pStyle w:val="ListBullet"/>
        <w:rPr>
          <w:rFonts w:cs="Arial"/>
        </w:rPr>
      </w:pPr>
      <w:r w:rsidRPr="001E2783">
        <w:rPr>
          <w:rFonts w:cs="Arial"/>
        </w:rPr>
        <w:t>decide to investigate the matter</w:t>
      </w:r>
    </w:p>
    <w:p w14:paraId="3D9D8257" w14:textId="77777777" w:rsidR="008D27BF" w:rsidRPr="001E2783" w:rsidRDefault="008D27BF" w:rsidP="008D27BF">
      <w:pPr>
        <w:pStyle w:val="ListBullet"/>
        <w:rPr>
          <w:rFonts w:cs="Arial"/>
        </w:rPr>
      </w:pPr>
      <w:r w:rsidRPr="001E2783">
        <w:rPr>
          <w:rFonts w:cs="Arial"/>
        </w:rPr>
        <w:t xml:space="preserve">make preliminary enquiries of the respondent to decide whether </w:t>
      </w:r>
      <w:r w:rsidR="00D23717" w:rsidRPr="001E2783">
        <w:rPr>
          <w:rFonts w:cs="Arial"/>
        </w:rPr>
        <w:t xml:space="preserve">to </w:t>
      </w:r>
      <w:r w:rsidRPr="001E2783">
        <w:rPr>
          <w:rFonts w:cs="Arial"/>
        </w:rPr>
        <w:t>investigate the matter</w:t>
      </w:r>
    </w:p>
    <w:p w14:paraId="5E9E1C8B" w14:textId="77777777" w:rsidR="008D27BF" w:rsidRPr="001E2783" w:rsidRDefault="008D27BF" w:rsidP="008D27BF">
      <w:pPr>
        <w:pStyle w:val="ListBullet"/>
        <w:spacing w:after="240"/>
        <w:rPr>
          <w:rFonts w:cs="Arial"/>
        </w:rPr>
      </w:pPr>
      <w:r w:rsidRPr="001E2783">
        <w:rPr>
          <w:rFonts w:cs="Arial"/>
        </w:rPr>
        <w:t xml:space="preserve">decide not to investigate the matter. </w:t>
      </w:r>
    </w:p>
    <w:p w14:paraId="72B9F1A3" w14:textId="77777777" w:rsidR="008D27BF" w:rsidRPr="001E2783" w:rsidRDefault="008D27BF" w:rsidP="008D27BF">
      <w:pPr>
        <w:rPr>
          <w:rFonts w:cs="Arial"/>
        </w:rPr>
      </w:pPr>
      <w:r w:rsidRPr="001E2783">
        <w:rPr>
          <w:rFonts w:cs="Arial"/>
        </w:rPr>
        <w:t>The criteria to consider are those set out in the code and in Schedule 3 to the Telecommunications Act. The ACMA has the power to issue formal warnings and directions to carriers to comply with the code. It does not have the power to make a carrier relocate its facility.</w:t>
      </w:r>
    </w:p>
    <w:p w14:paraId="6277DEB1" w14:textId="77777777" w:rsidR="008D27BF" w:rsidRPr="001E2783" w:rsidRDefault="008D27BF" w:rsidP="008D27BF">
      <w:pPr>
        <w:rPr>
          <w:rFonts w:cs="Arial"/>
        </w:rPr>
      </w:pPr>
    </w:p>
    <w:p w14:paraId="2BA71C78" w14:textId="77777777" w:rsidR="008D27BF" w:rsidRPr="001E2783" w:rsidRDefault="008D27BF" w:rsidP="008D27BF">
      <w:pPr>
        <w:rPr>
          <w:rFonts w:cs="Arial"/>
        </w:rPr>
      </w:pPr>
      <w:r w:rsidRPr="001E2783">
        <w:rPr>
          <w:rFonts w:cs="Arial"/>
        </w:rPr>
        <w:t xml:space="preserve">In 2013–14, the ACMA received </w:t>
      </w:r>
      <w:r w:rsidR="000C2232" w:rsidRPr="001E2783">
        <w:rPr>
          <w:rFonts w:cs="Arial"/>
        </w:rPr>
        <w:t xml:space="preserve">two </w:t>
      </w:r>
      <w:r w:rsidRPr="001E2783">
        <w:rPr>
          <w:rFonts w:cs="Arial"/>
        </w:rPr>
        <w:t>complaint</w:t>
      </w:r>
      <w:r w:rsidR="00D23717" w:rsidRPr="001E2783">
        <w:rPr>
          <w:rFonts w:cs="Arial"/>
        </w:rPr>
        <w:t>s</w:t>
      </w:r>
      <w:r w:rsidRPr="001E2783">
        <w:rPr>
          <w:rFonts w:cs="Arial"/>
        </w:rPr>
        <w:t xml:space="preserve"> and </w:t>
      </w:r>
      <w:r w:rsidR="000C2232" w:rsidRPr="001E2783">
        <w:rPr>
          <w:rFonts w:cs="Arial"/>
        </w:rPr>
        <w:t xml:space="preserve">23 </w:t>
      </w:r>
      <w:r w:rsidRPr="001E2783">
        <w:rPr>
          <w:rFonts w:cs="Arial"/>
        </w:rPr>
        <w:t xml:space="preserve">enquiries about the industry code. Of the complaints received, the ACMA considered that the matters raised were not sufficient to warrant investigation. Carriers conducted an estimated </w:t>
      </w:r>
      <w:r w:rsidR="000C2232" w:rsidRPr="001E2783">
        <w:rPr>
          <w:rFonts w:cs="Arial"/>
        </w:rPr>
        <w:t>3,447</w:t>
      </w:r>
      <w:r w:rsidRPr="001E2783">
        <w:rPr>
          <w:rFonts w:cs="Arial"/>
        </w:rPr>
        <w:t xml:space="preserve"> consultations under the code during this period.</w:t>
      </w:r>
    </w:p>
    <w:p w14:paraId="44FBFE36" w14:textId="77777777" w:rsidR="008D27BF" w:rsidRPr="001E2783" w:rsidRDefault="008D27BF" w:rsidP="008D27BF">
      <w:pPr>
        <w:rPr>
          <w:rFonts w:cs="Arial"/>
        </w:rPr>
      </w:pPr>
    </w:p>
    <w:p w14:paraId="1254368F" w14:textId="77777777" w:rsidR="00C702F6" w:rsidRPr="001E2783" w:rsidRDefault="00C702F6" w:rsidP="00C702F6">
      <w:pPr>
        <w:pStyle w:val="Heading3"/>
      </w:pPr>
      <w:bookmarkStart w:id="166" w:name="_Toc400018554"/>
      <w:r w:rsidRPr="001E2783">
        <w:t>Submarine cable protection</w:t>
      </w:r>
      <w:bookmarkEnd w:id="166"/>
    </w:p>
    <w:p w14:paraId="43BDD6BA" w14:textId="77777777" w:rsidR="00C702F6" w:rsidRPr="001E2783" w:rsidRDefault="00C702F6" w:rsidP="00C702F6">
      <w:pPr>
        <w:rPr>
          <w:rFonts w:cs="Arial"/>
        </w:rPr>
      </w:pPr>
      <w:r w:rsidRPr="001E2783">
        <w:rPr>
          <w:rFonts w:cs="Arial"/>
        </w:rPr>
        <w:t>Submarine cables carry the bulk of Australia’s international voice and data traffic</w:t>
      </w:r>
      <w:r w:rsidR="00D23717" w:rsidRPr="001E2783">
        <w:rPr>
          <w:rFonts w:cs="Arial"/>
        </w:rPr>
        <w:t>,</w:t>
      </w:r>
      <w:r w:rsidRPr="001E2783">
        <w:rPr>
          <w:rFonts w:cs="Arial"/>
        </w:rPr>
        <w:t xml:space="preserve"> and contribute significantly to the Australian economy.</w:t>
      </w:r>
    </w:p>
    <w:p w14:paraId="64E3820C" w14:textId="77777777" w:rsidR="00C702F6" w:rsidRPr="001E2783" w:rsidRDefault="00C702F6" w:rsidP="00C702F6">
      <w:pPr>
        <w:rPr>
          <w:rFonts w:cs="Arial"/>
        </w:rPr>
      </w:pPr>
    </w:p>
    <w:p w14:paraId="0700F675" w14:textId="77777777" w:rsidR="00C702F6" w:rsidRPr="001E2783" w:rsidRDefault="00C702F6" w:rsidP="00C702F6">
      <w:pPr>
        <w:rPr>
          <w:rFonts w:cs="Arial"/>
        </w:rPr>
      </w:pPr>
      <w:r w:rsidRPr="001E2783">
        <w:rPr>
          <w:rFonts w:cs="Arial"/>
        </w:rPr>
        <w:t>Schedule 3A of the Telecommunications Act permits the ACMA to declare protection zones over nationally significant cables and to prohibit or restrict activities that pose a risk of damaging cables in these zones. The legislation establishes offences for damaging a cable or breaching prohibitions and restrictions, and creates penalties for these offences. Australia has three submarine cable protection zones—two off the Sydney coast and one off the Perth coast.</w:t>
      </w:r>
    </w:p>
    <w:p w14:paraId="4AFB8FCA" w14:textId="77777777" w:rsidR="00C702F6" w:rsidRPr="001E2783" w:rsidRDefault="00C702F6" w:rsidP="00C702F6">
      <w:pPr>
        <w:rPr>
          <w:rFonts w:cs="Arial"/>
        </w:rPr>
      </w:pPr>
    </w:p>
    <w:p w14:paraId="2FC81572" w14:textId="28626C38" w:rsidR="00C702F6" w:rsidRPr="001E2783" w:rsidRDefault="00C702F6" w:rsidP="00C702F6">
      <w:pPr>
        <w:outlineLvl w:val="0"/>
        <w:rPr>
          <w:rFonts w:cs="Arial"/>
        </w:rPr>
      </w:pPr>
      <w:r w:rsidRPr="001E2783">
        <w:rPr>
          <w:rFonts w:cs="Arial"/>
        </w:rPr>
        <w:t>No requests for new submarine cable protection zo</w:t>
      </w:r>
      <w:r w:rsidR="00D23717" w:rsidRPr="001E2783">
        <w:rPr>
          <w:rFonts w:cs="Arial"/>
        </w:rPr>
        <w:t xml:space="preserve">nes were considered during </w:t>
      </w:r>
      <w:r w:rsidR="00970328" w:rsidRPr="001E2783">
        <w:rPr>
          <w:rFonts w:cs="Arial"/>
        </w:rPr>
        <w:br/>
      </w:r>
      <w:r w:rsidR="00D23717" w:rsidRPr="001E2783">
        <w:rPr>
          <w:rFonts w:cs="Arial"/>
        </w:rPr>
        <w:t>2013–</w:t>
      </w:r>
      <w:r w:rsidRPr="001E2783">
        <w:rPr>
          <w:rFonts w:cs="Arial"/>
        </w:rPr>
        <w:t>14.</w:t>
      </w:r>
    </w:p>
    <w:p w14:paraId="29EB80D2" w14:textId="77777777" w:rsidR="000C2232" w:rsidRPr="001E2783" w:rsidRDefault="000C2232" w:rsidP="00C702F6">
      <w:pPr>
        <w:outlineLvl w:val="0"/>
        <w:rPr>
          <w:rFonts w:cs="Arial"/>
        </w:rPr>
      </w:pPr>
    </w:p>
    <w:p w14:paraId="4AB9B9ED" w14:textId="77777777" w:rsidR="000C2232" w:rsidRPr="001E2783" w:rsidRDefault="000C2232" w:rsidP="000C2232">
      <w:pPr>
        <w:rPr>
          <w:rFonts w:cs="Arial"/>
        </w:rPr>
      </w:pPr>
      <w:r w:rsidRPr="001E2783">
        <w:rPr>
          <w:rFonts w:cs="Arial"/>
        </w:rPr>
        <w:t xml:space="preserve">Two applications for non-protection zone installation permits (NPZ permits) were granted to separate carriers during 2013–14. Both NPZ permits allow installation of submarine cables in the waters beyond the Perth Submarine Cable Protection Zone. </w:t>
      </w:r>
    </w:p>
    <w:p w14:paraId="521E976E" w14:textId="77777777" w:rsidR="000C2232" w:rsidRPr="001E2783" w:rsidRDefault="000C2232" w:rsidP="000C2232">
      <w:pPr>
        <w:rPr>
          <w:rFonts w:cs="Arial"/>
        </w:rPr>
      </w:pPr>
    </w:p>
    <w:p w14:paraId="7AA44B19" w14:textId="77777777" w:rsidR="000C2232" w:rsidRPr="001E2783" w:rsidRDefault="000C2232" w:rsidP="000C2232">
      <w:pPr>
        <w:rPr>
          <w:rFonts w:cs="Arial"/>
        </w:rPr>
      </w:pPr>
      <w:r w:rsidRPr="001E2783">
        <w:rPr>
          <w:rFonts w:cs="Arial"/>
        </w:rPr>
        <w:t xml:space="preserve">Two applications for protection zone installation permits (PZ permits) were also granted during 2013–14 to install submarine cables; one in the Perth PZ and one in the Southern Sydney PZ. </w:t>
      </w:r>
    </w:p>
    <w:p w14:paraId="0BE1ECC1" w14:textId="77777777" w:rsidR="000C2232" w:rsidRPr="001E2783" w:rsidRDefault="000C2232" w:rsidP="000C2232">
      <w:pPr>
        <w:rPr>
          <w:rFonts w:cs="Arial"/>
        </w:rPr>
      </w:pPr>
    </w:p>
    <w:p w14:paraId="75446687" w14:textId="77777777" w:rsidR="000C2232" w:rsidRPr="001E2783" w:rsidRDefault="000C2232" w:rsidP="000C2232">
      <w:pPr>
        <w:rPr>
          <w:rFonts w:cs="Arial"/>
        </w:rPr>
      </w:pPr>
      <w:r w:rsidRPr="001E2783">
        <w:rPr>
          <w:rFonts w:cs="Arial"/>
        </w:rPr>
        <w:t>The ACMA received two requests to extend an existing PZ permit in 2013–14 and one request to vary an existing PZ permit.</w:t>
      </w:r>
    </w:p>
    <w:p w14:paraId="5C1E2EA5" w14:textId="77777777" w:rsidR="000C2232" w:rsidRPr="001E2783" w:rsidRDefault="000C2232" w:rsidP="000C2232">
      <w:pPr>
        <w:rPr>
          <w:rFonts w:cs="Arial"/>
        </w:rPr>
      </w:pPr>
    </w:p>
    <w:p w14:paraId="0CF05579" w14:textId="77777777" w:rsidR="000C2232" w:rsidRPr="001E2783" w:rsidRDefault="000C2232" w:rsidP="000C2232">
      <w:pPr>
        <w:rPr>
          <w:rFonts w:cs="Arial"/>
        </w:rPr>
      </w:pPr>
      <w:r w:rsidRPr="001E2783">
        <w:rPr>
          <w:rFonts w:cs="Arial"/>
        </w:rPr>
        <w:t>New legisla</w:t>
      </w:r>
      <w:r w:rsidR="00E81694" w:rsidRPr="001E2783">
        <w:rPr>
          <w:rFonts w:cs="Arial"/>
        </w:rPr>
        <w:t>tion, brought into effect on 28 May 2014, has amended Schedule </w:t>
      </w:r>
      <w:r w:rsidRPr="001E2783">
        <w:rPr>
          <w:rFonts w:cs="Arial"/>
        </w:rPr>
        <w:t>3A. The amendments provide transparency and certainty to submarine cable operators, and further enhance the operation of the submarine cable installation permit system so that administrative processes are more efficient.</w:t>
      </w:r>
    </w:p>
    <w:p w14:paraId="7B0BBB26" w14:textId="77777777" w:rsidR="000C2232" w:rsidRPr="001E2783" w:rsidRDefault="000C2232" w:rsidP="000C2232">
      <w:pPr>
        <w:rPr>
          <w:rFonts w:cs="Arial"/>
        </w:rPr>
      </w:pPr>
    </w:p>
    <w:p w14:paraId="0C17A9DA" w14:textId="77777777" w:rsidR="000C2232" w:rsidRPr="001E2783" w:rsidRDefault="00E81694" w:rsidP="00786AC8">
      <w:pPr>
        <w:spacing w:after="80"/>
        <w:rPr>
          <w:rFonts w:cs="Arial"/>
        </w:rPr>
      </w:pPr>
      <w:r w:rsidRPr="001E2783">
        <w:rPr>
          <w:rFonts w:cs="Arial"/>
        </w:rPr>
        <w:t>Key changes to Schedule </w:t>
      </w:r>
      <w:r w:rsidR="000C2232" w:rsidRPr="001E2783">
        <w:rPr>
          <w:rFonts w:cs="Arial"/>
        </w:rPr>
        <w:t>3A include:</w:t>
      </w:r>
    </w:p>
    <w:p w14:paraId="02DBCC38" w14:textId="77777777" w:rsidR="000C2232" w:rsidRPr="001E2783" w:rsidRDefault="000C2232" w:rsidP="00786AC8">
      <w:pPr>
        <w:pStyle w:val="ListBullet"/>
        <w:rPr>
          <w:rFonts w:cs="Arial"/>
        </w:rPr>
      </w:pPr>
      <w:r w:rsidRPr="001E2783">
        <w:rPr>
          <w:rFonts w:cs="Arial"/>
        </w:rPr>
        <w:t>providing a clearer consultation process between the ACMA and the Attorney-General’s Department on submarine cable i</w:t>
      </w:r>
      <w:r w:rsidR="00786AC8" w:rsidRPr="001E2783">
        <w:rPr>
          <w:rFonts w:cs="Arial"/>
        </w:rPr>
        <w:t>nstallation permit applications</w:t>
      </w:r>
    </w:p>
    <w:p w14:paraId="4536206A" w14:textId="77777777" w:rsidR="000C2232" w:rsidRPr="001E2783" w:rsidRDefault="000C2232" w:rsidP="00786AC8">
      <w:pPr>
        <w:pStyle w:val="ListBullet"/>
        <w:rPr>
          <w:rFonts w:cs="Arial"/>
        </w:rPr>
      </w:pPr>
      <w:r w:rsidRPr="001E2783">
        <w:rPr>
          <w:rFonts w:cs="Arial"/>
        </w:rPr>
        <w:t>removing the requirement to obtain multiple permits to install a submarine cable that runs through a protection zone a</w:t>
      </w:r>
      <w:r w:rsidR="00786AC8" w:rsidRPr="001E2783">
        <w:rPr>
          <w:rFonts w:cs="Arial"/>
        </w:rPr>
        <w:t>nd non-protection zone areas</w:t>
      </w:r>
    </w:p>
    <w:p w14:paraId="48865275" w14:textId="77777777" w:rsidR="000C2232" w:rsidRPr="001E2783" w:rsidRDefault="000C2232" w:rsidP="00786AC8">
      <w:pPr>
        <w:pStyle w:val="ListBullet"/>
        <w:rPr>
          <w:rFonts w:cs="Arial"/>
        </w:rPr>
      </w:pPr>
      <w:r w:rsidRPr="001E2783">
        <w:rPr>
          <w:rFonts w:cs="Arial"/>
        </w:rPr>
        <w:t>shortening pe</w:t>
      </w:r>
      <w:r w:rsidR="00786AC8" w:rsidRPr="001E2783">
        <w:rPr>
          <w:rFonts w:cs="Arial"/>
        </w:rPr>
        <w:t>rmit application time frames</w:t>
      </w:r>
    </w:p>
    <w:p w14:paraId="64163C13" w14:textId="77777777" w:rsidR="000C2232" w:rsidRPr="001E2783" w:rsidRDefault="000C2232" w:rsidP="00786AC8">
      <w:pPr>
        <w:pStyle w:val="ListBullet"/>
        <w:spacing w:after="240"/>
        <w:rPr>
          <w:rFonts w:cs="Arial"/>
        </w:rPr>
      </w:pPr>
      <w:r w:rsidRPr="001E2783">
        <w:rPr>
          <w:rFonts w:cs="Arial"/>
        </w:rPr>
        <w:t xml:space="preserve">reducing unnecessary duplication with the </w:t>
      </w:r>
      <w:r w:rsidRPr="001E2783">
        <w:rPr>
          <w:rFonts w:cs="Arial"/>
          <w:i/>
        </w:rPr>
        <w:t>Environment Protection and Biodiversity Conservation Act 1999</w:t>
      </w:r>
      <w:r w:rsidRPr="001E2783">
        <w:rPr>
          <w:rFonts w:cs="Arial"/>
        </w:rPr>
        <w:t>.</w:t>
      </w:r>
    </w:p>
    <w:p w14:paraId="440BA27B" w14:textId="77777777" w:rsidR="000317E9" w:rsidRPr="001E2783" w:rsidRDefault="000317E9" w:rsidP="000317E9">
      <w:pPr>
        <w:pStyle w:val="Heading2"/>
      </w:pPr>
      <w:bookmarkStart w:id="167" w:name="_Toc337727588"/>
      <w:bookmarkStart w:id="168" w:name="_Toc400018555"/>
      <w:r w:rsidRPr="001E2783">
        <w:t>Compliance and enforcement</w:t>
      </w:r>
      <w:bookmarkEnd w:id="167"/>
      <w:bookmarkEnd w:id="168"/>
    </w:p>
    <w:p w14:paraId="0D653303" w14:textId="77777777" w:rsidR="000317E9" w:rsidRPr="001E2783" w:rsidRDefault="000317E9" w:rsidP="000317E9">
      <w:pPr>
        <w:rPr>
          <w:rFonts w:cs="Arial"/>
        </w:rPr>
      </w:pPr>
      <w:r w:rsidRPr="001E2783">
        <w:rPr>
          <w:rFonts w:cs="Arial"/>
        </w:rPr>
        <w:t xml:space="preserve">The ACMA works with the communications and media industries to foster compliance with legislation, codes, licence conditions and other regulatory instruments. </w:t>
      </w:r>
      <w:r w:rsidR="00006EB8" w:rsidRPr="001E2783">
        <w:rPr>
          <w:rFonts w:cs="Arial"/>
        </w:rPr>
        <w:t>It</w:t>
      </w:r>
      <w:r w:rsidRPr="001E2783">
        <w:rPr>
          <w:rFonts w:cs="Arial"/>
        </w:rPr>
        <w:t xml:space="preserve"> also registers and monitors compliance with industry codes developed by the communications industry.</w:t>
      </w:r>
    </w:p>
    <w:p w14:paraId="7E62A3E5" w14:textId="77777777" w:rsidR="000317E9" w:rsidRPr="001E2783" w:rsidRDefault="000317E9" w:rsidP="000317E9">
      <w:pPr>
        <w:rPr>
          <w:rFonts w:cs="Arial"/>
        </w:rPr>
      </w:pPr>
    </w:p>
    <w:p w14:paraId="29369608" w14:textId="77777777" w:rsidR="000317E9" w:rsidRPr="001E2783" w:rsidRDefault="000317E9" w:rsidP="000317E9">
      <w:pPr>
        <w:spacing w:after="80"/>
        <w:rPr>
          <w:rFonts w:cs="Arial"/>
        </w:rPr>
      </w:pPr>
      <w:r w:rsidRPr="001E2783">
        <w:rPr>
          <w:rFonts w:cs="Arial"/>
        </w:rPr>
        <w:t>The ACMA applies a principles- and risk-based approach to compliance and enforcement that generally:</w:t>
      </w:r>
    </w:p>
    <w:p w14:paraId="2E2684E7" w14:textId="77777777" w:rsidR="000317E9" w:rsidRPr="001E2783" w:rsidRDefault="000317E9" w:rsidP="000317E9">
      <w:pPr>
        <w:pStyle w:val="ListBullet"/>
        <w:ind w:left="284"/>
        <w:rPr>
          <w:rFonts w:cs="Arial"/>
        </w:rPr>
      </w:pPr>
      <w:r w:rsidRPr="001E2783">
        <w:rPr>
          <w:rFonts w:cs="Arial"/>
        </w:rPr>
        <w:t>recognises the capacity of regulated entities to become compliant</w:t>
      </w:r>
    </w:p>
    <w:p w14:paraId="16C55D26" w14:textId="77777777" w:rsidR="000317E9" w:rsidRPr="001E2783" w:rsidRDefault="000317E9" w:rsidP="000317E9">
      <w:pPr>
        <w:pStyle w:val="ListBullet"/>
        <w:ind w:left="284"/>
        <w:rPr>
          <w:rFonts w:cs="Arial"/>
        </w:rPr>
      </w:pPr>
      <w:r w:rsidRPr="001E2783">
        <w:rPr>
          <w:rFonts w:cs="Arial"/>
        </w:rPr>
        <w:t>reflects the importance of cooperative approaches using, among other things, education and awareness to achieve voluntary compliance</w:t>
      </w:r>
      <w:r w:rsidR="00B87281" w:rsidRPr="001E2783">
        <w:rPr>
          <w:rFonts w:cs="Arial"/>
        </w:rPr>
        <w:t>,</w:t>
      </w:r>
      <w:r w:rsidRPr="001E2783">
        <w:rPr>
          <w:rFonts w:cs="Arial"/>
        </w:rPr>
        <w:t xml:space="preserve"> but</w:t>
      </w:r>
      <w:r w:rsidR="00B87281" w:rsidRPr="001E2783">
        <w:rPr>
          <w:rFonts w:cs="Arial"/>
        </w:rPr>
        <w:t xml:space="preserve"> also</w:t>
      </w:r>
      <w:r w:rsidRPr="001E2783">
        <w:rPr>
          <w:rFonts w:cs="Arial"/>
        </w:rPr>
        <w:t xml:space="preserve"> recognis</w:t>
      </w:r>
      <w:r w:rsidR="00B87281" w:rsidRPr="001E2783">
        <w:rPr>
          <w:rFonts w:cs="Arial"/>
        </w:rPr>
        <w:t>ing</w:t>
      </w:r>
      <w:r w:rsidRPr="001E2783">
        <w:rPr>
          <w:rFonts w:cs="Arial"/>
        </w:rPr>
        <w:t xml:space="preserve"> that a range of escalated compliance actions are available, as demonstrated in the examples below</w:t>
      </w:r>
    </w:p>
    <w:p w14:paraId="2C933C5E" w14:textId="77777777" w:rsidR="000317E9" w:rsidRPr="001E2783" w:rsidRDefault="000317E9" w:rsidP="000317E9">
      <w:pPr>
        <w:pStyle w:val="ListBullet"/>
        <w:ind w:left="284"/>
        <w:rPr>
          <w:rFonts w:cs="Arial"/>
        </w:rPr>
      </w:pPr>
      <w:r w:rsidRPr="001E2783">
        <w:rPr>
          <w:rFonts w:cs="Arial"/>
        </w:rPr>
        <w:t>matches enforcement responses so they are proportional to the se</w:t>
      </w:r>
      <w:r w:rsidR="00006EB8" w:rsidRPr="001E2783">
        <w:rPr>
          <w:rFonts w:cs="Arial"/>
        </w:rPr>
        <w:t>riousness of the non-compliance</w:t>
      </w:r>
      <w:r w:rsidRPr="001E2783">
        <w:rPr>
          <w:rFonts w:cs="Arial"/>
        </w:rPr>
        <w:t xml:space="preserve"> and take account of broader compliance objectives</w:t>
      </w:r>
    </w:p>
    <w:p w14:paraId="277FB984" w14:textId="77777777" w:rsidR="000317E9" w:rsidRPr="001E2783" w:rsidRDefault="000317E9" w:rsidP="000317E9">
      <w:pPr>
        <w:pStyle w:val="ListBullet"/>
        <w:spacing w:after="240"/>
        <w:ind w:left="284"/>
        <w:rPr>
          <w:rFonts w:cs="Arial"/>
        </w:rPr>
      </w:pPr>
      <w:r w:rsidRPr="001E2783">
        <w:rPr>
          <w:rFonts w:cs="Arial"/>
        </w:rPr>
        <w:t>maintains flexibility and preparedness to escalate and de-escalate compliance action.</w:t>
      </w:r>
    </w:p>
    <w:p w14:paraId="69FCCED9" w14:textId="77777777" w:rsidR="000317E9" w:rsidRPr="001E2783" w:rsidRDefault="000317E9" w:rsidP="000317E9">
      <w:pPr>
        <w:rPr>
          <w:rFonts w:cs="Arial"/>
        </w:rPr>
      </w:pPr>
      <w:r w:rsidRPr="001E2783">
        <w:rPr>
          <w:rFonts w:cs="Arial"/>
        </w:rPr>
        <w:t xml:space="preserve">This approach supports and enables the effective and efficient achievement of compliance objectives so that any regulatory burden imposed by the ACMA’s compliance activities is the minimum necessary to achieve the intended outcome. </w:t>
      </w:r>
    </w:p>
    <w:p w14:paraId="22984921" w14:textId="77777777" w:rsidR="000317E9" w:rsidRPr="001E2783" w:rsidRDefault="000317E9" w:rsidP="000317E9">
      <w:pPr>
        <w:rPr>
          <w:rFonts w:cs="Arial"/>
        </w:rPr>
      </w:pPr>
    </w:p>
    <w:p w14:paraId="473A38DA" w14:textId="77777777" w:rsidR="000317E9" w:rsidRPr="001E2783" w:rsidRDefault="000317E9" w:rsidP="000317E9">
      <w:pPr>
        <w:spacing w:after="80"/>
        <w:rPr>
          <w:rFonts w:cs="Arial"/>
        </w:rPr>
      </w:pPr>
      <w:r w:rsidRPr="001E2783">
        <w:rPr>
          <w:rFonts w:cs="Arial"/>
        </w:rPr>
        <w:t>The following section discusses compliance in the major areas of:</w:t>
      </w:r>
    </w:p>
    <w:p w14:paraId="1FA3D013" w14:textId="77777777" w:rsidR="000317E9" w:rsidRPr="001E2783" w:rsidRDefault="000317E9" w:rsidP="000317E9">
      <w:pPr>
        <w:pStyle w:val="ListBullet"/>
        <w:tabs>
          <w:tab w:val="clear" w:pos="295"/>
        </w:tabs>
        <w:ind w:left="284"/>
        <w:rPr>
          <w:rFonts w:cs="Arial"/>
        </w:rPr>
      </w:pPr>
      <w:r w:rsidRPr="001E2783">
        <w:rPr>
          <w:rFonts w:cs="Arial"/>
        </w:rPr>
        <w:t>radiocommunications</w:t>
      </w:r>
    </w:p>
    <w:p w14:paraId="6A722A50" w14:textId="77777777" w:rsidR="000317E9" w:rsidRPr="001E2783" w:rsidRDefault="000317E9" w:rsidP="000317E9">
      <w:pPr>
        <w:pStyle w:val="ListBullet"/>
        <w:tabs>
          <w:tab w:val="clear" w:pos="295"/>
        </w:tabs>
        <w:ind w:left="284"/>
        <w:rPr>
          <w:rFonts w:cs="Arial"/>
        </w:rPr>
      </w:pPr>
      <w:r w:rsidRPr="001E2783">
        <w:rPr>
          <w:rFonts w:cs="Arial"/>
        </w:rPr>
        <w:t>cabling and labelling</w:t>
      </w:r>
    </w:p>
    <w:p w14:paraId="38CE2EDB" w14:textId="77777777" w:rsidR="000317E9" w:rsidRPr="001E2783" w:rsidRDefault="000317E9" w:rsidP="000317E9">
      <w:pPr>
        <w:pStyle w:val="ListBullet"/>
        <w:tabs>
          <w:tab w:val="clear" w:pos="295"/>
        </w:tabs>
        <w:ind w:left="284"/>
        <w:rPr>
          <w:rFonts w:cs="Arial"/>
        </w:rPr>
      </w:pPr>
      <w:r w:rsidRPr="001E2783">
        <w:rPr>
          <w:rFonts w:cs="Arial"/>
        </w:rPr>
        <w:t>telecommunications</w:t>
      </w:r>
    </w:p>
    <w:p w14:paraId="58E861B2" w14:textId="77777777" w:rsidR="000317E9" w:rsidRPr="001E2783" w:rsidRDefault="000317E9" w:rsidP="000317E9">
      <w:pPr>
        <w:pStyle w:val="ListBullet"/>
        <w:tabs>
          <w:tab w:val="clear" w:pos="295"/>
        </w:tabs>
        <w:ind w:left="284"/>
        <w:rPr>
          <w:rFonts w:cs="Arial"/>
        </w:rPr>
      </w:pPr>
      <w:r w:rsidRPr="001E2783">
        <w:rPr>
          <w:rFonts w:cs="Arial"/>
        </w:rPr>
        <w:t>unsolicited communications (including telemarketing and spam)</w:t>
      </w:r>
    </w:p>
    <w:p w14:paraId="65F8D735" w14:textId="77777777" w:rsidR="000317E9" w:rsidRPr="001E2783" w:rsidRDefault="000317E9" w:rsidP="000317E9">
      <w:pPr>
        <w:pStyle w:val="ListBullet"/>
        <w:tabs>
          <w:tab w:val="clear" w:pos="295"/>
        </w:tabs>
        <w:ind w:left="284"/>
        <w:rPr>
          <w:rFonts w:cs="Arial"/>
        </w:rPr>
      </w:pPr>
      <w:r w:rsidRPr="001E2783">
        <w:rPr>
          <w:rFonts w:cs="Arial"/>
        </w:rPr>
        <w:t>broadcasting</w:t>
      </w:r>
    </w:p>
    <w:p w14:paraId="1664FB86" w14:textId="77777777" w:rsidR="000317E9" w:rsidRPr="001E2783" w:rsidRDefault="000317E9" w:rsidP="000317E9">
      <w:pPr>
        <w:pStyle w:val="ListBullet"/>
        <w:tabs>
          <w:tab w:val="clear" w:pos="295"/>
        </w:tabs>
        <w:ind w:left="284"/>
        <w:rPr>
          <w:rFonts w:cs="Arial"/>
        </w:rPr>
      </w:pPr>
      <w:r w:rsidRPr="001E2783">
        <w:rPr>
          <w:rFonts w:cs="Arial"/>
        </w:rPr>
        <w:t xml:space="preserve">online content </w:t>
      </w:r>
    </w:p>
    <w:p w14:paraId="3B121367" w14:textId="77777777" w:rsidR="000317E9" w:rsidRPr="001E2783" w:rsidRDefault="000317E9" w:rsidP="00006EB8">
      <w:pPr>
        <w:pStyle w:val="ListBullet"/>
        <w:tabs>
          <w:tab w:val="clear" w:pos="295"/>
        </w:tabs>
        <w:spacing w:after="240"/>
        <w:ind w:left="284"/>
        <w:rPr>
          <w:rFonts w:cs="Arial"/>
          <w:b/>
        </w:rPr>
      </w:pPr>
      <w:r w:rsidRPr="001E2783">
        <w:rPr>
          <w:rFonts w:cs="Arial"/>
        </w:rPr>
        <w:t>interactive gambling.</w:t>
      </w:r>
    </w:p>
    <w:p w14:paraId="3F7F3A73" w14:textId="77777777" w:rsidR="00CC119D" w:rsidRPr="001E2783" w:rsidRDefault="00CC119D" w:rsidP="00CC119D">
      <w:pPr>
        <w:pStyle w:val="Heading3"/>
      </w:pPr>
      <w:bookmarkStart w:id="169" w:name="_Toc337727589"/>
      <w:bookmarkStart w:id="170" w:name="_Toc400018556"/>
      <w:r w:rsidRPr="001E2783">
        <w:t>Radiocommunications compliance</w:t>
      </w:r>
      <w:bookmarkEnd w:id="169"/>
      <w:bookmarkEnd w:id="170"/>
    </w:p>
    <w:p w14:paraId="0EF21410" w14:textId="77777777" w:rsidR="00D956AC" w:rsidRPr="001E2783" w:rsidRDefault="00D956AC" w:rsidP="00D956AC">
      <w:pPr>
        <w:rPr>
          <w:rFonts w:cs="Arial"/>
          <w:szCs w:val="20"/>
        </w:rPr>
      </w:pPr>
      <w:r w:rsidRPr="001E2783">
        <w:rPr>
          <w:rFonts w:cs="Arial"/>
        </w:rPr>
        <w:t>The ACMA manages compliance with the Radiocommunications Act and subordinate instruments relating to the operation of radiocommunications transmitters</w:t>
      </w:r>
      <w:r w:rsidR="006E4568" w:rsidRPr="001E2783">
        <w:rPr>
          <w:rFonts w:cs="Arial"/>
        </w:rPr>
        <w:t xml:space="preserve"> and the technical regulation of equipment</w:t>
      </w:r>
      <w:r w:rsidRPr="001E2783">
        <w:rPr>
          <w:rFonts w:cs="Arial"/>
        </w:rPr>
        <w:t xml:space="preserve">. </w:t>
      </w:r>
    </w:p>
    <w:p w14:paraId="77F86BD2" w14:textId="77777777" w:rsidR="00D956AC" w:rsidRPr="001E2783" w:rsidRDefault="00D956AC" w:rsidP="00D956AC">
      <w:pPr>
        <w:rPr>
          <w:rFonts w:cs="Arial"/>
          <w:szCs w:val="20"/>
        </w:rPr>
      </w:pPr>
    </w:p>
    <w:p w14:paraId="104D5878" w14:textId="77777777" w:rsidR="008D27BF" w:rsidRPr="001E2783" w:rsidRDefault="008D27BF" w:rsidP="008D27BF">
      <w:pPr>
        <w:spacing w:after="80"/>
        <w:rPr>
          <w:rFonts w:cs="Arial"/>
        </w:rPr>
      </w:pPr>
      <w:r w:rsidRPr="001E2783">
        <w:rPr>
          <w:rFonts w:cs="Arial"/>
        </w:rPr>
        <w:t>In 2012–13, the ACMA introduced its new risk-based compliance approach to the technical regulation of equipment</w:t>
      </w:r>
      <w:r w:rsidR="00006EB8" w:rsidRPr="001E2783">
        <w:rPr>
          <w:rFonts w:cs="Arial"/>
        </w:rPr>
        <w:t>, and continued this approach in 2013–</w:t>
      </w:r>
      <w:r w:rsidR="00E81694" w:rsidRPr="001E2783">
        <w:rPr>
          <w:rFonts w:cs="Arial"/>
        </w:rPr>
        <w:t>14. Figure </w:t>
      </w:r>
      <w:r w:rsidR="00D27ED3" w:rsidRPr="001E2783">
        <w:rPr>
          <w:rFonts w:cs="Arial"/>
        </w:rPr>
        <w:t>3</w:t>
      </w:r>
      <w:r w:rsidRPr="001E2783">
        <w:rPr>
          <w:rFonts w:cs="Arial"/>
        </w:rPr>
        <w:t xml:space="preserve"> shows how intelligence-gathering and risk analysis enable the ACMA to set strategic compliance priorities that are aligned with regulatory objectives. This approach comprises the following steps: </w:t>
      </w:r>
    </w:p>
    <w:p w14:paraId="0247ACC5" w14:textId="77777777" w:rsidR="00D956AC" w:rsidRPr="001E2783" w:rsidRDefault="00D956AC" w:rsidP="00D956AC">
      <w:pPr>
        <w:pStyle w:val="ListBullet"/>
        <w:tabs>
          <w:tab w:val="clear" w:pos="295"/>
          <w:tab w:val="num" w:pos="437"/>
        </w:tabs>
        <w:spacing w:after="120" w:line="240" w:lineRule="auto"/>
        <w:ind w:left="336"/>
        <w:rPr>
          <w:rFonts w:cs="Arial"/>
        </w:rPr>
      </w:pPr>
      <w:r w:rsidRPr="001E2783">
        <w:rPr>
          <w:rFonts w:cs="Arial"/>
          <w:b/>
        </w:rPr>
        <w:t>Gather</w:t>
      </w:r>
      <w:r w:rsidR="00C6776B" w:rsidRPr="001E2783">
        <w:rPr>
          <w:rFonts w:cs="Arial"/>
        </w:rPr>
        <w:t>—</w:t>
      </w:r>
      <w:r w:rsidR="00A46120" w:rsidRPr="001E2783">
        <w:rPr>
          <w:rFonts w:cs="Arial"/>
        </w:rPr>
        <w:t>t</w:t>
      </w:r>
      <w:r w:rsidRPr="001E2783">
        <w:rPr>
          <w:rFonts w:cs="Arial"/>
        </w:rPr>
        <w:t>he ACMA collects raw data on non-compliance with technical regulations through complaints received, research and investigative methods.</w:t>
      </w:r>
    </w:p>
    <w:p w14:paraId="12BBA563" w14:textId="77777777" w:rsidR="00D956AC" w:rsidRPr="001E2783" w:rsidRDefault="00D956AC" w:rsidP="00C6776B">
      <w:pPr>
        <w:pStyle w:val="ListBullet"/>
        <w:tabs>
          <w:tab w:val="clear" w:pos="295"/>
          <w:tab w:val="num" w:pos="437"/>
        </w:tabs>
        <w:ind w:left="284"/>
        <w:rPr>
          <w:rFonts w:cs="Arial"/>
          <w:b/>
        </w:rPr>
      </w:pPr>
      <w:r w:rsidRPr="001E2783">
        <w:rPr>
          <w:rFonts w:cs="Arial"/>
          <w:b/>
        </w:rPr>
        <w:t>Analyse</w:t>
      </w:r>
      <w:r w:rsidR="00C6776B" w:rsidRPr="001E2783">
        <w:rPr>
          <w:rFonts w:cs="Arial"/>
        </w:rPr>
        <w:t>—</w:t>
      </w:r>
      <w:r w:rsidR="00A46120" w:rsidRPr="001E2783">
        <w:rPr>
          <w:rFonts w:cs="Arial"/>
        </w:rPr>
        <w:t>t</w:t>
      </w:r>
      <w:r w:rsidRPr="001E2783">
        <w:rPr>
          <w:rFonts w:cs="Arial"/>
        </w:rPr>
        <w:t xml:space="preserve">he data is analysed to determine the risk ranking (high/medium/low) of each issue </w:t>
      </w:r>
      <w:r w:rsidR="00665839" w:rsidRPr="001E2783">
        <w:rPr>
          <w:rFonts w:cs="Arial"/>
        </w:rPr>
        <w:t xml:space="preserve">and assess the impact on </w:t>
      </w:r>
      <w:r w:rsidRPr="001E2783">
        <w:rPr>
          <w:rFonts w:cs="Arial"/>
        </w:rPr>
        <w:t>the following parameters:</w:t>
      </w:r>
    </w:p>
    <w:p w14:paraId="43C473B3" w14:textId="77777777" w:rsidR="00D956AC" w:rsidRPr="001E2783" w:rsidRDefault="00D956AC" w:rsidP="00A024BF">
      <w:pPr>
        <w:pStyle w:val="ListBullet2"/>
        <w:rPr>
          <w:rFonts w:cs="Arial"/>
        </w:rPr>
      </w:pPr>
      <w:r w:rsidRPr="001E2783">
        <w:rPr>
          <w:rFonts w:cs="Arial"/>
        </w:rPr>
        <w:t xml:space="preserve">safety and life </w:t>
      </w:r>
    </w:p>
    <w:p w14:paraId="6297755D" w14:textId="77777777" w:rsidR="00D956AC" w:rsidRPr="001E2783" w:rsidRDefault="00D956AC" w:rsidP="00A024BF">
      <w:pPr>
        <w:pStyle w:val="ListBullet2"/>
        <w:rPr>
          <w:rFonts w:cs="Arial"/>
        </w:rPr>
      </w:pPr>
      <w:r w:rsidRPr="001E2783">
        <w:rPr>
          <w:rFonts w:cs="Arial"/>
        </w:rPr>
        <w:t xml:space="preserve">consumers and the public </w:t>
      </w:r>
    </w:p>
    <w:p w14:paraId="677E5ABB" w14:textId="77777777" w:rsidR="00D956AC" w:rsidRPr="001E2783" w:rsidRDefault="00D956AC" w:rsidP="00A024BF">
      <w:pPr>
        <w:pStyle w:val="ListBullet2"/>
        <w:rPr>
          <w:rFonts w:cs="Arial"/>
        </w:rPr>
      </w:pPr>
      <w:r w:rsidRPr="001E2783">
        <w:rPr>
          <w:rFonts w:cs="Arial"/>
        </w:rPr>
        <w:t xml:space="preserve">spectrum management </w:t>
      </w:r>
    </w:p>
    <w:p w14:paraId="756BB1FD" w14:textId="77777777" w:rsidR="00D956AC" w:rsidRPr="001E2783" w:rsidRDefault="00D956AC" w:rsidP="00A024BF">
      <w:pPr>
        <w:pStyle w:val="ListBullet2"/>
        <w:rPr>
          <w:rFonts w:cs="Arial"/>
        </w:rPr>
      </w:pPr>
      <w:r w:rsidRPr="001E2783">
        <w:rPr>
          <w:rFonts w:cs="Arial"/>
        </w:rPr>
        <w:t xml:space="preserve">government regulation </w:t>
      </w:r>
    </w:p>
    <w:p w14:paraId="3F9832FE" w14:textId="77777777" w:rsidR="00D956AC" w:rsidRPr="001E2783" w:rsidRDefault="00D956AC" w:rsidP="004375F1">
      <w:pPr>
        <w:pStyle w:val="ListBullet2"/>
        <w:spacing w:after="120"/>
        <w:rPr>
          <w:rFonts w:cs="Arial"/>
        </w:rPr>
      </w:pPr>
      <w:r w:rsidRPr="001E2783">
        <w:rPr>
          <w:rFonts w:cs="Arial"/>
        </w:rPr>
        <w:t xml:space="preserve">commerce and the economy. </w:t>
      </w:r>
    </w:p>
    <w:p w14:paraId="4CE90C52" w14:textId="77777777" w:rsidR="00D956AC" w:rsidRPr="001E2783" w:rsidRDefault="00D956AC" w:rsidP="00743766">
      <w:pPr>
        <w:spacing w:after="120"/>
        <w:ind w:left="284"/>
        <w:rPr>
          <w:rFonts w:cs="Arial"/>
        </w:rPr>
      </w:pPr>
      <w:r w:rsidRPr="001E2783">
        <w:rPr>
          <w:rFonts w:cs="Arial"/>
        </w:rPr>
        <w:t>This risk assessment methodology is used to determine the priority compliance areas.</w:t>
      </w:r>
      <w:r w:rsidR="00F174E5" w:rsidRPr="001E2783">
        <w:rPr>
          <w:rFonts w:cs="Arial"/>
        </w:rPr>
        <w:t xml:space="preserve"> </w:t>
      </w:r>
    </w:p>
    <w:p w14:paraId="238A7BA9" w14:textId="77777777" w:rsidR="00D956AC" w:rsidRPr="001E2783" w:rsidRDefault="00D956AC" w:rsidP="00C6776B">
      <w:pPr>
        <w:pStyle w:val="ListBullet"/>
        <w:tabs>
          <w:tab w:val="clear" w:pos="295"/>
          <w:tab w:val="num" w:pos="437"/>
        </w:tabs>
        <w:spacing w:after="240"/>
        <w:ind w:left="284"/>
        <w:rPr>
          <w:rFonts w:cs="Arial"/>
          <w:b/>
        </w:rPr>
      </w:pPr>
      <w:r w:rsidRPr="001E2783">
        <w:rPr>
          <w:rFonts w:cs="Arial"/>
          <w:b/>
        </w:rPr>
        <w:t>Respond</w:t>
      </w:r>
      <w:r w:rsidR="00C6776B" w:rsidRPr="001E2783">
        <w:rPr>
          <w:rFonts w:cs="Arial"/>
        </w:rPr>
        <w:t>—</w:t>
      </w:r>
      <w:r w:rsidR="00665839" w:rsidRPr="001E2783">
        <w:rPr>
          <w:rFonts w:cs="Arial"/>
        </w:rPr>
        <w:t>t</w:t>
      </w:r>
      <w:r w:rsidRPr="001E2783">
        <w:rPr>
          <w:rFonts w:cs="Arial"/>
        </w:rPr>
        <w:t>he ACMA responds to the issue of non-compliance in accordance with the risk ranking of the issue and whether it falls within a priority compliance area. This approach enables the ACMA to effectively focus its resources on addressing high</w:t>
      </w:r>
      <w:r w:rsidR="00665839" w:rsidRPr="001E2783">
        <w:rPr>
          <w:rFonts w:cs="Arial"/>
        </w:rPr>
        <w:t>-</w:t>
      </w:r>
      <w:r w:rsidRPr="001E2783">
        <w:rPr>
          <w:rFonts w:cs="Arial"/>
        </w:rPr>
        <w:t xml:space="preserve">risk issues, while keeping a watching brief on lower risk matters. This has also been an effective </w:t>
      </w:r>
      <w:r w:rsidR="00665839" w:rsidRPr="001E2783">
        <w:rPr>
          <w:rFonts w:cs="Arial"/>
        </w:rPr>
        <w:t xml:space="preserve">way to </w:t>
      </w:r>
      <w:r w:rsidRPr="001E2783">
        <w:rPr>
          <w:rFonts w:cs="Arial"/>
        </w:rPr>
        <w:t>manag</w:t>
      </w:r>
      <w:r w:rsidR="00665839" w:rsidRPr="001E2783">
        <w:rPr>
          <w:rFonts w:cs="Arial"/>
        </w:rPr>
        <w:t>e</w:t>
      </w:r>
      <w:r w:rsidRPr="001E2783">
        <w:rPr>
          <w:rFonts w:cs="Arial"/>
        </w:rPr>
        <w:t xml:space="preserve"> external expectations about the types of issues that the ACMA will pursue.</w:t>
      </w: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0757B315" w14:textId="77777777">
        <w:trPr>
          <w:trHeight w:val="570"/>
        </w:trPr>
        <w:tc>
          <w:tcPr>
            <w:tcW w:w="9645" w:type="dxa"/>
            <w:tcBorders>
              <w:top w:val="single" w:sz="2" w:space="0" w:color="505050"/>
            </w:tcBorders>
            <w:shd w:val="clear" w:color="auto" w:fill="auto"/>
            <w:vAlign w:val="center"/>
          </w:tcPr>
          <w:p w14:paraId="12B6BC04" w14:textId="77777777" w:rsidR="00992979" w:rsidRPr="001E2783" w:rsidRDefault="00992979" w:rsidP="00E65BD5">
            <w:pPr>
              <w:pStyle w:val="Caption"/>
              <w:keepNext/>
              <w:keepLines/>
              <w:rPr>
                <w:rFonts w:ascii="Arial" w:hAnsi="Arial" w:cs="Arial"/>
                <w:color w:val="auto"/>
              </w:rPr>
            </w:pPr>
            <w:r w:rsidRPr="00D3485F">
              <w:rPr>
                <w:rFonts w:ascii="Arial" w:hAnsi="Arial" w:cs="Arial"/>
              </w:rPr>
              <w:t xml:space="preserve">Figure </w:t>
            </w:r>
            <w:r w:rsidR="00D27ED3" w:rsidRPr="00D3485F">
              <w:rPr>
                <w:rFonts w:ascii="Arial" w:hAnsi="Arial" w:cs="Arial"/>
              </w:rPr>
              <w:t>3</w:t>
            </w:r>
            <w:r w:rsidR="007433AF" w:rsidRPr="00D3485F">
              <w:rPr>
                <w:rFonts w:ascii="Arial" w:hAnsi="Arial" w:cs="Arial"/>
              </w:rPr>
              <w:t>:</w:t>
            </w:r>
            <w:r w:rsidRPr="00D3485F">
              <w:rPr>
                <w:rFonts w:ascii="Arial" w:hAnsi="Arial" w:cs="Arial"/>
              </w:rPr>
              <w:t xml:space="preserve"> The ACMA’s strategic compliance approach</w:t>
            </w:r>
          </w:p>
        </w:tc>
      </w:tr>
      <w:tr w:rsidR="001E2783" w:rsidRPr="001E2783" w14:paraId="5B13B195" w14:textId="77777777" w:rsidTr="00E65BD5">
        <w:trPr>
          <w:trHeight w:val="6230"/>
        </w:trPr>
        <w:tc>
          <w:tcPr>
            <w:tcW w:w="9645" w:type="dxa"/>
            <w:shd w:val="clear" w:color="auto" w:fill="auto"/>
            <w:tcMar>
              <w:left w:w="28" w:type="dxa"/>
            </w:tcMar>
          </w:tcPr>
          <w:p w14:paraId="4A7DE6FF" w14:textId="77777777" w:rsidR="00992979" w:rsidRPr="001E2783" w:rsidRDefault="00E65BD5" w:rsidP="007433AF">
            <w:pPr>
              <w:pStyle w:val="ListBullet"/>
              <w:keepNext/>
              <w:numPr>
                <w:ilvl w:val="0"/>
                <w:numId w:val="0"/>
              </w:numPr>
              <w:spacing w:after="240"/>
              <w:ind w:left="295" w:hanging="295"/>
              <w:rPr>
                <w:rFonts w:cs="Arial"/>
              </w:rPr>
            </w:pPr>
            <w:r w:rsidRPr="001E2783">
              <w:rPr>
                <w:rFonts w:cs="Arial"/>
                <w:noProof/>
              </w:rPr>
              <w:drawing>
                <wp:inline distT="0" distB="0" distL="0" distR="0" wp14:anchorId="694C3F84" wp14:editId="5A83760C">
                  <wp:extent cx="6101080" cy="3942715"/>
                  <wp:effectExtent l="0" t="0" r="0" b="635"/>
                  <wp:docPr id="15" name="Picture 9" descr="Outcomes and objectives:&#10;Intelligence-gathering and analysis.&#10;Problem identification and risk management leads to strategies and an action plan. Toolkit is available." title="Figure 3: The ACMA’s strategic compliance approa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7" cstate="print"/>
                          <a:srcRect/>
                          <a:stretch>
                            <a:fillRect/>
                          </a:stretch>
                        </pic:blipFill>
                        <pic:spPr bwMode="auto">
                          <a:xfrm>
                            <a:off x="0" y="0"/>
                            <a:ext cx="6101080" cy="3942715"/>
                          </a:xfrm>
                          <a:prstGeom prst="rect">
                            <a:avLst/>
                          </a:prstGeom>
                          <a:noFill/>
                          <a:ln w="9525">
                            <a:noFill/>
                            <a:miter lim="800000"/>
                            <a:headEnd/>
                            <a:tailEnd/>
                          </a:ln>
                        </pic:spPr>
                      </pic:pic>
                    </a:graphicData>
                  </a:graphic>
                </wp:inline>
              </w:drawing>
            </w:r>
          </w:p>
        </w:tc>
      </w:tr>
      <w:tr w:rsidR="00992979" w:rsidRPr="001E2783" w14:paraId="4B6586C8" w14:textId="77777777" w:rsidTr="00E65BD5">
        <w:trPr>
          <w:trHeight w:val="66"/>
        </w:trPr>
        <w:tc>
          <w:tcPr>
            <w:tcW w:w="9645" w:type="dxa"/>
            <w:tcBorders>
              <w:bottom w:val="single" w:sz="2" w:space="0" w:color="505050"/>
            </w:tcBorders>
            <w:shd w:val="clear" w:color="auto" w:fill="auto"/>
          </w:tcPr>
          <w:p w14:paraId="1D907F04" w14:textId="77777777" w:rsidR="00992979" w:rsidRPr="001E2783" w:rsidRDefault="00992979">
            <w:pPr>
              <w:rPr>
                <w:rFonts w:cs="Arial"/>
              </w:rPr>
            </w:pPr>
          </w:p>
        </w:tc>
      </w:tr>
    </w:tbl>
    <w:p w14:paraId="10F087B1" w14:textId="77777777" w:rsidR="00992979" w:rsidRPr="001E2783" w:rsidRDefault="00992979" w:rsidP="00992979">
      <w:pPr>
        <w:rPr>
          <w:rFonts w:cs="Arial"/>
        </w:rPr>
      </w:pPr>
    </w:p>
    <w:p w14:paraId="76924D64" w14:textId="77777777" w:rsidR="000615DD" w:rsidRPr="001E2783" w:rsidRDefault="000615DD" w:rsidP="000615DD">
      <w:pPr>
        <w:pStyle w:val="BodysubheaderH4"/>
        <w:rPr>
          <w:rFonts w:cs="Arial"/>
        </w:rPr>
      </w:pPr>
      <w:r w:rsidRPr="001E2783">
        <w:rPr>
          <w:rFonts w:cs="Arial"/>
        </w:rPr>
        <w:t>Priority compliance areas</w:t>
      </w:r>
    </w:p>
    <w:p w14:paraId="65AFE917" w14:textId="77777777" w:rsidR="000615DD" w:rsidRPr="001E2783" w:rsidRDefault="000615DD" w:rsidP="000615DD">
      <w:pPr>
        <w:rPr>
          <w:rFonts w:cs="Arial"/>
        </w:rPr>
      </w:pPr>
      <w:r w:rsidRPr="001E2783">
        <w:rPr>
          <w:rFonts w:cs="Arial"/>
        </w:rPr>
        <w:t>The ACMA adopts an evidence-based approach in deciding its priority compliance areas (PCA) for technical regulation. These are decided through intelligence-gathering mechanisms, analysis and risk assessment. The PCA program is holistic—from educating individuals about the law (before non-compliance has occurred) to implementing traditional enforcement (after the law has been broken). This end-to-end view enables the ACMA to extend its regulatory reach in an effective and targeted way.</w:t>
      </w:r>
    </w:p>
    <w:p w14:paraId="288E099F" w14:textId="77777777" w:rsidR="000615DD" w:rsidRPr="001E2783" w:rsidRDefault="000615DD" w:rsidP="000615DD">
      <w:pPr>
        <w:rPr>
          <w:rFonts w:cs="Arial"/>
        </w:rPr>
      </w:pPr>
    </w:p>
    <w:p w14:paraId="6C13F2AC" w14:textId="77777777" w:rsidR="000615DD" w:rsidRPr="001E2783" w:rsidRDefault="000615DD" w:rsidP="000615DD">
      <w:pPr>
        <w:spacing w:after="80"/>
        <w:rPr>
          <w:rFonts w:cs="Arial"/>
        </w:rPr>
      </w:pPr>
      <w:r w:rsidRPr="001E2783">
        <w:rPr>
          <w:rFonts w:cs="Arial"/>
        </w:rPr>
        <w:t>In 2013–14, the PCA were:</w:t>
      </w:r>
    </w:p>
    <w:p w14:paraId="5451AF7D" w14:textId="77777777" w:rsidR="000615DD" w:rsidRPr="001E2783" w:rsidRDefault="000615DD" w:rsidP="000615DD">
      <w:pPr>
        <w:pStyle w:val="ListBullet"/>
        <w:spacing w:after="120"/>
        <w:rPr>
          <w:rFonts w:cs="Arial"/>
          <w:b/>
        </w:rPr>
      </w:pPr>
      <w:r w:rsidRPr="001E2783">
        <w:rPr>
          <w:rFonts w:cs="Arial"/>
          <w:b/>
        </w:rPr>
        <w:t>Radiocommunications standards compliance</w:t>
      </w:r>
      <w:r w:rsidRPr="001E2783">
        <w:rPr>
          <w:rFonts w:cs="Arial"/>
        </w:rPr>
        <w:t>—the ACMA identified certain types of radiocommunications equipment that presented a high risk of interference. The risks arose from the proliferation of devices being imported that were designed for use in overseas locations with non-harmonised spectrum and from devices capable of end user re-programming. Such equipment included front-programmable radios.</w:t>
      </w:r>
    </w:p>
    <w:p w14:paraId="5CC623C1" w14:textId="77777777" w:rsidR="000615DD" w:rsidRPr="001E2783" w:rsidRDefault="000615DD" w:rsidP="000615DD">
      <w:pPr>
        <w:pStyle w:val="ListBullet"/>
        <w:rPr>
          <w:rFonts w:cs="Arial"/>
        </w:rPr>
      </w:pPr>
      <w:r w:rsidRPr="001E2783">
        <w:rPr>
          <w:rFonts w:cs="Arial"/>
          <w:b/>
        </w:rPr>
        <w:t>Illegal mobile phone repeaters</w:t>
      </w:r>
      <w:r w:rsidRPr="001E2783">
        <w:rPr>
          <w:rFonts w:cs="Arial"/>
        </w:rPr>
        <w:t>—operated unlawfully, repeaters can cause substantial interference to the mobile phone network and may adversely affect mobile services, including access to the Emergency Call Service. Because these risks remained high, the ACMA continued to target them as a PCA in 2013–14, by:</w:t>
      </w:r>
    </w:p>
    <w:p w14:paraId="385678AF" w14:textId="77777777" w:rsidR="000615DD" w:rsidRPr="001E2783" w:rsidRDefault="00FD6C16" w:rsidP="000615DD">
      <w:pPr>
        <w:pStyle w:val="ListBullet2"/>
        <w:rPr>
          <w:rFonts w:cs="Arial"/>
        </w:rPr>
      </w:pPr>
      <w:r w:rsidRPr="001E2783">
        <w:rPr>
          <w:rFonts w:cs="Arial"/>
        </w:rPr>
        <w:t>R</w:t>
      </w:r>
      <w:r w:rsidR="000615DD" w:rsidRPr="001E2783">
        <w:rPr>
          <w:rFonts w:cs="Arial"/>
        </w:rPr>
        <w:t>esponding to instances of repeater use by individuals, including those cases reported by mobile phone carriers</w:t>
      </w:r>
      <w:r w:rsidRPr="001E2783">
        <w:rPr>
          <w:rFonts w:cs="Arial"/>
        </w:rPr>
        <w:t>. I</w:t>
      </w:r>
      <w:r w:rsidR="000615DD" w:rsidRPr="001E2783">
        <w:rPr>
          <w:rFonts w:cs="Arial"/>
        </w:rPr>
        <w:t xml:space="preserve">n </w:t>
      </w:r>
      <w:r w:rsidRPr="001E2783">
        <w:rPr>
          <w:rFonts w:cs="Arial"/>
        </w:rPr>
        <w:t>such</w:t>
      </w:r>
      <w:r w:rsidR="000615DD" w:rsidRPr="001E2783">
        <w:rPr>
          <w:rFonts w:cs="Arial"/>
        </w:rPr>
        <w:t xml:space="preserve"> instances, the illegal operation of repeater</w:t>
      </w:r>
      <w:r w:rsidRPr="001E2783">
        <w:rPr>
          <w:rFonts w:cs="Arial"/>
        </w:rPr>
        <w:t>s creates</w:t>
      </w:r>
      <w:r w:rsidR="000615DD" w:rsidRPr="001E2783">
        <w:rPr>
          <w:rFonts w:cs="Arial"/>
        </w:rPr>
        <w:t xml:space="preserve"> substantial interference risks to mobile communications</w:t>
      </w:r>
      <w:r w:rsidR="00E81694" w:rsidRPr="001E2783">
        <w:rPr>
          <w:rFonts w:cs="Arial"/>
        </w:rPr>
        <w:t>.</w:t>
      </w:r>
    </w:p>
    <w:p w14:paraId="686095AF" w14:textId="77777777" w:rsidR="000615DD" w:rsidRPr="001E2783" w:rsidRDefault="00FD6C16" w:rsidP="000615DD">
      <w:pPr>
        <w:pStyle w:val="ListBullet2"/>
        <w:spacing w:after="120"/>
        <w:rPr>
          <w:rFonts w:cs="Arial"/>
        </w:rPr>
      </w:pPr>
      <w:r w:rsidRPr="001E2783">
        <w:rPr>
          <w:rFonts w:cs="Arial"/>
        </w:rPr>
        <w:t>C</w:t>
      </w:r>
      <w:r w:rsidR="000615DD" w:rsidRPr="001E2783">
        <w:rPr>
          <w:rFonts w:cs="Arial"/>
        </w:rPr>
        <w:t>onducting site visits at regional communities in the Northern Territory, which included monitoring the radiofrequency spectrum for potential repeater use and educating individuals about the law.</w:t>
      </w:r>
    </w:p>
    <w:p w14:paraId="5C5B38AF" w14:textId="77777777" w:rsidR="000615DD" w:rsidRPr="001E2783" w:rsidRDefault="000615DD" w:rsidP="00E81694">
      <w:pPr>
        <w:pStyle w:val="ListBullet"/>
        <w:rPr>
          <w:rFonts w:cs="Arial"/>
        </w:rPr>
      </w:pPr>
      <w:r w:rsidRPr="001E2783">
        <w:rPr>
          <w:rFonts w:cs="Arial"/>
          <w:b/>
        </w:rPr>
        <w:t>Mobile phone and GPS jammers</w:t>
      </w:r>
      <w:r w:rsidRPr="001E2783">
        <w:rPr>
          <w:rFonts w:cs="Arial"/>
        </w:rPr>
        <w:t xml:space="preserve">—mobile phone jammers are generally devices designed to operate within the frequency bands 870–960 MHz or 825–845 MHz and to interfere with radiocommunications, while </w:t>
      </w:r>
      <w:r w:rsidRPr="001E2783">
        <w:rPr>
          <w:rStyle w:val="Emphasis"/>
          <w:rFonts w:cs="Arial"/>
          <w:i w:val="0"/>
        </w:rPr>
        <w:t>GPS</w:t>
      </w:r>
      <w:r w:rsidRPr="001E2783">
        <w:rPr>
          <w:rStyle w:val="Emphasis"/>
          <w:rFonts w:cs="Arial"/>
        </w:rPr>
        <w:t xml:space="preserve"> </w:t>
      </w:r>
      <w:r w:rsidRPr="001E2783">
        <w:rPr>
          <w:rStyle w:val="Emphasis"/>
          <w:rFonts w:cs="Arial"/>
          <w:i w:val="0"/>
        </w:rPr>
        <w:t>jammers</w:t>
      </w:r>
      <w:r w:rsidRPr="001E2783">
        <w:rPr>
          <w:rStyle w:val="st"/>
          <w:rFonts w:cs="Arial"/>
          <w:i/>
        </w:rPr>
        <w:t xml:space="preserve"> </w:t>
      </w:r>
      <w:r w:rsidRPr="001E2783">
        <w:rPr>
          <w:rStyle w:val="st"/>
          <w:rFonts w:cs="Arial"/>
        </w:rPr>
        <w:t>are transmitters designed to interfere deliberately with GPS devices. A</w:t>
      </w:r>
      <w:r w:rsidRPr="001E2783">
        <w:rPr>
          <w:rFonts w:cs="Arial"/>
        </w:rPr>
        <w:t>s these prohibited devices continued to present a high risk to public safety and the integrity of the radiofrequency spectrum, the ACMA again targeted them as a PCA in 2013–14, including by</w:t>
      </w:r>
      <w:r w:rsidR="00E81694" w:rsidRPr="001E2783">
        <w:rPr>
          <w:rFonts w:cs="Arial"/>
        </w:rPr>
        <w:t xml:space="preserve"> </w:t>
      </w:r>
      <w:r w:rsidRPr="001E2783">
        <w:rPr>
          <w:rFonts w:cs="Arial"/>
        </w:rPr>
        <w:t>working in collaboration with Roads and Maritime Services in N</w:t>
      </w:r>
      <w:r w:rsidR="00542FC0" w:rsidRPr="001E2783">
        <w:rPr>
          <w:rFonts w:cs="Arial"/>
        </w:rPr>
        <w:t xml:space="preserve">ew </w:t>
      </w:r>
      <w:r w:rsidRPr="001E2783">
        <w:rPr>
          <w:rFonts w:cs="Arial"/>
        </w:rPr>
        <w:t>S</w:t>
      </w:r>
      <w:r w:rsidR="00542FC0" w:rsidRPr="001E2783">
        <w:rPr>
          <w:rFonts w:cs="Arial"/>
        </w:rPr>
        <w:t xml:space="preserve">outh </w:t>
      </w:r>
      <w:r w:rsidRPr="001E2783">
        <w:rPr>
          <w:rFonts w:cs="Arial"/>
        </w:rPr>
        <w:t>W</w:t>
      </w:r>
      <w:r w:rsidR="00542FC0" w:rsidRPr="001E2783">
        <w:rPr>
          <w:rFonts w:cs="Arial"/>
        </w:rPr>
        <w:t>ales</w:t>
      </w:r>
      <w:r w:rsidRPr="001E2783">
        <w:rPr>
          <w:rFonts w:cs="Arial"/>
        </w:rPr>
        <w:t xml:space="preserve"> to address GPS jammer use among the road haulage industry. </w:t>
      </w:r>
    </w:p>
    <w:p w14:paraId="329A70CF" w14:textId="77777777" w:rsidR="000615DD" w:rsidRPr="001E2783" w:rsidRDefault="000615DD" w:rsidP="00E81694">
      <w:pPr>
        <w:pStyle w:val="ListBullet"/>
        <w:rPr>
          <w:rFonts w:cs="Arial"/>
          <w:b/>
        </w:rPr>
      </w:pPr>
      <w:r w:rsidRPr="001E2783">
        <w:rPr>
          <w:rFonts w:cs="Arial"/>
          <w:b/>
        </w:rPr>
        <w:t>Telecommunications standards and cabling</w:t>
      </w:r>
      <w:r w:rsidRPr="001E2783">
        <w:rPr>
          <w:rFonts w:cs="Arial"/>
        </w:rPr>
        <w:t>—identified as a PCA because the impact of the national rollout of the NBN increased the risk of non-compliant cabling. Work in 2013–14 included</w:t>
      </w:r>
      <w:r w:rsidR="00E81694" w:rsidRPr="001E2783">
        <w:rPr>
          <w:rFonts w:cs="Arial"/>
        </w:rPr>
        <w:t xml:space="preserve"> </w:t>
      </w:r>
      <w:r w:rsidRPr="001E2783">
        <w:rPr>
          <w:rFonts w:cs="Arial"/>
        </w:rPr>
        <w:t>conducting inspections of 22 new housing estates in New South Wales, Victoria, South Australia and Western Australia to determine general compliance of cabling work conducted under the Telecommunications Act.</w:t>
      </w:r>
    </w:p>
    <w:p w14:paraId="69E689DE" w14:textId="71E55D41" w:rsidR="000615DD" w:rsidRPr="001E2783" w:rsidRDefault="000615DD" w:rsidP="00FF145E">
      <w:pPr>
        <w:pStyle w:val="ListBullet"/>
        <w:spacing w:after="240"/>
        <w:rPr>
          <w:rFonts w:cs="Arial"/>
        </w:rPr>
      </w:pPr>
      <w:r w:rsidRPr="001E2783">
        <w:rPr>
          <w:rFonts w:cs="Arial"/>
          <w:b/>
        </w:rPr>
        <w:t>Transmitter licensing compliance</w:t>
      </w:r>
      <w:r w:rsidRPr="001E2783">
        <w:rPr>
          <w:rFonts w:cs="Arial"/>
        </w:rPr>
        <w:t>—</w:t>
      </w:r>
      <w:r w:rsidR="00FF145E" w:rsidRPr="001E2783">
        <w:rPr>
          <w:rFonts w:cs="Arial"/>
        </w:rPr>
        <w:t xml:space="preserve">identified as a PCA because of ongoing community concern and the need for the ACMA to systematically determine the level of industry compliance. Work in 2013–14 included conducting a visual inspection program of 952 mobile base station transmitter sites. An EME </w:t>
      </w:r>
      <w:r w:rsidR="002F4605" w:rsidRPr="001E2783">
        <w:rPr>
          <w:rFonts w:cs="Arial"/>
        </w:rPr>
        <w:t>visual inspection is a resource-</w:t>
      </w:r>
      <w:r w:rsidR="00FF145E" w:rsidRPr="001E2783">
        <w:rPr>
          <w:rFonts w:cs="Arial"/>
        </w:rPr>
        <w:t>efficient way to assess the compliance level for the site but does not include taking EME radiation measurements. In conjunction with information about the transmitter obtained from the ACMA’s radiocommunications licensing database, a visual inspection provides a measure of confidence that the installation does not pose an EME risk. This can be achieved by an inspector visually assessing</w:t>
      </w:r>
      <w:r w:rsidR="00CB1AF1" w:rsidRPr="001E2783">
        <w:rPr>
          <w:rFonts w:cs="Arial"/>
        </w:rPr>
        <w:t xml:space="preserve"> </w:t>
      </w:r>
      <w:r w:rsidR="00FF145E" w:rsidRPr="001E2783">
        <w:rPr>
          <w:rFonts w:cs="Arial"/>
        </w:rPr>
        <w:t>site accessibility and controls, signage, antenna and tower installation practices</w:t>
      </w:r>
      <w:r w:rsidR="008F5F44" w:rsidRPr="001E2783">
        <w:rPr>
          <w:rFonts w:cs="Arial"/>
        </w:rPr>
        <w:t>,</w:t>
      </w:r>
      <w:r w:rsidR="00FF145E" w:rsidRPr="001E2783">
        <w:rPr>
          <w:rFonts w:cs="Arial"/>
        </w:rPr>
        <w:t xml:space="preserve"> </w:t>
      </w:r>
      <w:r w:rsidR="008F5F44" w:rsidRPr="001E2783">
        <w:rPr>
          <w:rFonts w:cs="Arial"/>
        </w:rPr>
        <w:t>and</w:t>
      </w:r>
      <w:r w:rsidR="00FF145E" w:rsidRPr="001E2783">
        <w:rPr>
          <w:rFonts w:cs="Arial"/>
        </w:rPr>
        <w:t xml:space="preserve"> the proximity of public places. Of the sites inspected, 39 proceeded to a formal EME records audit. In each case, compliance with the EME transmitter licence condition was established, including six cases where further information was sought from the licensee. Since 2008, the ACMA has conducted 1,288 radiocommunications site audits across a variety of radiocommunications sites that have included an EME visual inspection</w:t>
      </w:r>
      <w:r w:rsidRPr="001E2783">
        <w:rPr>
          <w:rFonts w:cs="Arial"/>
        </w:rPr>
        <w:t>.</w:t>
      </w:r>
    </w:p>
    <w:p w14:paraId="4C43ED3A" w14:textId="77777777" w:rsidR="00AC3090" w:rsidRPr="001E2783" w:rsidRDefault="00AC3090" w:rsidP="00AC3090">
      <w:pPr>
        <w:pStyle w:val="BodysubheaderH4"/>
        <w:rPr>
          <w:rFonts w:cs="Arial"/>
        </w:rPr>
      </w:pPr>
      <w:r w:rsidRPr="001E2783">
        <w:rPr>
          <w:rFonts w:cs="Arial"/>
        </w:rPr>
        <w:t>Detections and investigations</w:t>
      </w:r>
    </w:p>
    <w:p w14:paraId="64F0B345" w14:textId="77777777" w:rsidR="00AC3090" w:rsidRPr="001E2783" w:rsidRDefault="00AC3090" w:rsidP="00AC3090">
      <w:pPr>
        <w:pStyle w:val="bodySUBSUBheaderh5"/>
        <w:rPr>
          <w:rFonts w:cs="Arial"/>
          <w:i w:val="0"/>
        </w:rPr>
      </w:pPr>
      <w:r w:rsidRPr="001E2783">
        <w:rPr>
          <w:rFonts w:cs="Arial"/>
          <w:i w:val="0"/>
        </w:rPr>
        <w:t xml:space="preserve">In addition to planned targeted compliance action, the ACMA also responds to and investigates complaints and </w:t>
      </w:r>
      <w:r w:rsidR="00D9068B" w:rsidRPr="001E2783">
        <w:rPr>
          <w:rFonts w:cs="Arial"/>
          <w:i w:val="0"/>
        </w:rPr>
        <w:t xml:space="preserve">undertakes </w:t>
      </w:r>
      <w:r w:rsidRPr="001E2783">
        <w:rPr>
          <w:rFonts w:cs="Arial"/>
          <w:i w:val="0"/>
        </w:rPr>
        <w:t>field intelligence.</w:t>
      </w:r>
    </w:p>
    <w:p w14:paraId="011A38CF" w14:textId="77777777" w:rsidR="00AC3090" w:rsidRPr="001E2783" w:rsidRDefault="00AC3090" w:rsidP="00AC3090">
      <w:pPr>
        <w:pStyle w:val="bodySUBSUBheaderh5"/>
        <w:rPr>
          <w:rFonts w:cs="Arial"/>
          <w:i w:val="0"/>
        </w:rPr>
      </w:pPr>
    </w:p>
    <w:p w14:paraId="66020F66" w14:textId="77777777" w:rsidR="000615DD" w:rsidRPr="001E2783" w:rsidRDefault="000615DD" w:rsidP="000615DD">
      <w:pPr>
        <w:pStyle w:val="bodySUBSUBheaderh5"/>
        <w:rPr>
          <w:rFonts w:cs="Arial"/>
        </w:rPr>
      </w:pPr>
      <w:r w:rsidRPr="001E2783">
        <w:rPr>
          <w:rFonts w:cs="Arial"/>
        </w:rPr>
        <w:t>LED globes</w:t>
      </w:r>
    </w:p>
    <w:p w14:paraId="7815B0B7" w14:textId="77777777" w:rsidR="000615DD" w:rsidRPr="001E2783" w:rsidRDefault="00FD6C16" w:rsidP="000615DD">
      <w:pPr>
        <w:rPr>
          <w:rFonts w:cs="Arial"/>
        </w:rPr>
      </w:pPr>
      <w:r w:rsidRPr="001E2783">
        <w:rPr>
          <w:rFonts w:cs="Arial"/>
        </w:rPr>
        <w:t>During 2013–14, t</w:t>
      </w:r>
      <w:r w:rsidR="000615DD" w:rsidRPr="001E2783">
        <w:rPr>
          <w:rFonts w:cs="Arial"/>
        </w:rPr>
        <w:t>he ACMA received a large number of complaints about certain models of LED globes causing domestic systems interference to free television reception. Following a combination of field intelligence, standards audits and requests to suppliers to conduct further testing, the ACMA requested that two suppliers voluntarily cease selling certain models of LED globes that were causing interference. While the ACMA found no systemic industry non-compliance, this work highlighted that manufacturers changing components after compliance testing can significantly increase the risk of non-compliance.</w:t>
      </w:r>
    </w:p>
    <w:p w14:paraId="73296107" w14:textId="77777777" w:rsidR="000615DD" w:rsidRPr="001E2783" w:rsidRDefault="000615DD" w:rsidP="000615DD">
      <w:pPr>
        <w:rPr>
          <w:rFonts w:cs="Arial"/>
        </w:rPr>
      </w:pPr>
    </w:p>
    <w:p w14:paraId="157C2FD3" w14:textId="77777777" w:rsidR="000615DD" w:rsidRPr="001E2783" w:rsidRDefault="000615DD" w:rsidP="000615DD">
      <w:pPr>
        <w:rPr>
          <w:rFonts w:cs="Arial"/>
          <w:i/>
        </w:rPr>
      </w:pPr>
      <w:r w:rsidRPr="001E2783">
        <w:rPr>
          <w:rFonts w:cs="Arial"/>
          <w:i/>
        </w:rPr>
        <w:t>Mobile phone repeaters</w:t>
      </w:r>
    </w:p>
    <w:p w14:paraId="584362E1" w14:textId="77777777" w:rsidR="000615DD" w:rsidRPr="001E2783" w:rsidRDefault="000615DD" w:rsidP="000615DD">
      <w:pPr>
        <w:rPr>
          <w:rFonts w:cs="Arial"/>
        </w:rPr>
      </w:pPr>
      <w:r w:rsidRPr="001E2783">
        <w:rPr>
          <w:rFonts w:cs="Arial"/>
        </w:rPr>
        <w:t>The ACMA receives complaints and reports from members of the public and mobile phone carriers about interference to their mobile networks. Interference can be caused by the unlicensed use of mobile phone repeaters that may substantially disrupt mobile networks. Mobile phone carriers work with the ACMA to locate the cause of the interference.</w:t>
      </w:r>
    </w:p>
    <w:p w14:paraId="2C35388B" w14:textId="77777777" w:rsidR="000615DD" w:rsidRPr="001E2783" w:rsidRDefault="000615DD" w:rsidP="000615DD">
      <w:pPr>
        <w:rPr>
          <w:rFonts w:cs="Arial"/>
          <w:i/>
        </w:rPr>
      </w:pPr>
    </w:p>
    <w:p w14:paraId="10C6E811" w14:textId="77777777" w:rsidR="000615DD" w:rsidRPr="001E2783" w:rsidRDefault="000615DD" w:rsidP="000615DD">
      <w:pPr>
        <w:rPr>
          <w:rFonts w:cs="Arial"/>
        </w:rPr>
      </w:pPr>
      <w:r w:rsidRPr="001E2783">
        <w:rPr>
          <w:rFonts w:cs="Arial"/>
        </w:rPr>
        <w:t xml:space="preserve">In the reporting period, the ACMA received 82 reports or complaints of interference to a mobile network caused by the unlicensed use of a mobile phone repeater. Of those, 43 were investigated and resolved by educating the operator. The remaining 39 complaints from mobile phone carriers remained unconfirmed, were self-resolved or otherwise did not persist.  </w:t>
      </w:r>
    </w:p>
    <w:p w14:paraId="39C1972A" w14:textId="77777777" w:rsidR="000615DD" w:rsidRPr="001E2783" w:rsidRDefault="000615DD" w:rsidP="000615DD">
      <w:pPr>
        <w:rPr>
          <w:rFonts w:cs="Arial"/>
          <w:i/>
        </w:rPr>
      </w:pPr>
    </w:p>
    <w:p w14:paraId="52D0E892" w14:textId="68AD4BDF" w:rsidR="000615DD" w:rsidRPr="001E2783" w:rsidRDefault="000615DD" w:rsidP="000615DD">
      <w:pPr>
        <w:rPr>
          <w:rFonts w:cs="Arial"/>
        </w:rPr>
      </w:pPr>
      <w:r w:rsidRPr="001E2783">
        <w:rPr>
          <w:rFonts w:cs="Arial"/>
        </w:rPr>
        <w:t xml:space="preserve">Through its investigations, the ACMA found all the mobile repeaters were purchased online from an overseas supplier without the necessary authority of the mobile phone carrier. As a result, the ACMA implemented a number of communications strategies to educate online consumers on the law relating to mobile phone repeater use in Australia (see </w:t>
      </w:r>
      <w:r w:rsidRPr="001E2783">
        <w:rPr>
          <w:rFonts w:cs="Arial"/>
          <w:i/>
        </w:rPr>
        <w:t xml:space="preserve">Preventative compliance </w:t>
      </w:r>
      <w:r w:rsidRPr="00642061">
        <w:rPr>
          <w:rFonts w:cs="Arial"/>
          <w:i/>
        </w:rPr>
        <w:t>measures</w:t>
      </w:r>
      <w:r w:rsidRPr="00642061">
        <w:rPr>
          <w:rFonts w:cs="Arial"/>
        </w:rPr>
        <w:t>).</w:t>
      </w:r>
    </w:p>
    <w:p w14:paraId="3376F95D" w14:textId="77777777" w:rsidR="000615DD" w:rsidRPr="001E2783" w:rsidRDefault="000615DD" w:rsidP="000615DD">
      <w:pPr>
        <w:rPr>
          <w:rFonts w:cs="Arial"/>
        </w:rPr>
      </w:pPr>
    </w:p>
    <w:p w14:paraId="764933D5" w14:textId="77777777" w:rsidR="000615DD" w:rsidRPr="001E2783" w:rsidRDefault="000615DD" w:rsidP="000615DD">
      <w:pPr>
        <w:pStyle w:val="bodySUBSUBheaderh5"/>
        <w:rPr>
          <w:rFonts w:cs="Arial"/>
        </w:rPr>
      </w:pPr>
      <w:r w:rsidRPr="001E2783">
        <w:rPr>
          <w:rFonts w:cs="Arial"/>
        </w:rPr>
        <w:t>Prohibited devices</w:t>
      </w:r>
    </w:p>
    <w:p w14:paraId="7156646B" w14:textId="77777777" w:rsidR="000615DD" w:rsidRPr="001E2783" w:rsidRDefault="000615DD" w:rsidP="000615DD">
      <w:pPr>
        <w:rPr>
          <w:rFonts w:cs="Arial"/>
        </w:rPr>
      </w:pPr>
      <w:r w:rsidRPr="001E2783">
        <w:rPr>
          <w:rFonts w:cs="Arial"/>
        </w:rPr>
        <w:t xml:space="preserve">The ACMA has established arrangements with Australia Post to detect and seize prohibited devices travelling in the international mail stream. It has also established relationships with three private international mail carriers and received in-principle agreement that they surrender any detected prohibited devices. </w:t>
      </w:r>
    </w:p>
    <w:p w14:paraId="1A574865" w14:textId="77777777" w:rsidR="000615DD" w:rsidRPr="001E2783" w:rsidRDefault="000615DD" w:rsidP="000615DD">
      <w:pPr>
        <w:rPr>
          <w:rFonts w:cs="Arial"/>
        </w:rPr>
      </w:pPr>
    </w:p>
    <w:p w14:paraId="21811758" w14:textId="77777777" w:rsidR="000615DD" w:rsidRPr="001E2783" w:rsidRDefault="000615DD" w:rsidP="000615DD">
      <w:pPr>
        <w:rPr>
          <w:rFonts w:cs="Arial"/>
        </w:rPr>
      </w:pPr>
      <w:r w:rsidRPr="001E2783">
        <w:rPr>
          <w:rFonts w:cs="Arial"/>
        </w:rPr>
        <w:t>In the reporting period, 57 devices were detected and handed to the ACMA</w:t>
      </w:r>
      <w:r w:rsidR="00D27ED3" w:rsidRPr="001E2783">
        <w:rPr>
          <w:rFonts w:cs="Arial"/>
        </w:rPr>
        <w:t xml:space="preserve"> (see Table 21)</w:t>
      </w:r>
      <w:r w:rsidRPr="001E2783">
        <w:rPr>
          <w:rFonts w:cs="Arial"/>
        </w:rPr>
        <w:t xml:space="preserve">. Of these, 56 were detected by Australia Post in the international mail stream, while </w:t>
      </w:r>
      <w:r w:rsidR="00EA38D1" w:rsidRPr="001E2783">
        <w:rPr>
          <w:rFonts w:cs="Arial"/>
        </w:rPr>
        <w:t>23</w:t>
      </w:r>
      <w:r w:rsidRPr="001E2783">
        <w:rPr>
          <w:rFonts w:cs="Arial"/>
        </w:rPr>
        <w:t xml:space="preserve"> devices detected by state police and the Australian Federal Police were forwarded to the ACMA for testing. </w:t>
      </w:r>
    </w:p>
    <w:p w14:paraId="70695DD6" w14:textId="77777777" w:rsidR="000615DD" w:rsidRPr="001E2783" w:rsidRDefault="000615DD" w:rsidP="000615DD">
      <w:pPr>
        <w:rPr>
          <w:rFonts w:cs="Arial"/>
        </w:rPr>
      </w:pPr>
    </w:p>
    <w:p w14:paraId="1541D6E7" w14:textId="77777777" w:rsidR="000615DD" w:rsidRPr="001E2783" w:rsidRDefault="000615DD" w:rsidP="000615DD">
      <w:pPr>
        <w:spacing w:after="80"/>
        <w:rPr>
          <w:rFonts w:cs="Arial"/>
        </w:rPr>
      </w:pPr>
      <w:r w:rsidRPr="001E2783">
        <w:rPr>
          <w:rFonts w:cs="Arial"/>
        </w:rPr>
        <w:t>In response to the prohibited devices detected by Australia Post, the ACMA sent a letter to the addressees informing them that:</w:t>
      </w:r>
    </w:p>
    <w:p w14:paraId="19DE0EA6" w14:textId="77777777" w:rsidR="000615DD" w:rsidRPr="001E2783" w:rsidRDefault="000615DD" w:rsidP="000615DD">
      <w:pPr>
        <w:pStyle w:val="ListBullet"/>
        <w:rPr>
          <w:rFonts w:cs="Arial"/>
        </w:rPr>
      </w:pPr>
      <w:r w:rsidRPr="001E2783">
        <w:rPr>
          <w:rFonts w:cs="Arial"/>
        </w:rPr>
        <w:t>the device they bought online from an overseas retailer is prohibited</w:t>
      </w:r>
    </w:p>
    <w:p w14:paraId="76E4A8A7" w14:textId="77777777" w:rsidR="000615DD" w:rsidRPr="001E2783" w:rsidRDefault="000615DD" w:rsidP="000615DD">
      <w:pPr>
        <w:pStyle w:val="ListBullet"/>
        <w:rPr>
          <w:rFonts w:cs="Arial"/>
        </w:rPr>
      </w:pPr>
      <w:r w:rsidRPr="001E2783">
        <w:rPr>
          <w:rFonts w:cs="Arial"/>
        </w:rPr>
        <w:t>the device had been forfeited to the Commonwealth</w:t>
      </w:r>
    </w:p>
    <w:p w14:paraId="3D271145" w14:textId="77777777" w:rsidR="000615DD" w:rsidRPr="001E2783" w:rsidRDefault="000615DD" w:rsidP="000615DD">
      <w:pPr>
        <w:pStyle w:val="ListBullet"/>
        <w:spacing w:after="240"/>
        <w:rPr>
          <w:rFonts w:cs="Arial"/>
        </w:rPr>
      </w:pPr>
      <w:r w:rsidRPr="001E2783">
        <w:rPr>
          <w:rFonts w:cs="Arial"/>
        </w:rPr>
        <w:t>penalties may apply if, under section 189 of the Radiocommunications Act, they are found to purchase a prohibited device again.</w:t>
      </w: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6BAAF955" w14:textId="77777777" w:rsidTr="000615DD">
        <w:trPr>
          <w:trHeight w:val="570"/>
        </w:trPr>
        <w:tc>
          <w:tcPr>
            <w:tcW w:w="9645" w:type="dxa"/>
            <w:tcBorders>
              <w:top w:val="single" w:sz="2" w:space="0" w:color="505050"/>
            </w:tcBorders>
            <w:shd w:val="clear" w:color="auto" w:fill="auto"/>
            <w:vAlign w:val="center"/>
          </w:tcPr>
          <w:p w14:paraId="1ECE4E9F" w14:textId="77777777" w:rsidR="000615DD" w:rsidRPr="001E2783" w:rsidRDefault="000615DD" w:rsidP="00E65BD5">
            <w:pPr>
              <w:pStyle w:val="Caption"/>
              <w:keepNext/>
              <w:keepLines/>
              <w:rPr>
                <w:rFonts w:ascii="Arial" w:hAnsi="Arial" w:cs="Arial"/>
                <w:color w:val="auto"/>
              </w:rPr>
            </w:pPr>
            <w:r w:rsidRPr="00441258">
              <w:rPr>
                <w:rFonts w:ascii="Arial" w:hAnsi="Arial" w:cs="Arial"/>
              </w:rPr>
              <w:t>T</w:t>
            </w:r>
            <w:r w:rsidRPr="00D3485F">
              <w:rPr>
                <w:rFonts w:ascii="Arial" w:hAnsi="Arial" w:cs="Arial"/>
              </w:rPr>
              <w:t>able 2</w:t>
            </w:r>
            <w:r w:rsidR="00D27ED3" w:rsidRPr="00D3485F">
              <w:rPr>
                <w:rFonts w:ascii="Arial" w:hAnsi="Arial" w:cs="Arial"/>
              </w:rPr>
              <w:t>1</w:t>
            </w:r>
            <w:r w:rsidRPr="00D3485F">
              <w:rPr>
                <w:rFonts w:ascii="Arial" w:hAnsi="Arial" w:cs="Arial"/>
              </w:rPr>
              <w:t>: Prohibited devices, 2011–12</w:t>
            </w:r>
            <w:r w:rsidR="00E65BD5" w:rsidRPr="00D3485F">
              <w:rPr>
                <w:rFonts w:ascii="Arial" w:hAnsi="Arial" w:cs="Arial"/>
              </w:rPr>
              <w:t xml:space="preserve"> to</w:t>
            </w:r>
            <w:r w:rsidRPr="00D3485F">
              <w:rPr>
                <w:rFonts w:ascii="Arial" w:hAnsi="Arial" w:cs="Arial"/>
              </w:rPr>
              <w:t xml:space="preserve"> 2013–14</w:t>
            </w:r>
          </w:p>
        </w:tc>
      </w:tr>
      <w:tr w:rsidR="001E2783" w:rsidRPr="001E2783" w14:paraId="1B988BDB" w14:textId="77777777" w:rsidTr="000615DD">
        <w:trPr>
          <w:trHeight w:val="710"/>
        </w:trPr>
        <w:tc>
          <w:tcPr>
            <w:tcW w:w="9645" w:type="dxa"/>
            <w:shd w:val="clear" w:color="auto" w:fill="auto"/>
            <w:tcMar>
              <w:left w:w="28" w:type="dxa"/>
            </w:tcMar>
          </w:tcPr>
          <w:tbl>
            <w:tblPr>
              <w:tblW w:w="84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69"/>
              <w:gridCol w:w="1984"/>
              <w:gridCol w:w="1560"/>
              <w:gridCol w:w="1560"/>
            </w:tblGrid>
            <w:tr w:rsidR="001E2783" w:rsidRPr="001E2783" w14:paraId="776E91B2" w14:textId="77777777" w:rsidTr="000615DD">
              <w:trPr>
                <w:trHeight w:val="240"/>
              </w:trPr>
              <w:tc>
                <w:tcPr>
                  <w:tcW w:w="3369" w:type="dxa"/>
                  <w:vMerge w:val="restart"/>
                  <w:shd w:val="clear" w:color="auto" w:fill="404040" w:themeFill="text1" w:themeFillTint="BF"/>
                  <w:tcMar>
                    <w:top w:w="57" w:type="dxa"/>
                    <w:left w:w="57" w:type="dxa"/>
                    <w:bottom w:w="57" w:type="dxa"/>
                    <w:right w:w="57" w:type="dxa"/>
                  </w:tcMar>
                  <w:vAlign w:val="center"/>
                </w:tcPr>
                <w:p w14:paraId="192C2E56" w14:textId="77777777" w:rsidR="000615DD" w:rsidRPr="000544EA" w:rsidRDefault="000615DD" w:rsidP="000615DD">
                  <w:pPr>
                    <w:ind w:left="1"/>
                    <w:rPr>
                      <w:rFonts w:cs="Arial"/>
                      <w:b/>
                      <w:color w:val="FFFFFF" w:themeColor="background1"/>
                    </w:rPr>
                  </w:pPr>
                  <w:r w:rsidRPr="000544EA">
                    <w:rPr>
                      <w:rFonts w:cs="Arial"/>
                      <w:b/>
                      <w:color w:val="FFFFFF" w:themeColor="background1"/>
                    </w:rPr>
                    <w:t>Action type</w:t>
                  </w:r>
                </w:p>
              </w:tc>
              <w:tc>
                <w:tcPr>
                  <w:tcW w:w="5104" w:type="dxa"/>
                  <w:gridSpan w:val="3"/>
                  <w:shd w:val="clear" w:color="auto" w:fill="404040" w:themeFill="text1" w:themeFillTint="BF"/>
                  <w:tcMar>
                    <w:top w:w="57" w:type="dxa"/>
                    <w:left w:w="57" w:type="dxa"/>
                    <w:bottom w:w="57" w:type="dxa"/>
                    <w:right w:w="57" w:type="dxa"/>
                  </w:tcMar>
                </w:tcPr>
                <w:p w14:paraId="4EFA67D7" w14:textId="77777777" w:rsidR="000615DD" w:rsidRPr="000544EA" w:rsidRDefault="000615DD" w:rsidP="000615DD">
                  <w:pPr>
                    <w:ind w:left="34"/>
                    <w:jc w:val="center"/>
                    <w:rPr>
                      <w:rFonts w:cs="Arial"/>
                      <w:b/>
                      <w:color w:val="FFFFFF" w:themeColor="background1"/>
                    </w:rPr>
                  </w:pPr>
                  <w:r w:rsidRPr="000544EA">
                    <w:rPr>
                      <w:rFonts w:cs="Arial"/>
                      <w:b/>
                      <w:color w:val="FFFFFF" w:themeColor="background1"/>
                    </w:rPr>
                    <w:t>Number of actions</w:t>
                  </w:r>
                </w:p>
              </w:tc>
            </w:tr>
            <w:tr w:rsidR="001E2783" w:rsidRPr="001E2783" w14:paraId="4ADBCE12" w14:textId="77777777" w:rsidTr="000615DD">
              <w:trPr>
                <w:trHeight w:val="240"/>
              </w:trPr>
              <w:tc>
                <w:tcPr>
                  <w:tcW w:w="3369" w:type="dxa"/>
                  <w:vMerge/>
                  <w:shd w:val="clear" w:color="auto" w:fill="404040" w:themeFill="text1" w:themeFillTint="BF"/>
                  <w:tcMar>
                    <w:top w:w="57" w:type="dxa"/>
                    <w:left w:w="57" w:type="dxa"/>
                    <w:bottom w:w="57" w:type="dxa"/>
                    <w:right w:w="57" w:type="dxa"/>
                  </w:tcMar>
                </w:tcPr>
                <w:p w14:paraId="67D85DC3" w14:textId="77777777" w:rsidR="000615DD" w:rsidRPr="000544EA" w:rsidRDefault="000615DD" w:rsidP="000615DD">
                  <w:pPr>
                    <w:ind w:left="1"/>
                    <w:rPr>
                      <w:rFonts w:cs="Arial"/>
                      <w:b/>
                      <w:color w:val="FFFFFF" w:themeColor="background1"/>
                    </w:rPr>
                  </w:pPr>
                </w:p>
              </w:tc>
              <w:tc>
                <w:tcPr>
                  <w:tcW w:w="1984" w:type="dxa"/>
                  <w:shd w:val="clear" w:color="auto" w:fill="404040" w:themeFill="text1" w:themeFillTint="BF"/>
                  <w:tcMar>
                    <w:top w:w="57" w:type="dxa"/>
                    <w:left w:w="57" w:type="dxa"/>
                    <w:bottom w:w="57" w:type="dxa"/>
                    <w:right w:w="57" w:type="dxa"/>
                  </w:tcMar>
                </w:tcPr>
                <w:p w14:paraId="7291E4AB" w14:textId="77777777" w:rsidR="000615DD" w:rsidRPr="000544EA" w:rsidRDefault="000615DD" w:rsidP="000615DD">
                  <w:pPr>
                    <w:pStyle w:val="TableHeading"/>
                    <w:ind w:left="34"/>
                    <w:jc w:val="right"/>
                    <w:rPr>
                      <w:rFonts w:ascii="Arial" w:hAnsi="Arial" w:cs="Arial"/>
                      <w:color w:val="FFFFFF" w:themeColor="background1"/>
                    </w:rPr>
                  </w:pPr>
                  <w:r w:rsidRPr="000544EA">
                    <w:rPr>
                      <w:rFonts w:ascii="Arial" w:hAnsi="Arial" w:cs="Arial"/>
                      <w:color w:val="FFFFFF" w:themeColor="background1"/>
                    </w:rPr>
                    <w:t>2011–12</w:t>
                  </w:r>
                </w:p>
              </w:tc>
              <w:tc>
                <w:tcPr>
                  <w:tcW w:w="1560" w:type="dxa"/>
                  <w:shd w:val="clear" w:color="auto" w:fill="404040" w:themeFill="text1" w:themeFillTint="BF"/>
                  <w:tcMar>
                    <w:top w:w="57" w:type="dxa"/>
                    <w:left w:w="57" w:type="dxa"/>
                    <w:bottom w:w="57" w:type="dxa"/>
                    <w:right w:w="57" w:type="dxa"/>
                  </w:tcMar>
                </w:tcPr>
                <w:p w14:paraId="61FE645D" w14:textId="77777777" w:rsidR="000615DD" w:rsidRPr="000544EA" w:rsidRDefault="000615DD" w:rsidP="000615DD">
                  <w:pPr>
                    <w:pStyle w:val="TableHeading"/>
                    <w:ind w:left="34"/>
                    <w:jc w:val="right"/>
                    <w:rPr>
                      <w:rFonts w:ascii="Arial" w:hAnsi="Arial" w:cs="Arial"/>
                      <w:color w:val="FFFFFF" w:themeColor="background1"/>
                    </w:rPr>
                  </w:pPr>
                  <w:r w:rsidRPr="000544EA">
                    <w:rPr>
                      <w:rFonts w:ascii="Arial" w:hAnsi="Arial" w:cs="Arial"/>
                      <w:color w:val="FFFFFF" w:themeColor="background1"/>
                    </w:rPr>
                    <w:t>2012–13</w:t>
                  </w:r>
                </w:p>
              </w:tc>
              <w:tc>
                <w:tcPr>
                  <w:tcW w:w="1560" w:type="dxa"/>
                  <w:shd w:val="clear" w:color="auto" w:fill="404040" w:themeFill="text1" w:themeFillTint="BF"/>
                </w:tcPr>
                <w:p w14:paraId="775D2184" w14:textId="77777777" w:rsidR="000615DD" w:rsidRPr="000544EA" w:rsidRDefault="000615DD" w:rsidP="000615DD">
                  <w:pPr>
                    <w:pStyle w:val="TableHeading"/>
                    <w:ind w:left="34"/>
                    <w:jc w:val="right"/>
                    <w:rPr>
                      <w:rFonts w:ascii="Arial" w:hAnsi="Arial" w:cs="Arial"/>
                      <w:color w:val="FFFFFF" w:themeColor="background1"/>
                    </w:rPr>
                  </w:pPr>
                  <w:r w:rsidRPr="000544EA">
                    <w:rPr>
                      <w:rFonts w:ascii="Arial" w:hAnsi="Arial" w:cs="Arial"/>
                      <w:color w:val="FFFFFF" w:themeColor="background1"/>
                    </w:rPr>
                    <w:t>2013–14</w:t>
                  </w:r>
                </w:p>
              </w:tc>
            </w:tr>
            <w:tr w:rsidR="001E2783" w:rsidRPr="001E2783" w14:paraId="4A2282E3" w14:textId="77777777" w:rsidTr="000615DD">
              <w:trPr>
                <w:trHeight w:val="353"/>
              </w:trPr>
              <w:tc>
                <w:tcPr>
                  <w:tcW w:w="3369" w:type="dxa"/>
                  <w:tcMar>
                    <w:top w:w="57" w:type="dxa"/>
                    <w:left w:w="57" w:type="dxa"/>
                    <w:bottom w:w="57" w:type="dxa"/>
                    <w:right w:w="57" w:type="dxa"/>
                  </w:tcMar>
                  <w:vAlign w:val="center"/>
                </w:tcPr>
                <w:p w14:paraId="6D7D71F6" w14:textId="77777777" w:rsidR="000615DD" w:rsidRPr="001E2783" w:rsidRDefault="000615DD" w:rsidP="000615DD">
                  <w:pPr>
                    <w:rPr>
                      <w:rFonts w:cs="Arial"/>
                    </w:rPr>
                  </w:pPr>
                  <w:r w:rsidRPr="001E2783">
                    <w:rPr>
                      <w:rFonts w:cs="Arial"/>
                    </w:rPr>
                    <w:t>Prohibited devices detections</w:t>
                  </w:r>
                </w:p>
              </w:tc>
              <w:tc>
                <w:tcPr>
                  <w:tcW w:w="1984" w:type="dxa"/>
                  <w:tcMar>
                    <w:top w:w="57" w:type="dxa"/>
                    <w:left w:w="57" w:type="dxa"/>
                    <w:bottom w:w="57" w:type="dxa"/>
                    <w:right w:w="57" w:type="dxa"/>
                  </w:tcMar>
                  <w:vAlign w:val="center"/>
                </w:tcPr>
                <w:p w14:paraId="0089DA04" w14:textId="77777777" w:rsidR="000615DD" w:rsidRPr="001E2783" w:rsidRDefault="000615DD" w:rsidP="00A80800">
                  <w:pPr>
                    <w:ind w:left="720"/>
                    <w:jc w:val="right"/>
                    <w:rPr>
                      <w:rFonts w:cs="Arial"/>
                    </w:rPr>
                  </w:pPr>
                  <w:r w:rsidRPr="001E2783">
                    <w:rPr>
                      <w:rFonts w:cs="Arial"/>
                    </w:rPr>
                    <w:t>179</w:t>
                  </w:r>
                </w:p>
              </w:tc>
              <w:tc>
                <w:tcPr>
                  <w:tcW w:w="1560" w:type="dxa"/>
                  <w:tcMar>
                    <w:top w:w="57" w:type="dxa"/>
                    <w:left w:w="57" w:type="dxa"/>
                    <w:bottom w:w="57" w:type="dxa"/>
                    <w:right w:w="57" w:type="dxa"/>
                  </w:tcMar>
                  <w:vAlign w:val="center"/>
                </w:tcPr>
                <w:p w14:paraId="437D7171" w14:textId="77777777" w:rsidR="000615DD" w:rsidRPr="001E2783" w:rsidRDefault="000615DD" w:rsidP="00A80800">
                  <w:pPr>
                    <w:ind w:left="720"/>
                    <w:jc w:val="right"/>
                    <w:rPr>
                      <w:rFonts w:cs="Arial"/>
                    </w:rPr>
                  </w:pPr>
                  <w:r w:rsidRPr="001E2783">
                    <w:rPr>
                      <w:rFonts w:cs="Arial"/>
                    </w:rPr>
                    <w:t>25</w:t>
                  </w:r>
                </w:p>
              </w:tc>
              <w:tc>
                <w:tcPr>
                  <w:tcW w:w="1560" w:type="dxa"/>
                  <w:vAlign w:val="center"/>
                </w:tcPr>
                <w:p w14:paraId="3E75D96A" w14:textId="77777777" w:rsidR="000615DD" w:rsidRPr="001E2783" w:rsidRDefault="000615DD" w:rsidP="00A80800">
                  <w:pPr>
                    <w:ind w:left="720"/>
                    <w:jc w:val="right"/>
                    <w:rPr>
                      <w:rFonts w:cs="Arial"/>
                    </w:rPr>
                  </w:pPr>
                  <w:r w:rsidRPr="001E2783">
                    <w:rPr>
                      <w:rFonts w:cs="Arial"/>
                    </w:rPr>
                    <w:t>57</w:t>
                  </w:r>
                </w:p>
              </w:tc>
            </w:tr>
          </w:tbl>
          <w:p w14:paraId="29040DF7" w14:textId="77777777" w:rsidR="000615DD" w:rsidRPr="001E2783" w:rsidRDefault="000615DD" w:rsidP="000615DD">
            <w:pPr>
              <w:rPr>
                <w:rFonts w:cs="Arial"/>
              </w:rPr>
            </w:pPr>
          </w:p>
        </w:tc>
      </w:tr>
      <w:tr w:rsidR="000615DD" w:rsidRPr="001E2783" w14:paraId="3F656924" w14:textId="77777777" w:rsidTr="000615DD">
        <w:trPr>
          <w:trHeight w:val="74"/>
        </w:trPr>
        <w:tc>
          <w:tcPr>
            <w:tcW w:w="9645" w:type="dxa"/>
            <w:tcBorders>
              <w:bottom w:val="single" w:sz="2" w:space="0" w:color="505050"/>
            </w:tcBorders>
            <w:shd w:val="clear" w:color="auto" w:fill="auto"/>
          </w:tcPr>
          <w:p w14:paraId="463A2334" w14:textId="77777777" w:rsidR="000615DD" w:rsidRPr="001E2783" w:rsidRDefault="000615DD" w:rsidP="000615DD">
            <w:pPr>
              <w:rPr>
                <w:rFonts w:cs="Arial"/>
              </w:rPr>
            </w:pPr>
          </w:p>
        </w:tc>
      </w:tr>
    </w:tbl>
    <w:p w14:paraId="307F6F75" w14:textId="77777777" w:rsidR="000615DD" w:rsidRPr="001E2783" w:rsidRDefault="000615DD" w:rsidP="000615DD">
      <w:pPr>
        <w:spacing w:line="240" w:lineRule="auto"/>
        <w:rPr>
          <w:rFonts w:cs="Arial"/>
          <w:szCs w:val="20"/>
        </w:rPr>
      </w:pPr>
    </w:p>
    <w:p w14:paraId="23E3AC21" w14:textId="77777777" w:rsidR="000615DD" w:rsidRPr="001E2783" w:rsidRDefault="000615DD" w:rsidP="000615DD">
      <w:pPr>
        <w:spacing w:line="240" w:lineRule="auto"/>
        <w:rPr>
          <w:rFonts w:cs="Arial"/>
          <w:szCs w:val="20"/>
        </w:rPr>
      </w:pPr>
      <w:r w:rsidRPr="001E2783">
        <w:rPr>
          <w:rFonts w:cs="Arial"/>
          <w:szCs w:val="20"/>
        </w:rPr>
        <w:t xml:space="preserve">This approach reduced the risk to spectrum utility and interference to mobile phone users without imposing an undue burden on industry or consumers, in accordance with the established compliance principles. </w:t>
      </w:r>
    </w:p>
    <w:p w14:paraId="704F328C" w14:textId="77777777" w:rsidR="000615DD" w:rsidRPr="001E2783" w:rsidRDefault="000615DD" w:rsidP="000615DD">
      <w:pPr>
        <w:rPr>
          <w:rFonts w:cs="Arial"/>
        </w:rPr>
      </w:pPr>
    </w:p>
    <w:p w14:paraId="2953066B" w14:textId="77777777" w:rsidR="000615DD" w:rsidRPr="001E2783" w:rsidRDefault="000615DD" w:rsidP="000615DD">
      <w:pPr>
        <w:pStyle w:val="bodySUBSUBheaderh5"/>
        <w:rPr>
          <w:rFonts w:cs="Arial"/>
        </w:rPr>
      </w:pPr>
      <w:r w:rsidRPr="001E2783">
        <w:rPr>
          <w:rFonts w:cs="Arial"/>
        </w:rPr>
        <w:t>GPS jammer prosecution</w:t>
      </w:r>
    </w:p>
    <w:p w14:paraId="7129FD87" w14:textId="77777777" w:rsidR="000615DD" w:rsidRPr="001E2783" w:rsidRDefault="000615DD" w:rsidP="000615DD">
      <w:pPr>
        <w:rPr>
          <w:rFonts w:cs="Arial"/>
        </w:rPr>
      </w:pPr>
      <w:r w:rsidRPr="001E2783">
        <w:rPr>
          <w:rFonts w:cs="Arial"/>
        </w:rPr>
        <w:t>Following the ACMA’s joint operation with the Victorian Taxi Services Commission in 2012, a prosecution began against a taxi driver found to be using a GPS jamming device. In December 2013, the driver was found guilty of causing interference contrary to the Radiocommunications Act, convicted and fined $850.</w:t>
      </w:r>
    </w:p>
    <w:p w14:paraId="72F008E5" w14:textId="77777777" w:rsidR="000615DD" w:rsidRPr="001E2783" w:rsidRDefault="000615DD" w:rsidP="000615DD">
      <w:pPr>
        <w:rPr>
          <w:rFonts w:cs="Arial"/>
        </w:rPr>
      </w:pPr>
    </w:p>
    <w:p w14:paraId="7D9225E9" w14:textId="77777777" w:rsidR="000615DD" w:rsidRPr="001E2783" w:rsidRDefault="000615DD" w:rsidP="000615DD">
      <w:pPr>
        <w:rPr>
          <w:rFonts w:cs="Arial"/>
        </w:rPr>
      </w:pPr>
      <w:r w:rsidRPr="001E2783">
        <w:rPr>
          <w:rFonts w:cs="Arial"/>
        </w:rPr>
        <w:t xml:space="preserve">A second prosecution involving another Victorian taxi driver using a GPS jammer has commenced. </w:t>
      </w:r>
    </w:p>
    <w:p w14:paraId="6AC54B10" w14:textId="77777777" w:rsidR="000615DD" w:rsidRPr="001E2783" w:rsidRDefault="000615DD" w:rsidP="000615DD">
      <w:pPr>
        <w:rPr>
          <w:rFonts w:cs="Arial"/>
        </w:rPr>
      </w:pPr>
    </w:p>
    <w:p w14:paraId="2DDD828D" w14:textId="77777777" w:rsidR="00D9068B" w:rsidRPr="001E2783" w:rsidRDefault="00D9068B" w:rsidP="00D9068B">
      <w:pPr>
        <w:pStyle w:val="BodysubheaderH4"/>
        <w:rPr>
          <w:rFonts w:cs="Arial"/>
        </w:rPr>
      </w:pPr>
      <w:r w:rsidRPr="001E2783">
        <w:rPr>
          <w:rFonts w:cs="Arial"/>
        </w:rPr>
        <w:t>Supplier auditing program</w:t>
      </w:r>
    </w:p>
    <w:p w14:paraId="25E617B1" w14:textId="77777777" w:rsidR="00D9068B" w:rsidRPr="001E2783" w:rsidRDefault="00D9068B" w:rsidP="00D9068B">
      <w:pPr>
        <w:rPr>
          <w:rFonts w:cs="Arial"/>
        </w:rPr>
      </w:pPr>
      <w:r w:rsidRPr="001E2783">
        <w:rPr>
          <w:rFonts w:cs="Arial"/>
        </w:rPr>
        <w:t>The ACMA continued to transform its data collection and overall compliance approach, moving from targeting those who are registered (and displaying a willingness to comply) to those who sell goods via unregulated channels such as online shopping. During 2013–14, field intelligence was complemented by a web-based search tool to identify Australian suppliers, who were generally audited or investigated further. This approach has enabled the ACMA to better understand the Australian market and identify systemic issues of non-compliance.</w:t>
      </w:r>
    </w:p>
    <w:p w14:paraId="0727AB2F" w14:textId="77777777" w:rsidR="00D9068B" w:rsidRPr="001E2783" w:rsidRDefault="00D9068B" w:rsidP="00D9068B">
      <w:pPr>
        <w:rPr>
          <w:rFonts w:cs="Arial"/>
        </w:rPr>
      </w:pPr>
    </w:p>
    <w:p w14:paraId="17DEE14D" w14:textId="77777777" w:rsidR="00D9068B" w:rsidRPr="001E2783" w:rsidRDefault="00D9068B" w:rsidP="00D9068B">
      <w:pPr>
        <w:rPr>
          <w:rFonts w:cs="Arial"/>
        </w:rPr>
      </w:pPr>
      <w:r w:rsidRPr="001E2783">
        <w:rPr>
          <w:rFonts w:cs="Arial"/>
        </w:rPr>
        <w:t xml:space="preserve">The ACMA conducts audits in a strategic and targeted manner based on intelligence, including complaints, and risk assessment. This uses resources more efficiently and reduces compliance costs or ‘red tape’ for industry. </w:t>
      </w:r>
      <w:r w:rsidR="00203555" w:rsidRPr="001E2783">
        <w:rPr>
          <w:rFonts w:cs="Arial"/>
        </w:rPr>
        <w:t>Targeted</w:t>
      </w:r>
      <w:r w:rsidRPr="001E2783">
        <w:rPr>
          <w:rFonts w:cs="Arial"/>
        </w:rPr>
        <w:t xml:space="preserve"> audits of registered suppliers’ compliance documentation continue to be a vital component in achieving compliance with the labelling and record-keeping requirements of the Radiocommunications Act and Telecommunications Act. </w:t>
      </w:r>
    </w:p>
    <w:p w14:paraId="5C75F56D" w14:textId="77777777" w:rsidR="00D9068B" w:rsidRPr="001E2783" w:rsidRDefault="00D9068B" w:rsidP="00D9068B">
      <w:pPr>
        <w:rPr>
          <w:rFonts w:cs="Arial"/>
        </w:rPr>
      </w:pPr>
    </w:p>
    <w:p w14:paraId="3455481D" w14:textId="77777777" w:rsidR="00D9068B" w:rsidRPr="001E2783" w:rsidRDefault="00D9068B" w:rsidP="00D9068B">
      <w:pPr>
        <w:rPr>
          <w:rFonts w:cs="Arial"/>
          <w:i/>
        </w:rPr>
      </w:pPr>
      <w:r w:rsidRPr="001E2783">
        <w:rPr>
          <w:rFonts w:cs="Arial"/>
        </w:rPr>
        <w:t>The recent overall trend of an increased number of audits with a decreased number of failed audits suggests that industry is generally compliant and endorses the ACMA’s approach to compliance enforcement</w:t>
      </w:r>
      <w:r w:rsidR="00D27ED3" w:rsidRPr="001E2783">
        <w:rPr>
          <w:rFonts w:cs="Arial"/>
        </w:rPr>
        <w:t xml:space="preserve"> (see Table 22)</w:t>
      </w:r>
      <w:r w:rsidRPr="001E2783">
        <w:rPr>
          <w:rFonts w:cs="Arial"/>
        </w:rPr>
        <w:t>. This trend has also occurred in the context of an increasingly focused and strategic approach to auditing generally designed to target higher risks.</w:t>
      </w:r>
    </w:p>
    <w:p w14:paraId="46BC617E" w14:textId="77777777" w:rsidR="00D9068B" w:rsidRPr="001E2783" w:rsidRDefault="00D9068B" w:rsidP="00D9068B">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2831ADDD" w14:textId="77777777" w:rsidTr="0024565E">
        <w:trPr>
          <w:trHeight w:val="570"/>
        </w:trPr>
        <w:tc>
          <w:tcPr>
            <w:tcW w:w="9645" w:type="dxa"/>
            <w:tcBorders>
              <w:top w:val="single" w:sz="2" w:space="0" w:color="505050"/>
            </w:tcBorders>
            <w:shd w:val="clear" w:color="auto" w:fill="auto"/>
            <w:vAlign w:val="center"/>
          </w:tcPr>
          <w:p w14:paraId="43F4FA43" w14:textId="77777777" w:rsidR="00D9068B" w:rsidRPr="001E2783" w:rsidRDefault="00D9068B" w:rsidP="00A80800">
            <w:pPr>
              <w:pStyle w:val="Caption"/>
              <w:keepNext/>
              <w:keepLines/>
              <w:rPr>
                <w:rFonts w:ascii="Arial" w:hAnsi="Arial" w:cs="Arial"/>
                <w:color w:val="auto"/>
              </w:rPr>
            </w:pPr>
            <w:r w:rsidRPr="00D3485F">
              <w:rPr>
                <w:rFonts w:ascii="Arial" w:hAnsi="Arial" w:cs="Arial"/>
              </w:rPr>
              <w:t>Table 2</w:t>
            </w:r>
            <w:r w:rsidR="00D27ED3" w:rsidRPr="00D3485F">
              <w:rPr>
                <w:rFonts w:ascii="Arial" w:hAnsi="Arial" w:cs="Arial"/>
              </w:rPr>
              <w:t>2</w:t>
            </w:r>
            <w:r w:rsidRPr="00D3485F">
              <w:rPr>
                <w:rFonts w:ascii="Arial" w:hAnsi="Arial" w:cs="Arial"/>
              </w:rPr>
              <w:t>: Audits of registered suppliers, 2011–12</w:t>
            </w:r>
            <w:r w:rsidR="00A80800" w:rsidRPr="00D3485F">
              <w:rPr>
                <w:rFonts w:ascii="Arial" w:hAnsi="Arial" w:cs="Arial"/>
              </w:rPr>
              <w:t xml:space="preserve"> to</w:t>
            </w:r>
            <w:r w:rsidRPr="00D3485F">
              <w:rPr>
                <w:rFonts w:ascii="Arial" w:hAnsi="Arial" w:cs="Arial"/>
              </w:rPr>
              <w:t xml:space="preserve"> 2013–14</w:t>
            </w:r>
          </w:p>
        </w:tc>
      </w:tr>
      <w:tr w:rsidR="001E2783" w:rsidRPr="001E2783" w14:paraId="0B33620D" w14:textId="77777777" w:rsidTr="0024565E">
        <w:trPr>
          <w:trHeight w:val="840"/>
        </w:trPr>
        <w:tc>
          <w:tcPr>
            <w:tcW w:w="9645" w:type="dxa"/>
            <w:shd w:val="clear" w:color="auto" w:fill="auto"/>
            <w:tcMar>
              <w:left w:w="28" w:type="dxa"/>
            </w:tcMa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95"/>
              <w:gridCol w:w="1417"/>
              <w:gridCol w:w="1701"/>
              <w:gridCol w:w="1701"/>
            </w:tblGrid>
            <w:tr w:rsidR="001E2783" w:rsidRPr="001E2783" w14:paraId="574CF3FE" w14:textId="77777777" w:rsidTr="0024565E">
              <w:tc>
                <w:tcPr>
                  <w:tcW w:w="3795" w:type="dxa"/>
                  <w:vMerge w:val="restart"/>
                  <w:shd w:val="clear" w:color="auto" w:fill="404040" w:themeFill="text1" w:themeFillTint="BF"/>
                  <w:tcMar>
                    <w:top w:w="57" w:type="dxa"/>
                    <w:left w:w="57" w:type="dxa"/>
                    <w:bottom w:w="57" w:type="dxa"/>
                    <w:right w:w="57" w:type="dxa"/>
                  </w:tcMar>
                  <w:vAlign w:val="center"/>
                </w:tcPr>
                <w:p w14:paraId="14E7C2BE" w14:textId="77777777" w:rsidR="00D9068B" w:rsidRPr="000544EA" w:rsidRDefault="00D9068B" w:rsidP="0024565E">
                  <w:pPr>
                    <w:pStyle w:val="TableHeading"/>
                    <w:keepNext/>
                    <w:keepLines/>
                    <w:rPr>
                      <w:rFonts w:ascii="Arial" w:hAnsi="Arial" w:cs="Arial"/>
                      <w:color w:val="FFFFFF" w:themeColor="background1"/>
                    </w:rPr>
                  </w:pPr>
                  <w:r w:rsidRPr="000544EA">
                    <w:rPr>
                      <w:rFonts w:ascii="Arial" w:hAnsi="Arial" w:cs="Arial"/>
                      <w:color w:val="FFFFFF" w:themeColor="background1"/>
                    </w:rPr>
                    <w:t>Action type</w:t>
                  </w:r>
                </w:p>
              </w:tc>
              <w:tc>
                <w:tcPr>
                  <w:tcW w:w="4819" w:type="dxa"/>
                  <w:gridSpan w:val="3"/>
                  <w:shd w:val="clear" w:color="auto" w:fill="404040" w:themeFill="text1" w:themeFillTint="BF"/>
                  <w:tcMar>
                    <w:top w:w="57" w:type="dxa"/>
                    <w:left w:w="57" w:type="dxa"/>
                    <w:bottom w:w="57" w:type="dxa"/>
                    <w:right w:w="57" w:type="dxa"/>
                  </w:tcMar>
                </w:tcPr>
                <w:p w14:paraId="1A26A321" w14:textId="77777777" w:rsidR="00D9068B" w:rsidRPr="000544EA" w:rsidRDefault="00D9068B" w:rsidP="0024565E">
                  <w:pPr>
                    <w:pStyle w:val="TableHeading"/>
                    <w:keepNext/>
                    <w:keepLines/>
                    <w:jc w:val="center"/>
                    <w:rPr>
                      <w:rFonts w:ascii="Arial" w:hAnsi="Arial" w:cs="Arial"/>
                      <w:color w:val="FFFFFF" w:themeColor="background1"/>
                    </w:rPr>
                  </w:pPr>
                  <w:r w:rsidRPr="000544EA">
                    <w:rPr>
                      <w:rFonts w:ascii="Arial" w:hAnsi="Arial" w:cs="Arial"/>
                      <w:color w:val="FFFFFF" w:themeColor="background1"/>
                    </w:rPr>
                    <w:t>Number of actions</w:t>
                  </w:r>
                </w:p>
              </w:tc>
            </w:tr>
            <w:tr w:rsidR="001E2783" w:rsidRPr="001E2783" w14:paraId="7EBB83DE" w14:textId="77777777" w:rsidTr="0024565E">
              <w:tc>
                <w:tcPr>
                  <w:tcW w:w="3795" w:type="dxa"/>
                  <w:vMerge/>
                  <w:shd w:val="clear" w:color="auto" w:fill="404040" w:themeFill="text1" w:themeFillTint="BF"/>
                  <w:tcMar>
                    <w:top w:w="57" w:type="dxa"/>
                    <w:left w:w="57" w:type="dxa"/>
                    <w:bottom w:w="57" w:type="dxa"/>
                    <w:right w:w="57" w:type="dxa"/>
                  </w:tcMar>
                </w:tcPr>
                <w:p w14:paraId="3E392A4B" w14:textId="77777777" w:rsidR="00D9068B" w:rsidRPr="000544EA" w:rsidRDefault="00D9068B" w:rsidP="0024565E">
                  <w:pPr>
                    <w:pStyle w:val="TableHeading"/>
                    <w:keepNext/>
                    <w:keepLines/>
                    <w:ind w:left="720"/>
                    <w:rPr>
                      <w:rFonts w:ascii="Arial" w:hAnsi="Arial" w:cs="Arial"/>
                      <w:color w:val="FFFFFF" w:themeColor="background1"/>
                    </w:rPr>
                  </w:pPr>
                </w:p>
              </w:tc>
              <w:tc>
                <w:tcPr>
                  <w:tcW w:w="1417" w:type="dxa"/>
                  <w:shd w:val="clear" w:color="auto" w:fill="404040" w:themeFill="text1" w:themeFillTint="BF"/>
                  <w:tcMar>
                    <w:top w:w="57" w:type="dxa"/>
                    <w:left w:w="57" w:type="dxa"/>
                    <w:bottom w:w="57" w:type="dxa"/>
                    <w:right w:w="57" w:type="dxa"/>
                  </w:tcMar>
                </w:tcPr>
                <w:p w14:paraId="321862FA" w14:textId="77777777" w:rsidR="00D9068B" w:rsidRPr="000544EA" w:rsidRDefault="00D9068B" w:rsidP="0024565E">
                  <w:pPr>
                    <w:pStyle w:val="TableHeading"/>
                    <w:keepNext/>
                    <w:keepLines/>
                    <w:jc w:val="right"/>
                    <w:rPr>
                      <w:rFonts w:ascii="Arial" w:hAnsi="Arial" w:cs="Arial"/>
                      <w:color w:val="FFFFFF" w:themeColor="background1"/>
                    </w:rPr>
                  </w:pPr>
                  <w:r w:rsidRPr="000544EA">
                    <w:rPr>
                      <w:rFonts w:ascii="Arial" w:hAnsi="Arial" w:cs="Arial"/>
                      <w:color w:val="FFFFFF" w:themeColor="background1"/>
                    </w:rPr>
                    <w:t>2011–12</w:t>
                  </w:r>
                </w:p>
              </w:tc>
              <w:tc>
                <w:tcPr>
                  <w:tcW w:w="1701" w:type="dxa"/>
                  <w:shd w:val="clear" w:color="auto" w:fill="404040" w:themeFill="text1" w:themeFillTint="BF"/>
                  <w:tcMar>
                    <w:top w:w="57" w:type="dxa"/>
                    <w:left w:w="57" w:type="dxa"/>
                    <w:bottom w:w="57" w:type="dxa"/>
                    <w:right w:w="57" w:type="dxa"/>
                  </w:tcMar>
                </w:tcPr>
                <w:p w14:paraId="6C99E197" w14:textId="77777777" w:rsidR="00D9068B" w:rsidRPr="000544EA" w:rsidRDefault="00D9068B" w:rsidP="0024565E">
                  <w:pPr>
                    <w:pStyle w:val="TableHeading"/>
                    <w:keepNext/>
                    <w:keepLines/>
                    <w:jc w:val="right"/>
                    <w:rPr>
                      <w:rFonts w:ascii="Arial" w:hAnsi="Arial" w:cs="Arial"/>
                      <w:color w:val="FFFFFF" w:themeColor="background1"/>
                    </w:rPr>
                  </w:pPr>
                  <w:r w:rsidRPr="000544EA">
                    <w:rPr>
                      <w:rFonts w:ascii="Arial" w:hAnsi="Arial" w:cs="Arial"/>
                      <w:color w:val="FFFFFF" w:themeColor="background1"/>
                    </w:rPr>
                    <w:t>2012–13</w:t>
                  </w:r>
                </w:p>
              </w:tc>
              <w:tc>
                <w:tcPr>
                  <w:tcW w:w="1701" w:type="dxa"/>
                  <w:shd w:val="clear" w:color="auto" w:fill="404040" w:themeFill="text1" w:themeFillTint="BF"/>
                </w:tcPr>
                <w:p w14:paraId="667056B6" w14:textId="77777777" w:rsidR="00D9068B" w:rsidRPr="000544EA" w:rsidRDefault="00D9068B" w:rsidP="0024565E">
                  <w:pPr>
                    <w:pStyle w:val="TableHeading"/>
                    <w:keepNext/>
                    <w:keepLines/>
                    <w:jc w:val="right"/>
                    <w:rPr>
                      <w:rFonts w:ascii="Arial" w:hAnsi="Arial" w:cs="Arial"/>
                      <w:color w:val="FFFFFF" w:themeColor="background1"/>
                    </w:rPr>
                  </w:pPr>
                  <w:r w:rsidRPr="000544EA">
                    <w:rPr>
                      <w:rFonts w:ascii="Arial" w:hAnsi="Arial" w:cs="Arial"/>
                      <w:color w:val="FFFFFF" w:themeColor="background1"/>
                    </w:rPr>
                    <w:t>2013–14</w:t>
                  </w:r>
                </w:p>
              </w:tc>
            </w:tr>
            <w:tr w:rsidR="001E2783" w:rsidRPr="001E2783" w14:paraId="63BE855E" w14:textId="77777777" w:rsidTr="0024565E">
              <w:tc>
                <w:tcPr>
                  <w:tcW w:w="3795" w:type="dxa"/>
                  <w:tcMar>
                    <w:top w:w="57" w:type="dxa"/>
                    <w:left w:w="57" w:type="dxa"/>
                    <w:bottom w:w="57" w:type="dxa"/>
                    <w:right w:w="57" w:type="dxa"/>
                  </w:tcMar>
                </w:tcPr>
                <w:p w14:paraId="7ABED03C" w14:textId="77777777" w:rsidR="00D9068B" w:rsidRPr="001E2783" w:rsidRDefault="00D9068B" w:rsidP="0024565E">
                  <w:pPr>
                    <w:keepNext/>
                    <w:keepLines/>
                    <w:rPr>
                      <w:rFonts w:cs="Arial"/>
                    </w:rPr>
                  </w:pPr>
                  <w:r w:rsidRPr="001E2783">
                    <w:rPr>
                      <w:rFonts w:cs="Arial"/>
                    </w:rPr>
                    <w:t>Audits conducted</w:t>
                  </w:r>
                </w:p>
              </w:tc>
              <w:tc>
                <w:tcPr>
                  <w:tcW w:w="1417" w:type="dxa"/>
                  <w:tcMar>
                    <w:top w:w="57" w:type="dxa"/>
                    <w:left w:w="57" w:type="dxa"/>
                    <w:bottom w:w="57" w:type="dxa"/>
                    <w:right w:w="57" w:type="dxa"/>
                  </w:tcMar>
                </w:tcPr>
                <w:p w14:paraId="05477FEB" w14:textId="77777777" w:rsidR="00D9068B" w:rsidRPr="001E2783" w:rsidRDefault="00D9068B" w:rsidP="0024565E">
                  <w:pPr>
                    <w:keepNext/>
                    <w:keepLines/>
                    <w:ind w:left="720"/>
                    <w:jc w:val="right"/>
                    <w:rPr>
                      <w:rFonts w:cs="Arial"/>
                    </w:rPr>
                  </w:pPr>
                  <w:r w:rsidRPr="001E2783">
                    <w:rPr>
                      <w:rFonts w:cs="Arial"/>
                    </w:rPr>
                    <w:t>26</w:t>
                  </w:r>
                </w:p>
              </w:tc>
              <w:tc>
                <w:tcPr>
                  <w:tcW w:w="1701" w:type="dxa"/>
                  <w:tcMar>
                    <w:top w:w="57" w:type="dxa"/>
                    <w:left w:w="57" w:type="dxa"/>
                    <w:bottom w:w="57" w:type="dxa"/>
                    <w:right w:w="57" w:type="dxa"/>
                  </w:tcMar>
                </w:tcPr>
                <w:p w14:paraId="23030010" w14:textId="77777777" w:rsidR="00D9068B" w:rsidRPr="001E2783" w:rsidRDefault="00D9068B" w:rsidP="0024565E">
                  <w:pPr>
                    <w:keepNext/>
                    <w:keepLines/>
                    <w:ind w:left="720"/>
                    <w:jc w:val="right"/>
                    <w:rPr>
                      <w:rFonts w:cs="Arial"/>
                    </w:rPr>
                  </w:pPr>
                  <w:r w:rsidRPr="001E2783">
                    <w:rPr>
                      <w:rFonts w:cs="Arial"/>
                    </w:rPr>
                    <w:t>51</w:t>
                  </w:r>
                </w:p>
              </w:tc>
              <w:tc>
                <w:tcPr>
                  <w:tcW w:w="1701" w:type="dxa"/>
                </w:tcPr>
                <w:p w14:paraId="4526274D" w14:textId="77777777" w:rsidR="00D9068B" w:rsidRPr="001E2783" w:rsidRDefault="00D9068B" w:rsidP="0024565E">
                  <w:pPr>
                    <w:keepNext/>
                    <w:keepLines/>
                    <w:ind w:left="720"/>
                    <w:jc w:val="right"/>
                    <w:rPr>
                      <w:rFonts w:cs="Arial"/>
                    </w:rPr>
                  </w:pPr>
                  <w:r w:rsidRPr="001E2783">
                    <w:rPr>
                      <w:rFonts w:cs="Arial"/>
                    </w:rPr>
                    <w:t>111</w:t>
                  </w:r>
                </w:p>
              </w:tc>
            </w:tr>
            <w:tr w:rsidR="001E2783" w:rsidRPr="001E2783" w14:paraId="64B1FD6E" w14:textId="77777777" w:rsidTr="0024565E">
              <w:tc>
                <w:tcPr>
                  <w:tcW w:w="3795" w:type="dxa"/>
                  <w:tcMar>
                    <w:top w:w="57" w:type="dxa"/>
                    <w:left w:w="57" w:type="dxa"/>
                    <w:bottom w:w="57" w:type="dxa"/>
                    <w:right w:w="57" w:type="dxa"/>
                  </w:tcMar>
                </w:tcPr>
                <w:p w14:paraId="1F0F6388" w14:textId="77777777" w:rsidR="00D9068B" w:rsidRPr="001E2783" w:rsidRDefault="00D9068B" w:rsidP="0024565E">
                  <w:pPr>
                    <w:keepNext/>
                    <w:keepLines/>
                    <w:rPr>
                      <w:rFonts w:cs="Arial"/>
                    </w:rPr>
                  </w:pPr>
                  <w:r w:rsidRPr="001E2783">
                    <w:rPr>
                      <w:rFonts w:cs="Arial"/>
                    </w:rPr>
                    <w:t>Failed audits</w:t>
                  </w:r>
                </w:p>
              </w:tc>
              <w:tc>
                <w:tcPr>
                  <w:tcW w:w="1417" w:type="dxa"/>
                  <w:tcMar>
                    <w:top w:w="57" w:type="dxa"/>
                    <w:left w:w="57" w:type="dxa"/>
                    <w:bottom w:w="57" w:type="dxa"/>
                    <w:right w:w="57" w:type="dxa"/>
                  </w:tcMar>
                </w:tcPr>
                <w:p w14:paraId="2C6A1FF7" w14:textId="77777777" w:rsidR="00D9068B" w:rsidRPr="001E2783" w:rsidRDefault="00D9068B" w:rsidP="0024565E">
                  <w:pPr>
                    <w:keepNext/>
                    <w:keepLines/>
                    <w:ind w:left="720"/>
                    <w:jc w:val="right"/>
                    <w:rPr>
                      <w:rFonts w:cs="Arial"/>
                    </w:rPr>
                  </w:pPr>
                  <w:r w:rsidRPr="001E2783">
                    <w:rPr>
                      <w:rFonts w:cs="Arial"/>
                    </w:rPr>
                    <w:t>4</w:t>
                  </w:r>
                </w:p>
              </w:tc>
              <w:tc>
                <w:tcPr>
                  <w:tcW w:w="1701" w:type="dxa"/>
                  <w:tcMar>
                    <w:top w:w="57" w:type="dxa"/>
                    <w:left w:w="57" w:type="dxa"/>
                    <w:bottom w:w="57" w:type="dxa"/>
                    <w:right w:w="57" w:type="dxa"/>
                  </w:tcMar>
                </w:tcPr>
                <w:p w14:paraId="7E590C1C" w14:textId="77777777" w:rsidR="00D9068B" w:rsidRPr="001E2783" w:rsidRDefault="00D9068B" w:rsidP="0024565E">
                  <w:pPr>
                    <w:keepNext/>
                    <w:keepLines/>
                    <w:ind w:left="720"/>
                    <w:jc w:val="right"/>
                    <w:rPr>
                      <w:rFonts w:cs="Arial"/>
                    </w:rPr>
                  </w:pPr>
                  <w:r w:rsidRPr="001E2783">
                    <w:rPr>
                      <w:rFonts w:cs="Arial"/>
                    </w:rPr>
                    <w:t>14</w:t>
                  </w:r>
                </w:p>
              </w:tc>
              <w:tc>
                <w:tcPr>
                  <w:tcW w:w="1701" w:type="dxa"/>
                </w:tcPr>
                <w:p w14:paraId="39329605" w14:textId="77777777" w:rsidR="00D9068B" w:rsidRPr="001E2783" w:rsidRDefault="00D9068B" w:rsidP="0024565E">
                  <w:pPr>
                    <w:keepNext/>
                    <w:keepLines/>
                    <w:ind w:left="720"/>
                    <w:jc w:val="right"/>
                    <w:rPr>
                      <w:rFonts w:cs="Arial"/>
                    </w:rPr>
                  </w:pPr>
                  <w:r w:rsidRPr="001E2783">
                    <w:rPr>
                      <w:rFonts w:cs="Arial"/>
                    </w:rPr>
                    <w:t>21</w:t>
                  </w:r>
                </w:p>
              </w:tc>
            </w:tr>
          </w:tbl>
          <w:p w14:paraId="1B5446F8" w14:textId="77777777" w:rsidR="00D9068B" w:rsidRPr="001E2783" w:rsidRDefault="00D9068B" w:rsidP="0024565E">
            <w:pPr>
              <w:ind w:left="720"/>
              <w:rPr>
                <w:rFonts w:cs="Arial"/>
              </w:rPr>
            </w:pPr>
          </w:p>
        </w:tc>
      </w:tr>
      <w:tr w:rsidR="00D9068B" w:rsidRPr="001E2783" w14:paraId="7657C3B4" w14:textId="77777777" w:rsidTr="0024565E">
        <w:trPr>
          <w:trHeight w:val="66"/>
        </w:trPr>
        <w:tc>
          <w:tcPr>
            <w:tcW w:w="9645" w:type="dxa"/>
            <w:tcBorders>
              <w:bottom w:val="single" w:sz="2" w:space="0" w:color="505050"/>
            </w:tcBorders>
            <w:shd w:val="clear" w:color="auto" w:fill="auto"/>
          </w:tcPr>
          <w:p w14:paraId="4D454AEA" w14:textId="77777777" w:rsidR="00D9068B" w:rsidRPr="001E2783" w:rsidRDefault="00D9068B" w:rsidP="0024565E">
            <w:pPr>
              <w:rPr>
                <w:rFonts w:cs="Arial"/>
              </w:rPr>
            </w:pPr>
          </w:p>
        </w:tc>
      </w:tr>
    </w:tbl>
    <w:p w14:paraId="1FFBC249" w14:textId="77777777" w:rsidR="00D9068B" w:rsidRPr="001E2783" w:rsidRDefault="00D9068B" w:rsidP="00D9068B">
      <w:pPr>
        <w:rPr>
          <w:rFonts w:cs="Arial"/>
        </w:rPr>
      </w:pPr>
    </w:p>
    <w:p w14:paraId="18592198" w14:textId="5B44A318" w:rsidR="00D9068B" w:rsidRPr="001E2783" w:rsidRDefault="00D9068B" w:rsidP="00D9068B">
      <w:pPr>
        <w:rPr>
          <w:rFonts w:cs="Arial"/>
        </w:rPr>
      </w:pPr>
      <w:r w:rsidRPr="001E2783">
        <w:rPr>
          <w:rFonts w:cs="Arial"/>
        </w:rPr>
        <w:t xml:space="preserve">See also </w:t>
      </w:r>
      <w:r w:rsidRPr="001E2783">
        <w:rPr>
          <w:rFonts w:cs="Arial"/>
          <w:i/>
        </w:rPr>
        <w:t>Regulatory arrangements—technical standards and labelling notices</w:t>
      </w:r>
      <w:r w:rsidRPr="001E2783">
        <w:rPr>
          <w:rFonts w:cs="Arial"/>
        </w:rPr>
        <w:t>.</w:t>
      </w:r>
    </w:p>
    <w:p w14:paraId="2E6A8B1A" w14:textId="77777777" w:rsidR="00D9068B" w:rsidRPr="001E2783" w:rsidRDefault="00D9068B" w:rsidP="000615DD">
      <w:pPr>
        <w:rPr>
          <w:rFonts w:cs="Arial"/>
        </w:rPr>
      </w:pPr>
    </w:p>
    <w:p w14:paraId="486737D7" w14:textId="77777777" w:rsidR="000615DD" w:rsidRPr="001E2783" w:rsidRDefault="000615DD" w:rsidP="000615DD">
      <w:pPr>
        <w:pStyle w:val="BodysubheaderH4"/>
        <w:rPr>
          <w:rFonts w:cs="Arial"/>
        </w:rPr>
      </w:pPr>
      <w:r w:rsidRPr="001E2783">
        <w:rPr>
          <w:rFonts w:cs="Arial"/>
        </w:rPr>
        <w:t>Preventative compliance measures</w:t>
      </w:r>
    </w:p>
    <w:p w14:paraId="3AD61350" w14:textId="77777777" w:rsidR="000615DD" w:rsidRPr="001E2783" w:rsidRDefault="000615DD" w:rsidP="000615DD">
      <w:pPr>
        <w:rPr>
          <w:rFonts w:cs="Arial"/>
        </w:rPr>
      </w:pPr>
      <w:r w:rsidRPr="001E2783">
        <w:rPr>
          <w:rFonts w:cs="Arial"/>
        </w:rPr>
        <w:t xml:space="preserve">The ACMA’s traditional enforcement activities, which have been the backbone of the technical compliance program, were complemented by communications activities in 2013–14. These sought to reduce non-compliance, and highlighted the need for traditional enforcement action through education and awareness. </w:t>
      </w:r>
    </w:p>
    <w:p w14:paraId="41AFC698" w14:textId="77777777" w:rsidR="000615DD" w:rsidRPr="001E2783" w:rsidRDefault="000615DD" w:rsidP="000615DD">
      <w:pPr>
        <w:rPr>
          <w:rFonts w:cs="Arial"/>
        </w:rPr>
      </w:pPr>
    </w:p>
    <w:p w14:paraId="0F628997" w14:textId="77777777" w:rsidR="000615DD" w:rsidRPr="001E2783" w:rsidRDefault="000615DD" w:rsidP="000615DD">
      <w:pPr>
        <w:spacing w:after="80"/>
        <w:rPr>
          <w:rFonts w:cs="Arial"/>
        </w:rPr>
      </w:pPr>
      <w:r w:rsidRPr="001E2783">
        <w:rPr>
          <w:rFonts w:cs="Arial"/>
        </w:rPr>
        <w:t>Each communications strategy focused on key areas of the consumer and supply market. This versatile approach tailored the compliance message to the particular audience through:</w:t>
      </w:r>
    </w:p>
    <w:p w14:paraId="52452D90" w14:textId="77777777" w:rsidR="000615DD" w:rsidRPr="001E2783" w:rsidRDefault="000615DD" w:rsidP="000615DD">
      <w:pPr>
        <w:pStyle w:val="ListBullet"/>
        <w:rPr>
          <w:rFonts w:cs="Arial"/>
        </w:rPr>
      </w:pPr>
      <w:r w:rsidRPr="001E2783">
        <w:rPr>
          <w:rFonts w:cs="Arial"/>
        </w:rPr>
        <w:t>undertaking search engine advertising for prohibited devices and mobile phone repeaters</w:t>
      </w:r>
    </w:p>
    <w:p w14:paraId="42F1C0A2" w14:textId="77777777" w:rsidR="000615DD" w:rsidRPr="001E2783" w:rsidRDefault="000615DD" w:rsidP="000615DD">
      <w:pPr>
        <w:pStyle w:val="ListBullet"/>
        <w:rPr>
          <w:rFonts w:cs="Arial"/>
        </w:rPr>
      </w:pPr>
      <w:r w:rsidRPr="001E2783">
        <w:rPr>
          <w:rFonts w:cs="Arial"/>
        </w:rPr>
        <w:t>using social media and online communications</w:t>
      </w:r>
    </w:p>
    <w:p w14:paraId="4F77E017" w14:textId="77777777" w:rsidR="000615DD" w:rsidRPr="001E2783" w:rsidRDefault="000615DD" w:rsidP="000615DD">
      <w:pPr>
        <w:pStyle w:val="ListBullet"/>
        <w:rPr>
          <w:rFonts w:cs="Arial"/>
        </w:rPr>
      </w:pPr>
      <w:r w:rsidRPr="001E2783">
        <w:rPr>
          <w:rFonts w:cs="Arial"/>
        </w:rPr>
        <w:t xml:space="preserve">publishing supporting </w:t>
      </w:r>
      <w:r w:rsidR="00EA38D1" w:rsidRPr="001E2783">
        <w:rPr>
          <w:rFonts w:cs="Arial"/>
        </w:rPr>
        <w:t>material</w:t>
      </w:r>
      <w:r w:rsidRPr="001E2783">
        <w:rPr>
          <w:rFonts w:cs="Arial"/>
        </w:rPr>
        <w:t xml:space="preserve"> </w:t>
      </w:r>
      <w:r w:rsidR="00E65BD5" w:rsidRPr="001E2783">
        <w:rPr>
          <w:rFonts w:cs="Arial"/>
        </w:rPr>
        <w:t>like</w:t>
      </w:r>
      <w:r w:rsidRPr="001E2783">
        <w:rPr>
          <w:rFonts w:cs="Arial"/>
        </w:rPr>
        <w:t xml:space="preserve"> infographics</w:t>
      </w:r>
    </w:p>
    <w:p w14:paraId="44DCB902" w14:textId="77777777" w:rsidR="000615DD" w:rsidRPr="001E2783" w:rsidRDefault="000615DD" w:rsidP="00B868DE">
      <w:pPr>
        <w:pStyle w:val="ListBullet"/>
        <w:spacing w:after="240"/>
        <w:rPr>
          <w:rFonts w:cs="Arial"/>
        </w:rPr>
      </w:pPr>
      <w:r w:rsidRPr="001E2783">
        <w:rPr>
          <w:rFonts w:cs="Arial"/>
        </w:rPr>
        <w:t>conducting site visits to retailers of radiocommunications devices and providing information to promote improved compliance.</w:t>
      </w:r>
    </w:p>
    <w:p w14:paraId="62B255B8" w14:textId="77777777" w:rsidR="00F55079" w:rsidRPr="001E2783" w:rsidRDefault="00F55079" w:rsidP="00970328">
      <w:pPr>
        <w:pStyle w:val="BodysubheaderH4"/>
        <w:keepLines/>
        <w:rPr>
          <w:rFonts w:cs="Arial"/>
        </w:rPr>
      </w:pPr>
      <w:r w:rsidRPr="001E2783">
        <w:rPr>
          <w:rFonts w:cs="Arial"/>
        </w:rPr>
        <w:t>Licensing compliance—statutory enforcement principles at work</w:t>
      </w:r>
    </w:p>
    <w:p w14:paraId="6E8F656F" w14:textId="77777777" w:rsidR="00F55079" w:rsidRPr="001E2783" w:rsidRDefault="00F55079" w:rsidP="00970328">
      <w:pPr>
        <w:keepLines/>
        <w:rPr>
          <w:rFonts w:cs="Arial"/>
        </w:rPr>
      </w:pPr>
      <w:r w:rsidRPr="001E2783">
        <w:rPr>
          <w:rFonts w:cs="Arial"/>
        </w:rPr>
        <w:t xml:space="preserve">The ACMA conducts investigations into suspected contraventions of the Radiocommunications Act and subordinate instruments </w:t>
      </w:r>
      <w:r w:rsidR="00557896" w:rsidRPr="001E2783">
        <w:rPr>
          <w:rFonts w:cs="Arial"/>
        </w:rPr>
        <w:t>for</w:t>
      </w:r>
      <w:r w:rsidRPr="001E2783">
        <w:rPr>
          <w:rFonts w:cs="Arial"/>
        </w:rPr>
        <w:t xml:space="preserve"> the operation of radiocommunications transmitters. These contraventions include unlicensed operation of transmitters, breaches of licence conditions and breaches of offence provisions relating to interference.</w:t>
      </w:r>
    </w:p>
    <w:p w14:paraId="0E333B41" w14:textId="77777777" w:rsidR="00B2161D" w:rsidRPr="001E2783" w:rsidRDefault="00B2161D" w:rsidP="00B2161D">
      <w:pPr>
        <w:rPr>
          <w:rFonts w:cs="Arial"/>
        </w:rPr>
      </w:pPr>
    </w:p>
    <w:p w14:paraId="5E74DDB1" w14:textId="77777777" w:rsidR="00CC119D" w:rsidRPr="001E2783" w:rsidRDefault="004A3A8F" w:rsidP="00B2161D">
      <w:pPr>
        <w:rPr>
          <w:rFonts w:cs="Arial"/>
        </w:rPr>
      </w:pPr>
      <w:r w:rsidRPr="001E2783">
        <w:rPr>
          <w:rFonts w:cs="Arial"/>
        </w:rPr>
        <w:t>During 2013–14, the ACMA conducted 339 investigations into non-compliance with the transmitter licensing regulatory arrangements and issued 366 c</w:t>
      </w:r>
      <w:r w:rsidR="005E4C73" w:rsidRPr="001E2783">
        <w:rPr>
          <w:rFonts w:cs="Arial"/>
        </w:rPr>
        <w:t>ompliance actions (see Table </w:t>
      </w:r>
      <w:r w:rsidR="00D27ED3" w:rsidRPr="001E2783">
        <w:rPr>
          <w:rFonts w:cs="Arial"/>
        </w:rPr>
        <w:t>23</w:t>
      </w:r>
      <w:r w:rsidR="00557896" w:rsidRPr="001E2783">
        <w:rPr>
          <w:rFonts w:cs="Arial"/>
        </w:rPr>
        <w:t>).</w:t>
      </w:r>
    </w:p>
    <w:p w14:paraId="4469A82A" w14:textId="77777777" w:rsidR="004A3A8F" w:rsidRPr="001E2783" w:rsidRDefault="004A3A8F" w:rsidP="00B2161D">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5AF28D8F" w14:textId="77777777" w:rsidTr="00C902FF">
        <w:trPr>
          <w:trHeight w:val="570"/>
        </w:trPr>
        <w:tc>
          <w:tcPr>
            <w:tcW w:w="9645" w:type="dxa"/>
            <w:tcBorders>
              <w:top w:val="single" w:sz="2" w:space="0" w:color="505050"/>
            </w:tcBorders>
            <w:shd w:val="clear" w:color="auto" w:fill="auto"/>
            <w:vAlign w:val="center"/>
          </w:tcPr>
          <w:p w14:paraId="24653D6F" w14:textId="77777777" w:rsidR="00CC119D" w:rsidRPr="001E2783" w:rsidRDefault="00F55079" w:rsidP="00A80800">
            <w:pPr>
              <w:pStyle w:val="Caption"/>
              <w:keepNext/>
              <w:keepLines/>
              <w:rPr>
                <w:rFonts w:ascii="Arial" w:hAnsi="Arial" w:cs="Arial"/>
                <w:color w:val="auto"/>
              </w:rPr>
            </w:pPr>
            <w:r w:rsidRPr="00D3485F">
              <w:rPr>
                <w:rFonts w:ascii="Arial" w:hAnsi="Arial" w:cs="Arial"/>
              </w:rPr>
              <w:t xml:space="preserve">Table </w:t>
            </w:r>
            <w:r w:rsidR="00D27ED3" w:rsidRPr="00D3485F">
              <w:rPr>
                <w:rFonts w:ascii="Arial" w:hAnsi="Arial" w:cs="Arial"/>
              </w:rPr>
              <w:t>23</w:t>
            </w:r>
            <w:r w:rsidRPr="00D3485F">
              <w:rPr>
                <w:rFonts w:ascii="Arial" w:hAnsi="Arial" w:cs="Arial"/>
              </w:rPr>
              <w:t>: Radiocommunications compliance investigations</w:t>
            </w:r>
            <w:r w:rsidR="004A3A8F" w:rsidRPr="00D3485F">
              <w:rPr>
                <w:rFonts w:ascii="Arial" w:hAnsi="Arial" w:cs="Arial"/>
              </w:rPr>
              <w:t>, 2011–12</w:t>
            </w:r>
            <w:r w:rsidR="00A80800" w:rsidRPr="00D3485F">
              <w:rPr>
                <w:rFonts w:ascii="Arial" w:hAnsi="Arial" w:cs="Arial"/>
              </w:rPr>
              <w:t xml:space="preserve"> to</w:t>
            </w:r>
            <w:r w:rsidR="004A3A8F" w:rsidRPr="00D3485F">
              <w:rPr>
                <w:rFonts w:ascii="Arial" w:hAnsi="Arial" w:cs="Arial"/>
              </w:rPr>
              <w:t xml:space="preserve"> 2013–14</w:t>
            </w:r>
          </w:p>
        </w:tc>
      </w:tr>
      <w:tr w:rsidR="001E2783" w:rsidRPr="001E2783" w14:paraId="29406688" w14:textId="77777777" w:rsidTr="00C902FF">
        <w:trPr>
          <w:trHeight w:val="142"/>
        </w:trPr>
        <w:tc>
          <w:tcPr>
            <w:tcW w:w="9645" w:type="dxa"/>
            <w:shd w:val="clear" w:color="auto" w:fill="auto"/>
            <w:tcMar>
              <w:left w:w="28" w:type="dxa"/>
            </w:tcMar>
          </w:tcPr>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078"/>
              <w:gridCol w:w="1701"/>
              <w:gridCol w:w="1842"/>
              <w:gridCol w:w="1701"/>
            </w:tblGrid>
            <w:tr w:rsidR="001E2783" w:rsidRPr="001E2783" w14:paraId="38AA958D" w14:textId="77777777" w:rsidTr="004A3A8F">
              <w:trPr>
                <w:trHeight w:val="240"/>
              </w:trPr>
              <w:tc>
                <w:tcPr>
                  <w:tcW w:w="4078" w:type="dxa"/>
                  <w:vMerge w:val="restart"/>
                  <w:shd w:val="clear" w:color="auto" w:fill="404040" w:themeFill="text1" w:themeFillTint="BF"/>
                  <w:tcMar>
                    <w:top w:w="57" w:type="dxa"/>
                    <w:left w:w="57" w:type="dxa"/>
                    <w:bottom w:w="57" w:type="dxa"/>
                    <w:right w:w="57" w:type="dxa"/>
                  </w:tcMar>
                  <w:vAlign w:val="center"/>
                </w:tcPr>
                <w:p w14:paraId="262D96AB" w14:textId="77777777" w:rsidR="004A3A8F" w:rsidRPr="000544EA" w:rsidRDefault="004A3A8F" w:rsidP="00557896">
                  <w:pPr>
                    <w:pStyle w:val="TableHeading"/>
                    <w:rPr>
                      <w:rFonts w:ascii="Arial" w:hAnsi="Arial" w:cs="Arial"/>
                      <w:color w:val="FFFFFF" w:themeColor="background1"/>
                    </w:rPr>
                  </w:pPr>
                  <w:bookmarkStart w:id="171" w:name="OLE_LINK6"/>
                  <w:bookmarkStart w:id="172" w:name="OLE_LINK7"/>
                  <w:r w:rsidRPr="000544EA">
                    <w:rPr>
                      <w:rFonts w:ascii="Arial" w:hAnsi="Arial" w:cs="Arial"/>
                      <w:color w:val="FFFFFF" w:themeColor="background1"/>
                    </w:rPr>
                    <w:t>Action type</w:t>
                  </w:r>
                </w:p>
              </w:tc>
              <w:tc>
                <w:tcPr>
                  <w:tcW w:w="5244" w:type="dxa"/>
                  <w:gridSpan w:val="3"/>
                  <w:shd w:val="clear" w:color="auto" w:fill="404040" w:themeFill="text1" w:themeFillTint="BF"/>
                  <w:tcMar>
                    <w:top w:w="57" w:type="dxa"/>
                    <w:left w:w="57" w:type="dxa"/>
                    <w:bottom w:w="57" w:type="dxa"/>
                    <w:right w:w="57" w:type="dxa"/>
                  </w:tcMar>
                </w:tcPr>
                <w:p w14:paraId="3DF9F14B" w14:textId="77777777" w:rsidR="004A3A8F" w:rsidRPr="000544EA" w:rsidRDefault="004A3A8F" w:rsidP="00557896">
                  <w:pPr>
                    <w:pStyle w:val="TableHeading"/>
                    <w:jc w:val="center"/>
                    <w:rPr>
                      <w:rFonts w:ascii="Arial" w:hAnsi="Arial" w:cs="Arial"/>
                      <w:color w:val="FFFFFF" w:themeColor="background1"/>
                    </w:rPr>
                  </w:pPr>
                  <w:r w:rsidRPr="000544EA">
                    <w:rPr>
                      <w:rFonts w:ascii="Arial" w:hAnsi="Arial" w:cs="Arial"/>
                      <w:color w:val="FFFFFF" w:themeColor="background1"/>
                    </w:rPr>
                    <w:t>Number of actions</w:t>
                  </w:r>
                </w:p>
              </w:tc>
            </w:tr>
            <w:bookmarkEnd w:id="171"/>
            <w:bookmarkEnd w:id="172"/>
            <w:tr w:rsidR="001E2783" w:rsidRPr="001E2783" w14:paraId="66BDC9D1" w14:textId="77777777" w:rsidTr="004A3A8F">
              <w:trPr>
                <w:trHeight w:val="240"/>
              </w:trPr>
              <w:tc>
                <w:tcPr>
                  <w:tcW w:w="4078" w:type="dxa"/>
                  <w:vMerge/>
                  <w:shd w:val="clear" w:color="auto" w:fill="404040" w:themeFill="text1" w:themeFillTint="BF"/>
                  <w:tcMar>
                    <w:top w:w="57" w:type="dxa"/>
                    <w:left w:w="57" w:type="dxa"/>
                    <w:bottom w:w="57" w:type="dxa"/>
                    <w:right w:w="57" w:type="dxa"/>
                  </w:tcMar>
                </w:tcPr>
                <w:p w14:paraId="03380AC2" w14:textId="77777777" w:rsidR="004A3A8F" w:rsidRPr="000544EA" w:rsidRDefault="004A3A8F" w:rsidP="00557896">
                  <w:pPr>
                    <w:pStyle w:val="TableHeading"/>
                    <w:rPr>
                      <w:rFonts w:ascii="Arial" w:hAnsi="Arial" w:cs="Arial"/>
                      <w:color w:val="FFFFFF" w:themeColor="background1"/>
                    </w:rPr>
                  </w:pPr>
                </w:p>
              </w:tc>
              <w:tc>
                <w:tcPr>
                  <w:tcW w:w="1701" w:type="dxa"/>
                  <w:shd w:val="clear" w:color="auto" w:fill="404040" w:themeFill="text1" w:themeFillTint="BF"/>
                  <w:tcMar>
                    <w:top w:w="57" w:type="dxa"/>
                    <w:left w:w="57" w:type="dxa"/>
                    <w:bottom w:w="57" w:type="dxa"/>
                    <w:right w:w="57" w:type="dxa"/>
                  </w:tcMar>
                </w:tcPr>
                <w:p w14:paraId="1801615D" w14:textId="77777777" w:rsidR="004A3A8F" w:rsidRPr="000544EA" w:rsidRDefault="004A3A8F" w:rsidP="00A80800">
                  <w:pPr>
                    <w:pStyle w:val="TableHeading"/>
                    <w:jc w:val="right"/>
                    <w:rPr>
                      <w:rFonts w:ascii="Arial" w:hAnsi="Arial" w:cs="Arial"/>
                      <w:color w:val="FFFFFF" w:themeColor="background1"/>
                    </w:rPr>
                  </w:pPr>
                  <w:r w:rsidRPr="000544EA">
                    <w:rPr>
                      <w:rFonts w:ascii="Arial" w:hAnsi="Arial" w:cs="Arial"/>
                      <w:color w:val="FFFFFF" w:themeColor="background1"/>
                    </w:rPr>
                    <w:t>2011–12</w:t>
                  </w:r>
                </w:p>
              </w:tc>
              <w:tc>
                <w:tcPr>
                  <w:tcW w:w="1842" w:type="dxa"/>
                  <w:shd w:val="clear" w:color="auto" w:fill="404040" w:themeFill="text1" w:themeFillTint="BF"/>
                  <w:tcMar>
                    <w:top w:w="57" w:type="dxa"/>
                    <w:left w:w="57" w:type="dxa"/>
                    <w:bottom w:w="57" w:type="dxa"/>
                    <w:right w:w="57" w:type="dxa"/>
                  </w:tcMar>
                </w:tcPr>
                <w:p w14:paraId="0800D8B3" w14:textId="77777777" w:rsidR="004A3A8F" w:rsidRPr="000544EA" w:rsidRDefault="004A3A8F" w:rsidP="00A80800">
                  <w:pPr>
                    <w:pStyle w:val="TableHeading"/>
                    <w:jc w:val="right"/>
                    <w:rPr>
                      <w:rFonts w:ascii="Arial" w:hAnsi="Arial" w:cs="Arial"/>
                      <w:color w:val="FFFFFF" w:themeColor="background1"/>
                    </w:rPr>
                  </w:pPr>
                  <w:r w:rsidRPr="000544EA">
                    <w:rPr>
                      <w:rFonts w:ascii="Arial" w:hAnsi="Arial" w:cs="Arial"/>
                      <w:color w:val="FFFFFF" w:themeColor="background1"/>
                    </w:rPr>
                    <w:t>2012–13</w:t>
                  </w:r>
                </w:p>
              </w:tc>
              <w:tc>
                <w:tcPr>
                  <w:tcW w:w="1701" w:type="dxa"/>
                  <w:shd w:val="clear" w:color="auto" w:fill="404040" w:themeFill="text1" w:themeFillTint="BF"/>
                </w:tcPr>
                <w:p w14:paraId="23860014" w14:textId="77777777" w:rsidR="004A3A8F" w:rsidRPr="000544EA" w:rsidRDefault="004A3A8F" w:rsidP="00A80800">
                  <w:pPr>
                    <w:pStyle w:val="TableHeading"/>
                    <w:jc w:val="right"/>
                    <w:rPr>
                      <w:rFonts w:ascii="Arial" w:hAnsi="Arial" w:cs="Arial"/>
                      <w:color w:val="FFFFFF" w:themeColor="background1"/>
                    </w:rPr>
                  </w:pPr>
                  <w:r w:rsidRPr="000544EA">
                    <w:rPr>
                      <w:rFonts w:ascii="Arial" w:hAnsi="Arial" w:cs="Arial"/>
                      <w:color w:val="FFFFFF" w:themeColor="background1"/>
                    </w:rPr>
                    <w:t>2013–14</w:t>
                  </w:r>
                </w:p>
              </w:tc>
            </w:tr>
            <w:tr w:rsidR="001E2783" w:rsidRPr="001E2783" w14:paraId="206A7617" w14:textId="77777777" w:rsidTr="004A3A8F">
              <w:tc>
                <w:tcPr>
                  <w:tcW w:w="4078" w:type="dxa"/>
                  <w:tcMar>
                    <w:top w:w="57" w:type="dxa"/>
                    <w:left w:w="57" w:type="dxa"/>
                    <w:bottom w:w="57" w:type="dxa"/>
                    <w:right w:w="57" w:type="dxa"/>
                  </w:tcMar>
                </w:tcPr>
                <w:p w14:paraId="19F44CDE" w14:textId="77777777" w:rsidR="004A3A8F" w:rsidRPr="001E2783" w:rsidRDefault="004A3A8F" w:rsidP="00557896">
                  <w:pPr>
                    <w:pStyle w:val="TableTextLeft"/>
                    <w:rPr>
                      <w:rFonts w:cs="Arial"/>
                      <w:sz w:val="20"/>
                    </w:rPr>
                  </w:pPr>
                  <w:r w:rsidRPr="001E2783">
                    <w:rPr>
                      <w:rFonts w:cs="Arial"/>
                      <w:sz w:val="20"/>
                    </w:rPr>
                    <w:t>Radiocommunications-related investigations</w:t>
                  </w:r>
                </w:p>
              </w:tc>
              <w:tc>
                <w:tcPr>
                  <w:tcW w:w="1701" w:type="dxa"/>
                  <w:tcMar>
                    <w:top w:w="57" w:type="dxa"/>
                    <w:left w:w="57" w:type="dxa"/>
                    <w:bottom w:w="57" w:type="dxa"/>
                    <w:right w:w="57" w:type="dxa"/>
                  </w:tcMar>
                </w:tcPr>
                <w:p w14:paraId="4C359061" w14:textId="77777777" w:rsidR="004A3A8F" w:rsidRPr="001E2783" w:rsidRDefault="004A3A8F" w:rsidP="00557896">
                  <w:pPr>
                    <w:pStyle w:val="TableTextLeft"/>
                    <w:jc w:val="right"/>
                    <w:rPr>
                      <w:rFonts w:cs="Arial"/>
                      <w:sz w:val="20"/>
                    </w:rPr>
                  </w:pPr>
                  <w:r w:rsidRPr="001E2783">
                    <w:rPr>
                      <w:rFonts w:cs="Arial"/>
                      <w:sz w:val="20"/>
                    </w:rPr>
                    <w:t>143</w:t>
                  </w:r>
                </w:p>
              </w:tc>
              <w:tc>
                <w:tcPr>
                  <w:tcW w:w="1842" w:type="dxa"/>
                  <w:tcMar>
                    <w:top w:w="57" w:type="dxa"/>
                    <w:left w:w="57" w:type="dxa"/>
                    <w:bottom w:w="57" w:type="dxa"/>
                    <w:right w:w="57" w:type="dxa"/>
                  </w:tcMar>
                </w:tcPr>
                <w:p w14:paraId="3DF0A7C3" w14:textId="77777777" w:rsidR="004A3A8F" w:rsidRPr="001E2783" w:rsidRDefault="004A3A8F" w:rsidP="00557896">
                  <w:pPr>
                    <w:pStyle w:val="TableTextLeft"/>
                    <w:jc w:val="right"/>
                    <w:rPr>
                      <w:rFonts w:cs="Arial"/>
                      <w:sz w:val="20"/>
                    </w:rPr>
                  </w:pPr>
                  <w:r w:rsidRPr="001E2783">
                    <w:rPr>
                      <w:rFonts w:cs="Arial"/>
                      <w:sz w:val="20"/>
                    </w:rPr>
                    <w:t>464</w:t>
                  </w:r>
                </w:p>
              </w:tc>
              <w:tc>
                <w:tcPr>
                  <w:tcW w:w="1701" w:type="dxa"/>
                </w:tcPr>
                <w:p w14:paraId="5460CB77" w14:textId="77777777" w:rsidR="004A3A8F" w:rsidRPr="001E2783" w:rsidRDefault="004A3A8F" w:rsidP="00557896">
                  <w:pPr>
                    <w:pStyle w:val="TableTextLeft"/>
                    <w:jc w:val="right"/>
                    <w:rPr>
                      <w:rFonts w:cs="Arial"/>
                      <w:sz w:val="20"/>
                    </w:rPr>
                  </w:pPr>
                  <w:r w:rsidRPr="001E2783">
                    <w:rPr>
                      <w:rFonts w:cs="Arial"/>
                      <w:sz w:val="20"/>
                    </w:rPr>
                    <w:t>339</w:t>
                  </w:r>
                </w:p>
              </w:tc>
            </w:tr>
            <w:tr w:rsidR="001E2783" w:rsidRPr="001E2783" w14:paraId="2DB5EA88" w14:textId="77777777" w:rsidTr="004A3A8F">
              <w:tc>
                <w:tcPr>
                  <w:tcW w:w="4078" w:type="dxa"/>
                  <w:tcMar>
                    <w:top w:w="57" w:type="dxa"/>
                    <w:left w:w="57" w:type="dxa"/>
                    <w:bottom w:w="57" w:type="dxa"/>
                    <w:right w:w="57" w:type="dxa"/>
                  </w:tcMar>
                </w:tcPr>
                <w:p w14:paraId="2F410C60" w14:textId="77777777" w:rsidR="004A3A8F" w:rsidRPr="001E2783" w:rsidRDefault="004A3A8F" w:rsidP="00557896">
                  <w:pPr>
                    <w:pStyle w:val="TableTextLeft"/>
                    <w:rPr>
                      <w:rFonts w:cs="Arial"/>
                      <w:sz w:val="20"/>
                    </w:rPr>
                  </w:pPr>
                  <w:r w:rsidRPr="001E2783">
                    <w:rPr>
                      <w:rFonts w:cs="Arial"/>
                      <w:sz w:val="20"/>
                    </w:rPr>
                    <w:t>Advice notices issued</w:t>
                  </w:r>
                </w:p>
              </w:tc>
              <w:tc>
                <w:tcPr>
                  <w:tcW w:w="1701" w:type="dxa"/>
                  <w:tcMar>
                    <w:top w:w="57" w:type="dxa"/>
                    <w:left w:w="57" w:type="dxa"/>
                    <w:bottom w:w="57" w:type="dxa"/>
                    <w:right w:w="57" w:type="dxa"/>
                  </w:tcMar>
                </w:tcPr>
                <w:p w14:paraId="6D84854E" w14:textId="77777777" w:rsidR="004A3A8F" w:rsidRPr="001E2783" w:rsidRDefault="004A3A8F" w:rsidP="00557896">
                  <w:pPr>
                    <w:pStyle w:val="TableTextLeft"/>
                    <w:jc w:val="right"/>
                    <w:rPr>
                      <w:rFonts w:cs="Arial"/>
                      <w:sz w:val="20"/>
                    </w:rPr>
                  </w:pPr>
                  <w:r w:rsidRPr="001E2783">
                    <w:rPr>
                      <w:rFonts w:cs="Arial"/>
                      <w:sz w:val="20"/>
                    </w:rPr>
                    <w:t>35</w:t>
                  </w:r>
                </w:p>
              </w:tc>
              <w:tc>
                <w:tcPr>
                  <w:tcW w:w="1842" w:type="dxa"/>
                  <w:tcMar>
                    <w:top w:w="57" w:type="dxa"/>
                    <w:left w:w="57" w:type="dxa"/>
                    <w:bottom w:w="57" w:type="dxa"/>
                    <w:right w:w="57" w:type="dxa"/>
                  </w:tcMar>
                </w:tcPr>
                <w:p w14:paraId="0FFAF7A7" w14:textId="77777777" w:rsidR="004A3A8F" w:rsidRPr="001E2783" w:rsidRDefault="004A3A8F" w:rsidP="00557896">
                  <w:pPr>
                    <w:pStyle w:val="TableTextLeft"/>
                    <w:jc w:val="right"/>
                    <w:rPr>
                      <w:rFonts w:cs="Arial"/>
                      <w:sz w:val="20"/>
                    </w:rPr>
                  </w:pPr>
                  <w:r w:rsidRPr="001E2783">
                    <w:rPr>
                      <w:rFonts w:cs="Arial"/>
                      <w:sz w:val="20"/>
                    </w:rPr>
                    <w:t>19</w:t>
                  </w:r>
                </w:p>
              </w:tc>
              <w:tc>
                <w:tcPr>
                  <w:tcW w:w="1701" w:type="dxa"/>
                </w:tcPr>
                <w:p w14:paraId="29FB6DF4" w14:textId="77777777" w:rsidR="004A3A8F" w:rsidRPr="001E2783" w:rsidRDefault="004A3A8F" w:rsidP="00557896">
                  <w:pPr>
                    <w:pStyle w:val="TableTextLeft"/>
                    <w:jc w:val="right"/>
                    <w:rPr>
                      <w:rFonts w:cs="Arial"/>
                      <w:sz w:val="20"/>
                    </w:rPr>
                  </w:pPr>
                  <w:r w:rsidRPr="001E2783">
                    <w:rPr>
                      <w:rFonts w:cs="Arial"/>
                      <w:sz w:val="20"/>
                    </w:rPr>
                    <w:t>6</w:t>
                  </w:r>
                </w:p>
              </w:tc>
            </w:tr>
            <w:tr w:rsidR="001E2783" w:rsidRPr="001E2783" w14:paraId="45007A08" w14:textId="77777777" w:rsidTr="004A3A8F">
              <w:tc>
                <w:tcPr>
                  <w:tcW w:w="4078" w:type="dxa"/>
                  <w:tcMar>
                    <w:top w:w="57" w:type="dxa"/>
                    <w:left w:w="57" w:type="dxa"/>
                    <w:bottom w:w="57" w:type="dxa"/>
                    <w:right w:w="57" w:type="dxa"/>
                  </w:tcMar>
                </w:tcPr>
                <w:p w14:paraId="36F3226C" w14:textId="77777777" w:rsidR="004A3A8F" w:rsidRPr="001E2783" w:rsidRDefault="004A3A8F" w:rsidP="00557896">
                  <w:pPr>
                    <w:pStyle w:val="TableTextLeft"/>
                    <w:rPr>
                      <w:rFonts w:cs="Arial"/>
                      <w:sz w:val="20"/>
                    </w:rPr>
                  </w:pPr>
                  <w:r w:rsidRPr="001E2783">
                    <w:rPr>
                      <w:rFonts w:cs="Arial"/>
                      <w:sz w:val="20"/>
                    </w:rPr>
                    <w:t>Warning notices issued</w:t>
                  </w:r>
                </w:p>
              </w:tc>
              <w:tc>
                <w:tcPr>
                  <w:tcW w:w="1701" w:type="dxa"/>
                  <w:tcMar>
                    <w:top w:w="57" w:type="dxa"/>
                    <w:left w:w="57" w:type="dxa"/>
                    <w:bottom w:w="57" w:type="dxa"/>
                    <w:right w:w="57" w:type="dxa"/>
                  </w:tcMar>
                </w:tcPr>
                <w:p w14:paraId="287C59DC" w14:textId="77777777" w:rsidR="004A3A8F" w:rsidRPr="001E2783" w:rsidRDefault="004A3A8F" w:rsidP="00557896">
                  <w:pPr>
                    <w:pStyle w:val="TableTextLeft"/>
                    <w:jc w:val="right"/>
                    <w:rPr>
                      <w:rFonts w:cs="Arial"/>
                      <w:sz w:val="20"/>
                    </w:rPr>
                  </w:pPr>
                  <w:r w:rsidRPr="001E2783">
                    <w:rPr>
                      <w:rFonts w:cs="Arial"/>
                      <w:sz w:val="20"/>
                    </w:rPr>
                    <w:t>77</w:t>
                  </w:r>
                </w:p>
              </w:tc>
              <w:tc>
                <w:tcPr>
                  <w:tcW w:w="1842" w:type="dxa"/>
                  <w:tcMar>
                    <w:top w:w="57" w:type="dxa"/>
                    <w:left w:w="57" w:type="dxa"/>
                    <w:bottom w:w="57" w:type="dxa"/>
                    <w:right w:w="57" w:type="dxa"/>
                  </w:tcMar>
                </w:tcPr>
                <w:p w14:paraId="4590117B" w14:textId="77777777" w:rsidR="004A3A8F" w:rsidRPr="001E2783" w:rsidRDefault="004A3A8F" w:rsidP="00557896">
                  <w:pPr>
                    <w:pStyle w:val="TableTextLeft"/>
                    <w:jc w:val="right"/>
                    <w:rPr>
                      <w:rFonts w:cs="Arial"/>
                      <w:sz w:val="20"/>
                    </w:rPr>
                  </w:pPr>
                  <w:r w:rsidRPr="001E2783">
                    <w:rPr>
                      <w:rFonts w:cs="Arial"/>
                      <w:sz w:val="20"/>
                    </w:rPr>
                    <w:t>157</w:t>
                  </w:r>
                </w:p>
              </w:tc>
              <w:tc>
                <w:tcPr>
                  <w:tcW w:w="1701" w:type="dxa"/>
                </w:tcPr>
                <w:p w14:paraId="42FB7D3E" w14:textId="77777777" w:rsidR="004A3A8F" w:rsidRPr="001E2783" w:rsidRDefault="004A3A8F" w:rsidP="00557896">
                  <w:pPr>
                    <w:pStyle w:val="TableTextLeft"/>
                    <w:jc w:val="right"/>
                    <w:rPr>
                      <w:rFonts w:cs="Arial"/>
                      <w:sz w:val="20"/>
                    </w:rPr>
                  </w:pPr>
                  <w:r w:rsidRPr="001E2783">
                    <w:rPr>
                      <w:rFonts w:cs="Arial"/>
                      <w:sz w:val="20"/>
                    </w:rPr>
                    <w:t>120</w:t>
                  </w:r>
                </w:p>
              </w:tc>
            </w:tr>
            <w:tr w:rsidR="001E2783" w:rsidRPr="001E2783" w14:paraId="61D5B23D" w14:textId="77777777" w:rsidTr="004A3A8F">
              <w:tc>
                <w:tcPr>
                  <w:tcW w:w="4078" w:type="dxa"/>
                  <w:tcMar>
                    <w:top w:w="57" w:type="dxa"/>
                    <w:left w:w="57" w:type="dxa"/>
                    <w:bottom w:w="57" w:type="dxa"/>
                    <w:right w:w="57" w:type="dxa"/>
                  </w:tcMar>
                </w:tcPr>
                <w:p w14:paraId="3E565BD3" w14:textId="77777777" w:rsidR="004A3A8F" w:rsidRPr="001E2783" w:rsidRDefault="004A3A8F" w:rsidP="00557896">
                  <w:pPr>
                    <w:pStyle w:val="TableTextLeft"/>
                    <w:rPr>
                      <w:rFonts w:cs="Arial"/>
                      <w:sz w:val="20"/>
                    </w:rPr>
                  </w:pPr>
                  <w:r w:rsidRPr="001E2783">
                    <w:rPr>
                      <w:rFonts w:cs="Arial"/>
                      <w:sz w:val="20"/>
                    </w:rPr>
                    <w:t>Infringement notices</w:t>
                  </w:r>
                </w:p>
              </w:tc>
              <w:tc>
                <w:tcPr>
                  <w:tcW w:w="1701" w:type="dxa"/>
                  <w:tcMar>
                    <w:top w:w="57" w:type="dxa"/>
                    <w:left w:w="57" w:type="dxa"/>
                    <w:bottom w:w="57" w:type="dxa"/>
                    <w:right w:w="57" w:type="dxa"/>
                  </w:tcMar>
                </w:tcPr>
                <w:p w14:paraId="120D7C1B" w14:textId="77777777" w:rsidR="004A3A8F" w:rsidRPr="001E2783" w:rsidRDefault="004A3A8F" w:rsidP="00557896">
                  <w:pPr>
                    <w:pStyle w:val="TableTextLeft"/>
                    <w:jc w:val="right"/>
                    <w:rPr>
                      <w:rFonts w:cs="Arial"/>
                      <w:sz w:val="20"/>
                    </w:rPr>
                  </w:pPr>
                  <w:r w:rsidRPr="001E2783">
                    <w:rPr>
                      <w:rFonts w:cs="Arial"/>
                      <w:sz w:val="20"/>
                    </w:rPr>
                    <w:t>0</w:t>
                  </w:r>
                </w:p>
              </w:tc>
              <w:tc>
                <w:tcPr>
                  <w:tcW w:w="1842" w:type="dxa"/>
                  <w:tcMar>
                    <w:top w:w="57" w:type="dxa"/>
                    <w:left w:w="57" w:type="dxa"/>
                    <w:bottom w:w="57" w:type="dxa"/>
                    <w:right w:w="57" w:type="dxa"/>
                  </w:tcMar>
                </w:tcPr>
                <w:p w14:paraId="2A5ED21B" w14:textId="77777777" w:rsidR="004A3A8F" w:rsidRPr="001E2783" w:rsidRDefault="004A3A8F" w:rsidP="00557896">
                  <w:pPr>
                    <w:pStyle w:val="TableTextLeft"/>
                    <w:jc w:val="right"/>
                    <w:rPr>
                      <w:rFonts w:cs="Arial"/>
                      <w:sz w:val="20"/>
                    </w:rPr>
                  </w:pPr>
                  <w:r w:rsidRPr="001E2783">
                    <w:rPr>
                      <w:rFonts w:cs="Arial"/>
                      <w:sz w:val="20"/>
                    </w:rPr>
                    <w:t>1</w:t>
                  </w:r>
                </w:p>
              </w:tc>
              <w:tc>
                <w:tcPr>
                  <w:tcW w:w="1701" w:type="dxa"/>
                </w:tcPr>
                <w:p w14:paraId="12AF156D" w14:textId="77777777" w:rsidR="004A3A8F" w:rsidRPr="001E2783" w:rsidRDefault="004A3A8F" w:rsidP="00557896">
                  <w:pPr>
                    <w:pStyle w:val="TableTextLeft"/>
                    <w:jc w:val="right"/>
                    <w:rPr>
                      <w:rFonts w:cs="Arial"/>
                      <w:sz w:val="20"/>
                    </w:rPr>
                  </w:pPr>
                  <w:r w:rsidRPr="001E2783">
                    <w:rPr>
                      <w:rFonts w:cs="Arial"/>
                      <w:sz w:val="20"/>
                    </w:rPr>
                    <w:t>11</w:t>
                  </w:r>
                </w:p>
              </w:tc>
            </w:tr>
            <w:tr w:rsidR="001E2783" w:rsidRPr="001E2783" w14:paraId="1884D966" w14:textId="77777777" w:rsidTr="004A3A8F">
              <w:tc>
                <w:tcPr>
                  <w:tcW w:w="4078" w:type="dxa"/>
                  <w:tcMar>
                    <w:top w:w="57" w:type="dxa"/>
                    <w:left w:w="57" w:type="dxa"/>
                    <w:bottom w:w="57" w:type="dxa"/>
                    <w:right w:w="57" w:type="dxa"/>
                  </w:tcMar>
                </w:tcPr>
                <w:p w14:paraId="5E23BE7A" w14:textId="77777777" w:rsidR="004A3A8F" w:rsidRPr="001E2783" w:rsidRDefault="004A3A8F" w:rsidP="00557896">
                  <w:pPr>
                    <w:pStyle w:val="TableTextLeft"/>
                    <w:rPr>
                      <w:rFonts w:cs="Arial"/>
                      <w:sz w:val="20"/>
                    </w:rPr>
                  </w:pPr>
                  <w:r w:rsidRPr="001E2783">
                    <w:rPr>
                      <w:rFonts w:cs="Arial"/>
                      <w:sz w:val="20"/>
                    </w:rPr>
                    <w:t>Notices related to unlicensed operation of a transmitter</w:t>
                  </w:r>
                </w:p>
              </w:tc>
              <w:tc>
                <w:tcPr>
                  <w:tcW w:w="1701" w:type="dxa"/>
                  <w:tcMar>
                    <w:top w:w="57" w:type="dxa"/>
                    <w:left w:w="57" w:type="dxa"/>
                    <w:bottom w:w="57" w:type="dxa"/>
                    <w:right w:w="57" w:type="dxa"/>
                  </w:tcMar>
                </w:tcPr>
                <w:p w14:paraId="1C4F32E0" w14:textId="77777777" w:rsidR="004A3A8F" w:rsidRPr="001E2783" w:rsidRDefault="004A3A8F" w:rsidP="00557896">
                  <w:pPr>
                    <w:pStyle w:val="TableTextLeft"/>
                    <w:jc w:val="right"/>
                    <w:rPr>
                      <w:rFonts w:cs="Arial"/>
                      <w:sz w:val="20"/>
                    </w:rPr>
                  </w:pPr>
                  <w:r w:rsidRPr="001E2783">
                    <w:rPr>
                      <w:rFonts w:cs="Arial"/>
                      <w:sz w:val="20"/>
                    </w:rPr>
                    <w:t>130</w:t>
                  </w:r>
                </w:p>
              </w:tc>
              <w:tc>
                <w:tcPr>
                  <w:tcW w:w="1842" w:type="dxa"/>
                  <w:tcMar>
                    <w:top w:w="57" w:type="dxa"/>
                    <w:left w:w="57" w:type="dxa"/>
                    <w:bottom w:w="57" w:type="dxa"/>
                    <w:right w:w="57" w:type="dxa"/>
                  </w:tcMar>
                </w:tcPr>
                <w:p w14:paraId="255F8C13" w14:textId="77777777" w:rsidR="004A3A8F" w:rsidRPr="001E2783" w:rsidRDefault="004A3A8F" w:rsidP="00557896">
                  <w:pPr>
                    <w:pStyle w:val="TableTextLeft"/>
                    <w:jc w:val="right"/>
                    <w:rPr>
                      <w:rFonts w:cs="Arial"/>
                      <w:sz w:val="20"/>
                    </w:rPr>
                  </w:pPr>
                  <w:r w:rsidRPr="001E2783">
                    <w:rPr>
                      <w:rFonts w:cs="Arial"/>
                      <w:sz w:val="20"/>
                    </w:rPr>
                    <w:t>189</w:t>
                  </w:r>
                </w:p>
              </w:tc>
              <w:tc>
                <w:tcPr>
                  <w:tcW w:w="1701" w:type="dxa"/>
                </w:tcPr>
                <w:p w14:paraId="5D8D806E" w14:textId="77777777" w:rsidR="004A3A8F" w:rsidRPr="001E2783" w:rsidRDefault="004A3A8F" w:rsidP="00557896">
                  <w:pPr>
                    <w:pStyle w:val="TableTextLeft"/>
                    <w:jc w:val="right"/>
                    <w:rPr>
                      <w:rFonts w:cs="Arial"/>
                      <w:sz w:val="20"/>
                    </w:rPr>
                  </w:pPr>
                  <w:r w:rsidRPr="001E2783">
                    <w:rPr>
                      <w:rFonts w:cs="Arial"/>
                      <w:sz w:val="20"/>
                    </w:rPr>
                    <w:t>116</w:t>
                  </w:r>
                </w:p>
              </w:tc>
            </w:tr>
            <w:tr w:rsidR="001E2783" w:rsidRPr="001E2783" w14:paraId="0EDAFB4D" w14:textId="77777777" w:rsidTr="004A3A8F">
              <w:tc>
                <w:tcPr>
                  <w:tcW w:w="4078" w:type="dxa"/>
                  <w:tcMar>
                    <w:top w:w="57" w:type="dxa"/>
                    <w:left w:w="57" w:type="dxa"/>
                    <w:bottom w:w="57" w:type="dxa"/>
                    <w:right w:w="57" w:type="dxa"/>
                  </w:tcMar>
                </w:tcPr>
                <w:p w14:paraId="3B94E4F0" w14:textId="77777777" w:rsidR="004A3A8F" w:rsidRPr="001E2783" w:rsidRDefault="004A3A8F" w:rsidP="00557896">
                  <w:pPr>
                    <w:pStyle w:val="TableTextLeft"/>
                    <w:rPr>
                      <w:rFonts w:cs="Arial"/>
                      <w:sz w:val="20"/>
                    </w:rPr>
                  </w:pPr>
                  <w:r w:rsidRPr="001E2783">
                    <w:rPr>
                      <w:rFonts w:cs="Arial"/>
                      <w:sz w:val="20"/>
                    </w:rPr>
                    <w:t>Prosecutions commenced</w:t>
                  </w:r>
                </w:p>
              </w:tc>
              <w:tc>
                <w:tcPr>
                  <w:tcW w:w="1701" w:type="dxa"/>
                  <w:tcMar>
                    <w:top w:w="57" w:type="dxa"/>
                    <w:left w:w="57" w:type="dxa"/>
                    <w:bottom w:w="57" w:type="dxa"/>
                    <w:right w:w="57" w:type="dxa"/>
                  </w:tcMar>
                </w:tcPr>
                <w:p w14:paraId="5A1F9E95" w14:textId="77777777" w:rsidR="004A3A8F" w:rsidRPr="001E2783" w:rsidRDefault="00E65BD5" w:rsidP="00557896">
                  <w:pPr>
                    <w:pStyle w:val="TableTextLeft"/>
                    <w:jc w:val="right"/>
                    <w:rPr>
                      <w:rFonts w:cs="Arial"/>
                      <w:sz w:val="20"/>
                    </w:rPr>
                  </w:pPr>
                  <w:r w:rsidRPr="001E2783">
                    <w:rPr>
                      <w:rFonts w:cs="Arial"/>
                      <w:sz w:val="20"/>
                    </w:rPr>
                    <w:t>0</w:t>
                  </w:r>
                </w:p>
              </w:tc>
              <w:tc>
                <w:tcPr>
                  <w:tcW w:w="1842" w:type="dxa"/>
                  <w:tcMar>
                    <w:top w:w="57" w:type="dxa"/>
                    <w:left w:w="57" w:type="dxa"/>
                    <w:bottom w:w="57" w:type="dxa"/>
                    <w:right w:w="57" w:type="dxa"/>
                  </w:tcMar>
                </w:tcPr>
                <w:p w14:paraId="0A139A57" w14:textId="77777777" w:rsidR="004A3A8F" w:rsidRPr="001E2783" w:rsidRDefault="00E65BD5" w:rsidP="00557896">
                  <w:pPr>
                    <w:pStyle w:val="TableTextLeft"/>
                    <w:jc w:val="right"/>
                    <w:rPr>
                      <w:rFonts w:cs="Arial"/>
                      <w:sz w:val="20"/>
                    </w:rPr>
                  </w:pPr>
                  <w:r w:rsidRPr="001E2783">
                    <w:rPr>
                      <w:rFonts w:cs="Arial"/>
                      <w:sz w:val="20"/>
                    </w:rPr>
                    <w:t>0</w:t>
                  </w:r>
                </w:p>
              </w:tc>
              <w:tc>
                <w:tcPr>
                  <w:tcW w:w="1701" w:type="dxa"/>
                </w:tcPr>
                <w:p w14:paraId="2D14B7C6" w14:textId="77777777" w:rsidR="004A3A8F" w:rsidRPr="001E2783" w:rsidRDefault="004A3A8F" w:rsidP="00557896">
                  <w:pPr>
                    <w:pStyle w:val="TableTextLeft"/>
                    <w:jc w:val="right"/>
                    <w:rPr>
                      <w:rFonts w:cs="Arial"/>
                      <w:sz w:val="20"/>
                    </w:rPr>
                  </w:pPr>
                  <w:r w:rsidRPr="001E2783">
                    <w:rPr>
                      <w:rFonts w:cs="Arial"/>
                      <w:sz w:val="20"/>
                    </w:rPr>
                    <w:t>5</w:t>
                  </w:r>
                </w:p>
              </w:tc>
            </w:tr>
          </w:tbl>
          <w:p w14:paraId="01E780AF" w14:textId="77777777" w:rsidR="00CC119D" w:rsidRPr="001E2783" w:rsidRDefault="00CC119D" w:rsidP="00C902FF">
            <w:pPr>
              <w:ind w:left="720"/>
              <w:rPr>
                <w:rFonts w:cs="Arial"/>
              </w:rPr>
            </w:pPr>
          </w:p>
        </w:tc>
      </w:tr>
      <w:tr w:rsidR="00CC119D" w:rsidRPr="001E2783" w14:paraId="6DB1DF98" w14:textId="77777777" w:rsidTr="00C902FF">
        <w:trPr>
          <w:trHeight w:val="63"/>
        </w:trPr>
        <w:tc>
          <w:tcPr>
            <w:tcW w:w="9645" w:type="dxa"/>
            <w:tcBorders>
              <w:bottom w:val="single" w:sz="2" w:space="0" w:color="505050"/>
            </w:tcBorders>
            <w:shd w:val="clear" w:color="auto" w:fill="auto"/>
          </w:tcPr>
          <w:p w14:paraId="26AA48A6" w14:textId="77777777" w:rsidR="00CC119D" w:rsidRPr="001E2783" w:rsidRDefault="00CC119D" w:rsidP="00C902FF">
            <w:pPr>
              <w:ind w:left="720"/>
              <w:rPr>
                <w:rFonts w:cs="Arial"/>
              </w:rPr>
            </w:pPr>
          </w:p>
        </w:tc>
      </w:tr>
    </w:tbl>
    <w:p w14:paraId="5BDBBB82" w14:textId="77777777" w:rsidR="00CC119D" w:rsidRPr="001E2783" w:rsidRDefault="00CC119D" w:rsidP="00CC119D">
      <w:pPr>
        <w:rPr>
          <w:rFonts w:cs="Arial"/>
        </w:rPr>
      </w:pPr>
    </w:p>
    <w:p w14:paraId="17B55CA5" w14:textId="77777777" w:rsidR="00F55079" w:rsidRPr="001E2783" w:rsidRDefault="00557896" w:rsidP="00F55079">
      <w:pPr>
        <w:pStyle w:val="BodysubheaderH4"/>
        <w:rPr>
          <w:rFonts w:cs="Arial"/>
        </w:rPr>
      </w:pPr>
      <w:r w:rsidRPr="001E2783">
        <w:rPr>
          <w:rFonts w:cs="Arial"/>
        </w:rPr>
        <w:t>LPON</w:t>
      </w:r>
      <w:r w:rsidR="00F55079" w:rsidRPr="001E2783">
        <w:rPr>
          <w:rFonts w:cs="Arial"/>
        </w:rPr>
        <w:t xml:space="preserve"> services</w:t>
      </w:r>
    </w:p>
    <w:p w14:paraId="23AFE76E" w14:textId="77777777" w:rsidR="00F55079" w:rsidRPr="001E2783" w:rsidRDefault="00F55079" w:rsidP="00F55079">
      <w:pPr>
        <w:rPr>
          <w:rFonts w:cs="Arial"/>
        </w:rPr>
      </w:pPr>
      <w:r w:rsidRPr="001E2783">
        <w:rPr>
          <w:rFonts w:cs="Arial"/>
        </w:rPr>
        <w:t>LPON services provide niche radio broadcasting services to an audience in a limited area of reception (for example, tourist information services) or for a regular event. LPONs are very low power—not more than one watt in residential areas or 10 watts in rural areas. LPON licences are also subject to conditions relating to operation of the service.</w:t>
      </w:r>
    </w:p>
    <w:p w14:paraId="2E4E375C" w14:textId="77777777" w:rsidR="00F55079" w:rsidRPr="001E2783" w:rsidRDefault="00F55079" w:rsidP="00F55079">
      <w:pPr>
        <w:rPr>
          <w:rFonts w:cs="Arial"/>
        </w:rPr>
      </w:pPr>
    </w:p>
    <w:p w14:paraId="09AE9A71" w14:textId="77777777" w:rsidR="004A3A8F" w:rsidRPr="001E2783" w:rsidRDefault="004A3A8F" w:rsidP="004A3A8F">
      <w:pPr>
        <w:rPr>
          <w:rFonts w:cs="Arial"/>
        </w:rPr>
      </w:pPr>
      <w:r w:rsidRPr="001E2783">
        <w:rPr>
          <w:rFonts w:cs="Arial"/>
        </w:rPr>
        <w:t xml:space="preserve">In the reporting period, the </w:t>
      </w:r>
      <w:r w:rsidR="00557896" w:rsidRPr="001E2783">
        <w:rPr>
          <w:rFonts w:cs="Arial"/>
        </w:rPr>
        <w:t xml:space="preserve">ACMA </w:t>
      </w:r>
      <w:r w:rsidRPr="001E2783">
        <w:rPr>
          <w:rFonts w:cs="Arial"/>
        </w:rPr>
        <w:t xml:space="preserve">issued two infringement notices for breaches of licence conditions. Investigations into provision of service complaints are reported in Table </w:t>
      </w:r>
      <w:r w:rsidR="00D27ED3" w:rsidRPr="001E2783">
        <w:rPr>
          <w:rFonts w:cs="Arial"/>
        </w:rPr>
        <w:t>24</w:t>
      </w:r>
      <w:r w:rsidRPr="001E2783">
        <w:rPr>
          <w:rFonts w:cs="Arial"/>
        </w:rPr>
        <w:t>.</w:t>
      </w:r>
    </w:p>
    <w:p w14:paraId="0A67A89C" w14:textId="77777777" w:rsidR="00CC119D" w:rsidRPr="001E2783" w:rsidRDefault="00CC119D" w:rsidP="00CC119D">
      <w:pPr>
        <w:rPr>
          <w:rFonts w:cs="Arial"/>
        </w:rPr>
      </w:pPr>
    </w:p>
    <w:p w14:paraId="45BC2E0E" w14:textId="7331BDEF" w:rsidR="00D5109C" w:rsidRPr="001E2783" w:rsidRDefault="00D5109C" w:rsidP="00CC119D">
      <w:pPr>
        <w:rPr>
          <w:rFonts w:cs="Arial"/>
        </w:rPr>
      </w:pPr>
      <w:r w:rsidRPr="001E2783">
        <w:rPr>
          <w:rFonts w:cs="Arial"/>
        </w:rPr>
        <w:t xml:space="preserve">See also </w:t>
      </w:r>
      <w:r w:rsidRPr="001E2783">
        <w:rPr>
          <w:rFonts w:cs="Arial"/>
          <w:i/>
        </w:rPr>
        <w:t>Low-power open narrowcasting (LPON) services review</w:t>
      </w:r>
      <w:r w:rsidRPr="001E2783">
        <w:rPr>
          <w:rFonts w:cs="Arial"/>
        </w:rPr>
        <w:t>.</w:t>
      </w:r>
    </w:p>
    <w:p w14:paraId="5F3FB091" w14:textId="77777777" w:rsidR="00257A0C" w:rsidRPr="001E2783" w:rsidRDefault="00257A0C" w:rsidP="00CC119D">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386858CE" w14:textId="77777777" w:rsidTr="00C902FF">
        <w:trPr>
          <w:trHeight w:val="570"/>
        </w:trPr>
        <w:tc>
          <w:tcPr>
            <w:tcW w:w="9645" w:type="dxa"/>
            <w:tcBorders>
              <w:top w:val="single" w:sz="2" w:space="0" w:color="505050"/>
            </w:tcBorders>
            <w:shd w:val="clear" w:color="auto" w:fill="auto"/>
            <w:vAlign w:val="center"/>
          </w:tcPr>
          <w:p w14:paraId="29659094" w14:textId="77777777" w:rsidR="00CC119D" w:rsidRPr="001E2783" w:rsidRDefault="00CC119D" w:rsidP="00A80800">
            <w:pPr>
              <w:pStyle w:val="Caption"/>
              <w:keepNext/>
              <w:keepLines/>
              <w:rPr>
                <w:rFonts w:ascii="Arial" w:hAnsi="Arial" w:cs="Arial"/>
                <w:color w:val="auto"/>
              </w:rPr>
            </w:pPr>
            <w:r w:rsidRPr="00D3485F">
              <w:rPr>
                <w:rFonts w:ascii="Arial" w:hAnsi="Arial" w:cs="Arial"/>
              </w:rPr>
              <w:t xml:space="preserve">Table </w:t>
            </w:r>
            <w:r w:rsidR="00D27ED3" w:rsidRPr="00D3485F">
              <w:rPr>
                <w:rFonts w:ascii="Arial" w:hAnsi="Arial" w:cs="Arial"/>
              </w:rPr>
              <w:t>24</w:t>
            </w:r>
            <w:r w:rsidRPr="00D3485F">
              <w:rPr>
                <w:rFonts w:ascii="Arial" w:hAnsi="Arial" w:cs="Arial"/>
              </w:rPr>
              <w:t xml:space="preserve">: </w:t>
            </w:r>
            <w:r w:rsidR="00C504A8" w:rsidRPr="00D3485F">
              <w:rPr>
                <w:rFonts w:ascii="Arial" w:hAnsi="Arial" w:cs="Arial"/>
              </w:rPr>
              <w:t>LPON investigations, 2011–12</w:t>
            </w:r>
            <w:r w:rsidR="00A80800" w:rsidRPr="00D3485F">
              <w:rPr>
                <w:rFonts w:ascii="Arial" w:hAnsi="Arial" w:cs="Arial"/>
              </w:rPr>
              <w:t xml:space="preserve"> to</w:t>
            </w:r>
            <w:r w:rsidR="00C504A8" w:rsidRPr="00D3485F">
              <w:rPr>
                <w:rFonts w:ascii="Arial" w:hAnsi="Arial" w:cs="Arial"/>
              </w:rPr>
              <w:t xml:space="preserve"> 2013–14</w:t>
            </w:r>
          </w:p>
        </w:tc>
      </w:tr>
      <w:tr w:rsidR="001E2783" w:rsidRPr="001E2783" w14:paraId="7943EF88" w14:textId="77777777" w:rsidTr="00C902FF">
        <w:trPr>
          <w:trHeight w:val="638"/>
        </w:trPr>
        <w:tc>
          <w:tcPr>
            <w:tcW w:w="9645" w:type="dxa"/>
            <w:shd w:val="clear" w:color="auto" w:fill="auto"/>
            <w:tcMar>
              <w:left w:w="28" w:type="dxa"/>
            </w:tcMar>
          </w:tcPr>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078"/>
              <w:gridCol w:w="1701"/>
              <w:gridCol w:w="1842"/>
              <w:gridCol w:w="1701"/>
            </w:tblGrid>
            <w:tr w:rsidR="001E2783" w:rsidRPr="001E2783" w14:paraId="222E0CE0" w14:textId="77777777" w:rsidTr="00C504A8">
              <w:trPr>
                <w:trHeight w:val="240"/>
              </w:trPr>
              <w:tc>
                <w:tcPr>
                  <w:tcW w:w="4078" w:type="dxa"/>
                  <w:vMerge w:val="restart"/>
                  <w:shd w:val="clear" w:color="auto" w:fill="404040" w:themeFill="text1" w:themeFillTint="BF"/>
                  <w:tcMar>
                    <w:top w:w="57" w:type="dxa"/>
                    <w:left w:w="57" w:type="dxa"/>
                    <w:bottom w:w="57" w:type="dxa"/>
                    <w:right w:w="57" w:type="dxa"/>
                  </w:tcMar>
                  <w:vAlign w:val="center"/>
                </w:tcPr>
                <w:p w14:paraId="1623A4EA" w14:textId="77777777" w:rsidR="00C504A8" w:rsidRPr="000544EA" w:rsidRDefault="00C504A8" w:rsidP="00557896">
                  <w:pPr>
                    <w:pStyle w:val="TableHeading"/>
                    <w:rPr>
                      <w:rFonts w:ascii="Arial" w:hAnsi="Arial" w:cs="Arial"/>
                      <w:color w:val="FFFFFF" w:themeColor="background1"/>
                    </w:rPr>
                  </w:pPr>
                  <w:r w:rsidRPr="000544EA">
                    <w:rPr>
                      <w:rFonts w:ascii="Arial" w:hAnsi="Arial" w:cs="Arial"/>
                      <w:color w:val="FFFFFF" w:themeColor="background1"/>
                    </w:rPr>
                    <w:t>Action type</w:t>
                  </w:r>
                </w:p>
              </w:tc>
              <w:tc>
                <w:tcPr>
                  <w:tcW w:w="5244" w:type="dxa"/>
                  <w:gridSpan w:val="3"/>
                  <w:shd w:val="clear" w:color="auto" w:fill="404040" w:themeFill="text1" w:themeFillTint="BF"/>
                  <w:tcMar>
                    <w:top w:w="57" w:type="dxa"/>
                    <w:left w:w="57" w:type="dxa"/>
                    <w:bottom w:w="57" w:type="dxa"/>
                    <w:right w:w="57" w:type="dxa"/>
                  </w:tcMar>
                </w:tcPr>
                <w:p w14:paraId="707A62D2" w14:textId="77777777" w:rsidR="00C504A8" w:rsidRPr="000544EA" w:rsidRDefault="00C504A8" w:rsidP="00557896">
                  <w:pPr>
                    <w:pStyle w:val="TableHeading"/>
                    <w:jc w:val="center"/>
                    <w:rPr>
                      <w:rFonts w:ascii="Arial" w:hAnsi="Arial" w:cs="Arial"/>
                      <w:color w:val="FFFFFF" w:themeColor="background1"/>
                    </w:rPr>
                  </w:pPr>
                  <w:r w:rsidRPr="000544EA">
                    <w:rPr>
                      <w:rFonts w:ascii="Arial" w:hAnsi="Arial" w:cs="Arial"/>
                      <w:color w:val="FFFFFF" w:themeColor="background1"/>
                    </w:rPr>
                    <w:t>Number of actions</w:t>
                  </w:r>
                </w:p>
              </w:tc>
            </w:tr>
            <w:tr w:rsidR="001E2783" w:rsidRPr="001E2783" w14:paraId="314601AC" w14:textId="77777777" w:rsidTr="00C504A8">
              <w:trPr>
                <w:trHeight w:val="240"/>
              </w:trPr>
              <w:tc>
                <w:tcPr>
                  <w:tcW w:w="4078" w:type="dxa"/>
                  <w:vMerge/>
                  <w:shd w:val="clear" w:color="auto" w:fill="404040" w:themeFill="text1" w:themeFillTint="BF"/>
                  <w:tcMar>
                    <w:top w:w="57" w:type="dxa"/>
                    <w:left w:w="57" w:type="dxa"/>
                    <w:bottom w:w="57" w:type="dxa"/>
                    <w:right w:w="57" w:type="dxa"/>
                  </w:tcMar>
                </w:tcPr>
                <w:p w14:paraId="5BB0A725" w14:textId="77777777" w:rsidR="00C504A8" w:rsidRPr="000544EA" w:rsidRDefault="00C504A8" w:rsidP="00557896">
                  <w:pPr>
                    <w:pStyle w:val="TableHeading"/>
                    <w:rPr>
                      <w:rFonts w:ascii="Arial" w:hAnsi="Arial" w:cs="Arial"/>
                      <w:color w:val="FFFFFF" w:themeColor="background1"/>
                    </w:rPr>
                  </w:pPr>
                </w:p>
              </w:tc>
              <w:tc>
                <w:tcPr>
                  <w:tcW w:w="1701" w:type="dxa"/>
                  <w:shd w:val="clear" w:color="auto" w:fill="404040" w:themeFill="text1" w:themeFillTint="BF"/>
                  <w:tcMar>
                    <w:top w:w="57" w:type="dxa"/>
                    <w:left w:w="57" w:type="dxa"/>
                    <w:bottom w:w="57" w:type="dxa"/>
                    <w:right w:w="57" w:type="dxa"/>
                  </w:tcMar>
                </w:tcPr>
                <w:p w14:paraId="23091202" w14:textId="77777777" w:rsidR="00C504A8" w:rsidRPr="000544EA" w:rsidRDefault="00C504A8" w:rsidP="00A80800">
                  <w:pPr>
                    <w:pStyle w:val="TableHeading"/>
                    <w:jc w:val="right"/>
                    <w:rPr>
                      <w:rFonts w:ascii="Arial" w:hAnsi="Arial" w:cs="Arial"/>
                      <w:color w:val="FFFFFF" w:themeColor="background1"/>
                    </w:rPr>
                  </w:pPr>
                  <w:r w:rsidRPr="000544EA">
                    <w:rPr>
                      <w:rFonts w:ascii="Arial" w:hAnsi="Arial" w:cs="Arial"/>
                      <w:color w:val="FFFFFF" w:themeColor="background1"/>
                    </w:rPr>
                    <w:t>2011–12</w:t>
                  </w:r>
                </w:p>
              </w:tc>
              <w:tc>
                <w:tcPr>
                  <w:tcW w:w="1842" w:type="dxa"/>
                  <w:shd w:val="clear" w:color="auto" w:fill="404040" w:themeFill="text1" w:themeFillTint="BF"/>
                  <w:tcMar>
                    <w:top w:w="57" w:type="dxa"/>
                    <w:left w:w="57" w:type="dxa"/>
                    <w:bottom w:w="57" w:type="dxa"/>
                    <w:right w:w="57" w:type="dxa"/>
                  </w:tcMar>
                </w:tcPr>
                <w:p w14:paraId="2E0488DB" w14:textId="77777777" w:rsidR="00C504A8" w:rsidRPr="000544EA" w:rsidRDefault="00C504A8" w:rsidP="00A80800">
                  <w:pPr>
                    <w:pStyle w:val="TableHeading"/>
                    <w:jc w:val="right"/>
                    <w:rPr>
                      <w:rFonts w:ascii="Arial" w:hAnsi="Arial" w:cs="Arial"/>
                      <w:color w:val="FFFFFF" w:themeColor="background1"/>
                    </w:rPr>
                  </w:pPr>
                  <w:r w:rsidRPr="000544EA">
                    <w:rPr>
                      <w:rFonts w:ascii="Arial" w:hAnsi="Arial" w:cs="Arial"/>
                      <w:color w:val="FFFFFF" w:themeColor="background1"/>
                    </w:rPr>
                    <w:t>2012–13</w:t>
                  </w:r>
                </w:p>
              </w:tc>
              <w:tc>
                <w:tcPr>
                  <w:tcW w:w="1701" w:type="dxa"/>
                  <w:shd w:val="clear" w:color="auto" w:fill="404040" w:themeFill="text1" w:themeFillTint="BF"/>
                </w:tcPr>
                <w:p w14:paraId="7F0300E3" w14:textId="77777777" w:rsidR="00C504A8" w:rsidRPr="000544EA" w:rsidRDefault="00C504A8" w:rsidP="00A80800">
                  <w:pPr>
                    <w:pStyle w:val="TableHeading"/>
                    <w:jc w:val="right"/>
                    <w:rPr>
                      <w:rFonts w:ascii="Arial" w:hAnsi="Arial" w:cs="Arial"/>
                      <w:color w:val="FFFFFF" w:themeColor="background1"/>
                    </w:rPr>
                  </w:pPr>
                  <w:r w:rsidRPr="000544EA">
                    <w:rPr>
                      <w:rFonts w:ascii="Arial" w:hAnsi="Arial" w:cs="Arial"/>
                      <w:color w:val="FFFFFF" w:themeColor="background1"/>
                    </w:rPr>
                    <w:t>2013–14</w:t>
                  </w:r>
                </w:p>
              </w:tc>
            </w:tr>
            <w:tr w:rsidR="001E2783" w:rsidRPr="001E2783" w14:paraId="347C3E6D" w14:textId="77777777" w:rsidTr="00C504A8">
              <w:tc>
                <w:tcPr>
                  <w:tcW w:w="4078" w:type="dxa"/>
                  <w:tcMar>
                    <w:top w:w="57" w:type="dxa"/>
                    <w:left w:w="57" w:type="dxa"/>
                    <w:bottom w:w="57" w:type="dxa"/>
                    <w:right w:w="57" w:type="dxa"/>
                  </w:tcMar>
                </w:tcPr>
                <w:p w14:paraId="65BAEB0A" w14:textId="77777777" w:rsidR="00C504A8" w:rsidRPr="001E2783" w:rsidRDefault="00C504A8" w:rsidP="00557896">
                  <w:pPr>
                    <w:pStyle w:val="TableTextLeft"/>
                    <w:rPr>
                      <w:rFonts w:cs="Arial"/>
                      <w:sz w:val="20"/>
                    </w:rPr>
                  </w:pPr>
                  <w:r w:rsidRPr="001E2783">
                    <w:rPr>
                      <w:rFonts w:cs="Arial"/>
                      <w:sz w:val="20"/>
                    </w:rPr>
                    <w:t>LPON investigations conducted</w:t>
                  </w:r>
                </w:p>
              </w:tc>
              <w:tc>
                <w:tcPr>
                  <w:tcW w:w="1701" w:type="dxa"/>
                  <w:tcMar>
                    <w:top w:w="57" w:type="dxa"/>
                    <w:left w:w="57" w:type="dxa"/>
                    <w:bottom w:w="57" w:type="dxa"/>
                    <w:right w:w="57" w:type="dxa"/>
                  </w:tcMar>
                </w:tcPr>
                <w:p w14:paraId="4ED7CA61" w14:textId="77777777" w:rsidR="00C504A8" w:rsidRPr="001E2783" w:rsidRDefault="00C504A8" w:rsidP="00557896">
                  <w:pPr>
                    <w:pStyle w:val="TableTextLeft"/>
                    <w:jc w:val="right"/>
                    <w:rPr>
                      <w:rFonts w:cs="Arial"/>
                      <w:sz w:val="20"/>
                    </w:rPr>
                  </w:pPr>
                  <w:r w:rsidRPr="001E2783">
                    <w:rPr>
                      <w:rFonts w:cs="Arial"/>
                      <w:sz w:val="20"/>
                    </w:rPr>
                    <w:t>6</w:t>
                  </w:r>
                </w:p>
              </w:tc>
              <w:tc>
                <w:tcPr>
                  <w:tcW w:w="1842" w:type="dxa"/>
                  <w:tcMar>
                    <w:top w:w="57" w:type="dxa"/>
                    <w:left w:w="57" w:type="dxa"/>
                    <w:bottom w:w="57" w:type="dxa"/>
                    <w:right w:w="57" w:type="dxa"/>
                  </w:tcMar>
                </w:tcPr>
                <w:p w14:paraId="477BCCB8" w14:textId="77777777" w:rsidR="00C504A8" w:rsidRPr="001E2783" w:rsidRDefault="00C504A8" w:rsidP="00557896">
                  <w:pPr>
                    <w:pStyle w:val="TableTextLeft"/>
                    <w:jc w:val="right"/>
                    <w:rPr>
                      <w:rFonts w:cs="Arial"/>
                      <w:sz w:val="20"/>
                    </w:rPr>
                  </w:pPr>
                  <w:r w:rsidRPr="001E2783">
                    <w:rPr>
                      <w:rFonts w:cs="Arial"/>
                      <w:sz w:val="20"/>
                    </w:rPr>
                    <w:t>9</w:t>
                  </w:r>
                </w:p>
              </w:tc>
              <w:tc>
                <w:tcPr>
                  <w:tcW w:w="1701" w:type="dxa"/>
                </w:tcPr>
                <w:p w14:paraId="736994BE" w14:textId="77777777" w:rsidR="00C504A8" w:rsidRPr="001E2783" w:rsidRDefault="00C504A8" w:rsidP="00557896">
                  <w:pPr>
                    <w:pStyle w:val="TableTextLeft"/>
                    <w:jc w:val="right"/>
                    <w:rPr>
                      <w:rFonts w:cs="Arial"/>
                      <w:sz w:val="20"/>
                    </w:rPr>
                  </w:pPr>
                  <w:r w:rsidRPr="001E2783">
                    <w:rPr>
                      <w:rFonts w:cs="Arial"/>
                      <w:sz w:val="20"/>
                    </w:rPr>
                    <w:t>5</w:t>
                  </w:r>
                </w:p>
              </w:tc>
            </w:tr>
          </w:tbl>
          <w:p w14:paraId="1D73A9C0" w14:textId="77777777" w:rsidR="00CC119D" w:rsidRPr="001E2783" w:rsidRDefault="00CC119D" w:rsidP="00C902FF">
            <w:pPr>
              <w:ind w:left="720"/>
              <w:rPr>
                <w:rFonts w:cs="Arial"/>
              </w:rPr>
            </w:pPr>
          </w:p>
        </w:tc>
      </w:tr>
      <w:tr w:rsidR="001E2783" w:rsidRPr="001E2783" w14:paraId="17FE673C" w14:textId="77777777" w:rsidTr="00C902FF">
        <w:trPr>
          <w:trHeight w:val="80"/>
        </w:trPr>
        <w:tc>
          <w:tcPr>
            <w:tcW w:w="9645" w:type="dxa"/>
            <w:tcBorders>
              <w:bottom w:val="single" w:sz="2" w:space="0" w:color="505050"/>
            </w:tcBorders>
            <w:shd w:val="clear" w:color="auto" w:fill="auto"/>
          </w:tcPr>
          <w:p w14:paraId="3E492ADE" w14:textId="77777777" w:rsidR="00CC119D" w:rsidRPr="001E2783" w:rsidRDefault="00CC119D" w:rsidP="00C902FF">
            <w:pPr>
              <w:ind w:left="720"/>
              <w:rPr>
                <w:rFonts w:cs="Arial"/>
              </w:rPr>
            </w:pPr>
          </w:p>
        </w:tc>
      </w:tr>
    </w:tbl>
    <w:p w14:paraId="15CB2172" w14:textId="77777777" w:rsidR="00CC119D" w:rsidRPr="001E2783" w:rsidRDefault="00CC119D" w:rsidP="00CC119D">
      <w:pPr>
        <w:rPr>
          <w:rFonts w:cs="Arial"/>
        </w:rPr>
      </w:pPr>
    </w:p>
    <w:p w14:paraId="2CCED22E" w14:textId="77777777" w:rsidR="00CC119D" w:rsidRPr="001E2783" w:rsidRDefault="00CC119D" w:rsidP="00CC119D">
      <w:pPr>
        <w:pStyle w:val="BodysubheaderH4"/>
        <w:rPr>
          <w:rFonts w:cs="Arial"/>
        </w:rPr>
      </w:pPr>
      <w:r w:rsidRPr="001E2783">
        <w:rPr>
          <w:rFonts w:cs="Arial"/>
        </w:rPr>
        <w:t xml:space="preserve">Radiocommunications interference management </w:t>
      </w:r>
    </w:p>
    <w:p w14:paraId="1561F84B" w14:textId="77777777" w:rsidR="00C504A8" w:rsidRPr="001E2783" w:rsidRDefault="00C504A8" w:rsidP="00970328">
      <w:pPr>
        <w:keepNext/>
        <w:rPr>
          <w:rFonts w:cs="Arial"/>
        </w:rPr>
      </w:pPr>
      <w:r w:rsidRPr="001E2783">
        <w:rPr>
          <w:rFonts w:cs="Arial"/>
        </w:rPr>
        <w:t>The ACMA administers radiocommunications licensing arrangements established by the Radiocommunications Act. It undertakes field-based activities to investigate interference to radiocommunications, telecommunications and broadcast services.</w:t>
      </w:r>
    </w:p>
    <w:p w14:paraId="6A7F16F5" w14:textId="77777777" w:rsidR="00C504A8" w:rsidRPr="001E2783" w:rsidRDefault="00C504A8" w:rsidP="00C504A8">
      <w:pPr>
        <w:rPr>
          <w:rFonts w:cs="Arial"/>
        </w:rPr>
      </w:pPr>
    </w:p>
    <w:p w14:paraId="28A09A4F" w14:textId="77777777" w:rsidR="00C504A8" w:rsidRPr="001E2783" w:rsidRDefault="00C504A8" w:rsidP="00C504A8">
      <w:pPr>
        <w:rPr>
          <w:rFonts w:cs="Arial"/>
        </w:rPr>
      </w:pPr>
      <w:r w:rsidRPr="001E2783">
        <w:rPr>
          <w:rFonts w:cs="Arial"/>
        </w:rPr>
        <w:t xml:space="preserve">During the reporting period, the ACMA had 20 field staff in three offices—Brisbane, Melbourne and Sydney—who were responsible for field activities and had access to 18 specially equipped vehicles. </w:t>
      </w:r>
    </w:p>
    <w:p w14:paraId="344C925B" w14:textId="77777777" w:rsidR="00C504A8" w:rsidRPr="001E2783" w:rsidRDefault="00C504A8" w:rsidP="00C504A8">
      <w:pPr>
        <w:rPr>
          <w:rFonts w:cs="Arial"/>
        </w:rPr>
      </w:pPr>
    </w:p>
    <w:p w14:paraId="789775BC" w14:textId="77777777" w:rsidR="00C504A8" w:rsidRPr="001E2783" w:rsidRDefault="00C504A8" w:rsidP="00C504A8">
      <w:pPr>
        <w:spacing w:after="80"/>
        <w:rPr>
          <w:rFonts w:cs="Arial"/>
        </w:rPr>
      </w:pPr>
      <w:r w:rsidRPr="001E2783">
        <w:rPr>
          <w:rFonts w:cs="Arial"/>
        </w:rPr>
        <w:t>Key field activities included:</w:t>
      </w:r>
    </w:p>
    <w:p w14:paraId="658CB4D7" w14:textId="77777777" w:rsidR="00C504A8" w:rsidRPr="001E2783" w:rsidRDefault="00C504A8" w:rsidP="00C504A8">
      <w:pPr>
        <w:pStyle w:val="ListBullet"/>
        <w:rPr>
          <w:rFonts w:cs="Arial"/>
        </w:rPr>
      </w:pPr>
      <w:r w:rsidRPr="001E2783">
        <w:rPr>
          <w:rFonts w:cs="Arial"/>
        </w:rPr>
        <w:t>responding to complaints of interference to radiocommunications and broadcasting services across the r</w:t>
      </w:r>
      <w:r w:rsidR="005E4C73" w:rsidRPr="001E2783">
        <w:rPr>
          <w:rFonts w:cs="Arial"/>
        </w:rPr>
        <w:t>adiofrequency spectrum from 500 </w:t>
      </w:r>
      <w:r w:rsidRPr="001E2783">
        <w:rPr>
          <w:rFonts w:cs="Arial"/>
        </w:rPr>
        <w:t>kHz in the M</w:t>
      </w:r>
      <w:r w:rsidR="005E4C73" w:rsidRPr="001E2783">
        <w:rPr>
          <w:rFonts w:cs="Arial"/>
        </w:rPr>
        <w:t>F (Medium Frequency) band to 42 </w:t>
      </w:r>
      <w:r w:rsidRPr="001E2783">
        <w:rPr>
          <w:rFonts w:cs="Arial"/>
        </w:rPr>
        <w:t xml:space="preserve">GHz in the EHF </w:t>
      </w:r>
      <w:r w:rsidR="00557896" w:rsidRPr="001E2783">
        <w:rPr>
          <w:rFonts w:cs="Arial"/>
        </w:rPr>
        <w:t>(Extremely High Frequency) band</w:t>
      </w:r>
    </w:p>
    <w:p w14:paraId="62028C92" w14:textId="77777777" w:rsidR="00C504A8" w:rsidRPr="001E2783" w:rsidRDefault="00C504A8" w:rsidP="00C504A8">
      <w:pPr>
        <w:pStyle w:val="ListBullet"/>
        <w:rPr>
          <w:rFonts w:cs="Arial"/>
        </w:rPr>
      </w:pPr>
      <w:r w:rsidRPr="001E2783">
        <w:rPr>
          <w:rFonts w:cs="Arial"/>
        </w:rPr>
        <w:t xml:space="preserve">conducting investigations into non-compliance </w:t>
      </w:r>
      <w:r w:rsidR="00557896" w:rsidRPr="001E2783">
        <w:rPr>
          <w:rFonts w:cs="Arial"/>
        </w:rPr>
        <w:t>for</w:t>
      </w:r>
      <w:r w:rsidRPr="001E2783">
        <w:rPr>
          <w:rFonts w:cs="Arial"/>
        </w:rPr>
        <w:t xml:space="preserve"> radi</w:t>
      </w:r>
      <w:r w:rsidR="00557896" w:rsidRPr="001E2783">
        <w:rPr>
          <w:rFonts w:cs="Arial"/>
        </w:rPr>
        <w:t>o</w:t>
      </w:r>
      <w:r w:rsidRPr="001E2783">
        <w:rPr>
          <w:rFonts w:cs="Arial"/>
        </w:rPr>
        <w:t>communications, telecommu</w:t>
      </w:r>
      <w:r w:rsidR="00557896" w:rsidRPr="001E2783">
        <w:rPr>
          <w:rFonts w:cs="Arial"/>
        </w:rPr>
        <w:t>nications, technical regulation</w:t>
      </w:r>
      <w:r w:rsidRPr="001E2783">
        <w:rPr>
          <w:rFonts w:cs="Arial"/>
        </w:rPr>
        <w:t xml:space="preserve"> and customer cabling</w:t>
      </w:r>
    </w:p>
    <w:p w14:paraId="16D7AF88" w14:textId="77777777" w:rsidR="00C504A8" w:rsidRPr="001E2783" w:rsidRDefault="00557896" w:rsidP="00C504A8">
      <w:pPr>
        <w:pStyle w:val="ListBullet"/>
        <w:rPr>
          <w:rFonts w:cs="Arial"/>
        </w:rPr>
      </w:pPr>
      <w:r w:rsidRPr="001E2783">
        <w:rPr>
          <w:rFonts w:cs="Arial"/>
        </w:rPr>
        <w:t>undertaking pro</w:t>
      </w:r>
      <w:r w:rsidR="00C504A8" w:rsidRPr="001E2783">
        <w:rPr>
          <w:rFonts w:cs="Arial"/>
        </w:rPr>
        <w:t>active compliance activities (audits and site inspections)</w:t>
      </w:r>
    </w:p>
    <w:p w14:paraId="6B75BCDC" w14:textId="77777777" w:rsidR="00C504A8" w:rsidRPr="001E2783" w:rsidRDefault="00C504A8" w:rsidP="00C504A8">
      <w:pPr>
        <w:pStyle w:val="ListBullet"/>
        <w:rPr>
          <w:rFonts w:cs="Arial"/>
        </w:rPr>
      </w:pPr>
      <w:r w:rsidRPr="001E2783">
        <w:rPr>
          <w:rFonts w:cs="Arial"/>
        </w:rPr>
        <w:t>providing radiocommunications interference resolution support for major events (for example, the Australian Formula One Grand Prix and the Australian Motorcycle Grand Prix)</w:t>
      </w:r>
    </w:p>
    <w:p w14:paraId="1EDB3691" w14:textId="77777777" w:rsidR="00C504A8" w:rsidRPr="001E2783" w:rsidRDefault="00C504A8" w:rsidP="00C504A8">
      <w:pPr>
        <w:pStyle w:val="ListBullet"/>
        <w:spacing w:after="240"/>
        <w:rPr>
          <w:rFonts w:cs="Arial"/>
        </w:rPr>
      </w:pPr>
      <w:r w:rsidRPr="001E2783">
        <w:rPr>
          <w:rFonts w:cs="Arial"/>
        </w:rPr>
        <w:t>conducting education and awareness activities.</w:t>
      </w:r>
    </w:p>
    <w:p w14:paraId="5AC908DA" w14:textId="77777777" w:rsidR="00C504A8" w:rsidRPr="001E2783" w:rsidRDefault="00C504A8" w:rsidP="00C504A8">
      <w:pPr>
        <w:rPr>
          <w:rFonts w:cs="Arial"/>
        </w:rPr>
      </w:pPr>
      <w:r w:rsidRPr="001E2783">
        <w:rPr>
          <w:rFonts w:cs="Arial"/>
        </w:rPr>
        <w:t>T</w:t>
      </w:r>
      <w:r w:rsidR="00557896" w:rsidRPr="001E2783">
        <w:rPr>
          <w:rFonts w:cs="Arial"/>
        </w:rPr>
        <w:t>he High Frequency or HF band (3–</w:t>
      </w:r>
      <w:r w:rsidR="005E4C73" w:rsidRPr="001E2783">
        <w:rPr>
          <w:rFonts w:cs="Arial"/>
        </w:rPr>
        <w:t>30 </w:t>
      </w:r>
      <w:r w:rsidRPr="001E2783">
        <w:rPr>
          <w:rFonts w:cs="Arial"/>
        </w:rPr>
        <w:t>MHz) continues to be heavily used for aviation, broadcasting, maritime, remote area and emergency se</w:t>
      </w:r>
      <w:r w:rsidR="00557896" w:rsidRPr="001E2783">
        <w:rPr>
          <w:rFonts w:cs="Arial"/>
        </w:rPr>
        <w:t>rvices communications.</w:t>
      </w:r>
      <w:r w:rsidRPr="001E2783">
        <w:rPr>
          <w:rFonts w:cs="Arial"/>
        </w:rPr>
        <w:t xml:space="preserve"> From its station in Quoin Ridge near Hobart, the ACMA uses a national network of HF direction</w:t>
      </w:r>
      <w:r w:rsidR="00557896" w:rsidRPr="001E2783">
        <w:rPr>
          <w:rFonts w:cs="Arial"/>
        </w:rPr>
        <w:t>-</w:t>
      </w:r>
      <w:r w:rsidRPr="001E2783">
        <w:rPr>
          <w:rFonts w:cs="Arial"/>
        </w:rPr>
        <w:t>finding and monitoring antennae to identify and resolve sources o</w:t>
      </w:r>
      <w:r w:rsidR="00557896" w:rsidRPr="001E2783">
        <w:rPr>
          <w:rFonts w:cs="Arial"/>
        </w:rPr>
        <w:t xml:space="preserve">f interference in the HF band. </w:t>
      </w:r>
      <w:r w:rsidRPr="001E2783">
        <w:rPr>
          <w:rFonts w:cs="Arial"/>
        </w:rPr>
        <w:t xml:space="preserve">Often this involves cooperation with administrations in other countries because of the long distances over which transmissions can propagate in the HF band.  </w:t>
      </w:r>
    </w:p>
    <w:p w14:paraId="6D658B87" w14:textId="77777777" w:rsidR="00C504A8" w:rsidRPr="001E2783" w:rsidRDefault="00C504A8" w:rsidP="00C504A8">
      <w:pPr>
        <w:rPr>
          <w:rFonts w:cs="Arial"/>
        </w:rPr>
      </w:pPr>
    </w:p>
    <w:p w14:paraId="6BA6AF4E" w14:textId="77777777" w:rsidR="00C504A8" w:rsidRPr="001E2783" w:rsidRDefault="00C504A8" w:rsidP="00C504A8">
      <w:pPr>
        <w:rPr>
          <w:rFonts w:cs="Arial"/>
        </w:rPr>
      </w:pPr>
      <w:r w:rsidRPr="001E2783">
        <w:rPr>
          <w:rFonts w:cs="Arial"/>
        </w:rPr>
        <w:t xml:space="preserve">During the reporting period, the ACMA received 19 complaints of interference and worked with international counterparts </w:t>
      </w:r>
      <w:r w:rsidR="003065EC" w:rsidRPr="001E2783">
        <w:rPr>
          <w:rFonts w:cs="Arial"/>
        </w:rPr>
        <w:t>including</w:t>
      </w:r>
      <w:r w:rsidRPr="001E2783">
        <w:rPr>
          <w:rFonts w:cs="Arial"/>
        </w:rPr>
        <w:t xml:space="preserve"> the FCC (Federal Communications Commission) in the US and Ofcom in the UK to </w:t>
      </w:r>
      <w:r w:rsidR="00557896" w:rsidRPr="001E2783">
        <w:rPr>
          <w:rFonts w:cs="Arial"/>
        </w:rPr>
        <w:t>check</w:t>
      </w:r>
      <w:r w:rsidRPr="001E2783">
        <w:rPr>
          <w:rFonts w:cs="Arial"/>
        </w:rPr>
        <w:t xml:space="preserve"> that the HF band continues to be available for licensed services. </w:t>
      </w:r>
    </w:p>
    <w:p w14:paraId="74A02783" w14:textId="77777777" w:rsidR="00C504A8" w:rsidRPr="001E2783" w:rsidRDefault="00C504A8" w:rsidP="00C504A8">
      <w:pPr>
        <w:rPr>
          <w:rFonts w:cs="Arial"/>
        </w:rPr>
      </w:pPr>
    </w:p>
    <w:p w14:paraId="3F18C73F" w14:textId="77777777" w:rsidR="00C504A8" w:rsidRPr="001E2783" w:rsidRDefault="00C504A8" w:rsidP="00C504A8">
      <w:pPr>
        <w:rPr>
          <w:rFonts w:cs="Arial"/>
        </w:rPr>
      </w:pPr>
      <w:r w:rsidRPr="001E2783">
        <w:rPr>
          <w:rFonts w:cs="Arial"/>
        </w:rPr>
        <w:t>The ACMA also responds to complaints about interference to licensed radiocommunications services and domestic broadcast reception syste</w:t>
      </w:r>
      <w:r w:rsidR="00557896" w:rsidRPr="001E2783">
        <w:rPr>
          <w:rFonts w:cs="Arial"/>
        </w:rPr>
        <w:t xml:space="preserve">ms in higher frequency ranges. </w:t>
      </w:r>
      <w:r w:rsidRPr="001E2783">
        <w:rPr>
          <w:rFonts w:cs="Arial"/>
        </w:rPr>
        <w:t>Most complaints of interference involve either mobile communicati</w:t>
      </w:r>
      <w:r w:rsidR="005E4C73" w:rsidRPr="001E2783">
        <w:rPr>
          <w:rFonts w:cs="Arial"/>
        </w:rPr>
        <w:t>ons services operating from 118 MHz to 2.1 </w:t>
      </w:r>
      <w:r w:rsidRPr="001E2783">
        <w:rPr>
          <w:rFonts w:cs="Arial"/>
        </w:rPr>
        <w:t>GHz or broadcast servic</w:t>
      </w:r>
      <w:r w:rsidR="00557896" w:rsidRPr="001E2783">
        <w:rPr>
          <w:rFonts w:cs="Arial"/>
        </w:rPr>
        <w:t xml:space="preserve">es in the AM, FM or UHF bands. </w:t>
      </w:r>
      <w:r w:rsidRPr="001E2783">
        <w:rPr>
          <w:rFonts w:cs="Arial"/>
        </w:rPr>
        <w:t>Radiocommunications interference affects radiocommunications receivers used typically in commercial, public safety and recreational services. Domestic systems interference affects the reception of licensed radio or television broadcast services in domestic premises.</w:t>
      </w:r>
    </w:p>
    <w:p w14:paraId="34A0A310" w14:textId="77777777" w:rsidR="00C504A8" w:rsidRPr="001E2783" w:rsidRDefault="00C504A8" w:rsidP="00C504A8">
      <w:pPr>
        <w:rPr>
          <w:rFonts w:cs="Arial"/>
        </w:rPr>
      </w:pPr>
    </w:p>
    <w:p w14:paraId="119C7B3A" w14:textId="77777777" w:rsidR="00C504A8" w:rsidRPr="001E2783" w:rsidRDefault="00C504A8" w:rsidP="00C504A8">
      <w:pPr>
        <w:rPr>
          <w:rFonts w:cs="Arial"/>
        </w:rPr>
      </w:pPr>
      <w:r w:rsidRPr="001E2783">
        <w:rPr>
          <w:rFonts w:cs="Arial"/>
        </w:rPr>
        <w:t>A failure to comply with technical standards or transmitter licence conditions may result in interference to radiocommunications. To determine compliance with the regulatory framework, the ACMA regularly conducts interference tasks and site audits tasks in response to complaints and site audits on a risk-assessed basis.</w:t>
      </w:r>
    </w:p>
    <w:p w14:paraId="3B300E74" w14:textId="77777777" w:rsidR="00C504A8" w:rsidRPr="001E2783" w:rsidRDefault="00C504A8" w:rsidP="00C504A8">
      <w:pPr>
        <w:rPr>
          <w:rFonts w:cs="Arial"/>
        </w:rPr>
      </w:pPr>
    </w:p>
    <w:p w14:paraId="3DA73C53" w14:textId="77777777" w:rsidR="00C504A8" w:rsidRPr="001E2783" w:rsidRDefault="00C504A8" w:rsidP="00C504A8">
      <w:pPr>
        <w:rPr>
          <w:rFonts w:cs="Arial"/>
        </w:rPr>
      </w:pPr>
      <w:r w:rsidRPr="001E2783">
        <w:rPr>
          <w:rFonts w:cs="Arial"/>
        </w:rPr>
        <w:t xml:space="preserve">During the reporting period, the ACMA responded to </w:t>
      </w:r>
      <w:r w:rsidR="0032779A" w:rsidRPr="001E2783">
        <w:rPr>
          <w:rFonts w:cs="Arial"/>
        </w:rPr>
        <w:t xml:space="preserve">398 </w:t>
      </w:r>
      <w:r w:rsidRPr="001E2783">
        <w:rPr>
          <w:rFonts w:cs="Arial"/>
        </w:rPr>
        <w:t xml:space="preserve">complaints of interference to radiocommunications services (518 in 2012–13) and </w:t>
      </w:r>
      <w:r w:rsidR="0032779A" w:rsidRPr="001E2783">
        <w:rPr>
          <w:rFonts w:cs="Arial"/>
        </w:rPr>
        <w:t xml:space="preserve">663 </w:t>
      </w:r>
      <w:r w:rsidRPr="001E2783">
        <w:rPr>
          <w:rFonts w:cs="Arial"/>
        </w:rPr>
        <w:t xml:space="preserve">complaints of interference to domestic radio and television broadcast reception (413 in 2012–13). The ACMA also inspected </w:t>
      </w:r>
      <w:r w:rsidR="0032779A" w:rsidRPr="001E2783">
        <w:rPr>
          <w:rFonts w:cs="Arial"/>
        </w:rPr>
        <w:t xml:space="preserve">278 </w:t>
      </w:r>
      <w:r w:rsidRPr="001E2783">
        <w:rPr>
          <w:rFonts w:cs="Arial"/>
        </w:rPr>
        <w:t xml:space="preserve">radiocommunications sites for compliance with transmitter licence conditions (770 in 2012–13). </w:t>
      </w:r>
    </w:p>
    <w:p w14:paraId="53C2213B" w14:textId="77777777" w:rsidR="00C504A8" w:rsidRPr="001E2783" w:rsidRDefault="00C504A8" w:rsidP="00C504A8">
      <w:pPr>
        <w:rPr>
          <w:rFonts w:cs="Arial"/>
        </w:rPr>
      </w:pPr>
    </w:p>
    <w:p w14:paraId="5981AF8C" w14:textId="77777777" w:rsidR="00E27AFA" w:rsidRPr="001E2783" w:rsidRDefault="00C504A8" w:rsidP="00970328">
      <w:pPr>
        <w:spacing w:after="240"/>
        <w:rPr>
          <w:rFonts w:cs="Arial"/>
        </w:rPr>
      </w:pPr>
      <w:r w:rsidRPr="001E2783">
        <w:rPr>
          <w:rFonts w:cs="Arial"/>
        </w:rPr>
        <w:t xml:space="preserve">As a result of interference investigations and site inspection activities, the ACMA issued </w:t>
      </w:r>
      <w:r w:rsidR="0032779A" w:rsidRPr="001E2783">
        <w:rPr>
          <w:rFonts w:cs="Arial"/>
        </w:rPr>
        <w:t xml:space="preserve">358 </w:t>
      </w:r>
      <w:r w:rsidRPr="001E2783">
        <w:rPr>
          <w:rFonts w:cs="Arial"/>
        </w:rPr>
        <w:t>advice and warning notices (see</w:t>
      </w:r>
      <w:r w:rsidR="005E4C73" w:rsidRPr="001E2783">
        <w:rPr>
          <w:rFonts w:cs="Arial"/>
        </w:rPr>
        <w:t xml:space="preserve"> Table </w:t>
      </w:r>
      <w:r w:rsidRPr="001E2783">
        <w:rPr>
          <w:rFonts w:cs="Arial"/>
        </w:rPr>
        <w:t>2</w:t>
      </w:r>
      <w:r w:rsidR="00B30D9A" w:rsidRPr="001E2783">
        <w:rPr>
          <w:rFonts w:cs="Arial"/>
        </w:rPr>
        <w:t>5</w:t>
      </w:r>
      <w:r w:rsidRPr="001E2783">
        <w:rPr>
          <w:rFonts w:cs="Arial"/>
        </w:rPr>
        <w:t>).</w:t>
      </w: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099FA66B" w14:textId="77777777" w:rsidTr="00C902FF">
        <w:trPr>
          <w:trHeight w:val="570"/>
        </w:trPr>
        <w:tc>
          <w:tcPr>
            <w:tcW w:w="9645" w:type="dxa"/>
            <w:tcBorders>
              <w:top w:val="single" w:sz="2" w:space="0" w:color="505050"/>
            </w:tcBorders>
            <w:shd w:val="clear" w:color="auto" w:fill="auto"/>
            <w:vAlign w:val="center"/>
          </w:tcPr>
          <w:p w14:paraId="113717FB" w14:textId="77777777" w:rsidR="00CC119D" w:rsidRPr="001E2783" w:rsidRDefault="00CC119D" w:rsidP="00A80800">
            <w:pPr>
              <w:pStyle w:val="Caption"/>
              <w:keepNext/>
              <w:keepLines/>
              <w:rPr>
                <w:rFonts w:ascii="Arial" w:hAnsi="Arial" w:cs="Arial"/>
                <w:color w:val="auto"/>
              </w:rPr>
            </w:pPr>
            <w:r w:rsidRPr="00D3485F">
              <w:rPr>
                <w:rFonts w:ascii="Arial" w:hAnsi="Arial" w:cs="Arial"/>
              </w:rPr>
              <w:t xml:space="preserve">Table </w:t>
            </w:r>
            <w:r w:rsidR="00257A0C" w:rsidRPr="00D3485F">
              <w:rPr>
                <w:rFonts w:ascii="Arial" w:hAnsi="Arial" w:cs="Arial"/>
              </w:rPr>
              <w:t>2</w:t>
            </w:r>
            <w:r w:rsidR="00B30D9A" w:rsidRPr="00D3485F">
              <w:rPr>
                <w:rFonts w:ascii="Arial" w:hAnsi="Arial" w:cs="Arial"/>
              </w:rPr>
              <w:t>5</w:t>
            </w:r>
            <w:r w:rsidRPr="00D3485F">
              <w:rPr>
                <w:rFonts w:ascii="Arial" w:hAnsi="Arial" w:cs="Arial"/>
              </w:rPr>
              <w:t>: Radiocommunications enfor</w:t>
            </w:r>
            <w:r w:rsidR="009A3C8F" w:rsidRPr="00D3485F">
              <w:rPr>
                <w:rFonts w:ascii="Arial" w:hAnsi="Arial" w:cs="Arial"/>
              </w:rPr>
              <w:t xml:space="preserve">cement actions, </w:t>
            </w:r>
            <w:r w:rsidR="00C504A8" w:rsidRPr="00D3485F">
              <w:rPr>
                <w:rFonts w:ascii="Arial" w:hAnsi="Arial" w:cs="Arial"/>
              </w:rPr>
              <w:t>2012–13 and 2013</w:t>
            </w:r>
            <w:r w:rsidR="009A3C8F" w:rsidRPr="00D3485F">
              <w:rPr>
                <w:rFonts w:ascii="Arial" w:hAnsi="Arial" w:cs="Arial"/>
              </w:rPr>
              <w:t>–1</w:t>
            </w:r>
            <w:r w:rsidR="00C504A8" w:rsidRPr="00D3485F">
              <w:rPr>
                <w:rFonts w:ascii="Arial" w:hAnsi="Arial" w:cs="Arial"/>
              </w:rPr>
              <w:t>4</w:t>
            </w:r>
          </w:p>
        </w:tc>
      </w:tr>
      <w:tr w:rsidR="001E2783" w:rsidRPr="001E2783" w14:paraId="6CB7AC9D" w14:textId="77777777" w:rsidTr="00C902FF">
        <w:trPr>
          <w:trHeight w:val="1437"/>
        </w:trPr>
        <w:tc>
          <w:tcPr>
            <w:tcW w:w="9645" w:type="dxa"/>
            <w:shd w:val="clear" w:color="auto" w:fill="auto"/>
            <w:tcMar>
              <w:left w:w="28" w:type="dxa"/>
            </w:tcMar>
          </w:tcPr>
          <w:tbl>
            <w:tblPr>
              <w:tblW w:w="9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69"/>
              <w:gridCol w:w="2032"/>
              <w:gridCol w:w="2032"/>
              <w:gridCol w:w="2032"/>
            </w:tblGrid>
            <w:tr w:rsidR="001E2783" w:rsidRPr="001E2783" w14:paraId="45D4AFB5" w14:textId="2CAD01B7" w:rsidTr="008C2249">
              <w:trPr>
                <w:trHeight w:val="240"/>
              </w:trPr>
              <w:tc>
                <w:tcPr>
                  <w:tcW w:w="3369" w:type="dxa"/>
                  <w:vMerge w:val="restart"/>
                  <w:shd w:val="clear" w:color="auto" w:fill="404040" w:themeFill="text1" w:themeFillTint="BF"/>
                  <w:tcMar>
                    <w:top w:w="57" w:type="dxa"/>
                    <w:left w:w="57" w:type="dxa"/>
                    <w:bottom w:w="57" w:type="dxa"/>
                    <w:right w:w="57" w:type="dxa"/>
                  </w:tcMar>
                  <w:vAlign w:val="center"/>
                </w:tcPr>
                <w:p w14:paraId="4CC00D1E" w14:textId="77777777" w:rsidR="00B74978" w:rsidRPr="000544EA" w:rsidRDefault="00B74978" w:rsidP="00557896">
                  <w:pPr>
                    <w:pStyle w:val="TableHeading"/>
                    <w:rPr>
                      <w:rFonts w:ascii="Arial" w:hAnsi="Arial" w:cs="Arial"/>
                      <w:color w:val="FFFFFF" w:themeColor="background1"/>
                    </w:rPr>
                  </w:pPr>
                  <w:r w:rsidRPr="000544EA">
                    <w:rPr>
                      <w:rFonts w:ascii="Arial" w:hAnsi="Arial" w:cs="Arial"/>
                      <w:color w:val="FFFFFF" w:themeColor="background1"/>
                    </w:rPr>
                    <w:t>Action type</w:t>
                  </w:r>
                </w:p>
              </w:tc>
              <w:tc>
                <w:tcPr>
                  <w:tcW w:w="6096" w:type="dxa"/>
                  <w:gridSpan w:val="3"/>
                  <w:shd w:val="clear" w:color="auto" w:fill="404040" w:themeFill="text1" w:themeFillTint="BF"/>
                  <w:tcMar>
                    <w:top w:w="57" w:type="dxa"/>
                    <w:left w:w="57" w:type="dxa"/>
                    <w:bottom w:w="57" w:type="dxa"/>
                    <w:right w:w="57" w:type="dxa"/>
                  </w:tcMar>
                </w:tcPr>
                <w:p w14:paraId="0427A2B9" w14:textId="7577534A" w:rsidR="00B74978" w:rsidRPr="000544EA" w:rsidRDefault="00B74978" w:rsidP="00557896">
                  <w:pPr>
                    <w:pStyle w:val="TableHeading"/>
                    <w:jc w:val="center"/>
                    <w:rPr>
                      <w:rFonts w:ascii="Arial" w:hAnsi="Arial" w:cs="Arial"/>
                      <w:color w:val="FFFFFF" w:themeColor="background1"/>
                    </w:rPr>
                  </w:pPr>
                  <w:r w:rsidRPr="000544EA">
                    <w:rPr>
                      <w:rFonts w:ascii="Arial" w:hAnsi="Arial" w:cs="Arial"/>
                      <w:color w:val="FFFFFF" w:themeColor="background1"/>
                    </w:rPr>
                    <w:t>Number of actions</w:t>
                  </w:r>
                </w:p>
              </w:tc>
            </w:tr>
            <w:tr w:rsidR="001E2783" w:rsidRPr="001E2783" w14:paraId="4FD1C10F" w14:textId="7F9A537E" w:rsidTr="00B74978">
              <w:trPr>
                <w:trHeight w:val="240"/>
              </w:trPr>
              <w:tc>
                <w:tcPr>
                  <w:tcW w:w="3369" w:type="dxa"/>
                  <w:vMerge/>
                  <w:shd w:val="clear" w:color="auto" w:fill="404040" w:themeFill="text1" w:themeFillTint="BF"/>
                  <w:tcMar>
                    <w:top w:w="57" w:type="dxa"/>
                    <w:left w:w="57" w:type="dxa"/>
                    <w:bottom w:w="57" w:type="dxa"/>
                    <w:right w:w="57" w:type="dxa"/>
                  </w:tcMar>
                </w:tcPr>
                <w:p w14:paraId="0B658EFF" w14:textId="77777777" w:rsidR="00B74978" w:rsidRPr="000544EA" w:rsidRDefault="00B74978" w:rsidP="00B74978">
                  <w:pPr>
                    <w:pStyle w:val="TableHeading"/>
                    <w:rPr>
                      <w:rFonts w:ascii="Arial" w:hAnsi="Arial" w:cs="Arial"/>
                      <w:color w:val="FFFFFF" w:themeColor="background1"/>
                    </w:rPr>
                  </w:pPr>
                </w:p>
              </w:tc>
              <w:tc>
                <w:tcPr>
                  <w:tcW w:w="2032" w:type="dxa"/>
                  <w:shd w:val="clear" w:color="auto" w:fill="404040" w:themeFill="text1" w:themeFillTint="BF"/>
                  <w:tcMar>
                    <w:top w:w="57" w:type="dxa"/>
                    <w:left w:w="57" w:type="dxa"/>
                    <w:bottom w:w="57" w:type="dxa"/>
                    <w:right w:w="57" w:type="dxa"/>
                  </w:tcMar>
                </w:tcPr>
                <w:p w14:paraId="522B70C0" w14:textId="477C34F1" w:rsidR="00B74978" w:rsidRPr="000544EA" w:rsidRDefault="00B74978" w:rsidP="00970328">
                  <w:pPr>
                    <w:pStyle w:val="TableHeading"/>
                    <w:jc w:val="right"/>
                    <w:rPr>
                      <w:rFonts w:ascii="Arial" w:hAnsi="Arial" w:cs="Arial"/>
                      <w:color w:val="FFFFFF" w:themeColor="background1"/>
                    </w:rPr>
                  </w:pPr>
                  <w:r w:rsidRPr="000544EA">
                    <w:rPr>
                      <w:rFonts w:ascii="Arial" w:hAnsi="Arial" w:cs="Arial"/>
                      <w:color w:val="FFFFFF" w:themeColor="background1"/>
                    </w:rPr>
                    <w:t>2011–12</w:t>
                  </w:r>
                </w:p>
              </w:tc>
              <w:tc>
                <w:tcPr>
                  <w:tcW w:w="2032" w:type="dxa"/>
                  <w:shd w:val="clear" w:color="auto" w:fill="404040" w:themeFill="text1" w:themeFillTint="BF"/>
                  <w:tcMar>
                    <w:top w:w="57" w:type="dxa"/>
                    <w:left w:w="57" w:type="dxa"/>
                    <w:bottom w:w="57" w:type="dxa"/>
                    <w:right w:w="57" w:type="dxa"/>
                  </w:tcMar>
                </w:tcPr>
                <w:p w14:paraId="679164B7" w14:textId="7ED0BB78" w:rsidR="00B74978" w:rsidRPr="000544EA" w:rsidRDefault="00B74978" w:rsidP="00970328">
                  <w:pPr>
                    <w:pStyle w:val="TableHeading"/>
                    <w:jc w:val="right"/>
                    <w:rPr>
                      <w:rFonts w:ascii="Arial" w:hAnsi="Arial" w:cs="Arial"/>
                      <w:color w:val="FFFFFF" w:themeColor="background1"/>
                    </w:rPr>
                  </w:pPr>
                  <w:r w:rsidRPr="000544EA">
                    <w:rPr>
                      <w:rFonts w:ascii="Arial" w:hAnsi="Arial" w:cs="Arial"/>
                      <w:color w:val="FFFFFF" w:themeColor="background1"/>
                    </w:rPr>
                    <w:t>2012–13</w:t>
                  </w:r>
                </w:p>
              </w:tc>
              <w:tc>
                <w:tcPr>
                  <w:tcW w:w="2032" w:type="dxa"/>
                  <w:shd w:val="clear" w:color="auto" w:fill="404040" w:themeFill="text1" w:themeFillTint="BF"/>
                </w:tcPr>
                <w:p w14:paraId="5E820321" w14:textId="5549269F" w:rsidR="00B74978" w:rsidRPr="000544EA" w:rsidRDefault="00B74978" w:rsidP="00970328">
                  <w:pPr>
                    <w:pStyle w:val="TableHeading"/>
                    <w:jc w:val="right"/>
                    <w:rPr>
                      <w:rFonts w:ascii="Arial" w:hAnsi="Arial" w:cs="Arial"/>
                      <w:color w:val="FFFFFF" w:themeColor="background1"/>
                    </w:rPr>
                  </w:pPr>
                  <w:r w:rsidRPr="000544EA">
                    <w:rPr>
                      <w:rFonts w:ascii="Arial" w:hAnsi="Arial" w:cs="Arial"/>
                      <w:color w:val="FFFFFF" w:themeColor="background1"/>
                    </w:rPr>
                    <w:t>2013–14</w:t>
                  </w:r>
                </w:p>
              </w:tc>
            </w:tr>
            <w:tr w:rsidR="001E2783" w:rsidRPr="001E2783" w14:paraId="259D3B6A" w14:textId="3CBEFAA8" w:rsidTr="00B74978">
              <w:trPr>
                <w:trHeight w:val="215"/>
              </w:trPr>
              <w:tc>
                <w:tcPr>
                  <w:tcW w:w="3369" w:type="dxa"/>
                  <w:tcMar>
                    <w:top w:w="57" w:type="dxa"/>
                    <w:left w:w="57" w:type="dxa"/>
                    <w:bottom w:w="57" w:type="dxa"/>
                    <w:right w:w="57" w:type="dxa"/>
                  </w:tcMar>
                </w:tcPr>
                <w:p w14:paraId="3CE82A9A" w14:textId="77777777" w:rsidR="00B74978" w:rsidRPr="001E2783" w:rsidRDefault="00B74978" w:rsidP="00B74978">
                  <w:pPr>
                    <w:pStyle w:val="TableTextLeft"/>
                    <w:rPr>
                      <w:rFonts w:cs="Arial"/>
                      <w:sz w:val="20"/>
                    </w:rPr>
                  </w:pPr>
                  <w:r w:rsidRPr="001E2783">
                    <w:rPr>
                      <w:rFonts w:cs="Arial"/>
                      <w:sz w:val="20"/>
                    </w:rPr>
                    <w:t>Advice notices issued</w:t>
                  </w:r>
                </w:p>
              </w:tc>
              <w:tc>
                <w:tcPr>
                  <w:tcW w:w="2032" w:type="dxa"/>
                  <w:tcMar>
                    <w:top w:w="57" w:type="dxa"/>
                    <w:left w:w="57" w:type="dxa"/>
                    <w:bottom w:w="57" w:type="dxa"/>
                    <w:right w:w="57" w:type="dxa"/>
                  </w:tcMar>
                </w:tcPr>
                <w:p w14:paraId="31B71ABB" w14:textId="0307DB65" w:rsidR="00B74978" w:rsidRPr="001E2783" w:rsidDel="00244D03" w:rsidRDefault="00B74978" w:rsidP="00970328">
                  <w:pPr>
                    <w:pStyle w:val="TableTextLeft"/>
                    <w:jc w:val="right"/>
                    <w:rPr>
                      <w:rFonts w:cs="Arial"/>
                      <w:sz w:val="20"/>
                    </w:rPr>
                  </w:pPr>
                  <w:r w:rsidRPr="001E2783">
                    <w:rPr>
                      <w:rFonts w:cs="Arial"/>
                      <w:sz w:val="20"/>
                    </w:rPr>
                    <w:t>250</w:t>
                  </w:r>
                </w:p>
              </w:tc>
              <w:tc>
                <w:tcPr>
                  <w:tcW w:w="2032" w:type="dxa"/>
                  <w:tcMar>
                    <w:top w:w="57" w:type="dxa"/>
                    <w:left w:w="57" w:type="dxa"/>
                    <w:bottom w:w="57" w:type="dxa"/>
                    <w:right w:w="57" w:type="dxa"/>
                  </w:tcMar>
                </w:tcPr>
                <w:p w14:paraId="58894808" w14:textId="28B4E70D" w:rsidR="00B74978" w:rsidRPr="001E2783" w:rsidRDefault="00B74978" w:rsidP="00970328">
                  <w:pPr>
                    <w:pStyle w:val="TableTextLeft"/>
                    <w:jc w:val="right"/>
                    <w:rPr>
                      <w:rFonts w:cs="Arial"/>
                      <w:sz w:val="20"/>
                    </w:rPr>
                  </w:pPr>
                  <w:r w:rsidRPr="001E2783">
                    <w:rPr>
                      <w:rFonts w:cs="Arial"/>
                      <w:sz w:val="20"/>
                    </w:rPr>
                    <w:t>206</w:t>
                  </w:r>
                </w:p>
              </w:tc>
              <w:tc>
                <w:tcPr>
                  <w:tcW w:w="2032" w:type="dxa"/>
                </w:tcPr>
                <w:p w14:paraId="05A2C791" w14:textId="725B78E7" w:rsidR="00B74978" w:rsidRPr="001E2783" w:rsidRDefault="00B74978" w:rsidP="00970328">
                  <w:pPr>
                    <w:pStyle w:val="TableTextLeft"/>
                    <w:jc w:val="right"/>
                    <w:rPr>
                      <w:rFonts w:cs="Arial"/>
                      <w:sz w:val="20"/>
                    </w:rPr>
                  </w:pPr>
                  <w:r w:rsidRPr="001E2783">
                    <w:rPr>
                      <w:rFonts w:cs="Arial"/>
                      <w:sz w:val="20"/>
                    </w:rPr>
                    <w:t>138</w:t>
                  </w:r>
                </w:p>
              </w:tc>
            </w:tr>
            <w:tr w:rsidR="001E2783" w:rsidRPr="001E2783" w14:paraId="43301779" w14:textId="50CEB28F" w:rsidTr="00B74978">
              <w:trPr>
                <w:trHeight w:val="279"/>
              </w:trPr>
              <w:tc>
                <w:tcPr>
                  <w:tcW w:w="3369" w:type="dxa"/>
                  <w:tcMar>
                    <w:top w:w="57" w:type="dxa"/>
                    <w:left w:w="57" w:type="dxa"/>
                    <w:bottom w:w="57" w:type="dxa"/>
                    <w:right w:w="57" w:type="dxa"/>
                  </w:tcMar>
                </w:tcPr>
                <w:p w14:paraId="1BFD298D" w14:textId="77777777" w:rsidR="00B74978" w:rsidRPr="001E2783" w:rsidRDefault="00B74978" w:rsidP="00B74978">
                  <w:pPr>
                    <w:pStyle w:val="TableTextLeft"/>
                    <w:rPr>
                      <w:rFonts w:cs="Arial"/>
                      <w:sz w:val="20"/>
                    </w:rPr>
                  </w:pPr>
                  <w:r w:rsidRPr="001E2783">
                    <w:rPr>
                      <w:rFonts w:cs="Arial"/>
                      <w:sz w:val="20"/>
                    </w:rPr>
                    <w:t>Warning notices issued</w:t>
                  </w:r>
                </w:p>
              </w:tc>
              <w:tc>
                <w:tcPr>
                  <w:tcW w:w="2032" w:type="dxa"/>
                  <w:tcMar>
                    <w:top w:w="57" w:type="dxa"/>
                    <w:left w:w="57" w:type="dxa"/>
                    <w:bottom w:w="57" w:type="dxa"/>
                    <w:right w:w="57" w:type="dxa"/>
                  </w:tcMar>
                </w:tcPr>
                <w:p w14:paraId="5A2FCA1B" w14:textId="5F785D00" w:rsidR="00B74978" w:rsidRPr="001E2783" w:rsidDel="00244D03" w:rsidRDefault="00B74978" w:rsidP="00970328">
                  <w:pPr>
                    <w:pStyle w:val="TableTextLeft"/>
                    <w:jc w:val="right"/>
                    <w:rPr>
                      <w:rFonts w:cs="Arial"/>
                      <w:sz w:val="20"/>
                    </w:rPr>
                  </w:pPr>
                  <w:r w:rsidRPr="001E2783">
                    <w:rPr>
                      <w:rFonts w:cs="Arial"/>
                      <w:sz w:val="20"/>
                    </w:rPr>
                    <w:t>67</w:t>
                  </w:r>
                </w:p>
              </w:tc>
              <w:tc>
                <w:tcPr>
                  <w:tcW w:w="2032" w:type="dxa"/>
                  <w:tcMar>
                    <w:top w:w="57" w:type="dxa"/>
                    <w:left w:w="57" w:type="dxa"/>
                    <w:bottom w:w="57" w:type="dxa"/>
                    <w:right w:w="57" w:type="dxa"/>
                  </w:tcMar>
                </w:tcPr>
                <w:p w14:paraId="76695D60" w14:textId="3F10AC53" w:rsidR="00B74978" w:rsidRPr="001E2783" w:rsidRDefault="00B74978" w:rsidP="00970328">
                  <w:pPr>
                    <w:pStyle w:val="TableTextLeft"/>
                    <w:jc w:val="right"/>
                    <w:rPr>
                      <w:rFonts w:cs="Arial"/>
                      <w:sz w:val="20"/>
                    </w:rPr>
                  </w:pPr>
                  <w:r w:rsidRPr="001E2783">
                    <w:rPr>
                      <w:rFonts w:cs="Arial"/>
                      <w:sz w:val="20"/>
                    </w:rPr>
                    <w:t>171</w:t>
                  </w:r>
                </w:p>
              </w:tc>
              <w:tc>
                <w:tcPr>
                  <w:tcW w:w="2032" w:type="dxa"/>
                </w:tcPr>
                <w:p w14:paraId="24A4EA39" w14:textId="3A3A1946" w:rsidR="00B74978" w:rsidRPr="001E2783" w:rsidRDefault="00B74978" w:rsidP="00970328">
                  <w:pPr>
                    <w:pStyle w:val="TableTextLeft"/>
                    <w:jc w:val="right"/>
                    <w:rPr>
                      <w:rFonts w:cs="Arial"/>
                      <w:sz w:val="20"/>
                    </w:rPr>
                  </w:pPr>
                  <w:r w:rsidRPr="001E2783">
                    <w:rPr>
                      <w:rFonts w:cs="Arial"/>
                      <w:sz w:val="20"/>
                    </w:rPr>
                    <w:t>220</w:t>
                  </w:r>
                </w:p>
              </w:tc>
            </w:tr>
            <w:tr w:rsidR="001E2783" w:rsidRPr="001E2783" w14:paraId="2A1CFCA1" w14:textId="65BA511D" w:rsidTr="00B74978">
              <w:trPr>
                <w:trHeight w:val="329"/>
              </w:trPr>
              <w:tc>
                <w:tcPr>
                  <w:tcW w:w="3369" w:type="dxa"/>
                  <w:tcMar>
                    <w:top w:w="57" w:type="dxa"/>
                    <w:left w:w="57" w:type="dxa"/>
                    <w:bottom w:w="57" w:type="dxa"/>
                    <w:right w:w="57" w:type="dxa"/>
                  </w:tcMar>
                </w:tcPr>
                <w:p w14:paraId="27015081" w14:textId="77777777" w:rsidR="00B74978" w:rsidRPr="001E2783" w:rsidRDefault="00B74978" w:rsidP="00B74978">
                  <w:pPr>
                    <w:pStyle w:val="TableTextLeft"/>
                    <w:rPr>
                      <w:rFonts w:cs="Arial"/>
                      <w:b/>
                      <w:sz w:val="20"/>
                    </w:rPr>
                  </w:pPr>
                  <w:r w:rsidRPr="001E2783">
                    <w:rPr>
                      <w:rFonts w:cs="Arial"/>
                      <w:b/>
                      <w:sz w:val="20"/>
                    </w:rPr>
                    <w:t>Total</w:t>
                  </w:r>
                </w:p>
              </w:tc>
              <w:tc>
                <w:tcPr>
                  <w:tcW w:w="2032" w:type="dxa"/>
                  <w:tcMar>
                    <w:top w:w="57" w:type="dxa"/>
                    <w:left w:w="57" w:type="dxa"/>
                    <w:bottom w:w="57" w:type="dxa"/>
                    <w:right w:w="57" w:type="dxa"/>
                  </w:tcMar>
                </w:tcPr>
                <w:p w14:paraId="787A2CA4" w14:textId="7725794F" w:rsidR="00B74978" w:rsidRPr="001E2783" w:rsidRDefault="00B74978" w:rsidP="00970328">
                  <w:pPr>
                    <w:pStyle w:val="TableTextLeft"/>
                    <w:jc w:val="right"/>
                    <w:rPr>
                      <w:rFonts w:cs="Arial"/>
                      <w:b/>
                      <w:sz w:val="20"/>
                    </w:rPr>
                  </w:pPr>
                  <w:r w:rsidRPr="001E2783">
                    <w:rPr>
                      <w:rFonts w:cs="Arial"/>
                      <w:b/>
                      <w:sz w:val="20"/>
                    </w:rPr>
                    <w:t>317</w:t>
                  </w:r>
                </w:p>
              </w:tc>
              <w:tc>
                <w:tcPr>
                  <w:tcW w:w="2032" w:type="dxa"/>
                  <w:tcMar>
                    <w:top w:w="57" w:type="dxa"/>
                    <w:left w:w="57" w:type="dxa"/>
                    <w:bottom w:w="57" w:type="dxa"/>
                    <w:right w:w="57" w:type="dxa"/>
                  </w:tcMar>
                </w:tcPr>
                <w:p w14:paraId="020F903C" w14:textId="7DAFB461" w:rsidR="00B74978" w:rsidRPr="001E2783" w:rsidRDefault="00B74978" w:rsidP="00970328">
                  <w:pPr>
                    <w:pStyle w:val="TableTextLeft"/>
                    <w:jc w:val="right"/>
                    <w:rPr>
                      <w:rFonts w:cs="Arial"/>
                      <w:b/>
                      <w:sz w:val="20"/>
                    </w:rPr>
                  </w:pPr>
                  <w:r w:rsidRPr="001E2783">
                    <w:rPr>
                      <w:rFonts w:cs="Arial"/>
                      <w:b/>
                      <w:sz w:val="20"/>
                    </w:rPr>
                    <w:t>377</w:t>
                  </w:r>
                </w:p>
              </w:tc>
              <w:tc>
                <w:tcPr>
                  <w:tcW w:w="2032" w:type="dxa"/>
                </w:tcPr>
                <w:p w14:paraId="37C6BF85" w14:textId="61E866DF" w:rsidR="00B74978" w:rsidRPr="001E2783" w:rsidRDefault="00B74978" w:rsidP="00970328">
                  <w:pPr>
                    <w:pStyle w:val="TableTextLeft"/>
                    <w:jc w:val="right"/>
                    <w:rPr>
                      <w:rFonts w:cs="Arial"/>
                      <w:b/>
                      <w:sz w:val="20"/>
                    </w:rPr>
                  </w:pPr>
                  <w:r w:rsidRPr="001E2783">
                    <w:rPr>
                      <w:rFonts w:cs="Arial"/>
                      <w:b/>
                      <w:sz w:val="20"/>
                    </w:rPr>
                    <w:t>358</w:t>
                  </w:r>
                </w:p>
              </w:tc>
            </w:tr>
          </w:tbl>
          <w:p w14:paraId="35147420" w14:textId="77777777" w:rsidR="00CC119D" w:rsidRPr="001E2783" w:rsidRDefault="00CC119D" w:rsidP="00C902FF">
            <w:pPr>
              <w:ind w:left="720"/>
              <w:rPr>
                <w:rFonts w:cs="Arial"/>
              </w:rPr>
            </w:pPr>
          </w:p>
        </w:tc>
      </w:tr>
      <w:tr w:rsidR="00CC119D" w:rsidRPr="001E2783" w14:paraId="2CC2567B" w14:textId="77777777" w:rsidTr="00C902FF">
        <w:trPr>
          <w:trHeight w:val="109"/>
        </w:trPr>
        <w:tc>
          <w:tcPr>
            <w:tcW w:w="9645" w:type="dxa"/>
            <w:tcBorders>
              <w:bottom w:val="single" w:sz="2" w:space="0" w:color="505050"/>
            </w:tcBorders>
            <w:shd w:val="clear" w:color="auto" w:fill="auto"/>
          </w:tcPr>
          <w:p w14:paraId="5D65FDB1" w14:textId="77777777" w:rsidR="00CC119D" w:rsidRPr="001E2783" w:rsidRDefault="00CC119D" w:rsidP="00C902FF">
            <w:pPr>
              <w:ind w:left="720"/>
              <w:rPr>
                <w:rFonts w:cs="Arial"/>
              </w:rPr>
            </w:pPr>
          </w:p>
        </w:tc>
      </w:tr>
    </w:tbl>
    <w:p w14:paraId="367C64BB" w14:textId="77777777" w:rsidR="00CC119D" w:rsidRPr="001E2783" w:rsidRDefault="00CC119D" w:rsidP="00CC119D">
      <w:pPr>
        <w:rPr>
          <w:rFonts w:cs="Arial"/>
        </w:rPr>
      </w:pPr>
    </w:p>
    <w:p w14:paraId="5D312EAD" w14:textId="77777777" w:rsidR="00CC119D" w:rsidRPr="001E2783" w:rsidRDefault="00C504A8" w:rsidP="00CC119D">
      <w:pPr>
        <w:rPr>
          <w:rFonts w:cs="Arial"/>
        </w:rPr>
      </w:pPr>
      <w:r w:rsidRPr="001E2783">
        <w:rPr>
          <w:rFonts w:cs="Arial"/>
        </w:rPr>
        <w:t xml:space="preserve">Of the </w:t>
      </w:r>
      <w:r w:rsidR="0032779A" w:rsidRPr="001E2783">
        <w:rPr>
          <w:rFonts w:cs="Arial"/>
        </w:rPr>
        <w:t xml:space="preserve">398 </w:t>
      </w:r>
      <w:r w:rsidRPr="001E2783">
        <w:rPr>
          <w:rFonts w:cs="Arial"/>
        </w:rPr>
        <w:t xml:space="preserve">complaints of interference to radiocommunications services, </w:t>
      </w:r>
      <w:r w:rsidR="0032779A" w:rsidRPr="001E2783">
        <w:rPr>
          <w:rFonts w:cs="Arial"/>
        </w:rPr>
        <w:t xml:space="preserve">236 </w:t>
      </w:r>
      <w:r w:rsidRPr="001E2783">
        <w:rPr>
          <w:rFonts w:cs="Arial"/>
        </w:rPr>
        <w:t xml:space="preserve">were about mobile telecommunications networks (322 in 2012–13). A further </w:t>
      </w:r>
      <w:r w:rsidR="0032779A" w:rsidRPr="001E2783">
        <w:rPr>
          <w:rFonts w:cs="Arial"/>
        </w:rPr>
        <w:t xml:space="preserve">22 </w:t>
      </w:r>
      <w:r w:rsidRPr="001E2783">
        <w:rPr>
          <w:rFonts w:cs="Arial"/>
        </w:rPr>
        <w:t xml:space="preserve">radiocommunications complaints involved interference to public protection radio services, including to emergency services radio networks and air traffic communications (37 in 2012–13). The ACMA responded to all radiocommunications interference complaints related to safety-of-life issues immediately on receipt. Of the public protection complaints that were affected by external interference, the ACMA resolved </w:t>
      </w:r>
      <w:r w:rsidR="005E4C73" w:rsidRPr="001E2783">
        <w:rPr>
          <w:rFonts w:cs="Arial"/>
        </w:rPr>
        <w:t>83 </w:t>
      </w:r>
      <w:r w:rsidRPr="001E2783">
        <w:rPr>
          <w:rFonts w:cs="Arial"/>
        </w:rPr>
        <w:t xml:space="preserve">per cent within 10 days. The ACMA also located </w:t>
      </w:r>
      <w:r w:rsidR="0032779A" w:rsidRPr="001E2783">
        <w:rPr>
          <w:rFonts w:cs="Arial"/>
        </w:rPr>
        <w:t xml:space="preserve">16 </w:t>
      </w:r>
      <w:r w:rsidRPr="001E2783">
        <w:rPr>
          <w:rFonts w:cs="Arial"/>
        </w:rPr>
        <w:t>inappropriately activated Emergency Position Indicating Radio Beacons (18 in 2012–13).</w:t>
      </w:r>
    </w:p>
    <w:p w14:paraId="42D88D65" w14:textId="77777777" w:rsidR="00C504A8" w:rsidRPr="001E2783" w:rsidRDefault="00C504A8" w:rsidP="00CC119D">
      <w:pPr>
        <w:rPr>
          <w:rFonts w:cs="Arial"/>
        </w:rPr>
      </w:pPr>
    </w:p>
    <w:p w14:paraId="08B540C6" w14:textId="77777777" w:rsidR="00C504A8" w:rsidRPr="001E2783" w:rsidRDefault="00C504A8" w:rsidP="00C504A8">
      <w:pPr>
        <w:pStyle w:val="BodysubheaderH4"/>
        <w:rPr>
          <w:rFonts w:cs="Arial"/>
        </w:rPr>
      </w:pPr>
      <w:r w:rsidRPr="001E2783">
        <w:rPr>
          <w:rFonts w:cs="Arial"/>
        </w:rPr>
        <w:t>Radiocommunications interference prosecutions</w:t>
      </w:r>
    </w:p>
    <w:p w14:paraId="2C82A0AE" w14:textId="77777777" w:rsidR="003065EC" w:rsidRPr="001E2783" w:rsidRDefault="00557896" w:rsidP="003065EC">
      <w:pPr>
        <w:spacing w:after="80"/>
        <w:rPr>
          <w:rFonts w:cs="Arial"/>
        </w:rPr>
      </w:pPr>
      <w:r w:rsidRPr="001E2783">
        <w:rPr>
          <w:rFonts w:cs="Arial"/>
        </w:rPr>
        <w:t>In 2013–14, t</w:t>
      </w:r>
      <w:r w:rsidR="003065EC" w:rsidRPr="001E2783">
        <w:rPr>
          <w:rFonts w:cs="Arial"/>
        </w:rPr>
        <w:t>hree prosecutions were commenced in response to deliberate interference to radiocommunications</w:t>
      </w:r>
      <w:r w:rsidRPr="001E2783">
        <w:rPr>
          <w:rFonts w:cs="Arial"/>
        </w:rPr>
        <w:t>:</w:t>
      </w:r>
    </w:p>
    <w:p w14:paraId="2A5B0842" w14:textId="77777777" w:rsidR="00C504A8" w:rsidRPr="001E2783" w:rsidRDefault="00C504A8" w:rsidP="00C504A8">
      <w:pPr>
        <w:pStyle w:val="ListBullet"/>
        <w:rPr>
          <w:rFonts w:cs="Arial"/>
        </w:rPr>
      </w:pPr>
      <w:r w:rsidRPr="001E2783">
        <w:rPr>
          <w:rFonts w:cs="Arial"/>
        </w:rPr>
        <w:t>prolonged interference to Victoria Police frequencies</w:t>
      </w:r>
      <w:r w:rsidR="00557896" w:rsidRPr="001E2783">
        <w:rPr>
          <w:rFonts w:cs="Arial"/>
        </w:rPr>
        <w:t>,</w:t>
      </w:r>
      <w:r w:rsidRPr="001E2783">
        <w:rPr>
          <w:rFonts w:cs="Arial"/>
        </w:rPr>
        <w:t xml:space="preserve"> which </w:t>
      </w:r>
      <w:r w:rsidR="00557896" w:rsidRPr="001E2783">
        <w:rPr>
          <w:rFonts w:cs="Arial"/>
        </w:rPr>
        <w:t>affected p</w:t>
      </w:r>
      <w:r w:rsidRPr="001E2783">
        <w:rPr>
          <w:rFonts w:cs="Arial"/>
        </w:rPr>
        <w:t>olice operations</w:t>
      </w:r>
    </w:p>
    <w:p w14:paraId="015885AD" w14:textId="77777777" w:rsidR="00C504A8" w:rsidRPr="001E2783" w:rsidRDefault="00C504A8" w:rsidP="00C504A8">
      <w:pPr>
        <w:pStyle w:val="ListBullet"/>
        <w:rPr>
          <w:rFonts w:cs="Arial"/>
        </w:rPr>
      </w:pPr>
      <w:r w:rsidRPr="001E2783">
        <w:rPr>
          <w:rFonts w:cs="Arial"/>
        </w:rPr>
        <w:t>deliberate interference to a Victorian taxi service</w:t>
      </w:r>
    </w:p>
    <w:p w14:paraId="3C0CEC14" w14:textId="77777777" w:rsidR="00C504A8" w:rsidRPr="001E2783" w:rsidRDefault="00C504A8" w:rsidP="00C504A8">
      <w:pPr>
        <w:pStyle w:val="ListBullet"/>
        <w:spacing w:after="240"/>
        <w:rPr>
          <w:rFonts w:cs="Arial"/>
        </w:rPr>
      </w:pPr>
      <w:r w:rsidRPr="001E2783">
        <w:rPr>
          <w:rFonts w:cs="Arial"/>
        </w:rPr>
        <w:t xml:space="preserve">repeated complaints of harassing and offensive transmissions on the Citizen Band Radio Service in Adelaide. </w:t>
      </w:r>
    </w:p>
    <w:p w14:paraId="56C997E1" w14:textId="77777777" w:rsidR="00C504A8" w:rsidRPr="001E2783" w:rsidRDefault="00C504A8" w:rsidP="00C504A8">
      <w:pPr>
        <w:pStyle w:val="BodysubheaderH4"/>
        <w:rPr>
          <w:rFonts w:cs="Arial"/>
        </w:rPr>
      </w:pPr>
      <w:r w:rsidRPr="001E2783">
        <w:rPr>
          <w:rFonts w:cs="Arial"/>
        </w:rPr>
        <w:t>High</w:t>
      </w:r>
      <w:r w:rsidR="00557896" w:rsidRPr="001E2783">
        <w:rPr>
          <w:rFonts w:cs="Arial"/>
        </w:rPr>
        <w:t>-frequency direction-</w:t>
      </w:r>
      <w:r w:rsidRPr="001E2783">
        <w:rPr>
          <w:rFonts w:cs="Arial"/>
        </w:rPr>
        <w:t>finding and monitoring system project</w:t>
      </w:r>
    </w:p>
    <w:p w14:paraId="0ED4652A" w14:textId="77777777" w:rsidR="00C504A8" w:rsidRPr="001E2783" w:rsidRDefault="00C504A8" w:rsidP="00C504A8">
      <w:pPr>
        <w:rPr>
          <w:rFonts w:cs="Arial"/>
        </w:rPr>
      </w:pPr>
      <w:r w:rsidRPr="001E2783">
        <w:rPr>
          <w:rFonts w:cs="Arial"/>
        </w:rPr>
        <w:t>In July 2013</w:t>
      </w:r>
      <w:r w:rsidR="00557896" w:rsidRPr="001E2783">
        <w:rPr>
          <w:rFonts w:cs="Arial"/>
        </w:rPr>
        <w:t>,</w:t>
      </w:r>
      <w:r w:rsidRPr="001E2783">
        <w:rPr>
          <w:rFonts w:cs="Arial"/>
        </w:rPr>
        <w:t xml:space="preserve"> the ACMA started a proje</w:t>
      </w:r>
      <w:r w:rsidR="00557896" w:rsidRPr="001E2783">
        <w:rPr>
          <w:rFonts w:cs="Arial"/>
        </w:rPr>
        <w:t>ct to replace its existing high-</w:t>
      </w:r>
      <w:r w:rsidRPr="001E2783">
        <w:rPr>
          <w:rFonts w:cs="Arial"/>
        </w:rPr>
        <w:t xml:space="preserve">frequency </w:t>
      </w:r>
      <w:r w:rsidR="00557896" w:rsidRPr="001E2783">
        <w:rPr>
          <w:rFonts w:cs="Arial"/>
        </w:rPr>
        <w:t>direction-</w:t>
      </w:r>
      <w:r w:rsidRPr="001E2783">
        <w:rPr>
          <w:rFonts w:cs="Arial"/>
        </w:rPr>
        <w:t>finding (HF DF) network and the consequent relocation of Very High Frequency/Ultra High Frequency (VHF/UHF) facilities in some locations. The project is implementing a New Policy Proposal announced</w:t>
      </w:r>
      <w:r w:rsidR="00712D9D" w:rsidRPr="001E2783">
        <w:rPr>
          <w:rFonts w:cs="Arial"/>
        </w:rPr>
        <w:t xml:space="preserve"> in May 2013 that included $9.2 million</w:t>
      </w:r>
      <w:r w:rsidRPr="001E2783">
        <w:rPr>
          <w:rFonts w:cs="Arial"/>
        </w:rPr>
        <w:t xml:space="preserve"> in capital funding. The project approach was changed at the end of 2013, with the knowledge that Defence </w:t>
      </w:r>
      <w:r w:rsidR="00712D9D" w:rsidRPr="001E2783">
        <w:rPr>
          <w:rFonts w:cs="Arial"/>
        </w:rPr>
        <w:t>is</w:t>
      </w:r>
      <w:r w:rsidRPr="001E2783">
        <w:rPr>
          <w:rFonts w:cs="Arial"/>
        </w:rPr>
        <w:t xml:space="preserve"> enhancing </w:t>
      </w:r>
      <w:r w:rsidR="00712D9D" w:rsidRPr="001E2783">
        <w:rPr>
          <w:rFonts w:cs="Arial"/>
        </w:rPr>
        <w:t>its</w:t>
      </w:r>
      <w:r w:rsidRPr="001E2783">
        <w:rPr>
          <w:rFonts w:cs="Arial"/>
        </w:rPr>
        <w:t xml:space="preserve"> existing HF communications system with an upgrade that will enable a</w:t>
      </w:r>
      <w:r w:rsidR="00712D9D" w:rsidRPr="001E2783">
        <w:rPr>
          <w:rFonts w:cs="Arial"/>
        </w:rPr>
        <w:t>n HF </w:t>
      </w:r>
      <w:r w:rsidRPr="001E2783">
        <w:rPr>
          <w:rFonts w:cs="Arial"/>
        </w:rPr>
        <w:t>DF capability (Project Nullarbor).</w:t>
      </w:r>
    </w:p>
    <w:p w14:paraId="0539A83F" w14:textId="77777777" w:rsidR="00C504A8" w:rsidRPr="001E2783" w:rsidRDefault="00C504A8" w:rsidP="00C504A8">
      <w:pPr>
        <w:rPr>
          <w:rFonts w:cs="Arial"/>
        </w:rPr>
      </w:pPr>
    </w:p>
    <w:p w14:paraId="0FF81DE8" w14:textId="77777777" w:rsidR="00C504A8" w:rsidRPr="001E2783" w:rsidRDefault="00C504A8" w:rsidP="00C504A8">
      <w:pPr>
        <w:rPr>
          <w:rFonts w:cs="Arial"/>
        </w:rPr>
      </w:pPr>
      <w:r w:rsidRPr="001E2783">
        <w:rPr>
          <w:rFonts w:cs="Arial"/>
        </w:rPr>
        <w:t>Discussions between the ACMA and Defence to reach a formal agreement about technical, operational and project requirements commenced in January 2014. The ACMA expects to finalise arrangements with Defence for HF DF and monitoring access to the Nullarbor system in the second half of 2014. Under the revised approach</w:t>
      </w:r>
      <w:r w:rsidR="00712D9D" w:rsidRPr="001E2783">
        <w:rPr>
          <w:rFonts w:cs="Arial"/>
        </w:rPr>
        <w:t>,</w:t>
      </w:r>
      <w:r w:rsidRPr="001E2783">
        <w:rPr>
          <w:rFonts w:cs="Arial"/>
        </w:rPr>
        <w:t xml:space="preserve"> the ACMA is procuring a new HF DF system for its site at Quoin Ridge and will be provided with access to the Defence HF DF systems at four sites across mainland Australia.</w:t>
      </w:r>
    </w:p>
    <w:p w14:paraId="3C9FF66B" w14:textId="77777777" w:rsidR="00C504A8" w:rsidRPr="001E2783" w:rsidRDefault="00C504A8" w:rsidP="00C504A8">
      <w:pPr>
        <w:rPr>
          <w:rFonts w:cs="Arial"/>
        </w:rPr>
      </w:pPr>
    </w:p>
    <w:p w14:paraId="5FBD35FE" w14:textId="77777777" w:rsidR="00C504A8" w:rsidRPr="001E2783" w:rsidRDefault="00C504A8" w:rsidP="00C504A8">
      <w:pPr>
        <w:rPr>
          <w:rFonts w:cs="Arial"/>
        </w:rPr>
      </w:pPr>
      <w:r w:rsidRPr="001E2783">
        <w:rPr>
          <w:rFonts w:cs="Arial"/>
        </w:rPr>
        <w:t>HF DF is used to locate HF radio signals nationally or globally. Due to the characteristic of ‘over-the-horizon’ HF propagation</w:t>
      </w:r>
      <w:r w:rsidR="00712D9D" w:rsidRPr="001E2783">
        <w:rPr>
          <w:rFonts w:cs="Arial"/>
        </w:rPr>
        <w:t>,</w:t>
      </w:r>
      <w:r w:rsidRPr="001E2783">
        <w:rPr>
          <w:rFonts w:cs="Arial"/>
        </w:rPr>
        <w:t xml:space="preserve"> the HF services used inside Australia can be affected by interfering transmitters located almost anywhere in the world; the majority of HF interference sources are located outside Australia. The existing ACMA HF DF system was built over 20 years ago</w:t>
      </w:r>
      <w:r w:rsidR="00712D9D" w:rsidRPr="001E2783">
        <w:rPr>
          <w:rFonts w:cs="Arial"/>
        </w:rPr>
        <w:t>—</w:t>
      </w:r>
      <w:r w:rsidRPr="001E2783">
        <w:rPr>
          <w:rFonts w:cs="Arial"/>
        </w:rPr>
        <w:t xml:space="preserve">it is at the end of its operational life and is compromising the ACMA’s ability to continue to provide interference resolution for services that use the HF band. Services include </w:t>
      </w:r>
      <w:r w:rsidR="00712D9D" w:rsidRPr="001E2783">
        <w:rPr>
          <w:rFonts w:cs="Arial"/>
        </w:rPr>
        <w:t xml:space="preserve">the </w:t>
      </w:r>
      <w:r w:rsidRPr="001E2783">
        <w:rPr>
          <w:rFonts w:cs="Arial"/>
        </w:rPr>
        <w:t>Defence, aviation and transport sectors, the emergency services community and Australians living or working in regional and remote regions.</w:t>
      </w:r>
    </w:p>
    <w:p w14:paraId="78CD4A48" w14:textId="77777777" w:rsidR="00C504A8" w:rsidRPr="001E2783" w:rsidRDefault="00C504A8" w:rsidP="00C504A8">
      <w:pPr>
        <w:rPr>
          <w:rFonts w:cs="Arial"/>
        </w:rPr>
      </w:pPr>
    </w:p>
    <w:p w14:paraId="76A79368" w14:textId="77777777" w:rsidR="00C504A8" w:rsidRPr="001E2783" w:rsidRDefault="00C504A8" w:rsidP="00C504A8">
      <w:pPr>
        <w:rPr>
          <w:rFonts w:cs="Arial"/>
        </w:rPr>
      </w:pPr>
      <w:r w:rsidRPr="001E2783">
        <w:rPr>
          <w:rFonts w:cs="Arial"/>
        </w:rPr>
        <w:t xml:space="preserve">The establishment of a new HF DF and monitoring system will </w:t>
      </w:r>
      <w:r w:rsidR="00712D9D" w:rsidRPr="001E2783">
        <w:rPr>
          <w:rFonts w:cs="Arial"/>
        </w:rPr>
        <w:t>give</w:t>
      </w:r>
      <w:r w:rsidRPr="001E2783">
        <w:rPr>
          <w:rFonts w:cs="Arial"/>
        </w:rPr>
        <w:t xml:space="preserve"> the ACMA a long-term (20 years) capability to resolve harmful interference and to fully discharge its spectrum management functions </w:t>
      </w:r>
      <w:r w:rsidR="00712D9D" w:rsidRPr="001E2783">
        <w:rPr>
          <w:rFonts w:cs="Arial"/>
        </w:rPr>
        <w:t>for</w:t>
      </w:r>
      <w:r w:rsidRPr="001E2783">
        <w:rPr>
          <w:rFonts w:cs="Arial"/>
        </w:rPr>
        <w:t xml:space="preserve"> the HF band.  </w:t>
      </w:r>
    </w:p>
    <w:p w14:paraId="15CEE250" w14:textId="77777777" w:rsidR="00C504A8" w:rsidRPr="001E2783" w:rsidRDefault="00C504A8" w:rsidP="00CC119D">
      <w:pPr>
        <w:rPr>
          <w:rFonts w:cs="Arial"/>
        </w:rPr>
      </w:pPr>
    </w:p>
    <w:p w14:paraId="3CCCCF56" w14:textId="77777777" w:rsidR="00CC119D" w:rsidRPr="001E2783" w:rsidRDefault="00CC119D" w:rsidP="00CC119D">
      <w:pPr>
        <w:pStyle w:val="BodysubheaderH4"/>
        <w:rPr>
          <w:rFonts w:cs="Arial"/>
        </w:rPr>
      </w:pPr>
      <w:r w:rsidRPr="001E2783">
        <w:rPr>
          <w:rFonts w:cs="Arial"/>
        </w:rPr>
        <w:t xml:space="preserve">Special events </w:t>
      </w:r>
    </w:p>
    <w:p w14:paraId="183AD988" w14:textId="77777777" w:rsidR="00CC119D" w:rsidRPr="001E2783" w:rsidRDefault="00CC119D" w:rsidP="00CC119D">
      <w:pPr>
        <w:spacing w:after="80" w:line="240" w:lineRule="auto"/>
        <w:rPr>
          <w:rFonts w:cs="Arial"/>
          <w:szCs w:val="20"/>
        </w:rPr>
      </w:pPr>
      <w:r w:rsidRPr="001E2783">
        <w:rPr>
          <w:rFonts w:cs="Arial"/>
          <w:szCs w:val="20"/>
        </w:rPr>
        <w:t>As part of their risk management process</w:t>
      </w:r>
      <w:r w:rsidR="00712D9D" w:rsidRPr="001E2783">
        <w:rPr>
          <w:rFonts w:cs="Arial"/>
          <w:szCs w:val="20"/>
        </w:rPr>
        <w:t>es</w:t>
      </w:r>
      <w:r w:rsidRPr="001E2783">
        <w:rPr>
          <w:rFonts w:cs="Arial"/>
          <w:szCs w:val="20"/>
        </w:rPr>
        <w:t>, organisers of the following special events contracted the ACMA to provide radiocommunications frequency coordination and i</w:t>
      </w:r>
      <w:r w:rsidR="00712D9D" w:rsidRPr="001E2783">
        <w:rPr>
          <w:rFonts w:cs="Arial"/>
          <w:szCs w:val="20"/>
        </w:rPr>
        <w:t>nterference resolution services:</w:t>
      </w:r>
    </w:p>
    <w:p w14:paraId="24B7EE3B" w14:textId="77777777" w:rsidR="009A3C8F" w:rsidRPr="001E2783" w:rsidRDefault="009A3C8F" w:rsidP="009A3C8F">
      <w:pPr>
        <w:pStyle w:val="ListBullet"/>
        <w:tabs>
          <w:tab w:val="clear" w:pos="295"/>
          <w:tab w:val="num" w:pos="437"/>
        </w:tabs>
        <w:ind w:left="284"/>
        <w:rPr>
          <w:rFonts w:cs="Arial"/>
        </w:rPr>
      </w:pPr>
      <w:r w:rsidRPr="001E2783">
        <w:rPr>
          <w:rFonts w:cs="Arial"/>
        </w:rPr>
        <w:t xml:space="preserve">Australian Motorcycle Grand Prix, Phillip Island, </w:t>
      </w:r>
      <w:r w:rsidR="00C504A8" w:rsidRPr="001E2783">
        <w:rPr>
          <w:rFonts w:cs="Arial"/>
        </w:rPr>
        <w:t>18</w:t>
      </w:r>
      <w:r w:rsidR="00D67311" w:rsidRPr="001E2783">
        <w:rPr>
          <w:rFonts w:cs="Arial"/>
        </w:rPr>
        <w:t>–</w:t>
      </w:r>
      <w:r w:rsidRPr="001E2783">
        <w:rPr>
          <w:rFonts w:cs="Arial"/>
        </w:rPr>
        <w:t>2</w:t>
      </w:r>
      <w:r w:rsidR="00C504A8" w:rsidRPr="001E2783">
        <w:rPr>
          <w:rFonts w:cs="Arial"/>
        </w:rPr>
        <w:t>0</w:t>
      </w:r>
      <w:r w:rsidRPr="001E2783">
        <w:rPr>
          <w:rFonts w:cs="Arial"/>
        </w:rPr>
        <w:t xml:space="preserve"> October </w:t>
      </w:r>
      <w:r w:rsidR="00C504A8" w:rsidRPr="001E2783">
        <w:rPr>
          <w:rFonts w:cs="Arial"/>
        </w:rPr>
        <w:t>2013</w:t>
      </w:r>
    </w:p>
    <w:p w14:paraId="3F3B0D46" w14:textId="77777777" w:rsidR="009A3C8F" w:rsidRPr="001E2783" w:rsidRDefault="009A3C8F" w:rsidP="009A3C8F">
      <w:pPr>
        <w:pStyle w:val="ListBullet"/>
        <w:tabs>
          <w:tab w:val="clear" w:pos="295"/>
          <w:tab w:val="num" w:pos="437"/>
        </w:tabs>
        <w:spacing w:after="240"/>
        <w:ind w:left="284"/>
        <w:rPr>
          <w:rFonts w:cs="Arial"/>
        </w:rPr>
      </w:pPr>
      <w:r w:rsidRPr="001E2783">
        <w:rPr>
          <w:rFonts w:cs="Arial"/>
        </w:rPr>
        <w:t>Australian Formula One Grand Prix, Melbourne</w:t>
      </w:r>
      <w:r w:rsidR="00FF2B54" w:rsidRPr="001E2783">
        <w:rPr>
          <w:rFonts w:cs="Arial"/>
        </w:rPr>
        <w:t>,</w:t>
      </w:r>
      <w:r w:rsidRPr="001E2783">
        <w:rPr>
          <w:rFonts w:cs="Arial"/>
        </w:rPr>
        <w:t xml:space="preserve"> 1</w:t>
      </w:r>
      <w:r w:rsidR="00C504A8" w:rsidRPr="001E2783">
        <w:rPr>
          <w:rFonts w:cs="Arial"/>
        </w:rPr>
        <w:t>3</w:t>
      </w:r>
      <w:r w:rsidR="00D67311" w:rsidRPr="001E2783">
        <w:rPr>
          <w:rFonts w:cs="Arial"/>
        </w:rPr>
        <w:t>–</w:t>
      </w:r>
      <w:r w:rsidRPr="001E2783">
        <w:rPr>
          <w:rFonts w:cs="Arial"/>
        </w:rPr>
        <w:t>1</w:t>
      </w:r>
      <w:r w:rsidR="00C504A8" w:rsidRPr="001E2783">
        <w:rPr>
          <w:rFonts w:cs="Arial"/>
        </w:rPr>
        <w:t>6</w:t>
      </w:r>
      <w:r w:rsidRPr="001E2783">
        <w:rPr>
          <w:rFonts w:cs="Arial"/>
        </w:rPr>
        <w:t xml:space="preserve"> March 201</w:t>
      </w:r>
      <w:r w:rsidR="00C504A8" w:rsidRPr="001E2783">
        <w:rPr>
          <w:rFonts w:cs="Arial"/>
        </w:rPr>
        <w:t>4</w:t>
      </w:r>
      <w:r w:rsidRPr="001E2783">
        <w:rPr>
          <w:rFonts w:cs="Arial"/>
        </w:rPr>
        <w:t>.</w:t>
      </w:r>
    </w:p>
    <w:p w14:paraId="577906FA" w14:textId="77777777" w:rsidR="00CC119D" w:rsidRPr="001E2783" w:rsidRDefault="00CC119D" w:rsidP="00CC119D">
      <w:pPr>
        <w:spacing w:line="240" w:lineRule="auto"/>
        <w:rPr>
          <w:rFonts w:cs="Arial"/>
          <w:szCs w:val="20"/>
        </w:rPr>
      </w:pPr>
      <w:r w:rsidRPr="001E2783">
        <w:rPr>
          <w:rFonts w:cs="Arial"/>
          <w:szCs w:val="20"/>
        </w:rPr>
        <w:t>The ACMA staff who supported these events were faced with a range of issues involving interference to the radiocommunications services used by the event organisers, international competitors and race teams, and to both local and international television and broadcast services. All technical issues were successfully resolved</w:t>
      </w:r>
      <w:r w:rsidR="00712D9D" w:rsidRPr="001E2783">
        <w:rPr>
          <w:rFonts w:cs="Arial"/>
          <w:szCs w:val="20"/>
        </w:rPr>
        <w:t>,</w:t>
      </w:r>
      <w:r w:rsidRPr="001E2783">
        <w:rPr>
          <w:rFonts w:cs="Arial"/>
          <w:szCs w:val="20"/>
        </w:rPr>
        <w:t xml:space="preserve"> with positive feedback received from the organisers of the events. </w:t>
      </w:r>
    </w:p>
    <w:p w14:paraId="590D88C6" w14:textId="77777777" w:rsidR="00CC119D" w:rsidRPr="001E2783" w:rsidRDefault="00CC119D" w:rsidP="00CC119D">
      <w:pPr>
        <w:spacing w:line="240" w:lineRule="auto"/>
        <w:rPr>
          <w:rFonts w:cs="Arial"/>
          <w:szCs w:val="20"/>
        </w:rPr>
      </w:pPr>
    </w:p>
    <w:p w14:paraId="7744F99B" w14:textId="77777777" w:rsidR="00CC119D" w:rsidRPr="001E2783" w:rsidRDefault="00CC119D" w:rsidP="00CC119D">
      <w:pPr>
        <w:pStyle w:val="BodysubheaderH4"/>
        <w:rPr>
          <w:rFonts w:cs="Arial"/>
        </w:rPr>
      </w:pPr>
      <w:r w:rsidRPr="001E2783">
        <w:rPr>
          <w:rFonts w:cs="Arial"/>
        </w:rPr>
        <w:t>Radiocommunications compliance laboratory</w:t>
      </w:r>
    </w:p>
    <w:p w14:paraId="2C289BCE" w14:textId="77777777" w:rsidR="003065EC" w:rsidRPr="001E2783" w:rsidRDefault="003065EC" w:rsidP="003065EC">
      <w:pPr>
        <w:rPr>
          <w:rFonts w:cs="Arial"/>
          <w:szCs w:val="20"/>
        </w:rPr>
      </w:pPr>
      <w:r w:rsidRPr="001E2783">
        <w:rPr>
          <w:rFonts w:cs="Arial"/>
          <w:szCs w:val="20"/>
        </w:rPr>
        <w:t xml:space="preserve">The ACMA’s radiocommunications compliance laboratory carries out compliance testing of radiocommunications devices. The main purpose of the laboratory is to support industry compliance with regulatory arrangements such as the radiocommunications standards compliance and labelling arrangements. Devices that comply with the standards are able to be labelled and supplied to the Australian market. Spectrum impact assessments are also performed on radiocommunications devices. A total of </w:t>
      </w:r>
      <w:r w:rsidR="00A33598" w:rsidRPr="001E2783">
        <w:rPr>
          <w:rFonts w:cs="Arial"/>
          <w:szCs w:val="20"/>
        </w:rPr>
        <w:t xml:space="preserve">125 </w:t>
      </w:r>
      <w:r w:rsidRPr="001E2783">
        <w:rPr>
          <w:rFonts w:cs="Arial"/>
          <w:szCs w:val="20"/>
        </w:rPr>
        <w:t xml:space="preserve">devices were tested during 2013–14, which resulted in </w:t>
      </w:r>
      <w:r w:rsidR="00A33598" w:rsidRPr="001E2783">
        <w:rPr>
          <w:rFonts w:cs="Arial"/>
          <w:szCs w:val="20"/>
        </w:rPr>
        <w:t>139</w:t>
      </w:r>
      <w:r w:rsidRPr="001E2783">
        <w:rPr>
          <w:rFonts w:cs="Arial"/>
          <w:szCs w:val="20"/>
        </w:rPr>
        <w:t xml:space="preserve"> compliance test reports and spectrum impact assessment letters.</w:t>
      </w:r>
    </w:p>
    <w:p w14:paraId="2CEE0847" w14:textId="77777777" w:rsidR="00C504A8" w:rsidRPr="001E2783" w:rsidRDefault="00C504A8" w:rsidP="00C504A8">
      <w:pPr>
        <w:rPr>
          <w:rFonts w:cs="Arial"/>
          <w:szCs w:val="20"/>
        </w:rPr>
      </w:pPr>
    </w:p>
    <w:p w14:paraId="42C0487C" w14:textId="77777777" w:rsidR="00C504A8" w:rsidRPr="001E2783" w:rsidRDefault="00C504A8" w:rsidP="00C504A8">
      <w:pPr>
        <w:rPr>
          <w:rFonts w:cs="Arial"/>
          <w:szCs w:val="20"/>
        </w:rPr>
      </w:pPr>
      <w:r w:rsidRPr="001E2783">
        <w:rPr>
          <w:rFonts w:cs="Arial"/>
          <w:szCs w:val="20"/>
        </w:rPr>
        <w:t xml:space="preserve">The laboratory also assisted with investigations being carried out by the ACMA, and federal and state police services. This included preparing </w:t>
      </w:r>
      <w:r w:rsidR="00A33598" w:rsidRPr="001E2783">
        <w:rPr>
          <w:rFonts w:cs="Arial"/>
          <w:szCs w:val="20"/>
        </w:rPr>
        <w:t>25</w:t>
      </w:r>
      <w:r w:rsidRPr="001E2783">
        <w:rPr>
          <w:rFonts w:cs="Arial"/>
          <w:szCs w:val="20"/>
        </w:rPr>
        <w:t xml:space="preserve"> evidentiary certificates and </w:t>
      </w:r>
      <w:r w:rsidR="00A33598" w:rsidRPr="001E2783">
        <w:rPr>
          <w:rFonts w:cs="Arial"/>
          <w:szCs w:val="20"/>
        </w:rPr>
        <w:t>15</w:t>
      </w:r>
      <w:r w:rsidRPr="001E2783">
        <w:rPr>
          <w:rFonts w:cs="Arial"/>
          <w:szCs w:val="20"/>
        </w:rPr>
        <w:t xml:space="preserve"> technical assessment reports of radiocommunications devices.</w:t>
      </w:r>
    </w:p>
    <w:p w14:paraId="65A99BD4" w14:textId="77777777" w:rsidR="00C504A8" w:rsidRPr="001E2783" w:rsidRDefault="00C504A8" w:rsidP="00C504A8">
      <w:pPr>
        <w:rPr>
          <w:rFonts w:cs="Arial"/>
          <w:szCs w:val="20"/>
        </w:rPr>
      </w:pPr>
    </w:p>
    <w:p w14:paraId="36CC0B9A" w14:textId="77777777" w:rsidR="00CC119D" w:rsidRPr="001E2783" w:rsidRDefault="00C504A8" w:rsidP="00C504A8">
      <w:pPr>
        <w:rPr>
          <w:rFonts w:cs="Arial"/>
          <w:szCs w:val="20"/>
        </w:rPr>
      </w:pPr>
      <w:r w:rsidRPr="001E2783">
        <w:rPr>
          <w:rFonts w:cs="Arial"/>
          <w:szCs w:val="20"/>
        </w:rPr>
        <w:t>The laboratory is accredited by the National Association of Testing Authorities (NATA) for assessing compliance to compliance level three for the full range of international and ACMA standards.</w:t>
      </w:r>
    </w:p>
    <w:p w14:paraId="4CE5E8E3" w14:textId="77777777" w:rsidR="00C504A8" w:rsidRPr="001E2783" w:rsidRDefault="00C504A8" w:rsidP="00C504A8">
      <w:pPr>
        <w:rPr>
          <w:rFonts w:cs="Arial"/>
        </w:rPr>
      </w:pPr>
    </w:p>
    <w:p w14:paraId="2B24336B" w14:textId="77777777" w:rsidR="00CC119D" w:rsidRPr="001E2783" w:rsidRDefault="00CC119D" w:rsidP="008D0958">
      <w:pPr>
        <w:pStyle w:val="Heading3"/>
      </w:pPr>
      <w:bookmarkStart w:id="173" w:name="_Toc400018557"/>
      <w:r w:rsidRPr="001E2783">
        <w:t>Cabling and labelling compliance</w:t>
      </w:r>
      <w:bookmarkEnd w:id="173"/>
    </w:p>
    <w:p w14:paraId="26D55961" w14:textId="77777777" w:rsidR="009A3C8F" w:rsidRPr="001E2783" w:rsidRDefault="009A3C8F" w:rsidP="009A3C8F">
      <w:pPr>
        <w:rPr>
          <w:rFonts w:cs="Arial"/>
        </w:rPr>
      </w:pPr>
      <w:r w:rsidRPr="001E2783">
        <w:rPr>
          <w:rFonts w:cs="Arial"/>
        </w:rPr>
        <w:t xml:space="preserve">The ACMA accepts complaints from industry and the public about telecommunications cabling and </w:t>
      </w:r>
      <w:r w:rsidRPr="001E2783">
        <w:rPr>
          <w:rFonts w:cs="Arial"/>
          <w:szCs w:val="20"/>
        </w:rPr>
        <w:t>compliance</w:t>
      </w:r>
      <w:r w:rsidRPr="001E2783">
        <w:rPr>
          <w:rFonts w:cs="Arial"/>
        </w:rPr>
        <w:t xml:space="preserve"> by suppliers of devices subject to the labelling arrangements for radiocommunications, telecommunications, human exposure to </w:t>
      </w:r>
      <w:r w:rsidR="00257A0C" w:rsidRPr="001E2783">
        <w:rPr>
          <w:rFonts w:cs="Arial"/>
        </w:rPr>
        <w:t>EME</w:t>
      </w:r>
      <w:r w:rsidRPr="001E2783">
        <w:rPr>
          <w:rFonts w:cs="Arial"/>
        </w:rPr>
        <w:t xml:space="preserve"> and </w:t>
      </w:r>
      <w:r w:rsidR="00257A0C" w:rsidRPr="001E2783">
        <w:rPr>
          <w:rFonts w:cs="Arial"/>
        </w:rPr>
        <w:t>EMC</w:t>
      </w:r>
      <w:r w:rsidRPr="001E2783">
        <w:rPr>
          <w:rFonts w:cs="Arial"/>
        </w:rPr>
        <w:t xml:space="preserve"> compliance. The ACMA’s complaints-handling strategy seeks to engage cooperatively with both the complainant and the subject of the complaint. </w:t>
      </w:r>
    </w:p>
    <w:p w14:paraId="61D298FB" w14:textId="77777777" w:rsidR="009A3C8F" w:rsidRPr="001E2783" w:rsidRDefault="009A3C8F" w:rsidP="009A3C8F">
      <w:pPr>
        <w:rPr>
          <w:rFonts w:cs="Arial"/>
        </w:rPr>
      </w:pPr>
    </w:p>
    <w:p w14:paraId="2CF42FF4" w14:textId="10F812CE" w:rsidR="00C504A8" w:rsidRPr="001E2783" w:rsidRDefault="00A17679" w:rsidP="00CC119D">
      <w:pPr>
        <w:rPr>
          <w:rFonts w:cs="Arial"/>
        </w:rPr>
      </w:pPr>
      <w:r w:rsidRPr="001E2783">
        <w:rPr>
          <w:rFonts w:cs="Arial"/>
        </w:rPr>
        <w:t>In the reporting period, the ACMA received 21 complaints about cabling. All of</w:t>
      </w:r>
      <w:r w:rsidR="00573BD5" w:rsidRPr="001E2783">
        <w:rPr>
          <w:rFonts w:cs="Arial"/>
        </w:rPr>
        <w:t xml:space="preserve"> these complaints were assessed;</w:t>
      </w:r>
      <w:r w:rsidRPr="001E2783">
        <w:rPr>
          <w:rFonts w:cs="Arial"/>
        </w:rPr>
        <w:t xml:space="preserve"> however</w:t>
      </w:r>
      <w:r w:rsidR="00573BD5" w:rsidRPr="001E2783">
        <w:rPr>
          <w:rFonts w:cs="Arial"/>
        </w:rPr>
        <w:t>,</w:t>
      </w:r>
      <w:r w:rsidRPr="001E2783">
        <w:rPr>
          <w:rFonts w:cs="Arial"/>
        </w:rPr>
        <w:t xml:space="preserve"> none of the complaints proceeded to investigation. This was due to the complaints either falling outside the ACMA’s legislative power or there being insufficient evidence to proceed.</w:t>
      </w:r>
    </w:p>
    <w:p w14:paraId="4D3B1984" w14:textId="77777777" w:rsidR="00A17679" w:rsidRPr="001E2783" w:rsidRDefault="00A17679" w:rsidP="00CC119D">
      <w:pPr>
        <w:rPr>
          <w:rFonts w:cs="Arial"/>
        </w:rPr>
      </w:pPr>
    </w:p>
    <w:p w14:paraId="2EE06FD8" w14:textId="77777777" w:rsidR="000317E9" w:rsidRPr="001E2783" w:rsidRDefault="000317E9" w:rsidP="000317E9">
      <w:pPr>
        <w:pStyle w:val="Heading3"/>
      </w:pPr>
      <w:bookmarkStart w:id="174" w:name="_Toc400018558"/>
      <w:bookmarkStart w:id="175" w:name="_Toc274124071"/>
      <w:bookmarkStart w:id="176" w:name="_Toc337727590"/>
      <w:r w:rsidRPr="001E2783">
        <w:t xml:space="preserve">Telecommunications </w:t>
      </w:r>
      <w:r w:rsidR="00657C75" w:rsidRPr="001E2783">
        <w:t xml:space="preserve">consumer </w:t>
      </w:r>
      <w:r w:rsidRPr="001E2783">
        <w:t>compliance</w:t>
      </w:r>
      <w:bookmarkEnd w:id="174"/>
    </w:p>
    <w:bookmarkEnd w:id="175"/>
    <w:bookmarkEnd w:id="176"/>
    <w:p w14:paraId="732F80E4" w14:textId="77777777" w:rsidR="00571B0F" w:rsidRPr="001E2783" w:rsidRDefault="005B1BD4" w:rsidP="00D7424F">
      <w:pPr>
        <w:spacing w:after="80"/>
        <w:rPr>
          <w:rFonts w:cs="Arial"/>
        </w:rPr>
      </w:pPr>
      <w:r w:rsidRPr="001E2783">
        <w:rPr>
          <w:rFonts w:cs="Arial"/>
        </w:rPr>
        <w:t>The</w:t>
      </w:r>
      <w:r w:rsidR="008B5833" w:rsidRPr="001E2783">
        <w:rPr>
          <w:rFonts w:cs="Arial"/>
        </w:rPr>
        <w:t xml:space="preserve"> ACMA’s telecommunications consumer compliance activities include undertaking</w:t>
      </w:r>
      <w:r w:rsidRPr="001E2783">
        <w:rPr>
          <w:rFonts w:cs="Arial"/>
        </w:rPr>
        <w:t xml:space="preserve"> enquiries and investigations into compliance with the</w:t>
      </w:r>
      <w:r w:rsidR="00571B0F" w:rsidRPr="001E2783">
        <w:rPr>
          <w:rFonts w:cs="Arial"/>
        </w:rPr>
        <w:t>:</w:t>
      </w:r>
    </w:p>
    <w:p w14:paraId="0070995A" w14:textId="70BA877A" w:rsidR="00D7424F" w:rsidRPr="001E2783" w:rsidRDefault="008B5833" w:rsidP="00D7424F">
      <w:pPr>
        <w:pStyle w:val="ListBullet"/>
        <w:rPr>
          <w:rFonts w:cs="Arial"/>
        </w:rPr>
      </w:pPr>
      <w:r w:rsidRPr="001E2783">
        <w:rPr>
          <w:rFonts w:cs="Arial"/>
        </w:rPr>
        <w:t>Telecommunications Consumer Protections</w:t>
      </w:r>
      <w:r w:rsidR="000154A0" w:rsidRPr="001E2783">
        <w:rPr>
          <w:rFonts w:cs="Arial"/>
        </w:rPr>
        <w:t xml:space="preserve"> (TCP)</w:t>
      </w:r>
      <w:r w:rsidRPr="001E2783">
        <w:rPr>
          <w:rFonts w:cs="Arial"/>
        </w:rPr>
        <w:t xml:space="preserve"> Code 2012</w:t>
      </w:r>
      <w:r w:rsidR="00A80800" w:rsidRPr="001E2783">
        <w:rPr>
          <w:rFonts w:cs="Arial"/>
        </w:rPr>
        <w:t xml:space="preserve"> (see </w:t>
      </w:r>
      <w:r w:rsidR="000154A0" w:rsidRPr="001E2783">
        <w:rPr>
          <w:rFonts w:cs="Arial"/>
          <w:i/>
        </w:rPr>
        <w:t xml:space="preserve">The </w:t>
      </w:r>
      <w:r w:rsidR="00246C7D">
        <w:rPr>
          <w:rFonts w:cs="Arial"/>
          <w:i/>
        </w:rPr>
        <w:t>TCP </w:t>
      </w:r>
      <w:r w:rsidR="005B1BD4" w:rsidRPr="001E2783">
        <w:rPr>
          <w:rFonts w:cs="Arial"/>
          <w:i/>
        </w:rPr>
        <w:t>Code</w:t>
      </w:r>
      <w:r w:rsidR="00A80800" w:rsidRPr="001E2783">
        <w:rPr>
          <w:rFonts w:cs="Arial"/>
        </w:rPr>
        <w:t>)</w:t>
      </w:r>
      <w:r w:rsidR="00D7424F" w:rsidRPr="001E2783">
        <w:rPr>
          <w:rFonts w:cs="Arial"/>
        </w:rPr>
        <w:t>.</w:t>
      </w:r>
    </w:p>
    <w:p w14:paraId="7AB7C22C" w14:textId="5410AFF9" w:rsidR="00571B0F" w:rsidRPr="001E2783" w:rsidRDefault="005B1BD4" w:rsidP="003A273B">
      <w:pPr>
        <w:pStyle w:val="ListBullet"/>
        <w:spacing w:after="240"/>
        <w:rPr>
          <w:rFonts w:cs="Arial"/>
        </w:rPr>
      </w:pPr>
      <w:r w:rsidRPr="001E2783">
        <w:rPr>
          <w:rFonts w:cs="Arial"/>
        </w:rPr>
        <w:t xml:space="preserve">International </w:t>
      </w:r>
      <w:r w:rsidR="00D249B3" w:rsidRPr="001E2783">
        <w:rPr>
          <w:rFonts w:cs="Arial"/>
        </w:rPr>
        <w:t>Mobile Roaming (IMR) Standard</w:t>
      </w:r>
      <w:r w:rsidR="00D7424F" w:rsidRPr="001E2783">
        <w:rPr>
          <w:rFonts w:cs="Arial"/>
        </w:rPr>
        <w:t>—</w:t>
      </w:r>
      <w:r w:rsidR="00571B0F" w:rsidRPr="001E2783">
        <w:rPr>
          <w:rFonts w:cs="Arial"/>
        </w:rPr>
        <w:t xml:space="preserve">developed by the ACMA in response to a direction from the then Minister for Broadband, Communications and the Digital Economy. The standard came into effect on 27 September 2013 and requires providers to give consumers information about the cost of roaming when overseas and enable them to opt out of roaming services, in order to help minimise the risk and incidence of bill shock. A copy of the standard is available on the ACMA website. </w:t>
      </w:r>
      <w:r w:rsidR="00A80800" w:rsidRPr="001E2783">
        <w:rPr>
          <w:rFonts w:cs="Arial"/>
        </w:rPr>
        <w:t>(</w:t>
      </w:r>
      <w:r w:rsidR="00AD058B" w:rsidRPr="001E2783">
        <w:rPr>
          <w:rFonts w:cs="Arial"/>
        </w:rPr>
        <w:t>See</w:t>
      </w:r>
      <w:r w:rsidR="00AD058B" w:rsidRPr="001E2783">
        <w:rPr>
          <w:rFonts w:cs="Arial"/>
          <w:i/>
        </w:rPr>
        <w:t xml:space="preserve"> Consumer safeguards</w:t>
      </w:r>
      <w:r w:rsidR="00571B0F" w:rsidRPr="001E2783">
        <w:rPr>
          <w:rFonts w:cs="Arial"/>
        </w:rPr>
        <w:t xml:space="preserve"> for more information about compliance with the standard.</w:t>
      </w:r>
      <w:r w:rsidR="00A80800" w:rsidRPr="001E2783">
        <w:rPr>
          <w:rFonts w:cs="Arial"/>
        </w:rPr>
        <w:t>)</w:t>
      </w:r>
    </w:p>
    <w:p w14:paraId="76A0FFD4" w14:textId="11B4AF4B" w:rsidR="00571B0F" w:rsidRPr="001E2783" w:rsidRDefault="00571B0F" w:rsidP="00D7424F">
      <w:pPr>
        <w:rPr>
          <w:rFonts w:cs="Arial"/>
        </w:rPr>
      </w:pPr>
      <w:r w:rsidRPr="001E2783">
        <w:rPr>
          <w:rFonts w:cs="Arial"/>
        </w:rPr>
        <w:t>The Customer Service Guarantee (CSG) is another key telecommunications protection that lies outside the TCP Code. For more information about compliance with the re</w:t>
      </w:r>
      <w:r w:rsidR="005E4C73" w:rsidRPr="001E2783">
        <w:rPr>
          <w:rFonts w:cs="Arial"/>
        </w:rPr>
        <w:t xml:space="preserve">quirements of the CSG, see </w:t>
      </w:r>
      <w:r w:rsidR="009B749A" w:rsidRPr="009B749A">
        <w:rPr>
          <w:rFonts w:cs="Arial"/>
          <w:i/>
        </w:rPr>
        <w:t>Customer Service Guarantee</w:t>
      </w:r>
      <w:r w:rsidRPr="001E2783">
        <w:rPr>
          <w:rFonts w:cs="Arial"/>
        </w:rPr>
        <w:t xml:space="preserve">. </w:t>
      </w:r>
    </w:p>
    <w:p w14:paraId="19835856" w14:textId="77777777" w:rsidR="005B1BD4" w:rsidRPr="001E2783" w:rsidRDefault="005B1BD4" w:rsidP="005B1BD4">
      <w:pPr>
        <w:rPr>
          <w:rFonts w:cs="Arial"/>
        </w:rPr>
      </w:pPr>
    </w:p>
    <w:p w14:paraId="5EE09982" w14:textId="77777777" w:rsidR="005B1BD4" w:rsidRPr="001E2783" w:rsidRDefault="005B1BD4" w:rsidP="005B1BD4">
      <w:pPr>
        <w:rPr>
          <w:rFonts w:cs="Arial"/>
        </w:rPr>
      </w:pPr>
      <w:r w:rsidRPr="001E2783">
        <w:rPr>
          <w:rFonts w:cs="Arial"/>
        </w:rPr>
        <w:t xml:space="preserve">Ordinarily, the ACMA does not handle or investigate individual residential or small-business customer complaints. The </w:t>
      </w:r>
      <w:r w:rsidR="003A273B" w:rsidRPr="001E2783">
        <w:rPr>
          <w:rFonts w:cs="Arial"/>
        </w:rPr>
        <w:t>TIO</w:t>
      </w:r>
      <w:r w:rsidRPr="001E2783">
        <w:rPr>
          <w:rFonts w:cs="Arial"/>
        </w:rPr>
        <w:t xml:space="preserve"> is the complaints-handling body for telecommunications consumer protection matters. Its complaint statistics for 2013–14 will be released in its annual report. </w:t>
      </w:r>
    </w:p>
    <w:p w14:paraId="696DE7E4" w14:textId="77777777" w:rsidR="005B1BD4" w:rsidRPr="001E2783" w:rsidRDefault="005B1BD4" w:rsidP="005B1BD4">
      <w:pPr>
        <w:rPr>
          <w:rFonts w:cs="Arial"/>
        </w:rPr>
      </w:pPr>
    </w:p>
    <w:p w14:paraId="38660399" w14:textId="58953A49" w:rsidR="005B1BD4" w:rsidRPr="001E2783" w:rsidRDefault="0023050D" w:rsidP="005B1BD4">
      <w:pPr>
        <w:rPr>
          <w:rFonts w:cs="Arial"/>
          <w:szCs w:val="22"/>
        </w:rPr>
      </w:pPr>
      <w:r w:rsidRPr="001E2783">
        <w:rPr>
          <w:rFonts w:cs="Arial"/>
        </w:rPr>
        <w:t>In 2013–14, the ACMA received six complaints directed to it about non-compliance with the TCP Code (all of which led to enquiries—see</w:t>
      </w:r>
      <w:r w:rsidR="00642061">
        <w:rPr>
          <w:rFonts w:cs="Arial"/>
        </w:rPr>
        <w:t xml:space="preserve"> below</w:t>
      </w:r>
      <w:r w:rsidRPr="001E2783">
        <w:rPr>
          <w:rFonts w:cs="Arial"/>
        </w:rPr>
        <w:t>) and one complaint about non-compliance with the IMR Standard (which also led to an enquiry)</w:t>
      </w:r>
      <w:r w:rsidR="005B1BD4" w:rsidRPr="001E2783">
        <w:rPr>
          <w:rFonts w:cs="Arial"/>
        </w:rPr>
        <w:t>.</w:t>
      </w:r>
    </w:p>
    <w:p w14:paraId="3CA4E265" w14:textId="77777777" w:rsidR="005B1BD4" w:rsidRPr="001E2783" w:rsidRDefault="005B1BD4" w:rsidP="005B1BD4">
      <w:pPr>
        <w:rPr>
          <w:rFonts w:cs="Arial"/>
        </w:rPr>
      </w:pPr>
    </w:p>
    <w:p w14:paraId="1C8E000E" w14:textId="77777777" w:rsidR="005B1BD4" w:rsidRPr="001E2783" w:rsidRDefault="005B1BD4" w:rsidP="005B1BD4">
      <w:pPr>
        <w:spacing w:after="80"/>
        <w:rPr>
          <w:rFonts w:cs="Arial"/>
        </w:rPr>
      </w:pPr>
      <w:r w:rsidRPr="001E2783">
        <w:rPr>
          <w:rFonts w:cs="Arial"/>
        </w:rPr>
        <w:t xml:space="preserve">The ACMA proactively </w:t>
      </w:r>
      <w:r w:rsidR="007C2BF5" w:rsidRPr="001E2783">
        <w:rPr>
          <w:rFonts w:cs="Arial"/>
        </w:rPr>
        <w:t xml:space="preserve">encourages and </w:t>
      </w:r>
      <w:r w:rsidRPr="001E2783">
        <w:rPr>
          <w:rFonts w:cs="Arial"/>
        </w:rPr>
        <w:t>monitors compliance through:</w:t>
      </w:r>
    </w:p>
    <w:p w14:paraId="0EA4D7E1" w14:textId="77777777" w:rsidR="005B1BD4" w:rsidRPr="001E2783" w:rsidRDefault="005B1BD4" w:rsidP="005B1BD4">
      <w:pPr>
        <w:pStyle w:val="ListBullet"/>
        <w:rPr>
          <w:rFonts w:cs="Arial"/>
        </w:rPr>
      </w:pPr>
      <w:r w:rsidRPr="001E2783">
        <w:rPr>
          <w:rFonts w:cs="Arial"/>
          <w:b/>
        </w:rPr>
        <w:t>Education</w:t>
      </w:r>
      <w:r w:rsidRPr="001E2783">
        <w:rPr>
          <w:rFonts w:cs="Arial"/>
        </w:rPr>
        <w:t xml:space="preserve">—the ACMA visits providers to discuss the requirements of the TCP Code and any concerns they may have, particularly when requirements or the provider are new. </w:t>
      </w:r>
    </w:p>
    <w:p w14:paraId="64FA8E74" w14:textId="77777777" w:rsidR="005B1BD4" w:rsidRPr="001E2783" w:rsidRDefault="005B1BD4" w:rsidP="005B1BD4">
      <w:pPr>
        <w:pStyle w:val="ListBullet"/>
        <w:rPr>
          <w:rFonts w:cs="Arial"/>
        </w:rPr>
      </w:pPr>
      <w:r w:rsidRPr="001E2783">
        <w:rPr>
          <w:rFonts w:cs="Arial"/>
          <w:b/>
        </w:rPr>
        <w:t>Environmental scanning</w:t>
      </w:r>
      <w:r w:rsidRPr="001E2783">
        <w:rPr>
          <w:rFonts w:cs="Arial"/>
        </w:rPr>
        <w:t xml:space="preserve">—the ACMA assesses a provider’s actions and raises any concerns with them. </w:t>
      </w:r>
    </w:p>
    <w:p w14:paraId="7B37EF6C" w14:textId="77777777" w:rsidR="005B1BD4" w:rsidRPr="001E2783" w:rsidRDefault="005B1BD4" w:rsidP="005B1BD4">
      <w:pPr>
        <w:pStyle w:val="ListBullet"/>
        <w:rPr>
          <w:rFonts w:cs="Arial"/>
        </w:rPr>
      </w:pPr>
      <w:r w:rsidRPr="001E2783">
        <w:rPr>
          <w:rFonts w:cs="Arial"/>
          <w:b/>
        </w:rPr>
        <w:t>Enquiries</w:t>
      </w:r>
      <w:r w:rsidRPr="001E2783">
        <w:rPr>
          <w:rFonts w:cs="Arial"/>
        </w:rPr>
        <w:t xml:space="preserve">—the ACMA contacts providers to ask questions about compliance. </w:t>
      </w:r>
    </w:p>
    <w:p w14:paraId="2BE90908" w14:textId="77777777" w:rsidR="005B1BD4" w:rsidRPr="001E2783" w:rsidRDefault="005B1BD4" w:rsidP="005B1BD4">
      <w:pPr>
        <w:pStyle w:val="ListBullet"/>
        <w:spacing w:after="240"/>
        <w:rPr>
          <w:rFonts w:cs="Arial"/>
        </w:rPr>
      </w:pPr>
      <w:r w:rsidRPr="001E2783">
        <w:rPr>
          <w:rFonts w:cs="Arial"/>
          <w:b/>
        </w:rPr>
        <w:t>Investigations—</w:t>
      </w:r>
      <w:r w:rsidRPr="001E2783">
        <w:rPr>
          <w:rFonts w:cs="Arial"/>
        </w:rPr>
        <w:t>the ACMA investigates possible non-compliance under Part 26 of the Telecommunications Act.</w:t>
      </w:r>
    </w:p>
    <w:p w14:paraId="260C490E" w14:textId="77777777" w:rsidR="00D249B3" w:rsidRPr="001E2783" w:rsidRDefault="00D249B3" w:rsidP="00D7424F">
      <w:pPr>
        <w:pStyle w:val="Heading3"/>
      </w:pPr>
      <w:bookmarkStart w:id="177" w:name="_Toc400018559"/>
      <w:r w:rsidRPr="001E2783">
        <w:t>T</w:t>
      </w:r>
      <w:r w:rsidR="000154A0" w:rsidRPr="001E2783">
        <w:t>he T</w:t>
      </w:r>
      <w:r w:rsidRPr="001E2783">
        <w:t>CP Code</w:t>
      </w:r>
      <w:bookmarkEnd w:id="177"/>
      <w:r w:rsidRPr="001E2783">
        <w:t xml:space="preserve"> </w:t>
      </w:r>
    </w:p>
    <w:p w14:paraId="405B6D10" w14:textId="77777777" w:rsidR="00571B0F" w:rsidRPr="001E2783" w:rsidRDefault="003A273B" w:rsidP="00D7424F">
      <w:pPr>
        <w:pStyle w:val="BodysubheaderH4"/>
        <w:rPr>
          <w:rFonts w:cs="Arial"/>
        </w:rPr>
      </w:pPr>
      <w:r w:rsidRPr="001E2783">
        <w:rPr>
          <w:rFonts w:cs="Arial"/>
        </w:rPr>
        <w:t>The ACMA’s enforcement powers</w:t>
      </w:r>
    </w:p>
    <w:p w14:paraId="0E73C386" w14:textId="77777777" w:rsidR="005B1BD4" w:rsidRPr="001E2783" w:rsidRDefault="005B1BD4" w:rsidP="00D249B3">
      <w:pPr>
        <w:spacing w:after="80"/>
        <w:rPr>
          <w:rFonts w:cs="Arial"/>
        </w:rPr>
      </w:pPr>
      <w:r w:rsidRPr="001E2783">
        <w:rPr>
          <w:rFonts w:cs="Arial"/>
        </w:rPr>
        <w:t xml:space="preserve">The ACMA has a range of powers to address breaches of the TCP Code. Where </w:t>
      </w:r>
      <w:r w:rsidR="00D249B3" w:rsidRPr="001E2783">
        <w:rPr>
          <w:rFonts w:cs="Arial"/>
        </w:rPr>
        <w:t>the ACMA finds a breach of the c</w:t>
      </w:r>
      <w:r w:rsidRPr="001E2783">
        <w:rPr>
          <w:rFonts w:cs="Arial"/>
        </w:rPr>
        <w:t>ode, it can:</w:t>
      </w:r>
    </w:p>
    <w:p w14:paraId="0A20B4D0" w14:textId="77777777" w:rsidR="005B1BD4" w:rsidRPr="001E2783" w:rsidRDefault="005B1BD4" w:rsidP="00D249B3">
      <w:pPr>
        <w:pStyle w:val="ListBullet"/>
        <w:rPr>
          <w:rFonts w:cs="Arial"/>
        </w:rPr>
      </w:pPr>
      <w:r w:rsidRPr="001E2783">
        <w:rPr>
          <w:rFonts w:cs="Arial"/>
        </w:rPr>
        <w:t>agree with the telecommunications provider on steps it will take to remedy the breach or improve compliance</w:t>
      </w:r>
    </w:p>
    <w:p w14:paraId="23C54DD4" w14:textId="77777777" w:rsidR="005B1BD4" w:rsidRPr="001E2783" w:rsidRDefault="005B1BD4" w:rsidP="00D249B3">
      <w:pPr>
        <w:pStyle w:val="ListBullet"/>
        <w:rPr>
          <w:rFonts w:cs="Arial"/>
        </w:rPr>
      </w:pPr>
      <w:r w:rsidRPr="001E2783">
        <w:rPr>
          <w:rFonts w:cs="Arial"/>
        </w:rPr>
        <w:t>issue a formal warning</w:t>
      </w:r>
    </w:p>
    <w:p w14:paraId="634795AE" w14:textId="77777777" w:rsidR="005B1BD4" w:rsidRPr="001E2783" w:rsidRDefault="005B1BD4" w:rsidP="00D249B3">
      <w:pPr>
        <w:pStyle w:val="ListBullet"/>
        <w:spacing w:after="240"/>
        <w:rPr>
          <w:rFonts w:cs="Arial"/>
        </w:rPr>
      </w:pPr>
      <w:r w:rsidRPr="001E2783">
        <w:rPr>
          <w:rFonts w:cs="Arial"/>
        </w:rPr>
        <w:t>give a direction to comply with the code or code provision</w:t>
      </w:r>
      <w:r w:rsidR="005E4C73" w:rsidRPr="001E2783">
        <w:rPr>
          <w:rFonts w:cs="Arial"/>
        </w:rPr>
        <w:t xml:space="preserve"> under section </w:t>
      </w:r>
      <w:r w:rsidR="006A5593" w:rsidRPr="001E2783">
        <w:rPr>
          <w:rFonts w:cs="Arial"/>
        </w:rPr>
        <w:t>121 of the Telecommunications Act</w:t>
      </w:r>
      <w:r w:rsidRPr="001E2783">
        <w:rPr>
          <w:rFonts w:cs="Arial"/>
        </w:rPr>
        <w:t>.</w:t>
      </w:r>
    </w:p>
    <w:p w14:paraId="4C4621FB" w14:textId="77777777" w:rsidR="005B1BD4" w:rsidRPr="001E2783" w:rsidRDefault="005B1BD4" w:rsidP="005B1BD4">
      <w:pPr>
        <w:rPr>
          <w:rFonts w:cs="Arial"/>
        </w:rPr>
      </w:pPr>
      <w:r w:rsidRPr="001E2783">
        <w:rPr>
          <w:rFonts w:cs="Arial"/>
        </w:rPr>
        <w:t xml:space="preserve">If a </w:t>
      </w:r>
      <w:r w:rsidR="005E4C73" w:rsidRPr="001E2783">
        <w:rPr>
          <w:rFonts w:cs="Arial"/>
        </w:rPr>
        <w:t>section </w:t>
      </w:r>
      <w:r w:rsidR="006A5593" w:rsidRPr="001E2783">
        <w:rPr>
          <w:rFonts w:cs="Arial"/>
        </w:rPr>
        <w:t xml:space="preserve">121 </w:t>
      </w:r>
      <w:r w:rsidRPr="001E2783">
        <w:rPr>
          <w:rFonts w:cs="Arial"/>
        </w:rPr>
        <w:t>direction is breached, the ACMA may commence Federal Court proce</w:t>
      </w:r>
      <w:r w:rsidR="005E4C73" w:rsidRPr="001E2783">
        <w:rPr>
          <w:rFonts w:cs="Arial"/>
        </w:rPr>
        <w:t>edings. In addition, under Part </w:t>
      </w:r>
      <w:r w:rsidRPr="001E2783">
        <w:rPr>
          <w:rFonts w:cs="Arial"/>
        </w:rPr>
        <w:t xml:space="preserve">31B of the Telecommunications Act, the ACMA may issue an infringement notice for an alleged contravention of certain civil penalty provisions relating to telecommunications. An infringement notice may be given as an alternative to the </w:t>
      </w:r>
      <w:r w:rsidR="00D249B3" w:rsidRPr="001E2783">
        <w:rPr>
          <w:rFonts w:cs="Arial"/>
        </w:rPr>
        <w:t xml:space="preserve">ACMA </w:t>
      </w:r>
      <w:r w:rsidRPr="001E2783">
        <w:rPr>
          <w:rFonts w:cs="Arial"/>
        </w:rPr>
        <w:t>instituti</w:t>
      </w:r>
      <w:r w:rsidR="00D249B3" w:rsidRPr="001E2783">
        <w:rPr>
          <w:rFonts w:cs="Arial"/>
        </w:rPr>
        <w:t>ng</w:t>
      </w:r>
      <w:r w:rsidRPr="001E2783">
        <w:rPr>
          <w:rFonts w:cs="Arial"/>
        </w:rPr>
        <w:t xml:space="preserve"> proceedings in a Federal Court.  </w:t>
      </w:r>
    </w:p>
    <w:p w14:paraId="399277FF" w14:textId="77777777" w:rsidR="00D249B3" w:rsidRPr="001E2783" w:rsidRDefault="00D249B3" w:rsidP="005B1BD4">
      <w:pPr>
        <w:rPr>
          <w:rFonts w:cs="Arial"/>
        </w:rPr>
      </w:pPr>
    </w:p>
    <w:p w14:paraId="431234FF" w14:textId="77777777" w:rsidR="00D249B3" w:rsidRPr="001E2783" w:rsidRDefault="00D249B3" w:rsidP="00D7424F">
      <w:pPr>
        <w:pStyle w:val="BodysubheaderH4"/>
        <w:rPr>
          <w:rFonts w:cs="Arial"/>
        </w:rPr>
      </w:pPr>
      <w:r w:rsidRPr="001E2783">
        <w:rPr>
          <w:rFonts w:cs="Arial"/>
        </w:rPr>
        <w:t>Enquiries and investigations about compliance with the TCP Code</w:t>
      </w:r>
    </w:p>
    <w:p w14:paraId="2C87FFCB" w14:textId="77777777" w:rsidR="00D249B3" w:rsidRPr="001E2783" w:rsidRDefault="00D249B3" w:rsidP="00D249B3">
      <w:pPr>
        <w:rPr>
          <w:rFonts w:cs="Arial"/>
        </w:rPr>
      </w:pPr>
      <w:r w:rsidRPr="001E2783">
        <w:rPr>
          <w:rFonts w:cs="Arial"/>
        </w:rPr>
        <w:t xml:space="preserve">During the reporting period, the ACMA continued to focus on improving industry compliance with the TCP Code, with a shifting emphasis from education to investigation and enforcement. </w:t>
      </w:r>
    </w:p>
    <w:p w14:paraId="786CCA76" w14:textId="77777777" w:rsidR="00D249B3" w:rsidRPr="001E2783" w:rsidRDefault="00D249B3" w:rsidP="00D7424F">
      <w:pPr>
        <w:rPr>
          <w:rFonts w:cs="Arial"/>
        </w:rPr>
      </w:pPr>
    </w:p>
    <w:p w14:paraId="00A00828" w14:textId="77777777" w:rsidR="00D249B3" w:rsidRPr="001E2783" w:rsidRDefault="00D249B3" w:rsidP="00D249B3">
      <w:pPr>
        <w:rPr>
          <w:rFonts w:cs="Arial"/>
        </w:rPr>
      </w:pPr>
      <w:r w:rsidRPr="001E2783">
        <w:rPr>
          <w:rFonts w:cs="Arial"/>
        </w:rPr>
        <w:t xml:space="preserve">During the reporting period, the ACMA commenced over 140 enquiries into the compliance of suppliers with the TCP Code. It also began several reviews based on areas of concern identified through compliance activities undertaken in 2012–13 and 2013–14. </w:t>
      </w:r>
    </w:p>
    <w:p w14:paraId="1665A09B" w14:textId="77777777" w:rsidR="00D249B3" w:rsidRPr="001E2783" w:rsidRDefault="00D249B3" w:rsidP="005B1BD4">
      <w:pPr>
        <w:rPr>
          <w:rFonts w:cs="Arial"/>
        </w:rPr>
      </w:pPr>
    </w:p>
    <w:tbl>
      <w:tblPr>
        <w:tblW w:w="9782" w:type="dxa"/>
        <w:tblLayout w:type="fixed"/>
        <w:tblCellMar>
          <w:left w:w="0" w:type="dxa"/>
          <w:right w:w="0" w:type="dxa"/>
        </w:tblCellMar>
        <w:tblLook w:val="01E0" w:firstRow="1" w:lastRow="1" w:firstColumn="1" w:lastColumn="1" w:noHBand="0" w:noVBand="0"/>
      </w:tblPr>
      <w:tblGrid>
        <w:gridCol w:w="9782"/>
      </w:tblGrid>
      <w:tr w:rsidR="001E2783" w:rsidRPr="001E2783" w14:paraId="48006453" w14:textId="77777777" w:rsidTr="00CC314F">
        <w:trPr>
          <w:trHeight w:val="570"/>
        </w:trPr>
        <w:tc>
          <w:tcPr>
            <w:tcW w:w="9782" w:type="dxa"/>
            <w:tcBorders>
              <w:top w:val="single" w:sz="2" w:space="0" w:color="505050"/>
            </w:tcBorders>
            <w:shd w:val="clear" w:color="auto" w:fill="auto"/>
            <w:vAlign w:val="center"/>
          </w:tcPr>
          <w:p w14:paraId="53CF0505" w14:textId="77777777" w:rsidR="00F061F9" w:rsidRPr="001E2783" w:rsidRDefault="00F061F9" w:rsidP="003A273B">
            <w:pPr>
              <w:pStyle w:val="Caption"/>
              <w:keepNext/>
              <w:keepLines/>
              <w:rPr>
                <w:rFonts w:ascii="Arial" w:hAnsi="Arial" w:cs="Arial"/>
                <w:color w:val="auto"/>
              </w:rPr>
            </w:pPr>
            <w:r w:rsidRPr="00D3485F">
              <w:rPr>
                <w:rFonts w:ascii="Arial" w:hAnsi="Arial" w:cs="Arial"/>
              </w:rPr>
              <w:t>Table 2</w:t>
            </w:r>
            <w:r w:rsidR="00B30D9A" w:rsidRPr="00D3485F">
              <w:rPr>
                <w:rFonts w:ascii="Arial" w:hAnsi="Arial" w:cs="Arial"/>
              </w:rPr>
              <w:t>6</w:t>
            </w:r>
            <w:r w:rsidRPr="00D3485F">
              <w:rPr>
                <w:rFonts w:ascii="Arial" w:hAnsi="Arial" w:cs="Arial"/>
              </w:rPr>
              <w:t xml:space="preserve">: Investigations and enforcement action into compliance with the TCP Code, </w:t>
            </w:r>
            <w:r w:rsidR="00B30D9A" w:rsidRPr="00D3485F">
              <w:rPr>
                <w:rFonts w:ascii="Arial" w:hAnsi="Arial" w:cs="Arial"/>
              </w:rPr>
              <w:br/>
            </w:r>
            <w:r w:rsidR="003A273B" w:rsidRPr="00D3485F">
              <w:rPr>
                <w:rFonts w:ascii="Arial" w:hAnsi="Arial" w:cs="Arial"/>
              </w:rPr>
              <w:t xml:space="preserve">2013–14 and </w:t>
            </w:r>
            <w:r w:rsidRPr="00D3485F">
              <w:rPr>
                <w:rFonts w:ascii="Arial" w:hAnsi="Arial" w:cs="Arial"/>
              </w:rPr>
              <w:t>2012–13</w:t>
            </w:r>
            <w:r w:rsidRPr="001E2783">
              <w:rPr>
                <w:rFonts w:ascii="Arial" w:hAnsi="Arial" w:cs="Arial"/>
                <w:color w:val="auto"/>
              </w:rPr>
              <w:t xml:space="preserve"> </w:t>
            </w:r>
          </w:p>
        </w:tc>
      </w:tr>
      <w:tr w:rsidR="001E2783" w:rsidRPr="001E2783" w14:paraId="2E8A8C79" w14:textId="77777777" w:rsidTr="00CC314F">
        <w:trPr>
          <w:trHeight w:val="1437"/>
        </w:trPr>
        <w:tc>
          <w:tcPr>
            <w:tcW w:w="9782" w:type="dxa"/>
            <w:shd w:val="clear" w:color="auto" w:fill="auto"/>
            <w:tcMar>
              <w:left w:w="28" w:type="dxa"/>
            </w:tcMar>
          </w:tcPr>
          <w:tbl>
            <w:tblPr>
              <w:tblW w:w="9744" w:type="dxa"/>
              <w:tblBorders>
                <w:top w:val="single" w:sz="8"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0" w:type="dxa"/>
                <w:right w:w="0" w:type="dxa"/>
              </w:tblCellMar>
              <w:tblLook w:val="04A0" w:firstRow="1" w:lastRow="0" w:firstColumn="1" w:lastColumn="0" w:noHBand="0" w:noVBand="1"/>
            </w:tblPr>
            <w:tblGrid>
              <w:gridCol w:w="3507"/>
              <w:gridCol w:w="1559"/>
              <w:gridCol w:w="1559"/>
              <w:gridCol w:w="1559"/>
              <w:gridCol w:w="1560"/>
            </w:tblGrid>
            <w:tr w:rsidR="001E2783" w:rsidRPr="001E2783" w14:paraId="3A6D4CB2" w14:textId="77777777" w:rsidTr="00246C7D">
              <w:trPr>
                <w:trHeight w:val="256"/>
              </w:trPr>
              <w:tc>
                <w:tcPr>
                  <w:tcW w:w="3507" w:type="dxa"/>
                  <w:shd w:val="clear" w:color="auto" w:fill="404040" w:themeFill="text1" w:themeFillTint="BF"/>
                  <w:tcMar>
                    <w:top w:w="0" w:type="dxa"/>
                    <w:left w:w="108" w:type="dxa"/>
                    <w:bottom w:w="0" w:type="dxa"/>
                    <w:right w:w="108" w:type="dxa"/>
                  </w:tcMar>
                  <w:vAlign w:val="center"/>
                  <w:hideMark/>
                </w:tcPr>
                <w:p w14:paraId="52159BAB" w14:textId="77777777" w:rsidR="003A273B" w:rsidRPr="000544EA" w:rsidRDefault="003A273B" w:rsidP="00F061F9">
                  <w:pPr>
                    <w:pStyle w:val="TableHeading"/>
                    <w:rPr>
                      <w:rFonts w:ascii="Arial" w:hAnsi="Arial" w:cs="Arial"/>
                      <w:color w:val="FFFFFF" w:themeColor="background1"/>
                      <w:szCs w:val="20"/>
                      <w:lang w:val="en-US"/>
                    </w:rPr>
                  </w:pPr>
                  <w:r w:rsidRPr="000544EA">
                    <w:rPr>
                      <w:rFonts w:ascii="Arial" w:hAnsi="Arial" w:cs="Arial"/>
                      <w:color w:val="FFFFFF" w:themeColor="background1"/>
                      <w:szCs w:val="20"/>
                      <w:lang w:val="en-US"/>
                    </w:rPr>
                    <w:t>Topic</w:t>
                  </w:r>
                </w:p>
              </w:tc>
              <w:tc>
                <w:tcPr>
                  <w:tcW w:w="6237" w:type="dxa"/>
                  <w:gridSpan w:val="4"/>
                  <w:shd w:val="clear" w:color="auto" w:fill="404040" w:themeFill="text1" w:themeFillTint="BF"/>
                  <w:vAlign w:val="center"/>
                </w:tcPr>
                <w:p w14:paraId="2201CEF5" w14:textId="77777777" w:rsidR="003A273B" w:rsidRPr="000544EA" w:rsidRDefault="003A273B" w:rsidP="00F061F9">
                  <w:pPr>
                    <w:pStyle w:val="TableHeading"/>
                    <w:jc w:val="center"/>
                    <w:rPr>
                      <w:rFonts w:ascii="Arial" w:hAnsi="Arial" w:cs="Arial"/>
                      <w:color w:val="FFFFFF" w:themeColor="background1"/>
                      <w:szCs w:val="20"/>
                    </w:rPr>
                  </w:pPr>
                  <w:r w:rsidRPr="000544EA">
                    <w:rPr>
                      <w:rFonts w:ascii="Arial" w:hAnsi="Arial" w:cs="Arial"/>
                      <w:color w:val="FFFFFF" w:themeColor="background1"/>
                      <w:szCs w:val="20"/>
                    </w:rPr>
                    <w:t>2013–14</w:t>
                  </w:r>
                </w:p>
              </w:tc>
            </w:tr>
            <w:tr w:rsidR="001E2783" w:rsidRPr="001E2783" w14:paraId="06FF9D70" w14:textId="77777777" w:rsidTr="00246C7D">
              <w:tc>
                <w:tcPr>
                  <w:tcW w:w="3507" w:type="dxa"/>
                  <w:shd w:val="clear" w:color="auto" w:fill="F2F2F2" w:themeFill="background1" w:themeFillShade="F2"/>
                  <w:tcMar>
                    <w:top w:w="0" w:type="dxa"/>
                    <w:left w:w="108" w:type="dxa"/>
                    <w:bottom w:w="0" w:type="dxa"/>
                    <w:right w:w="108" w:type="dxa"/>
                  </w:tcMar>
                  <w:vAlign w:val="center"/>
                </w:tcPr>
                <w:p w14:paraId="0E240B47" w14:textId="77777777" w:rsidR="003A273B" w:rsidRPr="001E2783" w:rsidRDefault="003A273B" w:rsidP="00F061F9">
                  <w:pPr>
                    <w:rPr>
                      <w:rFonts w:cs="Arial"/>
                      <w:b/>
                      <w:bCs/>
                      <w:szCs w:val="20"/>
                      <w:lang w:val="en-US"/>
                    </w:rPr>
                  </w:pPr>
                </w:p>
              </w:tc>
              <w:tc>
                <w:tcPr>
                  <w:tcW w:w="1559" w:type="dxa"/>
                  <w:shd w:val="clear" w:color="auto" w:fill="F2F2F2" w:themeFill="background1" w:themeFillShade="F2"/>
                  <w:tcMar>
                    <w:right w:w="57" w:type="dxa"/>
                  </w:tcMar>
                  <w:vAlign w:val="center"/>
                </w:tcPr>
                <w:p w14:paraId="17D168A1" w14:textId="77777777" w:rsidR="003A273B" w:rsidRPr="001E2783" w:rsidRDefault="003A273B" w:rsidP="00970328">
                  <w:pPr>
                    <w:pStyle w:val="TableHeading"/>
                    <w:jc w:val="right"/>
                    <w:rPr>
                      <w:rFonts w:ascii="Arial" w:hAnsi="Arial" w:cs="Arial"/>
                      <w:szCs w:val="20"/>
                      <w:lang w:val="en-US"/>
                    </w:rPr>
                  </w:pPr>
                  <w:r w:rsidRPr="001E2783">
                    <w:rPr>
                      <w:rFonts w:ascii="Arial" w:hAnsi="Arial" w:cs="Arial"/>
                      <w:szCs w:val="20"/>
                      <w:lang w:val="en-US"/>
                    </w:rPr>
                    <w:t>Investigations commenced</w:t>
                  </w:r>
                </w:p>
              </w:tc>
              <w:tc>
                <w:tcPr>
                  <w:tcW w:w="1559" w:type="dxa"/>
                  <w:shd w:val="clear" w:color="auto" w:fill="F2F2F2" w:themeFill="background1" w:themeFillShade="F2"/>
                  <w:tcMar>
                    <w:right w:w="57" w:type="dxa"/>
                  </w:tcMar>
                  <w:vAlign w:val="center"/>
                </w:tcPr>
                <w:p w14:paraId="57A7A70D" w14:textId="77777777" w:rsidR="003A273B" w:rsidRPr="001E2783" w:rsidRDefault="003A273B" w:rsidP="00970328">
                  <w:pPr>
                    <w:pStyle w:val="TableHeading"/>
                    <w:jc w:val="right"/>
                    <w:rPr>
                      <w:rFonts w:ascii="Arial" w:hAnsi="Arial" w:cs="Arial"/>
                      <w:szCs w:val="20"/>
                      <w:lang w:val="en-US"/>
                    </w:rPr>
                  </w:pPr>
                  <w:r w:rsidRPr="001E2783">
                    <w:rPr>
                      <w:rFonts w:ascii="Arial" w:hAnsi="Arial" w:cs="Arial"/>
                      <w:szCs w:val="20"/>
                      <w:lang w:val="en-US"/>
                    </w:rPr>
                    <w:t>Formal warnings</w:t>
                  </w:r>
                </w:p>
              </w:tc>
              <w:tc>
                <w:tcPr>
                  <w:tcW w:w="1559" w:type="dxa"/>
                  <w:shd w:val="clear" w:color="auto" w:fill="F2F2F2" w:themeFill="background1" w:themeFillShade="F2"/>
                  <w:tcMar>
                    <w:right w:w="57" w:type="dxa"/>
                  </w:tcMar>
                  <w:vAlign w:val="center"/>
                </w:tcPr>
                <w:p w14:paraId="55C09143" w14:textId="77777777" w:rsidR="003A273B" w:rsidRPr="001E2783" w:rsidRDefault="003A273B" w:rsidP="00970328">
                  <w:pPr>
                    <w:pStyle w:val="TableHeading"/>
                    <w:jc w:val="right"/>
                    <w:rPr>
                      <w:rFonts w:ascii="Arial" w:hAnsi="Arial" w:cs="Arial"/>
                      <w:szCs w:val="20"/>
                      <w:lang w:val="en-US"/>
                    </w:rPr>
                  </w:pPr>
                  <w:r w:rsidRPr="001E2783">
                    <w:rPr>
                      <w:rFonts w:ascii="Arial" w:hAnsi="Arial" w:cs="Arial"/>
                      <w:szCs w:val="20"/>
                      <w:lang w:val="en-US"/>
                    </w:rPr>
                    <w:t>Directions</w:t>
                  </w:r>
                </w:p>
              </w:tc>
              <w:tc>
                <w:tcPr>
                  <w:tcW w:w="1560" w:type="dxa"/>
                  <w:shd w:val="clear" w:color="auto" w:fill="F2F2F2" w:themeFill="background1" w:themeFillShade="F2"/>
                  <w:tcMar>
                    <w:right w:w="57" w:type="dxa"/>
                  </w:tcMar>
                  <w:vAlign w:val="center"/>
                </w:tcPr>
                <w:p w14:paraId="579194A0" w14:textId="77777777" w:rsidR="003A273B" w:rsidRPr="001E2783" w:rsidRDefault="003A273B" w:rsidP="00970328">
                  <w:pPr>
                    <w:pStyle w:val="TableHeading"/>
                    <w:jc w:val="right"/>
                    <w:rPr>
                      <w:rFonts w:ascii="Arial" w:hAnsi="Arial" w:cs="Arial"/>
                      <w:szCs w:val="20"/>
                      <w:lang w:val="en-US"/>
                    </w:rPr>
                  </w:pPr>
                  <w:r w:rsidRPr="001E2783">
                    <w:rPr>
                      <w:rFonts w:ascii="Arial" w:hAnsi="Arial" w:cs="Arial"/>
                      <w:szCs w:val="20"/>
                      <w:lang w:val="en-US"/>
                    </w:rPr>
                    <w:t>Infringement notices</w:t>
                  </w:r>
                </w:p>
              </w:tc>
            </w:tr>
            <w:tr w:rsidR="001E2783" w:rsidRPr="001E2783" w14:paraId="667F5AA4" w14:textId="77777777" w:rsidTr="00246C7D">
              <w:trPr>
                <w:trHeight w:val="547"/>
              </w:trPr>
              <w:tc>
                <w:tcPr>
                  <w:tcW w:w="3507" w:type="dxa"/>
                  <w:tcMar>
                    <w:top w:w="0" w:type="dxa"/>
                    <w:left w:w="108" w:type="dxa"/>
                    <w:bottom w:w="0" w:type="dxa"/>
                    <w:right w:w="108" w:type="dxa"/>
                  </w:tcMar>
                  <w:vAlign w:val="center"/>
                  <w:hideMark/>
                </w:tcPr>
                <w:p w14:paraId="174786F7" w14:textId="77777777" w:rsidR="00D571AC" w:rsidRPr="001E2783" w:rsidRDefault="00D571AC" w:rsidP="003A273B">
                  <w:pPr>
                    <w:pStyle w:val="TableTextLeft"/>
                    <w:rPr>
                      <w:rFonts w:cs="Arial"/>
                      <w:sz w:val="20"/>
                      <w:lang w:val="en-US"/>
                    </w:rPr>
                  </w:pPr>
                  <w:r w:rsidRPr="001E2783">
                    <w:rPr>
                      <w:rFonts w:cs="Arial"/>
                      <w:sz w:val="20"/>
                      <w:lang w:val="en-US"/>
                    </w:rPr>
                    <w:t>Advertising and point of sale (includes critical information summaries)</w:t>
                  </w:r>
                </w:p>
              </w:tc>
              <w:tc>
                <w:tcPr>
                  <w:tcW w:w="1559" w:type="dxa"/>
                  <w:tcMar>
                    <w:left w:w="108" w:type="dxa"/>
                    <w:right w:w="108" w:type="dxa"/>
                  </w:tcMar>
                  <w:vAlign w:val="center"/>
                </w:tcPr>
                <w:p w14:paraId="2E116AD4" w14:textId="77777777" w:rsidR="00D571AC" w:rsidRPr="001E2783" w:rsidRDefault="00D571AC" w:rsidP="00970328">
                  <w:pPr>
                    <w:pStyle w:val="TableTextLeft"/>
                    <w:jc w:val="right"/>
                    <w:rPr>
                      <w:rFonts w:cs="Arial"/>
                      <w:sz w:val="20"/>
                      <w:lang w:val="en-US"/>
                    </w:rPr>
                  </w:pPr>
                  <w:r w:rsidRPr="001E2783">
                    <w:rPr>
                      <w:rFonts w:cs="Arial"/>
                      <w:sz w:val="20"/>
                      <w:lang w:val="en-US"/>
                    </w:rPr>
                    <w:t>6</w:t>
                  </w:r>
                </w:p>
              </w:tc>
              <w:tc>
                <w:tcPr>
                  <w:tcW w:w="1559" w:type="dxa"/>
                  <w:tcMar>
                    <w:left w:w="108" w:type="dxa"/>
                    <w:right w:w="108" w:type="dxa"/>
                  </w:tcMar>
                  <w:vAlign w:val="center"/>
                </w:tcPr>
                <w:p w14:paraId="6D3C0A39" w14:textId="77777777" w:rsidR="00D571AC" w:rsidRPr="001E2783" w:rsidRDefault="00D571AC" w:rsidP="00970328">
                  <w:pPr>
                    <w:pStyle w:val="TableTextLeft"/>
                    <w:jc w:val="right"/>
                    <w:rPr>
                      <w:rFonts w:cs="Arial"/>
                      <w:sz w:val="20"/>
                      <w:lang w:val="en-US"/>
                    </w:rPr>
                  </w:pPr>
                  <w:r w:rsidRPr="001E2783">
                    <w:rPr>
                      <w:rFonts w:cs="Arial"/>
                      <w:sz w:val="20"/>
                      <w:lang w:val="en-US"/>
                    </w:rPr>
                    <w:t>2</w:t>
                  </w:r>
                </w:p>
              </w:tc>
              <w:tc>
                <w:tcPr>
                  <w:tcW w:w="1559" w:type="dxa"/>
                  <w:tcMar>
                    <w:left w:w="108" w:type="dxa"/>
                    <w:right w:w="108" w:type="dxa"/>
                  </w:tcMar>
                  <w:vAlign w:val="center"/>
                </w:tcPr>
                <w:p w14:paraId="33612A4A" w14:textId="77777777" w:rsidR="00D571AC" w:rsidRPr="001E2783" w:rsidRDefault="00D571AC" w:rsidP="00970328">
                  <w:pPr>
                    <w:pStyle w:val="TableTextLeft"/>
                    <w:jc w:val="right"/>
                    <w:rPr>
                      <w:rFonts w:cs="Arial"/>
                      <w:sz w:val="20"/>
                      <w:lang w:val="en-US"/>
                    </w:rPr>
                  </w:pPr>
                  <w:r w:rsidRPr="001E2783">
                    <w:rPr>
                      <w:rFonts w:cs="Arial"/>
                      <w:sz w:val="20"/>
                      <w:lang w:val="en-US"/>
                    </w:rPr>
                    <w:t>–</w:t>
                  </w:r>
                </w:p>
              </w:tc>
              <w:tc>
                <w:tcPr>
                  <w:tcW w:w="1560" w:type="dxa"/>
                  <w:tcMar>
                    <w:left w:w="108" w:type="dxa"/>
                    <w:right w:w="108" w:type="dxa"/>
                  </w:tcMar>
                  <w:vAlign w:val="center"/>
                </w:tcPr>
                <w:p w14:paraId="31A01CD8" w14:textId="77777777" w:rsidR="00D571AC" w:rsidRPr="001E2783" w:rsidRDefault="00D571AC" w:rsidP="00970328">
                  <w:pPr>
                    <w:jc w:val="right"/>
                    <w:rPr>
                      <w:rFonts w:cs="Arial"/>
                      <w:szCs w:val="20"/>
                    </w:rPr>
                  </w:pPr>
                  <w:r w:rsidRPr="001E2783">
                    <w:rPr>
                      <w:rFonts w:cs="Arial"/>
                      <w:szCs w:val="20"/>
                      <w:lang w:val="en-US"/>
                    </w:rPr>
                    <w:t>–</w:t>
                  </w:r>
                </w:p>
              </w:tc>
            </w:tr>
            <w:tr w:rsidR="001E2783" w:rsidRPr="001E2783" w14:paraId="3B5A3009" w14:textId="77777777" w:rsidTr="00246C7D">
              <w:trPr>
                <w:trHeight w:val="413"/>
              </w:trPr>
              <w:tc>
                <w:tcPr>
                  <w:tcW w:w="3507" w:type="dxa"/>
                  <w:tcMar>
                    <w:top w:w="0" w:type="dxa"/>
                    <w:left w:w="108" w:type="dxa"/>
                    <w:bottom w:w="0" w:type="dxa"/>
                    <w:right w:w="108" w:type="dxa"/>
                  </w:tcMar>
                  <w:vAlign w:val="center"/>
                  <w:hideMark/>
                </w:tcPr>
                <w:p w14:paraId="3EC52D0E" w14:textId="77777777" w:rsidR="00D571AC" w:rsidRPr="001E2783" w:rsidRDefault="00D571AC" w:rsidP="00F061F9">
                  <w:pPr>
                    <w:pStyle w:val="TableTextLeft"/>
                    <w:rPr>
                      <w:rFonts w:cs="Arial"/>
                      <w:sz w:val="20"/>
                      <w:lang w:val="en-US"/>
                    </w:rPr>
                  </w:pPr>
                  <w:r w:rsidRPr="001E2783">
                    <w:rPr>
                      <w:rFonts w:cs="Arial"/>
                      <w:sz w:val="20"/>
                      <w:lang w:val="en-US"/>
                    </w:rPr>
                    <w:t>Billing</w:t>
                  </w:r>
                </w:p>
              </w:tc>
              <w:tc>
                <w:tcPr>
                  <w:tcW w:w="1559" w:type="dxa"/>
                  <w:tcMar>
                    <w:left w:w="108" w:type="dxa"/>
                    <w:right w:w="108" w:type="dxa"/>
                  </w:tcMar>
                  <w:vAlign w:val="center"/>
                </w:tcPr>
                <w:p w14:paraId="2D5E4602" w14:textId="77777777" w:rsidR="00D571AC" w:rsidRPr="001E2783" w:rsidRDefault="00D571AC" w:rsidP="00970328">
                  <w:pPr>
                    <w:pStyle w:val="TableTextLeft"/>
                    <w:jc w:val="right"/>
                    <w:rPr>
                      <w:rFonts w:cs="Arial"/>
                      <w:sz w:val="20"/>
                      <w:lang w:val="en-US"/>
                    </w:rPr>
                  </w:pPr>
                  <w:r w:rsidRPr="001E2783">
                    <w:rPr>
                      <w:rFonts w:cs="Arial"/>
                      <w:sz w:val="20"/>
                      <w:lang w:val="en-US"/>
                    </w:rPr>
                    <w:t>2</w:t>
                  </w:r>
                </w:p>
              </w:tc>
              <w:tc>
                <w:tcPr>
                  <w:tcW w:w="1559" w:type="dxa"/>
                  <w:tcMar>
                    <w:left w:w="108" w:type="dxa"/>
                    <w:right w:w="108" w:type="dxa"/>
                  </w:tcMar>
                  <w:vAlign w:val="center"/>
                </w:tcPr>
                <w:p w14:paraId="14B07EFD" w14:textId="77777777" w:rsidR="00D571AC" w:rsidRPr="001E2783" w:rsidRDefault="00D571AC" w:rsidP="00970328">
                  <w:pPr>
                    <w:pStyle w:val="TableTextLeft"/>
                    <w:jc w:val="right"/>
                    <w:rPr>
                      <w:rFonts w:cs="Arial"/>
                      <w:sz w:val="20"/>
                      <w:lang w:val="en-US"/>
                    </w:rPr>
                  </w:pPr>
                  <w:r w:rsidRPr="001E2783">
                    <w:rPr>
                      <w:rFonts w:cs="Arial"/>
                      <w:sz w:val="20"/>
                      <w:lang w:val="en-US"/>
                    </w:rPr>
                    <w:t>4</w:t>
                  </w:r>
                </w:p>
              </w:tc>
              <w:tc>
                <w:tcPr>
                  <w:tcW w:w="1559" w:type="dxa"/>
                  <w:tcMar>
                    <w:left w:w="108" w:type="dxa"/>
                    <w:right w:w="108" w:type="dxa"/>
                  </w:tcMar>
                  <w:vAlign w:val="center"/>
                </w:tcPr>
                <w:p w14:paraId="52047598" w14:textId="77777777" w:rsidR="00D571AC" w:rsidRPr="001E2783" w:rsidRDefault="00D571AC" w:rsidP="00970328">
                  <w:pPr>
                    <w:jc w:val="right"/>
                    <w:rPr>
                      <w:rFonts w:cs="Arial"/>
                      <w:szCs w:val="20"/>
                    </w:rPr>
                  </w:pPr>
                  <w:r w:rsidRPr="001E2783">
                    <w:rPr>
                      <w:rFonts w:cs="Arial"/>
                      <w:szCs w:val="20"/>
                      <w:lang w:val="en-US"/>
                    </w:rPr>
                    <w:t>–</w:t>
                  </w:r>
                </w:p>
              </w:tc>
              <w:tc>
                <w:tcPr>
                  <w:tcW w:w="1560" w:type="dxa"/>
                  <w:tcMar>
                    <w:left w:w="108" w:type="dxa"/>
                    <w:right w:w="108" w:type="dxa"/>
                  </w:tcMar>
                  <w:vAlign w:val="center"/>
                </w:tcPr>
                <w:p w14:paraId="10201F37" w14:textId="77777777" w:rsidR="00D571AC" w:rsidRPr="001E2783" w:rsidRDefault="00D571AC" w:rsidP="00970328">
                  <w:pPr>
                    <w:jc w:val="right"/>
                    <w:rPr>
                      <w:rFonts w:cs="Arial"/>
                      <w:szCs w:val="20"/>
                    </w:rPr>
                  </w:pPr>
                  <w:r w:rsidRPr="001E2783">
                    <w:rPr>
                      <w:rFonts w:cs="Arial"/>
                      <w:szCs w:val="20"/>
                      <w:lang w:val="en-US"/>
                    </w:rPr>
                    <w:t>–</w:t>
                  </w:r>
                </w:p>
              </w:tc>
            </w:tr>
            <w:tr w:rsidR="001E2783" w:rsidRPr="001E2783" w14:paraId="6141EE8F" w14:textId="77777777" w:rsidTr="00246C7D">
              <w:trPr>
                <w:trHeight w:val="418"/>
              </w:trPr>
              <w:tc>
                <w:tcPr>
                  <w:tcW w:w="3507" w:type="dxa"/>
                  <w:tcMar>
                    <w:top w:w="0" w:type="dxa"/>
                    <w:left w:w="108" w:type="dxa"/>
                    <w:bottom w:w="0" w:type="dxa"/>
                    <w:right w:w="108" w:type="dxa"/>
                  </w:tcMar>
                  <w:vAlign w:val="center"/>
                  <w:hideMark/>
                </w:tcPr>
                <w:p w14:paraId="0DF1A5CF" w14:textId="77777777" w:rsidR="00D571AC" w:rsidRPr="001E2783" w:rsidRDefault="00D571AC" w:rsidP="00F061F9">
                  <w:pPr>
                    <w:pStyle w:val="TableTextLeft"/>
                    <w:rPr>
                      <w:rFonts w:cs="Arial"/>
                      <w:sz w:val="20"/>
                      <w:lang w:val="en-US"/>
                    </w:rPr>
                  </w:pPr>
                  <w:r w:rsidRPr="001E2783">
                    <w:rPr>
                      <w:rFonts w:cs="Arial"/>
                      <w:sz w:val="20"/>
                      <w:lang w:val="en-US"/>
                    </w:rPr>
                    <w:t>Usage alerts</w:t>
                  </w:r>
                </w:p>
              </w:tc>
              <w:tc>
                <w:tcPr>
                  <w:tcW w:w="1559" w:type="dxa"/>
                  <w:tcMar>
                    <w:left w:w="108" w:type="dxa"/>
                    <w:right w:w="108" w:type="dxa"/>
                  </w:tcMar>
                  <w:vAlign w:val="center"/>
                </w:tcPr>
                <w:p w14:paraId="0A72B631" w14:textId="77777777" w:rsidR="00D571AC" w:rsidRPr="001E2783" w:rsidRDefault="00D571AC" w:rsidP="00970328">
                  <w:pPr>
                    <w:pStyle w:val="TableTextLeft"/>
                    <w:jc w:val="right"/>
                    <w:rPr>
                      <w:rFonts w:cs="Arial"/>
                      <w:sz w:val="20"/>
                      <w:lang w:val="en-US"/>
                    </w:rPr>
                  </w:pPr>
                  <w:r w:rsidRPr="001E2783">
                    <w:rPr>
                      <w:rFonts w:cs="Arial"/>
                      <w:sz w:val="20"/>
                      <w:lang w:val="en-US"/>
                    </w:rPr>
                    <w:t>–</w:t>
                  </w:r>
                </w:p>
              </w:tc>
              <w:tc>
                <w:tcPr>
                  <w:tcW w:w="1559" w:type="dxa"/>
                  <w:tcMar>
                    <w:left w:w="108" w:type="dxa"/>
                    <w:right w:w="108" w:type="dxa"/>
                  </w:tcMar>
                  <w:vAlign w:val="center"/>
                </w:tcPr>
                <w:p w14:paraId="6DC42DEB" w14:textId="77777777" w:rsidR="00D571AC" w:rsidRPr="001E2783" w:rsidRDefault="00D571AC" w:rsidP="00970328">
                  <w:pPr>
                    <w:pStyle w:val="TableTextLeft"/>
                    <w:jc w:val="right"/>
                    <w:rPr>
                      <w:rFonts w:cs="Arial"/>
                      <w:sz w:val="20"/>
                      <w:lang w:val="en-US"/>
                    </w:rPr>
                  </w:pPr>
                  <w:r w:rsidRPr="001E2783">
                    <w:rPr>
                      <w:rFonts w:cs="Arial"/>
                      <w:sz w:val="20"/>
                      <w:lang w:val="en-US"/>
                    </w:rPr>
                    <w:t>1</w:t>
                  </w:r>
                </w:p>
              </w:tc>
              <w:tc>
                <w:tcPr>
                  <w:tcW w:w="1559" w:type="dxa"/>
                  <w:tcMar>
                    <w:left w:w="108" w:type="dxa"/>
                    <w:right w:w="108" w:type="dxa"/>
                  </w:tcMar>
                  <w:vAlign w:val="center"/>
                </w:tcPr>
                <w:p w14:paraId="1A229273" w14:textId="77777777" w:rsidR="00D571AC" w:rsidRPr="001E2783" w:rsidRDefault="00D571AC" w:rsidP="00970328">
                  <w:pPr>
                    <w:jc w:val="right"/>
                    <w:rPr>
                      <w:rFonts w:cs="Arial"/>
                      <w:szCs w:val="20"/>
                    </w:rPr>
                  </w:pPr>
                  <w:r w:rsidRPr="001E2783">
                    <w:rPr>
                      <w:rFonts w:cs="Arial"/>
                      <w:szCs w:val="20"/>
                      <w:lang w:val="en-US"/>
                    </w:rPr>
                    <w:t>–</w:t>
                  </w:r>
                </w:p>
              </w:tc>
              <w:tc>
                <w:tcPr>
                  <w:tcW w:w="1560" w:type="dxa"/>
                  <w:tcMar>
                    <w:left w:w="108" w:type="dxa"/>
                    <w:right w:w="108" w:type="dxa"/>
                  </w:tcMar>
                  <w:vAlign w:val="center"/>
                </w:tcPr>
                <w:p w14:paraId="3B5905D7" w14:textId="77777777" w:rsidR="00D571AC" w:rsidRPr="001E2783" w:rsidRDefault="00D571AC" w:rsidP="00970328">
                  <w:pPr>
                    <w:jc w:val="right"/>
                    <w:rPr>
                      <w:rFonts w:cs="Arial"/>
                      <w:szCs w:val="20"/>
                    </w:rPr>
                  </w:pPr>
                  <w:r w:rsidRPr="001E2783">
                    <w:rPr>
                      <w:rFonts w:cs="Arial"/>
                      <w:szCs w:val="20"/>
                      <w:lang w:val="en-US"/>
                    </w:rPr>
                    <w:t>–</w:t>
                  </w:r>
                </w:p>
              </w:tc>
            </w:tr>
            <w:tr w:rsidR="001E2783" w:rsidRPr="001E2783" w14:paraId="78F129D1" w14:textId="77777777" w:rsidTr="00246C7D">
              <w:trPr>
                <w:trHeight w:val="552"/>
              </w:trPr>
              <w:tc>
                <w:tcPr>
                  <w:tcW w:w="3507" w:type="dxa"/>
                  <w:tcMar>
                    <w:top w:w="0" w:type="dxa"/>
                    <w:left w:w="108" w:type="dxa"/>
                    <w:bottom w:w="0" w:type="dxa"/>
                    <w:right w:w="108" w:type="dxa"/>
                  </w:tcMar>
                  <w:vAlign w:val="center"/>
                  <w:hideMark/>
                </w:tcPr>
                <w:p w14:paraId="3969BB8B" w14:textId="77777777" w:rsidR="00D571AC" w:rsidRPr="001E2783" w:rsidRDefault="00D571AC" w:rsidP="00F061F9">
                  <w:pPr>
                    <w:pStyle w:val="TableTextLeft"/>
                    <w:rPr>
                      <w:rFonts w:cs="Arial"/>
                      <w:sz w:val="20"/>
                      <w:lang w:val="en-US"/>
                    </w:rPr>
                  </w:pPr>
                  <w:r w:rsidRPr="001E2783">
                    <w:rPr>
                      <w:rFonts w:cs="Arial"/>
                      <w:sz w:val="20"/>
                      <w:lang w:val="en-US"/>
                    </w:rPr>
                    <w:t>Changing suppliers</w:t>
                  </w:r>
                </w:p>
              </w:tc>
              <w:tc>
                <w:tcPr>
                  <w:tcW w:w="1559" w:type="dxa"/>
                  <w:tcMar>
                    <w:left w:w="108" w:type="dxa"/>
                    <w:right w:w="108" w:type="dxa"/>
                  </w:tcMar>
                  <w:vAlign w:val="center"/>
                </w:tcPr>
                <w:p w14:paraId="284C83F0" w14:textId="77777777" w:rsidR="00D571AC" w:rsidRPr="001E2783" w:rsidRDefault="00D571AC" w:rsidP="00970328">
                  <w:pPr>
                    <w:pStyle w:val="TableTextLeft"/>
                    <w:jc w:val="right"/>
                    <w:rPr>
                      <w:rFonts w:cs="Arial"/>
                      <w:sz w:val="20"/>
                      <w:lang w:val="en-US"/>
                    </w:rPr>
                  </w:pPr>
                  <w:r w:rsidRPr="001E2783">
                    <w:rPr>
                      <w:rFonts w:cs="Arial"/>
                      <w:sz w:val="20"/>
                      <w:lang w:val="en-US"/>
                    </w:rPr>
                    <w:t>12</w:t>
                  </w:r>
                </w:p>
              </w:tc>
              <w:tc>
                <w:tcPr>
                  <w:tcW w:w="1559" w:type="dxa"/>
                  <w:tcMar>
                    <w:left w:w="108" w:type="dxa"/>
                    <w:right w:w="108" w:type="dxa"/>
                  </w:tcMar>
                  <w:vAlign w:val="center"/>
                </w:tcPr>
                <w:p w14:paraId="1A6E49C2" w14:textId="77777777" w:rsidR="00D571AC" w:rsidRPr="001E2783" w:rsidRDefault="00D571AC" w:rsidP="00970328">
                  <w:pPr>
                    <w:pStyle w:val="TableTextLeft"/>
                    <w:jc w:val="right"/>
                    <w:rPr>
                      <w:rFonts w:cs="Arial"/>
                      <w:sz w:val="20"/>
                      <w:lang w:val="en-US"/>
                    </w:rPr>
                  </w:pPr>
                  <w:r w:rsidRPr="001E2783">
                    <w:rPr>
                      <w:rFonts w:cs="Arial"/>
                      <w:sz w:val="20"/>
                      <w:lang w:val="en-US"/>
                    </w:rPr>
                    <w:t>1</w:t>
                  </w:r>
                </w:p>
              </w:tc>
              <w:tc>
                <w:tcPr>
                  <w:tcW w:w="1559" w:type="dxa"/>
                  <w:tcMar>
                    <w:left w:w="108" w:type="dxa"/>
                    <w:right w:w="108" w:type="dxa"/>
                  </w:tcMar>
                  <w:vAlign w:val="center"/>
                </w:tcPr>
                <w:p w14:paraId="14105A77" w14:textId="77777777" w:rsidR="00D571AC" w:rsidRPr="001E2783" w:rsidRDefault="00D571AC" w:rsidP="00970328">
                  <w:pPr>
                    <w:pStyle w:val="TableTextLeft"/>
                    <w:jc w:val="right"/>
                    <w:rPr>
                      <w:rFonts w:cs="Arial"/>
                      <w:sz w:val="20"/>
                      <w:lang w:val="en-US"/>
                    </w:rPr>
                  </w:pPr>
                  <w:r w:rsidRPr="001E2783">
                    <w:rPr>
                      <w:rFonts w:cs="Arial"/>
                      <w:sz w:val="20"/>
                      <w:lang w:val="en-US"/>
                    </w:rPr>
                    <w:t>2</w:t>
                  </w:r>
                </w:p>
              </w:tc>
              <w:tc>
                <w:tcPr>
                  <w:tcW w:w="1560" w:type="dxa"/>
                  <w:tcMar>
                    <w:left w:w="108" w:type="dxa"/>
                    <w:right w:w="108" w:type="dxa"/>
                  </w:tcMar>
                  <w:vAlign w:val="center"/>
                </w:tcPr>
                <w:p w14:paraId="526B498B" w14:textId="77777777" w:rsidR="00D571AC" w:rsidRPr="001E2783" w:rsidRDefault="00D571AC" w:rsidP="00970328">
                  <w:pPr>
                    <w:jc w:val="right"/>
                    <w:rPr>
                      <w:rFonts w:cs="Arial"/>
                      <w:szCs w:val="20"/>
                    </w:rPr>
                  </w:pPr>
                  <w:r w:rsidRPr="001E2783">
                    <w:rPr>
                      <w:rFonts w:cs="Arial"/>
                      <w:szCs w:val="20"/>
                      <w:lang w:val="en-US"/>
                    </w:rPr>
                    <w:t>–</w:t>
                  </w:r>
                </w:p>
              </w:tc>
            </w:tr>
            <w:tr w:rsidR="001E2783" w:rsidRPr="001E2783" w14:paraId="201A6F66" w14:textId="77777777" w:rsidTr="00246C7D">
              <w:trPr>
                <w:trHeight w:val="552"/>
              </w:trPr>
              <w:tc>
                <w:tcPr>
                  <w:tcW w:w="3507" w:type="dxa"/>
                  <w:tcMar>
                    <w:top w:w="0" w:type="dxa"/>
                    <w:left w:w="108" w:type="dxa"/>
                    <w:bottom w:w="0" w:type="dxa"/>
                    <w:right w:w="108" w:type="dxa"/>
                  </w:tcMar>
                  <w:vAlign w:val="center"/>
                  <w:hideMark/>
                </w:tcPr>
                <w:p w14:paraId="56DE2C56" w14:textId="77777777" w:rsidR="00D571AC" w:rsidRPr="001E2783" w:rsidRDefault="00D571AC" w:rsidP="00F061F9">
                  <w:pPr>
                    <w:pStyle w:val="TableTextLeft"/>
                    <w:rPr>
                      <w:rFonts w:cs="Arial"/>
                      <w:sz w:val="20"/>
                      <w:lang w:val="en-US"/>
                    </w:rPr>
                  </w:pPr>
                  <w:r w:rsidRPr="001E2783">
                    <w:rPr>
                      <w:rFonts w:cs="Arial"/>
                      <w:sz w:val="20"/>
                      <w:lang w:val="en-US"/>
                    </w:rPr>
                    <w:t>Complaints-handling</w:t>
                  </w:r>
                </w:p>
              </w:tc>
              <w:tc>
                <w:tcPr>
                  <w:tcW w:w="1559" w:type="dxa"/>
                  <w:tcMar>
                    <w:left w:w="108" w:type="dxa"/>
                    <w:right w:w="108" w:type="dxa"/>
                  </w:tcMar>
                  <w:vAlign w:val="center"/>
                </w:tcPr>
                <w:p w14:paraId="2457D15C" w14:textId="77777777" w:rsidR="00D571AC" w:rsidRPr="001E2783" w:rsidRDefault="00D571AC" w:rsidP="00970328">
                  <w:pPr>
                    <w:pStyle w:val="TableTextLeft"/>
                    <w:jc w:val="right"/>
                    <w:rPr>
                      <w:rFonts w:cs="Arial"/>
                      <w:sz w:val="20"/>
                      <w:lang w:val="en-US"/>
                    </w:rPr>
                  </w:pPr>
                  <w:r w:rsidRPr="001E2783">
                    <w:rPr>
                      <w:rFonts w:cs="Arial"/>
                      <w:sz w:val="20"/>
                      <w:lang w:val="en-US"/>
                    </w:rPr>
                    <w:t>3</w:t>
                  </w:r>
                </w:p>
              </w:tc>
              <w:tc>
                <w:tcPr>
                  <w:tcW w:w="1559" w:type="dxa"/>
                  <w:tcMar>
                    <w:left w:w="108" w:type="dxa"/>
                    <w:right w:w="108" w:type="dxa"/>
                  </w:tcMar>
                  <w:vAlign w:val="center"/>
                </w:tcPr>
                <w:p w14:paraId="58078266" w14:textId="77777777" w:rsidR="00D571AC" w:rsidRPr="001E2783" w:rsidRDefault="00D571AC" w:rsidP="00970328">
                  <w:pPr>
                    <w:jc w:val="right"/>
                    <w:rPr>
                      <w:rFonts w:cs="Arial"/>
                      <w:szCs w:val="20"/>
                    </w:rPr>
                  </w:pPr>
                  <w:r w:rsidRPr="001E2783">
                    <w:rPr>
                      <w:rFonts w:cs="Arial"/>
                      <w:szCs w:val="20"/>
                      <w:lang w:val="en-US"/>
                    </w:rPr>
                    <w:t>–</w:t>
                  </w:r>
                </w:p>
              </w:tc>
              <w:tc>
                <w:tcPr>
                  <w:tcW w:w="1559" w:type="dxa"/>
                  <w:tcMar>
                    <w:left w:w="108" w:type="dxa"/>
                    <w:right w:w="108" w:type="dxa"/>
                  </w:tcMar>
                  <w:vAlign w:val="center"/>
                </w:tcPr>
                <w:p w14:paraId="332263F0" w14:textId="77777777" w:rsidR="00D571AC" w:rsidRPr="001E2783" w:rsidRDefault="00D571AC" w:rsidP="00970328">
                  <w:pPr>
                    <w:jc w:val="right"/>
                    <w:rPr>
                      <w:rFonts w:cs="Arial"/>
                      <w:szCs w:val="20"/>
                    </w:rPr>
                  </w:pPr>
                  <w:r w:rsidRPr="001E2783">
                    <w:rPr>
                      <w:rFonts w:cs="Arial"/>
                      <w:szCs w:val="20"/>
                      <w:lang w:val="en-US"/>
                    </w:rPr>
                    <w:t>–</w:t>
                  </w:r>
                </w:p>
              </w:tc>
              <w:tc>
                <w:tcPr>
                  <w:tcW w:w="1560" w:type="dxa"/>
                  <w:tcMar>
                    <w:left w:w="108" w:type="dxa"/>
                    <w:right w:w="108" w:type="dxa"/>
                  </w:tcMar>
                  <w:vAlign w:val="center"/>
                </w:tcPr>
                <w:p w14:paraId="4960C2B5" w14:textId="77777777" w:rsidR="00D571AC" w:rsidRPr="001E2783" w:rsidRDefault="00D571AC" w:rsidP="00970328">
                  <w:pPr>
                    <w:jc w:val="right"/>
                    <w:rPr>
                      <w:rFonts w:cs="Arial"/>
                      <w:szCs w:val="20"/>
                    </w:rPr>
                  </w:pPr>
                  <w:r w:rsidRPr="001E2783">
                    <w:rPr>
                      <w:rFonts w:cs="Arial"/>
                      <w:szCs w:val="20"/>
                      <w:lang w:val="en-US"/>
                    </w:rPr>
                    <w:t>–</w:t>
                  </w:r>
                </w:p>
              </w:tc>
            </w:tr>
            <w:tr w:rsidR="001E2783" w:rsidRPr="001E2783" w14:paraId="0DC1C971" w14:textId="77777777" w:rsidTr="00246C7D">
              <w:trPr>
                <w:trHeight w:val="552"/>
              </w:trPr>
              <w:tc>
                <w:tcPr>
                  <w:tcW w:w="3507" w:type="dxa"/>
                  <w:tcMar>
                    <w:top w:w="0" w:type="dxa"/>
                    <w:left w:w="108" w:type="dxa"/>
                    <w:bottom w:w="0" w:type="dxa"/>
                    <w:right w:w="108" w:type="dxa"/>
                  </w:tcMar>
                  <w:vAlign w:val="center"/>
                  <w:hideMark/>
                </w:tcPr>
                <w:p w14:paraId="31306722" w14:textId="77777777" w:rsidR="00D571AC" w:rsidRPr="001E2783" w:rsidRDefault="00D571AC" w:rsidP="00CC314F">
                  <w:pPr>
                    <w:pStyle w:val="TableTextLeft"/>
                    <w:rPr>
                      <w:rFonts w:cs="Arial"/>
                      <w:sz w:val="20"/>
                      <w:lang w:val="en-US"/>
                    </w:rPr>
                  </w:pPr>
                  <w:r w:rsidRPr="001E2783">
                    <w:rPr>
                      <w:rFonts w:cs="Arial"/>
                      <w:sz w:val="20"/>
                      <w:lang w:val="en-US"/>
                    </w:rPr>
                    <w:t>Code compliance and monitoring (CommCom)</w:t>
                  </w:r>
                </w:p>
              </w:tc>
              <w:tc>
                <w:tcPr>
                  <w:tcW w:w="1559" w:type="dxa"/>
                  <w:tcMar>
                    <w:left w:w="108" w:type="dxa"/>
                    <w:right w:w="108" w:type="dxa"/>
                  </w:tcMar>
                  <w:vAlign w:val="center"/>
                </w:tcPr>
                <w:p w14:paraId="28F15D58" w14:textId="77777777" w:rsidR="00D571AC" w:rsidRPr="001E2783" w:rsidRDefault="00D571AC" w:rsidP="00970328">
                  <w:pPr>
                    <w:pStyle w:val="TableTextLeft"/>
                    <w:jc w:val="right"/>
                    <w:rPr>
                      <w:rFonts w:cs="Arial"/>
                      <w:sz w:val="20"/>
                      <w:lang w:val="en-US"/>
                    </w:rPr>
                  </w:pPr>
                  <w:r w:rsidRPr="001E2783">
                    <w:rPr>
                      <w:rFonts w:cs="Arial"/>
                      <w:sz w:val="20"/>
                      <w:lang w:val="en-US"/>
                    </w:rPr>
                    <w:t>–</w:t>
                  </w:r>
                </w:p>
              </w:tc>
              <w:tc>
                <w:tcPr>
                  <w:tcW w:w="1559" w:type="dxa"/>
                  <w:tcMar>
                    <w:left w:w="108" w:type="dxa"/>
                    <w:right w:w="108" w:type="dxa"/>
                  </w:tcMar>
                  <w:vAlign w:val="center"/>
                </w:tcPr>
                <w:p w14:paraId="4E96B237" w14:textId="2E8ACE6A" w:rsidR="00D571AC" w:rsidRPr="001E2783" w:rsidRDefault="00621694" w:rsidP="00970328">
                  <w:pPr>
                    <w:pStyle w:val="TableTextLeft"/>
                    <w:jc w:val="right"/>
                    <w:rPr>
                      <w:rFonts w:cs="Arial"/>
                      <w:sz w:val="20"/>
                      <w:lang w:val="en-US"/>
                    </w:rPr>
                  </w:pPr>
                  <w:r w:rsidRPr="001E2783">
                    <w:rPr>
                      <w:rFonts w:cs="Arial"/>
                      <w:sz w:val="20"/>
                      <w:lang w:val="en-US"/>
                    </w:rPr>
                    <w:t>95</w:t>
                  </w:r>
                </w:p>
              </w:tc>
              <w:tc>
                <w:tcPr>
                  <w:tcW w:w="1559" w:type="dxa"/>
                  <w:tcMar>
                    <w:left w:w="108" w:type="dxa"/>
                    <w:right w:w="108" w:type="dxa"/>
                  </w:tcMar>
                  <w:vAlign w:val="center"/>
                </w:tcPr>
                <w:p w14:paraId="063FB922" w14:textId="77777777" w:rsidR="00D571AC" w:rsidRPr="001E2783" w:rsidRDefault="00D571AC" w:rsidP="00970328">
                  <w:pPr>
                    <w:pStyle w:val="TableTextLeft"/>
                    <w:jc w:val="right"/>
                    <w:rPr>
                      <w:rFonts w:cs="Arial"/>
                      <w:sz w:val="20"/>
                      <w:lang w:val="en-US"/>
                    </w:rPr>
                  </w:pPr>
                  <w:r w:rsidRPr="001E2783">
                    <w:rPr>
                      <w:rFonts w:cs="Arial"/>
                      <w:sz w:val="20"/>
                      <w:lang w:val="en-US"/>
                    </w:rPr>
                    <w:t>4</w:t>
                  </w:r>
                </w:p>
              </w:tc>
              <w:tc>
                <w:tcPr>
                  <w:tcW w:w="1560" w:type="dxa"/>
                  <w:tcMar>
                    <w:left w:w="108" w:type="dxa"/>
                    <w:right w:w="108" w:type="dxa"/>
                  </w:tcMar>
                  <w:vAlign w:val="center"/>
                </w:tcPr>
                <w:p w14:paraId="55ADF5F6" w14:textId="77777777" w:rsidR="00D571AC" w:rsidRPr="001E2783" w:rsidRDefault="00D571AC" w:rsidP="00970328">
                  <w:pPr>
                    <w:jc w:val="right"/>
                    <w:rPr>
                      <w:rFonts w:cs="Arial"/>
                      <w:szCs w:val="20"/>
                    </w:rPr>
                  </w:pPr>
                  <w:r w:rsidRPr="001E2783">
                    <w:rPr>
                      <w:rFonts w:cs="Arial"/>
                      <w:szCs w:val="20"/>
                      <w:lang w:val="en-US"/>
                    </w:rPr>
                    <w:t>–</w:t>
                  </w:r>
                </w:p>
              </w:tc>
            </w:tr>
            <w:tr w:rsidR="001E2783" w:rsidRPr="001E2783" w14:paraId="6D96B8F2" w14:textId="77777777" w:rsidTr="00246C7D">
              <w:trPr>
                <w:trHeight w:val="552"/>
              </w:trPr>
              <w:tc>
                <w:tcPr>
                  <w:tcW w:w="3507" w:type="dxa"/>
                  <w:tcMar>
                    <w:top w:w="0" w:type="dxa"/>
                    <w:left w:w="108" w:type="dxa"/>
                    <w:bottom w:w="0" w:type="dxa"/>
                    <w:right w:w="108" w:type="dxa"/>
                  </w:tcMar>
                  <w:vAlign w:val="center"/>
                  <w:hideMark/>
                </w:tcPr>
                <w:p w14:paraId="5E59BD2E" w14:textId="77777777" w:rsidR="003A273B" w:rsidRPr="001E2783" w:rsidRDefault="003A273B" w:rsidP="00F061F9">
                  <w:pPr>
                    <w:pStyle w:val="TableTextLeft"/>
                    <w:rPr>
                      <w:rFonts w:cs="Arial"/>
                      <w:sz w:val="20"/>
                      <w:lang w:val="en-US"/>
                    </w:rPr>
                  </w:pPr>
                  <w:r w:rsidRPr="001E2783">
                    <w:rPr>
                      <w:rFonts w:cs="Arial"/>
                      <w:sz w:val="20"/>
                      <w:lang w:val="en-US"/>
                    </w:rPr>
                    <w:t>Other (including privacy)</w:t>
                  </w:r>
                </w:p>
              </w:tc>
              <w:tc>
                <w:tcPr>
                  <w:tcW w:w="1559" w:type="dxa"/>
                  <w:tcMar>
                    <w:left w:w="108" w:type="dxa"/>
                    <w:right w:w="108" w:type="dxa"/>
                  </w:tcMar>
                  <w:vAlign w:val="center"/>
                </w:tcPr>
                <w:p w14:paraId="33BB7257" w14:textId="77777777" w:rsidR="003A273B" w:rsidRPr="001E2783" w:rsidRDefault="003A273B" w:rsidP="00970328">
                  <w:pPr>
                    <w:pStyle w:val="TableTextLeft"/>
                    <w:jc w:val="right"/>
                    <w:rPr>
                      <w:rFonts w:cs="Arial"/>
                      <w:sz w:val="20"/>
                      <w:lang w:val="en-US"/>
                    </w:rPr>
                  </w:pPr>
                  <w:r w:rsidRPr="001E2783">
                    <w:rPr>
                      <w:rFonts w:cs="Arial"/>
                      <w:sz w:val="20"/>
                      <w:lang w:val="en-US"/>
                    </w:rPr>
                    <w:t>2</w:t>
                  </w:r>
                </w:p>
              </w:tc>
              <w:tc>
                <w:tcPr>
                  <w:tcW w:w="1559" w:type="dxa"/>
                  <w:tcMar>
                    <w:left w:w="108" w:type="dxa"/>
                    <w:right w:w="108" w:type="dxa"/>
                  </w:tcMar>
                  <w:vAlign w:val="center"/>
                </w:tcPr>
                <w:p w14:paraId="391E4B46" w14:textId="77777777" w:rsidR="003A273B" w:rsidRPr="001E2783" w:rsidRDefault="003A273B" w:rsidP="00970328">
                  <w:pPr>
                    <w:pStyle w:val="TableTextLeft"/>
                    <w:jc w:val="right"/>
                    <w:rPr>
                      <w:rFonts w:cs="Arial"/>
                      <w:sz w:val="20"/>
                      <w:lang w:val="en-US"/>
                    </w:rPr>
                  </w:pPr>
                  <w:r w:rsidRPr="001E2783">
                    <w:rPr>
                      <w:rFonts w:cs="Arial"/>
                      <w:sz w:val="20"/>
                      <w:lang w:val="en-US"/>
                    </w:rPr>
                    <w:t>1</w:t>
                  </w:r>
                </w:p>
              </w:tc>
              <w:tc>
                <w:tcPr>
                  <w:tcW w:w="1559" w:type="dxa"/>
                  <w:tcMar>
                    <w:left w:w="108" w:type="dxa"/>
                    <w:right w:w="108" w:type="dxa"/>
                  </w:tcMar>
                  <w:vAlign w:val="center"/>
                </w:tcPr>
                <w:p w14:paraId="5A3A83D6" w14:textId="77777777" w:rsidR="003A273B" w:rsidRPr="001E2783" w:rsidRDefault="003A273B" w:rsidP="00970328">
                  <w:pPr>
                    <w:pStyle w:val="TableTextLeft"/>
                    <w:jc w:val="right"/>
                    <w:rPr>
                      <w:rFonts w:cs="Arial"/>
                      <w:sz w:val="20"/>
                      <w:lang w:val="en-US"/>
                    </w:rPr>
                  </w:pPr>
                  <w:r w:rsidRPr="001E2783">
                    <w:rPr>
                      <w:rFonts w:cs="Arial"/>
                      <w:sz w:val="20"/>
                      <w:lang w:val="en-US"/>
                    </w:rPr>
                    <w:t>1</w:t>
                  </w:r>
                </w:p>
              </w:tc>
              <w:tc>
                <w:tcPr>
                  <w:tcW w:w="1560" w:type="dxa"/>
                  <w:tcMar>
                    <w:left w:w="108" w:type="dxa"/>
                    <w:right w:w="108" w:type="dxa"/>
                  </w:tcMar>
                  <w:vAlign w:val="center"/>
                </w:tcPr>
                <w:p w14:paraId="11E0868E" w14:textId="77777777" w:rsidR="003A273B" w:rsidRPr="001E2783" w:rsidRDefault="003A273B" w:rsidP="00970328">
                  <w:pPr>
                    <w:pStyle w:val="TableTextLeft"/>
                    <w:jc w:val="right"/>
                    <w:rPr>
                      <w:rFonts w:cs="Arial"/>
                      <w:sz w:val="20"/>
                      <w:lang w:val="en-US"/>
                    </w:rPr>
                  </w:pPr>
                  <w:r w:rsidRPr="001E2783">
                    <w:rPr>
                      <w:rFonts w:cs="Arial"/>
                      <w:sz w:val="20"/>
                      <w:lang w:val="en-US"/>
                    </w:rPr>
                    <w:t>1</w:t>
                  </w:r>
                </w:p>
              </w:tc>
            </w:tr>
            <w:tr w:rsidR="001E2783" w:rsidRPr="001E2783" w14:paraId="58A765C1" w14:textId="77777777" w:rsidTr="00246C7D">
              <w:tc>
                <w:tcPr>
                  <w:tcW w:w="3507" w:type="dxa"/>
                  <w:shd w:val="clear" w:color="auto" w:fill="404040" w:themeFill="text1" w:themeFillTint="BF"/>
                  <w:tcMar>
                    <w:top w:w="0" w:type="dxa"/>
                    <w:left w:w="108" w:type="dxa"/>
                    <w:bottom w:w="0" w:type="dxa"/>
                    <w:right w:w="108" w:type="dxa"/>
                  </w:tcMar>
                  <w:vAlign w:val="center"/>
                  <w:hideMark/>
                </w:tcPr>
                <w:p w14:paraId="4A420111" w14:textId="77777777" w:rsidR="003A273B" w:rsidRPr="000544EA" w:rsidRDefault="003A273B" w:rsidP="00F061F9">
                  <w:pPr>
                    <w:pStyle w:val="TableTextLeft"/>
                    <w:rPr>
                      <w:rFonts w:cs="Arial"/>
                      <w:b/>
                      <w:bCs/>
                      <w:color w:val="FFFFFF" w:themeColor="background1"/>
                      <w:sz w:val="20"/>
                      <w:lang w:val="en-US"/>
                    </w:rPr>
                  </w:pPr>
                  <w:r w:rsidRPr="000544EA">
                    <w:rPr>
                      <w:rFonts w:cs="Arial"/>
                      <w:b/>
                      <w:bCs/>
                      <w:color w:val="FFFFFF" w:themeColor="background1"/>
                      <w:sz w:val="20"/>
                      <w:lang w:val="en-US"/>
                    </w:rPr>
                    <w:t>Total in 2013–14</w:t>
                  </w:r>
                </w:p>
              </w:tc>
              <w:tc>
                <w:tcPr>
                  <w:tcW w:w="1559" w:type="dxa"/>
                  <w:shd w:val="clear" w:color="auto" w:fill="404040" w:themeFill="text1" w:themeFillTint="BF"/>
                  <w:tcMar>
                    <w:left w:w="108" w:type="dxa"/>
                    <w:right w:w="108" w:type="dxa"/>
                  </w:tcMar>
                  <w:vAlign w:val="center"/>
                </w:tcPr>
                <w:p w14:paraId="612FCB68" w14:textId="77777777" w:rsidR="003A273B" w:rsidRPr="000544EA" w:rsidRDefault="003A273B" w:rsidP="00970328">
                  <w:pPr>
                    <w:pStyle w:val="TableTextLeft"/>
                    <w:jc w:val="right"/>
                    <w:rPr>
                      <w:rFonts w:cs="Arial"/>
                      <w:b/>
                      <w:bCs/>
                      <w:color w:val="FFFFFF" w:themeColor="background1"/>
                      <w:sz w:val="20"/>
                      <w:lang w:val="en-US"/>
                    </w:rPr>
                  </w:pPr>
                  <w:r w:rsidRPr="000544EA">
                    <w:rPr>
                      <w:rFonts w:cs="Arial"/>
                      <w:b/>
                      <w:bCs/>
                      <w:color w:val="FFFFFF" w:themeColor="background1"/>
                      <w:sz w:val="20"/>
                      <w:lang w:val="en-US"/>
                    </w:rPr>
                    <w:t>25</w:t>
                  </w:r>
                </w:p>
              </w:tc>
              <w:tc>
                <w:tcPr>
                  <w:tcW w:w="1559" w:type="dxa"/>
                  <w:shd w:val="clear" w:color="auto" w:fill="404040" w:themeFill="text1" w:themeFillTint="BF"/>
                  <w:tcMar>
                    <w:left w:w="108" w:type="dxa"/>
                    <w:right w:w="108" w:type="dxa"/>
                  </w:tcMar>
                  <w:vAlign w:val="center"/>
                </w:tcPr>
                <w:p w14:paraId="019B33A5" w14:textId="6C903404" w:rsidR="003A273B" w:rsidRPr="000544EA" w:rsidRDefault="003A273B" w:rsidP="00970328">
                  <w:pPr>
                    <w:pStyle w:val="TableTextLeft"/>
                    <w:jc w:val="right"/>
                    <w:rPr>
                      <w:rFonts w:cs="Arial"/>
                      <w:b/>
                      <w:bCs/>
                      <w:color w:val="FFFFFF" w:themeColor="background1"/>
                      <w:sz w:val="20"/>
                      <w:lang w:val="en-US"/>
                    </w:rPr>
                  </w:pPr>
                  <w:r w:rsidRPr="000544EA">
                    <w:rPr>
                      <w:rFonts w:cs="Arial"/>
                      <w:b/>
                      <w:bCs/>
                      <w:color w:val="FFFFFF" w:themeColor="background1"/>
                      <w:sz w:val="20"/>
                      <w:lang w:val="en-US"/>
                    </w:rPr>
                    <w:t>10</w:t>
                  </w:r>
                  <w:r w:rsidR="00621694" w:rsidRPr="000544EA">
                    <w:rPr>
                      <w:rFonts w:cs="Arial"/>
                      <w:b/>
                      <w:bCs/>
                      <w:color w:val="FFFFFF" w:themeColor="background1"/>
                      <w:sz w:val="20"/>
                      <w:lang w:val="en-US"/>
                    </w:rPr>
                    <w:t>4</w:t>
                  </w:r>
                </w:p>
              </w:tc>
              <w:tc>
                <w:tcPr>
                  <w:tcW w:w="1559" w:type="dxa"/>
                  <w:shd w:val="clear" w:color="auto" w:fill="404040" w:themeFill="text1" w:themeFillTint="BF"/>
                  <w:tcMar>
                    <w:left w:w="108" w:type="dxa"/>
                    <w:right w:w="108" w:type="dxa"/>
                  </w:tcMar>
                  <w:vAlign w:val="center"/>
                </w:tcPr>
                <w:p w14:paraId="3A18F2C5" w14:textId="77777777" w:rsidR="003A273B" w:rsidRPr="000544EA" w:rsidRDefault="003A273B" w:rsidP="00970328">
                  <w:pPr>
                    <w:pStyle w:val="TableTextLeft"/>
                    <w:jc w:val="right"/>
                    <w:rPr>
                      <w:rFonts w:cs="Arial"/>
                      <w:b/>
                      <w:bCs/>
                      <w:color w:val="FFFFFF" w:themeColor="background1"/>
                      <w:sz w:val="20"/>
                      <w:lang w:val="en-US"/>
                    </w:rPr>
                  </w:pPr>
                  <w:r w:rsidRPr="000544EA">
                    <w:rPr>
                      <w:rFonts w:cs="Arial"/>
                      <w:b/>
                      <w:bCs/>
                      <w:color w:val="FFFFFF" w:themeColor="background1"/>
                      <w:sz w:val="20"/>
                      <w:lang w:val="en-US"/>
                    </w:rPr>
                    <w:t>7</w:t>
                  </w:r>
                </w:p>
              </w:tc>
              <w:tc>
                <w:tcPr>
                  <w:tcW w:w="1560" w:type="dxa"/>
                  <w:shd w:val="clear" w:color="auto" w:fill="404040" w:themeFill="text1" w:themeFillTint="BF"/>
                  <w:tcMar>
                    <w:left w:w="108" w:type="dxa"/>
                    <w:right w:w="108" w:type="dxa"/>
                  </w:tcMar>
                  <w:vAlign w:val="center"/>
                </w:tcPr>
                <w:p w14:paraId="6A264163" w14:textId="77777777" w:rsidR="003A273B" w:rsidRPr="000544EA" w:rsidRDefault="003A273B" w:rsidP="00970328">
                  <w:pPr>
                    <w:pStyle w:val="TableTextLeft"/>
                    <w:jc w:val="right"/>
                    <w:rPr>
                      <w:rFonts w:cs="Arial"/>
                      <w:b/>
                      <w:bCs/>
                      <w:color w:val="FFFFFF" w:themeColor="background1"/>
                      <w:sz w:val="20"/>
                      <w:lang w:val="en-US"/>
                    </w:rPr>
                  </w:pPr>
                  <w:r w:rsidRPr="000544EA">
                    <w:rPr>
                      <w:rFonts w:cs="Arial"/>
                      <w:b/>
                      <w:bCs/>
                      <w:color w:val="FFFFFF" w:themeColor="background1"/>
                      <w:sz w:val="20"/>
                      <w:lang w:val="en-US"/>
                    </w:rPr>
                    <w:t>1</w:t>
                  </w:r>
                </w:p>
              </w:tc>
            </w:tr>
            <w:tr w:rsidR="001E2783" w:rsidRPr="001E2783" w14:paraId="6B94DBCB" w14:textId="77777777" w:rsidTr="00246C7D">
              <w:tc>
                <w:tcPr>
                  <w:tcW w:w="3507" w:type="dxa"/>
                  <w:shd w:val="clear" w:color="auto" w:fill="404040" w:themeFill="text1" w:themeFillTint="BF"/>
                  <w:tcMar>
                    <w:top w:w="0" w:type="dxa"/>
                    <w:left w:w="108" w:type="dxa"/>
                    <w:bottom w:w="0" w:type="dxa"/>
                    <w:right w:w="108" w:type="dxa"/>
                  </w:tcMar>
                  <w:vAlign w:val="center"/>
                  <w:hideMark/>
                </w:tcPr>
                <w:p w14:paraId="28F78172" w14:textId="77777777" w:rsidR="003A273B" w:rsidRPr="000544EA" w:rsidRDefault="003A273B" w:rsidP="00F061F9">
                  <w:pPr>
                    <w:pStyle w:val="TableTextLeft"/>
                    <w:rPr>
                      <w:rFonts w:cs="Arial"/>
                      <w:b/>
                      <w:bCs/>
                      <w:i/>
                      <w:color w:val="FFFFFF" w:themeColor="background1"/>
                      <w:sz w:val="20"/>
                      <w:lang w:val="en-US"/>
                    </w:rPr>
                  </w:pPr>
                  <w:r w:rsidRPr="000544EA">
                    <w:rPr>
                      <w:rFonts w:cs="Arial"/>
                      <w:b/>
                      <w:bCs/>
                      <w:i/>
                      <w:color w:val="FFFFFF" w:themeColor="background1"/>
                      <w:sz w:val="20"/>
                      <w:lang w:val="en-US"/>
                    </w:rPr>
                    <w:t>Total in 2012–13</w:t>
                  </w:r>
                </w:p>
              </w:tc>
              <w:tc>
                <w:tcPr>
                  <w:tcW w:w="1559" w:type="dxa"/>
                  <w:shd w:val="clear" w:color="auto" w:fill="404040" w:themeFill="text1" w:themeFillTint="BF"/>
                  <w:tcMar>
                    <w:left w:w="108" w:type="dxa"/>
                    <w:right w:w="108" w:type="dxa"/>
                  </w:tcMar>
                  <w:vAlign w:val="center"/>
                </w:tcPr>
                <w:p w14:paraId="3A2DAE35" w14:textId="77777777" w:rsidR="003A273B" w:rsidRPr="000544EA" w:rsidRDefault="003A273B" w:rsidP="00970328">
                  <w:pPr>
                    <w:pStyle w:val="TableTextLeft"/>
                    <w:jc w:val="right"/>
                    <w:rPr>
                      <w:rFonts w:cs="Arial"/>
                      <w:b/>
                      <w:bCs/>
                      <w:i/>
                      <w:color w:val="FFFFFF" w:themeColor="background1"/>
                      <w:sz w:val="20"/>
                      <w:lang w:val="en-US"/>
                    </w:rPr>
                  </w:pPr>
                  <w:r w:rsidRPr="000544EA">
                    <w:rPr>
                      <w:rFonts w:cs="Arial"/>
                      <w:b/>
                      <w:bCs/>
                      <w:i/>
                      <w:color w:val="FFFFFF" w:themeColor="background1"/>
                      <w:sz w:val="20"/>
                      <w:lang w:val="en-US"/>
                    </w:rPr>
                    <w:t>9</w:t>
                  </w:r>
                </w:p>
              </w:tc>
              <w:tc>
                <w:tcPr>
                  <w:tcW w:w="1559" w:type="dxa"/>
                  <w:shd w:val="clear" w:color="auto" w:fill="404040" w:themeFill="text1" w:themeFillTint="BF"/>
                  <w:tcMar>
                    <w:left w:w="108" w:type="dxa"/>
                    <w:right w:w="108" w:type="dxa"/>
                  </w:tcMar>
                  <w:vAlign w:val="center"/>
                </w:tcPr>
                <w:p w14:paraId="0580FF26" w14:textId="77777777" w:rsidR="003A273B" w:rsidRPr="000544EA" w:rsidRDefault="003A273B" w:rsidP="00970328">
                  <w:pPr>
                    <w:pStyle w:val="TableTextLeft"/>
                    <w:jc w:val="right"/>
                    <w:rPr>
                      <w:rFonts w:cs="Arial"/>
                      <w:b/>
                      <w:bCs/>
                      <w:i/>
                      <w:color w:val="FFFFFF" w:themeColor="background1"/>
                      <w:sz w:val="20"/>
                      <w:lang w:val="en-US"/>
                    </w:rPr>
                  </w:pPr>
                  <w:r w:rsidRPr="000544EA">
                    <w:rPr>
                      <w:rFonts w:cs="Arial"/>
                      <w:b/>
                      <w:bCs/>
                      <w:i/>
                      <w:color w:val="FFFFFF" w:themeColor="background1"/>
                      <w:sz w:val="20"/>
                      <w:lang w:val="en-US"/>
                    </w:rPr>
                    <w:t>7</w:t>
                  </w:r>
                </w:p>
              </w:tc>
              <w:tc>
                <w:tcPr>
                  <w:tcW w:w="1559" w:type="dxa"/>
                  <w:shd w:val="clear" w:color="auto" w:fill="404040" w:themeFill="text1" w:themeFillTint="BF"/>
                  <w:tcMar>
                    <w:left w:w="108" w:type="dxa"/>
                    <w:right w:w="108" w:type="dxa"/>
                  </w:tcMar>
                  <w:vAlign w:val="center"/>
                </w:tcPr>
                <w:p w14:paraId="40C90AC1" w14:textId="77777777" w:rsidR="003A273B" w:rsidRPr="000544EA" w:rsidRDefault="003A273B" w:rsidP="00970328">
                  <w:pPr>
                    <w:pStyle w:val="TableTextLeft"/>
                    <w:jc w:val="right"/>
                    <w:rPr>
                      <w:rFonts w:cs="Arial"/>
                      <w:b/>
                      <w:bCs/>
                      <w:i/>
                      <w:color w:val="FFFFFF" w:themeColor="background1"/>
                      <w:sz w:val="20"/>
                      <w:lang w:val="en-US"/>
                    </w:rPr>
                  </w:pPr>
                  <w:r w:rsidRPr="000544EA">
                    <w:rPr>
                      <w:rFonts w:cs="Arial"/>
                      <w:b/>
                      <w:bCs/>
                      <w:i/>
                      <w:color w:val="FFFFFF" w:themeColor="background1"/>
                      <w:sz w:val="20"/>
                      <w:lang w:val="en-US"/>
                    </w:rPr>
                    <w:t>3</w:t>
                  </w:r>
                </w:p>
              </w:tc>
              <w:tc>
                <w:tcPr>
                  <w:tcW w:w="1560" w:type="dxa"/>
                  <w:shd w:val="clear" w:color="auto" w:fill="404040" w:themeFill="text1" w:themeFillTint="BF"/>
                  <w:tcMar>
                    <w:left w:w="108" w:type="dxa"/>
                    <w:right w:w="108" w:type="dxa"/>
                  </w:tcMar>
                  <w:vAlign w:val="center"/>
                </w:tcPr>
                <w:p w14:paraId="7BAE5F8F" w14:textId="77777777" w:rsidR="003A273B" w:rsidRPr="000544EA" w:rsidRDefault="003A273B" w:rsidP="00970328">
                  <w:pPr>
                    <w:pStyle w:val="TableTextLeft"/>
                    <w:jc w:val="right"/>
                    <w:rPr>
                      <w:rFonts w:cs="Arial"/>
                      <w:b/>
                      <w:bCs/>
                      <w:i/>
                      <w:color w:val="FFFFFF" w:themeColor="background1"/>
                      <w:sz w:val="20"/>
                      <w:lang w:val="en-US"/>
                    </w:rPr>
                  </w:pPr>
                  <w:r w:rsidRPr="000544EA">
                    <w:rPr>
                      <w:rFonts w:cs="Arial"/>
                      <w:b/>
                      <w:bCs/>
                      <w:i/>
                      <w:color w:val="FFFFFF" w:themeColor="background1"/>
                      <w:sz w:val="20"/>
                      <w:lang w:val="en-US"/>
                    </w:rPr>
                    <w:t>0</w:t>
                  </w:r>
                </w:p>
              </w:tc>
            </w:tr>
          </w:tbl>
          <w:p w14:paraId="48C0FBD9" w14:textId="77777777" w:rsidR="00F061F9" w:rsidRPr="001E2783" w:rsidRDefault="00F061F9" w:rsidP="00F061F9">
            <w:pPr>
              <w:ind w:left="720"/>
              <w:rPr>
                <w:rFonts w:cs="Arial"/>
              </w:rPr>
            </w:pPr>
          </w:p>
        </w:tc>
      </w:tr>
      <w:tr w:rsidR="00F061F9" w:rsidRPr="001E2783" w14:paraId="562326AB" w14:textId="77777777" w:rsidTr="00CC314F">
        <w:trPr>
          <w:trHeight w:val="109"/>
        </w:trPr>
        <w:tc>
          <w:tcPr>
            <w:tcW w:w="9782" w:type="dxa"/>
            <w:tcBorders>
              <w:bottom w:val="single" w:sz="2" w:space="0" w:color="505050"/>
            </w:tcBorders>
            <w:shd w:val="clear" w:color="auto" w:fill="auto"/>
          </w:tcPr>
          <w:p w14:paraId="143BD33A" w14:textId="77777777" w:rsidR="00F061F9" w:rsidRPr="001E2783" w:rsidRDefault="00F061F9" w:rsidP="00F061F9">
            <w:pPr>
              <w:ind w:left="720"/>
              <w:rPr>
                <w:rFonts w:cs="Arial"/>
              </w:rPr>
            </w:pPr>
          </w:p>
        </w:tc>
      </w:tr>
    </w:tbl>
    <w:p w14:paraId="1D8F5CB8" w14:textId="77777777" w:rsidR="005B1BD4" w:rsidRPr="001E2783" w:rsidRDefault="005B1BD4" w:rsidP="005B1BD4">
      <w:pPr>
        <w:rPr>
          <w:rFonts w:cs="Arial"/>
        </w:rPr>
      </w:pPr>
    </w:p>
    <w:p w14:paraId="1FE4B638" w14:textId="77777777" w:rsidR="006C2CBF" w:rsidRPr="001E2783" w:rsidRDefault="006C2CBF" w:rsidP="006C2CBF">
      <w:pPr>
        <w:spacing w:after="80"/>
        <w:rPr>
          <w:rFonts w:cs="Arial"/>
        </w:rPr>
      </w:pPr>
      <w:r w:rsidRPr="001E2783">
        <w:rPr>
          <w:rFonts w:cs="Arial"/>
        </w:rPr>
        <w:t xml:space="preserve">The compliance activities </w:t>
      </w:r>
      <w:r w:rsidR="005B496E" w:rsidRPr="001E2783">
        <w:rPr>
          <w:rFonts w:cs="Arial"/>
        </w:rPr>
        <w:t xml:space="preserve">undertaken in 2013–14 </w:t>
      </w:r>
      <w:r w:rsidR="00B30D9A" w:rsidRPr="001E2783">
        <w:rPr>
          <w:rFonts w:cs="Arial"/>
        </w:rPr>
        <w:t xml:space="preserve">(see Table 26) </w:t>
      </w:r>
      <w:r w:rsidRPr="001E2783">
        <w:rPr>
          <w:rFonts w:cs="Arial"/>
        </w:rPr>
        <w:t>resulted in the ACMA issuing</w:t>
      </w:r>
      <w:r w:rsidR="00657C75" w:rsidRPr="001E2783">
        <w:rPr>
          <w:rFonts w:cs="Arial"/>
        </w:rPr>
        <w:t>:</w:t>
      </w:r>
    </w:p>
    <w:p w14:paraId="242F3EBD" w14:textId="77777777" w:rsidR="006C2CBF" w:rsidRPr="001E2783" w:rsidRDefault="005B496E" w:rsidP="006C2CBF">
      <w:pPr>
        <w:pStyle w:val="ListBullet"/>
        <w:rPr>
          <w:rFonts w:cs="Arial"/>
        </w:rPr>
      </w:pPr>
      <w:r w:rsidRPr="001E2783">
        <w:rPr>
          <w:rFonts w:cs="Arial"/>
        </w:rPr>
        <w:t>S</w:t>
      </w:r>
      <w:r w:rsidR="006C2CBF" w:rsidRPr="001E2783">
        <w:rPr>
          <w:rFonts w:cs="Arial"/>
        </w:rPr>
        <w:t xml:space="preserve">even directions to comply with the code to: </w:t>
      </w:r>
    </w:p>
    <w:p w14:paraId="43869B92" w14:textId="77777777" w:rsidR="0079073C" w:rsidRPr="001E2783" w:rsidRDefault="0079073C" w:rsidP="006C2CBF">
      <w:pPr>
        <w:pStyle w:val="ListBullet2"/>
        <w:rPr>
          <w:rFonts w:cs="Arial"/>
        </w:rPr>
      </w:pPr>
      <w:r w:rsidRPr="001E2783">
        <w:rPr>
          <w:rFonts w:cs="Arial"/>
        </w:rPr>
        <w:t>Lime Telecom Pty Ltd</w:t>
      </w:r>
      <w:r w:rsidR="00B01ACA" w:rsidRPr="001E2783">
        <w:rPr>
          <w:rFonts w:cs="Arial"/>
        </w:rPr>
        <w:t>—</w:t>
      </w:r>
      <w:r w:rsidRPr="001E2783">
        <w:rPr>
          <w:rFonts w:cs="Arial"/>
        </w:rPr>
        <w:t xml:space="preserve">for </w:t>
      </w:r>
      <w:r w:rsidR="009376A2" w:rsidRPr="001E2783">
        <w:rPr>
          <w:rFonts w:cs="Arial"/>
        </w:rPr>
        <w:t>failing to provide an adequate c</w:t>
      </w:r>
      <w:r w:rsidRPr="001E2783">
        <w:rPr>
          <w:rFonts w:cs="Arial"/>
        </w:rPr>
        <w:t xml:space="preserve">ritical </w:t>
      </w:r>
      <w:r w:rsidR="009376A2" w:rsidRPr="001E2783">
        <w:rPr>
          <w:rFonts w:cs="Arial"/>
        </w:rPr>
        <w:t>i</w:t>
      </w:r>
      <w:r w:rsidRPr="001E2783">
        <w:rPr>
          <w:rFonts w:cs="Arial"/>
        </w:rPr>
        <w:t xml:space="preserve">nformation </w:t>
      </w:r>
      <w:r w:rsidR="009376A2" w:rsidRPr="001E2783">
        <w:rPr>
          <w:rFonts w:cs="Arial"/>
        </w:rPr>
        <w:t>s</w:t>
      </w:r>
      <w:r w:rsidRPr="001E2783">
        <w:rPr>
          <w:rFonts w:cs="Arial"/>
        </w:rPr>
        <w:t xml:space="preserve">ummary </w:t>
      </w:r>
    </w:p>
    <w:p w14:paraId="1E0B11BF" w14:textId="77777777" w:rsidR="0079073C" w:rsidRPr="001E2783" w:rsidRDefault="0079073C" w:rsidP="006C2CBF">
      <w:pPr>
        <w:pStyle w:val="ListBullet2"/>
        <w:rPr>
          <w:rFonts w:cs="Arial"/>
        </w:rPr>
      </w:pPr>
      <w:r w:rsidRPr="001E2783">
        <w:rPr>
          <w:rFonts w:cs="Arial"/>
        </w:rPr>
        <w:t>Bytecard Pty Ltd, Clear Networks Pty Ltd, iTalk Australia Pty Ltd and Sure Telecom</w:t>
      </w:r>
      <w:r w:rsidR="00B01ACA" w:rsidRPr="001E2783">
        <w:rPr>
          <w:rFonts w:cs="Arial"/>
        </w:rPr>
        <w:t>—</w:t>
      </w:r>
      <w:r w:rsidRPr="001E2783">
        <w:rPr>
          <w:rFonts w:cs="Arial"/>
        </w:rPr>
        <w:t>for failing to comply with requirements to provide compliance statements to Communications Compliance (CommCom)</w:t>
      </w:r>
      <w:r w:rsidR="009376A2" w:rsidRPr="001E2783">
        <w:rPr>
          <w:rFonts w:cs="Arial"/>
        </w:rPr>
        <w:t xml:space="preserve">, a self-regulatory industry body that aims to improve industry members’ compliance with </w:t>
      </w:r>
      <w:r w:rsidR="00D571AC" w:rsidRPr="001E2783">
        <w:rPr>
          <w:rFonts w:cs="Arial"/>
        </w:rPr>
        <w:t xml:space="preserve">the </w:t>
      </w:r>
      <w:r w:rsidR="009376A2" w:rsidRPr="001E2783">
        <w:rPr>
          <w:rFonts w:cs="Arial"/>
        </w:rPr>
        <w:t>TCP Code</w:t>
      </w:r>
    </w:p>
    <w:p w14:paraId="29B4A0D5" w14:textId="77777777" w:rsidR="0079073C" w:rsidRPr="001E2783" w:rsidRDefault="0079073C" w:rsidP="00B01ACA">
      <w:pPr>
        <w:pStyle w:val="ListBullet2"/>
        <w:spacing w:after="120"/>
        <w:rPr>
          <w:rFonts w:cs="Arial"/>
        </w:rPr>
      </w:pPr>
      <w:r w:rsidRPr="001E2783">
        <w:rPr>
          <w:rFonts w:cs="Arial"/>
        </w:rPr>
        <w:t>Gazal Telecom and Utel Networks Pty Ltd</w:t>
      </w:r>
      <w:r w:rsidR="00B01ACA" w:rsidRPr="001E2783">
        <w:rPr>
          <w:rFonts w:cs="Arial"/>
        </w:rPr>
        <w:t>—</w:t>
      </w:r>
      <w:r w:rsidRPr="001E2783">
        <w:rPr>
          <w:rFonts w:cs="Arial"/>
        </w:rPr>
        <w:t>for failing to comply with sales practice and customer transfer provisions</w:t>
      </w:r>
      <w:r w:rsidR="00B01ACA" w:rsidRPr="001E2783">
        <w:rPr>
          <w:rFonts w:cs="Arial"/>
        </w:rPr>
        <w:t>.</w:t>
      </w:r>
    </w:p>
    <w:p w14:paraId="118ADA0F" w14:textId="77777777" w:rsidR="0079073C" w:rsidRPr="001E2783" w:rsidRDefault="005B496E" w:rsidP="00B01ACA">
      <w:pPr>
        <w:pStyle w:val="ListBullet"/>
        <w:keepNext/>
        <w:rPr>
          <w:rFonts w:cs="Arial"/>
        </w:rPr>
      </w:pPr>
      <w:r w:rsidRPr="001E2783">
        <w:rPr>
          <w:rFonts w:cs="Arial"/>
        </w:rPr>
        <w:t>10</w:t>
      </w:r>
      <w:r w:rsidR="00D571AC" w:rsidRPr="001E2783">
        <w:rPr>
          <w:rFonts w:cs="Arial"/>
        </w:rPr>
        <w:t>5</w:t>
      </w:r>
      <w:r w:rsidR="0079073C" w:rsidRPr="001E2783">
        <w:rPr>
          <w:rFonts w:cs="Arial"/>
        </w:rPr>
        <w:t xml:space="preserve"> formal warnings to: </w:t>
      </w:r>
    </w:p>
    <w:p w14:paraId="16DC1A4A" w14:textId="77777777" w:rsidR="0079073C" w:rsidRPr="001E2783" w:rsidRDefault="0079073C" w:rsidP="00B01ACA">
      <w:pPr>
        <w:pStyle w:val="ListBullet2"/>
        <w:rPr>
          <w:rFonts w:cs="Arial"/>
        </w:rPr>
      </w:pPr>
      <w:r w:rsidRPr="001E2783">
        <w:rPr>
          <w:rFonts w:cs="Arial"/>
        </w:rPr>
        <w:t>Skink Marketing Pty Ltd</w:t>
      </w:r>
      <w:r w:rsidR="00D571AC" w:rsidRPr="001E2783">
        <w:rPr>
          <w:rFonts w:cs="Arial"/>
        </w:rPr>
        <w:t xml:space="preserve"> trading as Woolworths P</w:t>
      </w:r>
      <w:r w:rsidRPr="001E2783">
        <w:rPr>
          <w:rFonts w:cs="Arial"/>
        </w:rPr>
        <w:t xml:space="preserve">repaid </w:t>
      </w:r>
      <w:r w:rsidR="00D571AC" w:rsidRPr="001E2783">
        <w:rPr>
          <w:rFonts w:cs="Arial"/>
        </w:rPr>
        <w:t>C</w:t>
      </w:r>
      <w:r w:rsidRPr="001E2783">
        <w:rPr>
          <w:rFonts w:cs="Arial"/>
        </w:rPr>
        <w:t>allin</w:t>
      </w:r>
      <w:r w:rsidR="00B01ACA" w:rsidRPr="001E2783">
        <w:rPr>
          <w:rFonts w:cs="Arial"/>
        </w:rPr>
        <w:t xml:space="preserve">g </w:t>
      </w:r>
      <w:r w:rsidR="00D571AC" w:rsidRPr="001E2783">
        <w:rPr>
          <w:rFonts w:cs="Arial"/>
        </w:rPr>
        <w:t>C</w:t>
      </w:r>
      <w:r w:rsidR="00B01ACA" w:rsidRPr="001E2783">
        <w:rPr>
          <w:rFonts w:cs="Arial"/>
        </w:rPr>
        <w:t>ard</w:t>
      </w:r>
      <w:r w:rsidR="00D571AC" w:rsidRPr="001E2783">
        <w:rPr>
          <w:rFonts w:cs="Arial"/>
        </w:rPr>
        <w:t>,</w:t>
      </w:r>
      <w:r w:rsidR="00B01ACA" w:rsidRPr="001E2783">
        <w:rPr>
          <w:rFonts w:cs="Arial"/>
        </w:rPr>
        <w:t xml:space="preserve"> and Lime Telecom Pty Ltd—for inadequate </w:t>
      </w:r>
      <w:r w:rsidR="009376A2" w:rsidRPr="001E2783">
        <w:rPr>
          <w:rFonts w:cs="Arial"/>
        </w:rPr>
        <w:t>c</w:t>
      </w:r>
      <w:r w:rsidRPr="001E2783">
        <w:rPr>
          <w:rFonts w:cs="Arial"/>
        </w:rPr>
        <w:t xml:space="preserve">ritical </w:t>
      </w:r>
      <w:r w:rsidR="009376A2" w:rsidRPr="001E2783">
        <w:rPr>
          <w:rFonts w:cs="Arial"/>
        </w:rPr>
        <w:t>i</w:t>
      </w:r>
      <w:r w:rsidRPr="001E2783">
        <w:rPr>
          <w:rFonts w:cs="Arial"/>
        </w:rPr>
        <w:t xml:space="preserve">nformation </w:t>
      </w:r>
      <w:r w:rsidR="009376A2" w:rsidRPr="001E2783">
        <w:rPr>
          <w:rFonts w:cs="Arial"/>
        </w:rPr>
        <w:t>s</w:t>
      </w:r>
      <w:r w:rsidRPr="001E2783">
        <w:rPr>
          <w:rFonts w:cs="Arial"/>
        </w:rPr>
        <w:t>ummaries</w:t>
      </w:r>
    </w:p>
    <w:p w14:paraId="14E93C23" w14:textId="77777777" w:rsidR="0079073C" w:rsidRPr="001E2783" w:rsidRDefault="00B01ACA" w:rsidP="00B01ACA">
      <w:pPr>
        <w:pStyle w:val="ListBullet2"/>
        <w:rPr>
          <w:rFonts w:cs="Arial"/>
        </w:rPr>
      </w:pPr>
      <w:r w:rsidRPr="001E2783">
        <w:rPr>
          <w:rFonts w:cs="Arial"/>
        </w:rPr>
        <w:t>Live Connected Pty Ltd—</w:t>
      </w:r>
      <w:r w:rsidR="0079073C" w:rsidRPr="001E2783">
        <w:rPr>
          <w:rFonts w:cs="Arial"/>
        </w:rPr>
        <w:t>for failing to comply with billing and credit management provisions</w:t>
      </w:r>
    </w:p>
    <w:p w14:paraId="52B4C77B" w14:textId="77777777" w:rsidR="0079073C" w:rsidRPr="001E2783" w:rsidRDefault="00B01ACA" w:rsidP="00B01ACA">
      <w:pPr>
        <w:pStyle w:val="ListBullet2"/>
        <w:rPr>
          <w:rFonts w:cs="Arial"/>
        </w:rPr>
      </w:pPr>
      <w:r w:rsidRPr="001E2783">
        <w:rPr>
          <w:rFonts w:cs="Arial"/>
        </w:rPr>
        <w:t>Optus Mobile Pty Ltd—</w:t>
      </w:r>
      <w:r w:rsidR="0079073C" w:rsidRPr="001E2783">
        <w:rPr>
          <w:rFonts w:cs="Arial"/>
        </w:rPr>
        <w:t xml:space="preserve">for failing to demonstrate billing accuracy </w:t>
      </w:r>
      <w:r w:rsidR="009376A2" w:rsidRPr="001E2783">
        <w:rPr>
          <w:rFonts w:cs="Arial"/>
        </w:rPr>
        <w:t xml:space="preserve">or </w:t>
      </w:r>
      <w:r w:rsidR="0079073C" w:rsidRPr="001E2783">
        <w:rPr>
          <w:rFonts w:cs="Arial"/>
        </w:rPr>
        <w:t>to identify and address systemic problems as soon as practicable</w:t>
      </w:r>
    </w:p>
    <w:p w14:paraId="7C559F6F" w14:textId="77777777" w:rsidR="0079073C" w:rsidRPr="001E2783" w:rsidRDefault="00B01ACA" w:rsidP="00B01ACA">
      <w:pPr>
        <w:pStyle w:val="ListBullet2"/>
        <w:rPr>
          <w:rFonts w:cs="Arial"/>
        </w:rPr>
      </w:pPr>
      <w:r w:rsidRPr="001E2783">
        <w:rPr>
          <w:rFonts w:cs="Arial"/>
        </w:rPr>
        <w:t>Lycamobile—</w:t>
      </w:r>
      <w:r w:rsidR="0079073C" w:rsidRPr="001E2783">
        <w:rPr>
          <w:rFonts w:cs="Arial"/>
        </w:rPr>
        <w:t>for failing to demonstrate billing accuracy</w:t>
      </w:r>
    </w:p>
    <w:p w14:paraId="7BD258C9" w14:textId="77777777" w:rsidR="0079073C" w:rsidRPr="001E2783" w:rsidRDefault="00B01ACA" w:rsidP="00B01ACA">
      <w:pPr>
        <w:pStyle w:val="ListBullet2"/>
        <w:rPr>
          <w:rFonts w:cs="Arial"/>
        </w:rPr>
      </w:pPr>
      <w:r w:rsidRPr="001E2783">
        <w:rPr>
          <w:rFonts w:cs="Arial"/>
        </w:rPr>
        <w:t>Telstra—</w:t>
      </w:r>
      <w:r w:rsidR="0079073C" w:rsidRPr="001E2783">
        <w:rPr>
          <w:rFonts w:cs="Arial"/>
        </w:rPr>
        <w:t>for failing to demonstrate billing a</w:t>
      </w:r>
      <w:r w:rsidR="00D571AC" w:rsidRPr="001E2783">
        <w:rPr>
          <w:rFonts w:cs="Arial"/>
        </w:rPr>
        <w:t>ccuracy</w:t>
      </w:r>
    </w:p>
    <w:p w14:paraId="4FA513C6" w14:textId="77777777" w:rsidR="0079073C" w:rsidRPr="001E2783" w:rsidRDefault="00B01ACA" w:rsidP="00B01ACA">
      <w:pPr>
        <w:pStyle w:val="ListBullet2"/>
        <w:rPr>
          <w:rFonts w:cs="Arial"/>
        </w:rPr>
      </w:pPr>
      <w:r w:rsidRPr="001E2783">
        <w:rPr>
          <w:rFonts w:cs="Arial"/>
        </w:rPr>
        <w:t>Dodo Services Pty Ltd—</w:t>
      </w:r>
      <w:r w:rsidR="0079073C" w:rsidRPr="001E2783">
        <w:rPr>
          <w:rFonts w:cs="Arial"/>
        </w:rPr>
        <w:t>for failing to comply with usage notification practices</w:t>
      </w:r>
    </w:p>
    <w:p w14:paraId="0AF47D68" w14:textId="77777777" w:rsidR="0079073C" w:rsidRPr="001E2783" w:rsidRDefault="00B01ACA" w:rsidP="00B01ACA">
      <w:pPr>
        <w:pStyle w:val="ListBullet2"/>
        <w:rPr>
          <w:rFonts w:cs="Arial"/>
        </w:rPr>
      </w:pPr>
      <w:r w:rsidRPr="001E2783">
        <w:rPr>
          <w:rFonts w:cs="Arial"/>
        </w:rPr>
        <w:t>Telcomo—</w:t>
      </w:r>
      <w:r w:rsidR="0079073C" w:rsidRPr="001E2783">
        <w:rPr>
          <w:rFonts w:cs="Arial"/>
        </w:rPr>
        <w:t>for fail</w:t>
      </w:r>
      <w:r w:rsidRPr="001E2783">
        <w:rPr>
          <w:rFonts w:cs="Arial"/>
        </w:rPr>
        <w:t>ing</w:t>
      </w:r>
      <w:r w:rsidR="0079073C" w:rsidRPr="001E2783">
        <w:rPr>
          <w:rFonts w:cs="Arial"/>
        </w:rPr>
        <w:t xml:space="preserve"> to comply with sales practice and customer transfer provisions</w:t>
      </w:r>
    </w:p>
    <w:p w14:paraId="607BB687" w14:textId="77777777" w:rsidR="0079073C" w:rsidRPr="001E2783" w:rsidRDefault="0079073C" w:rsidP="00B01ACA">
      <w:pPr>
        <w:pStyle w:val="ListBullet2"/>
        <w:rPr>
          <w:rFonts w:cs="Arial"/>
        </w:rPr>
      </w:pPr>
      <w:r w:rsidRPr="001E2783">
        <w:rPr>
          <w:rFonts w:cs="Arial"/>
        </w:rPr>
        <w:t>T</w:t>
      </w:r>
      <w:r w:rsidR="00B01ACA" w:rsidRPr="001E2783">
        <w:rPr>
          <w:rFonts w:cs="Arial"/>
        </w:rPr>
        <w:t>elco Service Holdings Pty Ltd—</w:t>
      </w:r>
      <w:r w:rsidRPr="001E2783">
        <w:rPr>
          <w:rFonts w:cs="Arial"/>
        </w:rPr>
        <w:t>for failing to keep customer personal information secure</w:t>
      </w:r>
    </w:p>
    <w:p w14:paraId="05163848" w14:textId="77777777" w:rsidR="0079073C" w:rsidRPr="001E2783" w:rsidRDefault="005B496E" w:rsidP="00B01ACA">
      <w:pPr>
        <w:pStyle w:val="ListBullet2"/>
        <w:spacing w:after="120"/>
        <w:rPr>
          <w:rFonts w:cs="Arial"/>
        </w:rPr>
      </w:pPr>
      <w:r w:rsidRPr="001E2783">
        <w:rPr>
          <w:rFonts w:cs="Arial"/>
        </w:rPr>
        <w:t>96</w:t>
      </w:r>
      <w:r w:rsidR="0079073C" w:rsidRPr="001E2783">
        <w:rPr>
          <w:rFonts w:cs="Arial"/>
        </w:rPr>
        <w:t xml:space="preserve"> providers f</w:t>
      </w:r>
      <w:r w:rsidR="00B01ACA" w:rsidRPr="001E2783">
        <w:rPr>
          <w:rFonts w:cs="Arial"/>
        </w:rPr>
        <w:t>ollowing referrals from CommCom—</w:t>
      </w:r>
      <w:r w:rsidR="0079073C" w:rsidRPr="001E2783">
        <w:rPr>
          <w:rFonts w:cs="Arial"/>
        </w:rPr>
        <w:t>for failing to lodge compliance statements.</w:t>
      </w:r>
    </w:p>
    <w:p w14:paraId="4079D076" w14:textId="77777777" w:rsidR="006C2CBF" w:rsidRPr="001E2783" w:rsidRDefault="005B496E" w:rsidP="005E4C73">
      <w:pPr>
        <w:pStyle w:val="ListBullet"/>
        <w:keepNext/>
        <w:spacing w:after="240"/>
        <w:rPr>
          <w:rFonts w:cs="Arial"/>
        </w:rPr>
      </w:pPr>
      <w:r w:rsidRPr="001E2783">
        <w:rPr>
          <w:rFonts w:cs="Arial"/>
        </w:rPr>
        <w:t xml:space="preserve">Its first infringement notice for a breach of the TCP Code to Telstra—for failing to comply with a </w:t>
      </w:r>
      <w:r w:rsidR="005E4C73" w:rsidRPr="001E2783">
        <w:rPr>
          <w:rFonts w:cs="Arial"/>
        </w:rPr>
        <w:t>section </w:t>
      </w:r>
      <w:r w:rsidR="006A5593" w:rsidRPr="001E2783">
        <w:rPr>
          <w:rFonts w:cs="Arial"/>
        </w:rPr>
        <w:t xml:space="preserve">121 </w:t>
      </w:r>
      <w:r w:rsidRPr="001E2783">
        <w:rPr>
          <w:rFonts w:cs="Arial"/>
        </w:rPr>
        <w:t>direction that required Telstra to keep customer personal information protected. Telstra paid a $10,200 infringement notice penalty.</w:t>
      </w:r>
      <w:r w:rsidR="006C2CBF" w:rsidRPr="001E2783">
        <w:rPr>
          <w:rFonts w:cs="Arial"/>
        </w:rPr>
        <w:t xml:space="preserve"> </w:t>
      </w:r>
    </w:p>
    <w:p w14:paraId="1C3F2273" w14:textId="77777777" w:rsidR="006C2CBF" w:rsidRPr="001E2783" w:rsidRDefault="006C2CBF" w:rsidP="009376A2">
      <w:pPr>
        <w:rPr>
          <w:rFonts w:cs="Arial"/>
        </w:rPr>
      </w:pPr>
      <w:r w:rsidRPr="001E2783">
        <w:rPr>
          <w:rFonts w:cs="Arial"/>
        </w:rPr>
        <w:t>The ACMA’s TCP Code compliance activities have covered a broad range of topics, including critical information summaries, spend management alerts, code c</w:t>
      </w:r>
      <w:r w:rsidR="009376A2" w:rsidRPr="001E2783">
        <w:rPr>
          <w:rFonts w:cs="Arial"/>
        </w:rPr>
        <w:t>ompliance statements, complaints-</w:t>
      </w:r>
      <w:r w:rsidRPr="001E2783">
        <w:rPr>
          <w:rFonts w:cs="Arial"/>
        </w:rPr>
        <w:t xml:space="preserve">handling, customer transfer, direct debit and related credit management practices. Details of key activities are set out below. </w:t>
      </w:r>
    </w:p>
    <w:p w14:paraId="3D19589D" w14:textId="77777777" w:rsidR="006C2CBF" w:rsidRPr="001E2783" w:rsidRDefault="006C2CBF" w:rsidP="006C2CBF">
      <w:pPr>
        <w:rPr>
          <w:rFonts w:cs="Arial"/>
        </w:rPr>
      </w:pPr>
    </w:p>
    <w:p w14:paraId="106959C7" w14:textId="77777777" w:rsidR="006C2CBF" w:rsidRPr="001E2783" w:rsidRDefault="006C2CBF" w:rsidP="00464891">
      <w:pPr>
        <w:pStyle w:val="bodySUBSUBheaderh5"/>
        <w:rPr>
          <w:rFonts w:cs="Arial"/>
        </w:rPr>
      </w:pPr>
      <w:r w:rsidRPr="001E2783">
        <w:rPr>
          <w:rFonts w:cs="Arial"/>
        </w:rPr>
        <w:t>Compliance attestations review</w:t>
      </w:r>
    </w:p>
    <w:p w14:paraId="34A5D97F" w14:textId="77777777" w:rsidR="006C2CBF" w:rsidRPr="001E2783" w:rsidRDefault="006C2CBF" w:rsidP="006C2CBF">
      <w:pPr>
        <w:rPr>
          <w:rFonts w:cs="Arial"/>
        </w:rPr>
      </w:pPr>
      <w:r w:rsidRPr="001E2783">
        <w:rPr>
          <w:rFonts w:cs="Arial"/>
        </w:rPr>
        <w:t xml:space="preserve">In the reporting period, the ACMA issued four directions and 95 formal warnings to providers who failed to lodge compliance attestations. </w:t>
      </w:r>
    </w:p>
    <w:p w14:paraId="5995AB70" w14:textId="77777777" w:rsidR="0079073C" w:rsidRPr="001E2783" w:rsidRDefault="0079073C" w:rsidP="0079073C">
      <w:pPr>
        <w:rPr>
          <w:rFonts w:cs="Arial"/>
        </w:rPr>
      </w:pPr>
    </w:p>
    <w:p w14:paraId="5DDEBA68" w14:textId="77777777" w:rsidR="0079073C" w:rsidRPr="001E2783" w:rsidRDefault="0079073C" w:rsidP="0079073C">
      <w:pPr>
        <w:rPr>
          <w:rFonts w:cs="Arial"/>
        </w:rPr>
      </w:pPr>
      <w:r w:rsidRPr="001E2783">
        <w:rPr>
          <w:rFonts w:cs="Arial"/>
        </w:rPr>
        <w:t>In April 2014, CommCom informed the ACMA that 323 providers had lodged compliance attestations for 2014</w:t>
      </w:r>
      <w:r w:rsidR="009376A2" w:rsidRPr="001E2783">
        <w:rPr>
          <w:rFonts w:cs="Arial"/>
        </w:rPr>
        <w:t>—</w:t>
      </w:r>
      <w:r w:rsidRPr="001E2783">
        <w:rPr>
          <w:rFonts w:cs="Arial"/>
        </w:rPr>
        <w:t>a 43</w:t>
      </w:r>
      <w:r w:rsidR="009376A2" w:rsidRPr="001E2783">
        <w:rPr>
          <w:rFonts w:cs="Arial"/>
        </w:rPr>
        <w:t xml:space="preserve"> per cent</w:t>
      </w:r>
      <w:r w:rsidRPr="001E2783">
        <w:rPr>
          <w:rFonts w:cs="Arial"/>
        </w:rPr>
        <w:t xml:space="preserve"> increase </w:t>
      </w:r>
      <w:r w:rsidR="009376A2" w:rsidRPr="001E2783">
        <w:rPr>
          <w:rFonts w:cs="Arial"/>
        </w:rPr>
        <w:t>on</w:t>
      </w:r>
      <w:r w:rsidRPr="001E2783">
        <w:rPr>
          <w:rFonts w:cs="Arial"/>
        </w:rPr>
        <w:t xml:space="preserve"> 2013.</w:t>
      </w:r>
      <w:r w:rsidR="009376A2" w:rsidRPr="001E2783">
        <w:rPr>
          <w:rFonts w:cs="Arial"/>
        </w:rPr>
        <w:t xml:space="preserve"> </w:t>
      </w:r>
      <w:r w:rsidRPr="001E2783">
        <w:rPr>
          <w:rFonts w:cs="Arial"/>
        </w:rPr>
        <w:t xml:space="preserve">Drawing on this information and </w:t>
      </w:r>
      <w:r w:rsidR="00D571AC" w:rsidRPr="001E2783">
        <w:rPr>
          <w:rFonts w:cs="Arial"/>
        </w:rPr>
        <w:t>TIO</w:t>
      </w:r>
      <w:r w:rsidRPr="001E2783">
        <w:rPr>
          <w:rFonts w:cs="Arial"/>
        </w:rPr>
        <w:t xml:space="preserve"> membership records, the ACMA sent preliminary enquiry letters to </w:t>
      </w:r>
      <w:r w:rsidR="004C60C1" w:rsidRPr="001E2783">
        <w:rPr>
          <w:rFonts w:cs="Arial"/>
        </w:rPr>
        <w:t>93</w:t>
      </w:r>
      <w:r w:rsidR="000851E0" w:rsidRPr="001E2783">
        <w:rPr>
          <w:rFonts w:cs="Arial"/>
        </w:rPr>
        <w:t xml:space="preserve"> </w:t>
      </w:r>
      <w:r w:rsidRPr="001E2783">
        <w:rPr>
          <w:rFonts w:cs="Arial"/>
        </w:rPr>
        <w:t>providers in May 2014, to ascertain why the</w:t>
      </w:r>
      <w:r w:rsidR="009376A2" w:rsidRPr="001E2783">
        <w:rPr>
          <w:rFonts w:cs="Arial"/>
        </w:rPr>
        <w:t>y</w:t>
      </w:r>
      <w:r w:rsidRPr="001E2783">
        <w:rPr>
          <w:rFonts w:cs="Arial"/>
        </w:rPr>
        <w:t xml:space="preserve"> did not lodge attestations with CommCom. The ACMA will take enforcement action if </w:t>
      </w:r>
      <w:r w:rsidR="000851E0" w:rsidRPr="001E2783">
        <w:rPr>
          <w:rFonts w:cs="Arial"/>
        </w:rPr>
        <w:t xml:space="preserve">it concludes </w:t>
      </w:r>
      <w:r w:rsidRPr="001E2783">
        <w:rPr>
          <w:rFonts w:cs="Arial"/>
        </w:rPr>
        <w:t>that the pro</w:t>
      </w:r>
      <w:r w:rsidR="009376A2" w:rsidRPr="001E2783">
        <w:rPr>
          <w:rFonts w:cs="Arial"/>
        </w:rPr>
        <w:t>viders did not comply with the TCP C</w:t>
      </w:r>
      <w:r w:rsidR="005E4C73" w:rsidRPr="001E2783">
        <w:rPr>
          <w:rFonts w:cs="Arial"/>
        </w:rPr>
        <w:t>ode.</w:t>
      </w:r>
    </w:p>
    <w:p w14:paraId="44A21600" w14:textId="77777777" w:rsidR="0079073C" w:rsidRPr="001E2783" w:rsidRDefault="0079073C" w:rsidP="0079073C">
      <w:pPr>
        <w:rPr>
          <w:rFonts w:cs="Arial"/>
          <w:i/>
        </w:rPr>
      </w:pPr>
    </w:p>
    <w:p w14:paraId="1932DF42" w14:textId="77777777" w:rsidR="0079073C" w:rsidRPr="001E2783" w:rsidRDefault="009376A2" w:rsidP="00464891">
      <w:pPr>
        <w:pStyle w:val="bodySUBSUBheaderh5"/>
        <w:rPr>
          <w:rFonts w:cs="Arial"/>
        </w:rPr>
      </w:pPr>
      <w:r w:rsidRPr="001E2783">
        <w:rPr>
          <w:rFonts w:cs="Arial"/>
        </w:rPr>
        <w:t>Critical information s</w:t>
      </w:r>
      <w:r w:rsidR="0079073C" w:rsidRPr="001E2783">
        <w:rPr>
          <w:rFonts w:cs="Arial"/>
        </w:rPr>
        <w:t>ummaries review</w:t>
      </w:r>
    </w:p>
    <w:p w14:paraId="4FABB7F9" w14:textId="77777777" w:rsidR="0079073C" w:rsidRPr="001E2783" w:rsidRDefault="0079073C" w:rsidP="0079073C">
      <w:pPr>
        <w:rPr>
          <w:rFonts w:cs="Arial"/>
        </w:rPr>
      </w:pPr>
      <w:r w:rsidRPr="001E2783">
        <w:rPr>
          <w:rFonts w:cs="Arial"/>
        </w:rPr>
        <w:t xml:space="preserve">Following </w:t>
      </w:r>
      <w:r w:rsidR="009376A2" w:rsidRPr="001E2783">
        <w:rPr>
          <w:rFonts w:cs="Arial"/>
        </w:rPr>
        <w:t>its March 2013 audit of</w:t>
      </w:r>
      <w:r w:rsidRPr="001E2783">
        <w:rPr>
          <w:rFonts w:cs="Arial"/>
        </w:rPr>
        <w:t xml:space="preserve"> critical information summaries</w:t>
      </w:r>
      <w:r w:rsidR="009376A2" w:rsidRPr="001E2783">
        <w:rPr>
          <w:rFonts w:cs="Arial"/>
        </w:rPr>
        <w:t>, the ACMA conducted a follow-</w:t>
      </w:r>
      <w:r w:rsidRPr="001E2783">
        <w:rPr>
          <w:rFonts w:cs="Arial"/>
        </w:rPr>
        <w:t>up audit of 46 providers in March 2014</w:t>
      </w:r>
      <w:r w:rsidR="009376A2" w:rsidRPr="001E2783">
        <w:rPr>
          <w:rFonts w:cs="Arial"/>
        </w:rPr>
        <w:t xml:space="preserve"> to check</w:t>
      </w:r>
      <w:r w:rsidRPr="001E2783">
        <w:rPr>
          <w:rFonts w:cs="Arial"/>
        </w:rPr>
        <w:t xml:space="preserve"> that </w:t>
      </w:r>
      <w:r w:rsidR="00D571AC" w:rsidRPr="001E2783">
        <w:rPr>
          <w:rFonts w:cs="Arial"/>
        </w:rPr>
        <w:t>they</w:t>
      </w:r>
      <w:r w:rsidRPr="001E2783">
        <w:rPr>
          <w:rFonts w:cs="Arial"/>
        </w:rPr>
        <w:t xml:space="preserve"> have critical information summaries and </w:t>
      </w:r>
      <w:r w:rsidR="009376A2" w:rsidRPr="001E2783">
        <w:rPr>
          <w:rFonts w:cs="Arial"/>
        </w:rPr>
        <w:t>th</w:t>
      </w:r>
      <w:r w:rsidR="00D571AC" w:rsidRPr="001E2783">
        <w:rPr>
          <w:rFonts w:cs="Arial"/>
        </w:rPr>
        <w:t>ese</w:t>
      </w:r>
      <w:r w:rsidRPr="001E2783">
        <w:rPr>
          <w:rFonts w:cs="Arial"/>
        </w:rPr>
        <w:t xml:space="preserve"> are in the prescribed format. Of the 46 providers assessed, only </w:t>
      </w:r>
      <w:r w:rsidR="009376A2" w:rsidRPr="001E2783">
        <w:rPr>
          <w:rFonts w:cs="Arial"/>
        </w:rPr>
        <w:t>two per cent</w:t>
      </w:r>
      <w:r w:rsidRPr="001E2783">
        <w:rPr>
          <w:rFonts w:cs="Arial"/>
        </w:rPr>
        <w:t xml:space="preserve"> failed to have a critical information summary</w:t>
      </w:r>
      <w:r w:rsidR="009376A2" w:rsidRPr="001E2783">
        <w:rPr>
          <w:rFonts w:cs="Arial"/>
        </w:rPr>
        <w:t xml:space="preserve">; </w:t>
      </w:r>
      <w:r w:rsidRPr="001E2783">
        <w:rPr>
          <w:rFonts w:cs="Arial"/>
        </w:rPr>
        <w:t>90</w:t>
      </w:r>
      <w:r w:rsidR="009376A2" w:rsidRPr="001E2783">
        <w:rPr>
          <w:rFonts w:cs="Arial"/>
        </w:rPr>
        <w:t xml:space="preserve"> per cent</w:t>
      </w:r>
      <w:r w:rsidRPr="001E2783">
        <w:rPr>
          <w:rFonts w:cs="Arial"/>
        </w:rPr>
        <w:t xml:space="preserve"> were immediately compliant. </w:t>
      </w:r>
    </w:p>
    <w:p w14:paraId="09BDB2DD" w14:textId="77777777" w:rsidR="0079073C" w:rsidRPr="001E2783" w:rsidRDefault="0079073C" w:rsidP="0079073C">
      <w:pPr>
        <w:rPr>
          <w:rFonts w:cs="Arial"/>
        </w:rPr>
      </w:pPr>
    </w:p>
    <w:p w14:paraId="4D836EDF" w14:textId="77777777" w:rsidR="0079073C" w:rsidRPr="001E2783" w:rsidRDefault="0079073C" w:rsidP="00464891">
      <w:pPr>
        <w:pStyle w:val="bodySUBSUBheaderh5"/>
        <w:rPr>
          <w:rFonts w:cs="Arial"/>
        </w:rPr>
      </w:pPr>
      <w:r w:rsidRPr="001E2783">
        <w:rPr>
          <w:rFonts w:cs="Arial"/>
        </w:rPr>
        <w:t>Usage alert notifications</w:t>
      </w:r>
      <w:r w:rsidR="006C2CBF" w:rsidRPr="001E2783">
        <w:rPr>
          <w:rFonts w:cs="Arial"/>
        </w:rPr>
        <w:t xml:space="preserve"> review</w:t>
      </w:r>
    </w:p>
    <w:p w14:paraId="46414FC1" w14:textId="77777777" w:rsidR="0079073C" w:rsidRPr="001E2783" w:rsidRDefault="0079073C" w:rsidP="0079073C">
      <w:pPr>
        <w:spacing w:after="80"/>
        <w:rPr>
          <w:rFonts w:cs="Arial"/>
        </w:rPr>
      </w:pPr>
      <w:r w:rsidRPr="001E2783">
        <w:rPr>
          <w:rFonts w:cs="Arial"/>
        </w:rPr>
        <w:t xml:space="preserve">The ACMA also undertook compliance work on spend management tools, such as alert notifications. </w:t>
      </w:r>
      <w:r w:rsidR="00033C15" w:rsidRPr="001E2783">
        <w:rPr>
          <w:rFonts w:cs="Arial"/>
        </w:rPr>
        <w:t>Under the TCP Code</w:t>
      </w:r>
      <w:r w:rsidR="005E4C73" w:rsidRPr="001E2783">
        <w:rPr>
          <w:rFonts w:cs="Arial"/>
        </w:rPr>
        <w:t>, from 1 </w:t>
      </w:r>
      <w:r w:rsidR="00033C15" w:rsidRPr="001E2783">
        <w:rPr>
          <w:rFonts w:cs="Arial"/>
        </w:rPr>
        <w:t>September 2013</w:t>
      </w:r>
      <w:r w:rsidRPr="001E2783">
        <w:rPr>
          <w:rFonts w:cs="Arial"/>
        </w:rPr>
        <w:t xml:space="preserve"> suppliers </w:t>
      </w:r>
      <w:r w:rsidR="00033C15" w:rsidRPr="001E2783">
        <w:rPr>
          <w:rFonts w:cs="Arial"/>
        </w:rPr>
        <w:t>must</w:t>
      </w:r>
      <w:r w:rsidRPr="001E2783">
        <w:rPr>
          <w:rFonts w:cs="Arial"/>
        </w:rPr>
        <w:t xml:space="preserve"> send usage notifications to:</w:t>
      </w:r>
    </w:p>
    <w:p w14:paraId="529D8AC9" w14:textId="77777777" w:rsidR="0079073C" w:rsidRPr="001E2783" w:rsidRDefault="00033C15" w:rsidP="0079073C">
      <w:pPr>
        <w:pStyle w:val="ListBullet"/>
        <w:rPr>
          <w:rFonts w:cs="Arial"/>
        </w:rPr>
      </w:pPr>
      <w:r w:rsidRPr="001E2783">
        <w:rPr>
          <w:rFonts w:cs="Arial"/>
        </w:rPr>
        <w:t>R</w:t>
      </w:r>
      <w:r w:rsidR="0079073C" w:rsidRPr="001E2783">
        <w:rPr>
          <w:rFonts w:cs="Arial"/>
        </w:rPr>
        <w:t xml:space="preserve">esidential customers on post-paid mobile and internet plans (with the potential for excess usage charges) when their data usage </w:t>
      </w:r>
      <w:r w:rsidR="005E4C73" w:rsidRPr="001E2783">
        <w:rPr>
          <w:rFonts w:cs="Arial"/>
        </w:rPr>
        <w:t>reaches 50, 85 and 100 </w:t>
      </w:r>
      <w:r w:rsidR="0079073C" w:rsidRPr="001E2783">
        <w:rPr>
          <w:rFonts w:cs="Arial"/>
        </w:rPr>
        <w:t>per cent of the amount included in their plan</w:t>
      </w:r>
      <w:r w:rsidRPr="001E2783">
        <w:rPr>
          <w:rFonts w:cs="Arial"/>
        </w:rPr>
        <w:t>.</w:t>
      </w:r>
    </w:p>
    <w:p w14:paraId="00E21B89" w14:textId="77777777" w:rsidR="0079073C" w:rsidRPr="001E2783" w:rsidRDefault="0079073C" w:rsidP="0079073C">
      <w:pPr>
        <w:pStyle w:val="ListBullet"/>
        <w:spacing w:after="240"/>
        <w:rPr>
          <w:rFonts w:cs="Arial"/>
        </w:rPr>
      </w:pPr>
      <w:r w:rsidRPr="001E2783">
        <w:rPr>
          <w:rFonts w:cs="Arial"/>
        </w:rPr>
        <w:t>Residential customers of providers with more than 100,000 included value plan services (Telstra, Optus and Vodafone) when usage of their included value for calls and SMS reaches 50</w:t>
      </w:r>
      <w:r w:rsidR="00033C15" w:rsidRPr="001E2783">
        <w:rPr>
          <w:rFonts w:cs="Arial"/>
        </w:rPr>
        <w:t>, 85 a</w:t>
      </w:r>
      <w:r w:rsidR="005E4C73" w:rsidRPr="001E2783">
        <w:rPr>
          <w:rFonts w:cs="Arial"/>
        </w:rPr>
        <w:t>nd 100 </w:t>
      </w:r>
      <w:r w:rsidR="00033C15" w:rsidRPr="001E2783">
        <w:rPr>
          <w:rFonts w:cs="Arial"/>
        </w:rPr>
        <w:t>per cent.</w:t>
      </w:r>
    </w:p>
    <w:p w14:paraId="7D471A6D" w14:textId="77777777" w:rsidR="0079073C" w:rsidRPr="001E2783" w:rsidRDefault="0079073C" w:rsidP="0079073C">
      <w:pPr>
        <w:rPr>
          <w:rFonts w:cs="Arial"/>
        </w:rPr>
      </w:pPr>
      <w:r w:rsidRPr="001E2783">
        <w:rPr>
          <w:rFonts w:cs="Arial"/>
        </w:rPr>
        <w:t xml:space="preserve">In December 2013, the ACMA commenced an </w:t>
      </w:r>
      <w:r w:rsidR="00033C15" w:rsidRPr="001E2783">
        <w:rPr>
          <w:rFonts w:cs="Arial"/>
        </w:rPr>
        <w:t>audit of seven large and medium-</w:t>
      </w:r>
      <w:r w:rsidRPr="001E2783">
        <w:rPr>
          <w:rFonts w:cs="Arial"/>
        </w:rPr>
        <w:t xml:space="preserve">sized providers of included value plans to assess their compliance with the usage alert requirements. The ACMA found that most providers had a small incidence of failure to send notifications or the correct information at the 100 per cent notification level. However, all providers aside from one (discussed below) addressed systemic issues and were deemed compliant. </w:t>
      </w:r>
    </w:p>
    <w:p w14:paraId="2BCDC8A0" w14:textId="77777777" w:rsidR="0079073C" w:rsidRPr="001E2783" w:rsidRDefault="0079073C" w:rsidP="0079073C">
      <w:pPr>
        <w:rPr>
          <w:rFonts w:cs="Arial"/>
        </w:rPr>
      </w:pPr>
    </w:p>
    <w:p w14:paraId="10967F44" w14:textId="77777777" w:rsidR="0079073C" w:rsidRPr="001E2783" w:rsidRDefault="0079073C" w:rsidP="0079073C">
      <w:pPr>
        <w:rPr>
          <w:rFonts w:cs="Arial"/>
        </w:rPr>
      </w:pPr>
      <w:r w:rsidRPr="001E2783">
        <w:rPr>
          <w:rFonts w:cs="Arial"/>
        </w:rPr>
        <w:t xml:space="preserve">The audit found that Dodo Services Pty Ltd (Dodo) </w:t>
      </w:r>
      <w:r w:rsidR="0047344E" w:rsidRPr="001E2783">
        <w:rPr>
          <w:rFonts w:cs="Arial"/>
        </w:rPr>
        <w:t>did not</w:t>
      </w:r>
      <w:r w:rsidRPr="001E2783">
        <w:rPr>
          <w:rFonts w:cs="Arial"/>
        </w:rPr>
        <w:t xml:space="preserve"> comply with the required usage notification requirements, as it failed to send alerts to customers about their data use. The failure affected certain Dodo customers with a fixed broadband service during October and November 2013. </w:t>
      </w:r>
      <w:r w:rsidR="000851E0" w:rsidRPr="001E2783">
        <w:rPr>
          <w:rFonts w:cs="Arial"/>
        </w:rPr>
        <w:t>In May 2014,</w:t>
      </w:r>
      <w:r w:rsidRPr="001E2783">
        <w:rPr>
          <w:rFonts w:cs="Arial"/>
        </w:rPr>
        <w:t xml:space="preserve"> the ACMA issued Dodo with a formal warning for failing to comply with the usage</w:t>
      </w:r>
      <w:r w:rsidR="0047344E" w:rsidRPr="001E2783">
        <w:rPr>
          <w:rFonts w:cs="Arial"/>
        </w:rPr>
        <w:t xml:space="preserve"> alert requirements of the TCP C</w:t>
      </w:r>
      <w:r w:rsidRPr="001E2783">
        <w:rPr>
          <w:rFonts w:cs="Arial"/>
        </w:rPr>
        <w:t xml:space="preserve">ode. </w:t>
      </w:r>
    </w:p>
    <w:p w14:paraId="789CFEB5" w14:textId="77777777" w:rsidR="0079073C" w:rsidRPr="001E2783" w:rsidRDefault="0079073C" w:rsidP="00464891">
      <w:pPr>
        <w:rPr>
          <w:rFonts w:cs="Arial"/>
        </w:rPr>
      </w:pPr>
    </w:p>
    <w:p w14:paraId="39E46FFF" w14:textId="77777777" w:rsidR="0079073C" w:rsidRPr="001E2783" w:rsidRDefault="0079073C" w:rsidP="00970328">
      <w:pPr>
        <w:pStyle w:val="bodySUBSUBheaderh5"/>
        <w:keepLines/>
        <w:rPr>
          <w:rFonts w:cs="Arial"/>
        </w:rPr>
      </w:pPr>
      <w:r w:rsidRPr="001E2783">
        <w:rPr>
          <w:rFonts w:cs="Arial"/>
        </w:rPr>
        <w:t>Customer transfer investigations and review</w:t>
      </w:r>
    </w:p>
    <w:p w14:paraId="0BA9686D" w14:textId="77777777" w:rsidR="0079073C" w:rsidRPr="001E2783" w:rsidRDefault="0047344E" w:rsidP="00970328">
      <w:pPr>
        <w:keepLines/>
        <w:rPr>
          <w:rFonts w:cs="Arial"/>
        </w:rPr>
      </w:pPr>
      <w:r w:rsidRPr="001E2783">
        <w:rPr>
          <w:rFonts w:cs="Arial"/>
        </w:rPr>
        <w:t>In the reporting period, t</w:t>
      </w:r>
      <w:r w:rsidR="0079073C" w:rsidRPr="001E2783">
        <w:rPr>
          <w:rFonts w:cs="Arial"/>
        </w:rPr>
        <w:t>he ACMA concluded three investigations looking at compliance with the customer transfer rules of the TCP Code. Gazal Tel</w:t>
      </w:r>
      <w:r w:rsidR="00D272C1" w:rsidRPr="001E2783">
        <w:rPr>
          <w:rFonts w:cs="Arial"/>
        </w:rPr>
        <w:t>e</w:t>
      </w:r>
      <w:r w:rsidR="0079073C" w:rsidRPr="001E2783">
        <w:rPr>
          <w:rFonts w:cs="Arial"/>
        </w:rPr>
        <w:t>com Australia, Utel Networks and Telcomo failed to comply wi</w:t>
      </w:r>
      <w:r w:rsidRPr="001E2783">
        <w:rPr>
          <w:rFonts w:cs="Arial"/>
        </w:rPr>
        <w:t>th the requirements in the TCP C</w:t>
      </w:r>
      <w:r w:rsidR="0079073C" w:rsidRPr="001E2783">
        <w:rPr>
          <w:rFonts w:cs="Arial"/>
        </w:rPr>
        <w:t xml:space="preserve">ode about </w:t>
      </w:r>
      <w:r w:rsidR="00101CA8" w:rsidRPr="001E2783">
        <w:rPr>
          <w:rFonts w:cs="Arial"/>
        </w:rPr>
        <w:t>promoting</w:t>
      </w:r>
      <w:r w:rsidR="0079073C" w:rsidRPr="001E2783">
        <w:rPr>
          <w:rFonts w:cs="Arial"/>
        </w:rPr>
        <w:t xml:space="preserve"> customer transfers and obtaining informed co</w:t>
      </w:r>
      <w:r w:rsidRPr="001E2783">
        <w:rPr>
          <w:rFonts w:cs="Arial"/>
        </w:rPr>
        <w:t>nsent for the transfers of fixed-</w:t>
      </w:r>
      <w:r w:rsidR="0079073C" w:rsidRPr="001E2783">
        <w:rPr>
          <w:rFonts w:cs="Arial"/>
        </w:rPr>
        <w:t>line services.</w:t>
      </w:r>
    </w:p>
    <w:p w14:paraId="7D17C874" w14:textId="77777777" w:rsidR="0079073C" w:rsidRPr="001E2783" w:rsidRDefault="0079073C" w:rsidP="00970328">
      <w:pPr>
        <w:keepLines/>
        <w:rPr>
          <w:rFonts w:cs="Arial"/>
        </w:rPr>
      </w:pPr>
    </w:p>
    <w:p w14:paraId="14720673" w14:textId="77777777" w:rsidR="0079073C" w:rsidRPr="001E2783" w:rsidRDefault="0079073C" w:rsidP="0079073C">
      <w:pPr>
        <w:rPr>
          <w:rFonts w:cs="Arial"/>
        </w:rPr>
      </w:pPr>
      <w:r w:rsidRPr="001E2783">
        <w:rPr>
          <w:rFonts w:cs="Arial"/>
        </w:rPr>
        <w:t>A direction was given to Utel Networks to comply with the entire code</w:t>
      </w:r>
      <w:r w:rsidR="0047344E" w:rsidRPr="001E2783">
        <w:rPr>
          <w:rFonts w:cs="Arial"/>
        </w:rPr>
        <w:t>, and a</w:t>
      </w:r>
      <w:r w:rsidRPr="001E2783">
        <w:rPr>
          <w:rFonts w:cs="Arial"/>
        </w:rPr>
        <w:t xml:space="preserve"> direction was also given to Gazal Telecom Australia to comply with chapters 4 and 7 of the code, which relate to sales practices and changing suppliers. Telcomo changed its transfer application and contract processes to address the issues prior to the release of the ACMA’s preliminary investigation findings, and </w:t>
      </w:r>
      <w:r w:rsidR="0047344E" w:rsidRPr="001E2783">
        <w:rPr>
          <w:rFonts w:cs="Arial"/>
        </w:rPr>
        <w:t xml:space="preserve">so </w:t>
      </w:r>
      <w:r w:rsidRPr="001E2783">
        <w:rPr>
          <w:rFonts w:cs="Arial"/>
        </w:rPr>
        <w:t xml:space="preserve">was only issued a formal warning. </w:t>
      </w:r>
    </w:p>
    <w:p w14:paraId="756E2A70" w14:textId="77777777" w:rsidR="0079073C" w:rsidRPr="001E2783" w:rsidRDefault="0079073C" w:rsidP="0079073C">
      <w:pPr>
        <w:rPr>
          <w:rFonts w:cs="Arial"/>
        </w:rPr>
      </w:pPr>
    </w:p>
    <w:p w14:paraId="1E5F0187" w14:textId="77777777" w:rsidR="0079073C" w:rsidRPr="001E2783" w:rsidRDefault="0079073C" w:rsidP="0079073C">
      <w:pPr>
        <w:rPr>
          <w:rFonts w:cs="Arial"/>
        </w:rPr>
      </w:pPr>
      <w:r w:rsidRPr="001E2783">
        <w:rPr>
          <w:rFonts w:cs="Arial"/>
        </w:rPr>
        <w:t>In late 2013, the ACMA commenced a multi-provider review of compliance with the customer</w:t>
      </w:r>
      <w:r w:rsidR="005E4C73" w:rsidRPr="001E2783">
        <w:rPr>
          <w:rFonts w:cs="Arial"/>
        </w:rPr>
        <w:t xml:space="preserve"> transfer provisions of Chapter </w:t>
      </w:r>
      <w:r w:rsidRPr="001E2783">
        <w:rPr>
          <w:rFonts w:cs="Arial"/>
        </w:rPr>
        <w:t xml:space="preserve">7 of the </w:t>
      </w:r>
      <w:r w:rsidR="000851E0" w:rsidRPr="001E2783">
        <w:rPr>
          <w:rFonts w:cs="Arial"/>
        </w:rPr>
        <w:t>TCP C</w:t>
      </w:r>
      <w:r w:rsidR="00101CA8" w:rsidRPr="001E2783">
        <w:rPr>
          <w:rFonts w:cs="Arial"/>
        </w:rPr>
        <w:t>ode, based on concerns i</w:t>
      </w:r>
      <w:r w:rsidRPr="001E2783">
        <w:rPr>
          <w:rFonts w:cs="Arial"/>
        </w:rPr>
        <w:t>dentified th</w:t>
      </w:r>
      <w:r w:rsidR="0047344E" w:rsidRPr="001E2783">
        <w:rPr>
          <w:rFonts w:cs="Arial"/>
        </w:rPr>
        <w:t xml:space="preserve">rough the above investigations. </w:t>
      </w:r>
      <w:r w:rsidR="009153D5" w:rsidRPr="001E2783">
        <w:rPr>
          <w:rFonts w:cs="Arial"/>
        </w:rPr>
        <w:t xml:space="preserve">The review is </w:t>
      </w:r>
      <w:r w:rsidRPr="001E2783">
        <w:rPr>
          <w:rFonts w:cs="Arial"/>
        </w:rPr>
        <w:t>examin</w:t>
      </w:r>
      <w:r w:rsidR="009153D5" w:rsidRPr="001E2783">
        <w:rPr>
          <w:rFonts w:cs="Arial"/>
        </w:rPr>
        <w:t>ing</w:t>
      </w:r>
      <w:r w:rsidRPr="001E2783">
        <w:rPr>
          <w:rFonts w:cs="Arial"/>
        </w:rPr>
        <w:t xml:space="preserve"> whether providers are giving accurate and adequate information about transfers, and obtaining informed consent from consumers. A</w:t>
      </w:r>
      <w:r w:rsidR="005E4C73" w:rsidRPr="001E2783">
        <w:rPr>
          <w:rFonts w:cs="Arial"/>
        </w:rPr>
        <w:t>t 30 </w:t>
      </w:r>
      <w:r w:rsidR="0047344E" w:rsidRPr="001E2783">
        <w:rPr>
          <w:rFonts w:cs="Arial"/>
        </w:rPr>
        <w:t>June 2014, the ACMA had</w:t>
      </w:r>
      <w:r w:rsidRPr="001E2783">
        <w:rPr>
          <w:rFonts w:cs="Arial"/>
        </w:rPr>
        <w:t xml:space="preserve"> reviewed six providers. In each case, the review identified potential deficiencies in the information provided to customers when con</w:t>
      </w:r>
      <w:r w:rsidR="0047344E" w:rsidRPr="001E2783">
        <w:rPr>
          <w:rFonts w:cs="Arial"/>
        </w:rPr>
        <w:t>sent to transfer was obtained.</w:t>
      </w:r>
    </w:p>
    <w:p w14:paraId="3DCA4ED1" w14:textId="77777777" w:rsidR="0079073C" w:rsidRPr="001E2783" w:rsidRDefault="0079073C" w:rsidP="0079073C">
      <w:pPr>
        <w:rPr>
          <w:rFonts w:cs="Arial"/>
        </w:rPr>
      </w:pPr>
    </w:p>
    <w:p w14:paraId="153E794D" w14:textId="77777777" w:rsidR="0079073C" w:rsidRPr="001E2783" w:rsidRDefault="0079073C" w:rsidP="0079073C">
      <w:pPr>
        <w:rPr>
          <w:rFonts w:cs="Arial"/>
        </w:rPr>
      </w:pPr>
      <w:r w:rsidRPr="001E2783">
        <w:rPr>
          <w:rFonts w:cs="Arial"/>
        </w:rPr>
        <w:t xml:space="preserve">In three cases, the providers voluntarily made changes to their scripts and procedures to address these deficiencies. The most serious omission of information </w:t>
      </w:r>
      <w:r w:rsidR="009153D5" w:rsidRPr="001E2783">
        <w:rPr>
          <w:rFonts w:cs="Arial"/>
        </w:rPr>
        <w:t>was</w:t>
      </w:r>
      <w:r w:rsidRPr="001E2783">
        <w:rPr>
          <w:rFonts w:cs="Arial"/>
        </w:rPr>
        <w:t xml:space="preserve"> a failure to advise a potential customer that </w:t>
      </w:r>
      <w:r w:rsidR="009153D5" w:rsidRPr="001E2783">
        <w:rPr>
          <w:rFonts w:cs="Arial"/>
        </w:rPr>
        <w:t xml:space="preserve">leaving his or her existing contract early </w:t>
      </w:r>
      <w:r w:rsidRPr="001E2783">
        <w:rPr>
          <w:rFonts w:cs="Arial"/>
        </w:rPr>
        <w:t xml:space="preserve">may </w:t>
      </w:r>
      <w:r w:rsidR="009153D5" w:rsidRPr="001E2783">
        <w:rPr>
          <w:rFonts w:cs="Arial"/>
        </w:rPr>
        <w:t xml:space="preserve">lead </w:t>
      </w:r>
      <w:r w:rsidRPr="001E2783">
        <w:rPr>
          <w:rFonts w:cs="Arial"/>
        </w:rPr>
        <w:t xml:space="preserve">to penalties or fees. One provider is no longer operating as a CSP. The review has resulted in the ACMA opening two formal investigations examining compliance with the </w:t>
      </w:r>
      <w:r w:rsidR="009153D5" w:rsidRPr="001E2783">
        <w:rPr>
          <w:rFonts w:cs="Arial"/>
        </w:rPr>
        <w:t>TCP Code. These investigations we</w:t>
      </w:r>
      <w:r w:rsidR="005E4C73" w:rsidRPr="001E2783">
        <w:rPr>
          <w:rFonts w:cs="Arial"/>
        </w:rPr>
        <w:t>re ongoing as of 30 </w:t>
      </w:r>
      <w:r w:rsidRPr="001E2783">
        <w:rPr>
          <w:rFonts w:cs="Arial"/>
        </w:rPr>
        <w:t>June 2014.</w:t>
      </w:r>
    </w:p>
    <w:p w14:paraId="18C03C7E" w14:textId="77777777" w:rsidR="0079073C" w:rsidRPr="001E2783" w:rsidRDefault="0079073C" w:rsidP="0079073C">
      <w:pPr>
        <w:rPr>
          <w:rFonts w:cs="Arial"/>
        </w:rPr>
      </w:pPr>
    </w:p>
    <w:p w14:paraId="21DD661F" w14:textId="77777777" w:rsidR="0079073C" w:rsidRPr="001E2783" w:rsidRDefault="009153D5" w:rsidP="00464891">
      <w:pPr>
        <w:pStyle w:val="bodySUBSUBheaderh5"/>
        <w:rPr>
          <w:rFonts w:cs="Arial"/>
        </w:rPr>
      </w:pPr>
      <w:r w:rsidRPr="001E2783">
        <w:rPr>
          <w:rFonts w:cs="Arial"/>
        </w:rPr>
        <w:t>Complaints-</w:t>
      </w:r>
      <w:r w:rsidR="0079073C" w:rsidRPr="001E2783">
        <w:rPr>
          <w:rFonts w:cs="Arial"/>
        </w:rPr>
        <w:t>handling investigations</w:t>
      </w:r>
    </w:p>
    <w:p w14:paraId="45A37D84" w14:textId="77777777" w:rsidR="0079073C" w:rsidRPr="001E2783" w:rsidRDefault="0079073C" w:rsidP="0079073C">
      <w:pPr>
        <w:rPr>
          <w:rFonts w:cs="Arial"/>
        </w:rPr>
      </w:pPr>
      <w:r w:rsidRPr="001E2783">
        <w:rPr>
          <w:rFonts w:cs="Arial"/>
        </w:rPr>
        <w:t xml:space="preserve">In August 2013, the ACMA concluded investigations into Telstra, Optus and Vodafone’s compliance with the TCP Code requirement to deliver an agreed resolution to a customer complaint within </w:t>
      </w:r>
      <w:r w:rsidR="009153D5" w:rsidRPr="001E2783">
        <w:rPr>
          <w:rFonts w:cs="Arial"/>
        </w:rPr>
        <w:t>10</w:t>
      </w:r>
      <w:r w:rsidRPr="001E2783">
        <w:rPr>
          <w:rFonts w:cs="Arial"/>
        </w:rPr>
        <w:t xml:space="preserve"> working days. The </w:t>
      </w:r>
      <w:r w:rsidRPr="001E2783">
        <w:rPr>
          <w:rFonts w:cs="Arial"/>
          <w:i/>
        </w:rPr>
        <w:t>R</w:t>
      </w:r>
      <w:r w:rsidR="009153D5" w:rsidRPr="001E2783">
        <w:rPr>
          <w:rFonts w:cs="Arial"/>
          <w:i/>
        </w:rPr>
        <w:t xml:space="preserve">econnecting the </w:t>
      </w:r>
      <w:r w:rsidRPr="001E2783">
        <w:rPr>
          <w:rFonts w:cs="Arial"/>
          <w:i/>
        </w:rPr>
        <w:t>C</w:t>
      </w:r>
      <w:r w:rsidR="009153D5" w:rsidRPr="001E2783">
        <w:rPr>
          <w:rFonts w:cs="Arial"/>
          <w:i/>
        </w:rPr>
        <w:t>ustomer</w:t>
      </w:r>
      <w:r w:rsidR="009153D5" w:rsidRPr="001E2783">
        <w:rPr>
          <w:rFonts w:cs="Arial"/>
        </w:rPr>
        <w:t xml:space="preserve"> </w:t>
      </w:r>
      <w:r w:rsidRPr="001E2783">
        <w:rPr>
          <w:rFonts w:cs="Arial"/>
        </w:rPr>
        <w:t>inquiry had identified failure to action undertakings when responding to complaints as a major concern for consumers and a</w:t>
      </w:r>
      <w:r w:rsidR="009153D5" w:rsidRPr="001E2783">
        <w:rPr>
          <w:rFonts w:cs="Arial"/>
        </w:rPr>
        <w:t xml:space="preserve"> key driver of dissatisfaction. This </w:t>
      </w:r>
      <w:r w:rsidRPr="001E2783">
        <w:rPr>
          <w:rFonts w:cs="Arial"/>
        </w:rPr>
        <w:t xml:space="preserve">requirement </w:t>
      </w:r>
      <w:r w:rsidR="009153D5" w:rsidRPr="001E2783">
        <w:rPr>
          <w:rFonts w:cs="Arial"/>
        </w:rPr>
        <w:t xml:space="preserve">is </w:t>
      </w:r>
      <w:r w:rsidRPr="001E2783">
        <w:rPr>
          <w:rFonts w:cs="Arial"/>
        </w:rPr>
        <w:t xml:space="preserve">a key provision of the TCP </w:t>
      </w:r>
      <w:r w:rsidR="009153D5" w:rsidRPr="001E2783">
        <w:rPr>
          <w:rFonts w:cs="Arial"/>
        </w:rPr>
        <w:t>C</w:t>
      </w:r>
      <w:r w:rsidRPr="001E2783">
        <w:rPr>
          <w:rFonts w:cs="Arial"/>
        </w:rPr>
        <w:t xml:space="preserve">ode. </w:t>
      </w:r>
    </w:p>
    <w:p w14:paraId="2C130B05" w14:textId="77777777" w:rsidR="0079073C" w:rsidRPr="001E2783" w:rsidRDefault="0079073C" w:rsidP="0079073C">
      <w:pPr>
        <w:rPr>
          <w:rFonts w:cs="Arial"/>
        </w:rPr>
      </w:pPr>
    </w:p>
    <w:p w14:paraId="719A7F07" w14:textId="77777777" w:rsidR="0079073C" w:rsidRPr="001E2783" w:rsidRDefault="0079073C" w:rsidP="0079073C">
      <w:pPr>
        <w:rPr>
          <w:rFonts w:cs="Arial"/>
        </w:rPr>
      </w:pPr>
      <w:r w:rsidRPr="001E2783">
        <w:rPr>
          <w:rFonts w:cs="Arial"/>
        </w:rPr>
        <w:t>The investigations under Part 26 of the Telecommunications Act found that each provider has appropriate policies and procedures i</w:t>
      </w:r>
      <w:r w:rsidR="009153D5" w:rsidRPr="001E2783">
        <w:rPr>
          <w:rFonts w:cs="Arial"/>
        </w:rPr>
        <w:t>n place to comply with the TCP C</w:t>
      </w:r>
      <w:r w:rsidRPr="001E2783">
        <w:rPr>
          <w:rFonts w:cs="Arial"/>
        </w:rPr>
        <w:t xml:space="preserve">ode provision. </w:t>
      </w:r>
    </w:p>
    <w:p w14:paraId="4F0822EF" w14:textId="77777777" w:rsidR="0079073C" w:rsidRPr="001E2783" w:rsidRDefault="0079073C" w:rsidP="0079073C">
      <w:pPr>
        <w:rPr>
          <w:rFonts w:cs="Arial"/>
        </w:rPr>
      </w:pPr>
    </w:p>
    <w:p w14:paraId="0630FA2D" w14:textId="77777777" w:rsidR="0079073C" w:rsidRPr="001E2783" w:rsidRDefault="0079073C" w:rsidP="00464891">
      <w:pPr>
        <w:pStyle w:val="bodySUBSUBheaderh5"/>
        <w:rPr>
          <w:rFonts w:cs="Arial"/>
        </w:rPr>
      </w:pPr>
      <w:r w:rsidRPr="001E2783">
        <w:rPr>
          <w:rFonts w:cs="Arial"/>
        </w:rPr>
        <w:t>Direct debit investigations and review</w:t>
      </w:r>
    </w:p>
    <w:p w14:paraId="1FFA518A" w14:textId="77777777" w:rsidR="0079073C" w:rsidRPr="001E2783" w:rsidRDefault="0079073C" w:rsidP="0079073C">
      <w:pPr>
        <w:rPr>
          <w:rFonts w:cs="Arial"/>
          <w:szCs w:val="20"/>
        </w:rPr>
      </w:pPr>
      <w:r w:rsidRPr="001E2783">
        <w:rPr>
          <w:rFonts w:cs="Arial"/>
          <w:szCs w:val="20"/>
        </w:rPr>
        <w:t>The ACMA concluded an investigation</w:t>
      </w:r>
      <w:r w:rsidR="005E4C73" w:rsidRPr="001E2783">
        <w:rPr>
          <w:rFonts w:cs="Arial"/>
          <w:szCs w:val="20"/>
        </w:rPr>
        <w:t xml:space="preserve"> into Live Connected under Part </w:t>
      </w:r>
      <w:r w:rsidRPr="001E2783">
        <w:rPr>
          <w:rFonts w:cs="Arial"/>
          <w:szCs w:val="20"/>
        </w:rPr>
        <w:t xml:space="preserve">26 of the Telecommunications Act, finding that </w:t>
      </w:r>
      <w:r w:rsidR="009153D5" w:rsidRPr="001E2783">
        <w:rPr>
          <w:rFonts w:cs="Arial"/>
          <w:szCs w:val="20"/>
        </w:rPr>
        <w:t xml:space="preserve">it </w:t>
      </w:r>
      <w:r w:rsidRPr="001E2783">
        <w:rPr>
          <w:rFonts w:cs="Arial"/>
          <w:szCs w:val="20"/>
        </w:rPr>
        <w:t xml:space="preserve">had failed to provide customers with at least 10 working days to check their bill before an associated direct debit occurred. The ACMA also found that Live Connected took credit management action </w:t>
      </w:r>
      <w:r w:rsidR="009153D5" w:rsidRPr="001E2783">
        <w:rPr>
          <w:rFonts w:cs="Arial"/>
          <w:szCs w:val="20"/>
        </w:rPr>
        <w:t>on</w:t>
      </w:r>
      <w:r w:rsidRPr="001E2783">
        <w:rPr>
          <w:rFonts w:cs="Arial"/>
          <w:szCs w:val="20"/>
        </w:rPr>
        <w:t xml:space="preserve"> disputed amounts </w:t>
      </w:r>
      <w:r w:rsidR="009153D5" w:rsidRPr="001E2783">
        <w:rPr>
          <w:rFonts w:cs="Arial"/>
          <w:szCs w:val="20"/>
        </w:rPr>
        <w:t>that</w:t>
      </w:r>
      <w:r w:rsidRPr="001E2783">
        <w:rPr>
          <w:rFonts w:cs="Arial"/>
          <w:szCs w:val="20"/>
        </w:rPr>
        <w:t xml:space="preserve"> were the subject of unresolved complaints. </w:t>
      </w:r>
    </w:p>
    <w:p w14:paraId="6116CFA8" w14:textId="77777777" w:rsidR="0079073C" w:rsidRPr="001E2783" w:rsidRDefault="0079073C" w:rsidP="0079073C">
      <w:pPr>
        <w:rPr>
          <w:rFonts w:cs="Arial"/>
          <w:szCs w:val="20"/>
        </w:rPr>
      </w:pPr>
    </w:p>
    <w:p w14:paraId="43294689" w14:textId="77777777" w:rsidR="0079073C" w:rsidRPr="001E2783" w:rsidRDefault="0079073C" w:rsidP="0079073C">
      <w:pPr>
        <w:rPr>
          <w:rFonts w:cs="Arial"/>
          <w:szCs w:val="20"/>
        </w:rPr>
      </w:pPr>
      <w:r w:rsidRPr="001E2783">
        <w:rPr>
          <w:rFonts w:cs="Arial"/>
          <w:szCs w:val="20"/>
        </w:rPr>
        <w:t>The ACMA issued Live Connected with a formal warning</w:t>
      </w:r>
      <w:r w:rsidR="000851E0" w:rsidRPr="001E2783">
        <w:rPr>
          <w:rFonts w:cs="Arial"/>
          <w:szCs w:val="20"/>
        </w:rPr>
        <w:t xml:space="preserve"> in November 2013</w:t>
      </w:r>
      <w:r w:rsidRPr="001E2783">
        <w:rPr>
          <w:rFonts w:cs="Arial"/>
          <w:szCs w:val="20"/>
        </w:rPr>
        <w:t xml:space="preserve">. </w:t>
      </w:r>
    </w:p>
    <w:p w14:paraId="2183BBD4" w14:textId="77777777" w:rsidR="0079073C" w:rsidRPr="001E2783" w:rsidRDefault="0079073C" w:rsidP="0079073C">
      <w:pPr>
        <w:rPr>
          <w:rFonts w:cs="Arial"/>
          <w:szCs w:val="20"/>
        </w:rPr>
      </w:pPr>
    </w:p>
    <w:p w14:paraId="55C9877C" w14:textId="77777777" w:rsidR="009153D5" w:rsidRPr="001E2783" w:rsidRDefault="0079073C" w:rsidP="009153D5">
      <w:pPr>
        <w:spacing w:after="80"/>
        <w:rPr>
          <w:rFonts w:cs="Arial"/>
          <w:iCs/>
        </w:rPr>
      </w:pPr>
      <w:r w:rsidRPr="001E2783">
        <w:rPr>
          <w:rFonts w:cs="Arial"/>
          <w:iCs/>
        </w:rPr>
        <w:t>Based on concerns identified through this investigation, and the level of complaints to the TIO on direct debit and related credit management is</w:t>
      </w:r>
      <w:r w:rsidR="009153D5" w:rsidRPr="001E2783">
        <w:rPr>
          <w:rFonts w:cs="Arial"/>
          <w:iCs/>
        </w:rPr>
        <w:t xml:space="preserve">sues, the ACMA commenced three </w:t>
      </w:r>
      <w:r w:rsidRPr="001E2783">
        <w:rPr>
          <w:rFonts w:cs="Arial"/>
          <w:iCs/>
        </w:rPr>
        <w:t>investigations f</w:t>
      </w:r>
      <w:r w:rsidR="005E4C73" w:rsidRPr="001E2783">
        <w:rPr>
          <w:rFonts w:cs="Arial"/>
          <w:iCs/>
        </w:rPr>
        <w:t>ocusing on clauses </w:t>
      </w:r>
      <w:r w:rsidRPr="001E2783">
        <w:rPr>
          <w:rFonts w:cs="Arial"/>
          <w:iCs/>
        </w:rPr>
        <w:t>5.7, 6.9 an</w:t>
      </w:r>
      <w:r w:rsidR="00B30D9A" w:rsidRPr="001E2783">
        <w:rPr>
          <w:rFonts w:cs="Arial"/>
          <w:iCs/>
        </w:rPr>
        <w:t>d 8.2.1</w:t>
      </w:r>
      <w:r w:rsidR="009153D5" w:rsidRPr="001E2783">
        <w:rPr>
          <w:rFonts w:cs="Arial"/>
          <w:iCs/>
        </w:rPr>
        <w:t>(a)(v) of the TCP Code. The ACMA i</w:t>
      </w:r>
      <w:r w:rsidRPr="001E2783">
        <w:rPr>
          <w:rFonts w:cs="Arial"/>
          <w:iCs/>
        </w:rPr>
        <w:t>s seeking to establi</w:t>
      </w:r>
      <w:r w:rsidR="009153D5" w:rsidRPr="001E2783">
        <w:rPr>
          <w:rFonts w:cs="Arial"/>
          <w:iCs/>
        </w:rPr>
        <w:t>sh compliance with the TCP Code;</w:t>
      </w:r>
      <w:r w:rsidRPr="001E2783">
        <w:rPr>
          <w:rFonts w:cs="Arial"/>
          <w:iCs/>
        </w:rPr>
        <w:t xml:space="preserve"> in particular</w:t>
      </w:r>
      <w:r w:rsidR="009153D5" w:rsidRPr="001E2783">
        <w:rPr>
          <w:rFonts w:cs="Arial"/>
          <w:iCs/>
        </w:rPr>
        <w:t>, whether providers</w:t>
      </w:r>
      <w:r w:rsidR="00E35850" w:rsidRPr="001E2783">
        <w:rPr>
          <w:rFonts w:cs="Arial"/>
          <w:iCs/>
        </w:rPr>
        <w:t xml:space="preserve"> are</w:t>
      </w:r>
      <w:r w:rsidR="009153D5" w:rsidRPr="001E2783">
        <w:rPr>
          <w:rFonts w:cs="Arial"/>
          <w:iCs/>
        </w:rPr>
        <w:t>:</w:t>
      </w:r>
    </w:p>
    <w:p w14:paraId="2F5F8739" w14:textId="77777777" w:rsidR="009153D5" w:rsidRPr="001E2783" w:rsidRDefault="0079073C" w:rsidP="009153D5">
      <w:pPr>
        <w:pStyle w:val="ListBullet"/>
        <w:rPr>
          <w:rFonts w:cs="Arial"/>
        </w:rPr>
      </w:pPr>
      <w:r w:rsidRPr="001E2783">
        <w:rPr>
          <w:rFonts w:cs="Arial"/>
        </w:rPr>
        <w:t>abiding by a customer’s direct debit authorisation</w:t>
      </w:r>
    </w:p>
    <w:p w14:paraId="7ED3741D" w14:textId="77777777" w:rsidR="009153D5" w:rsidRPr="001E2783" w:rsidRDefault="0079073C" w:rsidP="009153D5">
      <w:pPr>
        <w:pStyle w:val="ListBullet"/>
        <w:rPr>
          <w:rFonts w:cs="Arial"/>
        </w:rPr>
      </w:pPr>
      <w:r w:rsidRPr="001E2783">
        <w:rPr>
          <w:rFonts w:cs="Arial"/>
        </w:rPr>
        <w:t>giving customers paying by direct debit adequate time to check their bill before the direct debit occurs</w:t>
      </w:r>
    </w:p>
    <w:p w14:paraId="111A77A5" w14:textId="77777777" w:rsidR="009153D5" w:rsidRPr="001E2783" w:rsidRDefault="0079073C" w:rsidP="009153D5">
      <w:pPr>
        <w:pStyle w:val="ListBullet"/>
        <w:rPr>
          <w:rFonts w:cs="Arial"/>
        </w:rPr>
      </w:pPr>
      <w:r w:rsidRPr="001E2783">
        <w:rPr>
          <w:rFonts w:cs="Arial"/>
        </w:rPr>
        <w:t xml:space="preserve">when requested, cancelling a direct </w:t>
      </w:r>
      <w:r w:rsidR="00E35850" w:rsidRPr="001E2783">
        <w:rPr>
          <w:rFonts w:cs="Arial"/>
        </w:rPr>
        <w:t>debit within three working days</w:t>
      </w:r>
      <w:r w:rsidRPr="001E2783">
        <w:rPr>
          <w:rFonts w:cs="Arial"/>
        </w:rPr>
        <w:t xml:space="preserve"> and </w:t>
      </w:r>
      <w:r w:rsidR="00E35850" w:rsidRPr="001E2783">
        <w:rPr>
          <w:rFonts w:cs="Arial"/>
        </w:rPr>
        <w:t xml:space="preserve">providing </w:t>
      </w:r>
      <w:r w:rsidRPr="001E2783">
        <w:rPr>
          <w:rFonts w:cs="Arial"/>
        </w:rPr>
        <w:t>a simple mechanism by which their cus</w:t>
      </w:r>
      <w:r w:rsidR="00E35850" w:rsidRPr="001E2783">
        <w:rPr>
          <w:rFonts w:cs="Arial"/>
        </w:rPr>
        <w:t>tomers can seek a cancellation</w:t>
      </w:r>
    </w:p>
    <w:p w14:paraId="3F6CB934" w14:textId="77777777" w:rsidR="0079073C" w:rsidRPr="001E2783" w:rsidRDefault="0079073C" w:rsidP="00E35850">
      <w:pPr>
        <w:pStyle w:val="ListBullet"/>
        <w:spacing w:after="240"/>
        <w:rPr>
          <w:rFonts w:cs="Arial"/>
        </w:rPr>
      </w:pPr>
      <w:r w:rsidRPr="001E2783">
        <w:rPr>
          <w:rFonts w:cs="Arial"/>
        </w:rPr>
        <w:t>taking credit management action on a disputed amount.</w:t>
      </w:r>
    </w:p>
    <w:p w14:paraId="4909C593" w14:textId="77777777" w:rsidR="0079073C" w:rsidRPr="001E2783" w:rsidRDefault="0079073C" w:rsidP="0079073C">
      <w:pPr>
        <w:rPr>
          <w:rFonts w:cs="Arial"/>
          <w:iCs/>
        </w:rPr>
      </w:pPr>
      <w:r w:rsidRPr="001E2783">
        <w:rPr>
          <w:rFonts w:cs="Arial"/>
          <w:iCs/>
        </w:rPr>
        <w:t>These investigations are still underway.</w:t>
      </w:r>
    </w:p>
    <w:p w14:paraId="16ED6F66" w14:textId="77777777" w:rsidR="0079073C" w:rsidRPr="001E2783" w:rsidRDefault="0079073C" w:rsidP="0079073C">
      <w:pPr>
        <w:rPr>
          <w:rFonts w:cs="Arial"/>
          <w:i/>
        </w:rPr>
      </w:pPr>
    </w:p>
    <w:p w14:paraId="2DD74B1C" w14:textId="77777777" w:rsidR="006C2CBF" w:rsidRPr="001E2783" w:rsidRDefault="006C2CBF" w:rsidP="00464891">
      <w:pPr>
        <w:pStyle w:val="bodySUBSUBheaderh5"/>
        <w:rPr>
          <w:rFonts w:cs="Arial"/>
        </w:rPr>
      </w:pPr>
      <w:r w:rsidRPr="001E2783">
        <w:rPr>
          <w:rFonts w:cs="Arial"/>
        </w:rPr>
        <w:t>Telstra international data roaming investigation</w:t>
      </w:r>
    </w:p>
    <w:p w14:paraId="37694DB6" w14:textId="77777777" w:rsidR="0079073C" w:rsidRPr="001E2783" w:rsidRDefault="008E6B9C" w:rsidP="0079073C">
      <w:pPr>
        <w:rPr>
          <w:rFonts w:cs="Arial"/>
        </w:rPr>
      </w:pPr>
      <w:r w:rsidRPr="001E2783">
        <w:rPr>
          <w:rFonts w:cs="Arial"/>
        </w:rPr>
        <w:t>In the reporting period, t</w:t>
      </w:r>
      <w:r w:rsidR="0079073C" w:rsidRPr="001E2783">
        <w:rPr>
          <w:rFonts w:cs="Arial"/>
        </w:rPr>
        <w:t>he ACMA formally warned Telstra for incorrectly billing</w:t>
      </w:r>
      <w:r w:rsidR="0079073C" w:rsidRPr="001E2783">
        <w:rPr>
          <w:rFonts w:eastAsia="ヒラギノ角ゴ Pro W3" w:cs="Arial"/>
          <w:sz w:val="21"/>
          <w:lang w:eastAsia="en-US"/>
        </w:rPr>
        <w:t xml:space="preserve"> </w:t>
      </w:r>
      <w:r w:rsidRPr="001E2783">
        <w:rPr>
          <w:rFonts w:cs="Arial"/>
        </w:rPr>
        <w:t>over 260,000 international data-</w:t>
      </w:r>
      <w:r w:rsidR="0079073C" w:rsidRPr="001E2783">
        <w:rPr>
          <w:rFonts w:cs="Arial"/>
        </w:rPr>
        <w:t xml:space="preserve">roaming customers multiple flag fees for single data sessions </w:t>
      </w:r>
      <w:r w:rsidRPr="001E2783">
        <w:rPr>
          <w:rFonts w:cs="Arial"/>
        </w:rPr>
        <w:t>from</w:t>
      </w:r>
      <w:r w:rsidR="0079073C" w:rsidRPr="001E2783">
        <w:rPr>
          <w:rFonts w:cs="Arial"/>
        </w:rPr>
        <w:t xml:space="preserve"> 2006 to 2012. The bills reflected incorrect information Telstra received from international c</w:t>
      </w:r>
      <w:r w:rsidRPr="001E2783">
        <w:rPr>
          <w:rFonts w:cs="Arial"/>
        </w:rPr>
        <w:t>arriers and its contracted data-</w:t>
      </w:r>
      <w:r w:rsidR="0079073C" w:rsidRPr="001E2783">
        <w:rPr>
          <w:rFonts w:cs="Arial"/>
        </w:rPr>
        <w:t xml:space="preserve">clearing house. </w:t>
      </w:r>
    </w:p>
    <w:p w14:paraId="5DD6FF1B" w14:textId="77777777" w:rsidR="0079073C" w:rsidRPr="001E2783" w:rsidRDefault="0079073C" w:rsidP="0079073C">
      <w:pPr>
        <w:rPr>
          <w:rFonts w:cs="Arial"/>
        </w:rPr>
      </w:pPr>
    </w:p>
    <w:p w14:paraId="1C058D4C" w14:textId="77777777" w:rsidR="0079073C" w:rsidRPr="001E2783" w:rsidRDefault="0079073C" w:rsidP="0079073C">
      <w:pPr>
        <w:rPr>
          <w:rFonts w:cs="Arial"/>
        </w:rPr>
      </w:pPr>
      <w:r w:rsidRPr="001E2783">
        <w:rPr>
          <w:rFonts w:cs="Arial"/>
        </w:rPr>
        <w:t>The ACMA commen</w:t>
      </w:r>
      <w:r w:rsidR="005E4C73" w:rsidRPr="001E2783">
        <w:rPr>
          <w:rFonts w:cs="Arial"/>
        </w:rPr>
        <w:t>ced an investigation under Part </w:t>
      </w:r>
      <w:r w:rsidRPr="001E2783">
        <w:rPr>
          <w:rFonts w:cs="Arial"/>
        </w:rPr>
        <w:t xml:space="preserve">26 of the Telecommunications Act following an admission by Telstra. The TCP Code requires providers to bill customers accurately, allowing for certain exceptions. Whether Telstra could rely on the exception for inaccuracies caused by </w:t>
      </w:r>
      <w:r w:rsidR="008E6B9C" w:rsidRPr="001E2783">
        <w:rPr>
          <w:rFonts w:cs="Arial"/>
        </w:rPr>
        <w:t>using</w:t>
      </w:r>
      <w:r w:rsidRPr="001E2783">
        <w:rPr>
          <w:rFonts w:cs="Arial"/>
        </w:rPr>
        <w:t xml:space="preserve"> information provided by contractors was a key issue for the investigation. </w:t>
      </w:r>
    </w:p>
    <w:p w14:paraId="1C0A51F6" w14:textId="77777777" w:rsidR="0079073C" w:rsidRPr="001E2783" w:rsidRDefault="0079073C" w:rsidP="0079073C">
      <w:pPr>
        <w:rPr>
          <w:rFonts w:cs="Arial"/>
        </w:rPr>
      </w:pPr>
    </w:p>
    <w:p w14:paraId="52F70A6E" w14:textId="77777777" w:rsidR="0079073C" w:rsidRPr="001E2783" w:rsidRDefault="0079073C" w:rsidP="0079073C">
      <w:pPr>
        <w:rPr>
          <w:rFonts w:cs="Arial"/>
        </w:rPr>
      </w:pPr>
      <w:r w:rsidRPr="001E2783">
        <w:rPr>
          <w:rFonts w:cs="Arial"/>
        </w:rPr>
        <w:t xml:space="preserve">The investigation found that Telstra could rely on this exception only until early 2009, when it started receiving complaints from consumers who had been incorrectly billed. </w:t>
      </w:r>
      <w:r w:rsidR="008E6B9C" w:rsidRPr="001E2783">
        <w:rPr>
          <w:rFonts w:cs="Arial"/>
        </w:rPr>
        <w:t>B</w:t>
      </w:r>
      <w:r w:rsidRPr="001E2783">
        <w:rPr>
          <w:rFonts w:cs="Arial"/>
        </w:rPr>
        <w:t xml:space="preserve">illing inaccuracies after complaints were received were caused by Telstra’s failure to investigate and identify problems with the information provided by its contractor, in contravention of the TCP Code.  </w:t>
      </w:r>
    </w:p>
    <w:p w14:paraId="6A580369" w14:textId="77777777" w:rsidR="0079073C" w:rsidRPr="001E2783" w:rsidRDefault="0079073C" w:rsidP="0079073C">
      <w:pPr>
        <w:rPr>
          <w:rFonts w:cs="Arial"/>
        </w:rPr>
      </w:pPr>
    </w:p>
    <w:p w14:paraId="4D87D119" w14:textId="77777777" w:rsidR="0079073C" w:rsidRPr="001E2783" w:rsidRDefault="0079073C" w:rsidP="0079073C">
      <w:pPr>
        <w:rPr>
          <w:rFonts w:cs="Arial"/>
        </w:rPr>
      </w:pPr>
      <w:r w:rsidRPr="001E2783">
        <w:rPr>
          <w:rFonts w:cs="Arial"/>
        </w:rPr>
        <w:t xml:space="preserve">Telstra proactively implemented a comprehensive program that mitigated the harm for affected customers. </w:t>
      </w:r>
    </w:p>
    <w:p w14:paraId="6E6D92E2" w14:textId="77777777" w:rsidR="0079073C" w:rsidRPr="001E2783" w:rsidRDefault="0079073C" w:rsidP="0079073C">
      <w:pPr>
        <w:rPr>
          <w:rFonts w:cs="Arial"/>
        </w:rPr>
      </w:pPr>
    </w:p>
    <w:p w14:paraId="7CA8CA08" w14:textId="77777777" w:rsidR="0079073C" w:rsidRPr="001E2783" w:rsidRDefault="006C2CBF" w:rsidP="00464891">
      <w:pPr>
        <w:pStyle w:val="bodySUBSUBheaderh5"/>
        <w:rPr>
          <w:rFonts w:cs="Arial"/>
        </w:rPr>
      </w:pPr>
      <w:r w:rsidRPr="001E2783">
        <w:rPr>
          <w:rFonts w:cs="Arial"/>
        </w:rPr>
        <w:t xml:space="preserve">Telstra </w:t>
      </w:r>
      <w:r w:rsidR="0079073C" w:rsidRPr="001E2783">
        <w:rPr>
          <w:rFonts w:cs="Arial"/>
        </w:rPr>
        <w:t>privacy</w:t>
      </w:r>
      <w:r w:rsidRPr="001E2783">
        <w:rPr>
          <w:rFonts w:cs="Arial"/>
        </w:rPr>
        <w:t xml:space="preserve"> investigation</w:t>
      </w:r>
    </w:p>
    <w:p w14:paraId="725B7E54" w14:textId="77777777" w:rsidR="0079073C" w:rsidRPr="001E2783" w:rsidRDefault="0079073C" w:rsidP="0079073C">
      <w:pPr>
        <w:rPr>
          <w:rFonts w:cs="Arial"/>
        </w:rPr>
      </w:pPr>
      <w:r w:rsidRPr="001E2783">
        <w:rPr>
          <w:rFonts w:cs="Arial"/>
        </w:rPr>
        <w:t xml:space="preserve">The ACMA commenced an investigation under Part 26 of the Telecommunications Act following an admission from Telstra </w:t>
      </w:r>
      <w:r w:rsidR="00375782" w:rsidRPr="001E2783">
        <w:rPr>
          <w:rFonts w:cs="Arial"/>
        </w:rPr>
        <w:t>about</w:t>
      </w:r>
      <w:r w:rsidRPr="001E2783">
        <w:rPr>
          <w:rFonts w:cs="Arial"/>
        </w:rPr>
        <w:t xml:space="preserve"> personal</w:t>
      </w:r>
      <w:r w:rsidR="00375782" w:rsidRPr="001E2783">
        <w:rPr>
          <w:rFonts w:cs="Arial"/>
        </w:rPr>
        <w:t xml:space="preserve"> customer</w:t>
      </w:r>
      <w:r w:rsidRPr="001E2783">
        <w:rPr>
          <w:rFonts w:cs="Arial"/>
        </w:rPr>
        <w:t xml:space="preserve"> information. Between February 2012 and May 2013, the names, phone numbers and addresses of 15,775 Telstra customers from 2009 and earlier </w:t>
      </w:r>
      <w:r w:rsidR="00101CA8" w:rsidRPr="001E2783">
        <w:rPr>
          <w:rFonts w:cs="Arial"/>
        </w:rPr>
        <w:t>were</w:t>
      </w:r>
      <w:r w:rsidRPr="001E2783">
        <w:rPr>
          <w:rFonts w:cs="Arial"/>
        </w:rPr>
        <w:t xml:space="preserve"> accessible on the internet. This included the inf</w:t>
      </w:r>
      <w:r w:rsidR="00375782" w:rsidRPr="001E2783">
        <w:rPr>
          <w:rFonts w:cs="Arial"/>
        </w:rPr>
        <w:t>ormation of 1,257 active silent-</w:t>
      </w:r>
      <w:r w:rsidRPr="001E2783">
        <w:rPr>
          <w:rFonts w:cs="Arial"/>
        </w:rPr>
        <w:t>line customers.</w:t>
      </w:r>
    </w:p>
    <w:p w14:paraId="3B0A4C3C" w14:textId="77777777" w:rsidR="0079073C" w:rsidRPr="001E2783" w:rsidRDefault="0079073C" w:rsidP="0079073C">
      <w:pPr>
        <w:rPr>
          <w:rFonts w:cs="Arial"/>
        </w:rPr>
      </w:pPr>
    </w:p>
    <w:p w14:paraId="151B6D0C" w14:textId="77777777" w:rsidR="0079073C" w:rsidRPr="001E2783" w:rsidRDefault="0079073C" w:rsidP="0079073C">
      <w:pPr>
        <w:rPr>
          <w:rFonts w:cs="Arial"/>
        </w:rPr>
      </w:pPr>
      <w:r w:rsidRPr="001E2783">
        <w:rPr>
          <w:rFonts w:cs="Arial"/>
        </w:rPr>
        <w:t xml:space="preserve">The investigation found </w:t>
      </w:r>
      <w:r w:rsidR="005E4C73" w:rsidRPr="001E2783">
        <w:rPr>
          <w:rFonts w:cs="Arial"/>
        </w:rPr>
        <w:t>that Telstra contravened clause </w:t>
      </w:r>
      <w:r w:rsidRPr="001E2783">
        <w:rPr>
          <w:rFonts w:cs="Arial"/>
        </w:rPr>
        <w:t>4.6.3 of the TCP Code</w:t>
      </w:r>
      <w:r w:rsidR="00375782" w:rsidRPr="001E2783">
        <w:rPr>
          <w:rFonts w:cs="Arial"/>
        </w:rPr>
        <w:t>,</w:t>
      </w:r>
      <w:r w:rsidRPr="001E2783">
        <w:rPr>
          <w:rFonts w:eastAsia="ヒラギノ角ゴ Pro W3" w:cs="Arial"/>
          <w:sz w:val="21"/>
          <w:szCs w:val="21"/>
        </w:rPr>
        <w:t xml:space="preserve"> </w:t>
      </w:r>
      <w:r w:rsidRPr="001E2783">
        <w:rPr>
          <w:rFonts w:cs="Arial"/>
        </w:rPr>
        <w:t>which requires telecommunications providers to ensure that personal information of customers is protected from unauthorised use or disclosure</w:t>
      </w:r>
      <w:r w:rsidR="00375782" w:rsidRPr="001E2783">
        <w:rPr>
          <w:rFonts w:cs="Arial"/>
        </w:rPr>
        <w:t>,</w:t>
      </w:r>
      <w:r w:rsidRPr="001E2783">
        <w:rPr>
          <w:rFonts w:cs="Arial"/>
        </w:rPr>
        <w:t xml:space="preserve"> and to have robust procedures in place to </w:t>
      </w:r>
      <w:r w:rsidR="00375782" w:rsidRPr="001E2783">
        <w:rPr>
          <w:rFonts w:cs="Arial"/>
        </w:rPr>
        <w:t>achieve this.</w:t>
      </w:r>
      <w:r w:rsidRPr="001E2783">
        <w:rPr>
          <w:rFonts w:cs="Arial"/>
        </w:rPr>
        <w:t xml:space="preserve"> The ACMA also found that Telstra had contravened a direction given to </w:t>
      </w:r>
      <w:r w:rsidR="00375782" w:rsidRPr="001E2783">
        <w:rPr>
          <w:rFonts w:cs="Arial"/>
        </w:rPr>
        <w:t>it</w:t>
      </w:r>
      <w:r w:rsidRPr="001E2783">
        <w:rPr>
          <w:rFonts w:cs="Arial"/>
        </w:rPr>
        <w:t xml:space="preserve"> in September 2012 requiring </w:t>
      </w:r>
      <w:r w:rsidR="00375782" w:rsidRPr="001E2783">
        <w:rPr>
          <w:rFonts w:cs="Arial"/>
        </w:rPr>
        <w:t>it</w:t>
      </w:r>
      <w:r w:rsidR="005E4C73" w:rsidRPr="001E2783">
        <w:rPr>
          <w:rFonts w:cs="Arial"/>
        </w:rPr>
        <w:t xml:space="preserve"> to comply with clause </w:t>
      </w:r>
      <w:r w:rsidRPr="001E2783">
        <w:rPr>
          <w:rFonts w:cs="Arial"/>
        </w:rPr>
        <w:t xml:space="preserve">4.6.3 of the TCP Code.  </w:t>
      </w:r>
    </w:p>
    <w:p w14:paraId="58331144" w14:textId="77777777" w:rsidR="0079073C" w:rsidRPr="001E2783" w:rsidRDefault="0079073C" w:rsidP="0079073C">
      <w:pPr>
        <w:rPr>
          <w:rFonts w:cs="Arial"/>
        </w:rPr>
      </w:pPr>
    </w:p>
    <w:p w14:paraId="3A2A487A" w14:textId="77777777" w:rsidR="0079073C" w:rsidRPr="001E2783" w:rsidRDefault="0079073C" w:rsidP="0079073C">
      <w:pPr>
        <w:rPr>
          <w:rFonts w:cs="Arial"/>
        </w:rPr>
      </w:pPr>
      <w:r w:rsidRPr="001E2783">
        <w:rPr>
          <w:rFonts w:cs="Arial"/>
        </w:rPr>
        <w:t xml:space="preserve">Telstra paid an infringement notice </w:t>
      </w:r>
      <w:r w:rsidR="00375782" w:rsidRPr="001E2783">
        <w:rPr>
          <w:rFonts w:cs="Arial"/>
        </w:rPr>
        <w:t>of</w:t>
      </w:r>
      <w:r w:rsidRPr="001E2783">
        <w:rPr>
          <w:rFonts w:cs="Arial"/>
        </w:rPr>
        <w:t xml:space="preserve"> $10,200 for contravening the ACMA’s direction.</w:t>
      </w:r>
    </w:p>
    <w:p w14:paraId="032B43F2" w14:textId="77777777" w:rsidR="0079073C" w:rsidRPr="001E2783" w:rsidRDefault="0079073C" w:rsidP="0079073C">
      <w:pPr>
        <w:rPr>
          <w:rFonts w:cs="Arial"/>
        </w:rPr>
      </w:pPr>
    </w:p>
    <w:p w14:paraId="2DDA434D" w14:textId="77777777" w:rsidR="0079073C" w:rsidRPr="001E2783" w:rsidRDefault="0079073C" w:rsidP="00464891">
      <w:pPr>
        <w:pStyle w:val="bodySUBSUBheaderh5"/>
        <w:rPr>
          <w:rFonts w:cs="Arial"/>
        </w:rPr>
      </w:pPr>
      <w:r w:rsidRPr="001E2783">
        <w:rPr>
          <w:rFonts w:cs="Arial"/>
        </w:rPr>
        <w:t>Optus Mobile Pty Limited</w:t>
      </w:r>
      <w:r w:rsidR="006C2CBF" w:rsidRPr="001E2783">
        <w:rPr>
          <w:rFonts w:cs="Arial"/>
        </w:rPr>
        <w:t xml:space="preserve"> billing investigation</w:t>
      </w:r>
    </w:p>
    <w:p w14:paraId="2954B725" w14:textId="77777777" w:rsidR="0079073C" w:rsidRPr="001E2783" w:rsidRDefault="0079073C" w:rsidP="0079073C">
      <w:pPr>
        <w:rPr>
          <w:rFonts w:cs="Arial"/>
        </w:rPr>
      </w:pPr>
      <w:r w:rsidRPr="001E2783">
        <w:rPr>
          <w:rFonts w:cs="Arial"/>
        </w:rPr>
        <w:t>The ACMA formally warned Optus Mobile Pty Limited (Optus) for inaccurately billing approximately 237,500 customers from November 2008 to September 2012. The ACMA star</w:t>
      </w:r>
      <w:r w:rsidR="005E4C73" w:rsidRPr="001E2783">
        <w:rPr>
          <w:rFonts w:cs="Arial"/>
        </w:rPr>
        <w:t>ted an investigation under Part </w:t>
      </w:r>
      <w:r w:rsidRPr="001E2783">
        <w:rPr>
          <w:rFonts w:cs="Arial"/>
        </w:rPr>
        <w:t>26 of the Telecommunications Act following an admission by Optus that an IT upgrade had resulted in a significant amount of customers being overcharged a tot</w:t>
      </w:r>
      <w:r w:rsidR="005E4C73" w:rsidRPr="001E2783">
        <w:rPr>
          <w:rFonts w:cs="Arial"/>
        </w:rPr>
        <w:t>al amount of approximately $8.9 </w:t>
      </w:r>
      <w:r w:rsidRPr="001E2783">
        <w:rPr>
          <w:rFonts w:cs="Arial"/>
        </w:rPr>
        <w:t xml:space="preserve">million. </w:t>
      </w:r>
    </w:p>
    <w:p w14:paraId="3202CC93" w14:textId="77777777" w:rsidR="0079073C" w:rsidRPr="001E2783" w:rsidRDefault="0079073C" w:rsidP="0079073C">
      <w:pPr>
        <w:rPr>
          <w:rFonts w:cs="Arial"/>
        </w:rPr>
      </w:pPr>
    </w:p>
    <w:p w14:paraId="306EFDD8" w14:textId="77777777" w:rsidR="0079073C" w:rsidRPr="001E2783" w:rsidRDefault="0079073C" w:rsidP="0079073C">
      <w:pPr>
        <w:rPr>
          <w:rFonts w:cs="Arial"/>
        </w:rPr>
      </w:pPr>
      <w:r w:rsidRPr="001E2783">
        <w:rPr>
          <w:rFonts w:cs="Arial"/>
        </w:rPr>
        <w:t>The ACMA found that Optus had contravened the TCP Code by failing to demonstrate and verify billing accuracy</w:t>
      </w:r>
      <w:r w:rsidR="008E049D" w:rsidRPr="001E2783">
        <w:rPr>
          <w:rFonts w:cs="Arial"/>
        </w:rPr>
        <w:t>,</w:t>
      </w:r>
      <w:r w:rsidRPr="001E2783">
        <w:rPr>
          <w:rFonts w:cs="Arial"/>
        </w:rPr>
        <w:t xml:space="preserve"> and failing to identify and address systemic problems as soon as practicable. Optus admitted</w:t>
      </w:r>
      <w:r w:rsidR="000851E0" w:rsidRPr="001E2783">
        <w:rPr>
          <w:rFonts w:cs="Arial"/>
        </w:rPr>
        <w:t xml:space="preserve"> the contravention, and </w:t>
      </w:r>
      <w:r w:rsidRPr="001E2783">
        <w:rPr>
          <w:rFonts w:cs="Arial"/>
        </w:rPr>
        <w:t xml:space="preserve">engaged an independent auditor to ensure it had rectified the issue and had adequately identified and reimbursed all affected customers. </w:t>
      </w:r>
    </w:p>
    <w:p w14:paraId="676577AD" w14:textId="77777777" w:rsidR="00363471" w:rsidRPr="001E2783" w:rsidRDefault="00CC119D" w:rsidP="001E42D5">
      <w:pPr>
        <w:pStyle w:val="Heading3"/>
      </w:pPr>
      <w:bookmarkStart w:id="178" w:name="_Toc400018560"/>
      <w:r w:rsidRPr="001E2783">
        <w:t>Mobile premium services</w:t>
      </w:r>
      <w:bookmarkEnd w:id="178"/>
    </w:p>
    <w:p w14:paraId="3AAD1F6F" w14:textId="77777777" w:rsidR="009C1959" w:rsidRPr="001E2783" w:rsidRDefault="009C1959" w:rsidP="009C1959">
      <w:pPr>
        <w:rPr>
          <w:rFonts w:cs="Arial"/>
        </w:rPr>
      </w:pPr>
      <w:r w:rsidRPr="001E2783">
        <w:rPr>
          <w:rFonts w:cs="Arial"/>
        </w:rPr>
        <w:t xml:space="preserve">Since the update to the Mobile Premium Services (MPS) Code in 2011, the number of MPS-related complaints to the TIO has fallen to a sustained low level of </w:t>
      </w:r>
      <w:r w:rsidR="00375782" w:rsidRPr="001E2783">
        <w:rPr>
          <w:rFonts w:cs="Arial"/>
        </w:rPr>
        <w:t>about</w:t>
      </w:r>
      <w:r w:rsidRPr="001E2783">
        <w:rPr>
          <w:rFonts w:cs="Arial"/>
        </w:rPr>
        <w:t xml:space="preserve"> one per cent of new complaint issues reported.</w:t>
      </w:r>
    </w:p>
    <w:p w14:paraId="1E9BBB45" w14:textId="77777777" w:rsidR="009C1959" w:rsidRPr="001E2783" w:rsidRDefault="009C1959" w:rsidP="009C1959">
      <w:pPr>
        <w:rPr>
          <w:rFonts w:cs="Arial"/>
        </w:rPr>
      </w:pPr>
    </w:p>
    <w:p w14:paraId="576C06A7" w14:textId="77777777" w:rsidR="00CC119D" w:rsidRPr="001E2783" w:rsidRDefault="009C1959" w:rsidP="009C1959">
      <w:pPr>
        <w:rPr>
          <w:rFonts w:cs="Arial"/>
        </w:rPr>
      </w:pPr>
      <w:r w:rsidRPr="001E2783">
        <w:rPr>
          <w:rFonts w:cs="Arial"/>
        </w:rPr>
        <w:t>In 2013</w:t>
      </w:r>
      <w:r w:rsidR="00375782" w:rsidRPr="001E2783">
        <w:rPr>
          <w:rFonts w:cs="Arial"/>
        </w:rPr>
        <w:t>–</w:t>
      </w:r>
      <w:r w:rsidRPr="001E2783">
        <w:rPr>
          <w:rFonts w:cs="Arial"/>
        </w:rPr>
        <w:t>14</w:t>
      </w:r>
      <w:r w:rsidR="00375782" w:rsidRPr="001E2783">
        <w:rPr>
          <w:rFonts w:cs="Arial"/>
        </w:rPr>
        <w:t>,</w:t>
      </w:r>
      <w:r w:rsidRPr="001E2783">
        <w:rPr>
          <w:rFonts w:cs="Arial"/>
        </w:rPr>
        <w:t xml:space="preserve"> the ACMA reviewed the </w:t>
      </w:r>
      <w:r w:rsidR="00375782" w:rsidRPr="001E2783">
        <w:rPr>
          <w:rFonts w:cs="Arial"/>
        </w:rPr>
        <w:t xml:space="preserve">MPS </w:t>
      </w:r>
      <w:r w:rsidRPr="001E2783">
        <w:rPr>
          <w:rFonts w:cs="Arial"/>
        </w:rPr>
        <w:t>regulatory framework in light of continued industry compliance, sustained low levels of complaints and significant decline in the MPS market. As a result</w:t>
      </w:r>
      <w:r w:rsidR="00375782" w:rsidRPr="001E2783">
        <w:rPr>
          <w:rFonts w:cs="Arial"/>
        </w:rPr>
        <w:t>,</w:t>
      </w:r>
      <w:r w:rsidRPr="001E2783">
        <w:rPr>
          <w:rFonts w:cs="Arial"/>
        </w:rPr>
        <w:t xml:space="preserve"> the ACMA is working with industry to reduce </w:t>
      </w:r>
      <w:r w:rsidR="004741FD" w:rsidRPr="001E2783">
        <w:rPr>
          <w:rFonts w:cs="Arial"/>
        </w:rPr>
        <w:t xml:space="preserve">outdated </w:t>
      </w:r>
      <w:r w:rsidRPr="001E2783">
        <w:rPr>
          <w:rFonts w:cs="Arial"/>
        </w:rPr>
        <w:t xml:space="preserve">consumer information obligations and remove </w:t>
      </w:r>
      <w:r w:rsidR="004741FD" w:rsidRPr="001E2783">
        <w:rPr>
          <w:rFonts w:cs="Arial"/>
        </w:rPr>
        <w:t xml:space="preserve">unnecessary </w:t>
      </w:r>
      <w:r w:rsidRPr="001E2783">
        <w:rPr>
          <w:rFonts w:cs="Arial"/>
        </w:rPr>
        <w:t xml:space="preserve">compliance reporting. These measures </w:t>
      </w:r>
      <w:r w:rsidR="00375782" w:rsidRPr="001E2783">
        <w:rPr>
          <w:rFonts w:cs="Arial"/>
        </w:rPr>
        <w:t>have been</w:t>
      </w:r>
      <w:r w:rsidRPr="001E2783">
        <w:rPr>
          <w:rFonts w:cs="Arial"/>
        </w:rPr>
        <w:t xml:space="preserve"> taken to </w:t>
      </w:r>
      <w:r w:rsidR="00440C02" w:rsidRPr="001E2783">
        <w:rPr>
          <w:rFonts w:cs="Arial"/>
        </w:rPr>
        <w:t>reduce</w:t>
      </w:r>
      <w:r w:rsidRPr="001E2783">
        <w:rPr>
          <w:rFonts w:cs="Arial"/>
        </w:rPr>
        <w:t xml:space="preserve"> the regulatory burden associated with MPS to </w:t>
      </w:r>
      <w:r w:rsidR="00440C02" w:rsidRPr="001E2783">
        <w:rPr>
          <w:rFonts w:cs="Arial"/>
        </w:rPr>
        <w:t xml:space="preserve">what is warranted in </w:t>
      </w:r>
      <w:r w:rsidRPr="001E2783">
        <w:rPr>
          <w:rFonts w:cs="Arial"/>
        </w:rPr>
        <w:t>the current environment.</w:t>
      </w:r>
    </w:p>
    <w:p w14:paraId="66482489" w14:textId="77777777" w:rsidR="009C1959" w:rsidRPr="001E2783" w:rsidRDefault="009C1959" w:rsidP="009C1959">
      <w:pPr>
        <w:rPr>
          <w:rFonts w:cs="Arial"/>
          <w:strike/>
        </w:rPr>
      </w:pPr>
    </w:p>
    <w:p w14:paraId="78AE7CE0" w14:textId="77777777" w:rsidR="005A1C52" w:rsidRPr="001E2783" w:rsidRDefault="005A1C52" w:rsidP="005A1C52">
      <w:pPr>
        <w:pStyle w:val="Heading3"/>
      </w:pPr>
      <w:bookmarkStart w:id="179" w:name="_Toc400018561"/>
      <w:bookmarkStart w:id="180" w:name="_Toc260730555"/>
      <w:bookmarkStart w:id="181" w:name="_Toc274124073"/>
      <w:bookmarkStart w:id="182" w:name="_Toc337727592"/>
      <w:r w:rsidRPr="001E2783">
        <w:t>Unsolicited communications compliance</w:t>
      </w:r>
      <w:bookmarkEnd w:id="179"/>
    </w:p>
    <w:bookmarkEnd w:id="180"/>
    <w:bookmarkEnd w:id="181"/>
    <w:bookmarkEnd w:id="182"/>
    <w:p w14:paraId="58F986CC" w14:textId="77777777" w:rsidR="005A1C52" w:rsidRPr="001E2783" w:rsidRDefault="005A1C52" w:rsidP="005A1C52">
      <w:pPr>
        <w:pStyle w:val="BodysubheaderH4"/>
        <w:rPr>
          <w:rFonts w:cs="Arial"/>
        </w:rPr>
      </w:pPr>
      <w:r w:rsidRPr="001E2783">
        <w:rPr>
          <w:rFonts w:cs="Arial"/>
        </w:rPr>
        <w:t>Telemarketing and fax marketing</w:t>
      </w:r>
    </w:p>
    <w:p w14:paraId="77B52FD3" w14:textId="77777777" w:rsidR="001E42D5" w:rsidRPr="001E2783" w:rsidRDefault="001E42D5" w:rsidP="001E42D5">
      <w:pPr>
        <w:pStyle w:val="bodySUBSUBheaderh5"/>
        <w:rPr>
          <w:rFonts w:cs="Arial"/>
          <w:i w:val="0"/>
        </w:rPr>
      </w:pPr>
      <w:r w:rsidRPr="001E2783">
        <w:rPr>
          <w:rFonts w:cs="Arial"/>
          <w:i w:val="0"/>
        </w:rPr>
        <w:t xml:space="preserve">The ACMA regulates unsolicited telemarketing and fax marketing activities under the </w:t>
      </w:r>
      <w:r w:rsidRPr="001E2783">
        <w:rPr>
          <w:rFonts w:cs="Arial"/>
        </w:rPr>
        <w:t>Do Not Call Register Act 2006</w:t>
      </w:r>
      <w:r w:rsidR="00761E69" w:rsidRPr="001E2783">
        <w:rPr>
          <w:rFonts w:cs="Arial"/>
        </w:rPr>
        <w:t xml:space="preserve"> </w:t>
      </w:r>
      <w:r w:rsidR="00761E69" w:rsidRPr="001E2783">
        <w:rPr>
          <w:rFonts w:cs="Arial"/>
          <w:i w:val="0"/>
        </w:rPr>
        <w:t>(DNCR Act)</w:t>
      </w:r>
      <w:r w:rsidRPr="001E2783">
        <w:rPr>
          <w:rFonts w:cs="Arial"/>
          <w:i w:val="0"/>
        </w:rPr>
        <w:t xml:space="preserve">, the Telemarketing and Research Industry Standard 2007 (the Industry Standard) and the Fax Marketing Industry Standard 2011. </w:t>
      </w:r>
    </w:p>
    <w:p w14:paraId="7CF8AB2F" w14:textId="77777777" w:rsidR="001E42D5" w:rsidRPr="001E2783" w:rsidRDefault="001E42D5" w:rsidP="001E42D5">
      <w:pPr>
        <w:rPr>
          <w:rFonts w:cs="Arial"/>
        </w:rPr>
      </w:pPr>
    </w:p>
    <w:p w14:paraId="6ACC1BE3" w14:textId="77777777" w:rsidR="005A1C52" w:rsidRPr="001E2783" w:rsidRDefault="005A1C52" w:rsidP="005A1C52">
      <w:pPr>
        <w:pStyle w:val="bodySUBSUBheaderh5"/>
        <w:rPr>
          <w:rFonts w:cs="Arial"/>
        </w:rPr>
      </w:pPr>
      <w:r w:rsidRPr="001E2783">
        <w:rPr>
          <w:rFonts w:cs="Arial"/>
        </w:rPr>
        <w:t xml:space="preserve">Complaints and enquiries </w:t>
      </w:r>
    </w:p>
    <w:p w14:paraId="3356D05F" w14:textId="77777777" w:rsidR="001E42D5" w:rsidRPr="001E2783" w:rsidRDefault="001E42D5" w:rsidP="001E42D5">
      <w:pPr>
        <w:rPr>
          <w:rFonts w:cs="Arial"/>
        </w:rPr>
      </w:pPr>
      <w:r w:rsidRPr="001E2783">
        <w:rPr>
          <w:rFonts w:cs="Arial"/>
        </w:rPr>
        <w:t>In 2013–14, consumers made 20,462 complaints to the ACMA under Part 26 of the Telecommunications Act about unsolicited telemarketing and marketing faxes (see T</w:t>
      </w:r>
      <w:r w:rsidR="005E4C73" w:rsidRPr="001E2783">
        <w:rPr>
          <w:rFonts w:cs="Arial"/>
        </w:rPr>
        <w:t>able </w:t>
      </w:r>
      <w:r w:rsidR="00B30D9A" w:rsidRPr="001E2783">
        <w:rPr>
          <w:rFonts w:cs="Arial"/>
        </w:rPr>
        <w:t>27</w:t>
      </w:r>
      <w:r w:rsidRPr="001E2783">
        <w:rPr>
          <w:rFonts w:cs="Arial"/>
        </w:rPr>
        <w:t>). Virtually all complaints received were about telemarketing, with only one per cent of complaints about unwanted fax marketing. Compared to the previous year, t</w:t>
      </w:r>
      <w:r w:rsidR="005E4C73" w:rsidRPr="001E2783">
        <w:rPr>
          <w:rFonts w:cs="Arial"/>
        </w:rPr>
        <w:t>here was an 85 </w:t>
      </w:r>
      <w:r w:rsidRPr="001E2783">
        <w:rPr>
          <w:rFonts w:cs="Arial"/>
        </w:rPr>
        <w:t xml:space="preserve">per cent increase in complaints raising potential breaches of the Industry Standard. The standard applies to all telemarketing, irrespective of whether numbers called are on the Do Not Call Register. The ACMA also received 11,335 enquiries from both consumers and businesses about the Do Not Call rules. </w:t>
      </w:r>
    </w:p>
    <w:p w14:paraId="24849E8F" w14:textId="77777777" w:rsidR="005A1C52" w:rsidRPr="001E2783" w:rsidRDefault="005A1C52" w:rsidP="005A1C52">
      <w:pPr>
        <w:spacing w:after="80"/>
        <w:rPr>
          <w:rFonts w:cs="Arial"/>
          <w:szCs w:val="20"/>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035696EA" w14:textId="77777777" w:rsidTr="005A1C52">
        <w:trPr>
          <w:trHeight w:val="570"/>
        </w:trPr>
        <w:tc>
          <w:tcPr>
            <w:tcW w:w="9645" w:type="dxa"/>
            <w:tcBorders>
              <w:top w:val="single" w:sz="2" w:space="0" w:color="505050"/>
            </w:tcBorders>
            <w:shd w:val="clear" w:color="auto" w:fill="auto"/>
            <w:vAlign w:val="center"/>
          </w:tcPr>
          <w:p w14:paraId="0EC3A9D2" w14:textId="3209377A" w:rsidR="005A1C52" w:rsidRPr="001E2783" w:rsidRDefault="00D528D7" w:rsidP="008E049D">
            <w:pPr>
              <w:pStyle w:val="Caption"/>
              <w:keepNext/>
              <w:keepLines/>
              <w:rPr>
                <w:rFonts w:ascii="Arial" w:hAnsi="Arial" w:cs="Arial"/>
                <w:color w:val="auto"/>
              </w:rPr>
            </w:pPr>
            <w:r w:rsidRPr="00D3485F">
              <w:rPr>
                <w:rFonts w:ascii="Arial" w:hAnsi="Arial" w:cs="Arial"/>
              </w:rPr>
              <w:t>Table</w:t>
            </w:r>
            <w:r w:rsidR="005A1C52" w:rsidRPr="00D3485F">
              <w:rPr>
                <w:rFonts w:ascii="Arial" w:hAnsi="Arial" w:cs="Arial"/>
              </w:rPr>
              <w:t xml:space="preserve"> </w:t>
            </w:r>
            <w:r w:rsidR="00B30D9A" w:rsidRPr="00D3485F">
              <w:rPr>
                <w:rFonts w:ascii="Arial" w:hAnsi="Arial" w:cs="Arial"/>
              </w:rPr>
              <w:t>27</w:t>
            </w:r>
            <w:r w:rsidR="005A1C52" w:rsidRPr="00D3485F">
              <w:rPr>
                <w:rFonts w:ascii="Arial" w:hAnsi="Arial" w:cs="Arial"/>
              </w:rPr>
              <w:t xml:space="preserve">: </w:t>
            </w:r>
            <w:r w:rsidR="001E42D5" w:rsidRPr="00D3485F">
              <w:rPr>
                <w:rFonts w:ascii="Arial" w:hAnsi="Arial" w:cs="Arial"/>
              </w:rPr>
              <w:t>Summary of telemarketing and fax marketing compliance and enforcement activities</w:t>
            </w:r>
            <w:r w:rsidR="00693ADF" w:rsidRPr="00D3485F">
              <w:rPr>
                <w:rFonts w:ascii="Arial" w:hAnsi="Arial" w:cs="Arial"/>
              </w:rPr>
              <w:t xml:space="preserve">, </w:t>
            </w:r>
            <w:r w:rsidR="00693ADF" w:rsidRPr="00D3485F">
              <w:rPr>
                <w:rFonts w:ascii="Arial" w:hAnsi="Arial" w:cs="Arial"/>
              </w:rPr>
              <w:br/>
              <w:t>2012–13 and 2013–14</w:t>
            </w:r>
          </w:p>
        </w:tc>
      </w:tr>
      <w:tr w:rsidR="001E2783" w:rsidRPr="001E2783" w14:paraId="1A08DCEA" w14:textId="77777777" w:rsidTr="005A1C52">
        <w:trPr>
          <w:trHeight w:val="3086"/>
        </w:trPr>
        <w:tc>
          <w:tcPr>
            <w:tcW w:w="9645" w:type="dxa"/>
            <w:shd w:val="clear" w:color="auto" w:fill="auto"/>
            <w:tcMar>
              <w:left w:w="28" w:type="dxa"/>
            </w:tcMar>
          </w:tcPr>
          <w:tbl>
            <w:tblPr>
              <w:tblW w:w="80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01"/>
              <w:gridCol w:w="2268"/>
              <w:gridCol w:w="2268"/>
            </w:tblGrid>
            <w:tr w:rsidR="001E2783" w:rsidRPr="001E2783" w14:paraId="284456F9" w14:textId="77777777" w:rsidTr="008E049D">
              <w:trPr>
                <w:trHeight w:val="287"/>
              </w:trPr>
              <w:tc>
                <w:tcPr>
                  <w:tcW w:w="3501" w:type="dxa"/>
                  <w:tcBorders>
                    <w:top w:val="single" w:sz="4" w:space="0" w:color="auto"/>
                  </w:tcBorders>
                  <w:shd w:val="clear" w:color="auto" w:fill="404040" w:themeFill="text1" w:themeFillTint="BF"/>
                  <w:tcMar>
                    <w:top w:w="57" w:type="dxa"/>
                    <w:left w:w="57" w:type="dxa"/>
                    <w:bottom w:w="57" w:type="dxa"/>
                    <w:right w:w="57" w:type="dxa"/>
                  </w:tcMar>
                  <w:vAlign w:val="center"/>
                </w:tcPr>
                <w:p w14:paraId="2BE83646" w14:textId="77777777" w:rsidR="008E049D" w:rsidRPr="000544EA" w:rsidRDefault="008E049D" w:rsidP="005E4C73">
                  <w:pPr>
                    <w:pStyle w:val="TableHeading"/>
                    <w:rPr>
                      <w:rFonts w:ascii="Arial" w:hAnsi="Arial" w:cs="Arial"/>
                      <w:color w:val="FFFFFF" w:themeColor="background1"/>
                    </w:rPr>
                  </w:pPr>
                  <w:r w:rsidRPr="000544EA">
                    <w:rPr>
                      <w:rFonts w:ascii="Arial" w:hAnsi="Arial" w:cs="Arial"/>
                      <w:color w:val="FFFFFF" w:themeColor="background1"/>
                    </w:rPr>
                    <w:t>Activity</w:t>
                  </w:r>
                </w:p>
              </w:tc>
              <w:tc>
                <w:tcPr>
                  <w:tcW w:w="2268" w:type="dxa"/>
                  <w:tcBorders>
                    <w:top w:val="single" w:sz="4" w:space="0" w:color="auto"/>
                  </w:tcBorders>
                  <w:shd w:val="clear" w:color="auto" w:fill="404040" w:themeFill="text1" w:themeFillTint="BF"/>
                  <w:vAlign w:val="center"/>
                </w:tcPr>
                <w:p w14:paraId="0676D5CD" w14:textId="77777777" w:rsidR="008E049D" w:rsidRPr="000544EA" w:rsidRDefault="008E049D" w:rsidP="005E4C73">
                  <w:pPr>
                    <w:pStyle w:val="TableHeading"/>
                    <w:jc w:val="right"/>
                    <w:rPr>
                      <w:rFonts w:ascii="Arial" w:hAnsi="Arial" w:cs="Arial"/>
                      <w:color w:val="FFFFFF" w:themeColor="background1"/>
                    </w:rPr>
                  </w:pPr>
                  <w:r w:rsidRPr="000544EA">
                    <w:rPr>
                      <w:rFonts w:ascii="Arial" w:hAnsi="Arial" w:cs="Arial"/>
                      <w:color w:val="FFFFFF" w:themeColor="background1"/>
                    </w:rPr>
                    <w:t>2012–13</w:t>
                  </w:r>
                </w:p>
              </w:tc>
              <w:tc>
                <w:tcPr>
                  <w:tcW w:w="2268" w:type="dxa"/>
                  <w:tcBorders>
                    <w:top w:val="single" w:sz="4" w:space="0" w:color="auto"/>
                  </w:tcBorders>
                  <w:shd w:val="clear" w:color="auto" w:fill="404040" w:themeFill="text1" w:themeFillTint="BF"/>
                  <w:vAlign w:val="center"/>
                </w:tcPr>
                <w:p w14:paraId="17F4E00F" w14:textId="77777777" w:rsidR="008E049D" w:rsidRPr="000544EA" w:rsidRDefault="008E049D" w:rsidP="008E049D">
                  <w:pPr>
                    <w:pStyle w:val="TableHeading"/>
                    <w:jc w:val="right"/>
                    <w:rPr>
                      <w:rFonts w:ascii="Arial" w:hAnsi="Arial" w:cs="Arial"/>
                      <w:color w:val="FFFFFF" w:themeColor="background1"/>
                    </w:rPr>
                  </w:pPr>
                  <w:r w:rsidRPr="000544EA">
                    <w:rPr>
                      <w:rFonts w:ascii="Arial" w:hAnsi="Arial" w:cs="Arial"/>
                      <w:color w:val="FFFFFF" w:themeColor="background1"/>
                    </w:rPr>
                    <w:t>2013–14</w:t>
                  </w:r>
                </w:p>
              </w:tc>
            </w:tr>
            <w:tr w:rsidR="001E2783" w:rsidRPr="001E2783" w14:paraId="6F86CB1C" w14:textId="77777777" w:rsidTr="008E049D">
              <w:trPr>
                <w:trHeight w:val="287"/>
              </w:trPr>
              <w:tc>
                <w:tcPr>
                  <w:tcW w:w="3501" w:type="dxa"/>
                  <w:tcBorders>
                    <w:top w:val="single" w:sz="4" w:space="0" w:color="auto"/>
                  </w:tcBorders>
                  <w:shd w:val="clear" w:color="auto" w:fill="F2F2F2" w:themeFill="background1" w:themeFillShade="F2"/>
                  <w:tcMar>
                    <w:top w:w="57" w:type="dxa"/>
                    <w:left w:w="57" w:type="dxa"/>
                    <w:bottom w:w="57" w:type="dxa"/>
                    <w:right w:w="57" w:type="dxa"/>
                  </w:tcMar>
                  <w:vAlign w:val="center"/>
                </w:tcPr>
                <w:p w14:paraId="60C958C9" w14:textId="77777777" w:rsidR="008E049D" w:rsidRPr="001E2783" w:rsidRDefault="008E049D" w:rsidP="00761E69">
                  <w:pPr>
                    <w:pStyle w:val="TableTextLeft"/>
                    <w:keepNext/>
                    <w:spacing w:before="0" w:after="0"/>
                    <w:rPr>
                      <w:rFonts w:cs="Arial"/>
                      <w:b/>
                      <w:sz w:val="20"/>
                    </w:rPr>
                  </w:pPr>
                  <w:r w:rsidRPr="001E2783">
                    <w:rPr>
                      <w:rFonts w:cs="Arial"/>
                      <w:b/>
                      <w:sz w:val="20"/>
                    </w:rPr>
                    <w:t>Consumer complaints</w:t>
                  </w:r>
                </w:p>
              </w:tc>
              <w:tc>
                <w:tcPr>
                  <w:tcW w:w="2268" w:type="dxa"/>
                  <w:tcBorders>
                    <w:top w:val="single" w:sz="4" w:space="0" w:color="auto"/>
                  </w:tcBorders>
                  <w:shd w:val="clear" w:color="auto" w:fill="F2F2F2" w:themeFill="background1" w:themeFillShade="F2"/>
                  <w:vAlign w:val="center"/>
                </w:tcPr>
                <w:p w14:paraId="275FF80E" w14:textId="77777777" w:rsidR="008E049D" w:rsidRPr="001E2783" w:rsidRDefault="008E049D" w:rsidP="00441F98">
                  <w:pPr>
                    <w:pStyle w:val="TableTextLeft"/>
                    <w:keepNext/>
                    <w:spacing w:before="0" w:after="0"/>
                    <w:jc w:val="right"/>
                    <w:rPr>
                      <w:rFonts w:cs="Arial"/>
                      <w:b/>
                      <w:sz w:val="20"/>
                    </w:rPr>
                  </w:pPr>
                  <w:r w:rsidRPr="001E2783">
                    <w:rPr>
                      <w:rFonts w:cs="Arial"/>
                      <w:b/>
                      <w:sz w:val="20"/>
                    </w:rPr>
                    <w:t>19,677</w:t>
                  </w:r>
                </w:p>
              </w:tc>
              <w:tc>
                <w:tcPr>
                  <w:tcW w:w="2268" w:type="dxa"/>
                  <w:tcBorders>
                    <w:top w:val="single" w:sz="4" w:space="0" w:color="auto"/>
                  </w:tcBorders>
                  <w:shd w:val="clear" w:color="auto" w:fill="F2F2F2" w:themeFill="background1" w:themeFillShade="F2"/>
                  <w:vAlign w:val="center"/>
                </w:tcPr>
                <w:p w14:paraId="27BBED2E" w14:textId="77777777" w:rsidR="008E049D" w:rsidRPr="001E2783" w:rsidRDefault="008E049D" w:rsidP="008E049D">
                  <w:pPr>
                    <w:pStyle w:val="TableTextLeft"/>
                    <w:keepNext/>
                    <w:spacing w:before="0" w:after="0"/>
                    <w:jc w:val="right"/>
                    <w:rPr>
                      <w:rFonts w:cs="Arial"/>
                      <w:b/>
                      <w:sz w:val="20"/>
                    </w:rPr>
                  </w:pPr>
                  <w:r w:rsidRPr="001E2783">
                    <w:rPr>
                      <w:rFonts w:cs="Arial"/>
                      <w:b/>
                      <w:sz w:val="20"/>
                    </w:rPr>
                    <w:t>20,462</w:t>
                  </w:r>
                </w:p>
              </w:tc>
            </w:tr>
            <w:tr w:rsidR="001E2783" w:rsidRPr="001E2783" w14:paraId="11F85C90" w14:textId="77777777" w:rsidTr="008E049D">
              <w:trPr>
                <w:trHeight w:val="277"/>
              </w:trPr>
              <w:tc>
                <w:tcPr>
                  <w:tcW w:w="3501" w:type="dxa"/>
                  <w:shd w:val="clear" w:color="auto" w:fill="auto"/>
                  <w:tcMar>
                    <w:top w:w="57" w:type="dxa"/>
                    <w:left w:w="57" w:type="dxa"/>
                    <w:bottom w:w="57" w:type="dxa"/>
                    <w:right w:w="57" w:type="dxa"/>
                  </w:tcMar>
                  <w:vAlign w:val="center"/>
                </w:tcPr>
                <w:p w14:paraId="212AE35D" w14:textId="77777777" w:rsidR="008E049D" w:rsidRPr="001E2783" w:rsidRDefault="008E049D" w:rsidP="00441F98">
                  <w:pPr>
                    <w:pStyle w:val="TableTextLeft"/>
                    <w:keepNext/>
                    <w:spacing w:before="0" w:after="0"/>
                    <w:rPr>
                      <w:rFonts w:cs="Arial"/>
                      <w:sz w:val="20"/>
                    </w:rPr>
                  </w:pPr>
                  <w:r w:rsidRPr="001E2783">
                    <w:rPr>
                      <w:rFonts w:cs="Arial"/>
                      <w:sz w:val="20"/>
                    </w:rPr>
                    <w:tab/>
                    <w:t>Telemarketing</w:t>
                  </w:r>
                </w:p>
              </w:tc>
              <w:tc>
                <w:tcPr>
                  <w:tcW w:w="2268" w:type="dxa"/>
                  <w:vAlign w:val="center"/>
                </w:tcPr>
                <w:p w14:paraId="056139BC" w14:textId="77777777" w:rsidR="008E049D" w:rsidRPr="001E2783" w:rsidRDefault="008E049D" w:rsidP="00441F98">
                  <w:pPr>
                    <w:pStyle w:val="TableTextLeft"/>
                    <w:keepNext/>
                    <w:spacing w:before="0" w:after="0"/>
                    <w:jc w:val="right"/>
                    <w:rPr>
                      <w:rFonts w:cs="Arial"/>
                      <w:sz w:val="20"/>
                    </w:rPr>
                  </w:pPr>
                  <w:r w:rsidRPr="001E2783">
                    <w:rPr>
                      <w:rFonts w:cs="Arial"/>
                      <w:sz w:val="20"/>
                    </w:rPr>
                    <w:t>19,335</w:t>
                  </w:r>
                </w:p>
              </w:tc>
              <w:tc>
                <w:tcPr>
                  <w:tcW w:w="2268" w:type="dxa"/>
                  <w:vAlign w:val="center"/>
                </w:tcPr>
                <w:p w14:paraId="7DF097B1" w14:textId="77777777" w:rsidR="008E049D" w:rsidRPr="001E2783" w:rsidRDefault="008E049D" w:rsidP="008E049D">
                  <w:pPr>
                    <w:pStyle w:val="TableTextLeft"/>
                    <w:keepNext/>
                    <w:spacing w:before="0" w:after="0"/>
                    <w:jc w:val="right"/>
                    <w:rPr>
                      <w:rFonts w:cs="Arial"/>
                      <w:sz w:val="20"/>
                    </w:rPr>
                  </w:pPr>
                  <w:r w:rsidRPr="001E2783">
                    <w:rPr>
                      <w:rFonts w:cs="Arial"/>
                      <w:sz w:val="20"/>
                    </w:rPr>
                    <w:t>20,232</w:t>
                  </w:r>
                </w:p>
              </w:tc>
            </w:tr>
            <w:tr w:rsidR="001E2783" w:rsidRPr="001E2783" w14:paraId="11CBA7B1" w14:textId="77777777" w:rsidTr="008E049D">
              <w:trPr>
                <w:trHeight w:val="267"/>
              </w:trPr>
              <w:tc>
                <w:tcPr>
                  <w:tcW w:w="3501" w:type="dxa"/>
                  <w:shd w:val="clear" w:color="auto" w:fill="auto"/>
                  <w:tcMar>
                    <w:top w:w="57" w:type="dxa"/>
                    <w:left w:w="57" w:type="dxa"/>
                    <w:bottom w:w="57" w:type="dxa"/>
                    <w:right w:w="57" w:type="dxa"/>
                  </w:tcMar>
                  <w:vAlign w:val="center"/>
                </w:tcPr>
                <w:p w14:paraId="0003AC26" w14:textId="77777777" w:rsidR="008E049D" w:rsidRPr="001E2783" w:rsidRDefault="008E049D" w:rsidP="00441F98">
                  <w:pPr>
                    <w:pStyle w:val="TableTextLeft"/>
                    <w:keepNext/>
                    <w:spacing w:before="0" w:after="0"/>
                    <w:rPr>
                      <w:rFonts w:cs="Arial"/>
                      <w:sz w:val="20"/>
                    </w:rPr>
                  </w:pPr>
                  <w:r w:rsidRPr="001E2783">
                    <w:rPr>
                      <w:rFonts w:cs="Arial"/>
                      <w:sz w:val="20"/>
                    </w:rPr>
                    <w:tab/>
                    <w:t>Fax marketing</w:t>
                  </w:r>
                </w:p>
              </w:tc>
              <w:tc>
                <w:tcPr>
                  <w:tcW w:w="2268" w:type="dxa"/>
                  <w:vAlign w:val="center"/>
                </w:tcPr>
                <w:p w14:paraId="27EFEB3F" w14:textId="77777777" w:rsidR="008E049D" w:rsidRPr="001E2783" w:rsidRDefault="008E049D" w:rsidP="00441F98">
                  <w:pPr>
                    <w:pStyle w:val="TableTextLeft"/>
                    <w:keepNext/>
                    <w:spacing w:before="0" w:after="0"/>
                    <w:jc w:val="right"/>
                    <w:rPr>
                      <w:rFonts w:cs="Arial"/>
                      <w:sz w:val="20"/>
                    </w:rPr>
                  </w:pPr>
                  <w:r w:rsidRPr="001E2783">
                    <w:rPr>
                      <w:rFonts w:cs="Arial"/>
                      <w:sz w:val="20"/>
                    </w:rPr>
                    <w:t>342</w:t>
                  </w:r>
                </w:p>
              </w:tc>
              <w:tc>
                <w:tcPr>
                  <w:tcW w:w="2268" w:type="dxa"/>
                  <w:vAlign w:val="center"/>
                </w:tcPr>
                <w:p w14:paraId="3A20A7A1" w14:textId="77777777" w:rsidR="008E049D" w:rsidRPr="001E2783" w:rsidRDefault="008E049D" w:rsidP="008E049D">
                  <w:pPr>
                    <w:pStyle w:val="TableTextLeft"/>
                    <w:keepNext/>
                    <w:spacing w:before="0" w:after="0"/>
                    <w:jc w:val="right"/>
                    <w:rPr>
                      <w:rFonts w:cs="Arial"/>
                      <w:sz w:val="20"/>
                    </w:rPr>
                  </w:pPr>
                  <w:r w:rsidRPr="001E2783">
                    <w:rPr>
                      <w:rFonts w:cs="Arial"/>
                      <w:sz w:val="20"/>
                    </w:rPr>
                    <w:t>230</w:t>
                  </w:r>
                </w:p>
              </w:tc>
            </w:tr>
            <w:tr w:rsidR="001E2783" w:rsidRPr="001E2783" w14:paraId="5E0BBC80" w14:textId="77777777" w:rsidTr="008E049D">
              <w:trPr>
                <w:trHeight w:val="166"/>
              </w:trPr>
              <w:tc>
                <w:tcPr>
                  <w:tcW w:w="3501" w:type="dxa"/>
                  <w:shd w:val="clear" w:color="auto" w:fill="F2F2F2" w:themeFill="background1" w:themeFillShade="F2"/>
                  <w:tcMar>
                    <w:top w:w="57" w:type="dxa"/>
                    <w:left w:w="57" w:type="dxa"/>
                    <w:bottom w:w="57" w:type="dxa"/>
                    <w:right w:w="57" w:type="dxa"/>
                  </w:tcMar>
                  <w:vAlign w:val="center"/>
                </w:tcPr>
                <w:p w14:paraId="4CECE527" w14:textId="77777777" w:rsidR="008E049D" w:rsidRPr="001E2783" w:rsidRDefault="008E049D" w:rsidP="00761E69">
                  <w:pPr>
                    <w:pStyle w:val="TableTextLeft"/>
                    <w:keepNext/>
                    <w:spacing w:before="0" w:after="0"/>
                    <w:rPr>
                      <w:rFonts w:cs="Arial"/>
                      <w:b/>
                      <w:sz w:val="20"/>
                    </w:rPr>
                  </w:pPr>
                  <w:r w:rsidRPr="001E2783">
                    <w:rPr>
                      <w:rFonts w:cs="Arial"/>
                      <w:b/>
                      <w:sz w:val="20"/>
                    </w:rPr>
                    <w:t>Enquiries</w:t>
                  </w:r>
                </w:p>
              </w:tc>
              <w:tc>
                <w:tcPr>
                  <w:tcW w:w="2268" w:type="dxa"/>
                  <w:shd w:val="clear" w:color="auto" w:fill="F2F2F2" w:themeFill="background1" w:themeFillShade="F2"/>
                  <w:vAlign w:val="center"/>
                </w:tcPr>
                <w:p w14:paraId="371FD752" w14:textId="77777777" w:rsidR="008E049D" w:rsidRPr="001E2783" w:rsidRDefault="008E049D" w:rsidP="00441F98">
                  <w:pPr>
                    <w:pStyle w:val="TableTextLeft"/>
                    <w:keepNext/>
                    <w:spacing w:before="0" w:after="0"/>
                    <w:jc w:val="right"/>
                    <w:rPr>
                      <w:rFonts w:cs="Arial"/>
                      <w:b/>
                      <w:sz w:val="20"/>
                    </w:rPr>
                  </w:pPr>
                  <w:r w:rsidRPr="001E2783">
                    <w:rPr>
                      <w:rFonts w:cs="Arial"/>
                      <w:b/>
                      <w:sz w:val="20"/>
                    </w:rPr>
                    <w:t>10,927</w:t>
                  </w:r>
                </w:p>
              </w:tc>
              <w:tc>
                <w:tcPr>
                  <w:tcW w:w="2268" w:type="dxa"/>
                  <w:shd w:val="clear" w:color="auto" w:fill="F2F2F2" w:themeFill="background1" w:themeFillShade="F2"/>
                  <w:vAlign w:val="center"/>
                </w:tcPr>
                <w:p w14:paraId="5B942992" w14:textId="77777777" w:rsidR="008E049D" w:rsidRPr="001E2783" w:rsidRDefault="008E049D" w:rsidP="008E049D">
                  <w:pPr>
                    <w:pStyle w:val="TableTextLeft"/>
                    <w:keepNext/>
                    <w:spacing w:before="0" w:after="0"/>
                    <w:jc w:val="right"/>
                    <w:rPr>
                      <w:rFonts w:cs="Arial"/>
                      <w:b/>
                      <w:sz w:val="20"/>
                    </w:rPr>
                  </w:pPr>
                  <w:r w:rsidRPr="001E2783">
                    <w:rPr>
                      <w:rFonts w:cs="Arial"/>
                      <w:b/>
                      <w:sz w:val="20"/>
                    </w:rPr>
                    <w:t>11,335</w:t>
                  </w:r>
                </w:p>
              </w:tc>
            </w:tr>
            <w:tr w:rsidR="001E2783" w:rsidRPr="001E2783" w14:paraId="7DC6D26C" w14:textId="77777777" w:rsidTr="008E049D">
              <w:trPr>
                <w:trHeight w:val="166"/>
              </w:trPr>
              <w:tc>
                <w:tcPr>
                  <w:tcW w:w="3501" w:type="dxa"/>
                  <w:shd w:val="clear" w:color="auto" w:fill="F2F2F2" w:themeFill="background1" w:themeFillShade="F2"/>
                  <w:tcMar>
                    <w:top w:w="57" w:type="dxa"/>
                    <w:left w:w="57" w:type="dxa"/>
                    <w:bottom w:w="57" w:type="dxa"/>
                    <w:right w:w="57" w:type="dxa"/>
                  </w:tcMar>
                  <w:vAlign w:val="center"/>
                </w:tcPr>
                <w:p w14:paraId="034B5B03" w14:textId="77777777" w:rsidR="008E049D" w:rsidRPr="001E2783" w:rsidRDefault="008E049D" w:rsidP="00761E69">
                  <w:pPr>
                    <w:pStyle w:val="TableTextLeft"/>
                    <w:keepNext/>
                    <w:spacing w:before="0" w:after="0"/>
                    <w:rPr>
                      <w:rFonts w:cs="Arial"/>
                      <w:b/>
                      <w:sz w:val="20"/>
                    </w:rPr>
                  </w:pPr>
                  <w:r w:rsidRPr="001E2783">
                    <w:rPr>
                      <w:rFonts w:cs="Arial"/>
                      <w:b/>
                      <w:sz w:val="20"/>
                    </w:rPr>
                    <w:t>Business compliance</w:t>
                  </w:r>
                </w:p>
              </w:tc>
              <w:tc>
                <w:tcPr>
                  <w:tcW w:w="2268" w:type="dxa"/>
                  <w:shd w:val="clear" w:color="auto" w:fill="F2F2F2" w:themeFill="background1" w:themeFillShade="F2"/>
                  <w:vAlign w:val="center"/>
                </w:tcPr>
                <w:p w14:paraId="7CEF33C4" w14:textId="77777777" w:rsidR="008E049D" w:rsidRPr="001E2783" w:rsidRDefault="008E049D" w:rsidP="00441F98">
                  <w:pPr>
                    <w:pStyle w:val="TableTextLeft"/>
                    <w:keepNext/>
                    <w:spacing w:before="0" w:after="0"/>
                    <w:jc w:val="right"/>
                    <w:rPr>
                      <w:rFonts w:cs="Arial"/>
                      <w:b/>
                      <w:sz w:val="20"/>
                    </w:rPr>
                  </w:pPr>
                  <w:r w:rsidRPr="001E2783">
                    <w:rPr>
                      <w:rFonts w:cs="Arial"/>
                      <w:b/>
                      <w:sz w:val="20"/>
                    </w:rPr>
                    <w:t>1,057</w:t>
                  </w:r>
                </w:p>
              </w:tc>
              <w:tc>
                <w:tcPr>
                  <w:tcW w:w="2268" w:type="dxa"/>
                  <w:shd w:val="clear" w:color="auto" w:fill="F2F2F2" w:themeFill="background1" w:themeFillShade="F2"/>
                  <w:vAlign w:val="center"/>
                </w:tcPr>
                <w:p w14:paraId="7FA1D073" w14:textId="77777777" w:rsidR="008E049D" w:rsidRPr="001E2783" w:rsidRDefault="008E049D" w:rsidP="008E049D">
                  <w:pPr>
                    <w:pStyle w:val="TableTextLeft"/>
                    <w:keepNext/>
                    <w:spacing w:before="0" w:after="0"/>
                    <w:jc w:val="right"/>
                    <w:rPr>
                      <w:rFonts w:cs="Arial"/>
                      <w:b/>
                      <w:sz w:val="20"/>
                    </w:rPr>
                  </w:pPr>
                  <w:r w:rsidRPr="001E2783">
                    <w:rPr>
                      <w:rFonts w:cs="Arial"/>
                      <w:b/>
                      <w:sz w:val="20"/>
                    </w:rPr>
                    <w:t>1,067</w:t>
                  </w:r>
                </w:p>
              </w:tc>
            </w:tr>
            <w:tr w:rsidR="001E2783" w:rsidRPr="001E2783" w14:paraId="7C2DE771" w14:textId="77777777" w:rsidTr="008E049D">
              <w:trPr>
                <w:trHeight w:val="166"/>
              </w:trPr>
              <w:tc>
                <w:tcPr>
                  <w:tcW w:w="3501" w:type="dxa"/>
                  <w:shd w:val="clear" w:color="auto" w:fill="auto"/>
                  <w:tcMar>
                    <w:top w:w="57" w:type="dxa"/>
                    <w:left w:w="57" w:type="dxa"/>
                    <w:bottom w:w="57" w:type="dxa"/>
                    <w:right w:w="57" w:type="dxa"/>
                  </w:tcMar>
                  <w:vAlign w:val="center"/>
                </w:tcPr>
                <w:p w14:paraId="4F8362CF" w14:textId="77777777" w:rsidR="008E049D" w:rsidRPr="001E2783" w:rsidRDefault="008E049D" w:rsidP="00441F98">
                  <w:pPr>
                    <w:pStyle w:val="TableTextLeft"/>
                    <w:keepNext/>
                    <w:spacing w:before="0" w:after="0"/>
                    <w:rPr>
                      <w:rFonts w:cs="Arial"/>
                      <w:sz w:val="20"/>
                    </w:rPr>
                  </w:pPr>
                  <w:r w:rsidRPr="001E2783">
                    <w:rPr>
                      <w:rFonts w:cs="Arial"/>
                      <w:sz w:val="20"/>
                    </w:rPr>
                    <w:tab/>
                    <w:t>Advisory letters</w:t>
                  </w:r>
                </w:p>
              </w:tc>
              <w:tc>
                <w:tcPr>
                  <w:tcW w:w="2268" w:type="dxa"/>
                  <w:vAlign w:val="center"/>
                </w:tcPr>
                <w:p w14:paraId="7E72767D" w14:textId="77777777" w:rsidR="008E049D" w:rsidRPr="001E2783" w:rsidRDefault="008E049D" w:rsidP="00441F98">
                  <w:pPr>
                    <w:pStyle w:val="TableTextLeft"/>
                    <w:keepNext/>
                    <w:spacing w:before="0" w:after="0"/>
                    <w:jc w:val="right"/>
                    <w:rPr>
                      <w:rFonts w:cs="Arial"/>
                      <w:sz w:val="20"/>
                    </w:rPr>
                  </w:pPr>
                  <w:r w:rsidRPr="001E2783">
                    <w:rPr>
                      <w:rFonts w:cs="Arial"/>
                      <w:sz w:val="20"/>
                    </w:rPr>
                    <w:t>918</w:t>
                  </w:r>
                </w:p>
              </w:tc>
              <w:tc>
                <w:tcPr>
                  <w:tcW w:w="2268" w:type="dxa"/>
                  <w:vAlign w:val="center"/>
                </w:tcPr>
                <w:p w14:paraId="08388AB5" w14:textId="77777777" w:rsidR="008E049D" w:rsidRPr="001E2783" w:rsidRDefault="008E049D" w:rsidP="008E049D">
                  <w:pPr>
                    <w:pStyle w:val="TableTextLeft"/>
                    <w:keepNext/>
                    <w:spacing w:before="0" w:after="0"/>
                    <w:jc w:val="right"/>
                    <w:rPr>
                      <w:rFonts w:cs="Arial"/>
                      <w:sz w:val="20"/>
                    </w:rPr>
                  </w:pPr>
                  <w:r w:rsidRPr="001E2783">
                    <w:rPr>
                      <w:rFonts w:cs="Arial"/>
                      <w:sz w:val="20"/>
                    </w:rPr>
                    <w:t>951</w:t>
                  </w:r>
                </w:p>
              </w:tc>
            </w:tr>
            <w:tr w:rsidR="001E2783" w:rsidRPr="001E2783" w14:paraId="655648C0" w14:textId="77777777" w:rsidTr="008E049D">
              <w:trPr>
                <w:trHeight w:val="166"/>
              </w:trPr>
              <w:tc>
                <w:tcPr>
                  <w:tcW w:w="3501" w:type="dxa"/>
                  <w:shd w:val="clear" w:color="auto" w:fill="auto"/>
                  <w:tcMar>
                    <w:top w:w="57" w:type="dxa"/>
                    <w:left w:w="57" w:type="dxa"/>
                    <w:bottom w:w="57" w:type="dxa"/>
                    <w:right w:w="57" w:type="dxa"/>
                  </w:tcMar>
                  <w:vAlign w:val="center"/>
                </w:tcPr>
                <w:p w14:paraId="0814C1E8" w14:textId="77777777" w:rsidR="008E049D" w:rsidRPr="001E2783" w:rsidRDefault="008E049D" w:rsidP="00441F98">
                  <w:pPr>
                    <w:pStyle w:val="TableTextLeft"/>
                    <w:keepNext/>
                    <w:spacing w:before="0" w:after="0"/>
                    <w:rPr>
                      <w:rFonts w:cs="Arial"/>
                      <w:sz w:val="20"/>
                    </w:rPr>
                  </w:pPr>
                  <w:r w:rsidRPr="001E2783">
                    <w:rPr>
                      <w:rFonts w:cs="Arial"/>
                      <w:sz w:val="20"/>
                    </w:rPr>
                    <w:tab/>
                    <w:t>Informal warnings</w:t>
                  </w:r>
                </w:p>
              </w:tc>
              <w:tc>
                <w:tcPr>
                  <w:tcW w:w="2268" w:type="dxa"/>
                  <w:vAlign w:val="center"/>
                </w:tcPr>
                <w:p w14:paraId="1F5F8B78" w14:textId="77777777" w:rsidR="008E049D" w:rsidRPr="001E2783" w:rsidRDefault="008E049D" w:rsidP="00441F98">
                  <w:pPr>
                    <w:pStyle w:val="TableTextLeft"/>
                    <w:keepNext/>
                    <w:spacing w:before="0" w:after="0"/>
                    <w:jc w:val="right"/>
                    <w:rPr>
                      <w:rFonts w:cs="Arial"/>
                      <w:sz w:val="20"/>
                    </w:rPr>
                  </w:pPr>
                  <w:r w:rsidRPr="001E2783">
                    <w:rPr>
                      <w:rFonts w:cs="Arial"/>
                      <w:sz w:val="20"/>
                    </w:rPr>
                    <w:t>139</w:t>
                  </w:r>
                </w:p>
              </w:tc>
              <w:tc>
                <w:tcPr>
                  <w:tcW w:w="2268" w:type="dxa"/>
                  <w:vAlign w:val="center"/>
                </w:tcPr>
                <w:p w14:paraId="2F763830" w14:textId="77777777" w:rsidR="008E049D" w:rsidRPr="001E2783" w:rsidRDefault="008E049D" w:rsidP="008E049D">
                  <w:pPr>
                    <w:pStyle w:val="TableTextLeft"/>
                    <w:keepNext/>
                    <w:spacing w:before="0" w:after="0"/>
                    <w:jc w:val="right"/>
                    <w:rPr>
                      <w:rFonts w:cs="Arial"/>
                      <w:sz w:val="20"/>
                    </w:rPr>
                  </w:pPr>
                  <w:r w:rsidRPr="001E2783">
                    <w:rPr>
                      <w:rFonts w:cs="Arial"/>
                      <w:sz w:val="20"/>
                    </w:rPr>
                    <w:t>116</w:t>
                  </w:r>
                </w:p>
              </w:tc>
            </w:tr>
            <w:tr w:rsidR="001E2783" w:rsidRPr="001E2783" w14:paraId="27C31C0A" w14:textId="77777777" w:rsidTr="008E049D">
              <w:trPr>
                <w:trHeight w:val="166"/>
              </w:trPr>
              <w:tc>
                <w:tcPr>
                  <w:tcW w:w="3501" w:type="dxa"/>
                  <w:shd w:val="clear" w:color="auto" w:fill="F2F2F2" w:themeFill="background1" w:themeFillShade="F2"/>
                  <w:tcMar>
                    <w:top w:w="57" w:type="dxa"/>
                    <w:left w:w="57" w:type="dxa"/>
                    <w:bottom w:w="57" w:type="dxa"/>
                    <w:right w:w="57" w:type="dxa"/>
                  </w:tcMar>
                  <w:vAlign w:val="center"/>
                </w:tcPr>
                <w:p w14:paraId="3A31DA3F" w14:textId="77777777" w:rsidR="008E049D" w:rsidRPr="001E2783" w:rsidRDefault="008E049D" w:rsidP="00761E69">
                  <w:pPr>
                    <w:pStyle w:val="TableTextLeft"/>
                    <w:keepNext/>
                    <w:spacing w:before="0" w:after="0"/>
                    <w:rPr>
                      <w:rFonts w:cs="Arial"/>
                      <w:b/>
                      <w:sz w:val="20"/>
                    </w:rPr>
                  </w:pPr>
                  <w:r w:rsidRPr="001E2783">
                    <w:rPr>
                      <w:rFonts w:cs="Arial"/>
                      <w:b/>
                      <w:sz w:val="20"/>
                    </w:rPr>
                    <w:t>Investigations</w:t>
                  </w:r>
                </w:p>
              </w:tc>
              <w:tc>
                <w:tcPr>
                  <w:tcW w:w="2268" w:type="dxa"/>
                  <w:shd w:val="clear" w:color="auto" w:fill="F2F2F2" w:themeFill="background1" w:themeFillShade="F2"/>
                  <w:vAlign w:val="center"/>
                </w:tcPr>
                <w:p w14:paraId="258E7D54" w14:textId="77777777" w:rsidR="008E049D" w:rsidRPr="001E2783" w:rsidRDefault="008E049D" w:rsidP="00441F98">
                  <w:pPr>
                    <w:pStyle w:val="TableTextLeft"/>
                    <w:keepNext/>
                    <w:spacing w:before="0" w:after="0"/>
                    <w:jc w:val="right"/>
                    <w:rPr>
                      <w:rFonts w:cs="Arial"/>
                      <w:b/>
                      <w:sz w:val="20"/>
                    </w:rPr>
                  </w:pPr>
                  <w:r w:rsidRPr="001E2783">
                    <w:rPr>
                      <w:rFonts w:cs="Arial"/>
                      <w:b/>
                      <w:sz w:val="20"/>
                    </w:rPr>
                    <w:t>11</w:t>
                  </w:r>
                </w:p>
              </w:tc>
              <w:tc>
                <w:tcPr>
                  <w:tcW w:w="2268" w:type="dxa"/>
                  <w:shd w:val="clear" w:color="auto" w:fill="F2F2F2" w:themeFill="background1" w:themeFillShade="F2"/>
                  <w:vAlign w:val="center"/>
                </w:tcPr>
                <w:p w14:paraId="666ABC35" w14:textId="77777777" w:rsidR="008E049D" w:rsidRPr="001E2783" w:rsidRDefault="008E049D" w:rsidP="008E049D">
                  <w:pPr>
                    <w:pStyle w:val="TableTextLeft"/>
                    <w:keepNext/>
                    <w:spacing w:before="0" w:after="0"/>
                    <w:jc w:val="right"/>
                    <w:rPr>
                      <w:rFonts w:cs="Arial"/>
                      <w:b/>
                      <w:sz w:val="20"/>
                    </w:rPr>
                  </w:pPr>
                  <w:r w:rsidRPr="001E2783">
                    <w:rPr>
                      <w:rFonts w:cs="Arial"/>
                      <w:b/>
                      <w:sz w:val="20"/>
                    </w:rPr>
                    <w:t>6</w:t>
                  </w:r>
                </w:p>
              </w:tc>
            </w:tr>
            <w:tr w:rsidR="001E2783" w:rsidRPr="001E2783" w14:paraId="795C6EA5" w14:textId="77777777" w:rsidTr="008E049D">
              <w:trPr>
                <w:trHeight w:val="166"/>
              </w:trPr>
              <w:tc>
                <w:tcPr>
                  <w:tcW w:w="3501" w:type="dxa"/>
                  <w:shd w:val="clear" w:color="auto" w:fill="auto"/>
                  <w:tcMar>
                    <w:top w:w="57" w:type="dxa"/>
                    <w:left w:w="57" w:type="dxa"/>
                    <w:bottom w:w="57" w:type="dxa"/>
                    <w:right w:w="57" w:type="dxa"/>
                  </w:tcMar>
                  <w:vAlign w:val="center"/>
                </w:tcPr>
                <w:p w14:paraId="03177CDC" w14:textId="77777777" w:rsidR="008E049D" w:rsidRPr="001E2783" w:rsidRDefault="008E049D" w:rsidP="00441F98">
                  <w:pPr>
                    <w:pStyle w:val="TableTextLeft"/>
                    <w:keepNext/>
                    <w:spacing w:before="0" w:after="0"/>
                    <w:rPr>
                      <w:rFonts w:cs="Arial"/>
                      <w:sz w:val="20"/>
                    </w:rPr>
                  </w:pPr>
                  <w:r w:rsidRPr="001E2783">
                    <w:rPr>
                      <w:rFonts w:cs="Arial"/>
                      <w:sz w:val="20"/>
                    </w:rPr>
                    <w:tab/>
                    <w:t>Formal warnings</w:t>
                  </w:r>
                </w:p>
              </w:tc>
              <w:tc>
                <w:tcPr>
                  <w:tcW w:w="2268" w:type="dxa"/>
                  <w:vAlign w:val="center"/>
                </w:tcPr>
                <w:p w14:paraId="371DB381" w14:textId="77777777" w:rsidR="008E049D" w:rsidRPr="001E2783" w:rsidRDefault="008E049D" w:rsidP="00441F98">
                  <w:pPr>
                    <w:pStyle w:val="TableTextLeft"/>
                    <w:keepNext/>
                    <w:spacing w:before="0" w:after="0"/>
                    <w:jc w:val="right"/>
                    <w:rPr>
                      <w:rFonts w:cs="Arial"/>
                      <w:sz w:val="20"/>
                    </w:rPr>
                  </w:pPr>
                  <w:r w:rsidRPr="001E2783">
                    <w:rPr>
                      <w:rFonts w:cs="Arial"/>
                      <w:sz w:val="20"/>
                    </w:rPr>
                    <w:t>3</w:t>
                  </w:r>
                </w:p>
              </w:tc>
              <w:tc>
                <w:tcPr>
                  <w:tcW w:w="2268" w:type="dxa"/>
                  <w:vAlign w:val="center"/>
                </w:tcPr>
                <w:p w14:paraId="097C1C75" w14:textId="77777777" w:rsidR="008E049D" w:rsidRPr="001E2783" w:rsidRDefault="008E049D" w:rsidP="008E049D">
                  <w:pPr>
                    <w:pStyle w:val="TableTextLeft"/>
                    <w:keepNext/>
                    <w:spacing w:before="0" w:after="0"/>
                    <w:jc w:val="right"/>
                    <w:rPr>
                      <w:rFonts w:cs="Arial"/>
                      <w:sz w:val="20"/>
                    </w:rPr>
                  </w:pPr>
                  <w:r w:rsidRPr="001E2783">
                    <w:rPr>
                      <w:rFonts w:cs="Arial"/>
                      <w:sz w:val="20"/>
                    </w:rPr>
                    <w:t>2</w:t>
                  </w:r>
                </w:p>
              </w:tc>
            </w:tr>
            <w:tr w:rsidR="001E2783" w:rsidRPr="001E2783" w14:paraId="23AC7959" w14:textId="77777777" w:rsidTr="008E049D">
              <w:trPr>
                <w:trHeight w:val="166"/>
              </w:trPr>
              <w:tc>
                <w:tcPr>
                  <w:tcW w:w="3501" w:type="dxa"/>
                  <w:shd w:val="clear" w:color="auto" w:fill="auto"/>
                  <w:tcMar>
                    <w:top w:w="57" w:type="dxa"/>
                    <w:left w:w="57" w:type="dxa"/>
                    <w:bottom w:w="57" w:type="dxa"/>
                    <w:right w:w="57" w:type="dxa"/>
                  </w:tcMar>
                  <w:vAlign w:val="center"/>
                </w:tcPr>
                <w:p w14:paraId="6A0DAE58" w14:textId="77777777" w:rsidR="008E049D" w:rsidRPr="001E2783" w:rsidRDefault="008E049D" w:rsidP="00441F98">
                  <w:pPr>
                    <w:pStyle w:val="TableTextLeft"/>
                    <w:keepNext/>
                    <w:spacing w:before="0" w:after="0"/>
                    <w:rPr>
                      <w:rFonts w:cs="Arial"/>
                      <w:sz w:val="20"/>
                    </w:rPr>
                  </w:pPr>
                  <w:r w:rsidRPr="001E2783">
                    <w:rPr>
                      <w:rFonts w:cs="Arial"/>
                      <w:sz w:val="20"/>
                    </w:rPr>
                    <w:tab/>
                    <w:t>Enforceable undertakings</w:t>
                  </w:r>
                </w:p>
              </w:tc>
              <w:tc>
                <w:tcPr>
                  <w:tcW w:w="2268" w:type="dxa"/>
                  <w:vAlign w:val="center"/>
                </w:tcPr>
                <w:p w14:paraId="29E6504B" w14:textId="77777777" w:rsidR="008E049D" w:rsidRPr="001E2783" w:rsidRDefault="008E049D" w:rsidP="00441F98">
                  <w:pPr>
                    <w:pStyle w:val="TableTextLeft"/>
                    <w:keepNext/>
                    <w:spacing w:before="0" w:after="0"/>
                    <w:jc w:val="right"/>
                    <w:rPr>
                      <w:rFonts w:cs="Arial"/>
                      <w:sz w:val="20"/>
                    </w:rPr>
                  </w:pPr>
                  <w:r w:rsidRPr="001E2783">
                    <w:rPr>
                      <w:rFonts w:cs="Arial"/>
                      <w:sz w:val="20"/>
                    </w:rPr>
                    <w:t>2</w:t>
                  </w:r>
                </w:p>
              </w:tc>
              <w:tc>
                <w:tcPr>
                  <w:tcW w:w="2268" w:type="dxa"/>
                  <w:vAlign w:val="center"/>
                </w:tcPr>
                <w:p w14:paraId="03A31D6C" w14:textId="77777777" w:rsidR="008E049D" w:rsidRPr="001E2783" w:rsidRDefault="008E049D" w:rsidP="008E049D">
                  <w:pPr>
                    <w:pStyle w:val="TableTextLeft"/>
                    <w:keepNext/>
                    <w:spacing w:before="0" w:after="0"/>
                    <w:jc w:val="right"/>
                    <w:rPr>
                      <w:rFonts w:cs="Arial"/>
                      <w:sz w:val="20"/>
                    </w:rPr>
                  </w:pPr>
                  <w:r w:rsidRPr="001E2783">
                    <w:rPr>
                      <w:rFonts w:cs="Arial"/>
                      <w:sz w:val="20"/>
                    </w:rPr>
                    <w:t>2</w:t>
                  </w:r>
                </w:p>
              </w:tc>
            </w:tr>
            <w:tr w:rsidR="001E2783" w:rsidRPr="001E2783" w14:paraId="37879597" w14:textId="77777777" w:rsidTr="008E049D">
              <w:trPr>
                <w:trHeight w:val="166"/>
              </w:trPr>
              <w:tc>
                <w:tcPr>
                  <w:tcW w:w="3501" w:type="dxa"/>
                  <w:shd w:val="clear" w:color="auto" w:fill="auto"/>
                  <w:tcMar>
                    <w:top w:w="57" w:type="dxa"/>
                    <w:left w:w="57" w:type="dxa"/>
                    <w:bottom w:w="57" w:type="dxa"/>
                    <w:right w:w="57" w:type="dxa"/>
                  </w:tcMar>
                  <w:vAlign w:val="center"/>
                </w:tcPr>
                <w:p w14:paraId="2AB81F41" w14:textId="77777777" w:rsidR="008E049D" w:rsidRPr="001E2783" w:rsidRDefault="008E049D" w:rsidP="00441F98">
                  <w:pPr>
                    <w:pStyle w:val="TableTextLeft"/>
                    <w:keepNext/>
                    <w:spacing w:before="0" w:after="0"/>
                    <w:rPr>
                      <w:rFonts w:cs="Arial"/>
                      <w:sz w:val="20"/>
                    </w:rPr>
                  </w:pPr>
                  <w:r w:rsidRPr="001E2783">
                    <w:rPr>
                      <w:rFonts w:cs="Arial"/>
                      <w:sz w:val="20"/>
                    </w:rPr>
                    <w:tab/>
                    <w:t>Infringement notices</w:t>
                  </w:r>
                </w:p>
              </w:tc>
              <w:tc>
                <w:tcPr>
                  <w:tcW w:w="2268" w:type="dxa"/>
                  <w:vAlign w:val="center"/>
                </w:tcPr>
                <w:p w14:paraId="7493C4DF" w14:textId="77777777" w:rsidR="008E049D" w:rsidRPr="001E2783" w:rsidRDefault="008E049D" w:rsidP="00441F98">
                  <w:pPr>
                    <w:pStyle w:val="TableTextLeft"/>
                    <w:keepNext/>
                    <w:spacing w:before="0" w:after="0"/>
                    <w:jc w:val="right"/>
                    <w:rPr>
                      <w:rFonts w:cs="Arial"/>
                      <w:sz w:val="20"/>
                    </w:rPr>
                  </w:pPr>
                  <w:r w:rsidRPr="001E2783">
                    <w:rPr>
                      <w:rFonts w:cs="Arial"/>
                      <w:sz w:val="20"/>
                    </w:rPr>
                    <w:t>3</w:t>
                  </w:r>
                </w:p>
              </w:tc>
              <w:tc>
                <w:tcPr>
                  <w:tcW w:w="2268" w:type="dxa"/>
                  <w:vAlign w:val="center"/>
                </w:tcPr>
                <w:p w14:paraId="63F48B0E" w14:textId="77777777" w:rsidR="008E049D" w:rsidRPr="001E2783" w:rsidRDefault="008E049D" w:rsidP="008E049D">
                  <w:pPr>
                    <w:pStyle w:val="TableTextLeft"/>
                    <w:keepNext/>
                    <w:spacing w:before="0" w:after="0"/>
                    <w:jc w:val="right"/>
                    <w:rPr>
                      <w:rFonts w:cs="Arial"/>
                      <w:sz w:val="20"/>
                    </w:rPr>
                  </w:pPr>
                  <w:r w:rsidRPr="001E2783">
                    <w:rPr>
                      <w:rFonts w:cs="Arial"/>
                      <w:sz w:val="20"/>
                    </w:rPr>
                    <w:t>1</w:t>
                  </w:r>
                </w:p>
              </w:tc>
            </w:tr>
          </w:tbl>
          <w:p w14:paraId="6782A535" w14:textId="77777777" w:rsidR="005A1C52" w:rsidRPr="001E2783" w:rsidRDefault="005A1C52" w:rsidP="001E42D5">
            <w:pPr>
              <w:rPr>
                <w:rFonts w:cs="Arial"/>
              </w:rPr>
            </w:pPr>
          </w:p>
        </w:tc>
      </w:tr>
      <w:tr w:rsidR="005A1C52" w:rsidRPr="001E2783" w14:paraId="33EF1FD4" w14:textId="77777777" w:rsidTr="005A1C52">
        <w:trPr>
          <w:trHeight w:val="291"/>
        </w:trPr>
        <w:tc>
          <w:tcPr>
            <w:tcW w:w="9645" w:type="dxa"/>
            <w:tcBorders>
              <w:bottom w:val="single" w:sz="2" w:space="0" w:color="505050"/>
            </w:tcBorders>
            <w:shd w:val="clear" w:color="auto" w:fill="auto"/>
          </w:tcPr>
          <w:p w14:paraId="610FBDBF" w14:textId="77777777" w:rsidR="005A1C52" w:rsidRPr="001E2783" w:rsidRDefault="005A1C52" w:rsidP="005A1C52">
            <w:pPr>
              <w:rPr>
                <w:rFonts w:cs="Arial"/>
              </w:rPr>
            </w:pPr>
          </w:p>
        </w:tc>
      </w:tr>
    </w:tbl>
    <w:p w14:paraId="77A4E0E1" w14:textId="77777777" w:rsidR="005A1C52" w:rsidRPr="001E2783" w:rsidRDefault="005A1C52" w:rsidP="00946A70">
      <w:pPr>
        <w:rPr>
          <w:rFonts w:cs="Arial"/>
        </w:rPr>
      </w:pPr>
    </w:p>
    <w:p w14:paraId="0B5401EA" w14:textId="77777777" w:rsidR="005A1C52" w:rsidRPr="001E2783" w:rsidRDefault="005A1C52" w:rsidP="005A1C52">
      <w:pPr>
        <w:pStyle w:val="bodySUBSUBheaderh5"/>
        <w:rPr>
          <w:rFonts w:cs="Arial"/>
        </w:rPr>
      </w:pPr>
      <w:r w:rsidRPr="001E2783">
        <w:rPr>
          <w:rFonts w:cs="Arial"/>
        </w:rPr>
        <w:t>Advisory letters and informal warnings</w:t>
      </w:r>
    </w:p>
    <w:p w14:paraId="30DA3052" w14:textId="77777777" w:rsidR="005A1C52" w:rsidRPr="001E2783" w:rsidRDefault="005A1C52" w:rsidP="005A1C52">
      <w:pPr>
        <w:rPr>
          <w:rFonts w:cs="Arial"/>
        </w:rPr>
      </w:pPr>
      <w:r w:rsidRPr="001E2783">
        <w:rPr>
          <w:rFonts w:cs="Arial"/>
        </w:rPr>
        <w:t xml:space="preserve">The ACMA adopts a graduated approach to compliance with the Do Not Call rules. In the first instance, where it identifies the source of the telemarketing calls or marketing faxes that are the subject of complaints, it issues advisory letters to give parties involved information about their obligations under the Do Not Call rules. </w:t>
      </w:r>
    </w:p>
    <w:p w14:paraId="3D7C8A1D" w14:textId="77777777" w:rsidR="005A1C52" w:rsidRPr="001E2783" w:rsidRDefault="005A1C52" w:rsidP="005A1C52">
      <w:pPr>
        <w:rPr>
          <w:rFonts w:cs="Arial"/>
        </w:rPr>
      </w:pPr>
    </w:p>
    <w:p w14:paraId="6DCB4995" w14:textId="77777777" w:rsidR="005A1C52" w:rsidRPr="001E2783" w:rsidRDefault="005A1C52" w:rsidP="005A1C52">
      <w:pPr>
        <w:rPr>
          <w:rFonts w:cs="Arial"/>
        </w:rPr>
      </w:pPr>
      <w:r w:rsidRPr="001E2783">
        <w:rPr>
          <w:rFonts w:cs="Arial"/>
        </w:rPr>
        <w:t xml:space="preserve">During 2013–14, the ACMA sent </w:t>
      </w:r>
      <w:r w:rsidR="00761E69" w:rsidRPr="001E2783">
        <w:rPr>
          <w:rFonts w:cs="Arial"/>
        </w:rPr>
        <w:t>951</w:t>
      </w:r>
      <w:r w:rsidRPr="001E2783">
        <w:rPr>
          <w:rFonts w:cs="Arial"/>
        </w:rPr>
        <w:t xml:space="preserve"> advisory letters to people and businesses identified as potentially in breach of the requirements of the </w:t>
      </w:r>
      <w:r w:rsidR="00916CAD" w:rsidRPr="001E2783">
        <w:rPr>
          <w:rFonts w:cs="Arial"/>
        </w:rPr>
        <w:t xml:space="preserve">DNCR Act </w:t>
      </w:r>
      <w:r w:rsidRPr="001E2783">
        <w:rPr>
          <w:rFonts w:cs="Arial"/>
        </w:rPr>
        <w:t xml:space="preserve">and industry standards.  </w:t>
      </w:r>
    </w:p>
    <w:p w14:paraId="2AD2CB2C" w14:textId="77777777" w:rsidR="005A1C52" w:rsidRPr="001E2783" w:rsidRDefault="005A1C52" w:rsidP="005A1C52">
      <w:pPr>
        <w:rPr>
          <w:rFonts w:cs="Arial"/>
          <w:b/>
          <w:i/>
        </w:rPr>
      </w:pPr>
    </w:p>
    <w:p w14:paraId="73C91C24" w14:textId="77777777" w:rsidR="00761E69" w:rsidRPr="001E2783" w:rsidRDefault="005A1C52" w:rsidP="005A1C52">
      <w:pPr>
        <w:rPr>
          <w:rFonts w:cs="Arial"/>
        </w:rPr>
      </w:pPr>
      <w:r w:rsidRPr="001E2783">
        <w:rPr>
          <w:rFonts w:cs="Arial"/>
        </w:rPr>
        <w:t xml:space="preserve">Where the ACMA receives five or more complaints within any 180-day period about the same person or business, it issues an informal warning. During 2013–14, the ACMA sent </w:t>
      </w:r>
      <w:r w:rsidR="00761E69" w:rsidRPr="001E2783">
        <w:rPr>
          <w:rFonts w:cs="Arial"/>
        </w:rPr>
        <w:t xml:space="preserve">116 </w:t>
      </w:r>
      <w:r w:rsidRPr="001E2783">
        <w:rPr>
          <w:rFonts w:cs="Arial"/>
        </w:rPr>
        <w:t>such letters to people and businesses that were the subject of complaints</w:t>
      </w:r>
      <w:r w:rsidR="00761E69" w:rsidRPr="001E2783">
        <w:rPr>
          <w:rFonts w:cs="Arial"/>
        </w:rPr>
        <w:t>.</w:t>
      </w:r>
    </w:p>
    <w:p w14:paraId="05498406" w14:textId="77777777" w:rsidR="00761E69" w:rsidRPr="001E2783" w:rsidRDefault="00761E69" w:rsidP="005A1C52">
      <w:pPr>
        <w:rPr>
          <w:rFonts w:cs="Arial"/>
        </w:rPr>
      </w:pPr>
    </w:p>
    <w:p w14:paraId="705A7FDE" w14:textId="77777777" w:rsidR="00761E69" w:rsidRPr="001E2783" w:rsidRDefault="00694B76" w:rsidP="00694B76">
      <w:pPr>
        <w:spacing w:after="80"/>
        <w:rPr>
          <w:rFonts w:cs="Arial"/>
        </w:rPr>
      </w:pPr>
      <w:r w:rsidRPr="001E2783">
        <w:rPr>
          <w:rFonts w:cs="Arial"/>
        </w:rPr>
        <w:t xml:space="preserve">The ACMA </w:t>
      </w:r>
      <w:r w:rsidRPr="001E2783">
        <w:rPr>
          <w:rFonts w:cs="Arial"/>
          <w:i/>
        </w:rPr>
        <w:t>Corporate p</w:t>
      </w:r>
      <w:r w:rsidR="00761E69" w:rsidRPr="001E2783">
        <w:rPr>
          <w:rFonts w:cs="Arial"/>
          <w:i/>
        </w:rPr>
        <w:t>lan 2013</w:t>
      </w:r>
      <w:r w:rsidRPr="001E2783">
        <w:rPr>
          <w:rFonts w:cs="Arial"/>
          <w:i/>
        </w:rPr>
        <w:t>–</w:t>
      </w:r>
      <w:r w:rsidR="00761E69" w:rsidRPr="001E2783">
        <w:rPr>
          <w:rFonts w:cs="Arial"/>
          <w:i/>
        </w:rPr>
        <w:t>16</w:t>
      </w:r>
      <w:r w:rsidR="00761E69" w:rsidRPr="001E2783">
        <w:rPr>
          <w:rFonts w:cs="Arial"/>
        </w:rPr>
        <w:t xml:space="preserve"> set</w:t>
      </w:r>
      <w:r w:rsidRPr="001E2783">
        <w:rPr>
          <w:rFonts w:cs="Arial"/>
        </w:rPr>
        <w:t>s out new k</w:t>
      </w:r>
      <w:r w:rsidR="00761E69" w:rsidRPr="001E2783">
        <w:rPr>
          <w:rFonts w:cs="Arial"/>
        </w:rPr>
        <w:t xml:space="preserve">ey </w:t>
      </w:r>
      <w:r w:rsidRPr="001E2783">
        <w:rPr>
          <w:rFonts w:cs="Arial"/>
        </w:rPr>
        <w:t>p</w:t>
      </w:r>
      <w:r w:rsidR="00761E69" w:rsidRPr="001E2783">
        <w:rPr>
          <w:rFonts w:cs="Arial"/>
        </w:rPr>
        <w:t xml:space="preserve">erformance </w:t>
      </w:r>
      <w:r w:rsidRPr="001E2783">
        <w:rPr>
          <w:rFonts w:cs="Arial"/>
        </w:rPr>
        <w:t>i</w:t>
      </w:r>
      <w:r w:rsidR="00761E69" w:rsidRPr="001E2783">
        <w:rPr>
          <w:rFonts w:cs="Arial"/>
        </w:rPr>
        <w:t>ndicators for unsolicited communications compl</w:t>
      </w:r>
      <w:r w:rsidRPr="001E2783">
        <w:rPr>
          <w:rFonts w:cs="Arial"/>
        </w:rPr>
        <w:t xml:space="preserve">iance activities. These </w:t>
      </w:r>
      <w:r w:rsidR="008E049D" w:rsidRPr="001E2783">
        <w:rPr>
          <w:rFonts w:cs="Arial"/>
        </w:rPr>
        <w:t xml:space="preserve">KPIs </w:t>
      </w:r>
      <w:r w:rsidRPr="001E2783">
        <w:rPr>
          <w:rFonts w:cs="Arial"/>
        </w:rPr>
        <w:t>are</w:t>
      </w:r>
      <w:r w:rsidR="00761E69" w:rsidRPr="001E2783">
        <w:rPr>
          <w:rFonts w:cs="Arial"/>
        </w:rPr>
        <w:t>:</w:t>
      </w:r>
    </w:p>
    <w:p w14:paraId="5AE84F7F" w14:textId="77777777" w:rsidR="00761E69" w:rsidRPr="001E2783" w:rsidRDefault="00761E69" w:rsidP="00694B76">
      <w:pPr>
        <w:pStyle w:val="ListBullet"/>
        <w:rPr>
          <w:rFonts w:cs="Arial"/>
        </w:rPr>
      </w:pPr>
      <w:r w:rsidRPr="001E2783">
        <w:rPr>
          <w:rFonts w:cs="Arial"/>
        </w:rPr>
        <w:t xml:space="preserve">the number of complaints and reports about unsolicited communications received from businesses after they have been sent informal warnings is low </w:t>
      </w:r>
    </w:p>
    <w:p w14:paraId="1D3EB20D" w14:textId="77777777" w:rsidR="00761E69" w:rsidRPr="001E2783" w:rsidRDefault="00761E69" w:rsidP="00694B76">
      <w:pPr>
        <w:pStyle w:val="ListBullet"/>
        <w:spacing w:after="240"/>
        <w:rPr>
          <w:rFonts w:cs="Arial"/>
        </w:rPr>
      </w:pPr>
      <w:r w:rsidRPr="001E2783">
        <w:rPr>
          <w:rFonts w:cs="Arial"/>
        </w:rPr>
        <w:t xml:space="preserve">the number of complaints about unsolicited communications within targeted priority areas reduces. </w:t>
      </w:r>
    </w:p>
    <w:p w14:paraId="09415A51" w14:textId="77777777" w:rsidR="00761E69" w:rsidRPr="001E2783" w:rsidRDefault="00694B76" w:rsidP="00761E69">
      <w:pPr>
        <w:rPr>
          <w:rFonts w:cs="Arial"/>
        </w:rPr>
      </w:pPr>
      <w:r w:rsidRPr="001E2783">
        <w:rPr>
          <w:rFonts w:cs="Arial"/>
        </w:rPr>
        <w:t>In 2013–14, 92</w:t>
      </w:r>
      <w:r w:rsidR="005E4C73" w:rsidRPr="001E2783">
        <w:rPr>
          <w:rFonts w:cs="Arial"/>
        </w:rPr>
        <w:t> </w:t>
      </w:r>
      <w:r w:rsidR="00761E69" w:rsidRPr="001E2783">
        <w:rPr>
          <w:rFonts w:cs="Arial"/>
        </w:rPr>
        <w:t xml:space="preserve">per cent of businesses contacted by the ACMA required only a single advisory or warning letter to address compliance issues. </w:t>
      </w:r>
    </w:p>
    <w:p w14:paraId="2B3294BE" w14:textId="77777777" w:rsidR="00761E69" w:rsidRPr="001E2783" w:rsidRDefault="00761E69" w:rsidP="00761E69">
      <w:pPr>
        <w:pStyle w:val="bodySUBSUBheaderh5"/>
        <w:rPr>
          <w:rFonts w:cs="Arial"/>
          <w:i w:val="0"/>
          <w:szCs w:val="20"/>
          <w:highlight w:val="yellow"/>
        </w:rPr>
      </w:pPr>
    </w:p>
    <w:p w14:paraId="4E810328" w14:textId="77777777" w:rsidR="00694B76" w:rsidRPr="001E2783" w:rsidRDefault="002629DC" w:rsidP="005A1C52">
      <w:pPr>
        <w:pStyle w:val="bodySUBSUBheaderh5"/>
        <w:rPr>
          <w:rFonts w:cs="Arial"/>
          <w:i w:val="0"/>
        </w:rPr>
      </w:pPr>
      <w:r w:rsidRPr="001E2783">
        <w:rPr>
          <w:rFonts w:cs="Arial"/>
          <w:i w:val="0"/>
        </w:rPr>
        <w:t xml:space="preserve">During </w:t>
      </w:r>
      <w:r w:rsidR="00C878DE" w:rsidRPr="001E2783">
        <w:rPr>
          <w:rFonts w:cs="Arial"/>
          <w:i w:val="0"/>
        </w:rPr>
        <w:t>the reporting year</w:t>
      </w:r>
      <w:r w:rsidR="005A1C52" w:rsidRPr="001E2783">
        <w:rPr>
          <w:rFonts w:cs="Arial"/>
          <w:i w:val="0"/>
        </w:rPr>
        <w:t>, the ACMA saw an increase in the number of complaints received about the PC Virus scam and the introduction of a variant scam relying on Telstra’s brand to deceive the public.</w:t>
      </w:r>
      <w:r w:rsidR="00694B76" w:rsidRPr="001E2783">
        <w:rPr>
          <w:rFonts w:cs="Arial"/>
          <w:i w:val="0"/>
        </w:rPr>
        <w:t xml:space="preserve"> The ACMA previously targeted these calls in 2012 due to the high number of consumers on the Do Not Call Register complaining about receiving them. At that time, the ACMA partnered successfully with other overseas regulators</w:t>
      </w:r>
      <w:r w:rsidR="00C878DE" w:rsidRPr="001E2783">
        <w:rPr>
          <w:rFonts w:cs="Arial"/>
          <w:i w:val="0"/>
        </w:rPr>
        <w:t>,</w:t>
      </w:r>
      <w:r w:rsidR="00694B76" w:rsidRPr="001E2783">
        <w:rPr>
          <w:rFonts w:cs="Arial"/>
          <w:i w:val="0"/>
        </w:rPr>
        <w:t xml:space="preserve"> and joint action saw complaints about </w:t>
      </w:r>
      <w:r w:rsidR="005E4C73" w:rsidRPr="001E2783">
        <w:rPr>
          <w:rFonts w:cs="Arial"/>
          <w:i w:val="0"/>
        </w:rPr>
        <w:t>these calls fall from 50 </w:t>
      </w:r>
      <w:r w:rsidR="00694B76" w:rsidRPr="001E2783">
        <w:rPr>
          <w:rFonts w:cs="Arial"/>
          <w:i w:val="0"/>
        </w:rPr>
        <w:t>per cent of all Do Not Call-related complaints r</w:t>
      </w:r>
      <w:r w:rsidR="005E4C73" w:rsidRPr="001E2783">
        <w:rPr>
          <w:rFonts w:cs="Arial"/>
          <w:i w:val="0"/>
        </w:rPr>
        <w:t>eceived by the ACMA to about 15 </w:t>
      </w:r>
      <w:r w:rsidR="00694B76" w:rsidRPr="001E2783">
        <w:rPr>
          <w:rFonts w:cs="Arial"/>
          <w:i w:val="0"/>
        </w:rPr>
        <w:t xml:space="preserve">per cent. </w:t>
      </w:r>
    </w:p>
    <w:p w14:paraId="4662EFF8" w14:textId="77777777" w:rsidR="00694B76" w:rsidRPr="001E2783" w:rsidRDefault="00694B76" w:rsidP="005A1C52">
      <w:pPr>
        <w:pStyle w:val="bodySUBSUBheaderh5"/>
        <w:rPr>
          <w:rFonts w:cs="Arial"/>
          <w:i w:val="0"/>
        </w:rPr>
      </w:pPr>
    </w:p>
    <w:p w14:paraId="5C9CE026" w14:textId="77777777" w:rsidR="00C878DE" w:rsidRPr="001E2783" w:rsidRDefault="00694B76" w:rsidP="00C878DE">
      <w:pPr>
        <w:pStyle w:val="bodySUBSUBheaderh5"/>
        <w:rPr>
          <w:rFonts w:cs="Arial"/>
          <w:i w:val="0"/>
        </w:rPr>
      </w:pPr>
      <w:r w:rsidRPr="001E2783">
        <w:rPr>
          <w:rFonts w:cs="Arial"/>
          <w:i w:val="0"/>
        </w:rPr>
        <w:t>In early 2014, when it noticed reports about these calls from consumers increasing, the ACMA</w:t>
      </w:r>
      <w:r w:rsidR="00C878DE" w:rsidRPr="001E2783">
        <w:rPr>
          <w:rFonts w:cs="Arial"/>
          <w:i w:val="0"/>
        </w:rPr>
        <w:t xml:space="preserve"> once again</w:t>
      </w:r>
      <w:r w:rsidRPr="001E2783">
        <w:rPr>
          <w:rFonts w:cs="Arial"/>
          <w:i w:val="0"/>
        </w:rPr>
        <w:t xml:space="preserve"> </w:t>
      </w:r>
      <w:r w:rsidR="00C878DE" w:rsidRPr="001E2783">
        <w:rPr>
          <w:rFonts w:cs="Arial"/>
          <w:i w:val="0"/>
        </w:rPr>
        <w:t>targeted this scam by communicating with Telstra and quickly publishing consumer warnings to alert the public to the new variation. This action first stemmed the rise and then decreased the number of complaints receive</w:t>
      </w:r>
      <w:r w:rsidR="005E4C73" w:rsidRPr="001E2783">
        <w:rPr>
          <w:rFonts w:cs="Arial"/>
          <w:i w:val="0"/>
        </w:rPr>
        <w:t>d about these calls to under 14 </w:t>
      </w:r>
      <w:r w:rsidR="00C878DE" w:rsidRPr="001E2783">
        <w:rPr>
          <w:rFonts w:cs="Arial"/>
          <w:i w:val="0"/>
        </w:rPr>
        <w:t>per cent by the end of the financial year.</w:t>
      </w:r>
    </w:p>
    <w:p w14:paraId="094FF098" w14:textId="77777777" w:rsidR="005A1C52" w:rsidRPr="001E2783" w:rsidRDefault="005A1C52" w:rsidP="005A1C52">
      <w:pPr>
        <w:pStyle w:val="bodySUBSUBheaderh5"/>
        <w:rPr>
          <w:rFonts w:cs="Arial"/>
          <w:i w:val="0"/>
        </w:rPr>
      </w:pPr>
    </w:p>
    <w:p w14:paraId="5ACDA214" w14:textId="77777777" w:rsidR="005A1C52" w:rsidRPr="001E2783" w:rsidRDefault="005A1C52" w:rsidP="005A1C52">
      <w:pPr>
        <w:pStyle w:val="bodySUBSUBheaderh5"/>
        <w:rPr>
          <w:rFonts w:cs="Arial"/>
        </w:rPr>
      </w:pPr>
      <w:r w:rsidRPr="001E2783">
        <w:rPr>
          <w:rFonts w:cs="Arial"/>
        </w:rPr>
        <w:t>Investigations and enforcement</w:t>
      </w:r>
    </w:p>
    <w:p w14:paraId="1DCFAF36" w14:textId="77777777" w:rsidR="005A1C52" w:rsidRPr="001E2783" w:rsidRDefault="005A1C52" w:rsidP="005A1C52">
      <w:pPr>
        <w:spacing w:after="80"/>
        <w:rPr>
          <w:rFonts w:cs="Arial"/>
        </w:rPr>
      </w:pPr>
      <w:r w:rsidRPr="001E2783">
        <w:rPr>
          <w:rFonts w:cs="Arial"/>
        </w:rPr>
        <w:t xml:space="preserve">During 2013–14, the ACMA finalised </w:t>
      </w:r>
      <w:r w:rsidR="00D528D7" w:rsidRPr="001E2783">
        <w:rPr>
          <w:rFonts w:cs="Arial"/>
        </w:rPr>
        <w:t>six</w:t>
      </w:r>
      <w:r w:rsidRPr="001E2783">
        <w:rPr>
          <w:rFonts w:cs="Arial"/>
        </w:rPr>
        <w:t xml:space="preserve"> telemarketing-related investigations under Part</w:t>
      </w:r>
      <w:r w:rsidR="005E4C73" w:rsidRPr="001E2783">
        <w:rPr>
          <w:rFonts w:cs="Arial"/>
        </w:rPr>
        <w:t> </w:t>
      </w:r>
      <w:r w:rsidRPr="001E2783">
        <w:rPr>
          <w:rFonts w:cs="Arial"/>
        </w:rPr>
        <w:t>26 of the Telecommunications Act. As a result of these investigations:</w:t>
      </w:r>
    </w:p>
    <w:p w14:paraId="43816B35" w14:textId="77777777" w:rsidR="00D528D7" w:rsidRPr="001E2783" w:rsidRDefault="00D528D7" w:rsidP="00D528D7">
      <w:pPr>
        <w:pStyle w:val="ListBullet"/>
        <w:tabs>
          <w:tab w:val="clear" w:pos="295"/>
        </w:tabs>
        <w:ind w:left="284" w:hanging="284"/>
        <w:rPr>
          <w:rFonts w:cs="Arial"/>
        </w:rPr>
      </w:pPr>
      <w:r w:rsidRPr="001E2783">
        <w:rPr>
          <w:rFonts w:cs="Arial"/>
          <w:lang w:val="en-US"/>
        </w:rPr>
        <w:t>the ACMA issued two formal warnings for contraventions of the DNCR Act to Telco Blue Pty Ltd and Telco Service Holdings Pty Ltd</w:t>
      </w:r>
    </w:p>
    <w:p w14:paraId="56FA99C2" w14:textId="73286081" w:rsidR="00D528D7" w:rsidRPr="001E2783" w:rsidRDefault="00D528D7" w:rsidP="00D528D7">
      <w:pPr>
        <w:pStyle w:val="ListBullet"/>
        <w:tabs>
          <w:tab w:val="clear" w:pos="295"/>
        </w:tabs>
        <w:ind w:left="284" w:hanging="284"/>
        <w:rPr>
          <w:rFonts w:cs="Arial"/>
          <w:lang w:val="en-US"/>
        </w:rPr>
      </w:pPr>
      <w:r w:rsidRPr="001E2783">
        <w:rPr>
          <w:rFonts w:cs="Arial"/>
          <w:lang w:val="en-US"/>
        </w:rPr>
        <w:t xml:space="preserve">the ACMA accepted two </w:t>
      </w:r>
      <w:r w:rsidR="005A1C52" w:rsidRPr="001E2783">
        <w:rPr>
          <w:rFonts w:cs="Arial"/>
          <w:lang w:val="en-US"/>
        </w:rPr>
        <w:t xml:space="preserve">enforceable undertakings </w:t>
      </w:r>
      <w:r w:rsidRPr="001E2783">
        <w:rPr>
          <w:rFonts w:cs="Arial"/>
          <w:lang w:val="en-US"/>
        </w:rPr>
        <w:t xml:space="preserve">from Teleus Pty Ltd and Flexi Marketing </w:t>
      </w:r>
      <w:r w:rsidR="00621694" w:rsidRPr="001E2783">
        <w:rPr>
          <w:rFonts w:cs="Arial"/>
          <w:lang w:val="en-US"/>
        </w:rPr>
        <w:t xml:space="preserve">Solutions </w:t>
      </w:r>
      <w:r w:rsidRPr="001E2783">
        <w:rPr>
          <w:rFonts w:cs="Arial"/>
          <w:lang w:val="en-US"/>
        </w:rPr>
        <w:t xml:space="preserve">Pty Ltd </w:t>
      </w:r>
    </w:p>
    <w:p w14:paraId="66E98895" w14:textId="77777777" w:rsidR="005A1C52" w:rsidRPr="001E2783" w:rsidRDefault="00D528D7" w:rsidP="00D528D7">
      <w:pPr>
        <w:pStyle w:val="ListBullet"/>
        <w:tabs>
          <w:tab w:val="clear" w:pos="295"/>
        </w:tabs>
        <w:spacing w:after="240"/>
        <w:ind w:left="284" w:hanging="284"/>
        <w:rPr>
          <w:rFonts w:cs="Arial"/>
          <w:lang w:val="en-US"/>
        </w:rPr>
      </w:pPr>
      <w:r w:rsidRPr="001E2783">
        <w:rPr>
          <w:rFonts w:cs="Arial"/>
          <w:lang w:val="en-US"/>
        </w:rPr>
        <w:t>one infringement notice was paid by Zone Telecom Pty Ltd</w:t>
      </w:r>
      <w:r w:rsidR="002629DC" w:rsidRPr="001E2783">
        <w:rPr>
          <w:rFonts w:cs="Arial"/>
          <w:lang w:val="en-US"/>
        </w:rPr>
        <w:t>.</w:t>
      </w:r>
    </w:p>
    <w:p w14:paraId="2829A58E" w14:textId="77777777" w:rsidR="005A1C52" w:rsidRPr="001E2783" w:rsidRDefault="005A1C52" w:rsidP="005A1C52">
      <w:pPr>
        <w:pStyle w:val="BodysubheaderH4"/>
        <w:rPr>
          <w:rFonts w:cs="Arial"/>
        </w:rPr>
      </w:pPr>
      <w:bookmarkStart w:id="183" w:name="_Toc337727593"/>
      <w:r w:rsidRPr="001E2783">
        <w:rPr>
          <w:rFonts w:cs="Arial"/>
        </w:rPr>
        <w:t>Spam and e-marketing</w:t>
      </w:r>
      <w:bookmarkEnd w:id="183"/>
    </w:p>
    <w:p w14:paraId="60C101DD" w14:textId="77777777" w:rsidR="00D528D7" w:rsidRPr="001E2783" w:rsidRDefault="00D528D7" w:rsidP="00D528D7">
      <w:pPr>
        <w:pStyle w:val="bodySUBSUBheaderh5"/>
        <w:rPr>
          <w:rFonts w:cs="Arial"/>
          <w:i w:val="0"/>
        </w:rPr>
      </w:pPr>
      <w:r w:rsidRPr="001E2783">
        <w:rPr>
          <w:rFonts w:cs="Arial"/>
          <w:i w:val="0"/>
        </w:rPr>
        <w:t>The ACMA administers the</w:t>
      </w:r>
      <w:r w:rsidRPr="001E2783">
        <w:rPr>
          <w:rFonts w:cs="Arial"/>
        </w:rPr>
        <w:t xml:space="preserve"> Spam Act 2003</w:t>
      </w:r>
      <w:r w:rsidRPr="001E2783">
        <w:rPr>
          <w:rFonts w:cs="Arial"/>
          <w:i w:val="0"/>
        </w:rPr>
        <w:t>,</w:t>
      </w:r>
      <w:r w:rsidRPr="001E2783">
        <w:rPr>
          <w:rFonts w:cs="Arial"/>
        </w:rPr>
        <w:t xml:space="preserve"> </w:t>
      </w:r>
      <w:r w:rsidRPr="001E2783">
        <w:rPr>
          <w:rFonts w:cs="Arial"/>
          <w:i w:val="0"/>
        </w:rPr>
        <w:t xml:space="preserve">which sets out the rules for sending commercial electronic messages. </w:t>
      </w:r>
    </w:p>
    <w:p w14:paraId="67716DD9" w14:textId="77777777" w:rsidR="00D528D7" w:rsidRPr="001E2783" w:rsidRDefault="00D528D7" w:rsidP="00D528D7">
      <w:pPr>
        <w:rPr>
          <w:rFonts w:cs="Arial"/>
        </w:rPr>
      </w:pPr>
    </w:p>
    <w:p w14:paraId="059013A0" w14:textId="77777777" w:rsidR="005A1C52" w:rsidRPr="001E2783" w:rsidRDefault="005A1C52" w:rsidP="00946A70">
      <w:pPr>
        <w:pStyle w:val="bodySUBSUBheaderh5"/>
        <w:rPr>
          <w:rFonts w:cs="Arial"/>
        </w:rPr>
      </w:pPr>
      <w:r w:rsidRPr="001E2783">
        <w:rPr>
          <w:rFonts w:cs="Arial"/>
        </w:rPr>
        <w:t>Complaints, reports and enquiries</w:t>
      </w:r>
    </w:p>
    <w:p w14:paraId="034D82EC" w14:textId="77777777" w:rsidR="005A1C52" w:rsidRPr="001E2783" w:rsidRDefault="005A1C52" w:rsidP="005A1C52">
      <w:pPr>
        <w:rPr>
          <w:rFonts w:cs="Arial"/>
        </w:rPr>
      </w:pPr>
      <w:r w:rsidRPr="001E2783">
        <w:rPr>
          <w:rFonts w:cs="Arial"/>
        </w:rPr>
        <w:t xml:space="preserve">In 2013–14, the ACMA received a total of </w:t>
      </w:r>
      <w:r w:rsidR="00D528D7" w:rsidRPr="001E2783">
        <w:rPr>
          <w:rFonts w:cs="Arial"/>
        </w:rPr>
        <w:t>349,319</w:t>
      </w:r>
      <w:r w:rsidRPr="001E2783">
        <w:rPr>
          <w:rFonts w:cs="Arial"/>
        </w:rPr>
        <w:t xml:space="preserve"> complaints, reports and enquiries directly from members of the public about spam (see </w:t>
      </w:r>
      <w:r w:rsidR="00D528D7" w:rsidRPr="001E2783">
        <w:rPr>
          <w:rFonts w:cs="Arial"/>
        </w:rPr>
        <w:t>Table</w:t>
      </w:r>
      <w:r w:rsidR="005B1422" w:rsidRPr="001E2783">
        <w:rPr>
          <w:rFonts w:cs="Arial"/>
        </w:rPr>
        <w:t> </w:t>
      </w:r>
      <w:r w:rsidR="00B30D9A" w:rsidRPr="001E2783">
        <w:rPr>
          <w:rFonts w:cs="Arial"/>
        </w:rPr>
        <w:t>28</w:t>
      </w:r>
      <w:r w:rsidRPr="001E2783">
        <w:rPr>
          <w:rFonts w:cs="Arial"/>
        </w:rPr>
        <w:t>). Of these,</w:t>
      </w:r>
      <w:r w:rsidR="00D528D7" w:rsidRPr="001E2783">
        <w:rPr>
          <w:rFonts w:cs="Arial"/>
        </w:rPr>
        <w:t xml:space="preserve"> 338,817</w:t>
      </w:r>
      <w:r w:rsidRPr="001E2783">
        <w:rPr>
          <w:rFonts w:cs="Arial"/>
        </w:rPr>
        <w:t xml:space="preserve"> were about email spam, while </w:t>
      </w:r>
      <w:r w:rsidR="00D528D7" w:rsidRPr="001E2783">
        <w:rPr>
          <w:rFonts w:cs="Arial"/>
        </w:rPr>
        <w:t>9,162</w:t>
      </w:r>
      <w:r w:rsidRPr="001E2783">
        <w:rPr>
          <w:rFonts w:cs="Arial"/>
        </w:rPr>
        <w:t xml:space="preserve"> were about SMS or MMS.</w:t>
      </w:r>
    </w:p>
    <w:p w14:paraId="4FA44823" w14:textId="77777777" w:rsidR="005A1C52" w:rsidRPr="001E2783" w:rsidRDefault="005A1C52" w:rsidP="005A1C52">
      <w:pPr>
        <w:rPr>
          <w:rFonts w:cs="Arial"/>
        </w:rPr>
      </w:pPr>
    </w:p>
    <w:p w14:paraId="6C704D97" w14:textId="77777777" w:rsidR="005A1C52" w:rsidRPr="001E2783" w:rsidRDefault="005A1C52" w:rsidP="005A1C52">
      <w:pPr>
        <w:rPr>
          <w:rFonts w:cs="Arial"/>
        </w:rPr>
      </w:pPr>
      <w:r w:rsidRPr="001E2783">
        <w:rPr>
          <w:rFonts w:cs="Arial"/>
        </w:rPr>
        <w:t>In addition to complaints, reports and enquiries received directly from members of the public, the ACMA also received nearly</w:t>
      </w:r>
      <w:r w:rsidR="00D528D7" w:rsidRPr="001E2783">
        <w:rPr>
          <w:rFonts w:cs="Arial"/>
        </w:rPr>
        <w:t xml:space="preserve"> 37 </w:t>
      </w:r>
      <w:r w:rsidRPr="001E2783">
        <w:rPr>
          <w:rFonts w:cs="Arial"/>
        </w:rPr>
        <w:t>million other reports of spam in 2013–14 via indirect reports. The ACMA uses sophisticated software tools to analyse this volume of spam message</w:t>
      </w:r>
      <w:r w:rsidR="00D528D7" w:rsidRPr="001E2783">
        <w:rPr>
          <w:rFonts w:cs="Arial"/>
        </w:rPr>
        <w:t>s</w:t>
      </w:r>
      <w:r w:rsidRPr="001E2783">
        <w:rPr>
          <w:rFonts w:cs="Arial"/>
        </w:rPr>
        <w:t xml:space="preserve"> in order to identify spam that is likely having the most impact on Australians, and to identify trends and the incidence of malware within spam messages. This intelligence helps the ACMA to prioritise and target its interventions.</w:t>
      </w:r>
    </w:p>
    <w:p w14:paraId="2B5D99C2" w14:textId="77777777" w:rsidR="00D528D7" w:rsidRPr="001E2783" w:rsidRDefault="00D528D7" w:rsidP="005A1C5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0029CDF7" w14:textId="77777777" w:rsidTr="00D528D7">
        <w:trPr>
          <w:trHeight w:val="570"/>
        </w:trPr>
        <w:tc>
          <w:tcPr>
            <w:tcW w:w="9645" w:type="dxa"/>
            <w:tcBorders>
              <w:top w:val="single" w:sz="2" w:space="0" w:color="505050"/>
            </w:tcBorders>
            <w:shd w:val="clear" w:color="auto" w:fill="auto"/>
            <w:vAlign w:val="center"/>
          </w:tcPr>
          <w:p w14:paraId="40E083B7" w14:textId="7F2B42ED" w:rsidR="00D528D7" w:rsidRPr="001E2783" w:rsidRDefault="00D528D7" w:rsidP="008E049D">
            <w:pPr>
              <w:pStyle w:val="Caption"/>
              <w:keepNext/>
              <w:keepLines/>
              <w:rPr>
                <w:rFonts w:ascii="Arial" w:hAnsi="Arial" w:cs="Arial"/>
                <w:color w:val="auto"/>
              </w:rPr>
            </w:pPr>
            <w:r w:rsidRPr="00D3485F">
              <w:rPr>
                <w:rFonts w:ascii="Arial" w:hAnsi="Arial" w:cs="Arial"/>
              </w:rPr>
              <w:t xml:space="preserve">Table </w:t>
            </w:r>
            <w:r w:rsidR="00B30D9A" w:rsidRPr="00D3485F">
              <w:rPr>
                <w:rFonts w:ascii="Arial" w:hAnsi="Arial" w:cs="Arial"/>
              </w:rPr>
              <w:t>28</w:t>
            </w:r>
            <w:r w:rsidRPr="00D3485F">
              <w:rPr>
                <w:rFonts w:ascii="Arial" w:hAnsi="Arial" w:cs="Arial"/>
              </w:rPr>
              <w:t>: Summary of spam compliance and enforcement activities</w:t>
            </w:r>
            <w:r w:rsidR="00693ADF" w:rsidRPr="00D3485F">
              <w:rPr>
                <w:rFonts w:ascii="Arial" w:hAnsi="Arial" w:cs="Arial"/>
              </w:rPr>
              <w:t>, 2012–13 and 2013–14</w:t>
            </w:r>
          </w:p>
        </w:tc>
      </w:tr>
      <w:tr w:rsidR="001E2783" w:rsidRPr="001E2783" w14:paraId="36660BF3" w14:textId="77777777" w:rsidTr="008E049D">
        <w:trPr>
          <w:trHeight w:val="721"/>
        </w:trPr>
        <w:tc>
          <w:tcPr>
            <w:tcW w:w="9645" w:type="dxa"/>
            <w:shd w:val="clear" w:color="auto" w:fill="auto"/>
            <w:tcMar>
              <w:left w:w="28" w:type="dxa"/>
            </w:tcMar>
          </w:tcPr>
          <w:tbl>
            <w:tblPr>
              <w:tblW w:w="95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45"/>
              <w:gridCol w:w="2481"/>
              <w:gridCol w:w="2481"/>
            </w:tblGrid>
            <w:tr w:rsidR="001E2783" w:rsidRPr="001E2783" w14:paraId="51296D2B" w14:textId="77777777" w:rsidTr="0018323E">
              <w:trPr>
                <w:trHeight w:val="287"/>
              </w:trPr>
              <w:tc>
                <w:tcPr>
                  <w:tcW w:w="4545" w:type="dxa"/>
                  <w:tcBorders>
                    <w:top w:val="single" w:sz="4" w:space="0" w:color="auto"/>
                  </w:tcBorders>
                  <w:shd w:val="clear" w:color="auto" w:fill="404040" w:themeFill="text1" w:themeFillTint="BF"/>
                  <w:tcMar>
                    <w:top w:w="57" w:type="dxa"/>
                    <w:left w:w="57" w:type="dxa"/>
                    <w:bottom w:w="57" w:type="dxa"/>
                    <w:right w:w="57" w:type="dxa"/>
                  </w:tcMar>
                  <w:vAlign w:val="center"/>
                </w:tcPr>
                <w:p w14:paraId="5ECF1EF9" w14:textId="77777777" w:rsidR="00B30D9A" w:rsidRPr="000544EA" w:rsidRDefault="00B30D9A" w:rsidP="005B1422">
                  <w:pPr>
                    <w:pStyle w:val="TableHeading"/>
                    <w:rPr>
                      <w:rFonts w:ascii="Arial" w:hAnsi="Arial" w:cs="Arial"/>
                      <w:color w:val="FFFFFF" w:themeColor="background1"/>
                    </w:rPr>
                  </w:pPr>
                  <w:r w:rsidRPr="000544EA">
                    <w:rPr>
                      <w:rFonts w:ascii="Arial" w:hAnsi="Arial" w:cs="Arial"/>
                      <w:color w:val="FFFFFF" w:themeColor="background1"/>
                    </w:rPr>
                    <w:t>Activity</w:t>
                  </w:r>
                </w:p>
              </w:tc>
              <w:tc>
                <w:tcPr>
                  <w:tcW w:w="2481" w:type="dxa"/>
                  <w:tcBorders>
                    <w:top w:val="single" w:sz="4" w:space="0" w:color="auto"/>
                  </w:tcBorders>
                  <w:shd w:val="clear" w:color="auto" w:fill="404040" w:themeFill="text1" w:themeFillTint="BF"/>
                  <w:vAlign w:val="center"/>
                </w:tcPr>
                <w:p w14:paraId="4AE410AC" w14:textId="77777777" w:rsidR="00B30D9A" w:rsidRPr="000544EA" w:rsidRDefault="00B30D9A" w:rsidP="005B1422">
                  <w:pPr>
                    <w:pStyle w:val="TableHeading"/>
                    <w:jc w:val="right"/>
                    <w:rPr>
                      <w:rFonts w:ascii="Arial" w:hAnsi="Arial" w:cs="Arial"/>
                      <w:color w:val="FFFFFF" w:themeColor="background1"/>
                    </w:rPr>
                  </w:pPr>
                  <w:r w:rsidRPr="000544EA">
                    <w:rPr>
                      <w:rFonts w:ascii="Arial" w:hAnsi="Arial" w:cs="Arial"/>
                      <w:color w:val="FFFFFF" w:themeColor="background1"/>
                    </w:rPr>
                    <w:t>2012–13</w:t>
                  </w:r>
                </w:p>
              </w:tc>
              <w:tc>
                <w:tcPr>
                  <w:tcW w:w="2481" w:type="dxa"/>
                  <w:tcBorders>
                    <w:top w:val="single" w:sz="4" w:space="0" w:color="auto"/>
                  </w:tcBorders>
                  <w:shd w:val="clear" w:color="auto" w:fill="404040" w:themeFill="text1" w:themeFillTint="BF"/>
                  <w:vAlign w:val="center"/>
                </w:tcPr>
                <w:p w14:paraId="2A607306" w14:textId="77777777" w:rsidR="00B30D9A" w:rsidRPr="000544EA" w:rsidRDefault="00B30D9A" w:rsidP="005B1422">
                  <w:pPr>
                    <w:pStyle w:val="TableHeading"/>
                    <w:jc w:val="right"/>
                    <w:rPr>
                      <w:rFonts w:ascii="Arial" w:hAnsi="Arial" w:cs="Arial"/>
                      <w:color w:val="FFFFFF" w:themeColor="background1"/>
                    </w:rPr>
                  </w:pPr>
                  <w:r w:rsidRPr="000544EA">
                    <w:rPr>
                      <w:rFonts w:ascii="Arial" w:hAnsi="Arial" w:cs="Arial"/>
                      <w:color w:val="FFFFFF" w:themeColor="background1"/>
                    </w:rPr>
                    <w:t>2013–14</w:t>
                  </w:r>
                </w:p>
              </w:tc>
            </w:tr>
            <w:tr w:rsidR="001E2783" w:rsidRPr="001E2783" w14:paraId="04EC4E8E" w14:textId="77777777" w:rsidTr="0018323E">
              <w:trPr>
                <w:trHeight w:val="287"/>
              </w:trPr>
              <w:tc>
                <w:tcPr>
                  <w:tcW w:w="4545" w:type="dxa"/>
                  <w:tcBorders>
                    <w:top w:val="single" w:sz="4" w:space="0" w:color="auto"/>
                  </w:tcBorders>
                  <w:shd w:val="clear" w:color="auto" w:fill="F2F2F2" w:themeFill="background1" w:themeFillShade="F2"/>
                  <w:tcMar>
                    <w:top w:w="57" w:type="dxa"/>
                    <w:left w:w="57" w:type="dxa"/>
                    <w:bottom w:w="57" w:type="dxa"/>
                    <w:right w:w="57" w:type="dxa"/>
                  </w:tcMar>
                  <w:vAlign w:val="center"/>
                </w:tcPr>
                <w:p w14:paraId="3D4DE91B" w14:textId="77777777" w:rsidR="00B30D9A" w:rsidRPr="001E2783" w:rsidRDefault="00B30D9A" w:rsidP="00D528D7">
                  <w:pPr>
                    <w:pStyle w:val="TableTextLeft"/>
                    <w:keepNext/>
                    <w:spacing w:before="0" w:after="0"/>
                    <w:rPr>
                      <w:rFonts w:cs="Arial"/>
                      <w:b/>
                      <w:sz w:val="20"/>
                    </w:rPr>
                  </w:pPr>
                  <w:r w:rsidRPr="001E2783">
                    <w:rPr>
                      <w:rFonts w:cs="Arial"/>
                      <w:b/>
                      <w:sz w:val="20"/>
                    </w:rPr>
                    <w:t>Consumer complaints and reports</w:t>
                  </w:r>
                </w:p>
              </w:tc>
              <w:tc>
                <w:tcPr>
                  <w:tcW w:w="2481" w:type="dxa"/>
                  <w:tcBorders>
                    <w:top w:val="single" w:sz="4" w:space="0" w:color="auto"/>
                  </w:tcBorders>
                  <w:shd w:val="clear" w:color="auto" w:fill="F2F2F2" w:themeFill="background1" w:themeFillShade="F2"/>
                  <w:vAlign w:val="center"/>
                </w:tcPr>
                <w:p w14:paraId="70F48C85" w14:textId="77777777" w:rsidR="00B30D9A" w:rsidRPr="001E2783" w:rsidRDefault="00B30D9A" w:rsidP="00D528D7">
                  <w:pPr>
                    <w:pStyle w:val="TableTextLeft"/>
                    <w:keepNext/>
                    <w:spacing w:before="0" w:after="0"/>
                    <w:jc w:val="right"/>
                    <w:rPr>
                      <w:rFonts w:cs="Arial"/>
                      <w:b/>
                      <w:sz w:val="20"/>
                    </w:rPr>
                  </w:pPr>
                  <w:r w:rsidRPr="001E2783">
                    <w:rPr>
                      <w:rFonts w:cs="Arial"/>
                      <w:b/>
                      <w:sz w:val="20"/>
                    </w:rPr>
                    <w:t>410,999</w:t>
                  </w:r>
                </w:p>
              </w:tc>
              <w:tc>
                <w:tcPr>
                  <w:tcW w:w="2481" w:type="dxa"/>
                  <w:tcBorders>
                    <w:top w:val="single" w:sz="4" w:space="0" w:color="auto"/>
                  </w:tcBorders>
                  <w:shd w:val="clear" w:color="auto" w:fill="F2F2F2" w:themeFill="background1" w:themeFillShade="F2"/>
                  <w:vAlign w:val="center"/>
                </w:tcPr>
                <w:p w14:paraId="70BFB0BE" w14:textId="77777777" w:rsidR="00B30D9A" w:rsidRPr="001E2783" w:rsidRDefault="00B30D9A" w:rsidP="00B30D9A">
                  <w:pPr>
                    <w:pStyle w:val="TableTextLeft"/>
                    <w:keepNext/>
                    <w:spacing w:before="0" w:after="0"/>
                    <w:jc w:val="right"/>
                    <w:rPr>
                      <w:rFonts w:cs="Arial"/>
                      <w:b/>
                      <w:sz w:val="20"/>
                    </w:rPr>
                  </w:pPr>
                  <w:r w:rsidRPr="001E2783">
                    <w:rPr>
                      <w:rFonts w:cs="Arial"/>
                      <w:b/>
                      <w:sz w:val="20"/>
                    </w:rPr>
                    <w:t>347,979</w:t>
                  </w:r>
                </w:p>
              </w:tc>
            </w:tr>
            <w:tr w:rsidR="001E2783" w:rsidRPr="001E2783" w14:paraId="43931DA2" w14:textId="77777777" w:rsidTr="0018323E">
              <w:trPr>
                <w:trHeight w:val="277"/>
              </w:trPr>
              <w:tc>
                <w:tcPr>
                  <w:tcW w:w="4545" w:type="dxa"/>
                  <w:shd w:val="clear" w:color="auto" w:fill="auto"/>
                  <w:tcMar>
                    <w:top w:w="57" w:type="dxa"/>
                    <w:left w:w="57" w:type="dxa"/>
                    <w:bottom w:w="57" w:type="dxa"/>
                    <w:right w:w="57" w:type="dxa"/>
                  </w:tcMar>
                  <w:vAlign w:val="center"/>
                </w:tcPr>
                <w:p w14:paraId="788E55DB" w14:textId="77777777" w:rsidR="00B30D9A" w:rsidRPr="001E2783" w:rsidRDefault="00B30D9A" w:rsidP="005E2307">
                  <w:pPr>
                    <w:pStyle w:val="TableTextLeft"/>
                    <w:keepNext/>
                    <w:spacing w:before="0" w:after="0"/>
                    <w:rPr>
                      <w:rFonts w:cs="Arial"/>
                      <w:sz w:val="20"/>
                    </w:rPr>
                  </w:pPr>
                  <w:r w:rsidRPr="001E2783">
                    <w:rPr>
                      <w:rFonts w:cs="Arial"/>
                      <w:sz w:val="20"/>
                    </w:rPr>
                    <w:tab/>
                    <w:t xml:space="preserve">Email spam </w:t>
                  </w:r>
                </w:p>
              </w:tc>
              <w:tc>
                <w:tcPr>
                  <w:tcW w:w="2481" w:type="dxa"/>
                  <w:vAlign w:val="center"/>
                </w:tcPr>
                <w:p w14:paraId="07809C36" w14:textId="77777777" w:rsidR="00B30D9A" w:rsidRPr="001E2783" w:rsidRDefault="00B30D9A" w:rsidP="00D528D7">
                  <w:pPr>
                    <w:pStyle w:val="TableTextLeft"/>
                    <w:keepNext/>
                    <w:spacing w:before="0" w:after="0"/>
                    <w:jc w:val="right"/>
                    <w:rPr>
                      <w:rFonts w:cs="Arial"/>
                      <w:sz w:val="20"/>
                    </w:rPr>
                  </w:pPr>
                  <w:r w:rsidRPr="001E2783">
                    <w:rPr>
                      <w:rFonts w:cs="Arial"/>
                      <w:sz w:val="20"/>
                    </w:rPr>
                    <w:t>396,892</w:t>
                  </w:r>
                </w:p>
              </w:tc>
              <w:tc>
                <w:tcPr>
                  <w:tcW w:w="2481" w:type="dxa"/>
                  <w:vAlign w:val="center"/>
                </w:tcPr>
                <w:p w14:paraId="6BF57B96" w14:textId="77777777" w:rsidR="00B30D9A" w:rsidRPr="001E2783" w:rsidRDefault="00B30D9A" w:rsidP="00B30D9A">
                  <w:pPr>
                    <w:pStyle w:val="TableTextLeft"/>
                    <w:keepNext/>
                    <w:spacing w:before="0" w:after="0"/>
                    <w:jc w:val="right"/>
                    <w:rPr>
                      <w:rFonts w:cs="Arial"/>
                      <w:sz w:val="20"/>
                    </w:rPr>
                  </w:pPr>
                  <w:r w:rsidRPr="001E2783">
                    <w:rPr>
                      <w:rFonts w:cs="Arial"/>
                      <w:sz w:val="20"/>
                    </w:rPr>
                    <w:t>338,817</w:t>
                  </w:r>
                </w:p>
              </w:tc>
            </w:tr>
            <w:tr w:rsidR="001E2783" w:rsidRPr="001E2783" w14:paraId="1BF6E4C2" w14:textId="77777777" w:rsidTr="0018323E">
              <w:trPr>
                <w:trHeight w:val="267"/>
              </w:trPr>
              <w:tc>
                <w:tcPr>
                  <w:tcW w:w="4545" w:type="dxa"/>
                  <w:shd w:val="clear" w:color="auto" w:fill="auto"/>
                  <w:tcMar>
                    <w:top w:w="57" w:type="dxa"/>
                    <w:left w:w="57" w:type="dxa"/>
                    <w:bottom w:w="57" w:type="dxa"/>
                    <w:right w:w="57" w:type="dxa"/>
                  </w:tcMar>
                  <w:vAlign w:val="center"/>
                </w:tcPr>
                <w:p w14:paraId="7DE4984E" w14:textId="77777777" w:rsidR="00B30D9A" w:rsidRPr="001E2783" w:rsidRDefault="00B30D9A" w:rsidP="005E2307">
                  <w:pPr>
                    <w:pStyle w:val="TableTextLeft"/>
                    <w:keepNext/>
                    <w:spacing w:before="0" w:after="0"/>
                    <w:rPr>
                      <w:rFonts w:cs="Arial"/>
                      <w:sz w:val="20"/>
                    </w:rPr>
                  </w:pPr>
                  <w:r w:rsidRPr="001E2783">
                    <w:rPr>
                      <w:rFonts w:cs="Arial"/>
                      <w:sz w:val="20"/>
                    </w:rPr>
                    <w:tab/>
                    <w:t>SMS spam</w:t>
                  </w:r>
                </w:p>
              </w:tc>
              <w:tc>
                <w:tcPr>
                  <w:tcW w:w="2481" w:type="dxa"/>
                  <w:vAlign w:val="center"/>
                </w:tcPr>
                <w:p w14:paraId="45B3DAFA" w14:textId="77777777" w:rsidR="00B30D9A" w:rsidRPr="001E2783" w:rsidRDefault="00B30D9A" w:rsidP="00D528D7">
                  <w:pPr>
                    <w:pStyle w:val="TableTextLeft"/>
                    <w:keepNext/>
                    <w:spacing w:before="0" w:after="0"/>
                    <w:jc w:val="right"/>
                    <w:rPr>
                      <w:rFonts w:cs="Arial"/>
                      <w:sz w:val="20"/>
                    </w:rPr>
                  </w:pPr>
                  <w:r w:rsidRPr="001E2783">
                    <w:rPr>
                      <w:rFonts w:cs="Arial"/>
                      <w:sz w:val="20"/>
                    </w:rPr>
                    <w:t>14,107</w:t>
                  </w:r>
                </w:p>
              </w:tc>
              <w:tc>
                <w:tcPr>
                  <w:tcW w:w="2481" w:type="dxa"/>
                  <w:vAlign w:val="center"/>
                </w:tcPr>
                <w:p w14:paraId="1FE47F5D" w14:textId="77777777" w:rsidR="00B30D9A" w:rsidRPr="001E2783" w:rsidRDefault="00B30D9A" w:rsidP="00B30D9A">
                  <w:pPr>
                    <w:pStyle w:val="TableTextLeft"/>
                    <w:keepNext/>
                    <w:spacing w:before="0" w:after="0"/>
                    <w:jc w:val="right"/>
                    <w:rPr>
                      <w:rFonts w:cs="Arial"/>
                      <w:sz w:val="20"/>
                    </w:rPr>
                  </w:pPr>
                  <w:r w:rsidRPr="001E2783">
                    <w:rPr>
                      <w:rFonts w:cs="Arial"/>
                      <w:sz w:val="20"/>
                    </w:rPr>
                    <w:t>9,162</w:t>
                  </w:r>
                </w:p>
              </w:tc>
            </w:tr>
            <w:tr w:rsidR="001E2783" w:rsidRPr="001E2783" w14:paraId="7A278793" w14:textId="77777777" w:rsidTr="0018323E">
              <w:trPr>
                <w:trHeight w:val="166"/>
              </w:trPr>
              <w:tc>
                <w:tcPr>
                  <w:tcW w:w="4545" w:type="dxa"/>
                  <w:shd w:val="clear" w:color="auto" w:fill="F2F2F2" w:themeFill="background1" w:themeFillShade="F2"/>
                  <w:tcMar>
                    <w:top w:w="57" w:type="dxa"/>
                    <w:left w:w="57" w:type="dxa"/>
                    <w:bottom w:w="57" w:type="dxa"/>
                    <w:right w:w="57" w:type="dxa"/>
                  </w:tcMar>
                  <w:vAlign w:val="center"/>
                </w:tcPr>
                <w:p w14:paraId="69B2B560" w14:textId="77777777" w:rsidR="00B30D9A" w:rsidRPr="001E2783" w:rsidRDefault="00B30D9A" w:rsidP="005E2307">
                  <w:pPr>
                    <w:pStyle w:val="TableTextLeft"/>
                    <w:keepNext/>
                    <w:spacing w:before="0" w:after="0"/>
                    <w:rPr>
                      <w:rFonts w:cs="Arial"/>
                      <w:b/>
                      <w:sz w:val="20"/>
                    </w:rPr>
                  </w:pPr>
                  <w:r w:rsidRPr="001E2783">
                    <w:rPr>
                      <w:rFonts w:cs="Arial"/>
                      <w:b/>
                      <w:sz w:val="20"/>
                    </w:rPr>
                    <w:t>Enquiries</w:t>
                  </w:r>
                </w:p>
              </w:tc>
              <w:tc>
                <w:tcPr>
                  <w:tcW w:w="2481" w:type="dxa"/>
                  <w:shd w:val="clear" w:color="auto" w:fill="F2F2F2" w:themeFill="background1" w:themeFillShade="F2"/>
                  <w:vAlign w:val="center"/>
                </w:tcPr>
                <w:p w14:paraId="07E507FC" w14:textId="77777777" w:rsidR="00B30D9A" w:rsidRPr="001E2783" w:rsidRDefault="00B30D9A" w:rsidP="00D528D7">
                  <w:pPr>
                    <w:pStyle w:val="TableTextLeft"/>
                    <w:keepNext/>
                    <w:spacing w:before="0" w:after="0"/>
                    <w:jc w:val="right"/>
                    <w:rPr>
                      <w:rFonts w:cs="Arial"/>
                      <w:b/>
                      <w:sz w:val="20"/>
                    </w:rPr>
                  </w:pPr>
                  <w:r w:rsidRPr="001E2783">
                    <w:rPr>
                      <w:rFonts w:cs="Arial"/>
                      <w:b/>
                      <w:sz w:val="20"/>
                    </w:rPr>
                    <w:t>1,726</w:t>
                  </w:r>
                </w:p>
              </w:tc>
              <w:tc>
                <w:tcPr>
                  <w:tcW w:w="2481" w:type="dxa"/>
                  <w:shd w:val="clear" w:color="auto" w:fill="F2F2F2" w:themeFill="background1" w:themeFillShade="F2"/>
                  <w:vAlign w:val="center"/>
                </w:tcPr>
                <w:p w14:paraId="786FF56E" w14:textId="77777777" w:rsidR="00B30D9A" w:rsidRPr="001E2783" w:rsidRDefault="00B30D9A" w:rsidP="00B30D9A">
                  <w:pPr>
                    <w:pStyle w:val="TableTextLeft"/>
                    <w:keepNext/>
                    <w:spacing w:before="0" w:after="0"/>
                    <w:jc w:val="right"/>
                    <w:rPr>
                      <w:rFonts w:cs="Arial"/>
                      <w:b/>
                      <w:sz w:val="20"/>
                    </w:rPr>
                  </w:pPr>
                  <w:r w:rsidRPr="001E2783">
                    <w:rPr>
                      <w:rFonts w:cs="Arial"/>
                      <w:b/>
                      <w:sz w:val="20"/>
                    </w:rPr>
                    <w:t>1,340</w:t>
                  </w:r>
                </w:p>
              </w:tc>
            </w:tr>
            <w:tr w:rsidR="001E2783" w:rsidRPr="001E2783" w14:paraId="76615EB8" w14:textId="77777777" w:rsidTr="0018323E">
              <w:trPr>
                <w:trHeight w:val="166"/>
              </w:trPr>
              <w:tc>
                <w:tcPr>
                  <w:tcW w:w="4545" w:type="dxa"/>
                  <w:shd w:val="clear" w:color="auto" w:fill="F2F2F2" w:themeFill="background1" w:themeFillShade="F2"/>
                  <w:tcMar>
                    <w:top w:w="57" w:type="dxa"/>
                    <w:left w:w="57" w:type="dxa"/>
                    <w:bottom w:w="57" w:type="dxa"/>
                    <w:right w:w="57" w:type="dxa"/>
                  </w:tcMar>
                  <w:vAlign w:val="center"/>
                </w:tcPr>
                <w:p w14:paraId="5989141A" w14:textId="77777777" w:rsidR="00B30D9A" w:rsidRPr="001E2783" w:rsidRDefault="00B30D9A" w:rsidP="005E2307">
                  <w:pPr>
                    <w:pStyle w:val="TableTextLeft"/>
                    <w:keepNext/>
                    <w:spacing w:before="0" w:after="0"/>
                    <w:rPr>
                      <w:rFonts w:cs="Arial"/>
                      <w:b/>
                      <w:sz w:val="20"/>
                    </w:rPr>
                  </w:pPr>
                  <w:r w:rsidRPr="001E2783">
                    <w:rPr>
                      <w:rFonts w:cs="Arial"/>
                      <w:b/>
                      <w:sz w:val="20"/>
                    </w:rPr>
                    <w:t>Business compliance—informal warnings</w:t>
                  </w:r>
                </w:p>
              </w:tc>
              <w:tc>
                <w:tcPr>
                  <w:tcW w:w="2481" w:type="dxa"/>
                  <w:shd w:val="clear" w:color="auto" w:fill="F2F2F2" w:themeFill="background1" w:themeFillShade="F2"/>
                  <w:vAlign w:val="center"/>
                </w:tcPr>
                <w:p w14:paraId="7AD51377" w14:textId="77777777" w:rsidR="00B30D9A" w:rsidRPr="001E2783" w:rsidRDefault="00B30D9A" w:rsidP="00D528D7">
                  <w:pPr>
                    <w:pStyle w:val="TableTextLeft"/>
                    <w:keepNext/>
                    <w:spacing w:before="0" w:after="0"/>
                    <w:jc w:val="right"/>
                    <w:rPr>
                      <w:rFonts w:cs="Arial"/>
                      <w:b/>
                      <w:sz w:val="20"/>
                    </w:rPr>
                  </w:pPr>
                  <w:r w:rsidRPr="001E2783">
                    <w:rPr>
                      <w:rFonts w:cs="Arial"/>
                      <w:b/>
                      <w:sz w:val="20"/>
                    </w:rPr>
                    <w:t>7,105</w:t>
                  </w:r>
                </w:p>
              </w:tc>
              <w:tc>
                <w:tcPr>
                  <w:tcW w:w="2481" w:type="dxa"/>
                  <w:shd w:val="clear" w:color="auto" w:fill="F2F2F2" w:themeFill="background1" w:themeFillShade="F2"/>
                  <w:vAlign w:val="center"/>
                </w:tcPr>
                <w:p w14:paraId="5B58BD41" w14:textId="77777777" w:rsidR="00B30D9A" w:rsidRPr="001E2783" w:rsidRDefault="00B30D9A" w:rsidP="00B30D9A">
                  <w:pPr>
                    <w:pStyle w:val="TableTextLeft"/>
                    <w:keepNext/>
                    <w:spacing w:before="0" w:after="0"/>
                    <w:jc w:val="right"/>
                    <w:rPr>
                      <w:rFonts w:cs="Arial"/>
                      <w:b/>
                      <w:sz w:val="20"/>
                    </w:rPr>
                  </w:pPr>
                  <w:r w:rsidRPr="001E2783">
                    <w:rPr>
                      <w:rFonts w:cs="Arial"/>
                      <w:b/>
                      <w:sz w:val="20"/>
                    </w:rPr>
                    <w:t>5,002</w:t>
                  </w:r>
                </w:p>
              </w:tc>
            </w:tr>
            <w:tr w:rsidR="001E2783" w:rsidRPr="001E2783" w14:paraId="61894E68" w14:textId="77777777" w:rsidTr="0018323E">
              <w:trPr>
                <w:trHeight w:val="166"/>
              </w:trPr>
              <w:tc>
                <w:tcPr>
                  <w:tcW w:w="4545" w:type="dxa"/>
                  <w:shd w:val="clear" w:color="auto" w:fill="F2F2F2" w:themeFill="background1" w:themeFillShade="F2"/>
                  <w:tcMar>
                    <w:top w:w="57" w:type="dxa"/>
                    <w:left w:w="57" w:type="dxa"/>
                    <w:bottom w:w="57" w:type="dxa"/>
                    <w:right w:w="57" w:type="dxa"/>
                  </w:tcMar>
                  <w:vAlign w:val="center"/>
                </w:tcPr>
                <w:p w14:paraId="107BBF91" w14:textId="77777777" w:rsidR="00B30D9A" w:rsidRPr="001E2783" w:rsidRDefault="00B30D9A" w:rsidP="005E2307">
                  <w:pPr>
                    <w:pStyle w:val="TableTextLeft"/>
                    <w:keepNext/>
                    <w:spacing w:before="0" w:after="0"/>
                    <w:rPr>
                      <w:rFonts w:cs="Arial"/>
                      <w:b/>
                      <w:sz w:val="20"/>
                    </w:rPr>
                  </w:pPr>
                  <w:r w:rsidRPr="001E2783">
                    <w:rPr>
                      <w:rFonts w:cs="Arial"/>
                      <w:b/>
                      <w:sz w:val="20"/>
                    </w:rPr>
                    <w:t>Investigations</w:t>
                  </w:r>
                </w:p>
              </w:tc>
              <w:tc>
                <w:tcPr>
                  <w:tcW w:w="2481" w:type="dxa"/>
                  <w:shd w:val="clear" w:color="auto" w:fill="F2F2F2" w:themeFill="background1" w:themeFillShade="F2"/>
                  <w:vAlign w:val="center"/>
                </w:tcPr>
                <w:p w14:paraId="7670E7ED" w14:textId="77777777" w:rsidR="00B30D9A" w:rsidRPr="001E2783" w:rsidRDefault="00B30D9A" w:rsidP="00D528D7">
                  <w:pPr>
                    <w:pStyle w:val="TableTextLeft"/>
                    <w:keepNext/>
                    <w:spacing w:before="0" w:after="0"/>
                    <w:jc w:val="right"/>
                    <w:rPr>
                      <w:rFonts w:cs="Arial"/>
                      <w:b/>
                      <w:sz w:val="20"/>
                    </w:rPr>
                  </w:pPr>
                  <w:r w:rsidRPr="001E2783">
                    <w:rPr>
                      <w:rFonts w:cs="Arial"/>
                      <w:b/>
                      <w:sz w:val="20"/>
                    </w:rPr>
                    <w:t>10</w:t>
                  </w:r>
                </w:p>
              </w:tc>
              <w:tc>
                <w:tcPr>
                  <w:tcW w:w="2481" w:type="dxa"/>
                  <w:shd w:val="clear" w:color="auto" w:fill="F2F2F2" w:themeFill="background1" w:themeFillShade="F2"/>
                  <w:vAlign w:val="center"/>
                </w:tcPr>
                <w:p w14:paraId="647E6F86" w14:textId="77777777" w:rsidR="00B30D9A" w:rsidRPr="001E2783" w:rsidRDefault="00B30D9A" w:rsidP="00B30D9A">
                  <w:pPr>
                    <w:pStyle w:val="TableTextLeft"/>
                    <w:keepNext/>
                    <w:spacing w:before="0" w:after="0"/>
                    <w:jc w:val="right"/>
                    <w:rPr>
                      <w:rFonts w:cs="Arial"/>
                      <w:b/>
                      <w:sz w:val="20"/>
                    </w:rPr>
                  </w:pPr>
                  <w:r w:rsidRPr="001E2783">
                    <w:rPr>
                      <w:rFonts w:cs="Arial"/>
                      <w:b/>
                      <w:sz w:val="20"/>
                    </w:rPr>
                    <w:t>10</w:t>
                  </w:r>
                </w:p>
              </w:tc>
            </w:tr>
            <w:tr w:rsidR="001E2783" w:rsidRPr="001E2783" w14:paraId="59F2E29E" w14:textId="77777777" w:rsidTr="0018323E">
              <w:trPr>
                <w:trHeight w:val="166"/>
              </w:trPr>
              <w:tc>
                <w:tcPr>
                  <w:tcW w:w="4545" w:type="dxa"/>
                  <w:shd w:val="clear" w:color="auto" w:fill="auto"/>
                  <w:tcMar>
                    <w:top w:w="57" w:type="dxa"/>
                    <w:left w:w="57" w:type="dxa"/>
                    <w:bottom w:w="57" w:type="dxa"/>
                    <w:right w:w="57" w:type="dxa"/>
                  </w:tcMar>
                  <w:vAlign w:val="center"/>
                </w:tcPr>
                <w:p w14:paraId="6B91C6BE" w14:textId="77777777" w:rsidR="00B30D9A" w:rsidRPr="001E2783" w:rsidRDefault="00B30D9A" w:rsidP="005E2307">
                  <w:pPr>
                    <w:pStyle w:val="TableTextLeft"/>
                    <w:keepNext/>
                    <w:spacing w:before="0" w:after="0"/>
                    <w:rPr>
                      <w:rFonts w:cs="Arial"/>
                      <w:sz w:val="20"/>
                    </w:rPr>
                  </w:pPr>
                  <w:r w:rsidRPr="001E2783">
                    <w:rPr>
                      <w:rFonts w:cs="Arial"/>
                      <w:sz w:val="20"/>
                    </w:rPr>
                    <w:tab/>
                    <w:t>Formal warning</w:t>
                  </w:r>
                  <w:r w:rsidR="008E049D" w:rsidRPr="001E2783">
                    <w:rPr>
                      <w:rFonts w:cs="Arial"/>
                      <w:sz w:val="20"/>
                    </w:rPr>
                    <w:t>s</w:t>
                  </w:r>
                </w:p>
              </w:tc>
              <w:tc>
                <w:tcPr>
                  <w:tcW w:w="2481" w:type="dxa"/>
                  <w:vAlign w:val="center"/>
                </w:tcPr>
                <w:p w14:paraId="5282547E" w14:textId="77777777" w:rsidR="00B30D9A" w:rsidRPr="001E2783" w:rsidRDefault="00B30D9A" w:rsidP="00D528D7">
                  <w:pPr>
                    <w:pStyle w:val="TableTextLeft"/>
                    <w:keepNext/>
                    <w:spacing w:before="0" w:after="0"/>
                    <w:jc w:val="right"/>
                    <w:rPr>
                      <w:rFonts w:cs="Arial"/>
                      <w:sz w:val="20"/>
                    </w:rPr>
                  </w:pPr>
                  <w:r w:rsidRPr="001E2783">
                    <w:rPr>
                      <w:rFonts w:cs="Arial"/>
                      <w:sz w:val="20"/>
                    </w:rPr>
                    <w:t>3</w:t>
                  </w:r>
                </w:p>
              </w:tc>
              <w:tc>
                <w:tcPr>
                  <w:tcW w:w="2481" w:type="dxa"/>
                  <w:vAlign w:val="center"/>
                </w:tcPr>
                <w:p w14:paraId="6CF04E25" w14:textId="77777777" w:rsidR="00B30D9A" w:rsidRPr="001E2783" w:rsidRDefault="00B30D9A" w:rsidP="00B30D9A">
                  <w:pPr>
                    <w:pStyle w:val="TableTextLeft"/>
                    <w:keepNext/>
                    <w:spacing w:before="0" w:after="0"/>
                    <w:jc w:val="right"/>
                    <w:rPr>
                      <w:rFonts w:cs="Arial"/>
                      <w:sz w:val="20"/>
                    </w:rPr>
                  </w:pPr>
                  <w:r w:rsidRPr="001E2783">
                    <w:rPr>
                      <w:rFonts w:cs="Arial"/>
                      <w:sz w:val="20"/>
                    </w:rPr>
                    <w:t>5</w:t>
                  </w:r>
                </w:p>
              </w:tc>
            </w:tr>
            <w:tr w:rsidR="001E2783" w:rsidRPr="001E2783" w14:paraId="1DB2D947" w14:textId="77777777" w:rsidTr="0018323E">
              <w:trPr>
                <w:trHeight w:val="166"/>
              </w:trPr>
              <w:tc>
                <w:tcPr>
                  <w:tcW w:w="4545" w:type="dxa"/>
                  <w:shd w:val="clear" w:color="auto" w:fill="auto"/>
                  <w:tcMar>
                    <w:top w:w="57" w:type="dxa"/>
                    <w:left w:w="57" w:type="dxa"/>
                    <w:bottom w:w="57" w:type="dxa"/>
                    <w:right w:w="57" w:type="dxa"/>
                  </w:tcMar>
                  <w:vAlign w:val="center"/>
                </w:tcPr>
                <w:p w14:paraId="55ECA6EE" w14:textId="77777777" w:rsidR="00B30D9A" w:rsidRPr="001E2783" w:rsidRDefault="00B30D9A" w:rsidP="005E2307">
                  <w:pPr>
                    <w:pStyle w:val="TableTextLeft"/>
                    <w:keepNext/>
                    <w:spacing w:before="0" w:after="0"/>
                    <w:rPr>
                      <w:rFonts w:cs="Arial"/>
                      <w:sz w:val="20"/>
                    </w:rPr>
                  </w:pPr>
                  <w:r w:rsidRPr="001E2783">
                    <w:rPr>
                      <w:rFonts w:cs="Arial"/>
                      <w:sz w:val="20"/>
                    </w:rPr>
                    <w:tab/>
                    <w:t>Enforceable undertaking</w:t>
                  </w:r>
                  <w:r w:rsidR="008E049D" w:rsidRPr="001E2783">
                    <w:rPr>
                      <w:rFonts w:cs="Arial"/>
                      <w:sz w:val="20"/>
                    </w:rPr>
                    <w:t>s</w:t>
                  </w:r>
                </w:p>
              </w:tc>
              <w:tc>
                <w:tcPr>
                  <w:tcW w:w="2481" w:type="dxa"/>
                  <w:vAlign w:val="center"/>
                </w:tcPr>
                <w:p w14:paraId="72CCE900" w14:textId="77777777" w:rsidR="00B30D9A" w:rsidRPr="001E2783" w:rsidRDefault="00B30D9A" w:rsidP="00D528D7">
                  <w:pPr>
                    <w:pStyle w:val="TableTextLeft"/>
                    <w:keepNext/>
                    <w:spacing w:before="0" w:after="0"/>
                    <w:jc w:val="right"/>
                    <w:rPr>
                      <w:rFonts w:cs="Arial"/>
                      <w:sz w:val="20"/>
                    </w:rPr>
                  </w:pPr>
                  <w:r w:rsidRPr="001E2783">
                    <w:rPr>
                      <w:rFonts w:cs="Arial"/>
                      <w:sz w:val="20"/>
                    </w:rPr>
                    <w:t>2</w:t>
                  </w:r>
                </w:p>
              </w:tc>
              <w:tc>
                <w:tcPr>
                  <w:tcW w:w="2481" w:type="dxa"/>
                  <w:vAlign w:val="center"/>
                </w:tcPr>
                <w:p w14:paraId="3A139E76" w14:textId="77777777" w:rsidR="00B30D9A" w:rsidRPr="001E2783" w:rsidRDefault="00B30D9A" w:rsidP="00B30D9A">
                  <w:pPr>
                    <w:pStyle w:val="TableTextLeft"/>
                    <w:keepNext/>
                    <w:spacing w:before="0" w:after="0"/>
                    <w:jc w:val="right"/>
                    <w:rPr>
                      <w:rFonts w:cs="Arial"/>
                      <w:sz w:val="20"/>
                    </w:rPr>
                  </w:pPr>
                  <w:r w:rsidRPr="001E2783">
                    <w:rPr>
                      <w:rFonts w:cs="Arial"/>
                      <w:sz w:val="20"/>
                    </w:rPr>
                    <w:t>1</w:t>
                  </w:r>
                </w:p>
              </w:tc>
            </w:tr>
            <w:tr w:rsidR="001E2783" w:rsidRPr="001E2783" w14:paraId="1EE647CF" w14:textId="77777777" w:rsidTr="0018323E">
              <w:trPr>
                <w:trHeight w:val="166"/>
              </w:trPr>
              <w:tc>
                <w:tcPr>
                  <w:tcW w:w="4545" w:type="dxa"/>
                  <w:shd w:val="clear" w:color="auto" w:fill="auto"/>
                  <w:tcMar>
                    <w:top w:w="57" w:type="dxa"/>
                    <w:left w:w="57" w:type="dxa"/>
                    <w:bottom w:w="57" w:type="dxa"/>
                    <w:right w:w="57" w:type="dxa"/>
                  </w:tcMar>
                  <w:vAlign w:val="center"/>
                </w:tcPr>
                <w:p w14:paraId="71464C69" w14:textId="77777777" w:rsidR="00B30D9A" w:rsidRPr="001E2783" w:rsidRDefault="00B30D9A" w:rsidP="005E2307">
                  <w:pPr>
                    <w:pStyle w:val="TableTextLeft"/>
                    <w:keepNext/>
                    <w:spacing w:before="0" w:after="0"/>
                    <w:rPr>
                      <w:rFonts w:cs="Arial"/>
                      <w:sz w:val="20"/>
                    </w:rPr>
                  </w:pPr>
                  <w:r w:rsidRPr="001E2783">
                    <w:rPr>
                      <w:rFonts w:cs="Arial"/>
                      <w:sz w:val="20"/>
                    </w:rPr>
                    <w:tab/>
                    <w:t>Infringement notice</w:t>
                  </w:r>
                  <w:r w:rsidR="008E049D" w:rsidRPr="001E2783">
                    <w:rPr>
                      <w:rFonts w:cs="Arial"/>
                      <w:sz w:val="20"/>
                    </w:rPr>
                    <w:t>s</w:t>
                  </w:r>
                </w:p>
              </w:tc>
              <w:tc>
                <w:tcPr>
                  <w:tcW w:w="2481" w:type="dxa"/>
                  <w:vAlign w:val="center"/>
                </w:tcPr>
                <w:p w14:paraId="30EE4D42" w14:textId="77777777" w:rsidR="00B30D9A" w:rsidRPr="001E2783" w:rsidRDefault="00B30D9A" w:rsidP="00D528D7">
                  <w:pPr>
                    <w:pStyle w:val="TableTextLeft"/>
                    <w:keepNext/>
                    <w:spacing w:before="0" w:after="0"/>
                    <w:jc w:val="right"/>
                    <w:rPr>
                      <w:rFonts w:cs="Arial"/>
                      <w:sz w:val="20"/>
                    </w:rPr>
                  </w:pPr>
                  <w:r w:rsidRPr="001E2783">
                    <w:rPr>
                      <w:rFonts w:cs="Arial"/>
                      <w:sz w:val="20"/>
                    </w:rPr>
                    <w:t>3</w:t>
                  </w:r>
                </w:p>
              </w:tc>
              <w:tc>
                <w:tcPr>
                  <w:tcW w:w="2481" w:type="dxa"/>
                  <w:vAlign w:val="center"/>
                </w:tcPr>
                <w:p w14:paraId="4116B338" w14:textId="77777777" w:rsidR="00B30D9A" w:rsidRPr="001E2783" w:rsidRDefault="00B30D9A" w:rsidP="00B30D9A">
                  <w:pPr>
                    <w:pStyle w:val="TableTextLeft"/>
                    <w:keepNext/>
                    <w:spacing w:before="0" w:after="0"/>
                    <w:jc w:val="right"/>
                    <w:rPr>
                      <w:rFonts w:cs="Arial"/>
                      <w:sz w:val="20"/>
                    </w:rPr>
                  </w:pPr>
                  <w:r w:rsidRPr="001E2783">
                    <w:rPr>
                      <w:rFonts w:cs="Arial"/>
                      <w:sz w:val="20"/>
                    </w:rPr>
                    <w:t>3</w:t>
                  </w:r>
                </w:p>
              </w:tc>
            </w:tr>
          </w:tbl>
          <w:p w14:paraId="035D8939" w14:textId="77777777" w:rsidR="00D528D7" w:rsidRPr="001E2783" w:rsidRDefault="00D528D7" w:rsidP="00D528D7">
            <w:pPr>
              <w:rPr>
                <w:rFonts w:cs="Arial"/>
              </w:rPr>
            </w:pPr>
          </w:p>
        </w:tc>
      </w:tr>
      <w:tr w:rsidR="00D528D7" w:rsidRPr="001E2783" w14:paraId="0D8624FD" w14:textId="77777777" w:rsidTr="00D528D7">
        <w:trPr>
          <w:trHeight w:val="291"/>
        </w:trPr>
        <w:tc>
          <w:tcPr>
            <w:tcW w:w="9645" w:type="dxa"/>
            <w:tcBorders>
              <w:bottom w:val="single" w:sz="2" w:space="0" w:color="505050"/>
            </w:tcBorders>
            <w:shd w:val="clear" w:color="auto" w:fill="auto"/>
          </w:tcPr>
          <w:p w14:paraId="03E5449E" w14:textId="77777777" w:rsidR="00D528D7" w:rsidRPr="001E2783" w:rsidRDefault="00D528D7" w:rsidP="00D528D7">
            <w:pPr>
              <w:rPr>
                <w:rFonts w:cs="Arial"/>
              </w:rPr>
            </w:pPr>
          </w:p>
        </w:tc>
      </w:tr>
    </w:tbl>
    <w:p w14:paraId="6E45AB3D" w14:textId="77777777" w:rsidR="00D528D7" w:rsidRPr="001E2783" w:rsidRDefault="00D528D7" w:rsidP="005A1C52">
      <w:pPr>
        <w:rPr>
          <w:rFonts w:cs="Arial"/>
          <w:b/>
        </w:rPr>
      </w:pPr>
    </w:p>
    <w:p w14:paraId="01C73F3F" w14:textId="77777777" w:rsidR="005A1C52" w:rsidRPr="001E2783" w:rsidRDefault="005A1C52" w:rsidP="005A1C52">
      <w:pPr>
        <w:pStyle w:val="bodySUBSUBheaderh5"/>
        <w:rPr>
          <w:rFonts w:cs="Arial"/>
        </w:rPr>
      </w:pPr>
      <w:r w:rsidRPr="001E2783">
        <w:rPr>
          <w:rFonts w:cs="Arial"/>
        </w:rPr>
        <w:t>Informal warnings</w:t>
      </w:r>
    </w:p>
    <w:p w14:paraId="53D1FF92" w14:textId="77777777" w:rsidR="005A1C52" w:rsidRPr="001E2783" w:rsidRDefault="005A1C52" w:rsidP="005A1C52">
      <w:pPr>
        <w:rPr>
          <w:rFonts w:cs="Arial"/>
        </w:rPr>
      </w:pPr>
      <w:r w:rsidRPr="001E2783">
        <w:rPr>
          <w:rFonts w:cs="Arial"/>
        </w:rPr>
        <w:t xml:space="preserve">The ACMA adopts a graduated approach to Spam Act compliance. In the first instance, where the ACMA identifies the source of spam that is the subject of a complaint or report, it issues informal warnings to give the parties involved information about their obligations under the Spam Act. </w:t>
      </w:r>
    </w:p>
    <w:p w14:paraId="3A4659E9" w14:textId="77777777" w:rsidR="005A1C52" w:rsidRPr="001E2783" w:rsidRDefault="005A1C52" w:rsidP="005A1C52">
      <w:pPr>
        <w:rPr>
          <w:rFonts w:cs="Arial"/>
        </w:rPr>
      </w:pPr>
    </w:p>
    <w:p w14:paraId="37F41045" w14:textId="77777777" w:rsidR="00D27431" w:rsidRPr="001E2783" w:rsidRDefault="005A1C52" w:rsidP="005A1C52">
      <w:pPr>
        <w:rPr>
          <w:rFonts w:cs="Arial"/>
        </w:rPr>
      </w:pPr>
      <w:r w:rsidRPr="001E2783">
        <w:rPr>
          <w:rFonts w:cs="Arial"/>
        </w:rPr>
        <w:t xml:space="preserve">In 2013–14, </w:t>
      </w:r>
      <w:r w:rsidR="00D27431" w:rsidRPr="001E2783">
        <w:rPr>
          <w:rFonts w:cs="Arial"/>
        </w:rPr>
        <w:t>5,002</w:t>
      </w:r>
      <w:r w:rsidRPr="001E2783">
        <w:rPr>
          <w:rFonts w:cs="Arial"/>
        </w:rPr>
        <w:t xml:space="preserve"> informal warning letters were issued. </w:t>
      </w:r>
    </w:p>
    <w:p w14:paraId="2920EBA1" w14:textId="77777777" w:rsidR="00D27431" w:rsidRPr="001E2783" w:rsidRDefault="00D27431" w:rsidP="005A1C52">
      <w:pPr>
        <w:rPr>
          <w:rFonts w:cs="Arial"/>
        </w:rPr>
      </w:pPr>
    </w:p>
    <w:p w14:paraId="6EFC3AAE" w14:textId="1D9069B8" w:rsidR="00D27431" w:rsidRPr="001E2783" w:rsidRDefault="00D27431" w:rsidP="009B749A">
      <w:pPr>
        <w:rPr>
          <w:rFonts w:cs="Arial"/>
        </w:rPr>
      </w:pPr>
      <w:r w:rsidRPr="001E2783">
        <w:rPr>
          <w:rFonts w:cs="Arial"/>
        </w:rPr>
        <w:t>Spam has the same key performance indicators as telemarketing and fax marketing (</w:t>
      </w:r>
      <w:r w:rsidR="005B1422" w:rsidRPr="001E2783">
        <w:rPr>
          <w:rFonts w:cs="Arial"/>
        </w:rPr>
        <w:t xml:space="preserve">see </w:t>
      </w:r>
      <w:r w:rsidR="009B749A" w:rsidRPr="009B749A">
        <w:rPr>
          <w:rFonts w:cs="Arial"/>
          <w:i/>
        </w:rPr>
        <w:t>Unsolicited communications compliance, Telemarketing and fax marketing</w:t>
      </w:r>
      <w:r w:rsidRPr="001E2783">
        <w:rPr>
          <w:rFonts w:cs="Arial"/>
        </w:rPr>
        <w:t>). Of the businesses contacted by informal warning letter for the first time in 2013–</w:t>
      </w:r>
      <w:r w:rsidR="005B1422" w:rsidRPr="001E2783">
        <w:rPr>
          <w:rFonts w:cs="Arial"/>
        </w:rPr>
        <w:t>14, 86 </w:t>
      </w:r>
      <w:r w:rsidRPr="001E2783">
        <w:rPr>
          <w:rFonts w:cs="Arial"/>
        </w:rPr>
        <w:t>per cent did not attract further complaints after they were sent the first informal warning.</w:t>
      </w:r>
      <w:r w:rsidRPr="001E2783">
        <w:rPr>
          <w:rStyle w:val="FootnoteReference"/>
          <w:rFonts w:cs="Arial"/>
        </w:rPr>
        <w:footnoteReference w:id="6"/>
      </w:r>
    </w:p>
    <w:p w14:paraId="5D641215" w14:textId="77777777" w:rsidR="005A1C52" w:rsidRPr="001E2783" w:rsidRDefault="005A1C52" w:rsidP="005A1C52">
      <w:pPr>
        <w:rPr>
          <w:rFonts w:cs="Arial"/>
        </w:rPr>
      </w:pPr>
    </w:p>
    <w:p w14:paraId="6316869E" w14:textId="77777777" w:rsidR="005A1C52" w:rsidRPr="001E2783" w:rsidRDefault="005A1C52" w:rsidP="005A1C52">
      <w:pPr>
        <w:pStyle w:val="bodySUBSUBheaderh5"/>
        <w:rPr>
          <w:rFonts w:cs="Arial"/>
        </w:rPr>
      </w:pPr>
      <w:r w:rsidRPr="001E2783">
        <w:rPr>
          <w:rFonts w:cs="Arial"/>
        </w:rPr>
        <w:t>Investigations and enforcement</w:t>
      </w:r>
    </w:p>
    <w:p w14:paraId="7237572D" w14:textId="77777777" w:rsidR="005A1C52" w:rsidRPr="001E2783" w:rsidRDefault="005A1C52" w:rsidP="005A1C52">
      <w:pPr>
        <w:spacing w:after="80"/>
        <w:rPr>
          <w:rFonts w:cs="Arial"/>
        </w:rPr>
      </w:pPr>
      <w:r w:rsidRPr="001E2783">
        <w:rPr>
          <w:rFonts w:cs="Arial"/>
        </w:rPr>
        <w:t>During 2013–14, the ACMA completed</w:t>
      </w:r>
      <w:r w:rsidR="00D27431" w:rsidRPr="001E2783">
        <w:rPr>
          <w:rFonts w:cs="Arial"/>
        </w:rPr>
        <w:t xml:space="preserve"> 10</w:t>
      </w:r>
      <w:r w:rsidR="005B1422" w:rsidRPr="001E2783">
        <w:rPr>
          <w:rFonts w:cs="Arial"/>
        </w:rPr>
        <w:t xml:space="preserve"> investigations under Part </w:t>
      </w:r>
      <w:r w:rsidRPr="001E2783">
        <w:rPr>
          <w:rFonts w:cs="Arial"/>
        </w:rPr>
        <w:t>26 of the Telecommunications Act into potential contraventions of the Spam Act. As a result of these investigations:</w:t>
      </w:r>
    </w:p>
    <w:p w14:paraId="50185C3F" w14:textId="0334C4BC" w:rsidR="00D27431" w:rsidRPr="001E2783" w:rsidRDefault="00D27431" w:rsidP="00D27431">
      <w:pPr>
        <w:pStyle w:val="ListBullet"/>
        <w:tabs>
          <w:tab w:val="clear" w:pos="295"/>
        </w:tabs>
        <w:ind w:left="284"/>
        <w:rPr>
          <w:rFonts w:cs="Arial"/>
        </w:rPr>
      </w:pPr>
      <w:r w:rsidRPr="001E2783">
        <w:rPr>
          <w:rFonts w:cs="Arial"/>
        </w:rPr>
        <w:t xml:space="preserve">the ACMA accepted one enforceable undertaking from Alex Emad Shehata trading as </w:t>
      </w:r>
      <w:r w:rsidR="00621694" w:rsidRPr="001E2783">
        <w:rPr>
          <w:rFonts w:cs="Arial"/>
        </w:rPr>
        <w:t>Australian Advertising and Media Network</w:t>
      </w:r>
    </w:p>
    <w:p w14:paraId="5197C350" w14:textId="71BAC58D" w:rsidR="00D27431" w:rsidRPr="001E2783" w:rsidRDefault="00D27431" w:rsidP="00D27431">
      <w:pPr>
        <w:pStyle w:val="ListBullet"/>
        <w:tabs>
          <w:tab w:val="clear" w:pos="295"/>
        </w:tabs>
        <w:ind w:left="284"/>
        <w:rPr>
          <w:rFonts w:cs="Arial"/>
        </w:rPr>
      </w:pPr>
      <w:r w:rsidRPr="001E2783">
        <w:rPr>
          <w:rFonts w:cs="Arial"/>
        </w:rPr>
        <w:t xml:space="preserve">three infringement notices were paid by Minardi Pty Ltd trading as Colonial Hotel, Grays (NSW) Pty </w:t>
      </w:r>
      <w:r w:rsidR="00621694" w:rsidRPr="001E2783">
        <w:rPr>
          <w:rFonts w:cs="Arial"/>
        </w:rPr>
        <w:t>Limited</w:t>
      </w:r>
      <w:r w:rsidRPr="001E2783">
        <w:rPr>
          <w:rFonts w:cs="Arial"/>
        </w:rPr>
        <w:t xml:space="preserve"> and Rates Direct Pty Ltd</w:t>
      </w:r>
    </w:p>
    <w:p w14:paraId="462CB984" w14:textId="77777777" w:rsidR="00D27431" w:rsidRPr="001E2783" w:rsidRDefault="00D27431" w:rsidP="00D27431">
      <w:pPr>
        <w:pStyle w:val="ListBullet"/>
        <w:tabs>
          <w:tab w:val="clear" w:pos="295"/>
        </w:tabs>
        <w:spacing w:after="240"/>
        <w:ind w:left="284"/>
        <w:rPr>
          <w:rFonts w:cs="Arial"/>
        </w:rPr>
      </w:pPr>
      <w:r w:rsidRPr="001E2783">
        <w:rPr>
          <w:rFonts w:cs="Arial"/>
        </w:rPr>
        <w:t>the ACMA issued five formal warnings to DND Media Pty Ltd, Wailea Australia Pty Ltd trading as ACRIS Services, Teleloans Pty Ltd, Penta Group Pty Ltd and IGEA Life Sciences Pty Limited.</w:t>
      </w:r>
    </w:p>
    <w:p w14:paraId="3CD5D48B" w14:textId="77777777" w:rsidR="00793BCF" w:rsidRPr="001E2783" w:rsidRDefault="00793BCF" w:rsidP="00793BCF">
      <w:pPr>
        <w:pStyle w:val="BodysubheaderH4"/>
        <w:rPr>
          <w:rFonts w:cs="Arial"/>
        </w:rPr>
      </w:pPr>
      <w:r w:rsidRPr="001E2783">
        <w:rPr>
          <w:rFonts w:cs="Arial"/>
        </w:rPr>
        <w:t>Unsolicited communications compliance strategies and initiatives</w:t>
      </w:r>
    </w:p>
    <w:p w14:paraId="7247BF4C" w14:textId="77777777" w:rsidR="005A1C52" w:rsidRPr="001E2783" w:rsidRDefault="005A1C52" w:rsidP="005A1C52">
      <w:pPr>
        <w:pStyle w:val="bodySUBSUBheaderh5"/>
        <w:rPr>
          <w:rFonts w:cs="Arial"/>
        </w:rPr>
      </w:pPr>
      <w:r w:rsidRPr="001E2783">
        <w:rPr>
          <w:rFonts w:cs="Arial"/>
        </w:rPr>
        <w:t>Education initiatives</w:t>
      </w:r>
    </w:p>
    <w:p w14:paraId="4582A88A" w14:textId="77777777" w:rsidR="005A1C52" w:rsidRPr="001E2783" w:rsidRDefault="005A1C52" w:rsidP="0018323E">
      <w:pPr>
        <w:keepNext/>
        <w:spacing w:after="80"/>
        <w:rPr>
          <w:rFonts w:cs="Arial"/>
        </w:rPr>
      </w:pPr>
      <w:r w:rsidRPr="001E2783">
        <w:rPr>
          <w:rFonts w:cs="Arial"/>
        </w:rPr>
        <w:t>To help businesses meet their unsolicited communications obligations and the public deal with unsolicited marketing, the ACMA engages in targeted educa</w:t>
      </w:r>
      <w:r w:rsidR="006061FE" w:rsidRPr="001E2783">
        <w:rPr>
          <w:rFonts w:cs="Arial"/>
        </w:rPr>
        <w:t>tional activities. This includes</w:t>
      </w:r>
      <w:r w:rsidRPr="001E2783">
        <w:rPr>
          <w:rFonts w:cs="Arial"/>
        </w:rPr>
        <w:t>:</w:t>
      </w:r>
    </w:p>
    <w:p w14:paraId="40889F8F" w14:textId="77777777" w:rsidR="005A1C52" w:rsidRPr="001E2783" w:rsidRDefault="005A1C52" w:rsidP="005A1C52">
      <w:pPr>
        <w:pStyle w:val="ListBullet"/>
        <w:rPr>
          <w:rFonts w:cs="Arial"/>
          <w:b/>
        </w:rPr>
      </w:pPr>
      <w:r w:rsidRPr="001E2783">
        <w:rPr>
          <w:rFonts w:cs="Arial"/>
          <w:b/>
        </w:rPr>
        <w:t>Industry blogs</w:t>
      </w:r>
      <w:r w:rsidRPr="001E2783">
        <w:rPr>
          <w:rFonts w:cs="Arial"/>
        </w:rPr>
        <w:t>—the ACMA produce</w:t>
      </w:r>
      <w:r w:rsidR="008E049D" w:rsidRPr="001E2783">
        <w:rPr>
          <w:rFonts w:cs="Arial"/>
        </w:rPr>
        <w:t>s</w:t>
      </w:r>
      <w:r w:rsidRPr="001E2783">
        <w:rPr>
          <w:rFonts w:cs="Arial"/>
        </w:rPr>
        <w:t xml:space="preserve"> two blogs aimed directly at businesses that engage in telemarketing, fax marketing and e-marketing. They promote and encourage businesses to comply with the rules:</w:t>
      </w:r>
    </w:p>
    <w:p w14:paraId="545DFA3A" w14:textId="77777777" w:rsidR="005A1C52" w:rsidRPr="001E2783" w:rsidRDefault="005A1C52" w:rsidP="005A1C52">
      <w:pPr>
        <w:pStyle w:val="ListBullet2"/>
        <w:tabs>
          <w:tab w:val="clear" w:pos="845"/>
          <w:tab w:val="num" w:pos="709"/>
        </w:tabs>
        <w:rPr>
          <w:rFonts w:cs="Arial"/>
          <w:i/>
        </w:rPr>
      </w:pPr>
      <w:r w:rsidRPr="001E2783">
        <w:rPr>
          <w:rFonts w:cs="Arial"/>
          <w:i/>
        </w:rPr>
        <w:t>Successful e-marketing ... it’s about reputation</w:t>
      </w:r>
    </w:p>
    <w:p w14:paraId="345575A3" w14:textId="77777777" w:rsidR="005A1C52" w:rsidRPr="001E2783" w:rsidRDefault="005A1C52" w:rsidP="00793BCF">
      <w:pPr>
        <w:pStyle w:val="ListBullet2"/>
        <w:tabs>
          <w:tab w:val="clear" w:pos="845"/>
          <w:tab w:val="num" w:pos="709"/>
        </w:tabs>
        <w:spacing w:after="120"/>
        <w:rPr>
          <w:rFonts w:cs="Arial"/>
          <w:i/>
        </w:rPr>
      </w:pPr>
      <w:r w:rsidRPr="001E2783">
        <w:rPr>
          <w:rFonts w:cs="Arial"/>
          <w:i/>
        </w:rPr>
        <w:t>Better telemarketing … take the right line</w:t>
      </w:r>
      <w:r w:rsidR="006061FE" w:rsidRPr="001E2783">
        <w:rPr>
          <w:rFonts w:cs="Arial"/>
          <w:i/>
        </w:rPr>
        <w:t>.</w:t>
      </w:r>
    </w:p>
    <w:p w14:paraId="4D8EBDA3" w14:textId="77777777" w:rsidR="005A1C52" w:rsidRPr="001E2783" w:rsidRDefault="005A1C52" w:rsidP="005A1C52">
      <w:pPr>
        <w:pStyle w:val="ListBullet"/>
        <w:spacing w:after="240"/>
        <w:rPr>
          <w:rFonts w:cs="Arial"/>
          <w:b/>
        </w:rPr>
      </w:pPr>
      <w:r w:rsidRPr="001E2783">
        <w:rPr>
          <w:rFonts w:cs="Arial"/>
          <w:b/>
        </w:rPr>
        <w:t>Social media</w:t>
      </w:r>
      <w:r w:rsidRPr="001E2783">
        <w:rPr>
          <w:rFonts w:cs="Arial"/>
        </w:rPr>
        <w:t>—as well as using traditional channel</w:t>
      </w:r>
      <w:r w:rsidR="006061FE" w:rsidRPr="001E2783">
        <w:rPr>
          <w:rFonts w:cs="Arial"/>
        </w:rPr>
        <w:t>s, the ACMA increasingly engages</w:t>
      </w:r>
      <w:r w:rsidRPr="001E2783">
        <w:rPr>
          <w:rFonts w:cs="Arial"/>
        </w:rPr>
        <w:t xml:space="preserve"> with members of the public on telemarketing and spam-related issues via Facebook and Twitter. These channels also enable the ACMA to quickly issue alerts and warnings about apparent phone, email and SMS scams in circulation.</w:t>
      </w:r>
    </w:p>
    <w:p w14:paraId="780E04BB" w14:textId="77777777" w:rsidR="005A1C52" w:rsidRPr="001E2783" w:rsidRDefault="005A1C52" w:rsidP="005A1C52">
      <w:pPr>
        <w:pStyle w:val="bodySUBSUBheaderh5"/>
        <w:rPr>
          <w:rFonts w:cs="Arial"/>
        </w:rPr>
      </w:pPr>
      <w:r w:rsidRPr="001E2783">
        <w:rPr>
          <w:rFonts w:cs="Arial"/>
        </w:rPr>
        <w:t>Stakeholder engagement</w:t>
      </w:r>
    </w:p>
    <w:p w14:paraId="4CD87710" w14:textId="77777777" w:rsidR="005A1C52" w:rsidRPr="001E2783" w:rsidRDefault="005A1C52" w:rsidP="00793BCF">
      <w:pPr>
        <w:spacing w:after="80"/>
        <w:rPr>
          <w:rFonts w:cs="Arial"/>
        </w:rPr>
      </w:pPr>
      <w:r w:rsidRPr="001E2783">
        <w:rPr>
          <w:rFonts w:cs="Arial"/>
        </w:rPr>
        <w:t xml:space="preserve">During 2013–14, ACMA staff spoke at business forums on e-marketing best practice, methods of achieving compliance and matters related to spam more broadly. </w:t>
      </w:r>
    </w:p>
    <w:p w14:paraId="275C87D7" w14:textId="77777777" w:rsidR="00793BCF" w:rsidRPr="001E2783" w:rsidRDefault="00793BCF" w:rsidP="005B1422">
      <w:pPr>
        <w:rPr>
          <w:rFonts w:cs="Arial"/>
        </w:rPr>
      </w:pPr>
    </w:p>
    <w:p w14:paraId="23D41395" w14:textId="77777777" w:rsidR="005A1C52" w:rsidRPr="001E2783" w:rsidRDefault="005A1C52" w:rsidP="005A1C52">
      <w:pPr>
        <w:pStyle w:val="bodySUBSUBheaderh5"/>
        <w:rPr>
          <w:rFonts w:cs="Arial"/>
        </w:rPr>
      </w:pPr>
      <w:r w:rsidRPr="001E2783">
        <w:rPr>
          <w:rFonts w:cs="Arial"/>
        </w:rPr>
        <w:t>International cooperation</w:t>
      </w:r>
    </w:p>
    <w:p w14:paraId="19FFF1C1" w14:textId="77777777" w:rsidR="00793BCF" w:rsidRPr="001E2783" w:rsidRDefault="005A1C52" w:rsidP="00793BCF">
      <w:pPr>
        <w:spacing w:after="80"/>
        <w:rPr>
          <w:rFonts w:cs="Arial"/>
        </w:rPr>
      </w:pPr>
      <w:r w:rsidRPr="001E2783">
        <w:rPr>
          <w:rFonts w:cs="Arial"/>
        </w:rPr>
        <w:t xml:space="preserve">Recognising that </w:t>
      </w:r>
      <w:r w:rsidR="008E049D" w:rsidRPr="001E2783">
        <w:rPr>
          <w:rFonts w:cs="Arial"/>
        </w:rPr>
        <w:t>it is</w:t>
      </w:r>
      <w:r w:rsidRPr="001E2783">
        <w:rPr>
          <w:rFonts w:cs="Arial"/>
        </w:rPr>
        <w:t xml:space="preserve"> a global issue, the ACMA strives to be an international leader and influential in combating unsolicited communications. The aim of cooperating internationally is to reduce the impact on Australians of unsolicited communications originating elsewhere. </w:t>
      </w:r>
      <w:r w:rsidR="00793BCF" w:rsidRPr="001E2783">
        <w:rPr>
          <w:rFonts w:cs="Arial"/>
        </w:rPr>
        <w:t>This mission is divided into five key interdependent objectives, which relate to:</w:t>
      </w:r>
    </w:p>
    <w:p w14:paraId="0AEA3C8D" w14:textId="77777777" w:rsidR="00793BCF" w:rsidRPr="001E2783" w:rsidRDefault="00793BCF" w:rsidP="00793BCF">
      <w:pPr>
        <w:pStyle w:val="ListBullet"/>
        <w:rPr>
          <w:rFonts w:cs="Arial"/>
        </w:rPr>
      </w:pPr>
      <w:r w:rsidRPr="001E2783">
        <w:rPr>
          <w:rFonts w:cs="Arial"/>
        </w:rPr>
        <w:t>information and intelligence-sharing</w:t>
      </w:r>
    </w:p>
    <w:p w14:paraId="5721B2FB" w14:textId="77777777" w:rsidR="00793BCF" w:rsidRPr="001E2783" w:rsidRDefault="00793BCF" w:rsidP="00793BCF">
      <w:pPr>
        <w:pStyle w:val="ListBullet"/>
        <w:rPr>
          <w:rFonts w:cs="Arial"/>
        </w:rPr>
      </w:pPr>
      <w:r w:rsidRPr="001E2783">
        <w:rPr>
          <w:rFonts w:cs="Arial"/>
        </w:rPr>
        <w:t>learning and development</w:t>
      </w:r>
    </w:p>
    <w:p w14:paraId="42DC2525" w14:textId="77777777" w:rsidR="00793BCF" w:rsidRPr="001E2783" w:rsidRDefault="00793BCF" w:rsidP="00793BCF">
      <w:pPr>
        <w:pStyle w:val="ListBullet"/>
        <w:rPr>
          <w:rFonts w:cs="Arial"/>
        </w:rPr>
      </w:pPr>
      <w:r w:rsidRPr="001E2783">
        <w:rPr>
          <w:rFonts w:cs="Arial"/>
        </w:rPr>
        <w:t>achieving global outcomes</w:t>
      </w:r>
    </w:p>
    <w:p w14:paraId="1289CDBE" w14:textId="77777777" w:rsidR="00793BCF" w:rsidRPr="001E2783" w:rsidRDefault="00793BCF" w:rsidP="00793BCF">
      <w:pPr>
        <w:pStyle w:val="ListBullet"/>
        <w:rPr>
          <w:rFonts w:cs="Arial"/>
        </w:rPr>
      </w:pPr>
      <w:r w:rsidRPr="001E2783">
        <w:rPr>
          <w:rFonts w:cs="Arial"/>
        </w:rPr>
        <w:t>developing and maintaining strategic relationships</w:t>
      </w:r>
    </w:p>
    <w:p w14:paraId="4BA6A892" w14:textId="77777777" w:rsidR="005A1C52" w:rsidRPr="001E2783" w:rsidRDefault="00793BCF" w:rsidP="00793BCF">
      <w:pPr>
        <w:pStyle w:val="ListBullet"/>
        <w:spacing w:after="240"/>
        <w:rPr>
          <w:rFonts w:cs="Arial"/>
        </w:rPr>
      </w:pPr>
      <w:r w:rsidRPr="001E2783">
        <w:rPr>
          <w:rFonts w:cs="Arial"/>
        </w:rPr>
        <w:t>participation.</w:t>
      </w:r>
    </w:p>
    <w:p w14:paraId="539DCBDE" w14:textId="77777777" w:rsidR="005A1C52" w:rsidRPr="001E2783" w:rsidRDefault="00793BCF" w:rsidP="005A1C52">
      <w:pPr>
        <w:keepNext/>
        <w:spacing w:after="80"/>
        <w:rPr>
          <w:rFonts w:cs="Arial"/>
        </w:rPr>
      </w:pPr>
      <w:r w:rsidRPr="001E2783">
        <w:rPr>
          <w:rFonts w:cs="Arial"/>
        </w:rPr>
        <w:t>To this end, i</w:t>
      </w:r>
      <w:r w:rsidR="005A1C52" w:rsidRPr="001E2783">
        <w:rPr>
          <w:rFonts w:cs="Arial"/>
        </w:rPr>
        <w:t xml:space="preserve">n 2013–14, the ACMA </w:t>
      </w:r>
      <w:r w:rsidR="008B5833" w:rsidRPr="001E2783">
        <w:rPr>
          <w:rFonts w:cs="Arial"/>
        </w:rPr>
        <w:t xml:space="preserve">actively </w:t>
      </w:r>
      <w:r w:rsidR="005A1C52" w:rsidRPr="001E2783">
        <w:rPr>
          <w:rFonts w:cs="Arial"/>
        </w:rPr>
        <w:t>participated in the following international efforts to counter unsolicited telemarketing calls and spam:</w:t>
      </w:r>
    </w:p>
    <w:p w14:paraId="67A2F3E4" w14:textId="77777777" w:rsidR="005A1C52" w:rsidRPr="001E2783" w:rsidRDefault="005A1C52" w:rsidP="005A1C52">
      <w:pPr>
        <w:pStyle w:val="ListBullet"/>
        <w:rPr>
          <w:rFonts w:cs="Arial"/>
        </w:rPr>
      </w:pPr>
      <w:r w:rsidRPr="001E2783">
        <w:rPr>
          <w:rFonts w:cs="Arial"/>
          <w:b/>
        </w:rPr>
        <w:t>London Action Plan</w:t>
      </w:r>
      <w:r w:rsidRPr="001E2783">
        <w:rPr>
          <w:rFonts w:cs="Arial"/>
        </w:rPr>
        <w:t xml:space="preserve">—the LAP is a prominent international forum that fosters spam enforcement cooperation between its members. The LAP has 45 government members, 28 industry participants and five observers. </w:t>
      </w:r>
    </w:p>
    <w:p w14:paraId="71734F69" w14:textId="77777777" w:rsidR="0053136B" w:rsidRPr="001E2783" w:rsidRDefault="0053136B" w:rsidP="0053136B">
      <w:pPr>
        <w:pStyle w:val="ListBullet"/>
        <w:spacing w:after="240"/>
        <w:rPr>
          <w:rFonts w:cs="Arial"/>
        </w:rPr>
      </w:pPr>
      <w:r w:rsidRPr="001E2783">
        <w:rPr>
          <w:rFonts w:cs="Arial"/>
          <w:b/>
        </w:rPr>
        <w:t>International Do Not Call Network</w:t>
      </w:r>
      <w:r w:rsidRPr="001E2783">
        <w:rPr>
          <w:rFonts w:cs="Arial"/>
        </w:rPr>
        <w:t xml:space="preserve">—the Network (a part of the London Action Plan) focuses on unsolicited telemarketing calls and administering Do Not Call schemes in members’ respective jurisdictions. </w:t>
      </w:r>
    </w:p>
    <w:p w14:paraId="6FBA6A53" w14:textId="77777777" w:rsidR="00CE76C7" w:rsidRPr="001E2783" w:rsidRDefault="00CE76C7" w:rsidP="00CE76C7">
      <w:pPr>
        <w:pStyle w:val="BodysubheaderH4"/>
        <w:rPr>
          <w:rFonts w:cs="Arial"/>
        </w:rPr>
      </w:pPr>
      <w:r w:rsidRPr="001E2783">
        <w:rPr>
          <w:rFonts w:cs="Arial"/>
        </w:rPr>
        <w:t>De-registration of e-marketing code</w:t>
      </w:r>
    </w:p>
    <w:p w14:paraId="5D8DE3AB" w14:textId="77777777" w:rsidR="00CE76C7" w:rsidRPr="001E2783" w:rsidRDefault="00CE76C7" w:rsidP="0018323E">
      <w:pPr>
        <w:rPr>
          <w:rFonts w:cs="Arial"/>
        </w:rPr>
      </w:pPr>
      <w:r w:rsidRPr="001E2783">
        <w:rPr>
          <w:rFonts w:cs="Arial"/>
        </w:rPr>
        <w:t xml:space="preserve">In June 2014, the ACMA de-registered the Australian eMarketing Code of Practice March 2005 following a public consultation process. </w:t>
      </w:r>
    </w:p>
    <w:p w14:paraId="5BDE7DB2" w14:textId="77777777" w:rsidR="0018323E" w:rsidRPr="001E2783" w:rsidRDefault="0018323E" w:rsidP="0018323E">
      <w:pPr>
        <w:rPr>
          <w:rFonts w:cs="Arial"/>
        </w:rPr>
      </w:pPr>
    </w:p>
    <w:p w14:paraId="2763F828" w14:textId="77777777" w:rsidR="00CE76C7" w:rsidRPr="001E2783" w:rsidRDefault="00CE76C7" w:rsidP="0018323E">
      <w:pPr>
        <w:rPr>
          <w:rFonts w:cs="Arial"/>
        </w:rPr>
      </w:pPr>
      <w:r w:rsidRPr="001E2783">
        <w:rPr>
          <w:rFonts w:cs="Arial"/>
        </w:rPr>
        <w:t>The ACMA considered that the code had no ongoing utility, as its relevance to contemporary e-marketing activities had substantially diminished since its introduction in March 2005. Technological advancements, changed business practices and the code’s limited application—to only a small segment of those business</w:t>
      </w:r>
      <w:r w:rsidR="008E049D" w:rsidRPr="001E2783">
        <w:rPr>
          <w:rFonts w:cs="Arial"/>
        </w:rPr>
        <w:t xml:space="preserve">es engaging in </w:t>
      </w:r>
      <w:r w:rsidR="008E049D" w:rsidRPr="001E2783">
        <w:rPr>
          <w:rFonts w:cs="Arial"/>
        </w:rPr>
        <w:br/>
        <w:t>e-</w:t>
      </w:r>
      <w:r w:rsidRPr="001E2783">
        <w:rPr>
          <w:rFonts w:cs="Arial"/>
        </w:rPr>
        <w:t>marketing today—are some of the factors that contributed to the ACMA’s assessment. Existing protections in the Spam Act</w:t>
      </w:r>
      <w:r w:rsidRPr="001E2783">
        <w:rPr>
          <w:rFonts w:cs="Arial"/>
          <w:i/>
        </w:rPr>
        <w:t xml:space="preserve"> </w:t>
      </w:r>
      <w:r w:rsidRPr="001E2783">
        <w:rPr>
          <w:rFonts w:cs="Arial"/>
        </w:rPr>
        <w:t>continue to provide appropriate community safeguards against spam.</w:t>
      </w:r>
    </w:p>
    <w:p w14:paraId="4133D2A0" w14:textId="77777777" w:rsidR="0053136B" w:rsidRPr="001E2783" w:rsidRDefault="0053136B" w:rsidP="0018323E">
      <w:pPr>
        <w:rPr>
          <w:rFonts w:cs="Arial"/>
        </w:rPr>
      </w:pPr>
    </w:p>
    <w:tbl>
      <w:tblPr>
        <w:tblW w:w="9645" w:type="dxa"/>
        <w:shd w:val="clear" w:color="auto" w:fill="F2F2F2" w:themeFill="background1" w:themeFillShade="F2"/>
        <w:tblLayout w:type="fixed"/>
        <w:tblCellMar>
          <w:left w:w="0" w:type="dxa"/>
          <w:right w:w="0" w:type="dxa"/>
        </w:tblCellMar>
        <w:tblLook w:val="01E0" w:firstRow="1" w:lastRow="1" w:firstColumn="1" w:lastColumn="1" w:noHBand="0" w:noVBand="0"/>
      </w:tblPr>
      <w:tblGrid>
        <w:gridCol w:w="9645"/>
      </w:tblGrid>
      <w:tr w:rsidR="001E2783" w:rsidRPr="001E2783" w14:paraId="0EC133E0" w14:textId="77777777" w:rsidTr="005A1C52">
        <w:trPr>
          <w:trHeight w:val="570"/>
        </w:trPr>
        <w:tc>
          <w:tcPr>
            <w:tcW w:w="9645" w:type="dxa"/>
            <w:tcBorders>
              <w:top w:val="single" w:sz="2" w:space="0" w:color="505050"/>
            </w:tcBorders>
            <w:shd w:val="clear" w:color="auto" w:fill="F2F2F2" w:themeFill="background1" w:themeFillShade="F2"/>
            <w:vAlign w:val="center"/>
          </w:tcPr>
          <w:p w14:paraId="7C241186" w14:textId="77777777" w:rsidR="005A1C52" w:rsidRPr="001E2783" w:rsidRDefault="005A1C52" w:rsidP="003606DE">
            <w:pPr>
              <w:pStyle w:val="Caption"/>
              <w:keepNext/>
              <w:keepLines/>
              <w:rPr>
                <w:rFonts w:ascii="Arial" w:hAnsi="Arial" w:cs="Arial"/>
                <w:color w:val="auto"/>
              </w:rPr>
            </w:pPr>
            <w:r w:rsidRPr="001E2783">
              <w:rPr>
                <w:rFonts w:ascii="Arial" w:hAnsi="Arial" w:cs="Arial"/>
                <w:color w:val="auto"/>
              </w:rPr>
              <w:t>Case study</w:t>
            </w:r>
            <w:r w:rsidRPr="001E2783">
              <w:rPr>
                <w:rFonts w:ascii="Arial" w:hAnsi="Arial" w:cs="Arial"/>
                <w:color w:val="auto"/>
              </w:rPr>
              <w:br/>
            </w:r>
            <w:r w:rsidR="003606DE" w:rsidRPr="001E2783">
              <w:rPr>
                <w:rFonts w:ascii="Arial" w:hAnsi="Arial" w:cs="Arial"/>
                <w:color w:val="auto"/>
              </w:rPr>
              <w:t>A</w:t>
            </w:r>
            <w:r w:rsidRPr="001E2783">
              <w:rPr>
                <w:rFonts w:ascii="Arial" w:hAnsi="Arial" w:cs="Arial"/>
                <w:color w:val="auto"/>
              </w:rPr>
              <w:t>nti-spam regulation in Australia</w:t>
            </w:r>
            <w:r w:rsidR="003606DE" w:rsidRPr="001E2783">
              <w:rPr>
                <w:rFonts w:ascii="Arial" w:hAnsi="Arial" w:cs="Arial"/>
                <w:color w:val="auto"/>
              </w:rPr>
              <w:t>—10 years on</w:t>
            </w:r>
          </w:p>
        </w:tc>
      </w:tr>
      <w:tr w:rsidR="001E2783" w:rsidRPr="001E2783" w14:paraId="19005B56" w14:textId="77777777" w:rsidTr="005A1C52">
        <w:trPr>
          <w:trHeight w:val="624"/>
        </w:trPr>
        <w:tc>
          <w:tcPr>
            <w:tcW w:w="9645" w:type="dxa"/>
            <w:shd w:val="clear" w:color="auto" w:fill="F2F2F2" w:themeFill="background1" w:themeFillShade="F2"/>
            <w:tcMar>
              <w:left w:w="28" w:type="dxa"/>
            </w:tcMar>
          </w:tcPr>
          <w:p w14:paraId="24EFC4F6" w14:textId="77777777" w:rsidR="00CE76C7" w:rsidRPr="001E2783" w:rsidRDefault="00CE76C7" w:rsidP="00CE76C7">
            <w:pPr>
              <w:keepNext/>
              <w:keepLines/>
              <w:rPr>
                <w:rFonts w:cs="Arial"/>
              </w:rPr>
            </w:pPr>
            <w:r w:rsidRPr="001E2783">
              <w:rPr>
                <w:rFonts w:cs="Arial"/>
              </w:rPr>
              <w:t>In the 10 years since the inception of the Spam Act, the ACMA has become a world leader in the fight against spam. The Explanatory Memorandum to the introduction of the Act in December 2003 described the spam problem of the time as of ‘plague proportions and growing exponentially … causing immense frustration and reduced productivity for users, businesses and government agencies … threatening the viability of the internet as a reliable communications medium’.</w:t>
            </w:r>
          </w:p>
          <w:p w14:paraId="1D63C7C4" w14:textId="77777777" w:rsidR="00CE76C7" w:rsidRPr="001E2783" w:rsidRDefault="00CE76C7" w:rsidP="00CE76C7">
            <w:pPr>
              <w:keepNext/>
              <w:keepLines/>
              <w:rPr>
                <w:rFonts w:cs="Arial"/>
              </w:rPr>
            </w:pPr>
          </w:p>
          <w:p w14:paraId="17F37F1A" w14:textId="77777777" w:rsidR="00CE76C7" w:rsidRPr="001E2783" w:rsidRDefault="00CE76C7" w:rsidP="00CE76C7">
            <w:pPr>
              <w:keepNext/>
              <w:keepLines/>
              <w:rPr>
                <w:rFonts w:cs="Arial"/>
              </w:rPr>
            </w:pPr>
            <w:r w:rsidRPr="001E2783">
              <w:rPr>
                <w:rFonts w:cs="Arial"/>
              </w:rPr>
              <w:t>During the 10 years the Act has been in operation, the ACMA has seen a clear progression in the Australian public’s ability to manage</w:t>
            </w:r>
            <w:r w:rsidR="006D3BD6" w:rsidRPr="001E2783">
              <w:rPr>
                <w:rFonts w:cs="Arial"/>
              </w:rPr>
              <w:t xml:space="preserve"> the</w:t>
            </w:r>
            <w:r w:rsidRPr="001E2783">
              <w:rPr>
                <w:rFonts w:cs="Arial"/>
              </w:rPr>
              <w:t xml:space="preserve"> spam that </w:t>
            </w:r>
            <w:r w:rsidR="006D3BD6" w:rsidRPr="001E2783">
              <w:rPr>
                <w:rFonts w:cs="Arial"/>
              </w:rPr>
              <w:t>appears in</w:t>
            </w:r>
            <w:r w:rsidRPr="001E2783">
              <w:rPr>
                <w:rFonts w:cs="Arial"/>
              </w:rPr>
              <w:t xml:space="preserve"> their inboxes</w:t>
            </w:r>
            <w:r w:rsidR="006D3BD6" w:rsidRPr="001E2783">
              <w:rPr>
                <w:rFonts w:cs="Arial"/>
              </w:rPr>
              <w:t>.</w:t>
            </w:r>
            <w:r w:rsidRPr="001E2783">
              <w:rPr>
                <w:rFonts w:cs="Arial"/>
              </w:rPr>
              <w:t xml:space="preserve"> Australia </w:t>
            </w:r>
            <w:r w:rsidR="006D3BD6" w:rsidRPr="001E2783">
              <w:rPr>
                <w:rFonts w:cs="Arial"/>
              </w:rPr>
              <w:t xml:space="preserve">has </w:t>
            </w:r>
            <w:r w:rsidRPr="001E2783">
              <w:rPr>
                <w:rFonts w:cs="Arial"/>
              </w:rPr>
              <w:t>drop</w:t>
            </w:r>
            <w:r w:rsidR="006D3BD6" w:rsidRPr="001E2783">
              <w:rPr>
                <w:rFonts w:cs="Arial"/>
              </w:rPr>
              <w:t>ped</w:t>
            </w:r>
            <w:r w:rsidRPr="001E2783">
              <w:rPr>
                <w:rFonts w:cs="Arial"/>
              </w:rPr>
              <w:t xml:space="preserve"> f</w:t>
            </w:r>
            <w:r w:rsidR="006D3BD6" w:rsidRPr="001E2783">
              <w:rPr>
                <w:rFonts w:cs="Arial"/>
              </w:rPr>
              <w:t>rom the 10th most prolific spam-</w:t>
            </w:r>
            <w:r w:rsidRPr="001E2783">
              <w:rPr>
                <w:rFonts w:cs="Arial"/>
              </w:rPr>
              <w:t>relaying country in the world in 2004 to the 44</w:t>
            </w:r>
            <w:r w:rsidR="006D3BD6" w:rsidRPr="001E2783">
              <w:rPr>
                <w:rFonts w:cs="Arial"/>
              </w:rPr>
              <w:t>th in 2013.</w:t>
            </w:r>
          </w:p>
          <w:p w14:paraId="735FB433" w14:textId="77777777" w:rsidR="00CE76C7" w:rsidRPr="001E2783" w:rsidRDefault="00CE76C7" w:rsidP="00CE76C7">
            <w:pPr>
              <w:keepNext/>
              <w:keepLines/>
              <w:rPr>
                <w:rFonts w:cs="Arial"/>
              </w:rPr>
            </w:pPr>
          </w:p>
          <w:p w14:paraId="39910BBA" w14:textId="77777777" w:rsidR="00CE76C7" w:rsidRPr="001E2783" w:rsidRDefault="00CE76C7" w:rsidP="00CE76C7">
            <w:pPr>
              <w:keepNext/>
              <w:keepLines/>
              <w:rPr>
                <w:rFonts w:cs="Arial"/>
              </w:rPr>
            </w:pPr>
            <w:r w:rsidRPr="001E2783">
              <w:rPr>
                <w:rFonts w:cs="Arial"/>
              </w:rPr>
              <w:t xml:space="preserve">A key element of the ACMA’s fight against spam has been </w:t>
            </w:r>
            <w:r w:rsidR="006D3BD6" w:rsidRPr="001E2783">
              <w:rPr>
                <w:rFonts w:cs="Arial"/>
              </w:rPr>
              <w:t>to adopt</w:t>
            </w:r>
            <w:r w:rsidRPr="001E2783">
              <w:rPr>
                <w:rFonts w:cs="Arial"/>
              </w:rPr>
              <w:t xml:space="preserve"> a multi-layered strategy </w:t>
            </w:r>
            <w:r w:rsidR="006E46AA" w:rsidRPr="001E2783">
              <w:rPr>
                <w:rFonts w:cs="Arial"/>
              </w:rPr>
              <w:t>which</w:t>
            </w:r>
            <w:r w:rsidRPr="001E2783">
              <w:rPr>
                <w:rFonts w:cs="Arial"/>
              </w:rPr>
              <w:t xml:space="preserve"> recognised from the start that the legislation would</w:t>
            </w:r>
            <w:r w:rsidR="006D3BD6" w:rsidRPr="001E2783">
              <w:rPr>
                <w:rFonts w:cs="Arial"/>
              </w:rPr>
              <w:t xml:space="preserve"> only be part of the solution. I</w:t>
            </w:r>
            <w:r w:rsidRPr="001E2783">
              <w:rPr>
                <w:rFonts w:cs="Arial"/>
              </w:rPr>
              <w:t>n addition to strong</w:t>
            </w:r>
            <w:r w:rsidR="006D3BD6" w:rsidRPr="001E2783">
              <w:rPr>
                <w:rFonts w:cs="Arial"/>
              </w:rPr>
              <w:t xml:space="preserve">ly enforcing </w:t>
            </w:r>
            <w:r w:rsidRPr="001E2783">
              <w:rPr>
                <w:rFonts w:cs="Arial"/>
              </w:rPr>
              <w:t xml:space="preserve">the anti-spam rules, the ACMA has also focused on </w:t>
            </w:r>
            <w:r w:rsidR="006D3BD6" w:rsidRPr="001E2783">
              <w:rPr>
                <w:rFonts w:cs="Arial"/>
              </w:rPr>
              <w:t xml:space="preserve">undertaking </w:t>
            </w:r>
            <w:r w:rsidRPr="001E2783">
              <w:rPr>
                <w:rFonts w:cs="Arial"/>
              </w:rPr>
              <w:t>consumer and business education and awareness activities, building industry and global partnerships</w:t>
            </w:r>
            <w:r w:rsidR="006D3BD6" w:rsidRPr="001E2783">
              <w:rPr>
                <w:rFonts w:cs="Arial"/>
              </w:rPr>
              <w:t>,</w:t>
            </w:r>
            <w:r w:rsidRPr="001E2783">
              <w:rPr>
                <w:rFonts w:cs="Arial"/>
              </w:rPr>
              <w:t xml:space="preserve"> and developing technological initiatives and solutions.</w:t>
            </w:r>
          </w:p>
          <w:p w14:paraId="0C7BBA83" w14:textId="77777777" w:rsidR="00CE76C7" w:rsidRPr="001E2783" w:rsidRDefault="00CE76C7" w:rsidP="00CE76C7">
            <w:pPr>
              <w:keepNext/>
              <w:keepLines/>
              <w:rPr>
                <w:rFonts w:cs="Arial"/>
              </w:rPr>
            </w:pPr>
          </w:p>
          <w:p w14:paraId="01AEE233" w14:textId="77777777" w:rsidR="00CE76C7" w:rsidRPr="001E2783" w:rsidRDefault="00CE76C7" w:rsidP="00CE76C7">
            <w:pPr>
              <w:keepNext/>
              <w:keepLines/>
              <w:rPr>
                <w:rFonts w:cs="Arial"/>
              </w:rPr>
            </w:pPr>
            <w:r w:rsidRPr="001E2783">
              <w:rPr>
                <w:rFonts w:cs="Arial"/>
              </w:rPr>
              <w:t xml:space="preserve">The ACMA has developed an effective graduated business compliance program </w:t>
            </w:r>
            <w:r w:rsidR="006D3BD6" w:rsidRPr="001E2783">
              <w:rPr>
                <w:rFonts w:cs="Arial"/>
              </w:rPr>
              <w:t>that</w:t>
            </w:r>
            <w:r w:rsidRPr="001E2783">
              <w:rPr>
                <w:rFonts w:cs="Arial"/>
              </w:rPr>
              <w:t xml:space="preserve"> address</w:t>
            </w:r>
            <w:r w:rsidR="006D3BD6" w:rsidRPr="001E2783">
              <w:rPr>
                <w:rFonts w:cs="Arial"/>
              </w:rPr>
              <w:t>es</w:t>
            </w:r>
            <w:r w:rsidRPr="001E2783">
              <w:rPr>
                <w:rFonts w:cs="Arial"/>
              </w:rPr>
              <w:t xml:space="preserve"> potential non-compliance through education and informal warnings in the f</w:t>
            </w:r>
            <w:r w:rsidR="005B1422" w:rsidRPr="001E2783">
              <w:rPr>
                <w:rFonts w:cs="Arial"/>
              </w:rPr>
              <w:t>irst instance. In 2014, only 12 </w:t>
            </w:r>
            <w:r w:rsidRPr="001E2783">
              <w:rPr>
                <w:rFonts w:cs="Arial"/>
              </w:rPr>
              <w:t>per cent of businesses required more than one contact from the ACMA to correct suspected compliance issues following a report or complai</w:t>
            </w:r>
            <w:r w:rsidR="006D3BD6" w:rsidRPr="001E2783">
              <w:rPr>
                <w:rFonts w:cs="Arial"/>
              </w:rPr>
              <w:t>nt from a member of the public.</w:t>
            </w:r>
            <w:r w:rsidRPr="001E2783">
              <w:rPr>
                <w:rFonts w:cs="Arial"/>
              </w:rPr>
              <w:t xml:space="preserve"> For businesses not so quick to act, cases may be escalated for more formal action</w:t>
            </w:r>
            <w:r w:rsidR="006D3BD6" w:rsidRPr="001E2783">
              <w:rPr>
                <w:rFonts w:cs="Arial"/>
              </w:rPr>
              <w:t>—</w:t>
            </w:r>
            <w:r w:rsidRPr="001E2783">
              <w:rPr>
                <w:rFonts w:cs="Arial"/>
              </w:rPr>
              <w:t>over the years</w:t>
            </w:r>
            <w:r w:rsidR="006D3BD6" w:rsidRPr="001E2783">
              <w:rPr>
                <w:rFonts w:cs="Arial"/>
              </w:rPr>
              <w:t>,</w:t>
            </w:r>
            <w:r w:rsidRPr="001E2783">
              <w:rPr>
                <w:rFonts w:cs="Arial"/>
              </w:rPr>
              <w:t xml:space="preserve"> the ACMA has investigated some of Australia’s biggest household names </w:t>
            </w:r>
            <w:r w:rsidR="006D3BD6" w:rsidRPr="001E2783">
              <w:rPr>
                <w:rFonts w:cs="Arial"/>
              </w:rPr>
              <w:t>about</w:t>
            </w:r>
            <w:r w:rsidRPr="001E2783">
              <w:rPr>
                <w:rFonts w:cs="Arial"/>
              </w:rPr>
              <w:t xml:space="preserve"> breaches of the Act and imposed ove</w:t>
            </w:r>
            <w:r w:rsidR="005B1422" w:rsidRPr="001E2783">
              <w:rPr>
                <w:rFonts w:cs="Arial"/>
              </w:rPr>
              <w:t>r $1 </w:t>
            </w:r>
            <w:r w:rsidRPr="001E2783">
              <w:rPr>
                <w:rFonts w:cs="Arial"/>
              </w:rPr>
              <w:t xml:space="preserve">million in financial penalties.  </w:t>
            </w:r>
          </w:p>
          <w:p w14:paraId="2D287141" w14:textId="77777777" w:rsidR="00CE76C7" w:rsidRPr="001E2783" w:rsidRDefault="00CE76C7" w:rsidP="00CE76C7">
            <w:pPr>
              <w:keepNext/>
              <w:keepLines/>
              <w:rPr>
                <w:rFonts w:cs="Arial"/>
              </w:rPr>
            </w:pPr>
          </w:p>
          <w:p w14:paraId="038DA356" w14:textId="24099FF6" w:rsidR="00CE76C7" w:rsidRPr="001E2783" w:rsidRDefault="00CE76C7" w:rsidP="00CE76C7">
            <w:pPr>
              <w:keepNext/>
              <w:keepLines/>
              <w:rPr>
                <w:rFonts w:cs="Arial"/>
              </w:rPr>
            </w:pPr>
            <w:r w:rsidRPr="001E2783">
              <w:rPr>
                <w:rFonts w:cs="Arial"/>
              </w:rPr>
              <w:t>In seeking to gather and analyse spam, t</w:t>
            </w:r>
            <w:r w:rsidR="006D3BD6" w:rsidRPr="001E2783">
              <w:rPr>
                <w:rFonts w:cs="Arial"/>
              </w:rPr>
              <w:t>he ACMA has developed advanced—</w:t>
            </w:r>
            <w:r w:rsidRPr="001E2783">
              <w:rPr>
                <w:rFonts w:cs="Arial"/>
              </w:rPr>
              <w:t>and globally recognised</w:t>
            </w:r>
            <w:r w:rsidR="006D3BD6" w:rsidRPr="001E2783">
              <w:rPr>
                <w:rFonts w:cs="Arial"/>
              </w:rPr>
              <w:t>—</w:t>
            </w:r>
            <w:r w:rsidRPr="001E2783">
              <w:rPr>
                <w:rFonts w:cs="Arial"/>
              </w:rPr>
              <w:t>technological solutions</w:t>
            </w:r>
            <w:r w:rsidR="006D3BD6" w:rsidRPr="001E2783">
              <w:rPr>
                <w:rFonts w:cs="Arial"/>
              </w:rPr>
              <w:t>,</w:t>
            </w:r>
            <w:r w:rsidRPr="001E2783">
              <w:rPr>
                <w:rFonts w:cs="Arial"/>
              </w:rPr>
              <w:t xml:space="preserve"> with its Spam Intelligence Database and Australian Interne</w:t>
            </w:r>
            <w:r w:rsidR="005B1422" w:rsidRPr="001E2783">
              <w:rPr>
                <w:rFonts w:cs="Arial"/>
              </w:rPr>
              <w:t xml:space="preserve">t Security Initiative (see </w:t>
            </w:r>
            <w:r w:rsidR="00642061" w:rsidRPr="00642061">
              <w:rPr>
                <w:rFonts w:cs="Arial"/>
                <w:i/>
              </w:rPr>
              <w:t>Cybersecurity</w:t>
            </w:r>
            <w:r w:rsidRPr="00642061">
              <w:rPr>
                <w:rFonts w:cs="Arial"/>
              </w:rPr>
              <w:t>)</w:t>
            </w:r>
            <w:r w:rsidRPr="001E2783">
              <w:rPr>
                <w:rFonts w:cs="Arial"/>
              </w:rPr>
              <w:t xml:space="preserve"> now used by hundreds of organisations to protect consumers and businesses from spam, malware, phishing and other threats to internet security. Recognising spam as a cros</w:t>
            </w:r>
            <w:r w:rsidR="006D3BD6" w:rsidRPr="001E2783">
              <w:rPr>
                <w:rFonts w:cs="Arial"/>
              </w:rPr>
              <w:t>s-</w:t>
            </w:r>
            <w:r w:rsidRPr="001E2783">
              <w:rPr>
                <w:rFonts w:cs="Arial"/>
              </w:rPr>
              <w:t xml:space="preserve">jurisdictional problem, the ACMA has also helped establish, and been an active contributor to, international forums such as the London Action Plan. </w:t>
            </w:r>
          </w:p>
          <w:p w14:paraId="6BBFC0C1" w14:textId="77777777" w:rsidR="00CE76C7" w:rsidRPr="001E2783" w:rsidRDefault="00CE76C7" w:rsidP="00CE76C7">
            <w:pPr>
              <w:keepNext/>
              <w:keepLines/>
              <w:rPr>
                <w:rFonts w:cs="Arial"/>
              </w:rPr>
            </w:pPr>
          </w:p>
          <w:p w14:paraId="365293E4" w14:textId="77777777" w:rsidR="005A1C52" w:rsidRPr="001E2783" w:rsidRDefault="00CE76C7" w:rsidP="006D3BD6">
            <w:pPr>
              <w:keepNext/>
              <w:keepLines/>
              <w:rPr>
                <w:rFonts w:cs="Arial"/>
              </w:rPr>
            </w:pPr>
            <w:r w:rsidRPr="001E2783">
              <w:rPr>
                <w:rFonts w:cs="Arial"/>
              </w:rPr>
              <w:t xml:space="preserve">Spam has been a moving target for the ACMA over the last decade. It </w:t>
            </w:r>
            <w:r w:rsidR="006D3BD6" w:rsidRPr="001E2783">
              <w:rPr>
                <w:rFonts w:cs="Arial"/>
              </w:rPr>
              <w:t>is</w:t>
            </w:r>
            <w:r w:rsidRPr="001E2783">
              <w:rPr>
                <w:rFonts w:cs="Arial"/>
              </w:rPr>
              <w:t xml:space="preserve"> a global problem, with the number of businesses using online channels continually growing</w:t>
            </w:r>
            <w:r w:rsidR="006D3BD6" w:rsidRPr="001E2783">
              <w:rPr>
                <w:rFonts w:cs="Arial"/>
              </w:rPr>
              <w:t>,</w:t>
            </w:r>
            <w:r w:rsidRPr="001E2783">
              <w:rPr>
                <w:rFonts w:cs="Arial"/>
              </w:rPr>
              <w:t xml:space="preserve"> and spammers leveraging technological and social change to proliferate their messages. Even still, the Spam Act has proven to be robust legislation and remains Australia’s centrepiece in the fight against spam.</w:t>
            </w:r>
          </w:p>
        </w:tc>
      </w:tr>
      <w:tr w:rsidR="001E2783" w:rsidRPr="001E2783" w14:paraId="0A4528F9" w14:textId="77777777" w:rsidTr="005A1C52">
        <w:trPr>
          <w:trHeight w:val="291"/>
        </w:trPr>
        <w:tc>
          <w:tcPr>
            <w:tcW w:w="9645" w:type="dxa"/>
            <w:tcBorders>
              <w:bottom w:val="single" w:sz="2" w:space="0" w:color="505050"/>
            </w:tcBorders>
            <w:shd w:val="clear" w:color="auto" w:fill="F2F2F2" w:themeFill="background1" w:themeFillShade="F2"/>
          </w:tcPr>
          <w:p w14:paraId="3DBCACFD" w14:textId="77777777" w:rsidR="005A1C52" w:rsidRPr="001E2783" w:rsidRDefault="005A1C52" w:rsidP="005A1C52">
            <w:pPr>
              <w:keepNext/>
              <w:keepLines/>
              <w:rPr>
                <w:rFonts w:cs="Arial"/>
              </w:rPr>
            </w:pPr>
          </w:p>
        </w:tc>
      </w:tr>
    </w:tbl>
    <w:p w14:paraId="1A41A1BD" w14:textId="77777777" w:rsidR="005A1C52" w:rsidRPr="001E2783" w:rsidRDefault="005A1C52" w:rsidP="005A1C52">
      <w:pPr>
        <w:rPr>
          <w:rFonts w:cs="Arial"/>
        </w:rPr>
      </w:pPr>
    </w:p>
    <w:p w14:paraId="62E69BDC" w14:textId="77777777" w:rsidR="005A1C52" w:rsidRPr="001E2783" w:rsidRDefault="005A1C52" w:rsidP="0022105C">
      <w:pPr>
        <w:pStyle w:val="Heading3"/>
      </w:pPr>
      <w:bookmarkStart w:id="184" w:name="_Toc274124075"/>
      <w:bookmarkStart w:id="185" w:name="_Toc337727594"/>
      <w:bookmarkStart w:id="186" w:name="_Toc400018562"/>
      <w:r w:rsidRPr="001E2783">
        <w:t>Broadcasting compliance—complaints and investigations</w:t>
      </w:r>
      <w:bookmarkEnd w:id="184"/>
      <w:bookmarkEnd w:id="185"/>
      <w:bookmarkEnd w:id="186"/>
    </w:p>
    <w:p w14:paraId="43F63CB6" w14:textId="77777777" w:rsidR="005A1C52" w:rsidRPr="001E2783" w:rsidRDefault="005A1C52" w:rsidP="005A1C52">
      <w:pPr>
        <w:rPr>
          <w:rFonts w:cs="Arial"/>
        </w:rPr>
      </w:pPr>
      <w:r w:rsidRPr="001E2783">
        <w:rPr>
          <w:rFonts w:cs="Arial"/>
        </w:rPr>
        <w:t>The ACMA conducts investigations into matters related to broadcasting codes of practice and compliance with obligations in the BSA, including licence conditions and program standards.</w:t>
      </w:r>
    </w:p>
    <w:p w14:paraId="5883DA46" w14:textId="77777777" w:rsidR="005A1C52" w:rsidRPr="001E2783" w:rsidRDefault="005A1C52" w:rsidP="005A1C52">
      <w:pPr>
        <w:rPr>
          <w:rFonts w:cs="Arial"/>
        </w:rPr>
      </w:pPr>
    </w:p>
    <w:p w14:paraId="55598632" w14:textId="77777777" w:rsidR="005A1C52" w:rsidRPr="001E2783" w:rsidRDefault="005A1C52" w:rsidP="005A1C52">
      <w:pPr>
        <w:rPr>
          <w:rFonts w:cs="Arial"/>
        </w:rPr>
      </w:pPr>
      <w:r w:rsidRPr="001E2783">
        <w:rPr>
          <w:rFonts w:cs="Arial"/>
        </w:rPr>
        <w:t xml:space="preserve">Most investigations are undertaken in response to complaints. The ACMA can investigate complaints made directly to it if they are about a licensee’s compliance with a licence condition or a program standard. The ACMA can also initiate investigations and conduct investigations at the direction of the minister. </w:t>
      </w:r>
    </w:p>
    <w:p w14:paraId="667E130A" w14:textId="77777777" w:rsidR="005A1C52" w:rsidRPr="001E2783" w:rsidRDefault="005A1C52" w:rsidP="005A1C52">
      <w:pPr>
        <w:rPr>
          <w:rFonts w:cs="Arial"/>
        </w:rPr>
      </w:pPr>
    </w:p>
    <w:p w14:paraId="0DAD4F89" w14:textId="77777777" w:rsidR="005A1C52" w:rsidRPr="001E2783" w:rsidRDefault="005A1C52" w:rsidP="005A1C52">
      <w:pPr>
        <w:pStyle w:val="BodysubheaderH4"/>
        <w:rPr>
          <w:rFonts w:cs="Arial"/>
        </w:rPr>
      </w:pPr>
      <w:r w:rsidRPr="001E2783">
        <w:rPr>
          <w:rFonts w:cs="Arial"/>
        </w:rPr>
        <w:t>Broadcasting codes of practice</w:t>
      </w:r>
    </w:p>
    <w:p w14:paraId="4CD0F9A2" w14:textId="77777777" w:rsidR="005A1C52" w:rsidRPr="001E2783" w:rsidRDefault="005A1C52" w:rsidP="005A1C52">
      <w:pPr>
        <w:rPr>
          <w:rFonts w:cs="Arial"/>
        </w:rPr>
      </w:pPr>
      <w:r w:rsidRPr="001E2783">
        <w:rPr>
          <w:rFonts w:cs="Arial"/>
        </w:rPr>
        <w:t>The ACMA’s co-regulatory role in dealing with complaints under industry codes is prescribed by the BSA.</w:t>
      </w:r>
    </w:p>
    <w:p w14:paraId="0805A4E8" w14:textId="77777777" w:rsidR="005A1C52" w:rsidRPr="001E2783" w:rsidRDefault="005A1C52" w:rsidP="005A1C52">
      <w:pPr>
        <w:rPr>
          <w:rFonts w:cs="Arial"/>
        </w:rPr>
      </w:pPr>
    </w:p>
    <w:p w14:paraId="5B93FEB8" w14:textId="77777777" w:rsidR="005A1C52" w:rsidRPr="001E2783" w:rsidRDefault="005B1422" w:rsidP="0018323E">
      <w:pPr>
        <w:keepNext/>
        <w:spacing w:after="80"/>
        <w:rPr>
          <w:rFonts w:cs="Arial"/>
        </w:rPr>
      </w:pPr>
      <w:r w:rsidRPr="001E2783">
        <w:rPr>
          <w:rFonts w:cs="Arial"/>
        </w:rPr>
        <w:t>Section </w:t>
      </w:r>
      <w:r w:rsidR="005A1C52" w:rsidRPr="001E2783">
        <w:rPr>
          <w:rFonts w:cs="Arial"/>
        </w:rPr>
        <w:t xml:space="preserve">123 of the BSA allows commercial, subscription, narrowcast and community sections of the broadcasting industry to develop codes of practice and submit those codes to the ACMA for registration. The ACMA must register a code if it is satisfied that: </w:t>
      </w:r>
    </w:p>
    <w:p w14:paraId="579FB9A6" w14:textId="77777777" w:rsidR="005A1C52" w:rsidRPr="001E2783" w:rsidRDefault="005A1C52" w:rsidP="0022105C">
      <w:pPr>
        <w:pStyle w:val="ListBullet"/>
        <w:rPr>
          <w:rFonts w:cs="Arial"/>
        </w:rPr>
      </w:pPr>
      <w:r w:rsidRPr="001E2783">
        <w:rPr>
          <w:rFonts w:cs="Arial"/>
        </w:rPr>
        <w:t>the code provides appropriate community safeguards for the matters that it covers</w:t>
      </w:r>
    </w:p>
    <w:p w14:paraId="25A20938" w14:textId="77777777" w:rsidR="005A1C52" w:rsidRPr="001E2783" w:rsidRDefault="005A1C52" w:rsidP="0022105C">
      <w:pPr>
        <w:pStyle w:val="ListBullet"/>
        <w:rPr>
          <w:rFonts w:cs="Arial"/>
        </w:rPr>
      </w:pPr>
      <w:r w:rsidRPr="001E2783">
        <w:rPr>
          <w:rFonts w:cs="Arial"/>
        </w:rPr>
        <w:t>the code was endorsed by a majority of providers of broadcasting services in that section of the industry</w:t>
      </w:r>
    </w:p>
    <w:p w14:paraId="5448831B" w14:textId="77777777" w:rsidR="005A1C52" w:rsidRPr="001E2783" w:rsidRDefault="005A1C52" w:rsidP="0022105C">
      <w:pPr>
        <w:pStyle w:val="ListBullet"/>
        <w:spacing w:after="240"/>
        <w:rPr>
          <w:rFonts w:cs="Arial"/>
        </w:rPr>
      </w:pPr>
      <w:r w:rsidRPr="001E2783">
        <w:rPr>
          <w:rFonts w:cs="Arial"/>
        </w:rPr>
        <w:t xml:space="preserve">members of the public have been given an adequate opportunity to comment. </w:t>
      </w:r>
    </w:p>
    <w:p w14:paraId="7CDA93DF" w14:textId="77777777" w:rsidR="005A1C52" w:rsidRPr="001E2783" w:rsidRDefault="005A1C52" w:rsidP="005A1C52">
      <w:pPr>
        <w:rPr>
          <w:rFonts w:cs="Arial"/>
        </w:rPr>
      </w:pPr>
      <w:r w:rsidRPr="001E2783">
        <w:rPr>
          <w:rFonts w:cs="Arial"/>
        </w:rPr>
        <w:t>National broadcasters notify their codes to the ACMA.</w:t>
      </w:r>
    </w:p>
    <w:p w14:paraId="6867D5E2" w14:textId="77777777" w:rsidR="005A1C52" w:rsidRPr="001E2783" w:rsidRDefault="005A1C52" w:rsidP="005A1C52">
      <w:pPr>
        <w:rPr>
          <w:rFonts w:cs="Arial"/>
        </w:rPr>
      </w:pPr>
    </w:p>
    <w:p w14:paraId="72853350" w14:textId="77777777" w:rsidR="005A1C52" w:rsidRPr="001E2783" w:rsidRDefault="005A1C52" w:rsidP="005A1C52">
      <w:pPr>
        <w:rPr>
          <w:rFonts w:cs="Arial"/>
        </w:rPr>
      </w:pPr>
      <w:r w:rsidRPr="001E2783">
        <w:rPr>
          <w:rFonts w:cs="Arial"/>
        </w:rPr>
        <w:t>Copies of the codes currently registered or notified to the ACMA are available on the ACMA website.</w:t>
      </w:r>
    </w:p>
    <w:p w14:paraId="7B0E79B2" w14:textId="77777777" w:rsidR="005A1C52" w:rsidRPr="001E2783" w:rsidRDefault="005A1C52" w:rsidP="005A1C52">
      <w:pPr>
        <w:rPr>
          <w:rFonts w:cs="Arial"/>
        </w:rPr>
      </w:pPr>
    </w:p>
    <w:p w14:paraId="755FA8C2" w14:textId="77777777" w:rsidR="005A1C52" w:rsidRPr="001E2783" w:rsidRDefault="005A1C52" w:rsidP="005A1C52">
      <w:pPr>
        <w:pStyle w:val="BodysubheaderH4"/>
        <w:rPr>
          <w:rFonts w:cs="Arial"/>
        </w:rPr>
      </w:pPr>
      <w:r w:rsidRPr="001E2783">
        <w:rPr>
          <w:rFonts w:cs="Arial"/>
        </w:rPr>
        <w:t xml:space="preserve">Licence conditions </w:t>
      </w:r>
    </w:p>
    <w:p w14:paraId="71DA077F" w14:textId="77777777" w:rsidR="005A1C52" w:rsidRPr="001E2783" w:rsidRDefault="005A1C52" w:rsidP="005A1C52">
      <w:pPr>
        <w:rPr>
          <w:rFonts w:cs="Arial"/>
        </w:rPr>
      </w:pPr>
      <w:r w:rsidRPr="001E2783">
        <w:rPr>
          <w:rFonts w:cs="Arial"/>
        </w:rPr>
        <w:t>The BSA includes a number of licence conditions made by the Australian Parliament, including for captioning, tobacco advertising, political and election matter, material classified ‘Refused Classification’, local content and local presence. The ACMA also has the power to impose additional licence conditions on individual licensees.</w:t>
      </w:r>
    </w:p>
    <w:p w14:paraId="545E7810" w14:textId="77777777" w:rsidR="005A1C52" w:rsidRPr="001E2783" w:rsidRDefault="005A1C52" w:rsidP="005A1C52">
      <w:pPr>
        <w:rPr>
          <w:rFonts w:cs="Arial"/>
          <w:szCs w:val="20"/>
        </w:rPr>
      </w:pPr>
    </w:p>
    <w:p w14:paraId="4730F16D" w14:textId="77777777" w:rsidR="005A1C52" w:rsidRPr="001E2783" w:rsidRDefault="005A1C52" w:rsidP="005A1C52">
      <w:pPr>
        <w:pStyle w:val="BodysubheaderH4"/>
        <w:rPr>
          <w:rFonts w:cs="Arial"/>
        </w:rPr>
      </w:pPr>
      <w:r w:rsidRPr="001E2783">
        <w:rPr>
          <w:rFonts w:cs="Arial"/>
        </w:rPr>
        <w:t>Standards</w:t>
      </w:r>
    </w:p>
    <w:p w14:paraId="3BAAC6DA" w14:textId="77777777" w:rsidR="005A1C52" w:rsidRPr="001E2783" w:rsidRDefault="005A1C52" w:rsidP="005A1C52">
      <w:pPr>
        <w:rPr>
          <w:rFonts w:cs="Arial"/>
          <w:szCs w:val="20"/>
        </w:rPr>
      </w:pPr>
      <w:r w:rsidRPr="001E2783">
        <w:rPr>
          <w:rFonts w:cs="Arial"/>
          <w:szCs w:val="20"/>
        </w:rPr>
        <w:t xml:space="preserve">The ACMA may determine program standards where codes of practice fail or where no code is developed by industry. Compliance with program standards is a licence condition on relevant licensees. </w:t>
      </w:r>
    </w:p>
    <w:p w14:paraId="219B7463" w14:textId="77777777" w:rsidR="005A1C52" w:rsidRPr="001E2783" w:rsidRDefault="005A1C52" w:rsidP="005A1C52">
      <w:pPr>
        <w:rPr>
          <w:rFonts w:cs="Arial"/>
          <w:iCs/>
          <w:szCs w:val="20"/>
        </w:rPr>
      </w:pPr>
    </w:p>
    <w:p w14:paraId="63CCAF9D" w14:textId="77777777" w:rsidR="005A1C52" w:rsidRPr="001E2783" w:rsidRDefault="005A1C52" w:rsidP="005A1C52">
      <w:pPr>
        <w:spacing w:after="80"/>
        <w:rPr>
          <w:rFonts w:cs="Arial"/>
          <w:iCs/>
          <w:szCs w:val="20"/>
        </w:rPr>
      </w:pPr>
      <w:r w:rsidRPr="001E2783">
        <w:rPr>
          <w:rFonts w:cs="Arial"/>
          <w:iCs/>
          <w:szCs w:val="20"/>
        </w:rPr>
        <w:t>Issues of particular concern to Australians are generally covered by program standards. There are currently program standards covering:</w:t>
      </w:r>
    </w:p>
    <w:p w14:paraId="3E79F5F9" w14:textId="77777777" w:rsidR="005A1C52" w:rsidRPr="001E2783" w:rsidRDefault="005A1C52" w:rsidP="005A1C52">
      <w:pPr>
        <w:pStyle w:val="ListBullet"/>
        <w:tabs>
          <w:tab w:val="clear" w:pos="295"/>
        </w:tabs>
        <w:ind w:left="284"/>
        <w:rPr>
          <w:rFonts w:cs="Arial"/>
        </w:rPr>
      </w:pPr>
      <w:r w:rsidRPr="001E2783">
        <w:rPr>
          <w:rFonts w:cs="Arial"/>
        </w:rPr>
        <w:t>Australian content on commercial television</w:t>
      </w:r>
    </w:p>
    <w:p w14:paraId="67DE266C" w14:textId="77777777" w:rsidR="005A1C52" w:rsidRPr="001E2783" w:rsidRDefault="005A1C52" w:rsidP="005A1C52">
      <w:pPr>
        <w:pStyle w:val="ListBullet"/>
        <w:tabs>
          <w:tab w:val="clear" w:pos="295"/>
        </w:tabs>
        <w:ind w:left="284"/>
        <w:rPr>
          <w:rFonts w:cs="Arial"/>
        </w:rPr>
      </w:pPr>
      <w:r w:rsidRPr="001E2783">
        <w:rPr>
          <w:rFonts w:cs="Arial"/>
        </w:rPr>
        <w:t>commercial influence on commercial radio current affairs programs</w:t>
      </w:r>
    </w:p>
    <w:p w14:paraId="5074FCB0" w14:textId="77777777" w:rsidR="005A1C52" w:rsidRPr="001E2783" w:rsidRDefault="005A1C52" w:rsidP="005A1C52">
      <w:pPr>
        <w:pStyle w:val="ListBullet"/>
        <w:tabs>
          <w:tab w:val="clear" w:pos="295"/>
        </w:tabs>
        <w:ind w:left="284"/>
        <w:rPr>
          <w:rFonts w:cs="Arial"/>
        </w:rPr>
      </w:pPr>
      <w:r w:rsidRPr="001E2783">
        <w:rPr>
          <w:rFonts w:cs="Arial"/>
        </w:rPr>
        <w:t>children’s programming on commercial television</w:t>
      </w:r>
    </w:p>
    <w:p w14:paraId="330EC4A7" w14:textId="77777777" w:rsidR="005A1C52" w:rsidRPr="001E2783" w:rsidRDefault="005A1C52" w:rsidP="005A1C52">
      <w:pPr>
        <w:pStyle w:val="ListBullet"/>
        <w:tabs>
          <w:tab w:val="clear" w:pos="295"/>
        </w:tabs>
        <w:spacing w:after="240"/>
        <w:ind w:left="284"/>
        <w:rPr>
          <w:rFonts w:cs="Arial"/>
        </w:rPr>
      </w:pPr>
      <w:r w:rsidRPr="001E2783">
        <w:rPr>
          <w:rFonts w:cs="Arial"/>
        </w:rPr>
        <w:t xml:space="preserve">anti-terrorism </w:t>
      </w:r>
      <w:r w:rsidR="000435CD" w:rsidRPr="001E2783">
        <w:rPr>
          <w:rFonts w:cs="Arial"/>
        </w:rPr>
        <w:t xml:space="preserve">requirements for </w:t>
      </w:r>
      <w:r w:rsidRPr="001E2783">
        <w:rPr>
          <w:rFonts w:cs="Arial"/>
        </w:rPr>
        <w:t>narrowcast services.</w:t>
      </w:r>
    </w:p>
    <w:p w14:paraId="589B16E7" w14:textId="77777777" w:rsidR="005A1C52" w:rsidRPr="001E2783" w:rsidRDefault="005A1C52" w:rsidP="005A1C52">
      <w:pPr>
        <w:pStyle w:val="BodysubheaderH4"/>
        <w:rPr>
          <w:rFonts w:cs="Arial"/>
        </w:rPr>
      </w:pPr>
      <w:r w:rsidRPr="001E2783">
        <w:rPr>
          <w:rFonts w:cs="Arial"/>
        </w:rPr>
        <w:t>The ACMA’s enforcement powers under the BSA</w:t>
      </w:r>
    </w:p>
    <w:p w14:paraId="50CA8CC2" w14:textId="77777777" w:rsidR="005A1C52" w:rsidRPr="001E2783" w:rsidRDefault="005A1C52" w:rsidP="005A1C52">
      <w:pPr>
        <w:rPr>
          <w:rFonts w:cs="Arial"/>
        </w:rPr>
      </w:pPr>
      <w:r w:rsidRPr="001E2783">
        <w:rPr>
          <w:rFonts w:cs="Arial"/>
        </w:rPr>
        <w:t>The ACMA has a range of powers with which to address breaches of the BSA, licence conditions, program standards or</w:t>
      </w:r>
      <w:r w:rsidRPr="001E2783" w:rsidDel="00E4689E">
        <w:rPr>
          <w:rFonts w:cs="Arial"/>
        </w:rPr>
        <w:t xml:space="preserve"> </w:t>
      </w:r>
      <w:r w:rsidRPr="001E2783">
        <w:rPr>
          <w:rFonts w:cs="Arial"/>
        </w:rPr>
        <w:t xml:space="preserve">industry codes. </w:t>
      </w:r>
    </w:p>
    <w:p w14:paraId="0586DD73" w14:textId="77777777" w:rsidR="005A1C52" w:rsidRPr="001E2783" w:rsidRDefault="005A1C52" w:rsidP="005A1C52">
      <w:pPr>
        <w:rPr>
          <w:rFonts w:cs="Arial"/>
        </w:rPr>
      </w:pPr>
    </w:p>
    <w:p w14:paraId="21EA38A1" w14:textId="77777777" w:rsidR="005A1C52" w:rsidRPr="001E2783" w:rsidRDefault="005A1C52" w:rsidP="005A1C52">
      <w:pPr>
        <w:rPr>
          <w:rFonts w:cs="Arial"/>
        </w:rPr>
      </w:pPr>
      <w:r w:rsidRPr="001E2783">
        <w:rPr>
          <w:rFonts w:cs="Arial"/>
        </w:rPr>
        <w:t>Where there has been a breach of a code, the ACMA may accept an enforceable undertaking for the purpose of securing future compliance with the code, or it may impose an additional licen</w:t>
      </w:r>
      <w:r w:rsidR="005B1422" w:rsidRPr="001E2783">
        <w:rPr>
          <w:rFonts w:cs="Arial"/>
        </w:rPr>
        <w:t>ce condition under section </w:t>
      </w:r>
      <w:r w:rsidRPr="001E2783">
        <w:rPr>
          <w:rFonts w:cs="Arial"/>
        </w:rPr>
        <w:t xml:space="preserve">43 of the BSA requiring a licensee to comply with the code. </w:t>
      </w:r>
    </w:p>
    <w:p w14:paraId="318B46A4" w14:textId="77777777" w:rsidR="005A1C52" w:rsidRPr="001E2783" w:rsidRDefault="005A1C52" w:rsidP="005A1C52">
      <w:pPr>
        <w:rPr>
          <w:rFonts w:cs="Arial"/>
        </w:rPr>
      </w:pPr>
    </w:p>
    <w:p w14:paraId="4721C65D" w14:textId="77777777" w:rsidR="005A1C52" w:rsidRPr="001E2783" w:rsidRDefault="005A1C52" w:rsidP="005A1C52">
      <w:pPr>
        <w:rPr>
          <w:rFonts w:cs="Arial"/>
        </w:rPr>
      </w:pPr>
      <w:r w:rsidRPr="001E2783">
        <w:rPr>
          <w:rFonts w:cs="Arial"/>
        </w:rPr>
        <w:t xml:space="preserve">In the event of a breach of a licence condition, including an additional licence condition imposed by the ACMA under the BSA, the ACMA has the power to give the licensee a remedial direction requiring compliance, or to suspend or cancel the licence. In the case of licence conditions imposed by the parliament, breaches can result in civil or criminal proceedings. </w:t>
      </w:r>
    </w:p>
    <w:p w14:paraId="75C3ADE1" w14:textId="77777777" w:rsidR="005A1C52" w:rsidRPr="001E2783" w:rsidRDefault="005A1C52" w:rsidP="005A1C52">
      <w:pPr>
        <w:rPr>
          <w:rFonts w:cs="Arial"/>
        </w:rPr>
      </w:pPr>
    </w:p>
    <w:p w14:paraId="6EF2979B" w14:textId="77777777" w:rsidR="005A1C52" w:rsidRPr="001E2783" w:rsidRDefault="005A1C52" w:rsidP="005A1C52">
      <w:pPr>
        <w:rPr>
          <w:rFonts w:cs="Arial"/>
        </w:rPr>
      </w:pPr>
      <w:r w:rsidRPr="001E2783">
        <w:rPr>
          <w:rFonts w:cs="Arial"/>
        </w:rPr>
        <w:t>The ACMA may also informally agree to accept measures by broadcasters to improve compliance following breaches of codes of practice. For example, the ACMA has, on many occasions, agreed on measures with licensees involving action to address compliance problems.</w:t>
      </w:r>
    </w:p>
    <w:p w14:paraId="6BAF13B6" w14:textId="77777777" w:rsidR="005A1C52" w:rsidRPr="001E2783" w:rsidRDefault="005A1C52" w:rsidP="005A1C52">
      <w:pPr>
        <w:rPr>
          <w:rFonts w:cs="Arial"/>
        </w:rPr>
      </w:pPr>
    </w:p>
    <w:p w14:paraId="36941771" w14:textId="77777777" w:rsidR="005A1C52" w:rsidRPr="001E2783" w:rsidRDefault="005A1C52" w:rsidP="0022105C">
      <w:pPr>
        <w:pStyle w:val="BodysubheaderH4"/>
        <w:rPr>
          <w:rFonts w:cs="Arial"/>
        </w:rPr>
      </w:pPr>
      <w:r w:rsidRPr="001E2783">
        <w:rPr>
          <w:rFonts w:cs="Arial"/>
        </w:rPr>
        <w:t>Investigations conducted by the ACMA in 2013–14</w:t>
      </w:r>
    </w:p>
    <w:p w14:paraId="6A541A4C" w14:textId="3601B098" w:rsidR="005A1C52" w:rsidRPr="001E2783" w:rsidRDefault="005A1C52" w:rsidP="005A1C52">
      <w:pPr>
        <w:rPr>
          <w:rFonts w:cs="Arial"/>
        </w:rPr>
      </w:pPr>
      <w:r w:rsidRPr="001E2783">
        <w:rPr>
          <w:rFonts w:cs="Arial"/>
        </w:rPr>
        <w:t>The number</w:t>
      </w:r>
      <w:r w:rsidR="00D131EB" w:rsidRPr="001E2783">
        <w:rPr>
          <w:rFonts w:cs="Arial"/>
        </w:rPr>
        <w:t>s</w:t>
      </w:r>
      <w:r w:rsidRPr="001E2783">
        <w:rPr>
          <w:rFonts w:cs="Arial"/>
        </w:rPr>
        <w:t xml:space="preserve"> of complaints and investigations </w:t>
      </w:r>
      <w:r w:rsidR="00494A67" w:rsidRPr="001E2783">
        <w:rPr>
          <w:rFonts w:cs="Arial"/>
        </w:rPr>
        <w:t xml:space="preserve">about radio and television licensees’ compliance with codes </w:t>
      </w:r>
      <w:r w:rsidR="009873C8" w:rsidRPr="001E2783">
        <w:rPr>
          <w:rFonts w:cs="Arial"/>
        </w:rPr>
        <w:t>of practice, licence conditions</w:t>
      </w:r>
      <w:r w:rsidR="00494A67" w:rsidRPr="001E2783">
        <w:rPr>
          <w:rFonts w:cs="Arial"/>
        </w:rPr>
        <w:t xml:space="preserve"> and standards related to the BSA are provided in Table 29</w:t>
      </w:r>
      <w:r w:rsidRPr="001E2783">
        <w:rPr>
          <w:rFonts w:cs="Arial"/>
        </w:rPr>
        <w:t>. Investigations that attracted public comment are discussed below. Details of breach and non-breach findings by state and territory and category of broad</w:t>
      </w:r>
      <w:r w:rsidR="005B1422" w:rsidRPr="001E2783">
        <w:rPr>
          <w:rFonts w:cs="Arial"/>
        </w:rPr>
        <w:t>casting service are in Appendix </w:t>
      </w:r>
      <w:r w:rsidRPr="001E2783">
        <w:rPr>
          <w:rFonts w:cs="Arial"/>
        </w:rPr>
        <w:t>6.</w:t>
      </w:r>
    </w:p>
    <w:p w14:paraId="3781C40E" w14:textId="77777777" w:rsidR="005A1C52" w:rsidRPr="001E2783" w:rsidRDefault="005A1C52" w:rsidP="005A1C5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707BFE0B" w14:textId="77777777" w:rsidTr="00B00C4B">
        <w:trPr>
          <w:trHeight w:val="570"/>
        </w:trPr>
        <w:tc>
          <w:tcPr>
            <w:tcW w:w="9645" w:type="dxa"/>
            <w:tcBorders>
              <w:top w:val="single" w:sz="2" w:space="0" w:color="505050"/>
            </w:tcBorders>
            <w:shd w:val="clear" w:color="auto" w:fill="auto"/>
            <w:vAlign w:val="center"/>
          </w:tcPr>
          <w:p w14:paraId="6F6E2B32" w14:textId="2D54BA63" w:rsidR="0018323E" w:rsidRPr="001E2783" w:rsidRDefault="0018323E" w:rsidP="00B00C4B">
            <w:pPr>
              <w:pStyle w:val="Caption"/>
              <w:keepNext/>
              <w:rPr>
                <w:rFonts w:ascii="Arial" w:hAnsi="Arial" w:cs="Arial"/>
                <w:color w:val="auto"/>
              </w:rPr>
            </w:pPr>
            <w:r w:rsidRPr="00D3485F">
              <w:rPr>
                <w:rFonts w:ascii="Arial" w:hAnsi="Arial" w:cs="Arial"/>
              </w:rPr>
              <w:t>Table 29: Summary of broadcasting complaints and investigations for commercial, national, subscription and community broadcasters and datacasters, 2013–14</w:t>
            </w:r>
          </w:p>
        </w:tc>
      </w:tr>
      <w:tr w:rsidR="001E2783" w:rsidRPr="001E2783" w14:paraId="5F679903" w14:textId="77777777" w:rsidTr="00B00C4B">
        <w:trPr>
          <w:trHeight w:val="291"/>
        </w:trPr>
        <w:tc>
          <w:tcPr>
            <w:tcW w:w="9645" w:type="dxa"/>
            <w:tcBorders>
              <w:bottom w:val="single" w:sz="2" w:space="0" w:color="505050"/>
            </w:tcBorders>
            <w:shd w:val="clear" w:color="auto" w:fill="auto"/>
          </w:tcPr>
          <w:tbl>
            <w:tblPr>
              <w:tblpPr w:leftFromText="181" w:rightFromText="181" w:vertAnchor="text" w:tblpY="1"/>
              <w:tblOverlap w:val="neve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58"/>
              <w:gridCol w:w="1701"/>
              <w:gridCol w:w="1134"/>
            </w:tblGrid>
            <w:tr w:rsidR="001E2783" w:rsidRPr="001E2783" w14:paraId="18B929E6" w14:textId="77777777" w:rsidTr="00B00C4B">
              <w:trPr>
                <w:cantSplit/>
                <w:trHeight w:val="560"/>
              </w:trPr>
              <w:tc>
                <w:tcPr>
                  <w:tcW w:w="8359" w:type="dxa"/>
                  <w:gridSpan w:val="2"/>
                  <w:tcBorders>
                    <w:top w:val="single" w:sz="4" w:space="0" w:color="auto"/>
                    <w:left w:val="single" w:sz="4" w:space="0" w:color="auto"/>
                    <w:bottom w:val="single" w:sz="4" w:space="0" w:color="auto"/>
                    <w:right w:val="nil"/>
                  </w:tcBorders>
                  <w:shd w:val="clear" w:color="auto" w:fill="404040" w:themeFill="text1" w:themeFillTint="BF"/>
                  <w:noWrap/>
                  <w:vAlign w:val="center"/>
                </w:tcPr>
                <w:p w14:paraId="66178E7B" w14:textId="77777777" w:rsidR="0018323E" w:rsidRPr="000544EA" w:rsidRDefault="0018323E" w:rsidP="00B00C4B">
                  <w:pPr>
                    <w:pStyle w:val="TableHeading"/>
                    <w:rPr>
                      <w:rFonts w:ascii="Arial" w:hAnsi="Arial" w:cs="Arial"/>
                      <w:color w:val="FFFFFF" w:themeColor="background1"/>
                      <w:szCs w:val="20"/>
                    </w:rPr>
                  </w:pPr>
                  <w:r w:rsidRPr="000544EA">
                    <w:rPr>
                      <w:rFonts w:ascii="Arial" w:hAnsi="Arial" w:cs="Arial"/>
                      <w:color w:val="FFFFFF" w:themeColor="background1"/>
                      <w:szCs w:val="20"/>
                    </w:rPr>
                    <w:t>Written complaints and enquiries received</w:t>
                  </w:r>
                </w:p>
              </w:tc>
              <w:tc>
                <w:tcPr>
                  <w:tcW w:w="1134" w:type="dxa"/>
                  <w:tcBorders>
                    <w:top w:val="single" w:sz="4" w:space="0" w:color="auto"/>
                    <w:left w:val="nil"/>
                    <w:bottom w:val="single" w:sz="4" w:space="0" w:color="auto"/>
                    <w:right w:val="single" w:sz="4" w:space="0" w:color="auto"/>
                  </w:tcBorders>
                  <w:shd w:val="clear" w:color="auto" w:fill="404040" w:themeFill="text1" w:themeFillTint="BF"/>
                  <w:noWrap/>
                  <w:vAlign w:val="center"/>
                </w:tcPr>
                <w:p w14:paraId="30C1DFF3" w14:textId="77777777" w:rsidR="0018323E" w:rsidRPr="000544EA" w:rsidRDefault="0018323E" w:rsidP="00B00C4B">
                  <w:pPr>
                    <w:keepNext/>
                    <w:keepLines/>
                    <w:jc w:val="right"/>
                    <w:rPr>
                      <w:rFonts w:cs="Arial"/>
                      <w:b/>
                      <w:color w:val="FFFFFF" w:themeColor="background1"/>
                      <w:szCs w:val="20"/>
                    </w:rPr>
                  </w:pPr>
                  <w:r w:rsidRPr="000544EA">
                    <w:rPr>
                      <w:rFonts w:cs="Arial"/>
                      <w:b/>
                      <w:color w:val="FFFFFF" w:themeColor="background1"/>
                      <w:szCs w:val="20"/>
                    </w:rPr>
                    <w:t>1,593</w:t>
                  </w:r>
                </w:p>
              </w:tc>
            </w:tr>
            <w:tr w:rsidR="001E2783" w:rsidRPr="001E2783" w14:paraId="04EC5649" w14:textId="77777777" w:rsidTr="00B00C4B">
              <w:trPr>
                <w:cantSplit/>
                <w:trHeight w:val="560"/>
              </w:trPr>
              <w:tc>
                <w:tcPr>
                  <w:tcW w:w="8359" w:type="dxa"/>
                  <w:gridSpan w:val="2"/>
                  <w:tcBorders>
                    <w:top w:val="single" w:sz="4" w:space="0" w:color="auto"/>
                    <w:left w:val="single" w:sz="4" w:space="0" w:color="auto"/>
                    <w:bottom w:val="single" w:sz="4" w:space="0" w:color="auto"/>
                    <w:right w:val="nil"/>
                  </w:tcBorders>
                  <w:shd w:val="clear" w:color="auto" w:fill="404040" w:themeFill="text1" w:themeFillTint="BF"/>
                  <w:noWrap/>
                  <w:vAlign w:val="center"/>
                </w:tcPr>
                <w:p w14:paraId="12890E03" w14:textId="77777777" w:rsidR="0018323E" w:rsidRPr="000544EA" w:rsidRDefault="0018323E" w:rsidP="00B00C4B">
                  <w:pPr>
                    <w:pStyle w:val="TableHeading"/>
                    <w:rPr>
                      <w:rFonts w:ascii="Arial" w:hAnsi="Arial" w:cs="Arial"/>
                      <w:color w:val="FFFFFF" w:themeColor="background1"/>
                      <w:szCs w:val="20"/>
                    </w:rPr>
                  </w:pPr>
                  <w:r w:rsidRPr="000544EA">
                    <w:rPr>
                      <w:rFonts w:ascii="Arial" w:hAnsi="Arial" w:cs="Arial"/>
                      <w:color w:val="FFFFFF" w:themeColor="background1"/>
                      <w:szCs w:val="20"/>
                    </w:rPr>
                    <w:t xml:space="preserve">Written complaints and enquiries actioned within time frame of seven days </w:t>
                  </w:r>
                </w:p>
              </w:tc>
              <w:tc>
                <w:tcPr>
                  <w:tcW w:w="1134" w:type="dxa"/>
                  <w:tcBorders>
                    <w:top w:val="single" w:sz="4" w:space="0" w:color="auto"/>
                    <w:left w:val="nil"/>
                    <w:bottom w:val="single" w:sz="4" w:space="0" w:color="auto"/>
                    <w:right w:val="single" w:sz="4" w:space="0" w:color="auto"/>
                  </w:tcBorders>
                  <w:shd w:val="clear" w:color="auto" w:fill="404040" w:themeFill="text1" w:themeFillTint="BF"/>
                  <w:noWrap/>
                  <w:vAlign w:val="center"/>
                </w:tcPr>
                <w:p w14:paraId="2EEB3812" w14:textId="77777777" w:rsidR="0018323E" w:rsidRPr="000544EA" w:rsidRDefault="0018323E" w:rsidP="00B00C4B">
                  <w:pPr>
                    <w:keepNext/>
                    <w:keepLines/>
                    <w:jc w:val="right"/>
                    <w:rPr>
                      <w:rFonts w:cs="Arial"/>
                      <w:b/>
                      <w:color w:val="FFFFFF" w:themeColor="background1"/>
                      <w:szCs w:val="20"/>
                    </w:rPr>
                  </w:pPr>
                  <w:r w:rsidRPr="000544EA">
                    <w:rPr>
                      <w:rFonts w:cs="Arial"/>
                      <w:b/>
                      <w:color w:val="FFFFFF" w:themeColor="background1"/>
                      <w:szCs w:val="20"/>
                    </w:rPr>
                    <w:t>1,571</w:t>
                  </w:r>
                </w:p>
                <w:p w14:paraId="10D2E01C" w14:textId="77777777" w:rsidR="0018323E" w:rsidRPr="000544EA" w:rsidRDefault="0018323E" w:rsidP="00B00C4B">
                  <w:pPr>
                    <w:keepNext/>
                    <w:keepLines/>
                    <w:jc w:val="right"/>
                    <w:rPr>
                      <w:rFonts w:cs="Arial"/>
                      <w:b/>
                      <w:color w:val="FFFFFF" w:themeColor="background1"/>
                      <w:szCs w:val="20"/>
                    </w:rPr>
                  </w:pPr>
                  <w:r w:rsidRPr="000544EA">
                    <w:rPr>
                      <w:rFonts w:cs="Arial"/>
                      <w:b/>
                      <w:color w:val="FFFFFF" w:themeColor="background1"/>
                      <w:szCs w:val="20"/>
                    </w:rPr>
                    <w:t>(98.6%)</w:t>
                  </w:r>
                </w:p>
              </w:tc>
            </w:tr>
            <w:tr w:rsidR="001E2783" w:rsidRPr="001E2783" w14:paraId="1133D4EF" w14:textId="77777777" w:rsidTr="00B00C4B">
              <w:trPr>
                <w:cantSplit/>
                <w:trHeight w:val="560"/>
              </w:trPr>
              <w:tc>
                <w:tcPr>
                  <w:tcW w:w="8359" w:type="dxa"/>
                  <w:gridSpan w:val="2"/>
                  <w:tcBorders>
                    <w:top w:val="single" w:sz="4" w:space="0" w:color="auto"/>
                    <w:left w:val="single" w:sz="4" w:space="0" w:color="auto"/>
                    <w:bottom w:val="single" w:sz="4" w:space="0" w:color="auto"/>
                    <w:right w:val="nil"/>
                  </w:tcBorders>
                  <w:shd w:val="clear" w:color="auto" w:fill="404040" w:themeFill="text1" w:themeFillTint="BF"/>
                  <w:noWrap/>
                  <w:vAlign w:val="center"/>
                </w:tcPr>
                <w:p w14:paraId="79B6E643" w14:textId="77777777" w:rsidR="0018323E" w:rsidRPr="000544EA" w:rsidRDefault="0018323E" w:rsidP="00B00C4B">
                  <w:pPr>
                    <w:pStyle w:val="TableHeading"/>
                    <w:rPr>
                      <w:rFonts w:ascii="Arial" w:hAnsi="Arial" w:cs="Arial"/>
                      <w:color w:val="FFFFFF" w:themeColor="background1"/>
                      <w:szCs w:val="20"/>
                    </w:rPr>
                  </w:pPr>
                  <w:r w:rsidRPr="000544EA">
                    <w:rPr>
                      <w:rFonts w:ascii="Arial" w:hAnsi="Arial" w:cs="Arial"/>
                      <w:color w:val="FFFFFF" w:themeColor="background1"/>
                      <w:szCs w:val="20"/>
                    </w:rPr>
                    <w:t>Investigations completed</w:t>
                  </w:r>
                </w:p>
              </w:tc>
              <w:tc>
                <w:tcPr>
                  <w:tcW w:w="1134" w:type="dxa"/>
                  <w:tcBorders>
                    <w:top w:val="single" w:sz="4" w:space="0" w:color="auto"/>
                    <w:left w:val="nil"/>
                    <w:bottom w:val="single" w:sz="4" w:space="0" w:color="auto"/>
                    <w:right w:val="single" w:sz="4" w:space="0" w:color="auto"/>
                  </w:tcBorders>
                  <w:shd w:val="clear" w:color="auto" w:fill="404040" w:themeFill="text1" w:themeFillTint="BF"/>
                  <w:noWrap/>
                  <w:vAlign w:val="center"/>
                </w:tcPr>
                <w:p w14:paraId="78AC9DEF" w14:textId="77777777" w:rsidR="0018323E" w:rsidRPr="000544EA" w:rsidRDefault="0018323E" w:rsidP="00B00C4B">
                  <w:pPr>
                    <w:keepNext/>
                    <w:keepLines/>
                    <w:jc w:val="right"/>
                    <w:rPr>
                      <w:rFonts w:cs="Arial"/>
                      <w:b/>
                      <w:color w:val="FFFFFF" w:themeColor="background1"/>
                      <w:spacing w:val="-28"/>
                      <w:szCs w:val="20"/>
                    </w:rPr>
                  </w:pPr>
                  <w:r w:rsidRPr="000544EA">
                    <w:rPr>
                      <w:rFonts w:cs="Arial"/>
                      <w:b/>
                      <w:color w:val="FFFFFF" w:themeColor="background1"/>
                      <w:szCs w:val="20"/>
                    </w:rPr>
                    <w:t>180*</w:t>
                  </w:r>
                </w:p>
              </w:tc>
            </w:tr>
            <w:tr w:rsidR="001E2783" w:rsidRPr="001E2783" w14:paraId="444C11D7" w14:textId="77777777" w:rsidTr="00B00C4B">
              <w:trPr>
                <w:cantSplit/>
                <w:trHeight w:val="560"/>
              </w:trPr>
              <w:tc>
                <w:tcPr>
                  <w:tcW w:w="8359" w:type="dxa"/>
                  <w:gridSpan w:val="2"/>
                  <w:tcBorders>
                    <w:top w:val="single" w:sz="4" w:space="0" w:color="auto"/>
                    <w:left w:val="single" w:sz="4" w:space="0" w:color="auto"/>
                    <w:bottom w:val="single" w:sz="4" w:space="0" w:color="auto"/>
                    <w:right w:val="nil"/>
                  </w:tcBorders>
                  <w:shd w:val="clear" w:color="auto" w:fill="F3F3F3"/>
                  <w:noWrap/>
                  <w:vAlign w:val="center"/>
                </w:tcPr>
                <w:p w14:paraId="0C7C9916" w14:textId="77777777" w:rsidR="0018323E" w:rsidRPr="001E2783" w:rsidRDefault="0018323E" w:rsidP="00B00C4B">
                  <w:pPr>
                    <w:pStyle w:val="TableTextLeft"/>
                    <w:rPr>
                      <w:rFonts w:cs="Arial"/>
                      <w:b/>
                      <w:sz w:val="20"/>
                    </w:rPr>
                  </w:pPr>
                  <w:r w:rsidRPr="001E2783">
                    <w:rPr>
                      <w:rFonts w:cs="Arial"/>
                      <w:b/>
                      <w:sz w:val="20"/>
                    </w:rPr>
                    <w:t>Investigations resulting in breach findings^</w:t>
                  </w:r>
                </w:p>
              </w:tc>
              <w:tc>
                <w:tcPr>
                  <w:tcW w:w="1134" w:type="dxa"/>
                  <w:tcBorders>
                    <w:top w:val="single" w:sz="4" w:space="0" w:color="auto"/>
                    <w:left w:val="nil"/>
                    <w:bottom w:val="single" w:sz="4" w:space="0" w:color="auto"/>
                    <w:right w:val="single" w:sz="4" w:space="0" w:color="auto"/>
                  </w:tcBorders>
                  <w:shd w:val="clear" w:color="auto" w:fill="F3F3F3"/>
                  <w:noWrap/>
                  <w:vAlign w:val="center"/>
                </w:tcPr>
                <w:p w14:paraId="2309A6AD" w14:textId="77777777" w:rsidR="0018323E" w:rsidRPr="001E2783" w:rsidRDefault="0018323E" w:rsidP="00B00C4B">
                  <w:pPr>
                    <w:keepNext/>
                    <w:keepLines/>
                    <w:jc w:val="right"/>
                    <w:rPr>
                      <w:rFonts w:cs="Arial"/>
                      <w:b/>
                      <w:szCs w:val="20"/>
                    </w:rPr>
                  </w:pPr>
                  <w:r w:rsidRPr="001E2783">
                    <w:rPr>
                      <w:rFonts w:cs="Arial"/>
                      <w:b/>
                      <w:szCs w:val="20"/>
                    </w:rPr>
                    <w:t>45</w:t>
                  </w:r>
                </w:p>
              </w:tc>
            </w:tr>
            <w:tr w:rsidR="001E2783" w:rsidRPr="001E2783" w14:paraId="6B8F3B55" w14:textId="77777777" w:rsidTr="00B00C4B">
              <w:trPr>
                <w:cantSplit/>
                <w:trHeight w:val="560"/>
              </w:trPr>
              <w:tc>
                <w:tcPr>
                  <w:tcW w:w="8359" w:type="dxa"/>
                  <w:gridSpan w:val="2"/>
                  <w:tcBorders>
                    <w:top w:val="single" w:sz="4" w:space="0" w:color="auto"/>
                    <w:left w:val="single" w:sz="4" w:space="0" w:color="auto"/>
                    <w:bottom w:val="single" w:sz="4" w:space="0" w:color="auto"/>
                    <w:right w:val="single" w:sz="4" w:space="0" w:color="auto"/>
                  </w:tcBorders>
                  <w:noWrap/>
                  <w:vAlign w:val="center"/>
                </w:tcPr>
                <w:p w14:paraId="35553A86" w14:textId="77777777" w:rsidR="0018323E" w:rsidRPr="001E2783" w:rsidRDefault="0018323E" w:rsidP="00B00C4B">
                  <w:pPr>
                    <w:pStyle w:val="TableTextLeft"/>
                    <w:ind w:left="596"/>
                    <w:rPr>
                      <w:rFonts w:cs="Arial"/>
                      <w:sz w:val="20"/>
                    </w:rPr>
                  </w:pPr>
                  <w:r w:rsidRPr="001E2783">
                    <w:rPr>
                      <w:rFonts w:cs="Arial"/>
                      <w:sz w:val="20"/>
                    </w:rPr>
                    <w:t xml:space="preserve">Investigations of compliance with codes of practice </w:t>
                  </w:r>
                </w:p>
              </w:tc>
              <w:tc>
                <w:tcPr>
                  <w:tcW w:w="1134" w:type="dxa"/>
                  <w:tcBorders>
                    <w:top w:val="single" w:sz="4" w:space="0" w:color="auto"/>
                    <w:left w:val="single" w:sz="4" w:space="0" w:color="auto"/>
                    <w:bottom w:val="single" w:sz="4" w:space="0" w:color="auto"/>
                    <w:right w:val="single" w:sz="4" w:space="0" w:color="auto"/>
                  </w:tcBorders>
                  <w:noWrap/>
                  <w:vAlign w:val="center"/>
                </w:tcPr>
                <w:p w14:paraId="21B30338" w14:textId="77777777" w:rsidR="0018323E" w:rsidRPr="001E2783" w:rsidRDefault="0018323E" w:rsidP="00B00C4B">
                  <w:pPr>
                    <w:keepNext/>
                    <w:keepLines/>
                    <w:jc w:val="right"/>
                    <w:rPr>
                      <w:rFonts w:cs="Arial"/>
                      <w:szCs w:val="20"/>
                    </w:rPr>
                  </w:pPr>
                  <w:r w:rsidRPr="001E2783">
                    <w:rPr>
                      <w:rFonts w:cs="Arial"/>
                      <w:szCs w:val="20"/>
                    </w:rPr>
                    <w:t>21</w:t>
                  </w:r>
                </w:p>
              </w:tc>
            </w:tr>
            <w:tr w:rsidR="001E2783" w:rsidRPr="001E2783" w14:paraId="626E6782" w14:textId="77777777" w:rsidTr="00B00C4B">
              <w:trPr>
                <w:cantSplit/>
                <w:trHeight w:val="560"/>
              </w:trPr>
              <w:tc>
                <w:tcPr>
                  <w:tcW w:w="8359" w:type="dxa"/>
                  <w:gridSpan w:val="2"/>
                  <w:tcBorders>
                    <w:top w:val="single" w:sz="4" w:space="0" w:color="auto"/>
                    <w:left w:val="single" w:sz="4" w:space="0" w:color="auto"/>
                    <w:bottom w:val="single" w:sz="4" w:space="0" w:color="auto"/>
                    <w:right w:val="single" w:sz="4" w:space="0" w:color="auto"/>
                  </w:tcBorders>
                  <w:noWrap/>
                  <w:vAlign w:val="center"/>
                </w:tcPr>
                <w:p w14:paraId="70E40A5C" w14:textId="77777777" w:rsidR="0018323E" w:rsidRPr="001E2783" w:rsidRDefault="0018323E" w:rsidP="00B00C4B">
                  <w:pPr>
                    <w:pStyle w:val="TableTextLeft"/>
                    <w:ind w:left="596"/>
                    <w:rPr>
                      <w:rFonts w:cs="Arial"/>
                      <w:sz w:val="20"/>
                    </w:rPr>
                  </w:pPr>
                  <w:r w:rsidRPr="001E2783">
                    <w:rPr>
                      <w:rFonts w:cs="Arial"/>
                      <w:sz w:val="20"/>
                    </w:rPr>
                    <w:t>Investigations of compliance with BSA, licence conditions or standards</w:t>
                  </w:r>
                </w:p>
              </w:tc>
              <w:tc>
                <w:tcPr>
                  <w:tcW w:w="1134" w:type="dxa"/>
                  <w:tcBorders>
                    <w:top w:val="single" w:sz="4" w:space="0" w:color="auto"/>
                    <w:left w:val="single" w:sz="4" w:space="0" w:color="auto"/>
                    <w:bottom w:val="single" w:sz="4" w:space="0" w:color="auto"/>
                    <w:right w:val="single" w:sz="4" w:space="0" w:color="auto"/>
                  </w:tcBorders>
                  <w:noWrap/>
                  <w:vAlign w:val="center"/>
                </w:tcPr>
                <w:p w14:paraId="776E6D92" w14:textId="77777777" w:rsidR="0018323E" w:rsidRPr="001E2783" w:rsidRDefault="0018323E" w:rsidP="00B00C4B">
                  <w:pPr>
                    <w:keepNext/>
                    <w:keepLines/>
                    <w:jc w:val="right"/>
                    <w:rPr>
                      <w:rFonts w:cs="Arial"/>
                      <w:szCs w:val="20"/>
                    </w:rPr>
                  </w:pPr>
                  <w:r w:rsidRPr="001E2783">
                    <w:rPr>
                      <w:rFonts w:cs="Arial"/>
                      <w:szCs w:val="20"/>
                    </w:rPr>
                    <w:t>24</w:t>
                  </w:r>
                </w:p>
              </w:tc>
            </w:tr>
            <w:tr w:rsidR="001E2783" w:rsidRPr="001E2783" w14:paraId="70B02602" w14:textId="77777777" w:rsidTr="00B00C4B">
              <w:trPr>
                <w:cantSplit/>
                <w:trHeight w:val="560"/>
              </w:trPr>
              <w:tc>
                <w:tcPr>
                  <w:tcW w:w="8359" w:type="dxa"/>
                  <w:gridSpan w:val="2"/>
                  <w:tcBorders>
                    <w:top w:val="single" w:sz="4" w:space="0" w:color="auto"/>
                    <w:left w:val="single" w:sz="4" w:space="0" w:color="auto"/>
                    <w:bottom w:val="single" w:sz="4" w:space="0" w:color="auto"/>
                    <w:right w:val="nil"/>
                  </w:tcBorders>
                  <w:shd w:val="clear" w:color="auto" w:fill="F3F3F3"/>
                  <w:noWrap/>
                  <w:vAlign w:val="center"/>
                </w:tcPr>
                <w:p w14:paraId="4085CE9A" w14:textId="77777777" w:rsidR="0018323E" w:rsidRPr="001E2783" w:rsidRDefault="0018323E" w:rsidP="00B00C4B">
                  <w:pPr>
                    <w:pStyle w:val="TableTextLeft"/>
                    <w:rPr>
                      <w:rFonts w:cs="Arial"/>
                      <w:b/>
                      <w:sz w:val="20"/>
                    </w:rPr>
                  </w:pPr>
                  <w:r w:rsidRPr="001E2783">
                    <w:rPr>
                      <w:rFonts w:cs="Arial"/>
                      <w:b/>
                      <w:sz w:val="20"/>
                    </w:rPr>
                    <w:t>Investigations resulting in non-breach findings</w:t>
                  </w:r>
                </w:p>
              </w:tc>
              <w:tc>
                <w:tcPr>
                  <w:tcW w:w="1134" w:type="dxa"/>
                  <w:tcBorders>
                    <w:top w:val="single" w:sz="4" w:space="0" w:color="auto"/>
                    <w:left w:val="nil"/>
                    <w:bottom w:val="single" w:sz="4" w:space="0" w:color="auto"/>
                    <w:right w:val="single" w:sz="4" w:space="0" w:color="auto"/>
                  </w:tcBorders>
                  <w:shd w:val="clear" w:color="auto" w:fill="F3F3F3"/>
                  <w:noWrap/>
                  <w:vAlign w:val="center"/>
                </w:tcPr>
                <w:p w14:paraId="6853C4C2" w14:textId="77777777" w:rsidR="0018323E" w:rsidRPr="001E2783" w:rsidRDefault="0018323E" w:rsidP="00B00C4B">
                  <w:pPr>
                    <w:keepNext/>
                    <w:keepLines/>
                    <w:spacing w:line="240" w:lineRule="auto"/>
                    <w:jc w:val="right"/>
                    <w:rPr>
                      <w:rFonts w:cs="Arial"/>
                      <w:b/>
                      <w:szCs w:val="20"/>
                    </w:rPr>
                  </w:pPr>
                  <w:r w:rsidRPr="001E2783">
                    <w:rPr>
                      <w:rFonts w:cs="Arial"/>
                      <w:b/>
                      <w:szCs w:val="20"/>
                    </w:rPr>
                    <w:t>132</w:t>
                  </w:r>
                </w:p>
              </w:tc>
            </w:tr>
            <w:tr w:rsidR="001E2783" w:rsidRPr="001E2783" w14:paraId="0C4DB456" w14:textId="77777777" w:rsidTr="00B00C4B">
              <w:trPr>
                <w:cantSplit/>
                <w:trHeight w:val="560"/>
              </w:trPr>
              <w:tc>
                <w:tcPr>
                  <w:tcW w:w="8359" w:type="dxa"/>
                  <w:gridSpan w:val="2"/>
                  <w:tcBorders>
                    <w:top w:val="single" w:sz="4" w:space="0" w:color="auto"/>
                    <w:left w:val="single" w:sz="4" w:space="0" w:color="auto"/>
                    <w:bottom w:val="single" w:sz="4" w:space="0" w:color="auto"/>
                    <w:right w:val="single" w:sz="4" w:space="0" w:color="auto"/>
                  </w:tcBorders>
                  <w:noWrap/>
                  <w:vAlign w:val="center"/>
                </w:tcPr>
                <w:p w14:paraId="30AF0B45" w14:textId="77777777" w:rsidR="0018323E" w:rsidRPr="001E2783" w:rsidRDefault="0018323E" w:rsidP="00B00C4B">
                  <w:pPr>
                    <w:pStyle w:val="TableTextLeft"/>
                    <w:ind w:left="596"/>
                    <w:rPr>
                      <w:rFonts w:cs="Arial"/>
                      <w:sz w:val="20"/>
                    </w:rPr>
                  </w:pPr>
                  <w:r w:rsidRPr="001E2783">
                    <w:rPr>
                      <w:rFonts w:cs="Arial"/>
                      <w:sz w:val="20"/>
                    </w:rPr>
                    <w:t xml:space="preserve">Investigations of compliance with codes of practice </w:t>
                  </w:r>
                </w:p>
              </w:tc>
              <w:tc>
                <w:tcPr>
                  <w:tcW w:w="1134" w:type="dxa"/>
                  <w:tcBorders>
                    <w:top w:val="single" w:sz="4" w:space="0" w:color="auto"/>
                    <w:left w:val="single" w:sz="4" w:space="0" w:color="auto"/>
                    <w:bottom w:val="single" w:sz="4" w:space="0" w:color="auto"/>
                    <w:right w:val="single" w:sz="4" w:space="0" w:color="auto"/>
                  </w:tcBorders>
                  <w:noWrap/>
                  <w:vAlign w:val="center"/>
                </w:tcPr>
                <w:p w14:paraId="46502950" w14:textId="77777777" w:rsidR="0018323E" w:rsidRPr="001E2783" w:rsidRDefault="0018323E" w:rsidP="00B00C4B">
                  <w:pPr>
                    <w:spacing w:line="240" w:lineRule="auto"/>
                    <w:jc w:val="right"/>
                    <w:rPr>
                      <w:rFonts w:eastAsiaTheme="minorHAnsi" w:cs="Arial"/>
                      <w:szCs w:val="20"/>
                    </w:rPr>
                  </w:pPr>
                  <w:r w:rsidRPr="001E2783">
                    <w:rPr>
                      <w:rFonts w:cs="Arial"/>
                      <w:szCs w:val="20"/>
                    </w:rPr>
                    <w:t>112</w:t>
                  </w:r>
                </w:p>
              </w:tc>
            </w:tr>
            <w:tr w:rsidR="001E2783" w:rsidRPr="001E2783" w14:paraId="34C7BAA2" w14:textId="77777777" w:rsidTr="00B00C4B">
              <w:trPr>
                <w:cantSplit/>
                <w:trHeight w:val="560"/>
              </w:trPr>
              <w:tc>
                <w:tcPr>
                  <w:tcW w:w="8359" w:type="dxa"/>
                  <w:gridSpan w:val="2"/>
                  <w:tcBorders>
                    <w:top w:val="single" w:sz="4" w:space="0" w:color="auto"/>
                    <w:left w:val="single" w:sz="4" w:space="0" w:color="auto"/>
                    <w:bottom w:val="single" w:sz="4" w:space="0" w:color="auto"/>
                    <w:right w:val="single" w:sz="4" w:space="0" w:color="auto"/>
                  </w:tcBorders>
                  <w:noWrap/>
                  <w:vAlign w:val="center"/>
                </w:tcPr>
                <w:p w14:paraId="1C0C0BA7" w14:textId="77777777" w:rsidR="0018323E" w:rsidRPr="001E2783" w:rsidRDefault="0018323E" w:rsidP="00B00C4B">
                  <w:pPr>
                    <w:pStyle w:val="TableTextLeft"/>
                    <w:ind w:left="596"/>
                    <w:rPr>
                      <w:rFonts w:cs="Arial"/>
                      <w:sz w:val="20"/>
                    </w:rPr>
                  </w:pPr>
                  <w:r w:rsidRPr="001E2783">
                    <w:rPr>
                      <w:rFonts w:cs="Arial"/>
                      <w:sz w:val="20"/>
                    </w:rPr>
                    <w:t>Investigations of compliance with BSA, licence conditions or standards</w:t>
                  </w:r>
                </w:p>
              </w:tc>
              <w:tc>
                <w:tcPr>
                  <w:tcW w:w="1134" w:type="dxa"/>
                  <w:tcBorders>
                    <w:top w:val="single" w:sz="4" w:space="0" w:color="auto"/>
                    <w:left w:val="single" w:sz="4" w:space="0" w:color="auto"/>
                    <w:bottom w:val="single" w:sz="4" w:space="0" w:color="auto"/>
                    <w:right w:val="single" w:sz="4" w:space="0" w:color="auto"/>
                  </w:tcBorders>
                  <w:noWrap/>
                  <w:vAlign w:val="center"/>
                </w:tcPr>
                <w:p w14:paraId="1527D94A" w14:textId="77777777" w:rsidR="0018323E" w:rsidRPr="001E2783" w:rsidRDefault="0018323E" w:rsidP="00B00C4B">
                  <w:pPr>
                    <w:spacing w:line="240" w:lineRule="auto"/>
                    <w:jc w:val="right"/>
                    <w:rPr>
                      <w:rFonts w:eastAsiaTheme="minorHAnsi" w:cs="Arial"/>
                      <w:szCs w:val="20"/>
                    </w:rPr>
                  </w:pPr>
                  <w:r w:rsidRPr="001E2783">
                    <w:rPr>
                      <w:rFonts w:cs="Arial"/>
                      <w:szCs w:val="20"/>
                    </w:rPr>
                    <w:t>20</w:t>
                  </w:r>
                </w:p>
              </w:tc>
            </w:tr>
            <w:tr w:rsidR="001E2783" w:rsidRPr="001E2783" w14:paraId="2BE94248" w14:textId="77777777" w:rsidTr="00B00C4B">
              <w:trPr>
                <w:cantSplit/>
                <w:trHeight w:val="560"/>
              </w:trPr>
              <w:tc>
                <w:tcPr>
                  <w:tcW w:w="6658" w:type="dxa"/>
                  <w:tcBorders>
                    <w:top w:val="single" w:sz="4" w:space="0" w:color="auto"/>
                    <w:left w:val="single" w:sz="4" w:space="0" w:color="auto"/>
                    <w:bottom w:val="single" w:sz="4" w:space="0" w:color="auto"/>
                    <w:right w:val="nil"/>
                  </w:tcBorders>
                  <w:shd w:val="clear" w:color="auto" w:fill="404040" w:themeFill="text1" w:themeFillTint="BF"/>
                  <w:noWrap/>
                  <w:vAlign w:val="center"/>
                </w:tcPr>
                <w:p w14:paraId="6D4FAF04" w14:textId="77777777" w:rsidR="0018323E" w:rsidRPr="000544EA" w:rsidRDefault="0018323E" w:rsidP="00B00C4B">
                  <w:pPr>
                    <w:pStyle w:val="TableBody"/>
                    <w:rPr>
                      <w:rFonts w:cs="Arial"/>
                      <w:b/>
                      <w:color w:val="FFFFFF" w:themeColor="background1"/>
                      <w:szCs w:val="20"/>
                    </w:rPr>
                  </w:pPr>
                  <w:r w:rsidRPr="000544EA">
                    <w:rPr>
                      <w:rFonts w:cs="Arial"/>
                      <w:b/>
                      <w:color w:val="FFFFFF" w:themeColor="background1"/>
                      <w:szCs w:val="20"/>
                    </w:rPr>
                    <w:t>Investigations completed within time frame of six months</w:t>
                  </w:r>
                </w:p>
              </w:tc>
              <w:tc>
                <w:tcPr>
                  <w:tcW w:w="2835" w:type="dxa"/>
                  <w:gridSpan w:val="2"/>
                  <w:tcBorders>
                    <w:top w:val="single" w:sz="4" w:space="0" w:color="auto"/>
                    <w:left w:val="nil"/>
                    <w:bottom w:val="single" w:sz="4" w:space="0" w:color="auto"/>
                    <w:right w:val="single" w:sz="4" w:space="0" w:color="auto"/>
                  </w:tcBorders>
                  <w:shd w:val="clear" w:color="auto" w:fill="404040" w:themeFill="text1" w:themeFillTint="BF"/>
                  <w:noWrap/>
                  <w:vAlign w:val="center"/>
                </w:tcPr>
                <w:p w14:paraId="24FA2850" w14:textId="77777777" w:rsidR="0018323E" w:rsidRPr="000544EA" w:rsidRDefault="0018323E" w:rsidP="00B00C4B">
                  <w:pPr>
                    <w:keepNext/>
                    <w:keepLines/>
                    <w:ind w:left="-817" w:firstLine="817"/>
                    <w:jc w:val="right"/>
                    <w:rPr>
                      <w:rFonts w:cs="Arial"/>
                      <w:b/>
                      <w:color w:val="FFFFFF" w:themeColor="background1"/>
                      <w:szCs w:val="20"/>
                    </w:rPr>
                  </w:pPr>
                  <w:r w:rsidRPr="000544EA">
                    <w:rPr>
                      <w:rFonts w:cs="Arial"/>
                      <w:b/>
                      <w:bCs/>
                      <w:color w:val="FFFFFF" w:themeColor="background1"/>
                      <w:szCs w:val="20"/>
                    </w:rPr>
                    <w:t>157 (87%)</w:t>
                  </w:r>
                </w:p>
              </w:tc>
            </w:tr>
          </w:tbl>
          <w:p w14:paraId="2EA086FE" w14:textId="77777777" w:rsidR="0018323E" w:rsidRPr="001E2783" w:rsidRDefault="0018323E" w:rsidP="00B00C4B">
            <w:pPr>
              <w:rPr>
                <w:rFonts w:cs="Arial"/>
              </w:rPr>
            </w:pPr>
          </w:p>
        </w:tc>
      </w:tr>
      <w:tr w:rsidR="0018323E" w:rsidRPr="001E2783" w14:paraId="2F2C2C4B" w14:textId="77777777" w:rsidTr="00B00C4B">
        <w:trPr>
          <w:trHeight w:val="291"/>
        </w:trPr>
        <w:tc>
          <w:tcPr>
            <w:tcW w:w="9645" w:type="dxa"/>
            <w:tcBorders>
              <w:bottom w:val="single" w:sz="2" w:space="0" w:color="505050"/>
            </w:tcBorders>
            <w:shd w:val="clear" w:color="auto" w:fill="auto"/>
          </w:tcPr>
          <w:p w14:paraId="05849E9B" w14:textId="77777777" w:rsidR="0018323E" w:rsidRPr="001E2783" w:rsidRDefault="0018323E" w:rsidP="0018323E">
            <w:pPr>
              <w:spacing w:before="120"/>
              <w:rPr>
                <w:rFonts w:cs="Arial"/>
                <w:b/>
                <w:bCs/>
                <w:i/>
                <w:sz w:val="16"/>
                <w:szCs w:val="16"/>
              </w:rPr>
            </w:pPr>
            <w:r w:rsidRPr="001E2783">
              <w:rPr>
                <w:rFonts w:cs="Arial"/>
                <w:i/>
                <w:sz w:val="16"/>
                <w:szCs w:val="16"/>
              </w:rPr>
              <w:t>*Includes two investigations that resulted in no findings and a third investigation that was concluded.</w:t>
            </w:r>
          </w:p>
          <w:p w14:paraId="27B39371" w14:textId="697A36BA" w:rsidR="0018323E" w:rsidRPr="001E2783" w:rsidRDefault="0018323E" w:rsidP="0018323E">
            <w:pPr>
              <w:rPr>
                <w:rFonts w:cs="Arial"/>
              </w:rPr>
            </w:pPr>
            <w:r w:rsidRPr="001E2783">
              <w:rPr>
                <w:rFonts w:cs="Arial"/>
                <w:bCs/>
                <w:i/>
                <w:sz w:val="16"/>
                <w:szCs w:val="16"/>
              </w:rPr>
              <w:t>^</w:t>
            </w:r>
            <w:r w:rsidRPr="001E2783">
              <w:rPr>
                <w:rFonts w:cs="Arial"/>
                <w:i/>
                <w:sz w:val="16"/>
                <w:szCs w:val="16"/>
              </w:rPr>
              <w:t>Investigations involving compliance with codes of practice may also involve licence conditions or standards. For the purposes of the annual report, these investigations have only been counted once. For further details, see Appendix 6.</w:t>
            </w:r>
          </w:p>
        </w:tc>
      </w:tr>
    </w:tbl>
    <w:p w14:paraId="4B3B8754" w14:textId="77777777" w:rsidR="005A1C52" w:rsidRPr="001E2783" w:rsidRDefault="005A1C52" w:rsidP="0022105C">
      <w:pPr>
        <w:rPr>
          <w:rFonts w:cs="Arial"/>
        </w:rPr>
      </w:pPr>
    </w:p>
    <w:p w14:paraId="45C38E16" w14:textId="77777777" w:rsidR="005A1C52" w:rsidRPr="001E2783" w:rsidRDefault="00C70865" w:rsidP="0022105C">
      <w:pPr>
        <w:pStyle w:val="bodySUBSUBheaderh5"/>
        <w:rPr>
          <w:rFonts w:cs="Arial"/>
        </w:rPr>
      </w:pPr>
      <w:r w:rsidRPr="001E2783">
        <w:rPr>
          <w:rFonts w:cs="Arial"/>
        </w:rPr>
        <w:t>Investigation 2934—</w:t>
      </w:r>
      <w:r w:rsidR="005A1C52" w:rsidRPr="001E2783">
        <w:rPr>
          <w:rFonts w:cs="Arial"/>
        </w:rPr>
        <w:t>TCN Channel Nine Pty Ltd (TCN) (</w:t>
      </w:r>
      <w:r w:rsidR="005A1C52" w:rsidRPr="001E2783">
        <w:rPr>
          <w:rFonts w:cs="Arial"/>
          <w:i w:val="0"/>
        </w:rPr>
        <w:t>A Current Affair</w:t>
      </w:r>
      <w:r w:rsidRPr="001E2783">
        <w:rPr>
          <w:rFonts w:cs="Arial"/>
        </w:rPr>
        <w:t>, broadcast 7 </w:t>
      </w:r>
      <w:r w:rsidR="005A1C52" w:rsidRPr="001E2783">
        <w:rPr>
          <w:rFonts w:cs="Arial"/>
        </w:rPr>
        <w:t>November 2012)</w:t>
      </w:r>
    </w:p>
    <w:p w14:paraId="7A2EC365" w14:textId="77777777" w:rsidR="005A1C52" w:rsidRPr="001E2783" w:rsidRDefault="005A1C52" w:rsidP="005A1C52">
      <w:pPr>
        <w:rPr>
          <w:rFonts w:cs="Arial"/>
        </w:rPr>
      </w:pPr>
      <w:r w:rsidRPr="001E2783">
        <w:rPr>
          <w:rFonts w:cs="Arial"/>
        </w:rPr>
        <w:t xml:space="preserve">TCN Channel Nine’s </w:t>
      </w:r>
      <w:r w:rsidRPr="001E2783">
        <w:rPr>
          <w:rFonts w:cs="Arial"/>
          <w:i/>
        </w:rPr>
        <w:t>A Current Affair</w:t>
      </w:r>
      <w:r w:rsidRPr="001E2783">
        <w:rPr>
          <w:rFonts w:cs="Arial"/>
        </w:rPr>
        <w:t xml:space="preserve"> breached three clauses of the Commerci</w:t>
      </w:r>
      <w:r w:rsidR="00C70865" w:rsidRPr="001E2783">
        <w:rPr>
          <w:rFonts w:cs="Arial"/>
        </w:rPr>
        <w:t>al Television Industry Code of P</w:t>
      </w:r>
      <w:r w:rsidRPr="001E2783">
        <w:rPr>
          <w:rFonts w:cs="Arial"/>
        </w:rPr>
        <w:t>ractice in a</w:t>
      </w:r>
      <w:r w:rsidR="00C70865" w:rsidRPr="001E2783">
        <w:rPr>
          <w:rFonts w:cs="Arial"/>
        </w:rPr>
        <w:t xml:space="preserve"> story</w:t>
      </w:r>
      <w:r w:rsidRPr="001E2783">
        <w:rPr>
          <w:rFonts w:cs="Arial"/>
        </w:rPr>
        <w:t xml:space="preserve"> entitled ‘All-Asian Mall’, which dealt with a plan for changes at a Sydney suburban shopping centre. </w:t>
      </w:r>
    </w:p>
    <w:p w14:paraId="6F0AFEFC" w14:textId="77777777" w:rsidR="005A1C52" w:rsidRPr="001E2783" w:rsidRDefault="005A1C52" w:rsidP="005A1C52">
      <w:pPr>
        <w:rPr>
          <w:rFonts w:cs="Arial"/>
        </w:rPr>
      </w:pPr>
    </w:p>
    <w:p w14:paraId="13E50F26" w14:textId="77777777" w:rsidR="005A1C52" w:rsidRPr="001E2783" w:rsidRDefault="005A1C52" w:rsidP="0022105C">
      <w:pPr>
        <w:spacing w:after="80"/>
        <w:rPr>
          <w:rFonts w:cs="Arial"/>
        </w:rPr>
      </w:pPr>
      <w:r w:rsidRPr="001E2783">
        <w:rPr>
          <w:rFonts w:cs="Arial"/>
        </w:rPr>
        <w:t xml:space="preserve">The ACMA investigation found that the broadcast: </w:t>
      </w:r>
    </w:p>
    <w:p w14:paraId="5582D32F" w14:textId="77777777" w:rsidR="005A1C52" w:rsidRPr="001E2783" w:rsidRDefault="005A1C52" w:rsidP="0022105C">
      <w:pPr>
        <w:pStyle w:val="ListBullet"/>
        <w:rPr>
          <w:rFonts w:cs="Arial"/>
        </w:rPr>
      </w:pPr>
      <w:r w:rsidRPr="001E2783">
        <w:rPr>
          <w:rFonts w:cs="Arial"/>
        </w:rPr>
        <w:t>contained inac</w:t>
      </w:r>
      <w:r w:rsidR="005B1422" w:rsidRPr="001E2783">
        <w:rPr>
          <w:rFonts w:cs="Arial"/>
        </w:rPr>
        <w:t>curate factual material (clause </w:t>
      </w:r>
      <w:r w:rsidRPr="001E2783">
        <w:rPr>
          <w:rFonts w:cs="Arial"/>
        </w:rPr>
        <w:t xml:space="preserve">4.3.1) </w:t>
      </w:r>
    </w:p>
    <w:p w14:paraId="16EC9CA0" w14:textId="77777777" w:rsidR="005A1C52" w:rsidRPr="001E2783" w:rsidRDefault="005A1C52" w:rsidP="0022105C">
      <w:pPr>
        <w:pStyle w:val="ListBullet"/>
        <w:rPr>
          <w:rFonts w:cs="Arial"/>
        </w:rPr>
      </w:pPr>
      <w:r w:rsidRPr="001E2783">
        <w:rPr>
          <w:rFonts w:cs="Arial"/>
        </w:rPr>
        <w:t>placed a gratuitous emphasis on ethnic</w:t>
      </w:r>
      <w:r w:rsidR="005B1422" w:rsidRPr="001E2783">
        <w:rPr>
          <w:rFonts w:cs="Arial"/>
        </w:rPr>
        <w:t xml:space="preserve"> origin (clause </w:t>
      </w:r>
      <w:r w:rsidRPr="001E2783">
        <w:rPr>
          <w:rFonts w:cs="Arial"/>
        </w:rPr>
        <w:t xml:space="preserve">4.3.10) </w:t>
      </w:r>
    </w:p>
    <w:p w14:paraId="0E4164D8" w14:textId="77777777" w:rsidR="005A1C52" w:rsidRPr="001E2783" w:rsidRDefault="005A1C52" w:rsidP="0022105C">
      <w:pPr>
        <w:pStyle w:val="ListBullet"/>
        <w:spacing w:after="240"/>
        <w:rPr>
          <w:rFonts w:cs="Arial"/>
        </w:rPr>
      </w:pPr>
      <w:r w:rsidRPr="001E2783">
        <w:rPr>
          <w:rFonts w:cs="Arial"/>
        </w:rPr>
        <w:t>was likely to provoke intense dislike and serious contempt on the g</w:t>
      </w:r>
      <w:r w:rsidR="005B1422" w:rsidRPr="001E2783">
        <w:rPr>
          <w:rFonts w:cs="Arial"/>
        </w:rPr>
        <w:t>rounds of ethnic origin (clause </w:t>
      </w:r>
      <w:r w:rsidRPr="001E2783">
        <w:rPr>
          <w:rFonts w:cs="Arial"/>
        </w:rPr>
        <w:t>1.9.6).</w:t>
      </w:r>
    </w:p>
    <w:p w14:paraId="7DC66737" w14:textId="77777777" w:rsidR="005A1C52" w:rsidRPr="001E2783" w:rsidRDefault="005A1C52" w:rsidP="0022105C">
      <w:pPr>
        <w:rPr>
          <w:rFonts w:cs="Arial"/>
        </w:rPr>
      </w:pPr>
      <w:r w:rsidRPr="001E2783">
        <w:rPr>
          <w:rFonts w:cs="Arial"/>
        </w:rPr>
        <w:t xml:space="preserve">In response to the breach finding and the ACMA’s recommendation, TCN agreed to make an on-air statement and also removed the segment from Channel Nine’s website. </w:t>
      </w:r>
    </w:p>
    <w:p w14:paraId="3F72A463" w14:textId="77777777" w:rsidR="005A1C52" w:rsidRPr="001E2783" w:rsidRDefault="005A1C52" w:rsidP="0022105C">
      <w:pPr>
        <w:rPr>
          <w:rFonts w:cs="Arial"/>
        </w:rPr>
      </w:pPr>
    </w:p>
    <w:p w14:paraId="2C194A19" w14:textId="77777777" w:rsidR="00A73C13" w:rsidRPr="001E2783" w:rsidRDefault="00A73C13" w:rsidP="00A73C13">
      <w:pPr>
        <w:pStyle w:val="bodySUBSUBheaderh5"/>
        <w:rPr>
          <w:rFonts w:cs="Arial"/>
        </w:rPr>
      </w:pPr>
      <w:r w:rsidRPr="001E2783">
        <w:rPr>
          <w:rFonts w:cs="Arial"/>
        </w:rPr>
        <w:t xml:space="preserve">Investigations 2947, </w:t>
      </w:r>
      <w:r w:rsidR="00CD5C70" w:rsidRPr="001E2783">
        <w:rPr>
          <w:rFonts w:cs="Arial"/>
        </w:rPr>
        <w:t>2952, 2953, 2954, 2960 and 2962—</w:t>
      </w:r>
      <w:r w:rsidRPr="001E2783">
        <w:rPr>
          <w:rFonts w:cs="Arial"/>
        </w:rPr>
        <w:t xml:space="preserve">Harbour Radio Pty </w:t>
      </w:r>
      <w:r w:rsidR="00433988" w:rsidRPr="001E2783">
        <w:rPr>
          <w:rFonts w:cs="Arial"/>
        </w:rPr>
        <w:t xml:space="preserve">Limited </w:t>
      </w:r>
      <w:r w:rsidRPr="001E2783">
        <w:rPr>
          <w:rFonts w:cs="Arial"/>
        </w:rPr>
        <w:t>(2GB) (</w:t>
      </w:r>
      <w:r w:rsidRPr="001E2783">
        <w:rPr>
          <w:rFonts w:cs="Arial"/>
          <w:i w:val="0"/>
        </w:rPr>
        <w:t>Alan Jones Breakfast Show</w:t>
      </w:r>
      <w:r w:rsidR="00AC20C9" w:rsidRPr="001E2783">
        <w:rPr>
          <w:rFonts w:cs="Arial"/>
          <w:i w:val="0"/>
        </w:rPr>
        <w:t>,</w:t>
      </w:r>
      <w:r w:rsidRPr="001E2783">
        <w:rPr>
          <w:rFonts w:cs="Arial"/>
        </w:rPr>
        <w:t xml:space="preserve"> broadcast on 17, 23 and 29 October 2012) </w:t>
      </w:r>
    </w:p>
    <w:p w14:paraId="613C7CA5" w14:textId="77777777" w:rsidR="005A1C52" w:rsidRPr="001E2783" w:rsidRDefault="005A1C52" w:rsidP="00537938">
      <w:pPr>
        <w:rPr>
          <w:rFonts w:cs="Arial"/>
        </w:rPr>
      </w:pPr>
      <w:r w:rsidRPr="001E2783">
        <w:rPr>
          <w:rFonts w:cs="Arial"/>
        </w:rPr>
        <w:t xml:space="preserve">Harbour Radio Pty Limited, the licensee of Sydney radio station 2GB, breached the accuracy obligations in the </w:t>
      </w:r>
      <w:r w:rsidRPr="001E2783">
        <w:rPr>
          <w:rFonts w:cs="Arial"/>
          <w:iCs/>
        </w:rPr>
        <w:t>Commercial Radio Australia Codes of Practice 2011</w:t>
      </w:r>
      <w:r w:rsidRPr="001E2783">
        <w:rPr>
          <w:rFonts w:cs="Arial"/>
          <w:i/>
          <w:iCs/>
        </w:rPr>
        <w:t xml:space="preserve"> </w:t>
      </w:r>
      <w:r w:rsidRPr="001E2783">
        <w:rPr>
          <w:rFonts w:cs="Arial"/>
          <w:iCs/>
        </w:rPr>
        <w:t>in</w:t>
      </w:r>
      <w:r w:rsidRPr="001E2783">
        <w:rPr>
          <w:rFonts w:cs="Arial"/>
        </w:rPr>
        <w:t xml:space="preserve"> two broadcasts of the </w:t>
      </w:r>
      <w:r w:rsidRPr="001E2783">
        <w:rPr>
          <w:rFonts w:cs="Arial"/>
          <w:i/>
          <w:iCs/>
        </w:rPr>
        <w:t>Alan Jones Breakfast Show</w:t>
      </w:r>
      <w:r w:rsidRPr="001E2783">
        <w:rPr>
          <w:rFonts w:cs="Arial"/>
        </w:rPr>
        <w:t xml:space="preserve">. </w:t>
      </w:r>
    </w:p>
    <w:p w14:paraId="68869E6E" w14:textId="77777777" w:rsidR="00537938" w:rsidRPr="001E2783" w:rsidRDefault="00537938" w:rsidP="00537938">
      <w:pPr>
        <w:rPr>
          <w:rFonts w:cs="Arial"/>
        </w:rPr>
      </w:pPr>
    </w:p>
    <w:p w14:paraId="0F78CFA9" w14:textId="77777777" w:rsidR="005A1C52" w:rsidRPr="001E2783" w:rsidRDefault="005A1C52" w:rsidP="00537938">
      <w:pPr>
        <w:rPr>
          <w:rFonts w:cs="Arial"/>
        </w:rPr>
      </w:pPr>
      <w:r w:rsidRPr="001E2783">
        <w:rPr>
          <w:rFonts w:cs="Arial"/>
        </w:rPr>
        <w:t xml:space="preserve">Code 2.2(a) requires licensees, in the preparation and presentation of current affairs programs, to use reasonable efforts to ensure that factual material is reasonably supportable as being accurate. </w:t>
      </w:r>
    </w:p>
    <w:p w14:paraId="28C336E0" w14:textId="77777777" w:rsidR="00537938" w:rsidRPr="001E2783" w:rsidRDefault="00537938" w:rsidP="00537938">
      <w:pPr>
        <w:rPr>
          <w:rFonts w:cs="Arial"/>
        </w:rPr>
      </w:pPr>
    </w:p>
    <w:p w14:paraId="641CF6DB" w14:textId="77777777" w:rsidR="005A1C52" w:rsidRPr="001E2783" w:rsidRDefault="005A1C52" w:rsidP="00537938">
      <w:pPr>
        <w:spacing w:after="80" w:line="276" w:lineRule="auto"/>
        <w:rPr>
          <w:rFonts w:cs="Arial"/>
        </w:rPr>
      </w:pPr>
      <w:r w:rsidRPr="001E2783">
        <w:rPr>
          <w:rFonts w:cs="Arial"/>
        </w:rPr>
        <w:t>The ACMA found 2GB did not make reasonable efforts to ensure the accuracy of:</w:t>
      </w:r>
    </w:p>
    <w:p w14:paraId="46371456" w14:textId="77777777" w:rsidR="005A1C52" w:rsidRPr="001E2783" w:rsidRDefault="00CD5C70" w:rsidP="00537938">
      <w:pPr>
        <w:pStyle w:val="ListBullet"/>
        <w:rPr>
          <w:rFonts w:cs="Arial"/>
        </w:rPr>
      </w:pPr>
      <w:r w:rsidRPr="001E2783">
        <w:rPr>
          <w:rFonts w:cs="Arial"/>
        </w:rPr>
        <w:t>C</w:t>
      </w:r>
      <w:r w:rsidR="005A1C52" w:rsidRPr="001E2783">
        <w:rPr>
          <w:rFonts w:cs="Arial"/>
        </w:rPr>
        <w:t>omments made by Mr Jones on 17 October 2012 about power station closures (Inve</w:t>
      </w:r>
      <w:r w:rsidR="005B1422" w:rsidRPr="001E2783">
        <w:rPr>
          <w:rFonts w:cs="Arial"/>
        </w:rPr>
        <w:t>stigation </w:t>
      </w:r>
      <w:r w:rsidR="005A1C52" w:rsidRPr="001E2783">
        <w:rPr>
          <w:rFonts w:cs="Arial"/>
        </w:rPr>
        <w:t>2962). Here, the sources relied on by 2GB were contradicted by primary material readily available on the website of the o</w:t>
      </w:r>
      <w:r w:rsidRPr="001E2783">
        <w:rPr>
          <w:rFonts w:cs="Arial"/>
        </w:rPr>
        <w:t>wner of the power stations.</w:t>
      </w:r>
    </w:p>
    <w:p w14:paraId="4A140CD8" w14:textId="77777777" w:rsidR="005A1C52" w:rsidRPr="001E2783" w:rsidRDefault="00CD5C70" w:rsidP="00537938">
      <w:pPr>
        <w:pStyle w:val="ListBullet"/>
        <w:spacing w:after="240"/>
        <w:rPr>
          <w:rFonts w:cs="Arial"/>
        </w:rPr>
      </w:pPr>
      <w:r w:rsidRPr="001E2783">
        <w:rPr>
          <w:rFonts w:cs="Arial"/>
        </w:rPr>
        <w:t>C</w:t>
      </w:r>
      <w:r w:rsidR="005A1C52" w:rsidRPr="001E2783">
        <w:rPr>
          <w:rFonts w:cs="Arial"/>
        </w:rPr>
        <w:t>omments made by Mr Jones on 23 October 2012 about salaries paid in the</w:t>
      </w:r>
      <w:r w:rsidRPr="001E2783">
        <w:rPr>
          <w:rFonts w:cs="Arial"/>
        </w:rPr>
        <w:t xml:space="preserve"> Department of Climate Change (i</w:t>
      </w:r>
      <w:r w:rsidR="005A1C52" w:rsidRPr="001E2783">
        <w:rPr>
          <w:rFonts w:cs="Arial"/>
        </w:rPr>
        <w:t xml:space="preserve">nvestigations 2952, 2953 and 2954). Here, there was no evidence of 2GB’s efforts to ensure the accuracy of the comments. </w:t>
      </w:r>
    </w:p>
    <w:p w14:paraId="7E3D9FFE" w14:textId="77777777" w:rsidR="005A1C52" w:rsidRPr="001E2783" w:rsidRDefault="005A1C52" w:rsidP="00537938">
      <w:pPr>
        <w:rPr>
          <w:rFonts w:cs="Arial"/>
        </w:rPr>
      </w:pPr>
      <w:r w:rsidRPr="001E2783">
        <w:rPr>
          <w:rFonts w:cs="Arial"/>
        </w:rPr>
        <w:t xml:space="preserve">A third complaint about the accuracy of </w:t>
      </w:r>
      <w:r w:rsidR="005B1422" w:rsidRPr="001E2783">
        <w:rPr>
          <w:rFonts w:cs="Arial"/>
        </w:rPr>
        <w:t>comments made by Mr Jones on 29 </w:t>
      </w:r>
      <w:r w:rsidRPr="001E2783">
        <w:rPr>
          <w:rFonts w:cs="Arial"/>
        </w:rPr>
        <w:t>October 2012 concerning the NBN and</w:t>
      </w:r>
      <w:r w:rsidR="00CD5C70" w:rsidRPr="001E2783">
        <w:rPr>
          <w:rFonts w:cs="Arial"/>
        </w:rPr>
        <w:t xml:space="preserve"> other matters was not upheld (i</w:t>
      </w:r>
      <w:r w:rsidRPr="001E2783">
        <w:rPr>
          <w:rFonts w:cs="Arial"/>
        </w:rPr>
        <w:t>nvestigations 2947 and 2960). The ACMA found the comments broadcast were statements of opinion. The ‘accuracy’ obligation in the codes applies only to factual material.</w:t>
      </w:r>
    </w:p>
    <w:p w14:paraId="1D2FD833" w14:textId="77777777" w:rsidR="00537938" w:rsidRPr="001E2783" w:rsidRDefault="00537938" w:rsidP="00537938">
      <w:pPr>
        <w:rPr>
          <w:rFonts w:cs="Arial"/>
        </w:rPr>
      </w:pPr>
    </w:p>
    <w:p w14:paraId="4F85D8FE" w14:textId="77777777" w:rsidR="005A1C52" w:rsidRPr="001E2783" w:rsidRDefault="005A1C52" w:rsidP="00537938">
      <w:pPr>
        <w:rPr>
          <w:rFonts w:cs="Arial"/>
        </w:rPr>
      </w:pPr>
      <w:r w:rsidRPr="001E2783">
        <w:rPr>
          <w:rFonts w:cs="Arial"/>
        </w:rPr>
        <w:t xml:space="preserve">The ACMA also found two breaches by 2GB of its complaints-handling obligations. </w:t>
      </w:r>
    </w:p>
    <w:p w14:paraId="5CE27884" w14:textId="77777777" w:rsidR="00537938" w:rsidRPr="001E2783" w:rsidRDefault="00537938" w:rsidP="00537938">
      <w:pPr>
        <w:rPr>
          <w:rFonts w:cs="Arial"/>
        </w:rPr>
      </w:pPr>
    </w:p>
    <w:p w14:paraId="77363D89" w14:textId="77777777" w:rsidR="005A1C52" w:rsidRPr="001E2783" w:rsidRDefault="00CD5C70" w:rsidP="00537938">
      <w:pPr>
        <w:rPr>
          <w:rFonts w:cs="Arial"/>
        </w:rPr>
      </w:pPr>
      <w:r w:rsidRPr="001E2783">
        <w:rPr>
          <w:rFonts w:cs="Arial"/>
        </w:rPr>
        <w:t>In i</w:t>
      </w:r>
      <w:r w:rsidR="005A1C52" w:rsidRPr="001E2783">
        <w:rPr>
          <w:rFonts w:cs="Arial"/>
        </w:rPr>
        <w:t>nvestigations 2952, 2953 and 2954, 2GB submitted that it was not obliged to respond to a complaint it considered frivolous, vexatious or an abuse of the complaints process. The ACMA did not accept this submission</w:t>
      </w:r>
      <w:r w:rsidRPr="001E2783">
        <w:rPr>
          <w:rFonts w:cs="Arial"/>
        </w:rPr>
        <w:t>, as the c</w:t>
      </w:r>
      <w:r w:rsidR="005A1C52" w:rsidRPr="001E2783">
        <w:rPr>
          <w:rFonts w:cs="Arial"/>
        </w:rPr>
        <w:t xml:space="preserve">odes require licensees to provide a substantive response to a complaint, including information about the complainant’s right to refer the matter to the ACMA. </w:t>
      </w:r>
    </w:p>
    <w:p w14:paraId="76E3ABF3" w14:textId="77777777" w:rsidR="00537938" w:rsidRPr="001E2783" w:rsidRDefault="00537938" w:rsidP="00537938">
      <w:pPr>
        <w:rPr>
          <w:rFonts w:cs="Arial"/>
        </w:rPr>
      </w:pPr>
    </w:p>
    <w:p w14:paraId="17487ACC" w14:textId="77777777" w:rsidR="005A1C52" w:rsidRPr="001E2783" w:rsidRDefault="00CD5C70" w:rsidP="00537938">
      <w:pPr>
        <w:rPr>
          <w:rFonts w:cs="Arial"/>
        </w:rPr>
      </w:pPr>
      <w:r w:rsidRPr="001E2783">
        <w:rPr>
          <w:rFonts w:cs="Arial"/>
        </w:rPr>
        <w:t>In i</w:t>
      </w:r>
      <w:r w:rsidR="005A1C52" w:rsidRPr="001E2783">
        <w:rPr>
          <w:rFonts w:cs="Arial"/>
        </w:rPr>
        <w:t xml:space="preserve">nvestigations 2947 and 2960, 2GB submitted that it did not receive the complaint. However, the complainant provided the ACMA with a fax transmission report showing that the complaint had been successfully sent to 2GB. </w:t>
      </w:r>
    </w:p>
    <w:p w14:paraId="529B9EC7" w14:textId="77777777" w:rsidR="00537938" w:rsidRPr="001E2783" w:rsidRDefault="00537938" w:rsidP="00537938">
      <w:pPr>
        <w:rPr>
          <w:rFonts w:cs="Arial"/>
        </w:rPr>
      </w:pPr>
    </w:p>
    <w:p w14:paraId="37271AC0" w14:textId="77777777" w:rsidR="005A1C52" w:rsidRPr="001E2783" w:rsidRDefault="005A1C52" w:rsidP="00537938">
      <w:pPr>
        <w:rPr>
          <w:rFonts w:cs="Arial"/>
        </w:rPr>
      </w:pPr>
      <w:r w:rsidRPr="001E2783">
        <w:rPr>
          <w:rFonts w:cs="Arial"/>
        </w:rPr>
        <w:t>In these two matters</w:t>
      </w:r>
      <w:r w:rsidR="00CD5C70" w:rsidRPr="001E2783">
        <w:rPr>
          <w:rFonts w:cs="Arial"/>
        </w:rPr>
        <w:t>,</w:t>
      </w:r>
      <w:r w:rsidRPr="001E2783">
        <w:rPr>
          <w:rFonts w:cs="Arial"/>
        </w:rPr>
        <w:t xml:space="preserve"> the ACMA found that 2GB was obliged to give a substantive response and breached the code when it failed to do so.</w:t>
      </w:r>
    </w:p>
    <w:p w14:paraId="723A0526" w14:textId="77777777" w:rsidR="00537938" w:rsidRPr="001E2783" w:rsidRDefault="00537938" w:rsidP="00537938">
      <w:pPr>
        <w:rPr>
          <w:rFonts w:cs="Arial"/>
        </w:rPr>
      </w:pPr>
    </w:p>
    <w:p w14:paraId="36E474FF" w14:textId="77777777" w:rsidR="00BA7150" w:rsidRPr="001E2783" w:rsidRDefault="00CD5C70" w:rsidP="00BA7150">
      <w:pPr>
        <w:pStyle w:val="bodySUBSUBheaderh5"/>
        <w:rPr>
          <w:rFonts w:cs="Arial"/>
        </w:rPr>
      </w:pPr>
      <w:r w:rsidRPr="001E2783">
        <w:rPr>
          <w:rFonts w:cs="Arial"/>
        </w:rPr>
        <w:t>Investigation 3119—</w:t>
      </w:r>
      <w:r w:rsidR="00BA7150" w:rsidRPr="001E2783">
        <w:rPr>
          <w:rFonts w:cs="Arial"/>
        </w:rPr>
        <w:t>ABC (</w:t>
      </w:r>
      <w:r w:rsidR="00BA7150" w:rsidRPr="001E2783">
        <w:rPr>
          <w:rFonts w:cs="Arial"/>
          <w:i w:val="0"/>
        </w:rPr>
        <w:t>The Hamster Decides</w:t>
      </w:r>
      <w:r w:rsidR="00AC20C9" w:rsidRPr="001E2783">
        <w:rPr>
          <w:rFonts w:cs="Arial"/>
          <w:i w:val="0"/>
        </w:rPr>
        <w:t>,</w:t>
      </w:r>
      <w:r w:rsidR="00BA7150" w:rsidRPr="001E2783">
        <w:rPr>
          <w:rFonts w:cs="Arial"/>
        </w:rPr>
        <w:t xml:space="preserve"> broadcast on 11 September 2013)</w:t>
      </w:r>
    </w:p>
    <w:p w14:paraId="75692D94" w14:textId="77777777" w:rsidR="00BA7150" w:rsidRPr="001E2783" w:rsidRDefault="00BA7150" w:rsidP="00BA7150">
      <w:pPr>
        <w:rPr>
          <w:rFonts w:cs="Arial"/>
          <w:i/>
        </w:rPr>
      </w:pPr>
      <w:r w:rsidRPr="001E2783">
        <w:rPr>
          <w:rFonts w:cs="Arial"/>
        </w:rPr>
        <w:t xml:space="preserve">The ACMA found that an ABC television broadcast of </w:t>
      </w:r>
      <w:r w:rsidR="000962FE" w:rsidRPr="001E2783">
        <w:rPr>
          <w:rFonts w:cs="Arial"/>
          <w:i/>
        </w:rPr>
        <w:t>T</w:t>
      </w:r>
      <w:r w:rsidRPr="001E2783">
        <w:rPr>
          <w:rFonts w:cs="Arial"/>
          <w:i/>
        </w:rPr>
        <w:t>he Hamster Decides</w:t>
      </w:r>
      <w:r w:rsidR="000962FE" w:rsidRPr="001E2783">
        <w:rPr>
          <w:rFonts w:cs="Arial"/>
        </w:rPr>
        <w:t>,</w:t>
      </w:r>
      <w:r w:rsidRPr="001E2783">
        <w:rPr>
          <w:rFonts w:cs="Arial"/>
        </w:rPr>
        <w:t xml:space="preserve"> which contained a manipulated image of </w:t>
      </w:r>
      <w:r w:rsidR="000962FE" w:rsidRPr="001E2783">
        <w:rPr>
          <w:rFonts w:cs="Arial"/>
        </w:rPr>
        <w:t xml:space="preserve">a </w:t>
      </w:r>
      <w:r w:rsidRPr="001E2783">
        <w:rPr>
          <w:rFonts w:cs="Arial"/>
        </w:rPr>
        <w:t>journalist, Mr</w:t>
      </w:r>
      <w:r w:rsidR="005B1422" w:rsidRPr="001E2783">
        <w:rPr>
          <w:rFonts w:cs="Arial"/>
        </w:rPr>
        <w:t xml:space="preserve"> Chris Kenny, breached Standard </w:t>
      </w:r>
      <w:r w:rsidRPr="001E2783">
        <w:rPr>
          <w:rFonts w:cs="Arial"/>
        </w:rPr>
        <w:t xml:space="preserve">7.1 of the ABC Code of Practice 2011. </w:t>
      </w:r>
    </w:p>
    <w:p w14:paraId="5F0689E3" w14:textId="77777777" w:rsidR="00BA7150" w:rsidRPr="001E2783" w:rsidRDefault="00BA7150" w:rsidP="00BA7150">
      <w:pPr>
        <w:rPr>
          <w:rFonts w:cs="Arial"/>
          <w:i/>
        </w:rPr>
      </w:pPr>
    </w:p>
    <w:p w14:paraId="18E4C4E0" w14:textId="77777777" w:rsidR="00BA7150" w:rsidRPr="001E2783" w:rsidRDefault="005B1422" w:rsidP="00BA7150">
      <w:pPr>
        <w:rPr>
          <w:rFonts w:cs="Arial"/>
          <w:i/>
        </w:rPr>
      </w:pPr>
      <w:r w:rsidRPr="001E2783">
        <w:rPr>
          <w:rFonts w:cs="Arial"/>
        </w:rPr>
        <w:t>Standard </w:t>
      </w:r>
      <w:r w:rsidR="00BA7150" w:rsidRPr="001E2783">
        <w:rPr>
          <w:rFonts w:cs="Arial"/>
        </w:rPr>
        <w:t xml:space="preserve">7.1 requires that content that is likely to cause harm or offence must be justified by its editorial context. </w:t>
      </w:r>
    </w:p>
    <w:p w14:paraId="1B617F13" w14:textId="77777777" w:rsidR="00BA7150" w:rsidRPr="001E2783" w:rsidRDefault="00BA7150" w:rsidP="00BA7150">
      <w:pPr>
        <w:rPr>
          <w:rFonts w:cs="Arial"/>
          <w:i/>
        </w:rPr>
      </w:pPr>
    </w:p>
    <w:p w14:paraId="0654AA23" w14:textId="77777777" w:rsidR="00BA7150" w:rsidRPr="001E2783" w:rsidRDefault="000962FE" w:rsidP="00BA7150">
      <w:pPr>
        <w:spacing w:after="80"/>
        <w:rPr>
          <w:rFonts w:cs="Arial"/>
          <w:i/>
        </w:rPr>
      </w:pPr>
      <w:r w:rsidRPr="001E2783">
        <w:rPr>
          <w:rFonts w:cs="Arial"/>
        </w:rPr>
        <w:t>The ACMA found that the</w:t>
      </w:r>
      <w:r w:rsidR="00BA7150" w:rsidRPr="001E2783">
        <w:rPr>
          <w:rFonts w:cs="Arial"/>
        </w:rPr>
        <w:t xml:space="preserve"> broadcast breached the standards because:</w:t>
      </w:r>
    </w:p>
    <w:p w14:paraId="790FB6F6" w14:textId="77777777" w:rsidR="00BA7150" w:rsidRPr="001E2783" w:rsidRDefault="000962FE" w:rsidP="00BA7150">
      <w:pPr>
        <w:pStyle w:val="ListBullet"/>
        <w:rPr>
          <w:rFonts w:cs="Arial"/>
        </w:rPr>
      </w:pPr>
      <w:r w:rsidRPr="001E2783">
        <w:rPr>
          <w:rFonts w:cs="Arial"/>
        </w:rPr>
        <w:t>i</w:t>
      </w:r>
      <w:r w:rsidR="00BA7150" w:rsidRPr="001E2783">
        <w:rPr>
          <w:rFonts w:cs="Arial"/>
        </w:rPr>
        <w:t>t was intrinsically likely to have caused a high level of offence</w:t>
      </w:r>
    </w:p>
    <w:p w14:paraId="6AEAE8AF" w14:textId="77777777" w:rsidR="00BA7150" w:rsidRPr="001E2783" w:rsidRDefault="000962FE" w:rsidP="00BA7150">
      <w:pPr>
        <w:pStyle w:val="ListBullet"/>
        <w:rPr>
          <w:rFonts w:cs="Arial"/>
        </w:rPr>
      </w:pPr>
      <w:r w:rsidRPr="001E2783">
        <w:rPr>
          <w:rFonts w:cs="Arial"/>
        </w:rPr>
        <w:t>t</w:t>
      </w:r>
      <w:r w:rsidR="00BA7150" w:rsidRPr="001E2783">
        <w:rPr>
          <w:rFonts w:cs="Arial"/>
        </w:rPr>
        <w:t xml:space="preserve">here were some factors that mitigated that offence but, notwithstanding that mitigation, it was still likely to offend </w:t>
      </w:r>
    </w:p>
    <w:p w14:paraId="50ED8260" w14:textId="77777777" w:rsidR="00BA7150" w:rsidRPr="001E2783" w:rsidRDefault="000962FE" w:rsidP="00BA7150">
      <w:pPr>
        <w:pStyle w:val="ListBullet"/>
        <w:spacing w:after="240"/>
        <w:rPr>
          <w:rFonts w:cs="Arial"/>
        </w:rPr>
      </w:pPr>
      <w:r w:rsidRPr="001E2783">
        <w:rPr>
          <w:rFonts w:cs="Arial"/>
        </w:rPr>
        <w:t>w</w:t>
      </w:r>
      <w:r w:rsidR="00BA7150" w:rsidRPr="001E2783">
        <w:rPr>
          <w:rFonts w:cs="Arial"/>
        </w:rPr>
        <w:t xml:space="preserve">hile its editorial context was framed by the satirical nature of the program and other related considerations, its broadcast was nonetheless not justified by the editorial context. </w:t>
      </w:r>
    </w:p>
    <w:p w14:paraId="42AF8001" w14:textId="77777777" w:rsidR="00BA7150" w:rsidRPr="001E2783" w:rsidRDefault="00BA7150" w:rsidP="00BA7150">
      <w:pPr>
        <w:spacing w:after="80"/>
        <w:rPr>
          <w:rFonts w:cs="Arial"/>
          <w:i/>
        </w:rPr>
      </w:pPr>
      <w:r w:rsidRPr="001E2783">
        <w:rPr>
          <w:rFonts w:cs="Arial"/>
        </w:rPr>
        <w:t>In reaching its breach finding, the ACMA</w:t>
      </w:r>
      <w:r w:rsidR="0000023F" w:rsidRPr="001E2783">
        <w:rPr>
          <w:rFonts w:cs="Arial"/>
        </w:rPr>
        <w:t xml:space="preserve"> considered</w:t>
      </w:r>
      <w:r w:rsidRPr="001E2783">
        <w:rPr>
          <w:rFonts w:cs="Arial"/>
        </w:rPr>
        <w:t xml:space="preserve"> a number of circumstances, including</w:t>
      </w:r>
      <w:r w:rsidR="00E858E8" w:rsidRPr="001E2783">
        <w:rPr>
          <w:rFonts w:cs="Arial"/>
        </w:rPr>
        <w:t xml:space="preserve"> the</w:t>
      </w:r>
      <w:r w:rsidRPr="001E2783">
        <w:rPr>
          <w:rFonts w:cs="Arial"/>
        </w:rPr>
        <w:t xml:space="preserve">: </w:t>
      </w:r>
    </w:p>
    <w:p w14:paraId="61CE8C1D" w14:textId="77777777" w:rsidR="00BA7150" w:rsidRPr="001E2783" w:rsidRDefault="00BA7150" w:rsidP="00BA7150">
      <w:pPr>
        <w:pStyle w:val="ListBullet"/>
        <w:rPr>
          <w:rFonts w:cs="Arial"/>
        </w:rPr>
      </w:pPr>
      <w:r w:rsidRPr="001E2783">
        <w:rPr>
          <w:rFonts w:cs="Arial"/>
        </w:rPr>
        <w:t>comedic and satirical context of the skit</w:t>
      </w:r>
    </w:p>
    <w:p w14:paraId="4BE22800" w14:textId="77777777" w:rsidR="00BA7150" w:rsidRPr="001E2783" w:rsidRDefault="00BA7150" w:rsidP="00BA7150">
      <w:pPr>
        <w:pStyle w:val="ListBullet"/>
        <w:rPr>
          <w:rFonts w:cs="Arial"/>
        </w:rPr>
      </w:pPr>
      <w:r w:rsidRPr="001E2783">
        <w:rPr>
          <w:rFonts w:cs="Arial"/>
        </w:rPr>
        <w:t>extreme and disproportionate construct of the joke</w:t>
      </w:r>
    </w:p>
    <w:p w14:paraId="3E255E51" w14:textId="77777777" w:rsidR="00BA7150" w:rsidRPr="001E2783" w:rsidRDefault="00BA7150" w:rsidP="00BA7150">
      <w:pPr>
        <w:pStyle w:val="ListBullet"/>
        <w:rPr>
          <w:rFonts w:cs="Arial"/>
        </w:rPr>
      </w:pPr>
      <w:r w:rsidRPr="001E2783">
        <w:rPr>
          <w:rFonts w:cs="Arial"/>
        </w:rPr>
        <w:t>nature of the program’s target audience</w:t>
      </w:r>
    </w:p>
    <w:p w14:paraId="3AA02CDB" w14:textId="77777777" w:rsidR="00BA7150" w:rsidRPr="001E2783" w:rsidRDefault="00E858E8" w:rsidP="00246C7D">
      <w:pPr>
        <w:pStyle w:val="ListBullet"/>
        <w:keepNext/>
        <w:rPr>
          <w:rFonts w:cs="Arial"/>
        </w:rPr>
      </w:pPr>
      <w:r w:rsidRPr="001E2783">
        <w:rPr>
          <w:rFonts w:cs="Arial"/>
        </w:rPr>
        <w:t>l</w:t>
      </w:r>
      <w:r w:rsidR="00BA7150" w:rsidRPr="001E2783">
        <w:rPr>
          <w:rFonts w:cs="Arial"/>
        </w:rPr>
        <w:t xml:space="preserve">ikely level of offence created by the skit’s strong image and coarse language </w:t>
      </w:r>
    </w:p>
    <w:p w14:paraId="2DE5A8D3" w14:textId="77777777" w:rsidR="00BA7150" w:rsidRPr="001E2783" w:rsidRDefault="00BA7150" w:rsidP="00BA7150">
      <w:pPr>
        <w:pStyle w:val="ListBullet"/>
        <w:spacing w:after="240"/>
        <w:rPr>
          <w:rFonts w:cs="Arial"/>
        </w:rPr>
      </w:pPr>
      <w:r w:rsidRPr="001E2783">
        <w:rPr>
          <w:rFonts w:cs="Arial"/>
        </w:rPr>
        <w:t>identification of Mr Kenny in a way likely</w:t>
      </w:r>
      <w:r w:rsidR="00E858E8" w:rsidRPr="001E2783">
        <w:rPr>
          <w:rFonts w:cs="Arial"/>
        </w:rPr>
        <w:t xml:space="preserve"> to leave a lasting impression.</w:t>
      </w:r>
    </w:p>
    <w:p w14:paraId="5E8A6345" w14:textId="77777777" w:rsidR="00BA7150" w:rsidRPr="001E2783" w:rsidRDefault="00BA7150" w:rsidP="00BA7150">
      <w:pPr>
        <w:rPr>
          <w:rFonts w:cs="Arial"/>
          <w:i/>
        </w:rPr>
      </w:pPr>
      <w:r w:rsidRPr="001E2783">
        <w:rPr>
          <w:rFonts w:cs="Arial"/>
        </w:rPr>
        <w:t>The ACMA also found tha</w:t>
      </w:r>
      <w:r w:rsidR="00E858E8" w:rsidRPr="001E2783">
        <w:rPr>
          <w:rFonts w:cs="Arial"/>
        </w:rPr>
        <w:t>t the broadcast did not breach s</w:t>
      </w:r>
      <w:r w:rsidRPr="001E2783">
        <w:rPr>
          <w:rFonts w:cs="Arial"/>
        </w:rPr>
        <w:t>tandards 7.2 and 7.3 of the ABC Code</w:t>
      </w:r>
      <w:r w:rsidR="00E858E8" w:rsidRPr="001E2783">
        <w:rPr>
          <w:rFonts w:cs="Arial"/>
        </w:rPr>
        <w:t>,</w:t>
      </w:r>
      <w:r w:rsidRPr="001E2783">
        <w:rPr>
          <w:rFonts w:cs="Arial"/>
        </w:rPr>
        <w:t xml:space="preserve"> which require app</w:t>
      </w:r>
      <w:r w:rsidR="00131FF9" w:rsidRPr="001E2783">
        <w:rPr>
          <w:rFonts w:cs="Arial"/>
        </w:rPr>
        <w:t>ropriate classification and ade</w:t>
      </w:r>
      <w:r w:rsidRPr="001E2783">
        <w:rPr>
          <w:rFonts w:cs="Arial"/>
        </w:rPr>
        <w:t xml:space="preserve">quate classification labels, warnings and consumer advice.  </w:t>
      </w:r>
    </w:p>
    <w:p w14:paraId="7E0F25E1" w14:textId="77777777" w:rsidR="00BA7150" w:rsidRPr="001E2783" w:rsidRDefault="00BA7150" w:rsidP="00537938">
      <w:pPr>
        <w:rPr>
          <w:rFonts w:cs="Arial"/>
        </w:rPr>
      </w:pPr>
    </w:p>
    <w:p w14:paraId="262D2472" w14:textId="77777777" w:rsidR="005A1C52" w:rsidRPr="001E2783" w:rsidRDefault="006A5593" w:rsidP="00BA7150">
      <w:pPr>
        <w:pStyle w:val="BodysubheaderH4"/>
        <w:rPr>
          <w:rFonts w:cs="Arial"/>
        </w:rPr>
      </w:pPr>
      <w:r w:rsidRPr="001E2783">
        <w:rPr>
          <w:rFonts w:cs="Arial"/>
        </w:rPr>
        <w:t>Judicial reviews of ACMA broadcasting</w:t>
      </w:r>
      <w:r w:rsidR="00BA7150" w:rsidRPr="001E2783">
        <w:rPr>
          <w:rFonts w:cs="Arial"/>
        </w:rPr>
        <w:t xml:space="preserve"> investigations</w:t>
      </w:r>
    </w:p>
    <w:p w14:paraId="2BE657C1" w14:textId="77777777" w:rsidR="00CB2496" w:rsidRPr="001E2783" w:rsidRDefault="00CB2496" w:rsidP="00537938">
      <w:pPr>
        <w:rPr>
          <w:rFonts w:cs="Arial"/>
          <w:i/>
        </w:rPr>
      </w:pPr>
      <w:r w:rsidRPr="001E2783">
        <w:rPr>
          <w:rFonts w:cs="Arial"/>
          <w:i/>
        </w:rPr>
        <w:t>Investigation 2472—Channel Seven Adelaide Pty Ltd (</w:t>
      </w:r>
      <w:r w:rsidRPr="001E2783">
        <w:rPr>
          <w:rFonts w:cs="Arial"/>
        </w:rPr>
        <w:t>Channel Seven News</w:t>
      </w:r>
      <w:r w:rsidRPr="001E2783">
        <w:rPr>
          <w:rFonts w:cs="Arial"/>
          <w:i/>
        </w:rPr>
        <w:t>, broadcast on 18 July 2010)</w:t>
      </w:r>
    </w:p>
    <w:p w14:paraId="2067A90D" w14:textId="77777777" w:rsidR="00CB2496" w:rsidRPr="001E2783" w:rsidRDefault="00CB2496" w:rsidP="00CB2496">
      <w:pPr>
        <w:rPr>
          <w:rFonts w:cs="Arial"/>
        </w:rPr>
      </w:pPr>
      <w:r w:rsidRPr="001E2783">
        <w:rPr>
          <w:rFonts w:cs="Arial"/>
        </w:rPr>
        <w:t xml:space="preserve">In March 2012, the ACMA finalised Investigation 2472. The investigation found that a news segment broadcast by Channel Seven Adelaide Pty Ltd (SAS7) constituted a tobacco advertisement in contravention of section 13 of the </w:t>
      </w:r>
      <w:r w:rsidRPr="001E2783">
        <w:rPr>
          <w:rFonts w:cs="Arial"/>
          <w:i/>
        </w:rPr>
        <w:t>Tobacco Advertising Prohibition Act 1992</w:t>
      </w:r>
      <w:r w:rsidRPr="001E2783">
        <w:rPr>
          <w:rFonts w:cs="Arial"/>
        </w:rPr>
        <w:t xml:space="preserve"> (TAP Act).</w:t>
      </w:r>
    </w:p>
    <w:p w14:paraId="6865C0FB" w14:textId="77777777" w:rsidR="00CB2496" w:rsidRPr="001E2783" w:rsidRDefault="00CB2496" w:rsidP="00CB2496">
      <w:pPr>
        <w:rPr>
          <w:rFonts w:cs="Arial"/>
        </w:rPr>
      </w:pPr>
    </w:p>
    <w:p w14:paraId="43CD2892" w14:textId="77777777" w:rsidR="00CB2496" w:rsidRPr="001E2783" w:rsidRDefault="00CB2496" w:rsidP="00CB2496">
      <w:pPr>
        <w:rPr>
          <w:rFonts w:cs="Arial"/>
        </w:rPr>
      </w:pPr>
      <w:r w:rsidRPr="001E2783">
        <w:rPr>
          <w:rFonts w:cs="Arial"/>
        </w:rPr>
        <w:t>The licensee sought judicial review of the ACMA’s decision on several grounds. On 14 August 2013, the Court upheld the ACMA finding that SAS7 had breached a licence condition by broadcasting a news segment on 18 July 2010 called ‘Cheap Cigarette Imports’.</w:t>
      </w:r>
    </w:p>
    <w:p w14:paraId="05D21B16" w14:textId="77777777" w:rsidR="00CB2496" w:rsidRPr="001E2783" w:rsidRDefault="00CB2496" w:rsidP="00CB2496">
      <w:pPr>
        <w:rPr>
          <w:rFonts w:cs="Arial"/>
        </w:rPr>
      </w:pPr>
    </w:p>
    <w:p w14:paraId="4FFB3768" w14:textId="02ABF56A" w:rsidR="00BA7150" w:rsidRPr="001E2783" w:rsidRDefault="00CB2496" w:rsidP="00CB2496">
      <w:pPr>
        <w:rPr>
          <w:rFonts w:cs="Arial"/>
        </w:rPr>
      </w:pPr>
      <w:r w:rsidRPr="001E2783">
        <w:rPr>
          <w:rFonts w:cs="Arial"/>
        </w:rPr>
        <w:t xml:space="preserve">On 4 September 2013, SAS7 lodged an appeal to the Full Federal Court against this decision. On 21 March 2014, the </w:t>
      </w:r>
      <w:r w:rsidR="00ED3ECD" w:rsidRPr="001E2783">
        <w:rPr>
          <w:rFonts w:cs="Arial"/>
        </w:rPr>
        <w:t xml:space="preserve">Full </w:t>
      </w:r>
      <w:r w:rsidRPr="001E2783">
        <w:rPr>
          <w:rFonts w:cs="Arial"/>
        </w:rPr>
        <w:t xml:space="preserve">Court found that, in addition to deliberately broadcasting material that had the result of giving publicity to or promoting smoking, tobacco products, trademarks, the name of a person who manufactures tobacco products or designs associated with a tobacco product, it must be established that the broadcaster </w:t>
      </w:r>
      <w:r w:rsidRPr="001E2783">
        <w:rPr>
          <w:rFonts w:cs="Arial"/>
          <w:i/>
        </w:rPr>
        <w:t>intended</w:t>
      </w:r>
      <w:r w:rsidRPr="001E2783">
        <w:rPr>
          <w:rFonts w:cs="Arial"/>
        </w:rPr>
        <w:t xml:space="preserve"> to promote or give publicity to these matters.</w:t>
      </w:r>
    </w:p>
    <w:p w14:paraId="28F6240F" w14:textId="77777777" w:rsidR="00CB2496" w:rsidRPr="001E2783" w:rsidRDefault="00CB2496" w:rsidP="00CB2496">
      <w:pPr>
        <w:rPr>
          <w:rFonts w:cs="Arial"/>
        </w:rPr>
      </w:pPr>
    </w:p>
    <w:p w14:paraId="5BA5FFD8" w14:textId="77777777" w:rsidR="00CB2496" w:rsidRPr="001E2783" w:rsidRDefault="00CB2496" w:rsidP="00BA7150">
      <w:pPr>
        <w:rPr>
          <w:rFonts w:cs="Arial"/>
          <w:i/>
        </w:rPr>
      </w:pPr>
      <w:r w:rsidRPr="001E2783">
        <w:rPr>
          <w:rFonts w:cs="Arial"/>
          <w:i/>
        </w:rPr>
        <w:t>Investigation 2712—Channel Seven Adelaide Pty Ltd (</w:t>
      </w:r>
      <w:r w:rsidRPr="001E2783">
        <w:rPr>
          <w:rFonts w:cs="Arial"/>
        </w:rPr>
        <w:t>Today Tonight</w:t>
      </w:r>
      <w:r w:rsidRPr="001E2783">
        <w:rPr>
          <w:rFonts w:cs="Arial"/>
          <w:i/>
        </w:rPr>
        <w:t>, broadcast on 25 July 2011)</w:t>
      </w:r>
    </w:p>
    <w:p w14:paraId="61BAC5D9" w14:textId="5D1A90B7" w:rsidR="00CB2496" w:rsidRPr="001E2783" w:rsidRDefault="00CB2496" w:rsidP="00CB2496">
      <w:pPr>
        <w:rPr>
          <w:rFonts w:cs="Arial"/>
        </w:rPr>
      </w:pPr>
      <w:r w:rsidRPr="001E2783">
        <w:rPr>
          <w:rFonts w:cs="Arial"/>
        </w:rPr>
        <w:t xml:space="preserve">In July 2012, the ACMA finalised Investigation 2712, which found that a </w:t>
      </w:r>
      <w:r w:rsidRPr="001E2783">
        <w:rPr>
          <w:rFonts w:cs="Arial"/>
          <w:i/>
        </w:rPr>
        <w:t>Today Tonight</w:t>
      </w:r>
      <w:r w:rsidRPr="001E2783">
        <w:rPr>
          <w:rFonts w:cs="Arial"/>
        </w:rPr>
        <w:t xml:space="preserve"> segment breached two clauses of the Commercial Television Industry Code of Practice. The segment was a report about a beauty clinic that co</w:t>
      </w:r>
      <w:r w:rsidR="00ED3ECD" w:rsidRPr="001E2783">
        <w:rPr>
          <w:rFonts w:cs="Arial"/>
        </w:rPr>
        <w:t>nducted Intense Pulsed Light</w:t>
      </w:r>
      <w:r w:rsidRPr="001E2783">
        <w:rPr>
          <w:rFonts w:cs="Arial"/>
        </w:rPr>
        <w:t xml:space="preserve"> laser treatment on a patient that allegedly resulted in permanent skin damage.</w:t>
      </w:r>
    </w:p>
    <w:p w14:paraId="6C4CE806" w14:textId="77777777" w:rsidR="00CB2496" w:rsidRPr="001E2783" w:rsidRDefault="00CB2496" w:rsidP="00CB2496">
      <w:pPr>
        <w:rPr>
          <w:rFonts w:cs="Arial"/>
        </w:rPr>
      </w:pPr>
    </w:p>
    <w:p w14:paraId="55450C84" w14:textId="77777777" w:rsidR="00CB2496" w:rsidRPr="001E2783" w:rsidRDefault="00CB2496" w:rsidP="00CB2496">
      <w:pPr>
        <w:rPr>
          <w:rFonts w:cs="Arial"/>
        </w:rPr>
      </w:pPr>
      <w:r w:rsidRPr="001E2783">
        <w:rPr>
          <w:rFonts w:cs="Arial"/>
        </w:rPr>
        <w:t xml:space="preserve">The ACMA investigation found that the broadcast breached clause 4.3.1 (factual accuracy) and clause 4.3.11 (efforts to correct significant errors) of the code. </w:t>
      </w:r>
    </w:p>
    <w:p w14:paraId="5D6E132E" w14:textId="77777777" w:rsidR="00CB2496" w:rsidRPr="001E2783" w:rsidRDefault="00CB2496" w:rsidP="00CB2496">
      <w:pPr>
        <w:rPr>
          <w:rFonts w:cs="Arial"/>
        </w:rPr>
      </w:pPr>
    </w:p>
    <w:p w14:paraId="0923F04E" w14:textId="54FE195D" w:rsidR="00BA7150" w:rsidRPr="001E2783" w:rsidRDefault="00CB2496" w:rsidP="00CB2496">
      <w:pPr>
        <w:rPr>
          <w:rFonts w:cs="Arial"/>
        </w:rPr>
      </w:pPr>
      <w:r w:rsidRPr="001E2783">
        <w:rPr>
          <w:rFonts w:cs="Arial"/>
        </w:rPr>
        <w:t>On 7 September 2012, the licensee commenced Federal Court proceedings seeking judicial review of the ACMA’s finding on accuracy. The hearing was held on 27 and 28 February 2013. On 26 June 2014, the Court dismissed the application, and held that it was open to the ACMA to make the findings of breach that it had made and that the finding was not affected by legal error as alleged by the licensee.</w:t>
      </w:r>
    </w:p>
    <w:p w14:paraId="331FF6D4" w14:textId="77777777" w:rsidR="00CB2496" w:rsidRPr="001E2783" w:rsidRDefault="00CB2496" w:rsidP="00CB2496">
      <w:pPr>
        <w:rPr>
          <w:rFonts w:cs="Arial"/>
          <w:i/>
        </w:rPr>
      </w:pPr>
    </w:p>
    <w:p w14:paraId="42C69263" w14:textId="77777777" w:rsidR="00BA7150" w:rsidRPr="001E2783" w:rsidRDefault="00AC20C9" w:rsidP="00CB2496">
      <w:pPr>
        <w:pStyle w:val="bodySUBSUBheaderh5"/>
        <w:keepNext w:val="0"/>
        <w:rPr>
          <w:rFonts w:cs="Arial"/>
        </w:rPr>
      </w:pPr>
      <w:r w:rsidRPr="001E2783">
        <w:rPr>
          <w:rFonts w:cs="Arial"/>
        </w:rPr>
        <w:t>Investigation 2741—</w:t>
      </w:r>
      <w:r w:rsidR="00BA7150" w:rsidRPr="001E2783">
        <w:rPr>
          <w:rFonts w:cs="Arial"/>
        </w:rPr>
        <w:t>Channel Seven Brisbane Pty Ltd (</w:t>
      </w:r>
      <w:r w:rsidR="00BA7150" w:rsidRPr="001E2783">
        <w:rPr>
          <w:rFonts w:cs="Arial"/>
          <w:i w:val="0"/>
        </w:rPr>
        <w:t>Sunday Night</w:t>
      </w:r>
      <w:r w:rsidRPr="001E2783">
        <w:rPr>
          <w:rFonts w:cs="Arial"/>
        </w:rPr>
        <w:t>,</w:t>
      </w:r>
      <w:r w:rsidR="00BA7150" w:rsidRPr="001E2783">
        <w:rPr>
          <w:rFonts w:cs="Arial"/>
        </w:rPr>
        <w:t xml:space="preserve"> </w:t>
      </w:r>
      <w:r w:rsidRPr="001E2783">
        <w:rPr>
          <w:rFonts w:cs="Arial"/>
        </w:rPr>
        <w:t>broadcast on 4 </w:t>
      </w:r>
      <w:r w:rsidR="00BA7150" w:rsidRPr="001E2783">
        <w:rPr>
          <w:rFonts w:cs="Arial"/>
        </w:rPr>
        <w:t>September 2011)</w:t>
      </w:r>
    </w:p>
    <w:p w14:paraId="7D3A0826" w14:textId="77777777" w:rsidR="00CB2496" w:rsidRPr="001E2783" w:rsidRDefault="00CB2496" w:rsidP="00CB2496">
      <w:pPr>
        <w:pStyle w:val="bodySUBSUBheaderh5"/>
        <w:keepNext w:val="0"/>
        <w:rPr>
          <w:rFonts w:cs="Arial"/>
          <w:i w:val="0"/>
        </w:rPr>
      </w:pPr>
      <w:r w:rsidRPr="001E2783">
        <w:rPr>
          <w:rFonts w:cs="Arial"/>
          <w:i w:val="0"/>
        </w:rPr>
        <w:t xml:space="preserve">In August 2012, the ACMA finalised Investigation 2741 about a </w:t>
      </w:r>
      <w:r w:rsidRPr="001E2783">
        <w:rPr>
          <w:rFonts w:cs="Arial"/>
        </w:rPr>
        <w:t>Sunday Night</w:t>
      </w:r>
      <w:r w:rsidRPr="001E2783">
        <w:rPr>
          <w:rFonts w:cs="Arial"/>
          <w:i w:val="0"/>
        </w:rPr>
        <w:t xml:space="preserve"> report on the Suruwaha tribe in the Amazon Jungle in Brazil. The ACMA’s investigation found that the broadcast breached clause 4.3.1 (factual accuracy) and clause 1.9.6 (provoke or perpetuate intense dislike and serious contempt).</w:t>
      </w:r>
    </w:p>
    <w:p w14:paraId="4FB25A3E" w14:textId="77777777" w:rsidR="00CB2496" w:rsidRPr="001E2783" w:rsidRDefault="00CB2496" w:rsidP="00CB2496">
      <w:pPr>
        <w:pStyle w:val="bodySUBSUBheaderh5"/>
        <w:keepNext w:val="0"/>
        <w:rPr>
          <w:rFonts w:cs="Arial"/>
          <w:i w:val="0"/>
        </w:rPr>
      </w:pPr>
    </w:p>
    <w:p w14:paraId="083CDDEF" w14:textId="221AD266" w:rsidR="00CB2496" w:rsidRPr="001E2783" w:rsidRDefault="00CB2496" w:rsidP="00CB2496">
      <w:pPr>
        <w:pStyle w:val="bodySUBSUBheaderh5"/>
        <w:keepNext w:val="0"/>
        <w:rPr>
          <w:rFonts w:cs="Arial"/>
          <w:i w:val="0"/>
        </w:rPr>
      </w:pPr>
      <w:r w:rsidRPr="001E2783">
        <w:rPr>
          <w:rFonts w:cs="Arial"/>
          <w:i w:val="0"/>
        </w:rPr>
        <w:t xml:space="preserve">On 7 September 2012, the licensee commenced Federal Court proceedings seeking judicial review of the ACMA’s finding. The hearing was held on 27 and 28 February 2013. On 26 June 2014, the Court dismissed the application, and held that it was open to the ACMA to make the findings of breach that it had made and that the findings were not affected by legal error as alleged by the licensee. As at the end of the reporting period, the appeal period for the Court’s decision had not yet expired. </w:t>
      </w:r>
    </w:p>
    <w:p w14:paraId="5450B914" w14:textId="77777777" w:rsidR="00CB2496" w:rsidRPr="001E2783" w:rsidRDefault="00CB2496" w:rsidP="00CB2496">
      <w:pPr>
        <w:pStyle w:val="bodySUBSUBheaderh5"/>
        <w:keepNext w:val="0"/>
        <w:rPr>
          <w:rFonts w:cs="Arial"/>
          <w:i w:val="0"/>
        </w:rPr>
      </w:pPr>
    </w:p>
    <w:p w14:paraId="6B889558" w14:textId="72196BFD" w:rsidR="00BA7150" w:rsidRPr="001E2783" w:rsidRDefault="00AC20C9" w:rsidP="00CB2496">
      <w:pPr>
        <w:pStyle w:val="bodySUBSUBheaderh5"/>
        <w:rPr>
          <w:rFonts w:cs="Arial"/>
        </w:rPr>
      </w:pPr>
      <w:r w:rsidRPr="001E2783">
        <w:rPr>
          <w:rFonts w:cs="Arial"/>
        </w:rPr>
        <w:t>Investigation 2803—</w:t>
      </w:r>
      <w:r w:rsidR="00BA7150" w:rsidRPr="001E2783">
        <w:rPr>
          <w:rFonts w:cs="Arial"/>
        </w:rPr>
        <w:t>Channel Seven Perth Pty Ltd (</w:t>
      </w:r>
      <w:r w:rsidR="00BA7150" w:rsidRPr="001E2783">
        <w:rPr>
          <w:rFonts w:cs="Arial"/>
          <w:i w:val="0"/>
        </w:rPr>
        <w:t>Sunday Night</w:t>
      </w:r>
      <w:r w:rsidRPr="001E2783">
        <w:rPr>
          <w:rFonts w:cs="Arial"/>
        </w:rPr>
        <w:t>, broadcast on 4 </w:t>
      </w:r>
      <w:r w:rsidR="00BA7150" w:rsidRPr="001E2783">
        <w:rPr>
          <w:rFonts w:cs="Arial"/>
        </w:rPr>
        <w:t>March 2012)</w:t>
      </w:r>
    </w:p>
    <w:p w14:paraId="33411E75" w14:textId="77777777" w:rsidR="00CB2496" w:rsidRPr="001E2783" w:rsidRDefault="00CB2496" w:rsidP="00CB2496">
      <w:pPr>
        <w:rPr>
          <w:rFonts w:cs="Arial"/>
        </w:rPr>
      </w:pPr>
      <w:r w:rsidRPr="001E2783">
        <w:rPr>
          <w:rFonts w:cs="Arial"/>
        </w:rPr>
        <w:t xml:space="preserve">In December 2012, the ACMA finalised Investigation 2803 about a </w:t>
      </w:r>
      <w:r w:rsidRPr="001E2783">
        <w:rPr>
          <w:rFonts w:cs="Arial"/>
          <w:i/>
        </w:rPr>
        <w:t>Sunday Night</w:t>
      </w:r>
      <w:r w:rsidRPr="001E2783">
        <w:rPr>
          <w:rFonts w:cs="Arial"/>
        </w:rPr>
        <w:t xml:space="preserve"> report on the sinking of a mobile platform used for oil extraction purposes in the Gulf of Mexico during a hurricane in September 2011. The segment also focused on the actions of an Australian ship in the area at the time, which the program alleged had failed to come to the rescue of the crew of the mobile platform. The ACMA’s investigation found that the broadcast breached clause 4.3.1 of the Commercial Television Industry Code of Practice in relation to factual accuracy and the requirement to represent viewpoints fairly.</w:t>
      </w:r>
    </w:p>
    <w:p w14:paraId="30B682D1" w14:textId="77777777" w:rsidR="00CB2496" w:rsidRPr="001E2783" w:rsidRDefault="00CB2496" w:rsidP="00CB2496">
      <w:pPr>
        <w:rPr>
          <w:rFonts w:cs="Arial"/>
        </w:rPr>
      </w:pPr>
    </w:p>
    <w:p w14:paraId="7F0D6E2B" w14:textId="643A4FFC" w:rsidR="00BA7150" w:rsidRPr="001E2783" w:rsidRDefault="00CB2496" w:rsidP="00CB2496">
      <w:pPr>
        <w:rPr>
          <w:rFonts w:cs="Arial"/>
        </w:rPr>
      </w:pPr>
      <w:r w:rsidRPr="001E2783">
        <w:rPr>
          <w:rFonts w:cs="Arial"/>
        </w:rPr>
        <w:t>On 21 February 2013, Channel Seven Perth Pty Ltd commenced Federal Court proceedings seeking judicial review of the ACMA’s findings. The hearing was held on 18 October 2013. On 26 June 2014, the Court dismissed the application, and held that it was open to the ACMA to make the findings of breach that it had made and that the findings were not affected by legal error as alleged by the licensee.</w:t>
      </w:r>
    </w:p>
    <w:p w14:paraId="2C1B5C73" w14:textId="77777777" w:rsidR="00CB2496" w:rsidRPr="001E2783" w:rsidRDefault="00CB2496" w:rsidP="00CB2496">
      <w:pPr>
        <w:rPr>
          <w:rFonts w:cs="Arial"/>
        </w:rPr>
      </w:pPr>
    </w:p>
    <w:p w14:paraId="4148517F" w14:textId="77777777" w:rsidR="00BA7150" w:rsidRPr="001E2783" w:rsidRDefault="00BA7150" w:rsidP="00BA7150">
      <w:pPr>
        <w:pStyle w:val="bodySUBSUBheaderh5"/>
        <w:rPr>
          <w:rFonts w:cs="Arial"/>
        </w:rPr>
      </w:pPr>
      <w:r w:rsidRPr="001E2783">
        <w:rPr>
          <w:rFonts w:cs="Arial"/>
        </w:rPr>
        <w:t>Investigation 2928—Today FM Sydney Pty Ltd (</w:t>
      </w:r>
      <w:r w:rsidR="00EF04F9" w:rsidRPr="001E2783">
        <w:rPr>
          <w:rFonts w:cs="Arial"/>
          <w:i w:val="0"/>
        </w:rPr>
        <w:t>Summer </w:t>
      </w:r>
      <w:r w:rsidRPr="001E2783">
        <w:rPr>
          <w:rFonts w:cs="Arial"/>
          <w:i w:val="0"/>
        </w:rPr>
        <w:t>30</w:t>
      </w:r>
      <w:r w:rsidR="000B39F5" w:rsidRPr="001E2783">
        <w:rPr>
          <w:rFonts w:cs="Arial"/>
        </w:rPr>
        <w:t>,</w:t>
      </w:r>
      <w:r w:rsidRPr="001E2783">
        <w:rPr>
          <w:rFonts w:cs="Arial"/>
        </w:rPr>
        <w:t xml:space="preserve"> broadcast on </w:t>
      </w:r>
      <w:r w:rsidR="000B39F5" w:rsidRPr="001E2783">
        <w:rPr>
          <w:rFonts w:cs="Arial"/>
        </w:rPr>
        <w:t>4 </w:t>
      </w:r>
      <w:r w:rsidRPr="001E2783">
        <w:rPr>
          <w:rFonts w:cs="Arial"/>
        </w:rPr>
        <w:t>December 2012)</w:t>
      </w:r>
    </w:p>
    <w:p w14:paraId="6EE98EDE" w14:textId="77777777" w:rsidR="00CB2496" w:rsidRPr="001E2783" w:rsidRDefault="00CB2496" w:rsidP="00CB2496">
      <w:pPr>
        <w:rPr>
          <w:rFonts w:cs="Arial"/>
        </w:rPr>
      </w:pPr>
      <w:r w:rsidRPr="001E2783">
        <w:rPr>
          <w:rFonts w:cs="Arial"/>
        </w:rPr>
        <w:t xml:space="preserve">On 13 December 2012, the ACMA commenced an investigation into the broadcast by 2DayFM of a prank call to King Edward VII’s Hospital in London. </w:t>
      </w:r>
    </w:p>
    <w:p w14:paraId="4159CADF" w14:textId="77777777" w:rsidR="00CB2496" w:rsidRPr="001E2783" w:rsidRDefault="00CB2496" w:rsidP="00CB2496">
      <w:pPr>
        <w:rPr>
          <w:rFonts w:cs="Arial"/>
        </w:rPr>
      </w:pPr>
    </w:p>
    <w:p w14:paraId="111ACEDE" w14:textId="77777777" w:rsidR="00CB2496" w:rsidRPr="001E2783" w:rsidRDefault="00CB2496" w:rsidP="00CB2496">
      <w:pPr>
        <w:rPr>
          <w:rFonts w:cs="Arial"/>
        </w:rPr>
      </w:pPr>
      <w:r w:rsidRPr="001E2783">
        <w:rPr>
          <w:rFonts w:cs="Arial"/>
        </w:rPr>
        <w:t xml:space="preserve">The focus of the ACMA’s investigation was on the compliance of the licensee, Today FM Sydney Pty Ltd, with its licence conditions and the Commercial Radio Australia Codes of Practice 2011. This included the licence condition at clause 8(1)(g) of Schedule 2 to the BSA (that the licensee will not use the broadcasting service in the commission of an offence—in this case, offences under the </w:t>
      </w:r>
      <w:r w:rsidRPr="001E2783">
        <w:rPr>
          <w:rFonts w:cs="Arial"/>
          <w:i/>
        </w:rPr>
        <w:t>Surveillance Devices Act 2007</w:t>
      </w:r>
      <w:r w:rsidRPr="001E2783">
        <w:rPr>
          <w:rFonts w:cs="Arial"/>
        </w:rPr>
        <w:t xml:space="preserve"> (NSW) and the </w:t>
      </w:r>
      <w:r w:rsidRPr="001E2783">
        <w:rPr>
          <w:rFonts w:cs="Arial"/>
          <w:i/>
        </w:rPr>
        <w:t>Telecommunications (Interception and Access) Act 1979</w:t>
      </w:r>
      <w:r w:rsidRPr="001E2783">
        <w:rPr>
          <w:rFonts w:cs="Arial"/>
        </w:rPr>
        <w:t xml:space="preserve"> (TIA Act) were identified as relevant). </w:t>
      </w:r>
    </w:p>
    <w:p w14:paraId="53A6CED6" w14:textId="77777777" w:rsidR="00CB2496" w:rsidRPr="001E2783" w:rsidRDefault="00CB2496" w:rsidP="00CB2496">
      <w:pPr>
        <w:rPr>
          <w:rFonts w:cs="Arial"/>
        </w:rPr>
      </w:pPr>
    </w:p>
    <w:p w14:paraId="4C7EC3A2" w14:textId="77777777" w:rsidR="00CB2496" w:rsidRPr="001E2783" w:rsidRDefault="00CB2496" w:rsidP="00CB2496">
      <w:pPr>
        <w:rPr>
          <w:rFonts w:cs="Arial"/>
        </w:rPr>
      </w:pPr>
      <w:r w:rsidRPr="001E2783">
        <w:rPr>
          <w:rFonts w:cs="Arial"/>
        </w:rPr>
        <w:t xml:space="preserve">On 18 June 2013, in response to the ACMA’s preliminary findings on the issue of the alleged breach of a licence condition, the licensee applied to the Federal Court for orders restraining the ACMA from continuing the investigation and making a finding that Today FM breached that condition. </w:t>
      </w:r>
    </w:p>
    <w:p w14:paraId="72F8F39D" w14:textId="77777777" w:rsidR="00CB2496" w:rsidRPr="001E2783" w:rsidRDefault="00CB2496" w:rsidP="00CB2496">
      <w:pPr>
        <w:rPr>
          <w:rFonts w:cs="Arial"/>
        </w:rPr>
      </w:pPr>
    </w:p>
    <w:p w14:paraId="36240567" w14:textId="77777777" w:rsidR="00CB2496" w:rsidRPr="001E2783" w:rsidRDefault="00CB2496" w:rsidP="00CB2496">
      <w:pPr>
        <w:rPr>
          <w:rFonts w:cs="Arial"/>
        </w:rPr>
      </w:pPr>
      <w:r w:rsidRPr="001E2783">
        <w:rPr>
          <w:rFonts w:cs="Arial"/>
        </w:rPr>
        <w:t xml:space="preserve">Judgement was delivered on 7 November 2013. The Court found that the ACMA was empowered to make a finding that Today FM breached the condition of its licence that prohibits it from using its broadcasting service in the commission of an offence, irrespective of whether a criminal court makes a finding that an offence has been committed. </w:t>
      </w:r>
    </w:p>
    <w:p w14:paraId="6FF3B1CD" w14:textId="77777777" w:rsidR="00CB2496" w:rsidRPr="001E2783" w:rsidRDefault="00CB2496" w:rsidP="00CB2496">
      <w:pPr>
        <w:rPr>
          <w:rFonts w:cs="Arial"/>
        </w:rPr>
      </w:pPr>
    </w:p>
    <w:p w14:paraId="1EF01B4F" w14:textId="77777777" w:rsidR="00CB2496" w:rsidRPr="001E2783" w:rsidRDefault="00CB2496" w:rsidP="00CB2496">
      <w:pPr>
        <w:rPr>
          <w:rFonts w:cs="Arial"/>
        </w:rPr>
      </w:pPr>
      <w:r w:rsidRPr="001E2783">
        <w:rPr>
          <w:rFonts w:cs="Arial"/>
        </w:rPr>
        <w:t>Today FM appealed the decision. On 14 March 2014, the Full Federal Court found that, as a matter of statutory construction, the ACMA cannot find a breach of the relevant licence condition in the absence of an antecedent (criminal) court finding.</w:t>
      </w:r>
    </w:p>
    <w:p w14:paraId="44C63DA6" w14:textId="7C5465D6" w:rsidR="00BA7150" w:rsidRPr="001E2783" w:rsidRDefault="00CB2496" w:rsidP="00CB2496">
      <w:pPr>
        <w:rPr>
          <w:rFonts w:cs="Arial"/>
        </w:rPr>
      </w:pPr>
      <w:r w:rsidRPr="001E2783">
        <w:rPr>
          <w:rFonts w:cs="Arial"/>
        </w:rPr>
        <w:t>On 11 April 2014, the ACMA filed an application for special leave to appeal to the High Court of Australia.</w:t>
      </w:r>
    </w:p>
    <w:p w14:paraId="4CD3AF2A" w14:textId="77777777" w:rsidR="00CB2496" w:rsidRPr="001E2783" w:rsidRDefault="00CB2496" w:rsidP="00CB2496">
      <w:pPr>
        <w:rPr>
          <w:rFonts w:cs="Arial"/>
        </w:rPr>
      </w:pPr>
    </w:p>
    <w:p w14:paraId="0437DCC7" w14:textId="77777777" w:rsidR="005A1C52" w:rsidRPr="001E2783" w:rsidRDefault="005A1C52" w:rsidP="005A1C52">
      <w:pPr>
        <w:pStyle w:val="BodysubheaderH4"/>
        <w:rPr>
          <w:rFonts w:cs="Arial"/>
        </w:rPr>
      </w:pPr>
      <w:r w:rsidRPr="001E2783">
        <w:rPr>
          <w:rFonts w:cs="Arial"/>
        </w:rPr>
        <w:t>Community broadcasting enquiries</w:t>
      </w:r>
    </w:p>
    <w:p w14:paraId="6E1D7F1A" w14:textId="77777777" w:rsidR="005A1C52" w:rsidRPr="001E2783" w:rsidRDefault="005A1C52" w:rsidP="005A1C52">
      <w:pPr>
        <w:spacing w:after="80"/>
        <w:rPr>
          <w:rFonts w:cs="Arial"/>
        </w:rPr>
      </w:pPr>
      <w:r w:rsidRPr="001E2783">
        <w:rPr>
          <w:rFonts w:cs="Arial"/>
        </w:rPr>
        <w:t>During the reporting period, the ACMA received 1,026 enquiries about community broadcasting matters including:</w:t>
      </w:r>
    </w:p>
    <w:p w14:paraId="7CA20D37" w14:textId="77777777" w:rsidR="005A1C52" w:rsidRPr="001E2783" w:rsidRDefault="005A1C52" w:rsidP="005A1C52">
      <w:pPr>
        <w:pStyle w:val="ListBullet"/>
        <w:tabs>
          <w:tab w:val="clear" w:pos="295"/>
        </w:tabs>
        <w:ind w:left="284"/>
        <w:rPr>
          <w:rFonts w:cs="Arial"/>
        </w:rPr>
      </w:pPr>
      <w:r w:rsidRPr="001E2783">
        <w:rPr>
          <w:rFonts w:cs="Arial"/>
        </w:rPr>
        <w:t>setting up a temporary or long-term community radio broadcasting service</w:t>
      </w:r>
    </w:p>
    <w:p w14:paraId="6FE1F216" w14:textId="77777777" w:rsidR="005A1C52" w:rsidRPr="001E2783" w:rsidRDefault="005A1C52" w:rsidP="005A1C52">
      <w:pPr>
        <w:pStyle w:val="ListBullet"/>
        <w:tabs>
          <w:tab w:val="clear" w:pos="295"/>
        </w:tabs>
        <w:ind w:left="284"/>
        <w:rPr>
          <w:rFonts w:cs="Arial"/>
        </w:rPr>
      </w:pPr>
      <w:r w:rsidRPr="001E2783">
        <w:rPr>
          <w:rFonts w:cs="Arial"/>
        </w:rPr>
        <w:t>changing the technical specifications for the delivery of a community broadcasting service</w:t>
      </w:r>
    </w:p>
    <w:p w14:paraId="4A11209D" w14:textId="77777777" w:rsidR="005A1C52" w:rsidRPr="001E2783" w:rsidRDefault="005A1C52" w:rsidP="005A1C52">
      <w:pPr>
        <w:pStyle w:val="ListBullet"/>
        <w:tabs>
          <w:tab w:val="clear" w:pos="295"/>
        </w:tabs>
        <w:ind w:left="284"/>
        <w:rPr>
          <w:rFonts w:cs="Arial"/>
        </w:rPr>
      </w:pPr>
      <w:r w:rsidRPr="001E2783">
        <w:rPr>
          <w:rFonts w:cs="Arial"/>
        </w:rPr>
        <w:t>digital transmission of community radio or television services</w:t>
      </w:r>
    </w:p>
    <w:p w14:paraId="0E1D1329" w14:textId="77777777" w:rsidR="005A1C52" w:rsidRPr="001E2783" w:rsidRDefault="005A1C52" w:rsidP="005A1C52">
      <w:pPr>
        <w:pStyle w:val="ListBullet"/>
        <w:tabs>
          <w:tab w:val="clear" w:pos="295"/>
        </w:tabs>
        <w:spacing w:after="240"/>
        <w:ind w:left="284"/>
        <w:rPr>
          <w:rFonts w:cs="Arial"/>
        </w:rPr>
      </w:pPr>
      <w:r w:rsidRPr="001E2783">
        <w:rPr>
          <w:rFonts w:cs="Arial"/>
        </w:rPr>
        <w:t xml:space="preserve">making a complaint about a community broadcasting service. </w:t>
      </w:r>
    </w:p>
    <w:p w14:paraId="0C74C37F" w14:textId="77777777" w:rsidR="005A1C52" w:rsidRPr="001E2783" w:rsidRDefault="00EF04F9" w:rsidP="005A1C52">
      <w:pPr>
        <w:rPr>
          <w:rFonts w:cs="Arial"/>
        </w:rPr>
      </w:pPr>
      <w:r w:rsidRPr="001E2783">
        <w:rPr>
          <w:rFonts w:cs="Arial"/>
        </w:rPr>
        <w:t>Of these enquiries, 98.7 </w:t>
      </w:r>
      <w:r w:rsidR="005A1C52" w:rsidRPr="001E2783">
        <w:rPr>
          <w:rFonts w:cs="Arial"/>
        </w:rPr>
        <w:t>per cent (1,013) were actioned within a time frame of seven days.</w:t>
      </w:r>
    </w:p>
    <w:p w14:paraId="767C8A11" w14:textId="77777777" w:rsidR="005A1C52" w:rsidRPr="001E2783" w:rsidRDefault="005A1C52" w:rsidP="005A1C52">
      <w:pPr>
        <w:rPr>
          <w:rFonts w:cs="Arial"/>
        </w:rPr>
      </w:pPr>
    </w:p>
    <w:p w14:paraId="22C9B174" w14:textId="77777777" w:rsidR="005A1C52" w:rsidRPr="001E2783" w:rsidRDefault="005A1C52" w:rsidP="005A1C52">
      <w:pPr>
        <w:pStyle w:val="BodysubheaderH4"/>
        <w:rPr>
          <w:rFonts w:cs="Arial"/>
        </w:rPr>
      </w:pPr>
      <w:r w:rsidRPr="001E2783">
        <w:rPr>
          <w:rFonts w:cs="Arial"/>
        </w:rPr>
        <w:t>Control</w:t>
      </w:r>
    </w:p>
    <w:p w14:paraId="2EA96B9C" w14:textId="54F99644" w:rsidR="005A1C52" w:rsidRPr="001E2783" w:rsidRDefault="005A1C52" w:rsidP="005A1C52">
      <w:pPr>
        <w:rPr>
          <w:rFonts w:cs="Arial"/>
        </w:rPr>
      </w:pPr>
      <w:r w:rsidRPr="001E2783">
        <w:rPr>
          <w:rFonts w:cs="Arial"/>
        </w:rPr>
        <w:t xml:space="preserve">The ACMA’s broader role in media ownership and control rules is discussed under </w:t>
      </w:r>
      <w:r w:rsidRPr="001E2783">
        <w:rPr>
          <w:rFonts w:cs="Arial"/>
          <w:i/>
        </w:rPr>
        <w:t>Ownership and control</w:t>
      </w:r>
      <w:r w:rsidRPr="001E2783">
        <w:rPr>
          <w:rFonts w:cs="Arial"/>
        </w:rPr>
        <w:t>. There were no formal investigations into compliance with the ownership and control limits in the BSA in 2013–14.</w:t>
      </w:r>
    </w:p>
    <w:p w14:paraId="3492098D" w14:textId="77777777" w:rsidR="005A1C52" w:rsidRPr="001E2783" w:rsidRDefault="005A1C52" w:rsidP="005A1C52">
      <w:pPr>
        <w:rPr>
          <w:rFonts w:cs="Arial"/>
        </w:rPr>
      </w:pPr>
    </w:p>
    <w:p w14:paraId="618543CE" w14:textId="77777777" w:rsidR="005A1C52" w:rsidRPr="001E2783" w:rsidRDefault="005A1C52" w:rsidP="005A1C52">
      <w:pPr>
        <w:pStyle w:val="BodysubheaderH4"/>
        <w:rPr>
          <w:rFonts w:cs="Arial"/>
        </w:rPr>
      </w:pPr>
      <w:r w:rsidRPr="001E2783">
        <w:rPr>
          <w:rFonts w:cs="Arial"/>
        </w:rPr>
        <w:t xml:space="preserve">Category-of-service opinions </w:t>
      </w:r>
    </w:p>
    <w:p w14:paraId="50873104" w14:textId="77777777" w:rsidR="005A1C52" w:rsidRPr="001E2783" w:rsidRDefault="005A1C52" w:rsidP="005A1C52">
      <w:pPr>
        <w:rPr>
          <w:rFonts w:cs="Arial"/>
        </w:rPr>
      </w:pPr>
      <w:r w:rsidRPr="001E2783">
        <w:rPr>
          <w:rFonts w:cs="Arial"/>
        </w:rPr>
        <w:t>Section 21 of the BSA allows a person who is providing, or who proposes to provide, a broadcasting service to apply to the ACMA for an opinion as to which category of broadcasting service the service falls into. The ACMA did not give any category-of-service opinions during the reporting period.</w:t>
      </w:r>
    </w:p>
    <w:p w14:paraId="6D7057F8" w14:textId="77777777" w:rsidR="005A1C52" w:rsidRPr="001E2783" w:rsidRDefault="005A1C52" w:rsidP="005A1C52">
      <w:pPr>
        <w:rPr>
          <w:rFonts w:cs="Arial"/>
        </w:rPr>
      </w:pPr>
    </w:p>
    <w:p w14:paraId="09EBA60E" w14:textId="77777777" w:rsidR="005A1C52" w:rsidRPr="001E2783" w:rsidRDefault="005A1C52" w:rsidP="005A1C52">
      <w:pPr>
        <w:pStyle w:val="BodysubheaderH4"/>
        <w:rPr>
          <w:rFonts w:cs="Arial"/>
        </w:rPr>
      </w:pPr>
      <w:r w:rsidRPr="001E2783">
        <w:rPr>
          <w:rFonts w:cs="Arial"/>
        </w:rPr>
        <w:t>Children’s Television Standards</w:t>
      </w:r>
    </w:p>
    <w:p w14:paraId="304E1C5C" w14:textId="5AE52C5E" w:rsidR="00A73C13" w:rsidRPr="001E2783" w:rsidRDefault="00A73C13" w:rsidP="00A73C13">
      <w:pPr>
        <w:rPr>
          <w:rFonts w:cs="Arial"/>
        </w:rPr>
      </w:pPr>
      <w:r w:rsidRPr="001E2783">
        <w:rPr>
          <w:rFonts w:cs="Arial"/>
        </w:rPr>
        <w:t xml:space="preserve">In 2013–14, the ACMA </w:t>
      </w:r>
      <w:r w:rsidR="00ED3ECD" w:rsidRPr="001E2783">
        <w:rPr>
          <w:rFonts w:cs="Arial"/>
        </w:rPr>
        <w:t>conducted</w:t>
      </w:r>
      <w:r w:rsidRPr="001E2783">
        <w:rPr>
          <w:rFonts w:cs="Arial"/>
        </w:rPr>
        <w:t xml:space="preserve"> four investigations into licensees’ compliance with the Children’s Television Standards 2009 (the CTS). The investigations were initiated by the ACMA under section 170 of the BSA and related to compliance for the 2013 and 2014 calendar years.</w:t>
      </w:r>
    </w:p>
    <w:p w14:paraId="3FA2D4E2" w14:textId="77777777" w:rsidR="005A1C52" w:rsidRPr="001E2783" w:rsidRDefault="005A1C52" w:rsidP="005A1C52">
      <w:pPr>
        <w:rPr>
          <w:rFonts w:cs="Arial"/>
        </w:rPr>
      </w:pPr>
    </w:p>
    <w:p w14:paraId="64CDA54F" w14:textId="24E3F7FA" w:rsidR="005A1C52" w:rsidRPr="001E2783" w:rsidRDefault="005A1C52" w:rsidP="005A1C52">
      <w:pPr>
        <w:rPr>
          <w:rFonts w:cs="Arial"/>
        </w:rPr>
      </w:pPr>
      <w:r w:rsidRPr="001E2783">
        <w:rPr>
          <w:rFonts w:cs="Arial"/>
        </w:rPr>
        <w:t>In February 2014, the ACMA opened an investigation into the three Nine Network licensees following assessment on programming reports submitted to the ACMA in 2013. The ACMA found each licensee had broadcast a total of 14 episode</w:t>
      </w:r>
      <w:r w:rsidR="00433988" w:rsidRPr="001E2783">
        <w:rPr>
          <w:rFonts w:cs="Arial"/>
        </w:rPr>
        <w:t>s</w:t>
      </w:r>
      <w:r w:rsidRPr="001E2783">
        <w:rPr>
          <w:rFonts w:cs="Arial"/>
        </w:rPr>
        <w:t xml:space="preserve"> of two programs</w:t>
      </w:r>
      <w:r w:rsidR="00945AE3" w:rsidRPr="001E2783">
        <w:rPr>
          <w:rFonts w:cs="Arial"/>
        </w:rPr>
        <w:t>—</w:t>
      </w:r>
      <w:r w:rsidRPr="001E2783">
        <w:rPr>
          <w:rFonts w:cs="Arial"/>
          <w:i/>
        </w:rPr>
        <w:t>Kitchen Whiz</w:t>
      </w:r>
      <w:r w:rsidR="00433988" w:rsidRPr="001E2783">
        <w:rPr>
          <w:rFonts w:cs="Arial"/>
        </w:rPr>
        <w:t xml:space="preserve"> (series two</w:t>
      </w:r>
      <w:r w:rsidR="00945AE3" w:rsidRPr="001E2783">
        <w:rPr>
          <w:rFonts w:cs="Arial"/>
        </w:rPr>
        <w:t>,</w:t>
      </w:r>
      <w:r w:rsidRPr="001E2783">
        <w:rPr>
          <w:rFonts w:cs="Arial"/>
        </w:rPr>
        <w:t xml:space="preserve"> four episodes) and </w:t>
      </w:r>
      <w:r w:rsidRPr="001E2783">
        <w:rPr>
          <w:rFonts w:cs="Arial"/>
          <w:i/>
        </w:rPr>
        <w:t>The Day My Butt Went Psycho</w:t>
      </w:r>
      <w:r w:rsidR="00945AE3" w:rsidRPr="001E2783">
        <w:rPr>
          <w:rFonts w:cs="Arial"/>
        </w:rPr>
        <w:t xml:space="preserve"> (10 episodes)—</w:t>
      </w:r>
      <w:r w:rsidRPr="001E2783">
        <w:rPr>
          <w:rFonts w:cs="Arial"/>
        </w:rPr>
        <w:t xml:space="preserve">without the required ‘C’ classification. As a consequence of </w:t>
      </w:r>
      <w:r w:rsidR="00E0520D" w:rsidRPr="001E2783">
        <w:rPr>
          <w:rFonts w:cs="Arial"/>
        </w:rPr>
        <w:t xml:space="preserve">the </w:t>
      </w:r>
      <w:r w:rsidRPr="001E2783">
        <w:rPr>
          <w:rFonts w:cs="Arial"/>
        </w:rPr>
        <w:t xml:space="preserve">breaches, the licensees failed to provide sufficient C material to satisfy quota requirements in the 2013 compliance period. The ACMA found the licensees breached </w:t>
      </w:r>
      <w:r w:rsidR="00433988" w:rsidRPr="001E2783">
        <w:rPr>
          <w:rFonts w:cs="Arial"/>
        </w:rPr>
        <w:t>CTS 8(2)(a) (by providing 258.5 </w:t>
      </w:r>
      <w:r w:rsidRPr="001E2783">
        <w:rPr>
          <w:rFonts w:cs="Arial"/>
        </w:rPr>
        <w:t xml:space="preserve">hours of </w:t>
      </w:r>
      <w:r w:rsidR="00945AE3" w:rsidRPr="001E2783">
        <w:rPr>
          <w:rFonts w:cs="Arial"/>
        </w:rPr>
        <w:t>the 260-</w:t>
      </w:r>
      <w:r w:rsidRPr="001E2783">
        <w:rPr>
          <w:rFonts w:cs="Arial"/>
        </w:rPr>
        <w:t>hour quota) and provid</w:t>
      </w:r>
      <w:r w:rsidR="00433988" w:rsidRPr="001E2783">
        <w:rPr>
          <w:rFonts w:cs="Arial"/>
        </w:rPr>
        <w:t>ed 124 </w:t>
      </w:r>
      <w:r w:rsidR="00945AE3" w:rsidRPr="001E2783">
        <w:rPr>
          <w:rFonts w:cs="Arial"/>
        </w:rPr>
        <w:t>hours of first-release C </w:t>
      </w:r>
      <w:r w:rsidRPr="001E2783">
        <w:rPr>
          <w:rFonts w:cs="Arial"/>
        </w:rPr>
        <w:t>material, breaching a provision of the A</w:t>
      </w:r>
      <w:r w:rsidR="00433988" w:rsidRPr="001E2783">
        <w:rPr>
          <w:rFonts w:cs="Arial"/>
        </w:rPr>
        <w:t>ustralian Content Standard, ACS </w:t>
      </w:r>
      <w:r w:rsidRPr="001E2783">
        <w:rPr>
          <w:rFonts w:cs="Arial"/>
        </w:rPr>
        <w:t xml:space="preserve">14(1). </w:t>
      </w:r>
    </w:p>
    <w:p w14:paraId="404BC548" w14:textId="77777777" w:rsidR="005A1C52" w:rsidRPr="001E2783" w:rsidRDefault="005A1C52" w:rsidP="005A1C52">
      <w:pPr>
        <w:rPr>
          <w:rFonts w:cs="Arial"/>
        </w:rPr>
      </w:pPr>
    </w:p>
    <w:p w14:paraId="35DC1F1E" w14:textId="77777777" w:rsidR="005A1C52" w:rsidRPr="001E2783" w:rsidRDefault="005A1C52" w:rsidP="005A1C52">
      <w:pPr>
        <w:rPr>
          <w:rFonts w:cs="Arial"/>
        </w:rPr>
      </w:pPr>
      <w:r w:rsidRPr="001E2783">
        <w:rPr>
          <w:rFonts w:cs="Arial"/>
        </w:rPr>
        <w:t xml:space="preserve">Also in February 2014, the ACMA opened an investigation into Channel Seven Adelaide following </w:t>
      </w:r>
      <w:r w:rsidR="00945AE3" w:rsidRPr="001E2783">
        <w:rPr>
          <w:rFonts w:cs="Arial"/>
        </w:rPr>
        <w:t>its</w:t>
      </w:r>
      <w:r w:rsidRPr="001E2783">
        <w:rPr>
          <w:rFonts w:cs="Arial"/>
        </w:rPr>
        <w:t xml:space="preserve"> notification of a disruption </w:t>
      </w:r>
      <w:r w:rsidR="00945AE3" w:rsidRPr="001E2783">
        <w:rPr>
          <w:rFonts w:cs="Arial"/>
        </w:rPr>
        <w:t>to children’s programming on 17 </w:t>
      </w:r>
      <w:r w:rsidRPr="001E2783">
        <w:rPr>
          <w:rFonts w:cs="Arial"/>
        </w:rPr>
        <w:t>January 2014. The licensee was found to have breached two provisions of the</w:t>
      </w:r>
      <w:r w:rsidR="00EF04F9" w:rsidRPr="001E2783">
        <w:rPr>
          <w:rFonts w:cs="Arial"/>
        </w:rPr>
        <w:t xml:space="preserve"> CTS (not providing at least 30 minutes of P </w:t>
      </w:r>
      <w:r w:rsidRPr="001E2783">
        <w:rPr>
          <w:rFonts w:cs="Arial"/>
        </w:rPr>
        <w:t>material in the</w:t>
      </w:r>
      <w:r w:rsidR="00EF04F9" w:rsidRPr="001E2783">
        <w:rPr>
          <w:rFonts w:cs="Arial"/>
        </w:rPr>
        <w:t xml:space="preserve"> P band on 17 </w:t>
      </w:r>
      <w:r w:rsidRPr="001E2783">
        <w:rPr>
          <w:rFonts w:cs="Arial"/>
        </w:rPr>
        <w:t>Jan</w:t>
      </w:r>
      <w:r w:rsidR="00945AE3" w:rsidRPr="001E2783">
        <w:rPr>
          <w:rFonts w:cs="Arial"/>
        </w:rPr>
        <w:t>uary 2014, and broadcasting a G-</w:t>
      </w:r>
      <w:r w:rsidR="00EF04F9" w:rsidRPr="001E2783">
        <w:rPr>
          <w:rFonts w:cs="Arial"/>
        </w:rPr>
        <w:t>classified program during a P </w:t>
      </w:r>
      <w:r w:rsidRPr="001E2783">
        <w:rPr>
          <w:rFonts w:cs="Arial"/>
        </w:rPr>
        <w:t>period). As remedial action</w:t>
      </w:r>
      <w:r w:rsidR="00945AE3" w:rsidRPr="001E2783">
        <w:rPr>
          <w:rFonts w:cs="Arial"/>
        </w:rPr>
        <w:t>,</w:t>
      </w:r>
      <w:r w:rsidRPr="001E2783">
        <w:rPr>
          <w:rFonts w:cs="Arial"/>
        </w:rPr>
        <w:t xml:space="preserve"> the licensee notified and broadcast additio</w:t>
      </w:r>
      <w:r w:rsidR="00EF04F9" w:rsidRPr="001E2783">
        <w:rPr>
          <w:rFonts w:cs="Arial"/>
        </w:rPr>
        <w:t>nal preschool programming on 28 </w:t>
      </w:r>
      <w:r w:rsidRPr="001E2783">
        <w:rPr>
          <w:rFonts w:cs="Arial"/>
        </w:rPr>
        <w:t>February 2014.</w:t>
      </w:r>
    </w:p>
    <w:p w14:paraId="58A29212" w14:textId="77777777" w:rsidR="005A1C52" w:rsidRPr="001E2783" w:rsidRDefault="005A1C52" w:rsidP="00537938">
      <w:pPr>
        <w:rPr>
          <w:rFonts w:cs="Arial"/>
        </w:rPr>
      </w:pPr>
    </w:p>
    <w:p w14:paraId="6FCAA403" w14:textId="77777777" w:rsidR="005A1C52" w:rsidRPr="001E2783" w:rsidRDefault="005A1C52" w:rsidP="005A1C52">
      <w:pPr>
        <w:pStyle w:val="BodysubheaderH4"/>
        <w:rPr>
          <w:rFonts w:cs="Arial"/>
        </w:rPr>
      </w:pPr>
      <w:r w:rsidRPr="001E2783">
        <w:rPr>
          <w:rFonts w:cs="Arial"/>
        </w:rPr>
        <w:t>Australian Content Standard</w:t>
      </w:r>
    </w:p>
    <w:p w14:paraId="4C03015F" w14:textId="77777777" w:rsidR="005A1C52" w:rsidRPr="001E2783" w:rsidRDefault="00433988" w:rsidP="005A1C52">
      <w:pPr>
        <w:rPr>
          <w:rFonts w:cs="Arial"/>
        </w:rPr>
      </w:pPr>
      <w:r w:rsidRPr="001E2783">
        <w:rPr>
          <w:rFonts w:cs="Arial"/>
        </w:rPr>
        <w:t>As noted above, during 2013–14 the ACMA conducted investigations into four licensees’ compliance with the CTS. Three of these investigations also related to compliance with the Australian Content Standard</w:t>
      </w:r>
      <w:r w:rsidR="00E0520D" w:rsidRPr="001E2783">
        <w:rPr>
          <w:rFonts w:cs="Arial"/>
        </w:rPr>
        <w:t xml:space="preserve"> (ACS)</w:t>
      </w:r>
      <w:r w:rsidRPr="001E2783">
        <w:rPr>
          <w:rFonts w:cs="Arial"/>
        </w:rPr>
        <w:t xml:space="preserve">. </w:t>
      </w:r>
      <w:r w:rsidR="00945AE3" w:rsidRPr="001E2783">
        <w:rPr>
          <w:rFonts w:cs="Arial"/>
        </w:rPr>
        <w:t>T</w:t>
      </w:r>
      <w:r w:rsidR="005A1C52" w:rsidRPr="001E2783">
        <w:rPr>
          <w:rFonts w:cs="Arial"/>
        </w:rPr>
        <w:t>he ACMA found TCN Channel Nine (TCN), General Television Corporation (GTV) and Queensland Television (QTQ) breached</w:t>
      </w:r>
      <w:r w:rsidRPr="001E2783">
        <w:rPr>
          <w:rFonts w:cs="Arial"/>
        </w:rPr>
        <w:t xml:space="preserve"> ACS </w:t>
      </w:r>
      <w:r w:rsidR="005A1C52" w:rsidRPr="001E2783">
        <w:rPr>
          <w:rFonts w:cs="Arial"/>
        </w:rPr>
        <w:t>14(1) by fail</w:t>
      </w:r>
      <w:r w:rsidR="00945AE3" w:rsidRPr="001E2783">
        <w:rPr>
          <w:rFonts w:cs="Arial"/>
        </w:rPr>
        <w:t>ing to provide sufficient first-</w:t>
      </w:r>
      <w:r w:rsidRPr="001E2783">
        <w:rPr>
          <w:rFonts w:cs="Arial"/>
        </w:rPr>
        <w:t>release C </w:t>
      </w:r>
      <w:r w:rsidR="005A1C52" w:rsidRPr="001E2783">
        <w:rPr>
          <w:rFonts w:cs="Arial"/>
        </w:rPr>
        <w:t>programs during the compli</w:t>
      </w:r>
      <w:r w:rsidRPr="001E2783">
        <w:rPr>
          <w:rFonts w:cs="Arial"/>
        </w:rPr>
        <w:t>ance period (124 </w:t>
      </w:r>
      <w:r w:rsidR="00945AE3" w:rsidRPr="001E2783">
        <w:rPr>
          <w:rFonts w:cs="Arial"/>
        </w:rPr>
        <w:t>hours of a 130-</w:t>
      </w:r>
      <w:r w:rsidR="005A1C52" w:rsidRPr="001E2783">
        <w:rPr>
          <w:rFonts w:cs="Arial"/>
        </w:rPr>
        <w:t>hour requirement).</w:t>
      </w:r>
      <w:r w:rsidRPr="001E2783">
        <w:rPr>
          <w:rFonts w:cs="Arial"/>
        </w:rPr>
        <w:t xml:space="preserve"> Appropriate remedial action for these licensees will be finalised in the next reporting period</w:t>
      </w:r>
      <w:r w:rsidR="005A1C52" w:rsidRPr="001E2783">
        <w:rPr>
          <w:rFonts w:cs="Arial"/>
        </w:rPr>
        <w:t>.</w:t>
      </w:r>
    </w:p>
    <w:p w14:paraId="2A588423" w14:textId="77777777" w:rsidR="005A1C52" w:rsidRPr="001E2783" w:rsidRDefault="005A1C52" w:rsidP="005A1C52">
      <w:pPr>
        <w:rPr>
          <w:rFonts w:cs="Arial"/>
        </w:rPr>
      </w:pPr>
    </w:p>
    <w:p w14:paraId="20D1F866" w14:textId="77777777" w:rsidR="005A1C52" w:rsidRPr="001E2783" w:rsidRDefault="005A1C52" w:rsidP="005A1C52">
      <w:pPr>
        <w:pStyle w:val="BodysubheaderH4"/>
        <w:rPr>
          <w:rFonts w:cs="Arial"/>
        </w:rPr>
      </w:pPr>
      <w:r w:rsidRPr="001E2783">
        <w:rPr>
          <w:rFonts w:cs="Arial"/>
        </w:rPr>
        <w:t>Anti-siphoning provisions</w:t>
      </w:r>
    </w:p>
    <w:p w14:paraId="3233380C" w14:textId="77777777" w:rsidR="00A73C13" w:rsidRPr="001E2783" w:rsidRDefault="00A73C13" w:rsidP="00A73C13">
      <w:pPr>
        <w:tabs>
          <w:tab w:val="left" w:pos="0"/>
        </w:tabs>
        <w:rPr>
          <w:rFonts w:cs="Arial"/>
        </w:rPr>
      </w:pPr>
      <w:r w:rsidRPr="001E2783">
        <w:rPr>
          <w:rFonts w:cs="Arial"/>
        </w:rPr>
        <w:t xml:space="preserve">In the reporting period, the ACMA completed one investigation into the </w:t>
      </w:r>
      <w:r w:rsidR="00F21444" w:rsidRPr="001E2783">
        <w:rPr>
          <w:rFonts w:cs="Arial"/>
        </w:rPr>
        <w:t xml:space="preserve">telecast </w:t>
      </w:r>
      <w:r w:rsidRPr="001E2783">
        <w:rPr>
          <w:rFonts w:cs="Arial"/>
        </w:rPr>
        <w:t>of anti-siphoning events on comme</w:t>
      </w:r>
      <w:r w:rsidR="00EF04F9" w:rsidRPr="001E2783">
        <w:rPr>
          <w:rFonts w:cs="Arial"/>
        </w:rPr>
        <w:t>rcial television. Investigation </w:t>
      </w:r>
      <w:r w:rsidRPr="001E2783">
        <w:rPr>
          <w:rFonts w:cs="Arial"/>
        </w:rPr>
        <w:t xml:space="preserve">3223 found that </w:t>
      </w:r>
      <w:r w:rsidR="00945AE3" w:rsidRPr="001E2783">
        <w:rPr>
          <w:rFonts w:cs="Arial"/>
        </w:rPr>
        <w:t xml:space="preserve">a </w:t>
      </w:r>
      <w:r w:rsidRPr="001E2783">
        <w:rPr>
          <w:rFonts w:cs="Arial"/>
        </w:rPr>
        <w:t>Nine Network licensee</w:t>
      </w:r>
      <w:r w:rsidR="00945AE3" w:rsidRPr="001E2783">
        <w:rPr>
          <w:rFonts w:cs="Arial"/>
        </w:rPr>
        <w:t>,</w:t>
      </w:r>
      <w:r w:rsidRPr="001E2783">
        <w:rPr>
          <w:rFonts w:cs="Arial"/>
        </w:rPr>
        <w:t xml:space="preserve"> Swan Television &amp; Radio Broadcast</w:t>
      </w:r>
      <w:r w:rsidR="00EF04F9" w:rsidRPr="001E2783">
        <w:rPr>
          <w:rFonts w:cs="Arial"/>
        </w:rPr>
        <w:t>ers Pty Ltd, breached paragraph </w:t>
      </w:r>
      <w:r w:rsidRPr="001E2783">
        <w:rPr>
          <w:rFonts w:cs="Arial"/>
        </w:rPr>
        <w:t xml:space="preserve">7(1)(ob) of Schedule 2 </w:t>
      </w:r>
      <w:r w:rsidR="00EF04F9" w:rsidRPr="001E2783">
        <w:rPr>
          <w:rFonts w:cs="Arial"/>
        </w:rPr>
        <w:t>to the BSA by broadcasting Game </w:t>
      </w:r>
      <w:r w:rsidRPr="001E2783">
        <w:rPr>
          <w:rFonts w:cs="Arial"/>
        </w:rPr>
        <w:t>1 of the 2014 National Rugby League St</w:t>
      </w:r>
      <w:r w:rsidR="00945AE3" w:rsidRPr="001E2783">
        <w:rPr>
          <w:rFonts w:cs="Arial"/>
        </w:rPr>
        <w:t>ate of Origin Series on C</w:t>
      </w:r>
      <w:r w:rsidRPr="001E2783">
        <w:rPr>
          <w:rFonts w:cs="Arial"/>
        </w:rPr>
        <w:t>hannel</w:t>
      </w:r>
      <w:r w:rsidR="00EF04F9" w:rsidRPr="001E2783">
        <w:rPr>
          <w:rFonts w:cs="Arial"/>
        </w:rPr>
        <w:t xml:space="preserve"> GEM (a HD multi-channel) on 28 </w:t>
      </w:r>
      <w:r w:rsidRPr="001E2783">
        <w:rPr>
          <w:rFonts w:cs="Arial"/>
        </w:rPr>
        <w:t xml:space="preserve">May 2014. </w:t>
      </w:r>
    </w:p>
    <w:p w14:paraId="71F9F9C6" w14:textId="77777777" w:rsidR="00A73C13" w:rsidRPr="001E2783" w:rsidRDefault="00A73C13" w:rsidP="00A73C13">
      <w:pPr>
        <w:tabs>
          <w:tab w:val="left" w:pos="0"/>
        </w:tabs>
        <w:rPr>
          <w:rFonts w:cs="Arial"/>
        </w:rPr>
      </w:pPr>
    </w:p>
    <w:p w14:paraId="1DF023D5" w14:textId="77777777" w:rsidR="00A73C13" w:rsidRPr="001E2783" w:rsidRDefault="00A73C13" w:rsidP="00A73C13">
      <w:pPr>
        <w:tabs>
          <w:tab w:val="left" w:pos="0"/>
        </w:tabs>
        <w:rPr>
          <w:rFonts w:cs="Arial"/>
          <w:szCs w:val="20"/>
        </w:rPr>
      </w:pPr>
      <w:r w:rsidRPr="001E2783">
        <w:rPr>
          <w:rFonts w:cs="Arial"/>
        </w:rPr>
        <w:t xml:space="preserve">The ACMA also </w:t>
      </w:r>
      <w:r w:rsidRPr="001E2783">
        <w:rPr>
          <w:rFonts w:cs="Arial"/>
          <w:szCs w:val="20"/>
        </w:rPr>
        <w:t xml:space="preserve">dealt with </w:t>
      </w:r>
      <w:r w:rsidR="00F21444" w:rsidRPr="001E2783">
        <w:rPr>
          <w:rFonts w:cs="Arial"/>
          <w:szCs w:val="20"/>
        </w:rPr>
        <w:t>17</w:t>
      </w:r>
      <w:r w:rsidRPr="001E2783">
        <w:rPr>
          <w:rFonts w:cs="Arial"/>
          <w:szCs w:val="20"/>
        </w:rPr>
        <w:t xml:space="preserve"> complaints or enquiries about the availability of sports programs on free-to-air television. The majority of the complaints were about events not being broadcast live, in-full or at all (</w:t>
      </w:r>
      <w:r w:rsidR="00F21444" w:rsidRPr="001E2783">
        <w:rPr>
          <w:rFonts w:cs="Arial"/>
          <w:szCs w:val="20"/>
        </w:rPr>
        <w:t xml:space="preserve">such complaints are </w:t>
      </w:r>
      <w:r w:rsidRPr="001E2783">
        <w:rPr>
          <w:rFonts w:cs="Arial"/>
          <w:szCs w:val="20"/>
        </w:rPr>
        <w:t xml:space="preserve">not currently within the ACMA’s jurisdiction). </w:t>
      </w:r>
    </w:p>
    <w:p w14:paraId="209B6272" w14:textId="77777777" w:rsidR="005A1C52" w:rsidRPr="001E2783" w:rsidRDefault="005A1C52" w:rsidP="005A1C52">
      <w:pPr>
        <w:rPr>
          <w:rFonts w:cs="Arial"/>
        </w:rPr>
      </w:pPr>
    </w:p>
    <w:p w14:paraId="041C6E82" w14:textId="77777777" w:rsidR="005A1C52" w:rsidRPr="001E2783" w:rsidRDefault="00537938" w:rsidP="00537938">
      <w:pPr>
        <w:pStyle w:val="BodysubheaderH4"/>
        <w:rPr>
          <w:rFonts w:cs="Arial"/>
        </w:rPr>
      </w:pPr>
      <w:r w:rsidRPr="001E2783">
        <w:rPr>
          <w:rFonts w:cs="Arial"/>
        </w:rPr>
        <w:t>Other m</w:t>
      </w:r>
      <w:r w:rsidR="005A1C52" w:rsidRPr="001E2783">
        <w:rPr>
          <w:rFonts w:cs="Arial"/>
        </w:rPr>
        <w:t>atters</w:t>
      </w:r>
    </w:p>
    <w:p w14:paraId="51C82274" w14:textId="77777777" w:rsidR="005A1C52" w:rsidRPr="001E2783" w:rsidRDefault="005A1C52" w:rsidP="00537938">
      <w:pPr>
        <w:spacing w:after="80"/>
        <w:rPr>
          <w:rFonts w:cs="Arial"/>
        </w:rPr>
      </w:pPr>
      <w:r w:rsidRPr="001E2783">
        <w:rPr>
          <w:rFonts w:cs="Arial"/>
        </w:rPr>
        <w:t>The ACMA continued to fulfil its regulatory functions during the reporting period in monitoring compliance with the:</w:t>
      </w:r>
    </w:p>
    <w:p w14:paraId="05DEA2F2" w14:textId="77777777" w:rsidR="005A1C52" w:rsidRPr="001E2783" w:rsidRDefault="005A1C52" w:rsidP="00537938">
      <w:pPr>
        <w:pStyle w:val="ListBullet"/>
        <w:rPr>
          <w:rFonts w:cs="Arial"/>
        </w:rPr>
      </w:pPr>
      <w:r w:rsidRPr="001E2783">
        <w:rPr>
          <w:rFonts w:cs="Arial"/>
        </w:rPr>
        <w:t>Broadcasting Services (Commercial Radio Current Affairs Disclosure) Standard 2012</w:t>
      </w:r>
    </w:p>
    <w:p w14:paraId="491DD97B" w14:textId="77777777" w:rsidR="005A1C52" w:rsidRPr="001E2783" w:rsidRDefault="005A1C52" w:rsidP="00537938">
      <w:pPr>
        <w:pStyle w:val="ListBullet"/>
        <w:rPr>
          <w:rFonts w:cs="Arial"/>
        </w:rPr>
      </w:pPr>
      <w:r w:rsidRPr="001E2783">
        <w:rPr>
          <w:rFonts w:cs="Arial"/>
        </w:rPr>
        <w:t xml:space="preserve">Broadcasting Services (Anti-terrorism Requirements for Open Narrowcasting Television Services) Standard 2011 </w:t>
      </w:r>
    </w:p>
    <w:p w14:paraId="192D2D09" w14:textId="77777777" w:rsidR="005A1C52" w:rsidRPr="001E2783" w:rsidRDefault="005A1C52" w:rsidP="00537938">
      <w:pPr>
        <w:pStyle w:val="ListBullet"/>
        <w:rPr>
          <w:rFonts w:cs="Arial"/>
        </w:rPr>
      </w:pPr>
      <w:r w:rsidRPr="001E2783">
        <w:rPr>
          <w:rFonts w:cs="Arial"/>
        </w:rPr>
        <w:t xml:space="preserve">Broadcasting Services (Anti-terrorism Requirements for Subscription Television Narrowcasting Services) Standard 2011 </w:t>
      </w:r>
    </w:p>
    <w:p w14:paraId="75257494" w14:textId="77777777" w:rsidR="005A1C52" w:rsidRPr="001E2783" w:rsidRDefault="00E0520D" w:rsidP="00945AE3">
      <w:pPr>
        <w:pStyle w:val="ListBullet"/>
        <w:spacing w:after="240"/>
        <w:rPr>
          <w:rFonts w:cs="Arial"/>
        </w:rPr>
      </w:pPr>
      <w:r w:rsidRPr="001E2783">
        <w:rPr>
          <w:rFonts w:cs="Arial"/>
        </w:rPr>
        <w:t>d</w:t>
      </w:r>
      <w:r w:rsidR="005A1C52" w:rsidRPr="001E2783">
        <w:rPr>
          <w:rFonts w:cs="Arial"/>
        </w:rPr>
        <w:t>at</w:t>
      </w:r>
      <w:r w:rsidR="00EF04F9" w:rsidRPr="001E2783">
        <w:rPr>
          <w:rFonts w:cs="Arial"/>
        </w:rPr>
        <w:t>acasting provisions of Schedule </w:t>
      </w:r>
      <w:r w:rsidR="005A1C52" w:rsidRPr="001E2783">
        <w:rPr>
          <w:rFonts w:cs="Arial"/>
        </w:rPr>
        <w:t>6 to the BSA.</w:t>
      </w:r>
    </w:p>
    <w:tbl>
      <w:tblPr>
        <w:tblW w:w="9645" w:type="dxa"/>
        <w:shd w:val="clear" w:color="auto" w:fill="F2F2F2" w:themeFill="background1" w:themeFillShade="F2"/>
        <w:tblLayout w:type="fixed"/>
        <w:tblCellMar>
          <w:left w:w="0" w:type="dxa"/>
          <w:right w:w="0" w:type="dxa"/>
        </w:tblCellMar>
        <w:tblLook w:val="01E0" w:firstRow="1" w:lastRow="1" w:firstColumn="1" w:lastColumn="1" w:noHBand="0" w:noVBand="0"/>
      </w:tblPr>
      <w:tblGrid>
        <w:gridCol w:w="9645"/>
      </w:tblGrid>
      <w:tr w:rsidR="001E2783" w:rsidRPr="001E2783" w14:paraId="5B465930" w14:textId="77777777" w:rsidTr="004C5764">
        <w:trPr>
          <w:trHeight w:val="570"/>
        </w:trPr>
        <w:tc>
          <w:tcPr>
            <w:tcW w:w="9645" w:type="dxa"/>
            <w:tcBorders>
              <w:top w:val="single" w:sz="2" w:space="0" w:color="505050"/>
            </w:tcBorders>
            <w:shd w:val="clear" w:color="auto" w:fill="F2F2F2" w:themeFill="background1" w:themeFillShade="F2"/>
            <w:vAlign w:val="center"/>
          </w:tcPr>
          <w:p w14:paraId="38F64874" w14:textId="77777777" w:rsidR="004C5764" w:rsidRPr="001E2783" w:rsidRDefault="004C5764" w:rsidP="004C5764">
            <w:pPr>
              <w:pStyle w:val="Caption"/>
              <w:keepNext/>
              <w:keepLines/>
              <w:rPr>
                <w:rFonts w:ascii="Arial" w:hAnsi="Arial" w:cs="Arial"/>
                <w:color w:val="auto"/>
              </w:rPr>
            </w:pPr>
            <w:r w:rsidRPr="001E2783">
              <w:rPr>
                <w:rFonts w:ascii="Arial" w:hAnsi="Arial" w:cs="Arial"/>
                <w:color w:val="auto"/>
              </w:rPr>
              <w:t>Case study</w:t>
            </w:r>
            <w:r w:rsidRPr="001E2783">
              <w:rPr>
                <w:rFonts w:ascii="Arial" w:hAnsi="Arial" w:cs="Arial"/>
                <w:color w:val="auto"/>
              </w:rPr>
              <w:br/>
              <w:t>New codes to limit betting odds and gambling ads during live sports broadcasts</w:t>
            </w:r>
          </w:p>
        </w:tc>
      </w:tr>
      <w:tr w:rsidR="001E2783" w:rsidRPr="001E2783" w14:paraId="1D6AC883" w14:textId="77777777" w:rsidTr="004C5764">
        <w:trPr>
          <w:trHeight w:val="624"/>
        </w:trPr>
        <w:tc>
          <w:tcPr>
            <w:tcW w:w="9645" w:type="dxa"/>
            <w:shd w:val="clear" w:color="auto" w:fill="F2F2F2" w:themeFill="background1" w:themeFillShade="F2"/>
            <w:tcMar>
              <w:left w:w="28" w:type="dxa"/>
            </w:tcMar>
          </w:tcPr>
          <w:p w14:paraId="34D8787B" w14:textId="77777777" w:rsidR="001A6042" w:rsidRPr="001E2783" w:rsidRDefault="004C5764" w:rsidP="004C5764">
            <w:pPr>
              <w:keepNext/>
              <w:keepLines/>
              <w:rPr>
                <w:rFonts w:cs="Arial"/>
              </w:rPr>
            </w:pPr>
            <w:r w:rsidRPr="001E2783">
              <w:rPr>
                <w:rFonts w:cs="Arial"/>
              </w:rPr>
              <w:t xml:space="preserve">On 30 July 2013, the ACMA registered broadcasting industry codes of practice to limit betting odds promotions and gambling advertising during live sports broadcasts. </w:t>
            </w:r>
          </w:p>
          <w:p w14:paraId="6F92CBB1" w14:textId="77777777" w:rsidR="001A6042" w:rsidRPr="001E2783" w:rsidRDefault="001A6042" w:rsidP="004C5764">
            <w:pPr>
              <w:keepNext/>
              <w:keepLines/>
              <w:rPr>
                <w:rFonts w:cs="Arial"/>
              </w:rPr>
            </w:pPr>
          </w:p>
          <w:p w14:paraId="6D9D2A4D" w14:textId="77777777" w:rsidR="004C5764" w:rsidRPr="001E2783" w:rsidRDefault="001A6042" w:rsidP="004C5764">
            <w:pPr>
              <w:keepNext/>
              <w:keepLines/>
              <w:rPr>
                <w:rFonts w:cs="Arial"/>
              </w:rPr>
            </w:pPr>
            <w:r w:rsidRPr="001E2783">
              <w:rPr>
                <w:rFonts w:cs="Arial"/>
              </w:rPr>
              <w:t>The registration of the codes followed ACMA-</w:t>
            </w:r>
            <w:r w:rsidR="004C5764" w:rsidRPr="001E2783">
              <w:rPr>
                <w:rFonts w:cs="Arial"/>
              </w:rPr>
              <w:t>commissioned research into community attitudes about gambling advertising in live sports broadcasts</w:t>
            </w:r>
            <w:r w:rsidRPr="001E2783">
              <w:rPr>
                <w:rFonts w:cs="Arial"/>
              </w:rPr>
              <w:t>,</w:t>
            </w:r>
            <w:r w:rsidR="004C5764" w:rsidRPr="001E2783">
              <w:rPr>
                <w:rFonts w:cs="Arial"/>
              </w:rPr>
              <w:t xml:space="preserve"> which supported restricting </w:t>
            </w:r>
            <w:r w:rsidRPr="001E2783">
              <w:rPr>
                <w:rFonts w:cs="Arial"/>
              </w:rPr>
              <w:t>these</w:t>
            </w:r>
            <w:r w:rsidR="004C5764" w:rsidRPr="001E2783">
              <w:rPr>
                <w:rFonts w:cs="Arial"/>
              </w:rPr>
              <w:t xml:space="preserve"> practices</w:t>
            </w:r>
            <w:r w:rsidRPr="001E2783">
              <w:rPr>
                <w:rFonts w:cs="Arial"/>
              </w:rPr>
              <w:t xml:space="preserve">. The ACMA also </w:t>
            </w:r>
            <w:r w:rsidR="004C5764" w:rsidRPr="001E2783">
              <w:rPr>
                <w:rFonts w:cs="Arial"/>
              </w:rPr>
              <w:t>worked with broadcasters to enhance and harmonise the codes so they provide appropriate community safeguards.</w:t>
            </w:r>
          </w:p>
          <w:p w14:paraId="416CC67B" w14:textId="77777777" w:rsidR="004C5764" w:rsidRPr="001E2783" w:rsidRDefault="004C5764" w:rsidP="004C5764">
            <w:pPr>
              <w:keepNext/>
              <w:keepLines/>
              <w:rPr>
                <w:rFonts w:cs="Arial"/>
              </w:rPr>
            </w:pPr>
          </w:p>
          <w:p w14:paraId="050735ED" w14:textId="77777777" w:rsidR="004C5764" w:rsidRPr="001E2783" w:rsidRDefault="004C5764" w:rsidP="00F26B75">
            <w:pPr>
              <w:keepNext/>
              <w:keepLines/>
              <w:spacing w:after="80"/>
              <w:rPr>
                <w:rFonts w:cs="Arial"/>
              </w:rPr>
            </w:pPr>
            <w:r w:rsidRPr="001E2783">
              <w:rPr>
                <w:rFonts w:cs="Arial"/>
              </w:rPr>
              <w:t xml:space="preserve">During live sports broadcasts on commercial radio, commercial television, subscription broadcast television and subscription radio, the codes: </w:t>
            </w:r>
          </w:p>
          <w:p w14:paraId="00AC8564" w14:textId="77777777" w:rsidR="004C5764" w:rsidRPr="001E2783" w:rsidRDefault="004C5764" w:rsidP="00F26B75">
            <w:pPr>
              <w:pStyle w:val="ListBullet"/>
              <w:rPr>
                <w:rFonts w:cs="Arial"/>
              </w:rPr>
            </w:pPr>
            <w:r w:rsidRPr="001E2783">
              <w:rPr>
                <w:rFonts w:cs="Arial"/>
              </w:rPr>
              <w:t>prohibit the promotion of betting odds from the start until the end of play (there are limited exemptions</w:t>
            </w:r>
            <w:r w:rsidR="00F26B75" w:rsidRPr="001E2783">
              <w:rPr>
                <w:rFonts w:cs="Arial"/>
              </w:rPr>
              <w:t>,</w:t>
            </w:r>
            <w:r w:rsidRPr="001E2783">
              <w:rPr>
                <w:rFonts w:cs="Arial"/>
              </w:rPr>
              <w:t xml:space="preserve"> including for the broadcast of multi-day sports and overseas live sport)</w:t>
            </w:r>
          </w:p>
          <w:p w14:paraId="7585FAF5" w14:textId="77777777" w:rsidR="004C5764" w:rsidRPr="001E2783" w:rsidRDefault="004C5764" w:rsidP="00F26B75">
            <w:pPr>
              <w:pStyle w:val="ListBullet"/>
              <w:rPr>
                <w:rFonts w:cs="Arial"/>
              </w:rPr>
            </w:pPr>
            <w:r w:rsidRPr="001E2783">
              <w:rPr>
                <w:rFonts w:cs="Arial"/>
              </w:rPr>
              <w:t>prohibit commentators from promoting betting odds during play, a</w:t>
            </w:r>
            <w:r w:rsidR="00FE363F" w:rsidRPr="001E2783">
              <w:rPr>
                <w:rFonts w:cs="Arial"/>
              </w:rPr>
              <w:t>nd for 30 minutes before and 30 </w:t>
            </w:r>
            <w:r w:rsidRPr="001E2783">
              <w:rPr>
                <w:rFonts w:cs="Arial"/>
              </w:rPr>
              <w:t>minutes after the game</w:t>
            </w:r>
          </w:p>
          <w:p w14:paraId="2FF97A99" w14:textId="77777777" w:rsidR="004C5764" w:rsidRPr="001E2783" w:rsidRDefault="004C5764" w:rsidP="00F26B75">
            <w:pPr>
              <w:pStyle w:val="ListBullet"/>
              <w:rPr>
                <w:rFonts w:cs="Arial"/>
              </w:rPr>
            </w:pPr>
            <w:r w:rsidRPr="001E2783">
              <w:rPr>
                <w:rFonts w:cs="Arial"/>
              </w:rPr>
              <w:t>restrict generic gambling advertisements to before and after play, scheduled breaks in play and when play is suspended</w:t>
            </w:r>
          </w:p>
          <w:p w14:paraId="10E10CB0" w14:textId="77777777" w:rsidR="004C5764" w:rsidRPr="001E2783" w:rsidRDefault="004C5764" w:rsidP="00F26B75">
            <w:pPr>
              <w:pStyle w:val="ListBullet"/>
              <w:rPr>
                <w:rFonts w:cs="Arial"/>
              </w:rPr>
            </w:pPr>
            <w:r w:rsidRPr="001E2783">
              <w:rPr>
                <w:rFonts w:cs="Arial"/>
              </w:rPr>
              <w:t>require gambling representatives to be clearly identified at all times</w:t>
            </w:r>
          </w:p>
          <w:p w14:paraId="24B06BE5" w14:textId="77777777" w:rsidR="004C5764" w:rsidRPr="001E2783" w:rsidRDefault="004C5764" w:rsidP="00F26B75">
            <w:pPr>
              <w:pStyle w:val="ListBullet"/>
              <w:rPr>
                <w:rFonts w:cs="Arial"/>
              </w:rPr>
            </w:pPr>
            <w:r w:rsidRPr="001E2783">
              <w:rPr>
                <w:rFonts w:cs="Arial"/>
              </w:rPr>
              <w:t>prohibit gambling advertising that involves a gambling representative at or around, or appearing to be at or around, the ground at any time</w:t>
            </w:r>
          </w:p>
          <w:p w14:paraId="1F27ED43" w14:textId="77777777" w:rsidR="004C5764" w:rsidRPr="001E2783" w:rsidRDefault="004C5764" w:rsidP="00F26B75">
            <w:pPr>
              <w:pStyle w:val="ListBullet"/>
              <w:spacing w:after="240"/>
              <w:rPr>
                <w:rFonts w:cs="Arial"/>
              </w:rPr>
            </w:pPr>
            <w:r w:rsidRPr="001E2783">
              <w:rPr>
                <w:rFonts w:cs="Arial"/>
              </w:rPr>
              <w:t xml:space="preserve">prohibit gambling representatives appearing as part, or </w:t>
            </w:r>
            <w:r w:rsidR="00F26B75" w:rsidRPr="001E2783">
              <w:rPr>
                <w:rFonts w:cs="Arial"/>
              </w:rPr>
              <w:t xml:space="preserve">as </w:t>
            </w:r>
            <w:r w:rsidRPr="001E2783">
              <w:rPr>
                <w:rFonts w:cs="Arial"/>
              </w:rPr>
              <w:t>a guest, of the commentary team at any time.</w:t>
            </w:r>
          </w:p>
          <w:p w14:paraId="59C5D83D" w14:textId="77777777" w:rsidR="004C5764" w:rsidRPr="001E2783" w:rsidRDefault="004C5764" w:rsidP="00F26B75">
            <w:pPr>
              <w:keepNext/>
              <w:keepLines/>
              <w:spacing w:after="80"/>
              <w:rPr>
                <w:rFonts w:cs="Arial"/>
              </w:rPr>
            </w:pPr>
            <w:r w:rsidRPr="001E2783">
              <w:rPr>
                <w:rFonts w:cs="Arial"/>
              </w:rPr>
              <w:t xml:space="preserve">The codes provide a variety of exemptions for: </w:t>
            </w:r>
          </w:p>
          <w:p w14:paraId="16057F25" w14:textId="77777777" w:rsidR="004C5764" w:rsidRPr="001E2783" w:rsidRDefault="004C5764" w:rsidP="00F26B75">
            <w:pPr>
              <w:pStyle w:val="ListBullet"/>
              <w:rPr>
                <w:rFonts w:cs="Arial"/>
              </w:rPr>
            </w:pPr>
            <w:r w:rsidRPr="001E2783">
              <w:rPr>
                <w:rFonts w:cs="Arial"/>
              </w:rPr>
              <w:t>live broadcasts of horse, harness or greyhound racing</w:t>
            </w:r>
          </w:p>
          <w:p w14:paraId="6BEB5FE4" w14:textId="77777777" w:rsidR="004C5764" w:rsidRPr="001E2783" w:rsidRDefault="004C5764" w:rsidP="00F26B75">
            <w:pPr>
              <w:pStyle w:val="ListBullet"/>
              <w:rPr>
                <w:rFonts w:cs="Arial"/>
              </w:rPr>
            </w:pPr>
            <w:r w:rsidRPr="001E2783">
              <w:rPr>
                <w:rFonts w:cs="Arial"/>
              </w:rPr>
              <w:t>accidental and incidenta</w:t>
            </w:r>
            <w:r w:rsidR="00F26B75" w:rsidRPr="001E2783">
              <w:rPr>
                <w:rFonts w:cs="Arial"/>
              </w:rPr>
              <w:t>l references to gambling;</w:t>
            </w:r>
            <w:r w:rsidRPr="001E2783">
              <w:rPr>
                <w:rFonts w:cs="Arial"/>
              </w:rPr>
              <w:t xml:space="preserve"> for example, in-ground signage or players’ uniforms</w:t>
            </w:r>
          </w:p>
          <w:p w14:paraId="3FCAA989" w14:textId="77777777" w:rsidR="004C5764" w:rsidRPr="001E2783" w:rsidRDefault="004C5764" w:rsidP="00F26B75">
            <w:pPr>
              <w:pStyle w:val="ListBullet"/>
              <w:rPr>
                <w:rFonts w:cs="Arial"/>
              </w:rPr>
            </w:pPr>
            <w:r w:rsidRPr="001E2783">
              <w:rPr>
                <w:rFonts w:cs="Arial"/>
              </w:rPr>
              <w:t>advertisements or promotions for government lotteries, lotto, keno or contests</w:t>
            </w:r>
          </w:p>
          <w:p w14:paraId="5CD6C269" w14:textId="77777777" w:rsidR="004C5764" w:rsidRPr="001E2783" w:rsidRDefault="004C5764" w:rsidP="00F26B75">
            <w:pPr>
              <w:pStyle w:val="ListBullet"/>
              <w:rPr>
                <w:rFonts w:cs="Arial"/>
              </w:rPr>
            </w:pPr>
            <w:r w:rsidRPr="001E2783">
              <w:rPr>
                <w:rFonts w:cs="Arial"/>
              </w:rPr>
              <w:t xml:space="preserve">advertisements or promotions </w:t>
            </w:r>
            <w:r w:rsidR="00F26B75" w:rsidRPr="001E2783">
              <w:rPr>
                <w:rFonts w:cs="Arial"/>
              </w:rPr>
              <w:t xml:space="preserve">about </w:t>
            </w:r>
            <w:r w:rsidRPr="001E2783">
              <w:rPr>
                <w:rFonts w:cs="Arial"/>
              </w:rPr>
              <w:t>entertainment or dining facilities where betting or gambling takes place (so long as the content does not draw attention to the gambling or betting)</w:t>
            </w:r>
          </w:p>
          <w:p w14:paraId="35ED2796" w14:textId="77777777" w:rsidR="004C5764" w:rsidRPr="001E2783" w:rsidRDefault="004C5764" w:rsidP="00F26B75">
            <w:pPr>
              <w:pStyle w:val="ListBullet"/>
              <w:rPr>
                <w:rFonts w:cs="Arial"/>
              </w:rPr>
            </w:pPr>
            <w:r w:rsidRPr="001E2783">
              <w:rPr>
                <w:rFonts w:cs="Arial"/>
              </w:rPr>
              <w:t>sporting events of extended duration</w:t>
            </w:r>
            <w:r w:rsidR="00CF2D85" w:rsidRPr="001E2783">
              <w:rPr>
                <w:rFonts w:cs="Arial"/>
              </w:rPr>
              <w:t>;</w:t>
            </w:r>
            <w:r w:rsidRPr="001E2783">
              <w:rPr>
                <w:rFonts w:cs="Arial"/>
              </w:rPr>
              <w:t xml:space="preserve"> for example, tennis and golf tournaments, test cricket and multi-sport events </w:t>
            </w:r>
            <w:r w:rsidR="00E0520D" w:rsidRPr="001E2783">
              <w:rPr>
                <w:rFonts w:cs="Arial"/>
              </w:rPr>
              <w:t>(limited exemption)</w:t>
            </w:r>
          </w:p>
          <w:p w14:paraId="66147F7B" w14:textId="77777777" w:rsidR="004C5764" w:rsidRPr="001E2783" w:rsidRDefault="004C5764" w:rsidP="00F26B75">
            <w:pPr>
              <w:pStyle w:val="ListBullet"/>
              <w:rPr>
                <w:rFonts w:cs="Arial"/>
              </w:rPr>
            </w:pPr>
            <w:r w:rsidRPr="001E2783">
              <w:rPr>
                <w:rFonts w:cs="Arial"/>
              </w:rPr>
              <w:t xml:space="preserve">gambling advertisements or promotions in a live sporting broadcast originating outside Australia where: </w:t>
            </w:r>
          </w:p>
          <w:p w14:paraId="3B6B714B" w14:textId="77777777" w:rsidR="004C5764" w:rsidRPr="001E2783" w:rsidRDefault="004C5764" w:rsidP="00CF2D85">
            <w:pPr>
              <w:pStyle w:val="ListBullet2"/>
              <w:rPr>
                <w:rFonts w:cs="Arial"/>
              </w:rPr>
            </w:pPr>
            <w:r w:rsidRPr="001E2783">
              <w:rPr>
                <w:rFonts w:cs="Arial"/>
              </w:rPr>
              <w:t>the licensee has not inserted the advertisement or promotion</w:t>
            </w:r>
          </w:p>
          <w:p w14:paraId="23E61B65" w14:textId="77777777" w:rsidR="004C5764" w:rsidRPr="001E2783" w:rsidRDefault="004C5764" w:rsidP="00CF2D85">
            <w:pPr>
              <w:pStyle w:val="ListBullet2"/>
              <w:rPr>
                <w:rFonts w:cs="Arial"/>
              </w:rPr>
            </w:pPr>
            <w:r w:rsidRPr="001E2783">
              <w:rPr>
                <w:rFonts w:cs="Arial"/>
              </w:rPr>
              <w:t>the licensee receives no consideration for the advertisement or consideration</w:t>
            </w:r>
          </w:p>
          <w:p w14:paraId="4DB5C0AA" w14:textId="77777777" w:rsidR="004C5764" w:rsidRPr="001E2783" w:rsidRDefault="004C5764" w:rsidP="00CF2D85">
            <w:pPr>
              <w:pStyle w:val="ListBullet2"/>
              <w:spacing w:after="240"/>
              <w:rPr>
                <w:rFonts w:cs="Arial"/>
              </w:rPr>
            </w:pPr>
            <w:r w:rsidRPr="001E2783">
              <w:rPr>
                <w:rFonts w:cs="Arial"/>
              </w:rPr>
              <w:t>it is not practicable for the licensee to remove the advertisement or promotion.</w:t>
            </w:r>
          </w:p>
          <w:p w14:paraId="50AD24D4" w14:textId="77777777" w:rsidR="005C426E" w:rsidRPr="001E2783" w:rsidRDefault="00CF2D85" w:rsidP="00E0520D">
            <w:pPr>
              <w:keepNext/>
              <w:keepLines/>
              <w:rPr>
                <w:rFonts w:cs="Arial"/>
              </w:rPr>
            </w:pPr>
            <w:r w:rsidRPr="001E2783">
              <w:rPr>
                <w:rFonts w:cs="Arial"/>
              </w:rPr>
              <w:t>T</w:t>
            </w:r>
            <w:r w:rsidR="004C5764" w:rsidRPr="001E2783">
              <w:rPr>
                <w:rFonts w:cs="Arial"/>
              </w:rPr>
              <w:t>he codes do not apply to subscription broadcast television and subscription narrowcast television services that are</w:t>
            </w:r>
            <w:r w:rsidRPr="001E2783">
              <w:rPr>
                <w:rFonts w:cs="Arial"/>
              </w:rPr>
              <w:t xml:space="preserve"> </w:t>
            </w:r>
            <w:r w:rsidR="004C5764" w:rsidRPr="001E2783">
              <w:rPr>
                <w:rFonts w:cs="Arial"/>
              </w:rPr>
              <w:t>delivered on a pay-per-view basis</w:t>
            </w:r>
            <w:r w:rsidRPr="001E2783">
              <w:rPr>
                <w:rFonts w:cs="Arial"/>
              </w:rPr>
              <w:t xml:space="preserve">, </w:t>
            </w:r>
            <w:r w:rsidR="004C5764" w:rsidRPr="001E2783">
              <w:rPr>
                <w:rFonts w:cs="Arial"/>
              </w:rPr>
              <w:t>an active choice by the viewer associated with a live sporting event</w:t>
            </w:r>
            <w:r w:rsidRPr="001E2783">
              <w:rPr>
                <w:rFonts w:cs="Arial"/>
              </w:rPr>
              <w:t xml:space="preserve"> (</w:t>
            </w:r>
            <w:r w:rsidR="004C5764" w:rsidRPr="001E2783">
              <w:rPr>
                <w:rFonts w:cs="Arial"/>
              </w:rPr>
              <w:t>for example, an alternative commentary</w:t>
            </w:r>
            <w:r w:rsidRPr="001E2783">
              <w:rPr>
                <w:rFonts w:cs="Arial"/>
              </w:rPr>
              <w:t xml:space="preserve">) or </w:t>
            </w:r>
            <w:r w:rsidR="004C5764" w:rsidRPr="001E2783">
              <w:rPr>
                <w:rFonts w:cs="Arial"/>
              </w:rPr>
              <w:t>provided exclusively to commercial premises licensed to serve alcohol and not available for private or domestic use.</w:t>
            </w:r>
          </w:p>
        </w:tc>
      </w:tr>
      <w:tr w:rsidR="001E2783" w:rsidRPr="001E2783" w14:paraId="6A893439" w14:textId="77777777" w:rsidTr="004C5764">
        <w:trPr>
          <w:trHeight w:val="291"/>
        </w:trPr>
        <w:tc>
          <w:tcPr>
            <w:tcW w:w="9645" w:type="dxa"/>
            <w:tcBorders>
              <w:bottom w:val="single" w:sz="2" w:space="0" w:color="505050"/>
            </w:tcBorders>
            <w:shd w:val="clear" w:color="auto" w:fill="F2F2F2" w:themeFill="background1" w:themeFillShade="F2"/>
          </w:tcPr>
          <w:p w14:paraId="249B07DB" w14:textId="77777777" w:rsidR="004C5764" w:rsidRPr="001E2783" w:rsidRDefault="004C5764" w:rsidP="004C5764">
            <w:pPr>
              <w:keepNext/>
              <w:keepLines/>
              <w:rPr>
                <w:rFonts w:cs="Arial"/>
              </w:rPr>
            </w:pPr>
          </w:p>
        </w:tc>
      </w:tr>
    </w:tbl>
    <w:p w14:paraId="2CA55C7A" w14:textId="77777777" w:rsidR="004C5764" w:rsidRPr="001E2783" w:rsidRDefault="004C5764" w:rsidP="004C5764">
      <w:pPr>
        <w:rPr>
          <w:rFonts w:cs="Arial"/>
        </w:rPr>
      </w:pPr>
    </w:p>
    <w:p w14:paraId="5ED99221" w14:textId="77777777" w:rsidR="00CC119D" w:rsidRPr="001E2783" w:rsidRDefault="00CC119D" w:rsidP="00CC119D">
      <w:pPr>
        <w:pStyle w:val="BodysubheaderH4"/>
        <w:rPr>
          <w:rFonts w:cs="Arial"/>
        </w:rPr>
      </w:pPr>
      <w:r w:rsidRPr="001E2783">
        <w:rPr>
          <w:rFonts w:cs="Arial"/>
        </w:rPr>
        <w:t xml:space="preserve">Complaints under </w:t>
      </w:r>
      <w:r w:rsidR="000F0E42" w:rsidRPr="001E2783">
        <w:rPr>
          <w:rFonts w:cs="Arial"/>
        </w:rPr>
        <w:t>the c</w:t>
      </w:r>
      <w:r w:rsidRPr="001E2783">
        <w:rPr>
          <w:rFonts w:cs="Arial"/>
        </w:rPr>
        <w:t xml:space="preserve">onditional </w:t>
      </w:r>
      <w:r w:rsidR="000F0E42" w:rsidRPr="001E2783">
        <w:rPr>
          <w:rFonts w:cs="Arial"/>
        </w:rPr>
        <w:t>a</w:t>
      </w:r>
      <w:r w:rsidRPr="001E2783">
        <w:rPr>
          <w:rFonts w:cs="Arial"/>
        </w:rPr>
        <w:t xml:space="preserve">ccess </w:t>
      </w:r>
      <w:r w:rsidR="000F0E42" w:rsidRPr="001E2783">
        <w:rPr>
          <w:rFonts w:cs="Arial"/>
        </w:rPr>
        <w:t>s</w:t>
      </w:r>
      <w:r w:rsidRPr="001E2783">
        <w:rPr>
          <w:rFonts w:cs="Arial"/>
        </w:rPr>
        <w:t>cheme for satellite access to digital television</w:t>
      </w:r>
    </w:p>
    <w:p w14:paraId="5BC7E5B6" w14:textId="77777777" w:rsidR="00DB687D" w:rsidRPr="001E2783" w:rsidRDefault="00DB687D" w:rsidP="00DB687D">
      <w:pPr>
        <w:rPr>
          <w:rFonts w:cs="Arial"/>
        </w:rPr>
      </w:pPr>
      <w:r w:rsidRPr="001E2783">
        <w:rPr>
          <w:rFonts w:cs="Arial"/>
        </w:rPr>
        <w:t xml:space="preserve">Viewers who were refused access to </w:t>
      </w:r>
      <w:r w:rsidR="00E0520D" w:rsidRPr="001E2783">
        <w:rPr>
          <w:rFonts w:cs="Arial"/>
        </w:rPr>
        <w:t>VAST</w:t>
      </w:r>
      <w:r w:rsidRPr="001E2783">
        <w:rPr>
          <w:rFonts w:cs="Arial"/>
        </w:rPr>
        <w:t xml:space="preserve"> services by the scheme administrator can, under certain conditions, complain to the ACMA. The ACMA has the power to direct the scheme administrator to enable VAST access for viewers who cannot access terrestrial digital television services.</w:t>
      </w:r>
      <w:r w:rsidR="00F174E5" w:rsidRPr="001E2783">
        <w:rPr>
          <w:rFonts w:cs="Arial"/>
        </w:rPr>
        <w:t xml:space="preserve"> </w:t>
      </w:r>
    </w:p>
    <w:p w14:paraId="1EC45C46" w14:textId="77777777" w:rsidR="00DB687D" w:rsidRPr="001E2783" w:rsidRDefault="00DB687D" w:rsidP="00DB687D">
      <w:pPr>
        <w:rPr>
          <w:rFonts w:cs="Arial"/>
        </w:rPr>
      </w:pPr>
    </w:p>
    <w:p w14:paraId="6E14A525" w14:textId="1D528C43" w:rsidR="00D96F01" w:rsidRPr="001E2783" w:rsidRDefault="00C504A8" w:rsidP="00D96F01">
      <w:pPr>
        <w:rPr>
          <w:rFonts w:cs="Arial"/>
        </w:rPr>
      </w:pPr>
      <w:r w:rsidRPr="001E2783">
        <w:rPr>
          <w:rFonts w:cs="Arial"/>
        </w:rPr>
        <w:t xml:space="preserve">The ACMA received </w:t>
      </w:r>
      <w:r w:rsidR="00987FA3" w:rsidRPr="001E2783">
        <w:rPr>
          <w:rFonts w:cs="Arial"/>
        </w:rPr>
        <w:t>22</w:t>
      </w:r>
      <w:r w:rsidR="00EF04F9" w:rsidRPr="001E2783">
        <w:rPr>
          <w:rFonts w:cs="Arial"/>
        </w:rPr>
        <w:t xml:space="preserve"> complaints between 1 July 2013 and 30 </w:t>
      </w:r>
      <w:r w:rsidRPr="001E2783">
        <w:rPr>
          <w:rFonts w:cs="Arial"/>
        </w:rPr>
        <w:t xml:space="preserve">June 2014. In </w:t>
      </w:r>
      <w:r w:rsidR="00246C7D">
        <w:rPr>
          <w:rFonts w:cs="Arial"/>
        </w:rPr>
        <w:br/>
      </w:r>
      <w:r w:rsidRPr="001E2783">
        <w:rPr>
          <w:rFonts w:cs="Arial"/>
        </w:rPr>
        <w:t xml:space="preserve">2013–14, the ACMA finalised the investigation of </w:t>
      </w:r>
      <w:r w:rsidR="00987FA3" w:rsidRPr="001E2783">
        <w:rPr>
          <w:rFonts w:cs="Arial"/>
        </w:rPr>
        <w:t>35</w:t>
      </w:r>
      <w:r w:rsidRPr="001E2783">
        <w:rPr>
          <w:rFonts w:cs="Arial"/>
        </w:rPr>
        <w:t xml:space="preserve"> complaints and issued </w:t>
      </w:r>
      <w:r w:rsidR="00987FA3" w:rsidRPr="001E2783">
        <w:rPr>
          <w:rFonts w:cs="Arial"/>
        </w:rPr>
        <w:t>35</w:t>
      </w:r>
      <w:r w:rsidRPr="001E2783">
        <w:rPr>
          <w:rFonts w:cs="Arial"/>
        </w:rPr>
        <w:t xml:space="preserve"> directions to the scheme administrator to grant VAST access to the complainants. </w:t>
      </w:r>
      <w:r w:rsidR="00987FA3" w:rsidRPr="001E2783">
        <w:rPr>
          <w:rFonts w:cs="Arial"/>
        </w:rPr>
        <w:t>One complaint was</w:t>
      </w:r>
      <w:r w:rsidRPr="001E2783">
        <w:rPr>
          <w:rFonts w:cs="Arial"/>
        </w:rPr>
        <w:t xml:space="preserve"> w</w:t>
      </w:r>
      <w:r w:rsidR="00987FA3" w:rsidRPr="001E2783">
        <w:rPr>
          <w:rFonts w:cs="Arial"/>
        </w:rPr>
        <w:t>ithdrawn as the affected viewer</w:t>
      </w:r>
      <w:r w:rsidRPr="001E2783">
        <w:rPr>
          <w:rFonts w:cs="Arial"/>
        </w:rPr>
        <w:t xml:space="preserve"> gained access to either VAST or terrestrial television services before the investigation was finalised. At the end of the reporting period, </w:t>
      </w:r>
      <w:r w:rsidR="00987FA3" w:rsidRPr="001E2783">
        <w:rPr>
          <w:rFonts w:cs="Arial"/>
        </w:rPr>
        <w:t>no</w:t>
      </w:r>
      <w:r w:rsidRPr="001E2783">
        <w:rPr>
          <w:rFonts w:cs="Arial"/>
        </w:rPr>
        <w:t xml:space="preserve"> complaints were still under investigation.</w:t>
      </w:r>
    </w:p>
    <w:p w14:paraId="291073BB" w14:textId="77777777" w:rsidR="00C504A8" w:rsidRPr="001E2783" w:rsidRDefault="00C504A8" w:rsidP="00D96F01">
      <w:pPr>
        <w:rPr>
          <w:rFonts w:cs="Arial"/>
        </w:rPr>
      </w:pPr>
    </w:p>
    <w:p w14:paraId="77348700" w14:textId="204A781C" w:rsidR="00D96F01" w:rsidRPr="001E2783" w:rsidRDefault="00D96F01" w:rsidP="00D96F01">
      <w:pPr>
        <w:rPr>
          <w:rFonts w:cs="Arial"/>
          <w:i/>
        </w:rPr>
      </w:pPr>
      <w:r w:rsidRPr="001E2783">
        <w:rPr>
          <w:rFonts w:cs="Arial"/>
        </w:rPr>
        <w:t xml:space="preserve">See also </w:t>
      </w:r>
      <w:r w:rsidR="00E0520D" w:rsidRPr="001E2783">
        <w:rPr>
          <w:rFonts w:cs="Arial"/>
          <w:i/>
        </w:rPr>
        <w:t>Restack coverage assessment project</w:t>
      </w:r>
      <w:r w:rsidRPr="001E2783">
        <w:rPr>
          <w:rFonts w:cs="Arial"/>
        </w:rPr>
        <w:t>.</w:t>
      </w:r>
    </w:p>
    <w:p w14:paraId="352C0270" w14:textId="77777777" w:rsidR="00CC119D" w:rsidRPr="001E2783" w:rsidRDefault="00CC119D" w:rsidP="00CC119D">
      <w:pPr>
        <w:rPr>
          <w:rFonts w:cs="Arial"/>
        </w:rPr>
      </w:pPr>
    </w:p>
    <w:p w14:paraId="74664AD7" w14:textId="77777777" w:rsidR="000317E9" w:rsidRPr="001E2783" w:rsidRDefault="000317E9" w:rsidP="000317E9">
      <w:pPr>
        <w:pStyle w:val="Heading3"/>
      </w:pPr>
      <w:bookmarkStart w:id="187" w:name="_Toc274124076"/>
      <w:bookmarkStart w:id="188" w:name="_Toc337727595"/>
      <w:bookmarkStart w:id="189" w:name="_Toc400018563"/>
      <w:r w:rsidRPr="001E2783">
        <w:t>Online content complaints</w:t>
      </w:r>
      <w:bookmarkEnd w:id="187"/>
      <w:bookmarkEnd w:id="188"/>
      <w:bookmarkEnd w:id="189"/>
    </w:p>
    <w:p w14:paraId="1352173D" w14:textId="77777777" w:rsidR="002128FA" w:rsidRPr="001E2783" w:rsidRDefault="00537938" w:rsidP="002128FA">
      <w:pPr>
        <w:rPr>
          <w:rFonts w:cs="Arial"/>
        </w:rPr>
      </w:pPr>
      <w:bookmarkStart w:id="190" w:name="_Toc337727597"/>
      <w:r w:rsidRPr="001E2783">
        <w:rPr>
          <w:rFonts w:cs="Arial"/>
        </w:rPr>
        <w:t>The Online Content Scheme (</w:t>
      </w:r>
      <w:r w:rsidR="006A5593" w:rsidRPr="001E2783">
        <w:rPr>
          <w:rFonts w:cs="Arial"/>
        </w:rPr>
        <w:t>branded</w:t>
      </w:r>
      <w:r w:rsidRPr="001E2783">
        <w:rPr>
          <w:rFonts w:cs="Arial"/>
        </w:rPr>
        <w:t xml:space="preserve"> as the ACMA Hotline for reporting offensive and illegal online content) </w:t>
      </w:r>
      <w:r w:rsidR="005E72A9" w:rsidRPr="001E2783">
        <w:rPr>
          <w:rFonts w:cs="Arial"/>
        </w:rPr>
        <w:t>is</w:t>
      </w:r>
      <w:r w:rsidRPr="001E2783">
        <w:rPr>
          <w:rFonts w:cs="Arial"/>
        </w:rPr>
        <w:t xml:space="preserve"> a mechanism for Australian residents and law enforcement to complain about a range of online content, and for the ACMA to take certain action where it finds </w:t>
      </w:r>
      <w:r w:rsidR="005E72A9" w:rsidRPr="001E2783">
        <w:rPr>
          <w:rFonts w:cs="Arial"/>
        </w:rPr>
        <w:t>prohibited or potential prohibited material</w:t>
      </w:r>
      <w:r w:rsidRPr="001E2783">
        <w:rPr>
          <w:rFonts w:cs="Arial"/>
        </w:rPr>
        <w:t>.</w:t>
      </w:r>
      <w:r w:rsidR="002128FA" w:rsidRPr="001E2783">
        <w:rPr>
          <w:rFonts w:cs="Arial"/>
        </w:rPr>
        <w:t xml:space="preserve"> The ACMA </w:t>
      </w:r>
      <w:r w:rsidR="00E0520D" w:rsidRPr="001E2783">
        <w:rPr>
          <w:rFonts w:cs="Arial"/>
        </w:rPr>
        <w:t xml:space="preserve">Hotline </w:t>
      </w:r>
      <w:r w:rsidR="002128FA" w:rsidRPr="001E2783">
        <w:rPr>
          <w:rFonts w:cs="Arial"/>
        </w:rPr>
        <w:t xml:space="preserve">is a longstanding member of the International Association of Internet Hotlines (INHOPE), whose member hotlines deal with complaints about illegal internet content, including child abuse material. </w:t>
      </w:r>
    </w:p>
    <w:p w14:paraId="4F523FD3" w14:textId="77777777" w:rsidR="00537938" w:rsidRPr="001E2783" w:rsidRDefault="00537938" w:rsidP="00537938">
      <w:pPr>
        <w:rPr>
          <w:rFonts w:cs="Arial"/>
        </w:rPr>
      </w:pPr>
    </w:p>
    <w:p w14:paraId="21675221" w14:textId="77777777" w:rsidR="00537938" w:rsidRPr="001E2783" w:rsidRDefault="00537938" w:rsidP="00537938">
      <w:pPr>
        <w:spacing w:after="80"/>
        <w:rPr>
          <w:rFonts w:cs="Arial"/>
        </w:rPr>
      </w:pPr>
      <w:r w:rsidRPr="001E2783">
        <w:rPr>
          <w:rFonts w:cs="Arial"/>
        </w:rPr>
        <w:t>The ACMA Hotline:</w:t>
      </w:r>
    </w:p>
    <w:p w14:paraId="13C6729D" w14:textId="77777777" w:rsidR="00537938" w:rsidRPr="001E2783" w:rsidRDefault="00537938" w:rsidP="00537938">
      <w:pPr>
        <w:pStyle w:val="ListBullet"/>
        <w:rPr>
          <w:rFonts w:cs="Arial"/>
        </w:rPr>
      </w:pPr>
      <w:r w:rsidRPr="001E2783">
        <w:rPr>
          <w:rFonts w:cs="Arial"/>
        </w:rPr>
        <w:t>investigat</w:t>
      </w:r>
      <w:r w:rsidR="006A5593" w:rsidRPr="001E2783">
        <w:rPr>
          <w:rFonts w:cs="Arial"/>
        </w:rPr>
        <w:t>es</w:t>
      </w:r>
      <w:r w:rsidRPr="001E2783">
        <w:rPr>
          <w:rFonts w:cs="Arial"/>
        </w:rPr>
        <w:t xml:space="preserve"> all valid complaints about potentially offensive or illegal online content</w:t>
      </w:r>
    </w:p>
    <w:p w14:paraId="3F27B479" w14:textId="77777777" w:rsidR="00537938" w:rsidRPr="001E2783" w:rsidRDefault="00537938" w:rsidP="00537938">
      <w:pPr>
        <w:pStyle w:val="ListBullet"/>
        <w:rPr>
          <w:rFonts w:cs="Arial"/>
        </w:rPr>
      </w:pPr>
      <w:r w:rsidRPr="001E2783">
        <w:rPr>
          <w:rFonts w:cs="Arial"/>
        </w:rPr>
        <w:t>direct</w:t>
      </w:r>
      <w:r w:rsidR="006A5593" w:rsidRPr="001E2783">
        <w:rPr>
          <w:rFonts w:cs="Arial"/>
        </w:rPr>
        <w:t>s</w:t>
      </w:r>
      <w:r w:rsidRPr="001E2783">
        <w:rPr>
          <w:rFonts w:cs="Arial"/>
        </w:rPr>
        <w:t xml:space="preserve"> take-down of prohibited content if it is hosted in Australia</w:t>
      </w:r>
    </w:p>
    <w:p w14:paraId="71434BB6" w14:textId="77777777" w:rsidR="00537938" w:rsidRPr="001E2783" w:rsidRDefault="006A5593" w:rsidP="00537938">
      <w:pPr>
        <w:pStyle w:val="ListBullet"/>
        <w:rPr>
          <w:rFonts w:cs="Arial"/>
        </w:rPr>
      </w:pPr>
      <w:r w:rsidRPr="001E2783">
        <w:rPr>
          <w:rFonts w:cs="Arial"/>
        </w:rPr>
        <w:t xml:space="preserve">notifies </w:t>
      </w:r>
      <w:r w:rsidR="005E72A9" w:rsidRPr="001E2783">
        <w:rPr>
          <w:rFonts w:cs="Arial"/>
        </w:rPr>
        <w:t xml:space="preserve">prohibited URLs to optional end </w:t>
      </w:r>
      <w:r w:rsidR="00537938" w:rsidRPr="001E2783">
        <w:rPr>
          <w:rFonts w:cs="Arial"/>
        </w:rPr>
        <w:t>user (PC-based) filters</w:t>
      </w:r>
    </w:p>
    <w:p w14:paraId="3DBC8971" w14:textId="77777777" w:rsidR="00537938" w:rsidRPr="001E2783" w:rsidRDefault="00537938" w:rsidP="00537938">
      <w:pPr>
        <w:pStyle w:val="ListBullet"/>
        <w:rPr>
          <w:rFonts w:cs="Arial"/>
        </w:rPr>
      </w:pPr>
      <w:r w:rsidRPr="001E2783">
        <w:rPr>
          <w:rFonts w:cs="Arial"/>
        </w:rPr>
        <w:t>notif</w:t>
      </w:r>
      <w:r w:rsidR="006A5593" w:rsidRPr="001E2783">
        <w:rPr>
          <w:rFonts w:cs="Arial"/>
        </w:rPr>
        <w:t>ies</w:t>
      </w:r>
      <w:r w:rsidRPr="001E2783">
        <w:rPr>
          <w:rFonts w:cs="Arial"/>
        </w:rPr>
        <w:t xml:space="preserve"> </w:t>
      </w:r>
      <w:r w:rsidR="005E72A9" w:rsidRPr="001E2783">
        <w:rPr>
          <w:rFonts w:cs="Arial"/>
        </w:rPr>
        <w:t xml:space="preserve">all </w:t>
      </w:r>
      <w:r w:rsidRPr="001E2783">
        <w:rPr>
          <w:rFonts w:cs="Arial"/>
        </w:rPr>
        <w:t>potentially illegal content to law enforcement</w:t>
      </w:r>
    </w:p>
    <w:p w14:paraId="04F18580" w14:textId="77777777" w:rsidR="00537938" w:rsidRPr="001E2783" w:rsidRDefault="00537938" w:rsidP="00537938">
      <w:pPr>
        <w:pStyle w:val="ListBullet"/>
        <w:spacing w:after="240"/>
        <w:rPr>
          <w:rFonts w:cs="Arial"/>
        </w:rPr>
      </w:pPr>
      <w:r w:rsidRPr="001E2783">
        <w:rPr>
          <w:rFonts w:cs="Arial"/>
        </w:rPr>
        <w:t>notif</w:t>
      </w:r>
      <w:r w:rsidR="006A5593" w:rsidRPr="001E2783">
        <w:rPr>
          <w:rFonts w:cs="Arial"/>
        </w:rPr>
        <w:t>ies</w:t>
      </w:r>
      <w:r w:rsidRPr="001E2783">
        <w:rPr>
          <w:rFonts w:cs="Arial"/>
        </w:rPr>
        <w:t xml:space="preserve"> </w:t>
      </w:r>
      <w:r w:rsidR="005E72A9" w:rsidRPr="001E2783">
        <w:rPr>
          <w:rFonts w:cs="Arial"/>
        </w:rPr>
        <w:t>all overseas-</w:t>
      </w:r>
      <w:r w:rsidRPr="001E2783">
        <w:rPr>
          <w:rFonts w:cs="Arial"/>
        </w:rPr>
        <w:t>hosted child sexual abuse material to the Australian Federal Police</w:t>
      </w:r>
      <w:r w:rsidR="0014482B" w:rsidRPr="001E2783">
        <w:rPr>
          <w:rFonts w:cs="Arial"/>
        </w:rPr>
        <w:t xml:space="preserve"> (AFP)</w:t>
      </w:r>
      <w:r w:rsidRPr="001E2783">
        <w:rPr>
          <w:rFonts w:cs="Arial"/>
        </w:rPr>
        <w:t xml:space="preserve"> or </w:t>
      </w:r>
      <w:r w:rsidR="0014482B" w:rsidRPr="001E2783">
        <w:rPr>
          <w:rFonts w:cs="Arial"/>
        </w:rPr>
        <w:t>INHOPE</w:t>
      </w:r>
      <w:r w:rsidR="00E0520D" w:rsidRPr="001E2783">
        <w:rPr>
          <w:rFonts w:cs="Arial"/>
        </w:rPr>
        <w:t xml:space="preserve"> </w:t>
      </w:r>
      <w:r w:rsidRPr="001E2783">
        <w:rPr>
          <w:rFonts w:cs="Arial"/>
        </w:rPr>
        <w:t>for rapid police action and take-down in the host country.</w:t>
      </w:r>
    </w:p>
    <w:p w14:paraId="409B43FC" w14:textId="77777777" w:rsidR="00537938" w:rsidRPr="001E2783" w:rsidRDefault="00537938" w:rsidP="00537938">
      <w:pPr>
        <w:rPr>
          <w:rFonts w:cs="Arial"/>
        </w:rPr>
      </w:pPr>
      <w:r w:rsidRPr="001E2783">
        <w:rPr>
          <w:rFonts w:cs="Arial"/>
        </w:rPr>
        <w:t xml:space="preserve">The ACMA Hotline received </w:t>
      </w:r>
      <w:r w:rsidR="00C60526" w:rsidRPr="001E2783">
        <w:rPr>
          <w:rFonts w:cs="Arial"/>
        </w:rPr>
        <w:t>4,051</w:t>
      </w:r>
      <w:r w:rsidR="00EF04F9" w:rsidRPr="001E2783">
        <w:rPr>
          <w:rFonts w:cs="Arial"/>
        </w:rPr>
        <w:t xml:space="preserve"> complaints in the period 1 July 2013 to 30 </w:t>
      </w:r>
      <w:r w:rsidRPr="001E2783">
        <w:rPr>
          <w:rFonts w:cs="Arial"/>
        </w:rPr>
        <w:t>June 2014, a</w:t>
      </w:r>
      <w:r w:rsidR="00C60526" w:rsidRPr="001E2783">
        <w:rPr>
          <w:rFonts w:cs="Arial"/>
        </w:rPr>
        <w:t xml:space="preserve"> 13</w:t>
      </w:r>
      <w:r w:rsidR="00EF04F9" w:rsidRPr="001E2783">
        <w:rPr>
          <w:rFonts w:cs="Arial"/>
        </w:rPr>
        <w:t> </w:t>
      </w:r>
      <w:r w:rsidRPr="001E2783">
        <w:rPr>
          <w:rFonts w:cs="Arial"/>
        </w:rPr>
        <w:t xml:space="preserve">per cent decrease on 2012–13. Of the complaints received during the year, </w:t>
      </w:r>
      <w:r w:rsidR="00C60526" w:rsidRPr="001E2783">
        <w:rPr>
          <w:rFonts w:cs="Arial"/>
        </w:rPr>
        <w:t xml:space="preserve">50 </w:t>
      </w:r>
      <w:r w:rsidRPr="001E2783">
        <w:rPr>
          <w:rFonts w:cs="Arial"/>
        </w:rPr>
        <w:t xml:space="preserve">were invalid as they did not contain information required </w:t>
      </w:r>
      <w:r w:rsidR="00C60526" w:rsidRPr="001E2783">
        <w:rPr>
          <w:rFonts w:cs="Arial"/>
        </w:rPr>
        <w:t xml:space="preserve">under </w:t>
      </w:r>
      <w:r w:rsidRPr="001E2783">
        <w:rPr>
          <w:rFonts w:cs="Arial"/>
        </w:rPr>
        <w:t xml:space="preserve">the BSA to enable the ACMA to conduct an investigation. </w:t>
      </w:r>
    </w:p>
    <w:p w14:paraId="1F8BF523" w14:textId="77777777" w:rsidR="00537938" w:rsidRPr="001E2783" w:rsidRDefault="00537938" w:rsidP="00537938">
      <w:pPr>
        <w:rPr>
          <w:rFonts w:cs="Arial"/>
        </w:rPr>
      </w:pPr>
    </w:p>
    <w:p w14:paraId="57480A58" w14:textId="2539A40A" w:rsidR="00537938" w:rsidRPr="001E2783" w:rsidRDefault="00537938" w:rsidP="00537938">
      <w:pPr>
        <w:rPr>
          <w:rFonts w:cs="Arial"/>
        </w:rPr>
      </w:pPr>
      <w:r w:rsidRPr="001E2783">
        <w:rPr>
          <w:rFonts w:cs="Arial"/>
        </w:rPr>
        <w:t>While complaint levels generally fell across the year, complaints alleging online child sexual abuse material rose significantly for the period</w:t>
      </w:r>
      <w:r w:rsidR="005E72A9" w:rsidRPr="001E2783">
        <w:rPr>
          <w:rFonts w:cs="Arial"/>
        </w:rPr>
        <w:t>—</w:t>
      </w:r>
      <w:r w:rsidRPr="001E2783">
        <w:rPr>
          <w:rFonts w:cs="Arial"/>
        </w:rPr>
        <w:t xml:space="preserve">a </w:t>
      </w:r>
      <w:r w:rsidR="00C60526" w:rsidRPr="001E2783">
        <w:rPr>
          <w:rFonts w:cs="Arial"/>
        </w:rPr>
        <w:t>29 </w:t>
      </w:r>
      <w:r w:rsidR="005E72A9" w:rsidRPr="001E2783">
        <w:rPr>
          <w:rFonts w:cs="Arial"/>
        </w:rPr>
        <w:t>per cent increase on 2012–</w:t>
      </w:r>
      <w:r w:rsidRPr="001E2783">
        <w:rPr>
          <w:rFonts w:cs="Arial"/>
        </w:rPr>
        <w:t>13. This rise appears to have occurred through an increased awareness of the ACMA’s regulatory role and a number of revised or new partnerships with law enforcement agencies in Australia.</w:t>
      </w:r>
    </w:p>
    <w:p w14:paraId="01C1A884" w14:textId="77777777" w:rsidR="00537938" w:rsidRPr="001E2783" w:rsidRDefault="00537938" w:rsidP="00537938">
      <w:pPr>
        <w:rPr>
          <w:rFonts w:cs="Arial"/>
        </w:rPr>
      </w:pPr>
    </w:p>
    <w:p w14:paraId="7D6A7B8F" w14:textId="77777777" w:rsidR="00537938" w:rsidRPr="001E2783" w:rsidRDefault="00537938" w:rsidP="00537938">
      <w:pPr>
        <w:rPr>
          <w:rFonts w:cs="Arial"/>
        </w:rPr>
      </w:pPr>
      <w:r w:rsidRPr="001E2783">
        <w:rPr>
          <w:rFonts w:cs="Arial"/>
        </w:rPr>
        <w:t>A single complaint may lead to the investigation of multiple items</w:t>
      </w:r>
      <w:r w:rsidR="005E72A9" w:rsidRPr="001E2783">
        <w:rPr>
          <w:rFonts w:cs="Arial"/>
        </w:rPr>
        <w:t xml:space="preserve">, depending </w:t>
      </w:r>
      <w:r w:rsidRPr="001E2783">
        <w:rPr>
          <w:rFonts w:cs="Arial"/>
        </w:rPr>
        <w:t xml:space="preserve">on the nature of the complaint and the content involved, with an ‘item’ referring to an individual article of content such as a web page, image or file. The ACMA finalised investigations into </w:t>
      </w:r>
      <w:r w:rsidR="00C60526" w:rsidRPr="001E2783">
        <w:rPr>
          <w:rFonts w:cs="Arial"/>
        </w:rPr>
        <w:t xml:space="preserve">11,164 </w:t>
      </w:r>
      <w:r w:rsidRPr="001E2783">
        <w:rPr>
          <w:rFonts w:cs="Arial"/>
        </w:rPr>
        <w:t xml:space="preserve">individual items of content. Of these, </w:t>
      </w:r>
      <w:r w:rsidR="00C60526" w:rsidRPr="001E2783">
        <w:rPr>
          <w:rFonts w:cs="Arial"/>
        </w:rPr>
        <w:t>8,981</w:t>
      </w:r>
      <w:r w:rsidRPr="001E2783">
        <w:rPr>
          <w:rFonts w:cs="Arial"/>
        </w:rPr>
        <w:t xml:space="preserve"> items of prohibited and potential prohibited content were</w:t>
      </w:r>
      <w:r w:rsidR="00EF04F9" w:rsidRPr="001E2783">
        <w:rPr>
          <w:rFonts w:cs="Arial"/>
        </w:rPr>
        <w:t xml:space="preserve"> identified (see Table </w:t>
      </w:r>
      <w:r w:rsidR="00AE6E96" w:rsidRPr="001E2783">
        <w:rPr>
          <w:rFonts w:cs="Arial"/>
        </w:rPr>
        <w:t>30</w:t>
      </w:r>
      <w:r w:rsidRPr="001E2783">
        <w:rPr>
          <w:rFonts w:cs="Arial"/>
        </w:rPr>
        <w:t xml:space="preserve">). Of these prohibited items, </w:t>
      </w:r>
      <w:r w:rsidR="00C60526" w:rsidRPr="001E2783">
        <w:rPr>
          <w:rFonts w:cs="Arial"/>
        </w:rPr>
        <w:t>99.9 </w:t>
      </w:r>
      <w:r w:rsidRPr="001E2783">
        <w:rPr>
          <w:rFonts w:cs="Arial"/>
        </w:rPr>
        <w:t>per cent were hosted overseas</w:t>
      </w:r>
      <w:r w:rsidR="005E72A9" w:rsidRPr="001E2783">
        <w:rPr>
          <w:rFonts w:cs="Arial"/>
        </w:rPr>
        <w:t>,</w:t>
      </w:r>
      <w:r w:rsidRPr="001E2783">
        <w:rPr>
          <w:rFonts w:cs="Arial"/>
        </w:rPr>
        <w:t xml:space="preserve"> with </w:t>
      </w:r>
      <w:r w:rsidR="00C60526" w:rsidRPr="001E2783">
        <w:rPr>
          <w:rFonts w:cs="Arial"/>
        </w:rPr>
        <w:t>one item</w:t>
      </w:r>
      <w:r w:rsidRPr="001E2783">
        <w:rPr>
          <w:rFonts w:cs="Arial"/>
        </w:rPr>
        <w:t xml:space="preserve"> hosted in Australia. </w:t>
      </w:r>
    </w:p>
    <w:p w14:paraId="79131236" w14:textId="77777777" w:rsidR="00537938" w:rsidRPr="001E2783" w:rsidRDefault="00537938" w:rsidP="00537938">
      <w:pPr>
        <w:rPr>
          <w:rFonts w:cs="Arial"/>
        </w:rPr>
      </w:pPr>
    </w:p>
    <w:p w14:paraId="6BAE9CB9" w14:textId="77777777" w:rsidR="00C60526" w:rsidRPr="001E2783" w:rsidRDefault="00537938" w:rsidP="00C60526">
      <w:pPr>
        <w:rPr>
          <w:rFonts w:cs="Arial"/>
        </w:rPr>
      </w:pPr>
      <w:r w:rsidRPr="001E2783">
        <w:rPr>
          <w:rFonts w:cs="Arial"/>
        </w:rPr>
        <w:t xml:space="preserve">During the reporting year, the number of child sexual abuse material items investigated rose to </w:t>
      </w:r>
      <w:r w:rsidR="00C60526" w:rsidRPr="001E2783">
        <w:rPr>
          <w:rFonts w:cs="Arial"/>
        </w:rPr>
        <w:t>7,663—a 551 </w:t>
      </w:r>
      <w:r w:rsidRPr="001E2783">
        <w:rPr>
          <w:rFonts w:cs="Arial"/>
        </w:rPr>
        <w:t xml:space="preserve">per cent increase on 2012–13. This significant increase in investigations </w:t>
      </w:r>
      <w:r w:rsidR="00C60526" w:rsidRPr="001E2783">
        <w:rPr>
          <w:rFonts w:cs="Arial"/>
        </w:rPr>
        <w:t>followed the rise in complaints alleging child sexual abuse from members of the public and law enforcement (81 per cent of all complaints received alleged child sexual abuse material) and the implementation of a new online complaints management system.</w:t>
      </w:r>
    </w:p>
    <w:p w14:paraId="24BF4FD5" w14:textId="77777777" w:rsidR="00537938" w:rsidRPr="001E2783" w:rsidRDefault="00537938" w:rsidP="00537938">
      <w:pPr>
        <w:rPr>
          <w:rFonts w:cs="Arial"/>
        </w:rPr>
      </w:pPr>
    </w:p>
    <w:p w14:paraId="5A666423" w14:textId="77777777" w:rsidR="00A73C13" w:rsidRPr="001E2783" w:rsidRDefault="00EF04F9" w:rsidP="00A73C13">
      <w:pPr>
        <w:rPr>
          <w:rFonts w:cs="Arial"/>
        </w:rPr>
      </w:pPr>
      <w:r w:rsidRPr="001E2783">
        <w:rPr>
          <w:rFonts w:cs="Arial"/>
        </w:rPr>
        <w:t>Over 99 </w:t>
      </w:r>
      <w:r w:rsidR="00A73C13" w:rsidRPr="001E2783">
        <w:rPr>
          <w:rFonts w:cs="Arial"/>
        </w:rPr>
        <w:t xml:space="preserve">per cent of investigations into child sexual abuse material items were completed within two business days. All child sexual abuse items were notified to the </w:t>
      </w:r>
      <w:r w:rsidR="0014482B" w:rsidRPr="001E2783">
        <w:rPr>
          <w:rFonts w:cs="Arial"/>
        </w:rPr>
        <w:t xml:space="preserve">AFP </w:t>
      </w:r>
      <w:r w:rsidR="00E0520D" w:rsidRPr="001E2783">
        <w:rPr>
          <w:rFonts w:cs="Arial"/>
        </w:rPr>
        <w:t>and/or</w:t>
      </w:r>
      <w:r w:rsidR="00A73C13" w:rsidRPr="001E2783">
        <w:rPr>
          <w:rFonts w:cs="Arial"/>
        </w:rPr>
        <w:t xml:space="preserve"> the INHOPE network for law enforcement investigation and rapid take-down in the host country.</w:t>
      </w:r>
    </w:p>
    <w:p w14:paraId="251C70AD" w14:textId="77777777" w:rsidR="00537938" w:rsidRPr="001E2783" w:rsidRDefault="00537938" w:rsidP="00537938">
      <w:pPr>
        <w:rPr>
          <w:rFonts w:cs="Arial"/>
        </w:rPr>
      </w:pPr>
    </w:p>
    <w:p w14:paraId="4F1B6E25" w14:textId="77777777" w:rsidR="00537938" w:rsidRPr="001E2783" w:rsidRDefault="00C60526" w:rsidP="00537938">
      <w:pPr>
        <w:rPr>
          <w:rFonts w:cs="Arial"/>
        </w:rPr>
      </w:pPr>
      <w:r w:rsidRPr="001E2783">
        <w:rPr>
          <w:rFonts w:cs="Arial"/>
        </w:rPr>
        <w:t>During 2013, 95 </w:t>
      </w:r>
      <w:r w:rsidR="00537938" w:rsidRPr="001E2783">
        <w:rPr>
          <w:rFonts w:cs="Arial"/>
        </w:rPr>
        <w:t xml:space="preserve">per cent of all investigations about online content were completed within 20 business days. </w:t>
      </w:r>
    </w:p>
    <w:p w14:paraId="1AF98587" w14:textId="77777777" w:rsidR="00537938" w:rsidRPr="001E2783" w:rsidRDefault="00537938" w:rsidP="00537938">
      <w:pPr>
        <w:rPr>
          <w:rFonts w:cs="Arial"/>
        </w:rPr>
      </w:pPr>
      <w:r w:rsidRPr="001E2783">
        <w:rPr>
          <w:rFonts w:cs="Arial"/>
        </w:rPr>
        <w:t xml:space="preserve">A total of </w:t>
      </w:r>
      <w:r w:rsidR="00C60526" w:rsidRPr="001E2783">
        <w:rPr>
          <w:rFonts w:cs="Arial"/>
        </w:rPr>
        <w:t xml:space="preserve">578 </w:t>
      </w:r>
      <w:r w:rsidRPr="001E2783">
        <w:rPr>
          <w:rFonts w:cs="Arial"/>
        </w:rPr>
        <w:t xml:space="preserve">investigations were terminated because the ACMA was unable to obtain sufficient information on which to base a decision, usually because the content identified in the complaint could not be located. The ACMA also referred </w:t>
      </w:r>
      <w:r w:rsidR="003706D3" w:rsidRPr="001E2783">
        <w:rPr>
          <w:rFonts w:cs="Arial"/>
        </w:rPr>
        <w:t xml:space="preserve">30 </w:t>
      </w:r>
      <w:r w:rsidRPr="001E2783">
        <w:rPr>
          <w:rFonts w:cs="Arial"/>
        </w:rPr>
        <w:t>items of content to the Classification Board for formal classification under the National Classification Scheme.</w:t>
      </w:r>
    </w:p>
    <w:p w14:paraId="718455EB" w14:textId="77777777" w:rsidR="00537938" w:rsidRPr="001E2783" w:rsidRDefault="00537938" w:rsidP="00537938">
      <w:pPr>
        <w:rPr>
          <w:rFonts w:cs="Arial"/>
        </w:rPr>
      </w:pPr>
    </w:p>
    <w:p w14:paraId="7CE11C51" w14:textId="77777777" w:rsidR="00537938" w:rsidRPr="001E2783" w:rsidRDefault="00537938" w:rsidP="00537938">
      <w:pPr>
        <w:rPr>
          <w:rFonts w:cs="Arial"/>
        </w:rPr>
      </w:pPr>
      <w:r w:rsidRPr="001E2783">
        <w:rPr>
          <w:rFonts w:cs="Arial"/>
        </w:rPr>
        <w:t xml:space="preserve">A total of </w:t>
      </w:r>
      <w:r w:rsidR="003706D3" w:rsidRPr="001E2783">
        <w:rPr>
          <w:rFonts w:cs="Arial"/>
        </w:rPr>
        <w:t>8,980</w:t>
      </w:r>
      <w:r w:rsidRPr="001E2783">
        <w:rPr>
          <w:rFonts w:cs="Arial"/>
        </w:rPr>
        <w:t xml:space="preserve"> overseas-hosted prohibited or potential prohibited items of internet content investigated were referred to the makers of optional end user internet </w:t>
      </w:r>
      <w:r w:rsidR="00EF04F9" w:rsidRPr="001E2783">
        <w:rPr>
          <w:rFonts w:cs="Arial"/>
        </w:rPr>
        <w:t>software filters under Schedule </w:t>
      </w:r>
      <w:r w:rsidRPr="001E2783">
        <w:rPr>
          <w:rFonts w:cs="Arial"/>
        </w:rPr>
        <w:t>5 of the BSA and the registered internet codes of practice for dealing with such material.</w:t>
      </w:r>
    </w:p>
    <w:p w14:paraId="63084AAE" w14:textId="77777777" w:rsidR="00537938" w:rsidRPr="001E2783" w:rsidRDefault="00537938" w:rsidP="00537938">
      <w:pPr>
        <w:rPr>
          <w:rFonts w:cs="Arial"/>
        </w:rPr>
      </w:pPr>
    </w:p>
    <w:p w14:paraId="5025EDC5" w14:textId="77777777" w:rsidR="003706D3" w:rsidRPr="001E2783" w:rsidRDefault="003706D3" w:rsidP="003706D3">
      <w:pPr>
        <w:rPr>
          <w:rFonts w:cs="Arial"/>
        </w:rPr>
      </w:pPr>
      <w:r w:rsidRPr="001E2783">
        <w:rPr>
          <w:rFonts w:cs="Arial"/>
        </w:rPr>
        <w:t>A final ‘take-down’ notice was issued for one item</w:t>
      </w:r>
      <w:r w:rsidR="00537938" w:rsidRPr="001E2783">
        <w:rPr>
          <w:rFonts w:cs="Arial"/>
        </w:rPr>
        <w:t xml:space="preserve"> of Australian-hosted prohibited content. No service-cessation notices were issued for live content services provided from Australia and no link-deletion notices were issued to link service providers with an ‘Australian connection’. The Australian hosting service provider complied with </w:t>
      </w:r>
      <w:r w:rsidRPr="001E2783">
        <w:rPr>
          <w:rFonts w:cs="Arial"/>
        </w:rPr>
        <w:t>the</w:t>
      </w:r>
      <w:r w:rsidR="00537938" w:rsidRPr="001E2783">
        <w:rPr>
          <w:rFonts w:cs="Arial"/>
        </w:rPr>
        <w:t xml:space="preserve"> directi</w:t>
      </w:r>
      <w:r w:rsidR="006F331E" w:rsidRPr="001E2783">
        <w:rPr>
          <w:rFonts w:cs="Arial"/>
        </w:rPr>
        <w:t>on to take down</w:t>
      </w:r>
      <w:r w:rsidR="00537938" w:rsidRPr="001E2783">
        <w:rPr>
          <w:rFonts w:cs="Arial"/>
        </w:rPr>
        <w:t xml:space="preserve"> prohibited content.</w:t>
      </w:r>
      <w:r w:rsidRPr="001E2783">
        <w:rPr>
          <w:rFonts w:cs="Arial"/>
        </w:rPr>
        <w:t xml:space="preserve"> There has been 100</w:t>
      </w:r>
      <w:r w:rsidR="00EF04F9" w:rsidRPr="001E2783">
        <w:rPr>
          <w:rFonts w:cs="Arial"/>
        </w:rPr>
        <w:t> </w:t>
      </w:r>
      <w:r w:rsidRPr="001E2783">
        <w:rPr>
          <w:rFonts w:cs="Arial"/>
        </w:rPr>
        <w:t>per cent compliance with such take-down notices across the life of the Online Content Scheme.</w:t>
      </w:r>
    </w:p>
    <w:p w14:paraId="5A1F825F" w14:textId="77777777" w:rsidR="00537938" w:rsidRPr="001E2783" w:rsidRDefault="00537938" w:rsidP="00537938">
      <w:pPr>
        <w:rPr>
          <w:rFonts w:cs="Arial"/>
        </w:rPr>
      </w:pPr>
    </w:p>
    <w:p w14:paraId="05D94E42" w14:textId="77777777" w:rsidR="00537938" w:rsidRPr="001E2783" w:rsidRDefault="00537938" w:rsidP="00537938">
      <w:pPr>
        <w:rPr>
          <w:rFonts w:cs="Arial"/>
        </w:rPr>
      </w:pPr>
      <w:r w:rsidRPr="001E2783">
        <w:rPr>
          <w:rFonts w:cs="Arial"/>
        </w:rPr>
        <w:t xml:space="preserve">Under the BSA, prohibited content is defined with reference to the classification categories set out in the National Classification Scheme. Approximately </w:t>
      </w:r>
      <w:r w:rsidR="003706D3" w:rsidRPr="001E2783">
        <w:rPr>
          <w:rFonts w:cs="Arial"/>
        </w:rPr>
        <w:t>88 </w:t>
      </w:r>
      <w:r w:rsidRPr="001E2783">
        <w:rPr>
          <w:rFonts w:cs="Arial"/>
        </w:rPr>
        <w:t xml:space="preserve">per cent of items that were prohibited or potential prohibited were, or were likely to be, Refused Classification. </w:t>
      </w:r>
      <w:r w:rsidR="003706D3" w:rsidRPr="001E2783">
        <w:rPr>
          <w:rFonts w:cs="Arial"/>
        </w:rPr>
        <w:t>Of Refused Classification items, or items</w:t>
      </w:r>
      <w:r w:rsidRPr="001E2783">
        <w:rPr>
          <w:rFonts w:cs="Arial"/>
        </w:rPr>
        <w:t xml:space="preserve"> likely to be Refused Classification, </w:t>
      </w:r>
      <w:r w:rsidR="003706D3" w:rsidRPr="001E2783">
        <w:rPr>
          <w:rFonts w:cs="Arial"/>
        </w:rPr>
        <w:t>97</w:t>
      </w:r>
      <w:r w:rsidR="00EF04F9" w:rsidRPr="001E2783">
        <w:rPr>
          <w:rFonts w:cs="Arial"/>
        </w:rPr>
        <w:t> </w:t>
      </w:r>
      <w:r w:rsidRPr="001E2783">
        <w:rPr>
          <w:rFonts w:cs="Arial"/>
        </w:rPr>
        <w:t>per cent constituted an exploitative or offensive depiction or description of a child.</w:t>
      </w:r>
    </w:p>
    <w:p w14:paraId="7C9BE1FC" w14:textId="77777777" w:rsidR="00537938" w:rsidRPr="001E2783" w:rsidRDefault="00537938" w:rsidP="00537938">
      <w:pPr>
        <w:rPr>
          <w:rFonts w:cs="Arial"/>
        </w:rPr>
      </w:pPr>
    </w:p>
    <w:p w14:paraId="0339809A" w14:textId="77777777" w:rsidR="00537938" w:rsidRPr="001E2783" w:rsidRDefault="00537938" w:rsidP="00537938">
      <w:pPr>
        <w:pStyle w:val="BodysubheaderH4"/>
        <w:rPr>
          <w:rFonts w:cs="Arial"/>
        </w:rPr>
      </w:pPr>
      <w:r w:rsidRPr="001E2783">
        <w:rPr>
          <w:rFonts w:cs="Arial"/>
        </w:rPr>
        <w:t>Complaint</w:t>
      </w:r>
      <w:r w:rsidR="006F331E" w:rsidRPr="001E2783">
        <w:rPr>
          <w:rFonts w:cs="Arial"/>
        </w:rPr>
        <w:t xml:space="preserve"> and investigation figures, 2013–</w:t>
      </w:r>
      <w:r w:rsidRPr="001E2783">
        <w:rPr>
          <w:rFonts w:cs="Arial"/>
        </w:rPr>
        <w:t>14</w:t>
      </w:r>
    </w:p>
    <w:p w14:paraId="500757C1" w14:textId="77777777" w:rsidR="00537938" w:rsidRPr="001E2783" w:rsidRDefault="00537938" w:rsidP="00537938">
      <w:pPr>
        <w:spacing w:after="80"/>
        <w:rPr>
          <w:rFonts w:cs="Arial"/>
        </w:rPr>
      </w:pPr>
      <w:r w:rsidRPr="001E2783">
        <w:rPr>
          <w:rFonts w:cs="Arial"/>
        </w:rPr>
        <w:t xml:space="preserve">While complaint figures have stabilised in comparison with previous years, they nevertheless remain high in historical terms. Some reasons for this include: </w:t>
      </w:r>
    </w:p>
    <w:p w14:paraId="44BE6FB7" w14:textId="77777777" w:rsidR="00537938" w:rsidRPr="001E2783" w:rsidRDefault="00537938" w:rsidP="00537938">
      <w:pPr>
        <w:pStyle w:val="ListBullet"/>
        <w:rPr>
          <w:rFonts w:cs="Arial"/>
        </w:rPr>
      </w:pPr>
      <w:r w:rsidRPr="001E2783">
        <w:rPr>
          <w:rFonts w:cs="Arial"/>
        </w:rPr>
        <w:t>increas</w:t>
      </w:r>
      <w:r w:rsidR="006F331E" w:rsidRPr="001E2783">
        <w:rPr>
          <w:rFonts w:cs="Arial"/>
        </w:rPr>
        <w:t>ed</w:t>
      </w:r>
      <w:r w:rsidRPr="001E2783">
        <w:rPr>
          <w:rFonts w:cs="Arial"/>
        </w:rPr>
        <w:t xml:space="preserve"> numbers of Australian families online</w:t>
      </w:r>
    </w:p>
    <w:p w14:paraId="58D09FD6" w14:textId="77777777" w:rsidR="00537938" w:rsidRPr="001E2783" w:rsidRDefault="00537938" w:rsidP="00537938">
      <w:pPr>
        <w:pStyle w:val="ListBullet"/>
        <w:rPr>
          <w:rFonts w:cs="Arial"/>
        </w:rPr>
      </w:pPr>
      <w:r w:rsidRPr="001E2783">
        <w:rPr>
          <w:rFonts w:cs="Arial"/>
        </w:rPr>
        <w:t xml:space="preserve">greater </w:t>
      </w:r>
      <w:r w:rsidR="006F331E" w:rsidRPr="001E2783">
        <w:rPr>
          <w:rFonts w:cs="Arial"/>
        </w:rPr>
        <w:t xml:space="preserve">community </w:t>
      </w:r>
      <w:r w:rsidRPr="001E2783">
        <w:rPr>
          <w:rFonts w:cs="Arial"/>
        </w:rPr>
        <w:t>awareness of dangers posed by harmful content</w:t>
      </w:r>
    </w:p>
    <w:p w14:paraId="5690C535" w14:textId="77777777" w:rsidR="00537938" w:rsidRPr="001E2783" w:rsidRDefault="00537938" w:rsidP="00537938">
      <w:pPr>
        <w:pStyle w:val="ListBullet"/>
        <w:rPr>
          <w:rFonts w:cs="Arial"/>
        </w:rPr>
      </w:pPr>
      <w:r w:rsidRPr="001E2783">
        <w:rPr>
          <w:rFonts w:cs="Arial"/>
        </w:rPr>
        <w:t>improved understanding of how to report suspected prohibited content to the ACMA Hotline</w:t>
      </w:r>
    </w:p>
    <w:p w14:paraId="0AEA74BF" w14:textId="77777777" w:rsidR="00537938" w:rsidRPr="001E2783" w:rsidRDefault="00537938" w:rsidP="00537938">
      <w:pPr>
        <w:pStyle w:val="ListBullet"/>
        <w:spacing w:after="240"/>
        <w:rPr>
          <w:rFonts w:cs="Arial"/>
        </w:rPr>
      </w:pPr>
      <w:r w:rsidRPr="001E2783">
        <w:rPr>
          <w:rFonts w:cs="Arial"/>
        </w:rPr>
        <w:t xml:space="preserve">deepened engagement between the ACMA and Australian law enforcement agencies. </w:t>
      </w:r>
    </w:p>
    <w:p w14:paraId="5F8D8BD7" w14:textId="77777777" w:rsidR="003806BF" w:rsidRPr="001E2783" w:rsidRDefault="006F331E" w:rsidP="003806BF">
      <w:pPr>
        <w:spacing w:after="80"/>
        <w:rPr>
          <w:rFonts w:cs="Arial"/>
        </w:rPr>
      </w:pPr>
      <w:r w:rsidRPr="001E2783">
        <w:rPr>
          <w:rFonts w:cs="Arial"/>
        </w:rPr>
        <w:t>During the reporting period, ACMA awareness-raising initiatives also a</w:t>
      </w:r>
      <w:r w:rsidR="00537938" w:rsidRPr="001E2783">
        <w:rPr>
          <w:rFonts w:cs="Arial"/>
        </w:rPr>
        <w:t>dd</w:t>
      </w:r>
      <w:r w:rsidRPr="001E2783">
        <w:rPr>
          <w:rFonts w:cs="Arial"/>
        </w:rPr>
        <w:t xml:space="preserve">ed </w:t>
      </w:r>
      <w:r w:rsidR="00537938" w:rsidRPr="001E2783">
        <w:rPr>
          <w:rFonts w:cs="Arial"/>
        </w:rPr>
        <w:t xml:space="preserve">to the greater </w:t>
      </w:r>
      <w:r w:rsidRPr="001E2783">
        <w:rPr>
          <w:rFonts w:cs="Arial"/>
        </w:rPr>
        <w:t xml:space="preserve">community </w:t>
      </w:r>
      <w:r w:rsidR="00537938" w:rsidRPr="001E2783">
        <w:rPr>
          <w:rFonts w:cs="Arial"/>
        </w:rPr>
        <w:t>knowledge o</w:t>
      </w:r>
      <w:r w:rsidRPr="001E2783">
        <w:rPr>
          <w:rFonts w:cs="Arial"/>
        </w:rPr>
        <w:t>f</w:t>
      </w:r>
      <w:r w:rsidR="00537938" w:rsidRPr="001E2783">
        <w:rPr>
          <w:rFonts w:cs="Arial"/>
        </w:rPr>
        <w:t xml:space="preserve"> the complaints mechanism</w:t>
      </w:r>
      <w:r w:rsidR="003806BF" w:rsidRPr="001E2783">
        <w:rPr>
          <w:rFonts w:cs="Arial"/>
        </w:rPr>
        <w:t>. These included:</w:t>
      </w:r>
    </w:p>
    <w:p w14:paraId="543AA9BF" w14:textId="77777777" w:rsidR="003806BF" w:rsidRPr="001E2783" w:rsidRDefault="00537938" w:rsidP="003806BF">
      <w:pPr>
        <w:pStyle w:val="ListBullet"/>
        <w:rPr>
          <w:rFonts w:cs="Arial"/>
        </w:rPr>
      </w:pPr>
      <w:r w:rsidRPr="001E2783">
        <w:rPr>
          <w:rFonts w:cs="Arial"/>
        </w:rPr>
        <w:t>activities during National Child Protection Week 2013</w:t>
      </w:r>
    </w:p>
    <w:p w14:paraId="698EDAC7" w14:textId="77777777" w:rsidR="00537938" w:rsidRPr="001E2783" w:rsidRDefault="00537938" w:rsidP="003806BF">
      <w:pPr>
        <w:pStyle w:val="ListBullet"/>
        <w:spacing w:after="240"/>
        <w:rPr>
          <w:rFonts w:cs="Arial"/>
        </w:rPr>
      </w:pPr>
      <w:r w:rsidRPr="001E2783">
        <w:rPr>
          <w:rFonts w:cs="Arial"/>
        </w:rPr>
        <w:t xml:space="preserve">an infographic </w:t>
      </w:r>
      <w:r w:rsidR="003806BF" w:rsidRPr="001E2783">
        <w:rPr>
          <w:rFonts w:cs="Arial"/>
        </w:rPr>
        <w:t>on</w:t>
      </w:r>
      <w:r w:rsidRPr="001E2783">
        <w:rPr>
          <w:rFonts w:cs="Arial"/>
        </w:rPr>
        <w:t xml:space="preserve"> the effectiveness of the ACMA’s investigations into child sexual abuse material in the calendar year 2013.</w:t>
      </w:r>
    </w:p>
    <w:p w14:paraId="286BEEB1" w14:textId="77777777" w:rsidR="00537938" w:rsidRPr="001E2783" w:rsidRDefault="00EF04F9" w:rsidP="00537938">
      <w:pPr>
        <w:rPr>
          <w:rFonts w:cs="Arial"/>
        </w:rPr>
      </w:pPr>
      <w:r w:rsidRPr="001E2783">
        <w:rPr>
          <w:rFonts w:cs="Arial"/>
        </w:rPr>
        <w:t>Table </w:t>
      </w:r>
      <w:r w:rsidR="00AE6E96" w:rsidRPr="001E2783">
        <w:rPr>
          <w:rFonts w:cs="Arial"/>
        </w:rPr>
        <w:t>30</w:t>
      </w:r>
      <w:r w:rsidR="00537938" w:rsidRPr="001E2783">
        <w:rPr>
          <w:rFonts w:cs="Arial"/>
        </w:rPr>
        <w:t xml:space="preserve"> shows the breakdown by content type of online content items actioned as a result of completed investigations in which prohibited or potential prohibited content was located.</w:t>
      </w:r>
    </w:p>
    <w:p w14:paraId="4FB0D371" w14:textId="77777777" w:rsidR="00537938" w:rsidRPr="001E2783" w:rsidRDefault="00537938" w:rsidP="00537938">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6CBA5F13" w14:textId="77777777" w:rsidTr="00537938">
        <w:trPr>
          <w:trHeight w:val="570"/>
        </w:trPr>
        <w:tc>
          <w:tcPr>
            <w:tcW w:w="9645" w:type="dxa"/>
            <w:tcBorders>
              <w:top w:val="single" w:sz="2" w:space="0" w:color="505050"/>
            </w:tcBorders>
            <w:shd w:val="clear" w:color="auto" w:fill="auto"/>
            <w:vAlign w:val="center"/>
          </w:tcPr>
          <w:p w14:paraId="4DAC7968" w14:textId="77777777" w:rsidR="00537938" w:rsidRPr="001E2783" w:rsidRDefault="00537938" w:rsidP="00E0520D">
            <w:pPr>
              <w:pStyle w:val="Caption"/>
              <w:keepNext/>
              <w:keepLines/>
              <w:rPr>
                <w:rFonts w:ascii="Arial" w:hAnsi="Arial" w:cs="Arial"/>
                <w:color w:val="auto"/>
              </w:rPr>
            </w:pPr>
            <w:r w:rsidRPr="001E2783">
              <w:rPr>
                <w:rFonts w:ascii="Arial" w:hAnsi="Arial" w:cs="Arial"/>
                <w:color w:val="auto"/>
              </w:rPr>
              <w:br w:type="page"/>
            </w:r>
            <w:r w:rsidRPr="001E2783">
              <w:rPr>
                <w:rFonts w:ascii="Arial" w:hAnsi="Arial" w:cs="Arial"/>
                <w:color w:val="auto"/>
              </w:rPr>
              <w:br w:type="page"/>
            </w:r>
            <w:r w:rsidRPr="00D3485F">
              <w:rPr>
                <w:rFonts w:ascii="Arial" w:hAnsi="Arial" w:cs="Arial"/>
              </w:rPr>
              <w:t xml:space="preserve">Table </w:t>
            </w:r>
            <w:r w:rsidR="00AE6E96" w:rsidRPr="00D3485F">
              <w:rPr>
                <w:rFonts w:ascii="Arial" w:hAnsi="Arial" w:cs="Arial"/>
              </w:rPr>
              <w:t>30</w:t>
            </w:r>
            <w:r w:rsidRPr="00D3485F">
              <w:rPr>
                <w:rFonts w:ascii="Arial" w:hAnsi="Arial" w:cs="Arial"/>
              </w:rPr>
              <w:t>: Prohibited/potential prohibited internet content 2013–14, items actioned</w:t>
            </w:r>
          </w:p>
        </w:tc>
      </w:tr>
      <w:tr w:rsidR="001E2783" w:rsidRPr="001E2783" w14:paraId="2C3E5431" w14:textId="77777777" w:rsidTr="00537938">
        <w:trPr>
          <w:trHeight w:val="282"/>
        </w:trPr>
        <w:tc>
          <w:tcPr>
            <w:tcW w:w="9645" w:type="dxa"/>
            <w:shd w:val="clear" w:color="auto" w:fill="auto"/>
            <w:tcMar>
              <w:left w:w="28" w:type="dxa"/>
            </w:tcMar>
          </w:tcPr>
          <w:tbl>
            <w:tblPr>
              <w:tblW w:w="932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30" w:type="dxa"/>
                <w:right w:w="30" w:type="dxa"/>
              </w:tblCellMar>
              <w:tblLook w:val="0000" w:firstRow="0" w:lastRow="0" w:firstColumn="0" w:lastColumn="0" w:noHBand="0" w:noVBand="0"/>
            </w:tblPr>
            <w:tblGrid>
              <w:gridCol w:w="3088"/>
              <w:gridCol w:w="2481"/>
              <w:gridCol w:w="2481"/>
              <w:gridCol w:w="1275"/>
            </w:tblGrid>
            <w:tr w:rsidR="001E2783" w:rsidRPr="001E2783" w14:paraId="3D528921" w14:textId="77777777" w:rsidTr="00537938">
              <w:trPr>
                <w:trHeight w:val="277"/>
              </w:trPr>
              <w:tc>
                <w:tcPr>
                  <w:tcW w:w="3088" w:type="dxa"/>
                  <w:shd w:val="clear" w:color="auto" w:fill="404040" w:themeFill="text1" w:themeFillTint="BF"/>
                </w:tcPr>
                <w:p w14:paraId="44DE4301" w14:textId="77777777" w:rsidR="00537938" w:rsidRPr="000544EA" w:rsidRDefault="00537938" w:rsidP="003706D3">
                  <w:pPr>
                    <w:pStyle w:val="TableHeading"/>
                    <w:keepNext/>
                    <w:keepLines/>
                    <w:rPr>
                      <w:rFonts w:ascii="Arial" w:hAnsi="Arial" w:cs="Arial"/>
                      <w:color w:val="FFFFFF" w:themeColor="background1"/>
                      <w:szCs w:val="20"/>
                      <w:vertAlign w:val="superscript"/>
                    </w:rPr>
                  </w:pPr>
                  <w:r w:rsidRPr="000544EA">
                    <w:rPr>
                      <w:rFonts w:ascii="Arial" w:hAnsi="Arial" w:cs="Arial"/>
                      <w:color w:val="FFFFFF" w:themeColor="background1"/>
                      <w:szCs w:val="20"/>
                    </w:rPr>
                    <w:t>Actual or likely classification and description of online content</w:t>
                  </w:r>
                </w:p>
              </w:tc>
              <w:tc>
                <w:tcPr>
                  <w:tcW w:w="2481" w:type="dxa"/>
                  <w:shd w:val="clear" w:color="auto" w:fill="404040" w:themeFill="text1" w:themeFillTint="BF"/>
                </w:tcPr>
                <w:p w14:paraId="1DBD54CF" w14:textId="77777777" w:rsidR="00537938" w:rsidRPr="000544EA" w:rsidRDefault="00537938" w:rsidP="003706D3">
                  <w:pPr>
                    <w:pStyle w:val="TableHeading"/>
                    <w:keepNext/>
                    <w:keepLines/>
                    <w:jc w:val="right"/>
                    <w:rPr>
                      <w:rFonts w:ascii="Arial" w:hAnsi="Arial" w:cs="Arial"/>
                      <w:color w:val="FFFFFF" w:themeColor="background1"/>
                      <w:szCs w:val="20"/>
                    </w:rPr>
                  </w:pPr>
                  <w:r w:rsidRPr="000544EA">
                    <w:rPr>
                      <w:rFonts w:ascii="Arial" w:hAnsi="Arial" w:cs="Arial"/>
                      <w:color w:val="FFFFFF" w:themeColor="background1"/>
                      <w:szCs w:val="20"/>
                    </w:rPr>
                    <w:t>Online content hosted in or provided from Australia (take-down, service-cessation or link-deletion notice issued, or removed after referral to police)</w:t>
                  </w:r>
                </w:p>
              </w:tc>
              <w:tc>
                <w:tcPr>
                  <w:tcW w:w="2481" w:type="dxa"/>
                  <w:shd w:val="clear" w:color="auto" w:fill="404040" w:themeFill="text1" w:themeFillTint="BF"/>
                </w:tcPr>
                <w:p w14:paraId="036B3BB4" w14:textId="77777777" w:rsidR="00537938" w:rsidRPr="000544EA" w:rsidRDefault="00537938" w:rsidP="003706D3">
                  <w:pPr>
                    <w:pStyle w:val="TableHeading"/>
                    <w:keepNext/>
                    <w:keepLines/>
                    <w:jc w:val="right"/>
                    <w:rPr>
                      <w:rFonts w:ascii="Arial" w:hAnsi="Arial" w:cs="Arial"/>
                      <w:color w:val="FFFFFF" w:themeColor="background1"/>
                      <w:szCs w:val="20"/>
                    </w:rPr>
                  </w:pPr>
                  <w:r w:rsidRPr="000544EA">
                    <w:rPr>
                      <w:rFonts w:ascii="Arial" w:hAnsi="Arial" w:cs="Arial"/>
                      <w:color w:val="FFFFFF" w:themeColor="background1"/>
                      <w:szCs w:val="20"/>
                    </w:rPr>
                    <w:t>Internet content items hosted overseas (referred to makers of filters)</w:t>
                  </w:r>
                </w:p>
              </w:tc>
              <w:tc>
                <w:tcPr>
                  <w:tcW w:w="1275" w:type="dxa"/>
                  <w:shd w:val="clear" w:color="auto" w:fill="404040" w:themeFill="text1" w:themeFillTint="BF"/>
                </w:tcPr>
                <w:p w14:paraId="43DE2C33" w14:textId="77777777" w:rsidR="00537938" w:rsidRPr="000544EA" w:rsidRDefault="00537938" w:rsidP="003706D3">
                  <w:pPr>
                    <w:pStyle w:val="TableHeading"/>
                    <w:keepNext/>
                    <w:keepLines/>
                    <w:jc w:val="right"/>
                    <w:rPr>
                      <w:rFonts w:ascii="Arial" w:hAnsi="Arial" w:cs="Arial"/>
                      <w:color w:val="FFFFFF" w:themeColor="background1"/>
                      <w:szCs w:val="20"/>
                    </w:rPr>
                  </w:pPr>
                  <w:r w:rsidRPr="000544EA">
                    <w:rPr>
                      <w:rFonts w:ascii="Arial" w:hAnsi="Arial" w:cs="Arial"/>
                      <w:color w:val="FFFFFF" w:themeColor="background1"/>
                      <w:szCs w:val="20"/>
                    </w:rPr>
                    <w:t>Total</w:t>
                  </w:r>
                </w:p>
              </w:tc>
            </w:tr>
            <w:tr w:rsidR="001E2783" w:rsidRPr="001E2783" w14:paraId="5E1B39DA" w14:textId="77777777" w:rsidTr="00537938">
              <w:trPr>
                <w:trHeight w:val="247"/>
              </w:trPr>
              <w:tc>
                <w:tcPr>
                  <w:tcW w:w="3088" w:type="dxa"/>
                  <w:shd w:val="clear" w:color="auto" w:fill="auto"/>
                </w:tcPr>
                <w:p w14:paraId="22638058" w14:textId="77777777" w:rsidR="003706D3" w:rsidRPr="001E2783" w:rsidRDefault="003706D3" w:rsidP="003706D3">
                  <w:pPr>
                    <w:pStyle w:val="TableTextCentred"/>
                    <w:keepNext/>
                    <w:keepLines/>
                    <w:jc w:val="left"/>
                    <w:rPr>
                      <w:rFonts w:cs="Arial"/>
                      <w:sz w:val="20"/>
                    </w:rPr>
                  </w:pPr>
                  <w:r w:rsidRPr="001E2783">
                    <w:rPr>
                      <w:rFonts w:cs="Arial"/>
                      <w:sz w:val="20"/>
                    </w:rPr>
                    <w:t>MA 15+</w:t>
                  </w:r>
                </w:p>
                <w:p w14:paraId="5E3F8323" w14:textId="77777777" w:rsidR="003706D3" w:rsidRPr="001E2783" w:rsidRDefault="003706D3" w:rsidP="003706D3">
                  <w:pPr>
                    <w:pStyle w:val="TableTextCentred"/>
                    <w:keepNext/>
                    <w:keepLines/>
                    <w:jc w:val="left"/>
                    <w:rPr>
                      <w:rFonts w:cs="Arial"/>
                      <w:sz w:val="20"/>
                    </w:rPr>
                  </w:pPr>
                  <w:r w:rsidRPr="001E2783">
                    <w:rPr>
                      <w:rFonts w:cs="Arial"/>
                      <w:sz w:val="20"/>
                    </w:rPr>
                    <w:t>(Strong-impact content)</w:t>
                  </w:r>
                </w:p>
              </w:tc>
              <w:tc>
                <w:tcPr>
                  <w:tcW w:w="2481" w:type="dxa"/>
                  <w:shd w:val="clear" w:color="auto" w:fill="auto"/>
                  <w:vAlign w:val="bottom"/>
                </w:tcPr>
                <w:p w14:paraId="4596C762" w14:textId="77777777" w:rsidR="003706D3" w:rsidRPr="001E2783" w:rsidRDefault="003706D3" w:rsidP="003706D3">
                  <w:pPr>
                    <w:pStyle w:val="TableTextCentred"/>
                    <w:jc w:val="right"/>
                    <w:rPr>
                      <w:rFonts w:cs="Arial"/>
                      <w:sz w:val="20"/>
                    </w:rPr>
                  </w:pPr>
                  <w:r w:rsidRPr="001E2783">
                    <w:rPr>
                      <w:rFonts w:cs="Arial"/>
                      <w:sz w:val="20"/>
                    </w:rPr>
                    <w:t>0</w:t>
                  </w:r>
                </w:p>
              </w:tc>
              <w:tc>
                <w:tcPr>
                  <w:tcW w:w="2481" w:type="dxa"/>
                  <w:shd w:val="clear" w:color="auto" w:fill="auto"/>
                  <w:vAlign w:val="bottom"/>
                </w:tcPr>
                <w:p w14:paraId="446BC322" w14:textId="77777777" w:rsidR="003706D3" w:rsidRPr="001E2783" w:rsidRDefault="003706D3" w:rsidP="003706D3">
                  <w:pPr>
                    <w:pStyle w:val="TableTextCentred"/>
                    <w:jc w:val="right"/>
                    <w:rPr>
                      <w:rFonts w:cs="Arial"/>
                      <w:sz w:val="20"/>
                    </w:rPr>
                  </w:pPr>
                  <w:r w:rsidRPr="001E2783">
                    <w:rPr>
                      <w:rFonts w:cs="Arial"/>
                      <w:sz w:val="20"/>
                    </w:rPr>
                    <w:t>0</w:t>
                  </w:r>
                </w:p>
              </w:tc>
              <w:tc>
                <w:tcPr>
                  <w:tcW w:w="1275" w:type="dxa"/>
                  <w:shd w:val="clear" w:color="auto" w:fill="auto"/>
                  <w:vAlign w:val="bottom"/>
                </w:tcPr>
                <w:p w14:paraId="7529C298" w14:textId="77777777" w:rsidR="003706D3" w:rsidRPr="001E2783" w:rsidRDefault="003706D3" w:rsidP="003706D3">
                  <w:pPr>
                    <w:pStyle w:val="TableTextCentred"/>
                    <w:jc w:val="right"/>
                    <w:rPr>
                      <w:rFonts w:cs="Arial"/>
                      <w:sz w:val="20"/>
                    </w:rPr>
                  </w:pPr>
                  <w:r w:rsidRPr="001E2783">
                    <w:rPr>
                      <w:rFonts w:cs="Arial"/>
                      <w:sz w:val="20"/>
                    </w:rPr>
                    <w:t>0</w:t>
                  </w:r>
                </w:p>
              </w:tc>
            </w:tr>
            <w:tr w:rsidR="001E2783" w:rsidRPr="001E2783" w14:paraId="105CF903" w14:textId="77777777" w:rsidTr="00537938">
              <w:trPr>
                <w:trHeight w:val="247"/>
              </w:trPr>
              <w:tc>
                <w:tcPr>
                  <w:tcW w:w="3088" w:type="dxa"/>
                  <w:shd w:val="clear" w:color="auto" w:fill="auto"/>
                </w:tcPr>
                <w:p w14:paraId="55874B1E" w14:textId="77777777" w:rsidR="003706D3" w:rsidRPr="001E2783" w:rsidRDefault="003706D3" w:rsidP="003706D3">
                  <w:pPr>
                    <w:pStyle w:val="TableTextCentred"/>
                    <w:keepNext/>
                    <w:keepLines/>
                    <w:jc w:val="left"/>
                    <w:rPr>
                      <w:rFonts w:cs="Arial"/>
                      <w:sz w:val="20"/>
                    </w:rPr>
                  </w:pPr>
                  <w:r w:rsidRPr="001E2783">
                    <w:rPr>
                      <w:rFonts w:cs="Arial"/>
                      <w:sz w:val="20"/>
                    </w:rPr>
                    <w:t>R 18+</w:t>
                  </w:r>
                </w:p>
                <w:p w14:paraId="42599F75" w14:textId="77777777" w:rsidR="003706D3" w:rsidRPr="001E2783" w:rsidRDefault="003706D3" w:rsidP="003706D3">
                  <w:pPr>
                    <w:pStyle w:val="TableTextCentred"/>
                    <w:keepNext/>
                    <w:keepLines/>
                    <w:jc w:val="left"/>
                    <w:rPr>
                      <w:rFonts w:cs="Arial"/>
                      <w:sz w:val="20"/>
                    </w:rPr>
                  </w:pPr>
                  <w:r w:rsidRPr="001E2783">
                    <w:rPr>
                      <w:rFonts w:cs="Arial"/>
                      <w:sz w:val="20"/>
                    </w:rPr>
                    <w:t>(High-impact content)</w:t>
                  </w:r>
                </w:p>
              </w:tc>
              <w:tc>
                <w:tcPr>
                  <w:tcW w:w="2481" w:type="dxa"/>
                  <w:shd w:val="clear" w:color="auto" w:fill="auto"/>
                  <w:vAlign w:val="bottom"/>
                </w:tcPr>
                <w:p w14:paraId="03471204" w14:textId="77777777" w:rsidR="003706D3" w:rsidRPr="001E2783" w:rsidRDefault="003706D3" w:rsidP="003706D3">
                  <w:pPr>
                    <w:pStyle w:val="TableTextCentred"/>
                    <w:jc w:val="right"/>
                    <w:rPr>
                      <w:rFonts w:cs="Arial"/>
                      <w:sz w:val="20"/>
                    </w:rPr>
                  </w:pPr>
                  <w:r w:rsidRPr="001E2783">
                    <w:rPr>
                      <w:rFonts w:cs="Arial"/>
                      <w:sz w:val="20"/>
                    </w:rPr>
                    <w:t>0</w:t>
                  </w:r>
                </w:p>
              </w:tc>
              <w:tc>
                <w:tcPr>
                  <w:tcW w:w="2481" w:type="dxa"/>
                  <w:shd w:val="clear" w:color="auto" w:fill="auto"/>
                  <w:vAlign w:val="bottom"/>
                </w:tcPr>
                <w:p w14:paraId="588AD401" w14:textId="77777777" w:rsidR="003706D3" w:rsidRPr="001E2783" w:rsidRDefault="003706D3" w:rsidP="003706D3">
                  <w:pPr>
                    <w:pStyle w:val="TableTextCentred"/>
                    <w:jc w:val="right"/>
                    <w:rPr>
                      <w:rFonts w:cs="Arial"/>
                      <w:sz w:val="20"/>
                    </w:rPr>
                  </w:pPr>
                  <w:r w:rsidRPr="001E2783">
                    <w:rPr>
                      <w:rFonts w:cs="Arial"/>
                      <w:sz w:val="20"/>
                    </w:rPr>
                    <w:t>157</w:t>
                  </w:r>
                </w:p>
              </w:tc>
              <w:tc>
                <w:tcPr>
                  <w:tcW w:w="1275" w:type="dxa"/>
                  <w:shd w:val="clear" w:color="auto" w:fill="auto"/>
                  <w:vAlign w:val="bottom"/>
                </w:tcPr>
                <w:p w14:paraId="60F41F2D" w14:textId="77777777" w:rsidR="003706D3" w:rsidRPr="001E2783" w:rsidRDefault="003706D3" w:rsidP="003706D3">
                  <w:pPr>
                    <w:pStyle w:val="TableTextCentred"/>
                    <w:jc w:val="right"/>
                    <w:rPr>
                      <w:rFonts w:cs="Arial"/>
                      <w:sz w:val="20"/>
                    </w:rPr>
                  </w:pPr>
                  <w:r w:rsidRPr="001E2783">
                    <w:rPr>
                      <w:rFonts w:cs="Arial"/>
                      <w:sz w:val="20"/>
                    </w:rPr>
                    <w:t>157</w:t>
                  </w:r>
                </w:p>
              </w:tc>
            </w:tr>
            <w:tr w:rsidR="001E2783" w:rsidRPr="001E2783" w14:paraId="312E2D69" w14:textId="77777777" w:rsidTr="00537938">
              <w:trPr>
                <w:trHeight w:val="247"/>
              </w:trPr>
              <w:tc>
                <w:tcPr>
                  <w:tcW w:w="3088" w:type="dxa"/>
                  <w:shd w:val="clear" w:color="auto" w:fill="auto"/>
                </w:tcPr>
                <w:p w14:paraId="59C99EA3" w14:textId="77777777" w:rsidR="003706D3" w:rsidRPr="001E2783" w:rsidRDefault="003706D3" w:rsidP="003706D3">
                  <w:pPr>
                    <w:pStyle w:val="TableTextCentred"/>
                    <w:keepNext/>
                    <w:keepLines/>
                    <w:jc w:val="left"/>
                    <w:rPr>
                      <w:rFonts w:cs="Arial"/>
                      <w:sz w:val="20"/>
                    </w:rPr>
                  </w:pPr>
                  <w:r w:rsidRPr="001E2783">
                    <w:rPr>
                      <w:rFonts w:cs="Arial"/>
                      <w:sz w:val="20"/>
                    </w:rPr>
                    <w:t>X 18+</w:t>
                  </w:r>
                </w:p>
                <w:p w14:paraId="26D7B60C" w14:textId="77777777" w:rsidR="003706D3" w:rsidRPr="001E2783" w:rsidRDefault="003706D3" w:rsidP="003706D3">
                  <w:pPr>
                    <w:pStyle w:val="TableTextCentred"/>
                    <w:keepNext/>
                    <w:keepLines/>
                    <w:jc w:val="left"/>
                    <w:rPr>
                      <w:rFonts w:cs="Arial"/>
                      <w:sz w:val="20"/>
                    </w:rPr>
                  </w:pPr>
                  <w:r w:rsidRPr="001E2783">
                    <w:rPr>
                      <w:rFonts w:cs="Arial"/>
                      <w:sz w:val="20"/>
                    </w:rPr>
                    <w:t>(Explicit sexual content)</w:t>
                  </w:r>
                </w:p>
              </w:tc>
              <w:tc>
                <w:tcPr>
                  <w:tcW w:w="2481" w:type="dxa"/>
                  <w:shd w:val="clear" w:color="auto" w:fill="auto"/>
                  <w:vAlign w:val="bottom"/>
                </w:tcPr>
                <w:p w14:paraId="3C6FB43D" w14:textId="77777777" w:rsidR="003706D3" w:rsidRPr="001E2783" w:rsidRDefault="003706D3" w:rsidP="003706D3">
                  <w:pPr>
                    <w:pStyle w:val="TableTextCentred"/>
                    <w:jc w:val="right"/>
                    <w:rPr>
                      <w:rFonts w:cs="Arial"/>
                      <w:sz w:val="20"/>
                    </w:rPr>
                  </w:pPr>
                  <w:r w:rsidRPr="001E2783">
                    <w:rPr>
                      <w:rFonts w:cs="Arial"/>
                      <w:sz w:val="20"/>
                    </w:rPr>
                    <w:t>0</w:t>
                  </w:r>
                </w:p>
              </w:tc>
              <w:tc>
                <w:tcPr>
                  <w:tcW w:w="2481" w:type="dxa"/>
                  <w:shd w:val="clear" w:color="auto" w:fill="auto"/>
                  <w:vAlign w:val="bottom"/>
                </w:tcPr>
                <w:p w14:paraId="246265BF" w14:textId="77777777" w:rsidR="003706D3" w:rsidRPr="001E2783" w:rsidRDefault="003706D3" w:rsidP="003706D3">
                  <w:pPr>
                    <w:pStyle w:val="TableTextCentred"/>
                    <w:jc w:val="right"/>
                    <w:rPr>
                      <w:rFonts w:cs="Arial"/>
                      <w:sz w:val="20"/>
                    </w:rPr>
                  </w:pPr>
                  <w:r w:rsidRPr="001E2783">
                    <w:rPr>
                      <w:rFonts w:cs="Arial"/>
                      <w:sz w:val="20"/>
                    </w:rPr>
                    <w:t>906</w:t>
                  </w:r>
                </w:p>
              </w:tc>
              <w:tc>
                <w:tcPr>
                  <w:tcW w:w="1275" w:type="dxa"/>
                  <w:shd w:val="clear" w:color="auto" w:fill="auto"/>
                  <w:vAlign w:val="bottom"/>
                </w:tcPr>
                <w:p w14:paraId="6DE62534" w14:textId="77777777" w:rsidR="003706D3" w:rsidRPr="001E2783" w:rsidRDefault="003706D3" w:rsidP="003706D3">
                  <w:pPr>
                    <w:pStyle w:val="TableTextCentred"/>
                    <w:jc w:val="right"/>
                    <w:rPr>
                      <w:rFonts w:cs="Arial"/>
                      <w:sz w:val="20"/>
                    </w:rPr>
                  </w:pPr>
                  <w:r w:rsidRPr="001E2783">
                    <w:rPr>
                      <w:rFonts w:cs="Arial"/>
                      <w:sz w:val="20"/>
                    </w:rPr>
                    <w:t>906</w:t>
                  </w:r>
                </w:p>
              </w:tc>
            </w:tr>
            <w:tr w:rsidR="001E2783" w:rsidRPr="001E2783" w14:paraId="5D6ED4FB" w14:textId="77777777" w:rsidTr="00537938">
              <w:trPr>
                <w:trHeight w:val="247"/>
              </w:trPr>
              <w:tc>
                <w:tcPr>
                  <w:tcW w:w="3088" w:type="dxa"/>
                  <w:shd w:val="clear" w:color="auto" w:fill="auto"/>
                </w:tcPr>
                <w:p w14:paraId="5390CFD0" w14:textId="77777777" w:rsidR="003706D3" w:rsidRPr="001E2783" w:rsidRDefault="003706D3" w:rsidP="003706D3">
                  <w:pPr>
                    <w:pStyle w:val="TableTextCentred"/>
                    <w:keepNext/>
                    <w:keepLines/>
                    <w:jc w:val="left"/>
                    <w:rPr>
                      <w:rFonts w:cs="Arial"/>
                      <w:sz w:val="20"/>
                    </w:rPr>
                  </w:pPr>
                  <w:r w:rsidRPr="001E2783">
                    <w:rPr>
                      <w:rFonts w:cs="Arial"/>
                      <w:sz w:val="20"/>
                    </w:rPr>
                    <w:t>RC 1(a)</w:t>
                  </w:r>
                </w:p>
                <w:p w14:paraId="75814104" w14:textId="77777777" w:rsidR="003706D3" w:rsidRPr="001E2783" w:rsidRDefault="003706D3" w:rsidP="003706D3">
                  <w:pPr>
                    <w:pStyle w:val="TableTextCentred"/>
                    <w:keepNext/>
                    <w:keepLines/>
                    <w:jc w:val="left"/>
                    <w:rPr>
                      <w:rFonts w:cs="Arial"/>
                      <w:sz w:val="20"/>
                    </w:rPr>
                  </w:pPr>
                  <w:r w:rsidRPr="001E2783">
                    <w:rPr>
                      <w:rFonts w:cs="Arial"/>
                      <w:sz w:val="20"/>
                    </w:rPr>
                    <w:t>(Refused Classification content for a range of matters, including offending against standards of morality and decency and revolting and abhorrent phenomena)</w:t>
                  </w:r>
                </w:p>
              </w:tc>
              <w:tc>
                <w:tcPr>
                  <w:tcW w:w="2481" w:type="dxa"/>
                  <w:shd w:val="clear" w:color="auto" w:fill="auto"/>
                  <w:vAlign w:val="bottom"/>
                </w:tcPr>
                <w:p w14:paraId="7AA82A37" w14:textId="77777777" w:rsidR="003706D3" w:rsidRPr="001E2783" w:rsidRDefault="003706D3" w:rsidP="003706D3">
                  <w:pPr>
                    <w:pStyle w:val="TableTextCentred"/>
                    <w:jc w:val="right"/>
                    <w:rPr>
                      <w:rFonts w:cs="Arial"/>
                      <w:sz w:val="20"/>
                    </w:rPr>
                  </w:pPr>
                  <w:r w:rsidRPr="001E2783">
                    <w:rPr>
                      <w:rFonts w:cs="Arial"/>
                      <w:sz w:val="20"/>
                    </w:rPr>
                    <w:t>0</w:t>
                  </w:r>
                </w:p>
              </w:tc>
              <w:tc>
                <w:tcPr>
                  <w:tcW w:w="2481" w:type="dxa"/>
                  <w:shd w:val="clear" w:color="auto" w:fill="auto"/>
                  <w:vAlign w:val="bottom"/>
                </w:tcPr>
                <w:p w14:paraId="20687240" w14:textId="77777777" w:rsidR="003706D3" w:rsidRPr="001E2783" w:rsidRDefault="003706D3" w:rsidP="003706D3">
                  <w:pPr>
                    <w:pStyle w:val="TableTextCentred"/>
                    <w:jc w:val="right"/>
                    <w:rPr>
                      <w:rFonts w:cs="Arial"/>
                      <w:sz w:val="20"/>
                    </w:rPr>
                  </w:pPr>
                  <w:r w:rsidRPr="001E2783">
                    <w:rPr>
                      <w:rFonts w:cs="Arial"/>
                      <w:sz w:val="20"/>
                    </w:rPr>
                    <w:t>248</w:t>
                  </w:r>
                </w:p>
              </w:tc>
              <w:tc>
                <w:tcPr>
                  <w:tcW w:w="1275" w:type="dxa"/>
                  <w:shd w:val="clear" w:color="auto" w:fill="auto"/>
                  <w:vAlign w:val="bottom"/>
                </w:tcPr>
                <w:p w14:paraId="61F3B4E0" w14:textId="77777777" w:rsidR="003706D3" w:rsidRPr="001E2783" w:rsidRDefault="003706D3" w:rsidP="003706D3">
                  <w:pPr>
                    <w:pStyle w:val="TableTextCentred"/>
                    <w:jc w:val="right"/>
                    <w:rPr>
                      <w:rFonts w:cs="Arial"/>
                      <w:sz w:val="20"/>
                    </w:rPr>
                  </w:pPr>
                  <w:r w:rsidRPr="001E2783">
                    <w:rPr>
                      <w:rFonts w:cs="Arial"/>
                      <w:sz w:val="20"/>
                    </w:rPr>
                    <w:t>248</w:t>
                  </w:r>
                </w:p>
              </w:tc>
            </w:tr>
            <w:tr w:rsidR="001E2783" w:rsidRPr="001E2783" w14:paraId="5B6B60EA" w14:textId="77777777" w:rsidTr="00537938">
              <w:trPr>
                <w:trHeight w:val="247"/>
              </w:trPr>
              <w:tc>
                <w:tcPr>
                  <w:tcW w:w="3088" w:type="dxa"/>
                  <w:shd w:val="clear" w:color="auto" w:fill="auto"/>
                </w:tcPr>
                <w:p w14:paraId="7FED98B1" w14:textId="77777777" w:rsidR="003706D3" w:rsidRPr="001E2783" w:rsidRDefault="003706D3" w:rsidP="003706D3">
                  <w:pPr>
                    <w:pStyle w:val="TableTextCentred"/>
                    <w:keepNext/>
                    <w:keepLines/>
                    <w:jc w:val="left"/>
                    <w:rPr>
                      <w:rFonts w:cs="Arial"/>
                      <w:sz w:val="20"/>
                    </w:rPr>
                  </w:pPr>
                  <w:r w:rsidRPr="001E2783">
                    <w:rPr>
                      <w:rFonts w:cs="Arial"/>
                      <w:sz w:val="20"/>
                    </w:rPr>
                    <w:t>RC 1(b)</w:t>
                  </w:r>
                </w:p>
                <w:p w14:paraId="5907B3A3" w14:textId="77777777" w:rsidR="003706D3" w:rsidRPr="001E2783" w:rsidRDefault="003706D3" w:rsidP="003706D3">
                  <w:pPr>
                    <w:pStyle w:val="TableTextCentred"/>
                    <w:keepNext/>
                    <w:keepLines/>
                    <w:jc w:val="left"/>
                    <w:rPr>
                      <w:rFonts w:cs="Arial"/>
                      <w:sz w:val="20"/>
                    </w:rPr>
                  </w:pPr>
                  <w:r w:rsidRPr="001E2783">
                    <w:rPr>
                      <w:rFonts w:cs="Arial"/>
                      <w:sz w:val="20"/>
                    </w:rPr>
                    <w:t>(Refused Classification content for offensive depictions/descriptions of children)</w:t>
                  </w:r>
                </w:p>
              </w:tc>
              <w:tc>
                <w:tcPr>
                  <w:tcW w:w="2481" w:type="dxa"/>
                  <w:shd w:val="clear" w:color="auto" w:fill="auto"/>
                  <w:vAlign w:val="bottom"/>
                </w:tcPr>
                <w:p w14:paraId="17835F71" w14:textId="77777777" w:rsidR="003706D3" w:rsidRPr="001E2783" w:rsidRDefault="003706D3" w:rsidP="003706D3">
                  <w:pPr>
                    <w:pStyle w:val="TableTextCentred"/>
                    <w:jc w:val="right"/>
                    <w:rPr>
                      <w:rFonts w:cs="Arial"/>
                      <w:sz w:val="20"/>
                    </w:rPr>
                  </w:pPr>
                  <w:r w:rsidRPr="001E2783">
                    <w:rPr>
                      <w:rFonts w:cs="Arial"/>
                      <w:sz w:val="20"/>
                    </w:rPr>
                    <w:t>0</w:t>
                  </w:r>
                </w:p>
              </w:tc>
              <w:tc>
                <w:tcPr>
                  <w:tcW w:w="2481" w:type="dxa"/>
                  <w:shd w:val="clear" w:color="auto" w:fill="auto"/>
                  <w:vAlign w:val="bottom"/>
                </w:tcPr>
                <w:p w14:paraId="25F122C2" w14:textId="77777777" w:rsidR="003706D3" w:rsidRPr="001E2783" w:rsidRDefault="003706D3" w:rsidP="003706D3">
                  <w:pPr>
                    <w:pStyle w:val="TableTextCentred"/>
                    <w:jc w:val="right"/>
                    <w:rPr>
                      <w:rFonts w:cs="Arial"/>
                      <w:sz w:val="20"/>
                    </w:rPr>
                  </w:pPr>
                  <w:r w:rsidRPr="001E2783">
                    <w:rPr>
                      <w:rFonts w:cs="Arial"/>
                      <w:sz w:val="20"/>
                    </w:rPr>
                    <w:t>7,663</w:t>
                  </w:r>
                </w:p>
              </w:tc>
              <w:tc>
                <w:tcPr>
                  <w:tcW w:w="1275" w:type="dxa"/>
                  <w:shd w:val="clear" w:color="auto" w:fill="auto"/>
                  <w:vAlign w:val="bottom"/>
                </w:tcPr>
                <w:p w14:paraId="2ECF2280" w14:textId="77777777" w:rsidR="003706D3" w:rsidRPr="001E2783" w:rsidRDefault="003706D3" w:rsidP="003706D3">
                  <w:pPr>
                    <w:pStyle w:val="TableTextCentred"/>
                    <w:jc w:val="right"/>
                    <w:rPr>
                      <w:rFonts w:cs="Arial"/>
                      <w:sz w:val="20"/>
                    </w:rPr>
                  </w:pPr>
                  <w:r w:rsidRPr="001E2783">
                    <w:rPr>
                      <w:rFonts w:cs="Arial"/>
                      <w:sz w:val="20"/>
                    </w:rPr>
                    <w:t>7,663</w:t>
                  </w:r>
                </w:p>
              </w:tc>
            </w:tr>
            <w:tr w:rsidR="001E2783" w:rsidRPr="001E2783" w14:paraId="21DF0FCF" w14:textId="77777777" w:rsidTr="00537938">
              <w:trPr>
                <w:trHeight w:val="247"/>
              </w:trPr>
              <w:tc>
                <w:tcPr>
                  <w:tcW w:w="3088" w:type="dxa"/>
                  <w:shd w:val="clear" w:color="auto" w:fill="auto"/>
                </w:tcPr>
                <w:p w14:paraId="4171D7BC" w14:textId="77777777" w:rsidR="003706D3" w:rsidRPr="001E2783" w:rsidRDefault="003706D3" w:rsidP="003706D3">
                  <w:pPr>
                    <w:pStyle w:val="TableTextCentred"/>
                    <w:keepNext/>
                    <w:keepLines/>
                    <w:jc w:val="left"/>
                    <w:rPr>
                      <w:rFonts w:cs="Arial"/>
                      <w:sz w:val="20"/>
                    </w:rPr>
                  </w:pPr>
                  <w:r w:rsidRPr="001E2783">
                    <w:rPr>
                      <w:rFonts w:cs="Arial"/>
                      <w:sz w:val="20"/>
                    </w:rPr>
                    <w:t>RC 1(c)</w:t>
                  </w:r>
                </w:p>
                <w:p w14:paraId="476E2242" w14:textId="77777777" w:rsidR="003706D3" w:rsidRPr="001E2783" w:rsidRDefault="003706D3" w:rsidP="003706D3">
                  <w:pPr>
                    <w:pStyle w:val="TableTextCentred"/>
                    <w:keepNext/>
                    <w:keepLines/>
                    <w:jc w:val="left"/>
                    <w:rPr>
                      <w:rFonts w:cs="Arial"/>
                      <w:sz w:val="20"/>
                    </w:rPr>
                  </w:pPr>
                  <w:r w:rsidRPr="001E2783">
                    <w:rPr>
                      <w:rFonts w:cs="Arial"/>
                      <w:sz w:val="20"/>
                    </w:rPr>
                    <w:t>(Refused Classification content for instruction, incitement or promotion of crime or violence)</w:t>
                  </w:r>
                </w:p>
              </w:tc>
              <w:tc>
                <w:tcPr>
                  <w:tcW w:w="2481" w:type="dxa"/>
                  <w:shd w:val="clear" w:color="auto" w:fill="auto"/>
                  <w:vAlign w:val="bottom"/>
                </w:tcPr>
                <w:p w14:paraId="67252B72" w14:textId="77777777" w:rsidR="003706D3" w:rsidRPr="001E2783" w:rsidRDefault="003706D3" w:rsidP="003706D3">
                  <w:pPr>
                    <w:pStyle w:val="TableTextCentred"/>
                    <w:jc w:val="right"/>
                    <w:rPr>
                      <w:rFonts w:cs="Arial"/>
                      <w:sz w:val="20"/>
                    </w:rPr>
                  </w:pPr>
                  <w:r w:rsidRPr="001E2783">
                    <w:rPr>
                      <w:rFonts w:cs="Arial"/>
                      <w:sz w:val="20"/>
                    </w:rPr>
                    <w:t>1</w:t>
                  </w:r>
                </w:p>
              </w:tc>
              <w:tc>
                <w:tcPr>
                  <w:tcW w:w="2481" w:type="dxa"/>
                  <w:shd w:val="clear" w:color="auto" w:fill="auto"/>
                  <w:vAlign w:val="bottom"/>
                </w:tcPr>
                <w:p w14:paraId="18009CB8" w14:textId="77777777" w:rsidR="003706D3" w:rsidRPr="001E2783" w:rsidRDefault="003706D3" w:rsidP="003706D3">
                  <w:pPr>
                    <w:pStyle w:val="TableTextCentred"/>
                    <w:jc w:val="right"/>
                    <w:rPr>
                      <w:rFonts w:cs="Arial"/>
                      <w:sz w:val="20"/>
                    </w:rPr>
                  </w:pPr>
                  <w:r w:rsidRPr="001E2783">
                    <w:rPr>
                      <w:rFonts w:cs="Arial"/>
                      <w:sz w:val="20"/>
                    </w:rPr>
                    <w:t>6</w:t>
                  </w:r>
                </w:p>
              </w:tc>
              <w:tc>
                <w:tcPr>
                  <w:tcW w:w="1275" w:type="dxa"/>
                  <w:shd w:val="clear" w:color="auto" w:fill="auto"/>
                  <w:vAlign w:val="bottom"/>
                </w:tcPr>
                <w:p w14:paraId="6A88EC53" w14:textId="77777777" w:rsidR="003706D3" w:rsidRPr="001E2783" w:rsidRDefault="003706D3" w:rsidP="003706D3">
                  <w:pPr>
                    <w:pStyle w:val="TableTextCentred"/>
                    <w:jc w:val="right"/>
                    <w:rPr>
                      <w:rFonts w:cs="Arial"/>
                      <w:sz w:val="20"/>
                    </w:rPr>
                  </w:pPr>
                  <w:r w:rsidRPr="001E2783">
                    <w:rPr>
                      <w:rFonts w:cs="Arial"/>
                      <w:sz w:val="20"/>
                    </w:rPr>
                    <w:t>7</w:t>
                  </w:r>
                </w:p>
              </w:tc>
            </w:tr>
            <w:tr w:rsidR="001E2783" w:rsidRPr="001E2783" w14:paraId="1E53BC54" w14:textId="77777777" w:rsidTr="00537938">
              <w:trPr>
                <w:trHeight w:val="247"/>
              </w:trPr>
              <w:tc>
                <w:tcPr>
                  <w:tcW w:w="3088" w:type="dxa"/>
                  <w:shd w:val="clear" w:color="auto" w:fill="auto"/>
                </w:tcPr>
                <w:p w14:paraId="056E4202" w14:textId="77777777" w:rsidR="003706D3" w:rsidRPr="001E2783" w:rsidRDefault="003706D3" w:rsidP="003706D3">
                  <w:pPr>
                    <w:pStyle w:val="TableTextCentred"/>
                    <w:keepNext/>
                    <w:keepLines/>
                    <w:jc w:val="left"/>
                    <w:rPr>
                      <w:rFonts w:cs="Arial"/>
                      <w:sz w:val="20"/>
                    </w:rPr>
                  </w:pPr>
                  <w:r w:rsidRPr="001E2783">
                    <w:rPr>
                      <w:rFonts w:cs="Arial"/>
                      <w:sz w:val="20"/>
                    </w:rPr>
                    <w:t>RC 1(d)</w:t>
                  </w:r>
                </w:p>
                <w:p w14:paraId="71E6F6FA" w14:textId="77777777" w:rsidR="003706D3" w:rsidRPr="001E2783" w:rsidRDefault="003706D3" w:rsidP="003706D3">
                  <w:pPr>
                    <w:pStyle w:val="TableTextCentred"/>
                    <w:keepNext/>
                    <w:keepLines/>
                    <w:jc w:val="left"/>
                    <w:rPr>
                      <w:rFonts w:cs="Arial"/>
                      <w:sz w:val="20"/>
                    </w:rPr>
                  </w:pPr>
                  <w:r w:rsidRPr="001E2783">
                    <w:rPr>
                      <w:rFonts w:cs="Arial"/>
                      <w:sz w:val="20"/>
                    </w:rPr>
                    <w:t>(Computer games that are unsuitable for a minor to see or play)</w:t>
                  </w:r>
                </w:p>
              </w:tc>
              <w:tc>
                <w:tcPr>
                  <w:tcW w:w="2481" w:type="dxa"/>
                  <w:shd w:val="clear" w:color="auto" w:fill="auto"/>
                  <w:vAlign w:val="bottom"/>
                </w:tcPr>
                <w:p w14:paraId="449DD420" w14:textId="77777777" w:rsidR="003706D3" w:rsidRPr="001E2783" w:rsidDel="003550C0" w:rsidRDefault="003706D3" w:rsidP="003706D3">
                  <w:pPr>
                    <w:pStyle w:val="TableTextCentred"/>
                    <w:jc w:val="right"/>
                    <w:rPr>
                      <w:rFonts w:cs="Arial"/>
                      <w:sz w:val="20"/>
                    </w:rPr>
                  </w:pPr>
                  <w:r w:rsidRPr="001E2783">
                    <w:rPr>
                      <w:rFonts w:cs="Arial"/>
                      <w:sz w:val="20"/>
                    </w:rPr>
                    <w:t>0</w:t>
                  </w:r>
                </w:p>
              </w:tc>
              <w:tc>
                <w:tcPr>
                  <w:tcW w:w="2481" w:type="dxa"/>
                  <w:shd w:val="clear" w:color="auto" w:fill="auto"/>
                  <w:vAlign w:val="bottom"/>
                </w:tcPr>
                <w:p w14:paraId="75DF9A7A" w14:textId="77777777" w:rsidR="003706D3" w:rsidRPr="001E2783" w:rsidDel="003550C0" w:rsidRDefault="003706D3" w:rsidP="003706D3">
                  <w:pPr>
                    <w:pStyle w:val="TableTextCentred"/>
                    <w:jc w:val="right"/>
                    <w:rPr>
                      <w:rFonts w:cs="Arial"/>
                      <w:sz w:val="20"/>
                    </w:rPr>
                  </w:pPr>
                  <w:r w:rsidRPr="001E2783">
                    <w:rPr>
                      <w:rFonts w:cs="Arial"/>
                      <w:sz w:val="20"/>
                    </w:rPr>
                    <w:t>0</w:t>
                  </w:r>
                </w:p>
              </w:tc>
              <w:tc>
                <w:tcPr>
                  <w:tcW w:w="1275" w:type="dxa"/>
                  <w:shd w:val="clear" w:color="auto" w:fill="auto"/>
                  <w:vAlign w:val="bottom"/>
                </w:tcPr>
                <w:p w14:paraId="1E3625C5" w14:textId="77777777" w:rsidR="003706D3" w:rsidRPr="001E2783" w:rsidDel="003550C0" w:rsidRDefault="003706D3" w:rsidP="003706D3">
                  <w:pPr>
                    <w:pStyle w:val="TableTextCentred"/>
                    <w:jc w:val="right"/>
                    <w:rPr>
                      <w:rFonts w:cs="Arial"/>
                      <w:sz w:val="20"/>
                    </w:rPr>
                  </w:pPr>
                  <w:r w:rsidRPr="001E2783">
                    <w:rPr>
                      <w:rFonts w:cs="Arial"/>
                      <w:sz w:val="20"/>
                    </w:rPr>
                    <w:t>0</w:t>
                  </w:r>
                </w:p>
              </w:tc>
            </w:tr>
            <w:tr w:rsidR="001E2783" w:rsidRPr="001E2783" w14:paraId="07A5B903" w14:textId="77777777" w:rsidTr="00537938">
              <w:trPr>
                <w:trHeight w:val="247"/>
              </w:trPr>
              <w:tc>
                <w:tcPr>
                  <w:tcW w:w="3088" w:type="dxa"/>
                  <w:shd w:val="clear" w:color="auto" w:fill="auto"/>
                </w:tcPr>
                <w:p w14:paraId="0D6C9A1E" w14:textId="77777777" w:rsidR="003706D3" w:rsidRPr="001E2783" w:rsidRDefault="003706D3" w:rsidP="003706D3">
                  <w:pPr>
                    <w:pStyle w:val="TableTextCentred"/>
                    <w:keepNext/>
                    <w:keepLines/>
                    <w:jc w:val="left"/>
                    <w:rPr>
                      <w:rFonts w:cs="Arial"/>
                      <w:sz w:val="20"/>
                    </w:rPr>
                  </w:pPr>
                  <w:r w:rsidRPr="001E2783">
                    <w:rPr>
                      <w:rFonts w:cs="Arial"/>
                      <w:sz w:val="20"/>
                    </w:rPr>
                    <w:t>RC 9A</w:t>
                  </w:r>
                </w:p>
                <w:p w14:paraId="1A611BD6" w14:textId="77777777" w:rsidR="003706D3" w:rsidRPr="001E2783" w:rsidRDefault="003706D3" w:rsidP="003706D3">
                  <w:pPr>
                    <w:pStyle w:val="TableTextCentred"/>
                    <w:keepNext/>
                    <w:keepLines/>
                    <w:jc w:val="left"/>
                    <w:rPr>
                      <w:rFonts w:cs="Arial"/>
                      <w:sz w:val="20"/>
                    </w:rPr>
                  </w:pPr>
                  <w:r w:rsidRPr="001E2783">
                    <w:rPr>
                      <w:rFonts w:cs="Arial"/>
                      <w:sz w:val="20"/>
                    </w:rPr>
                    <w:t>(Refused Classification content for advocating terrorist acts)</w:t>
                  </w:r>
                </w:p>
              </w:tc>
              <w:tc>
                <w:tcPr>
                  <w:tcW w:w="2481" w:type="dxa"/>
                  <w:shd w:val="clear" w:color="auto" w:fill="auto"/>
                  <w:vAlign w:val="bottom"/>
                </w:tcPr>
                <w:p w14:paraId="1A75974B" w14:textId="77777777" w:rsidR="003706D3" w:rsidRPr="001E2783" w:rsidRDefault="003706D3" w:rsidP="003706D3">
                  <w:pPr>
                    <w:pStyle w:val="TableTextCentred"/>
                    <w:jc w:val="right"/>
                    <w:rPr>
                      <w:rFonts w:cs="Arial"/>
                      <w:sz w:val="20"/>
                    </w:rPr>
                  </w:pPr>
                  <w:r w:rsidRPr="001E2783">
                    <w:rPr>
                      <w:rFonts w:cs="Arial"/>
                      <w:sz w:val="20"/>
                    </w:rPr>
                    <w:t>0</w:t>
                  </w:r>
                </w:p>
              </w:tc>
              <w:tc>
                <w:tcPr>
                  <w:tcW w:w="2481" w:type="dxa"/>
                  <w:shd w:val="clear" w:color="auto" w:fill="auto"/>
                  <w:vAlign w:val="bottom"/>
                </w:tcPr>
                <w:p w14:paraId="2C39D4B7" w14:textId="77777777" w:rsidR="003706D3" w:rsidRPr="001E2783" w:rsidRDefault="003706D3" w:rsidP="003706D3">
                  <w:pPr>
                    <w:pStyle w:val="TableTextCentred"/>
                    <w:jc w:val="right"/>
                    <w:rPr>
                      <w:rFonts w:cs="Arial"/>
                      <w:sz w:val="20"/>
                    </w:rPr>
                  </w:pPr>
                  <w:r w:rsidRPr="001E2783">
                    <w:rPr>
                      <w:rFonts w:cs="Arial"/>
                      <w:sz w:val="20"/>
                    </w:rPr>
                    <w:t>0</w:t>
                  </w:r>
                </w:p>
              </w:tc>
              <w:tc>
                <w:tcPr>
                  <w:tcW w:w="1275" w:type="dxa"/>
                  <w:shd w:val="clear" w:color="auto" w:fill="auto"/>
                  <w:vAlign w:val="bottom"/>
                </w:tcPr>
                <w:p w14:paraId="41A23A5C" w14:textId="77777777" w:rsidR="003706D3" w:rsidRPr="001E2783" w:rsidRDefault="003706D3" w:rsidP="003706D3">
                  <w:pPr>
                    <w:pStyle w:val="TableTextCentred"/>
                    <w:jc w:val="right"/>
                    <w:rPr>
                      <w:rFonts w:cs="Arial"/>
                      <w:sz w:val="20"/>
                    </w:rPr>
                  </w:pPr>
                  <w:r w:rsidRPr="001E2783">
                    <w:rPr>
                      <w:rFonts w:cs="Arial"/>
                      <w:sz w:val="20"/>
                    </w:rPr>
                    <w:t>0</w:t>
                  </w:r>
                </w:p>
              </w:tc>
            </w:tr>
            <w:tr w:rsidR="001E2783" w:rsidRPr="001E2783" w14:paraId="2B7103B7" w14:textId="77777777" w:rsidTr="00537938">
              <w:trPr>
                <w:trHeight w:val="247"/>
              </w:trPr>
              <w:tc>
                <w:tcPr>
                  <w:tcW w:w="3088" w:type="dxa"/>
                  <w:shd w:val="clear" w:color="auto" w:fill="auto"/>
                </w:tcPr>
                <w:p w14:paraId="7BB7568B" w14:textId="77777777" w:rsidR="003706D3" w:rsidRPr="001E2783" w:rsidRDefault="003706D3" w:rsidP="003706D3">
                  <w:pPr>
                    <w:pStyle w:val="TableTextCentred"/>
                    <w:keepNext/>
                    <w:keepLines/>
                    <w:jc w:val="left"/>
                    <w:rPr>
                      <w:rFonts w:cs="Arial"/>
                      <w:sz w:val="20"/>
                    </w:rPr>
                  </w:pPr>
                  <w:r w:rsidRPr="001E2783">
                    <w:rPr>
                      <w:rFonts w:cs="Arial"/>
                      <w:sz w:val="20"/>
                    </w:rPr>
                    <w:t>Restricted Cat 1 – Publication</w:t>
                  </w:r>
                </w:p>
                <w:p w14:paraId="43800403" w14:textId="77777777" w:rsidR="003706D3" w:rsidRPr="001E2783" w:rsidRDefault="003706D3" w:rsidP="003706D3">
                  <w:pPr>
                    <w:pStyle w:val="TableTextCentred"/>
                    <w:keepNext/>
                    <w:keepLines/>
                    <w:jc w:val="left"/>
                    <w:rPr>
                      <w:rFonts w:cs="Arial"/>
                      <w:sz w:val="20"/>
                    </w:rPr>
                  </w:pPr>
                  <w:r w:rsidRPr="001E2783">
                    <w:rPr>
                      <w:rFonts w:cs="Arial"/>
                      <w:sz w:val="20"/>
                    </w:rPr>
                    <w:t>(Explicit nudity and high-end content)</w:t>
                  </w:r>
                </w:p>
              </w:tc>
              <w:tc>
                <w:tcPr>
                  <w:tcW w:w="2481" w:type="dxa"/>
                  <w:shd w:val="clear" w:color="auto" w:fill="auto"/>
                  <w:vAlign w:val="bottom"/>
                </w:tcPr>
                <w:p w14:paraId="2126C820" w14:textId="77777777" w:rsidR="003706D3" w:rsidRPr="001E2783" w:rsidRDefault="003706D3" w:rsidP="003706D3">
                  <w:pPr>
                    <w:pStyle w:val="TableTextCentred"/>
                    <w:jc w:val="right"/>
                    <w:rPr>
                      <w:rFonts w:cs="Arial"/>
                      <w:sz w:val="20"/>
                    </w:rPr>
                  </w:pPr>
                  <w:r w:rsidRPr="001E2783">
                    <w:rPr>
                      <w:rFonts w:cs="Arial"/>
                      <w:sz w:val="20"/>
                    </w:rPr>
                    <w:t>0</w:t>
                  </w:r>
                </w:p>
              </w:tc>
              <w:tc>
                <w:tcPr>
                  <w:tcW w:w="2481" w:type="dxa"/>
                  <w:shd w:val="clear" w:color="auto" w:fill="auto"/>
                  <w:vAlign w:val="bottom"/>
                </w:tcPr>
                <w:p w14:paraId="67D82FB7" w14:textId="77777777" w:rsidR="003706D3" w:rsidRPr="001E2783" w:rsidRDefault="003706D3" w:rsidP="003706D3">
                  <w:pPr>
                    <w:pStyle w:val="TableTextCentred"/>
                    <w:jc w:val="right"/>
                    <w:rPr>
                      <w:rFonts w:cs="Arial"/>
                      <w:sz w:val="20"/>
                    </w:rPr>
                  </w:pPr>
                  <w:r w:rsidRPr="001E2783">
                    <w:rPr>
                      <w:rFonts w:cs="Arial"/>
                      <w:sz w:val="20"/>
                    </w:rPr>
                    <w:t>0</w:t>
                  </w:r>
                </w:p>
              </w:tc>
              <w:tc>
                <w:tcPr>
                  <w:tcW w:w="1275" w:type="dxa"/>
                  <w:shd w:val="clear" w:color="auto" w:fill="auto"/>
                  <w:vAlign w:val="bottom"/>
                </w:tcPr>
                <w:p w14:paraId="6BAB733E" w14:textId="77777777" w:rsidR="003706D3" w:rsidRPr="001E2783" w:rsidRDefault="003706D3" w:rsidP="003706D3">
                  <w:pPr>
                    <w:pStyle w:val="TableTextCentred"/>
                    <w:jc w:val="right"/>
                    <w:rPr>
                      <w:rFonts w:cs="Arial"/>
                      <w:sz w:val="20"/>
                    </w:rPr>
                  </w:pPr>
                  <w:r w:rsidRPr="001E2783">
                    <w:rPr>
                      <w:rFonts w:cs="Arial"/>
                      <w:sz w:val="20"/>
                    </w:rPr>
                    <w:t>0</w:t>
                  </w:r>
                </w:p>
              </w:tc>
            </w:tr>
            <w:tr w:rsidR="001E2783" w:rsidRPr="001E2783" w14:paraId="4DBE8687" w14:textId="77777777" w:rsidTr="00537938">
              <w:trPr>
                <w:trHeight w:val="247"/>
              </w:trPr>
              <w:tc>
                <w:tcPr>
                  <w:tcW w:w="3088" w:type="dxa"/>
                  <w:shd w:val="clear" w:color="auto" w:fill="auto"/>
                </w:tcPr>
                <w:p w14:paraId="29A8566E" w14:textId="77777777" w:rsidR="003706D3" w:rsidRPr="001E2783" w:rsidRDefault="003706D3" w:rsidP="003706D3">
                  <w:pPr>
                    <w:pStyle w:val="TableTextCentred"/>
                    <w:keepNext/>
                    <w:keepLines/>
                    <w:jc w:val="left"/>
                    <w:rPr>
                      <w:rFonts w:cs="Arial"/>
                      <w:sz w:val="20"/>
                    </w:rPr>
                  </w:pPr>
                  <w:r w:rsidRPr="001E2783">
                    <w:rPr>
                      <w:rFonts w:cs="Arial"/>
                      <w:sz w:val="20"/>
                    </w:rPr>
                    <w:t>Restricted Cat 2 – Publication</w:t>
                  </w:r>
                </w:p>
                <w:p w14:paraId="3A08705C" w14:textId="77777777" w:rsidR="003706D3" w:rsidRPr="001E2783" w:rsidRDefault="003706D3" w:rsidP="003706D3">
                  <w:pPr>
                    <w:pStyle w:val="TableTextCentred"/>
                    <w:keepNext/>
                    <w:keepLines/>
                    <w:jc w:val="left"/>
                    <w:rPr>
                      <w:rFonts w:cs="Arial"/>
                      <w:sz w:val="20"/>
                    </w:rPr>
                  </w:pPr>
                  <w:r w:rsidRPr="001E2783">
                    <w:rPr>
                      <w:rFonts w:cs="Arial"/>
                      <w:sz w:val="20"/>
                    </w:rPr>
                    <w:t>(Explicit sex, fetishes and high-end content)</w:t>
                  </w:r>
                </w:p>
              </w:tc>
              <w:tc>
                <w:tcPr>
                  <w:tcW w:w="2481" w:type="dxa"/>
                  <w:shd w:val="clear" w:color="auto" w:fill="auto"/>
                  <w:vAlign w:val="bottom"/>
                </w:tcPr>
                <w:p w14:paraId="70CB4E50" w14:textId="77777777" w:rsidR="003706D3" w:rsidRPr="001E2783" w:rsidRDefault="003706D3" w:rsidP="003706D3">
                  <w:pPr>
                    <w:pStyle w:val="TableTextCentred"/>
                    <w:jc w:val="right"/>
                    <w:rPr>
                      <w:rFonts w:cs="Arial"/>
                      <w:sz w:val="20"/>
                    </w:rPr>
                  </w:pPr>
                  <w:r w:rsidRPr="001E2783">
                    <w:rPr>
                      <w:rFonts w:cs="Arial"/>
                      <w:sz w:val="20"/>
                    </w:rPr>
                    <w:t>0</w:t>
                  </w:r>
                </w:p>
              </w:tc>
              <w:tc>
                <w:tcPr>
                  <w:tcW w:w="2481" w:type="dxa"/>
                  <w:shd w:val="clear" w:color="auto" w:fill="auto"/>
                  <w:vAlign w:val="bottom"/>
                </w:tcPr>
                <w:p w14:paraId="42884B8C" w14:textId="77777777" w:rsidR="003706D3" w:rsidRPr="001E2783" w:rsidRDefault="003706D3" w:rsidP="003706D3">
                  <w:pPr>
                    <w:pStyle w:val="TableTextCentred"/>
                    <w:jc w:val="right"/>
                    <w:rPr>
                      <w:rFonts w:cs="Arial"/>
                      <w:sz w:val="20"/>
                    </w:rPr>
                  </w:pPr>
                  <w:r w:rsidRPr="001E2783">
                    <w:rPr>
                      <w:rFonts w:cs="Arial"/>
                      <w:sz w:val="20"/>
                    </w:rPr>
                    <w:t>0</w:t>
                  </w:r>
                </w:p>
              </w:tc>
              <w:tc>
                <w:tcPr>
                  <w:tcW w:w="1275" w:type="dxa"/>
                  <w:shd w:val="clear" w:color="auto" w:fill="auto"/>
                  <w:vAlign w:val="bottom"/>
                </w:tcPr>
                <w:p w14:paraId="01C716B3" w14:textId="77777777" w:rsidR="003706D3" w:rsidRPr="001E2783" w:rsidRDefault="003706D3" w:rsidP="003706D3">
                  <w:pPr>
                    <w:pStyle w:val="TableTextCentred"/>
                    <w:jc w:val="right"/>
                    <w:rPr>
                      <w:rFonts w:cs="Arial"/>
                      <w:sz w:val="20"/>
                    </w:rPr>
                  </w:pPr>
                  <w:r w:rsidRPr="001E2783">
                    <w:rPr>
                      <w:rFonts w:cs="Arial"/>
                      <w:sz w:val="20"/>
                    </w:rPr>
                    <w:t>0</w:t>
                  </w:r>
                </w:p>
              </w:tc>
            </w:tr>
            <w:tr w:rsidR="001E2783" w:rsidRPr="001E2783" w14:paraId="28069928" w14:textId="77777777" w:rsidTr="00537938">
              <w:trPr>
                <w:trHeight w:val="262"/>
              </w:trPr>
              <w:tc>
                <w:tcPr>
                  <w:tcW w:w="3088" w:type="dxa"/>
                  <w:shd w:val="clear" w:color="auto" w:fill="auto"/>
                </w:tcPr>
                <w:p w14:paraId="213BB70C" w14:textId="77777777" w:rsidR="003706D3" w:rsidRPr="001E2783" w:rsidRDefault="003706D3" w:rsidP="003706D3">
                  <w:pPr>
                    <w:pStyle w:val="TableTextCentred"/>
                    <w:keepNext/>
                    <w:keepLines/>
                    <w:jc w:val="left"/>
                    <w:rPr>
                      <w:rFonts w:cs="Arial"/>
                      <w:b/>
                      <w:sz w:val="20"/>
                    </w:rPr>
                  </w:pPr>
                  <w:r w:rsidRPr="001E2783">
                    <w:rPr>
                      <w:rFonts w:cs="Arial"/>
                      <w:b/>
                      <w:sz w:val="20"/>
                    </w:rPr>
                    <w:t>Total</w:t>
                  </w:r>
                </w:p>
              </w:tc>
              <w:tc>
                <w:tcPr>
                  <w:tcW w:w="2481" w:type="dxa"/>
                  <w:shd w:val="clear" w:color="auto" w:fill="auto"/>
                  <w:vAlign w:val="bottom"/>
                </w:tcPr>
                <w:p w14:paraId="0AEA1537" w14:textId="77777777" w:rsidR="003706D3" w:rsidRPr="001E2783" w:rsidRDefault="003706D3" w:rsidP="003706D3">
                  <w:pPr>
                    <w:pStyle w:val="TableTextCentred"/>
                    <w:jc w:val="right"/>
                    <w:rPr>
                      <w:rFonts w:cs="Arial"/>
                      <w:b/>
                      <w:bCs/>
                      <w:sz w:val="20"/>
                    </w:rPr>
                  </w:pPr>
                  <w:r w:rsidRPr="001E2783">
                    <w:rPr>
                      <w:rFonts w:cs="Arial"/>
                      <w:b/>
                      <w:bCs/>
                      <w:sz w:val="20"/>
                    </w:rPr>
                    <w:t>1</w:t>
                  </w:r>
                </w:p>
              </w:tc>
              <w:tc>
                <w:tcPr>
                  <w:tcW w:w="2481" w:type="dxa"/>
                  <w:shd w:val="clear" w:color="auto" w:fill="auto"/>
                  <w:vAlign w:val="bottom"/>
                </w:tcPr>
                <w:p w14:paraId="513C87E4" w14:textId="77777777" w:rsidR="003706D3" w:rsidRPr="001E2783" w:rsidRDefault="003706D3" w:rsidP="003706D3">
                  <w:pPr>
                    <w:pStyle w:val="TableTextCentred"/>
                    <w:jc w:val="right"/>
                    <w:rPr>
                      <w:rFonts w:cs="Arial"/>
                      <w:b/>
                      <w:bCs/>
                      <w:sz w:val="20"/>
                    </w:rPr>
                  </w:pPr>
                  <w:r w:rsidRPr="001E2783">
                    <w:rPr>
                      <w:rFonts w:cs="Arial"/>
                      <w:b/>
                      <w:bCs/>
                      <w:sz w:val="20"/>
                    </w:rPr>
                    <w:t>8,980</w:t>
                  </w:r>
                </w:p>
              </w:tc>
              <w:tc>
                <w:tcPr>
                  <w:tcW w:w="1275" w:type="dxa"/>
                  <w:shd w:val="clear" w:color="auto" w:fill="auto"/>
                  <w:vAlign w:val="bottom"/>
                </w:tcPr>
                <w:p w14:paraId="1A36166A" w14:textId="77777777" w:rsidR="003706D3" w:rsidRPr="001E2783" w:rsidRDefault="003706D3" w:rsidP="003706D3">
                  <w:pPr>
                    <w:pStyle w:val="TableTextCentred"/>
                    <w:jc w:val="right"/>
                    <w:rPr>
                      <w:rFonts w:cs="Arial"/>
                      <w:b/>
                      <w:bCs/>
                      <w:sz w:val="20"/>
                    </w:rPr>
                  </w:pPr>
                  <w:r w:rsidRPr="001E2783">
                    <w:rPr>
                      <w:rFonts w:cs="Arial"/>
                      <w:b/>
                      <w:bCs/>
                      <w:sz w:val="20"/>
                    </w:rPr>
                    <w:t>8,981</w:t>
                  </w:r>
                </w:p>
              </w:tc>
            </w:tr>
          </w:tbl>
          <w:p w14:paraId="202E534C" w14:textId="77777777" w:rsidR="00537938" w:rsidRPr="001E2783" w:rsidRDefault="00537938" w:rsidP="00537938">
            <w:pPr>
              <w:keepNext/>
              <w:keepLines/>
              <w:rPr>
                <w:rFonts w:cs="Arial"/>
              </w:rPr>
            </w:pPr>
          </w:p>
        </w:tc>
      </w:tr>
      <w:tr w:rsidR="00537938" w:rsidRPr="001E2783" w14:paraId="5A178FE4" w14:textId="77777777" w:rsidTr="00537938">
        <w:trPr>
          <w:trHeight w:val="80"/>
        </w:trPr>
        <w:tc>
          <w:tcPr>
            <w:tcW w:w="9645" w:type="dxa"/>
            <w:tcBorders>
              <w:bottom w:val="single" w:sz="2" w:space="0" w:color="505050"/>
            </w:tcBorders>
            <w:shd w:val="clear" w:color="auto" w:fill="auto"/>
          </w:tcPr>
          <w:p w14:paraId="6E309D83" w14:textId="77777777" w:rsidR="00537938" w:rsidRPr="001E2783" w:rsidRDefault="00537938" w:rsidP="00537938">
            <w:pPr>
              <w:rPr>
                <w:rFonts w:cs="Arial"/>
              </w:rPr>
            </w:pPr>
          </w:p>
        </w:tc>
      </w:tr>
    </w:tbl>
    <w:p w14:paraId="54F80DD8" w14:textId="77777777" w:rsidR="00537938" w:rsidRPr="001E2783" w:rsidRDefault="00537938" w:rsidP="00537938">
      <w:pPr>
        <w:rPr>
          <w:rFonts w:cs="Arial"/>
        </w:rPr>
      </w:pPr>
    </w:p>
    <w:p w14:paraId="4B380683" w14:textId="77777777" w:rsidR="00537938" w:rsidRPr="001E2783" w:rsidRDefault="00537938" w:rsidP="00537938">
      <w:pPr>
        <w:rPr>
          <w:rFonts w:cs="Arial"/>
        </w:rPr>
      </w:pPr>
      <w:r w:rsidRPr="001E2783">
        <w:rPr>
          <w:rFonts w:cs="Arial"/>
        </w:rPr>
        <w:t>As shown in Fig</w:t>
      </w:r>
      <w:r w:rsidR="00E37749" w:rsidRPr="001E2783">
        <w:rPr>
          <w:rFonts w:cs="Arial"/>
        </w:rPr>
        <w:t>ure </w:t>
      </w:r>
      <w:r w:rsidR="00AE6E96" w:rsidRPr="001E2783">
        <w:rPr>
          <w:rFonts w:cs="Arial"/>
        </w:rPr>
        <w:t>4</w:t>
      </w:r>
      <w:r w:rsidRPr="001E2783">
        <w:rPr>
          <w:rFonts w:cs="Arial"/>
        </w:rPr>
        <w:t>, the US continued to account for the majority of prohibited/potential prohibited online content provided from outside Australia.</w:t>
      </w:r>
    </w:p>
    <w:p w14:paraId="3F5EB0C6" w14:textId="77777777" w:rsidR="00537938" w:rsidRPr="001E2783" w:rsidRDefault="00537938" w:rsidP="00537938">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40445387" w14:textId="77777777" w:rsidTr="00537938">
        <w:trPr>
          <w:trHeight w:val="570"/>
        </w:trPr>
        <w:tc>
          <w:tcPr>
            <w:tcW w:w="9645" w:type="dxa"/>
            <w:tcBorders>
              <w:top w:val="single" w:sz="2" w:space="0" w:color="505050"/>
            </w:tcBorders>
            <w:shd w:val="clear" w:color="auto" w:fill="auto"/>
            <w:vAlign w:val="center"/>
          </w:tcPr>
          <w:p w14:paraId="2EB065F6" w14:textId="77777777" w:rsidR="00537938" w:rsidRPr="001E2783" w:rsidRDefault="00537938" w:rsidP="00E0520D">
            <w:pPr>
              <w:pStyle w:val="Caption"/>
              <w:keepNext/>
              <w:keepLines/>
              <w:rPr>
                <w:rFonts w:ascii="Arial" w:hAnsi="Arial" w:cs="Arial"/>
                <w:color w:val="auto"/>
              </w:rPr>
            </w:pPr>
            <w:r w:rsidRPr="00D3485F">
              <w:rPr>
                <w:rFonts w:ascii="Arial" w:hAnsi="Arial" w:cs="Arial"/>
              </w:rPr>
              <w:t xml:space="preserve">Figure </w:t>
            </w:r>
            <w:r w:rsidR="00AE6E96" w:rsidRPr="00D3485F">
              <w:rPr>
                <w:rFonts w:ascii="Arial" w:hAnsi="Arial" w:cs="Arial"/>
              </w:rPr>
              <w:t>4</w:t>
            </w:r>
            <w:r w:rsidRPr="00D3485F">
              <w:rPr>
                <w:rFonts w:ascii="Arial" w:hAnsi="Arial" w:cs="Arial"/>
              </w:rPr>
              <w:t>: Prohibited or potential prohibited internet content by host location, 2013–14</w:t>
            </w:r>
          </w:p>
        </w:tc>
      </w:tr>
      <w:tr w:rsidR="001E2783" w:rsidRPr="001E2783" w14:paraId="311A55AA" w14:textId="77777777" w:rsidTr="00441258">
        <w:tblPrEx>
          <w:tblCellMar>
            <w:left w:w="108" w:type="dxa"/>
            <w:right w:w="108" w:type="dxa"/>
          </w:tblCellMar>
        </w:tblPrEx>
        <w:trPr>
          <w:trHeight w:val="3086"/>
        </w:trPr>
        <w:tc>
          <w:tcPr>
            <w:tcW w:w="9645" w:type="dxa"/>
            <w:shd w:val="clear" w:color="auto" w:fill="auto"/>
          </w:tcPr>
          <w:p w14:paraId="18452E9F" w14:textId="636C4797" w:rsidR="00537938" w:rsidRPr="001E2783" w:rsidRDefault="007B13EF" w:rsidP="00537938">
            <w:pPr>
              <w:rPr>
                <w:rFonts w:cs="Arial"/>
              </w:rPr>
            </w:pPr>
            <w:r>
              <w:rPr>
                <w:noProof/>
              </w:rPr>
              <w:drawing>
                <wp:inline distT="0" distB="0" distL="0" distR="0" wp14:anchorId="4C03544E" wp14:editId="1C411EAB">
                  <wp:extent cx="3654828" cy="2760558"/>
                  <wp:effectExtent l="0" t="0" r="3175" b="1905"/>
                  <wp:docPr id="11" name="Picture 11" descr="Country of origin&#10;United States: 73.2%&#10;Netherlands: 8.3%&#10;Japan: 5.8%&#10;Canada: 4.2%&#10;Russia: 4.0%&#10;Luxembourg: 1.1%&#10;Other: 3.4%&#10;Australia: 0.01%&#10;" title="Figure 4: Prohibited or potential prohibited internet content by host location, 201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8"/>
                          <a:srcRect l="1643" t="6043"/>
                          <a:stretch/>
                        </pic:blipFill>
                        <pic:spPr bwMode="auto">
                          <a:xfrm>
                            <a:off x="0" y="0"/>
                            <a:ext cx="3690279" cy="2787335"/>
                          </a:xfrm>
                          <a:prstGeom prst="rect">
                            <a:avLst/>
                          </a:prstGeom>
                          <a:ln>
                            <a:noFill/>
                          </a:ln>
                          <a:extLst>
                            <a:ext uri="{53640926-AAD7-44D8-BBD7-CCE9431645EC}">
                              <a14:shadowObscured xmlns:a14="http://schemas.microsoft.com/office/drawing/2010/main"/>
                            </a:ext>
                          </a:extLst>
                        </pic:spPr>
                      </pic:pic>
                    </a:graphicData>
                  </a:graphic>
                </wp:inline>
              </w:drawing>
            </w:r>
          </w:p>
        </w:tc>
      </w:tr>
      <w:tr w:rsidR="00537938" w:rsidRPr="001E2783" w14:paraId="11D28321" w14:textId="77777777" w:rsidTr="00537938">
        <w:trPr>
          <w:trHeight w:val="291"/>
        </w:trPr>
        <w:tc>
          <w:tcPr>
            <w:tcW w:w="9645" w:type="dxa"/>
            <w:tcBorders>
              <w:bottom w:val="single" w:sz="2" w:space="0" w:color="505050"/>
            </w:tcBorders>
            <w:shd w:val="clear" w:color="auto" w:fill="auto"/>
          </w:tcPr>
          <w:p w14:paraId="5A5534AC" w14:textId="77777777" w:rsidR="00537938" w:rsidRPr="001E2783" w:rsidRDefault="00537938" w:rsidP="00537938">
            <w:pPr>
              <w:rPr>
                <w:rFonts w:cs="Arial"/>
              </w:rPr>
            </w:pPr>
          </w:p>
        </w:tc>
      </w:tr>
    </w:tbl>
    <w:p w14:paraId="53FD37E4" w14:textId="77777777" w:rsidR="00537938" w:rsidRPr="001E2783" w:rsidRDefault="00537938" w:rsidP="00537938">
      <w:pPr>
        <w:rPr>
          <w:rFonts w:cs="Arial"/>
        </w:rPr>
      </w:pPr>
      <w:bookmarkStart w:id="191" w:name="_Toc337727596"/>
    </w:p>
    <w:bookmarkEnd w:id="191"/>
    <w:p w14:paraId="34561ACB" w14:textId="77777777" w:rsidR="00537938" w:rsidRPr="001E2783" w:rsidRDefault="00537938" w:rsidP="00537938">
      <w:pPr>
        <w:pStyle w:val="BodysubheaderH4"/>
        <w:rPr>
          <w:rFonts w:cs="Arial"/>
        </w:rPr>
      </w:pPr>
      <w:r w:rsidRPr="001E2783">
        <w:rPr>
          <w:rFonts w:cs="Arial"/>
        </w:rPr>
        <w:t>Memorandums of understanding with Australian police forces</w:t>
      </w:r>
    </w:p>
    <w:p w14:paraId="664EA5FA" w14:textId="77777777" w:rsidR="00537938" w:rsidRPr="001E2783" w:rsidRDefault="003806BF" w:rsidP="00537938">
      <w:pPr>
        <w:rPr>
          <w:rFonts w:cs="Arial"/>
        </w:rPr>
      </w:pPr>
      <w:r w:rsidRPr="001E2783">
        <w:rPr>
          <w:rFonts w:cs="Arial"/>
        </w:rPr>
        <w:t>In 2013–</w:t>
      </w:r>
      <w:r w:rsidR="00537938" w:rsidRPr="001E2783">
        <w:rPr>
          <w:rFonts w:cs="Arial"/>
        </w:rPr>
        <w:t xml:space="preserve">14, the ACMA concluded a number of revised </w:t>
      </w:r>
      <w:r w:rsidR="00E0520D" w:rsidRPr="001E2783">
        <w:rPr>
          <w:rFonts w:cs="Arial"/>
        </w:rPr>
        <w:t>Mo</w:t>
      </w:r>
      <w:r w:rsidR="00537938" w:rsidRPr="001E2783">
        <w:rPr>
          <w:rFonts w:cs="Arial"/>
        </w:rPr>
        <w:t>Us with Australian police forces</w:t>
      </w:r>
      <w:r w:rsidRPr="001E2783">
        <w:rPr>
          <w:rFonts w:cs="Arial"/>
        </w:rPr>
        <w:t xml:space="preserve"> in</w:t>
      </w:r>
      <w:r w:rsidR="003706D3" w:rsidRPr="001E2783">
        <w:rPr>
          <w:rFonts w:cs="Arial"/>
        </w:rPr>
        <w:t xml:space="preserve"> New South Wales, Tasmania, South Australia </w:t>
      </w:r>
      <w:r w:rsidR="00E0520D" w:rsidRPr="001E2783">
        <w:rPr>
          <w:rFonts w:cs="Arial"/>
        </w:rPr>
        <w:t>and Western Australia. A new Mo</w:t>
      </w:r>
      <w:r w:rsidR="00537938" w:rsidRPr="001E2783">
        <w:rPr>
          <w:rFonts w:cs="Arial"/>
        </w:rPr>
        <w:t xml:space="preserve">U between the ACMA and Northern Territory Police is </w:t>
      </w:r>
      <w:r w:rsidR="0078290C" w:rsidRPr="001E2783">
        <w:rPr>
          <w:rFonts w:cs="Arial"/>
        </w:rPr>
        <w:t xml:space="preserve">also </w:t>
      </w:r>
      <w:r w:rsidR="00537938" w:rsidRPr="001E2783">
        <w:rPr>
          <w:rFonts w:cs="Arial"/>
        </w:rPr>
        <w:t xml:space="preserve">the first time such an arrangement has been concluded between the two agencies. </w:t>
      </w:r>
    </w:p>
    <w:p w14:paraId="7242458E" w14:textId="77777777" w:rsidR="00537938" w:rsidRPr="001E2783" w:rsidRDefault="00537938" w:rsidP="00537938">
      <w:pPr>
        <w:rPr>
          <w:rFonts w:cs="Arial"/>
        </w:rPr>
      </w:pPr>
    </w:p>
    <w:p w14:paraId="73733B57" w14:textId="77777777" w:rsidR="00537938" w:rsidRPr="001E2783" w:rsidRDefault="00E0520D" w:rsidP="00537938">
      <w:pPr>
        <w:rPr>
          <w:rFonts w:cs="Arial"/>
        </w:rPr>
      </w:pPr>
      <w:r w:rsidRPr="001E2783">
        <w:rPr>
          <w:rFonts w:cs="Arial"/>
        </w:rPr>
        <w:t>T</w:t>
      </w:r>
      <w:r w:rsidR="00537938" w:rsidRPr="001E2783">
        <w:rPr>
          <w:rFonts w:cs="Arial"/>
        </w:rPr>
        <w:t xml:space="preserve">he agreements allow the ACMA to notify sufficiently serious content to </w:t>
      </w:r>
      <w:r w:rsidR="0078290C" w:rsidRPr="001E2783">
        <w:rPr>
          <w:rFonts w:cs="Arial"/>
        </w:rPr>
        <w:t>s</w:t>
      </w:r>
      <w:r w:rsidR="00537938" w:rsidRPr="001E2783">
        <w:rPr>
          <w:rFonts w:cs="Arial"/>
        </w:rPr>
        <w:t xml:space="preserve">tate and </w:t>
      </w:r>
      <w:r w:rsidR="0078290C" w:rsidRPr="001E2783">
        <w:rPr>
          <w:rFonts w:cs="Arial"/>
        </w:rPr>
        <w:t>t</w:t>
      </w:r>
      <w:r w:rsidR="00537938" w:rsidRPr="001E2783">
        <w:rPr>
          <w:rFonts w:cs="Arial"/>
        </w:rPr>
        <w:t xml:space="preserve">erritory police forces where there is evidence that the content is being provided or accessed from, or has been produced in, </w:t>
      </w:r>
      <w:r w:rsidR="003706D3" w:rsidRPr="001E2783">
        <w:rPr>
          <w:rFonts w:cs="Arial"/>
        </w:rPr>
        <w:t>the relevant</w:t>
      </w:r>
      <w:r w:rsidR="00537938" w:rsidRPr="001E2783">
        <w:rPr>
          <w:rFonts w:cs="Arial"/>
        </w:rPr>
        <w:t xml:space="preserve"> jurisdiction. </w:t>
      </w:r>
    </w:p>
    <w:p w14:paraId="26B86208" w14:textId="77777777" w:rsidR="00537938" w:rsidRPr="001E2783" w:rsidRDefault="00537938" w:rsidP="00537938">
      <w:pPr>
        <w:rPr>
          <w:rFonts w:cs="Arial"/>
        </w:rPr>
      </w:pPr>
    </w:p>
    <w:p w14:paraId="0A959644" w14:textId="77777777" w:rsidR="00537938" w:rsidRPr="001E2783" w:rsidRDefault="00537938" w:rsidP="00537938">
      <w:pPr>
        <w:rPr>
          <w:rFonts w:cs="Arial"/>
        </w:rPr>
      </w:pPr>
      <w:r w:rsidRPr="001E2783">
        <w:rPr>
          <w:rFonts w:cs="Arial"/>
        </w:rPr>
        <w:t xml:space="preserve">Sufficiently serious content includes child sexual abuse material, content providing instruction in crime </w:t>
      </w:r>
      <w:r w:rsidR="003706D3" w:rsidRPr="001E2783">
        <w:rPr>
          <w:rFonts w:cs="Arial"/>
        </w:rPr>
        <w:t>or violence</w:t>
      </w:r>
      <w:r w:rsidR="00E0520D" w:rsidRPr="001E2783">
        <w:rPr>
          <w:rFonts w:cs="Arial"/>
        </w:rPr>
        <w:t>,</w:t>
      </w:r>
      <w:r w:rsidR="003706D3" w:rsidRPr="001E2783">
        <w:rPr>
          <w:rFonts w:cs="Arial"/>
        </w:rPr>
        <w:t xml:space="preserve"> </w:t>
      </w:r>
      <w:r w:rsidRPr="001E2783">
        <w:rPr>
          <w:rFonts w:cs="Arial"/>
        </w:rPr>
        <w:t>and material advocating the doing of a terrorist act.</w:t>
      </w:r>
    </w:p>
    <w:p w14:paraId="27B25B83" w14:textId="77777777" w:rsidR="00537938" w:rsidRPr="001E2783" w:rsidRDefault="00537938" w:rsidP="00537938">
      <w:pPr>
        <w:rPr>
          <w:rFonts w:cs="Arial"/>
        </w:rPr>
      </w:pPr>
    </w:p>
    <w:p w14:paraId="006D7BE6" w14:textId="77777777" w:rsidR="00537938" w:rsidRPr="001E2783" w:rsidRDefault="00537938" w:rsidP="00537938">
      <w:pPr>
        <w:rPr>
          <w:rFonts w:cs="Arial"/>
        </w:rPr>
      </w:pPr>
      <w:r w:rsidRPr="001E2783">
        <w:rPr>
          <w:rFonts w:cs="Arial"/>
        </w:rPr>
        <w:t xml:space="preserve">In addition to the above revised arrangements, the ACMA also formed a new agreement with Crime Stoppers Australia </w:t>
      </w:r>
      <w:r w:rsidR="001818D5" w:rsidRPr="001E2783">
        <w:rPr>
          <w:rFonts w:cs="Arial"/>
        </w:rPr>
        <w:t xml:space="preserve">that </w:t>
      </w:r>
      <w:r w:rsidRPr="001E2783">
        <w:rPr>
          <w:rFonts w:cs="Arial"/>
        </w:rPr>
        <w:t xml:space="preserve">better </w:t>
      </w:r>
      <w:r w:rsidR="001818D5" w:rsidRPr="001E2783">
        <w:rPr>
          <w:rFonts w:cs="Arial"/>
        </w:rPr>
        <w:t>direct</w:t>
      </w:r>
      <w:r w:rsidR="003706D3" w:rsidRPr="001E2783">
        <w:rPr>
          <w:rFonts w:cs="Arial"/>
        </w:rPr>
        <w:t>s</w:t>
      </w:r>
      <w:r w:rsidR="001818D5" w:rsidRPr="001E2783">
        <w:rPr>
          <w:rFonts w:cs="Arial"/>
        </w:rPr>
        <w:t xml:space="preserve"> </w:t>
      </w:r>
      <w:r w:rsidRPr="001E2783">
        <w:rPr>
          <w:rFonts w:cs="Arial"/>
        </w:rPr>
        <w:t>Australian</w:t>
      </w:r>
      <w:r w:rsidR="001818D5" w:rsidRPr="001E2783">
        <w:rPr>
          <w:rFonts w:cs="Arial"/>
        </w:rPr>
        <w:t>s</w:t>
      </w:r>
      <w:r w:rsidRPr="001E2783">
        <w:rPr>
          <w:rFonts w:cs="Arial"/>
        </w:rPr>
        <w:t xml:space="preserve"> to </w:t>
      </w:r>
      <w:r w:rsidR="001818D5" w:rsidRPr="001E2783">
        <w:rPr>
          <w:rFonts w:cs="Arial"/>
        </w:rPr>
        <w:t xml:space="preserve">the </w:t>
      </w:r>
      <w:r w:rsidRPr="001E2783">
        <w:rPr>
          <w:rFonts w:cs="Arial"/>
        </w:rPr>
        <w:t xml:space="preserve">appropriate mechanisms for reporting illegal </w:t>
      </w:r>
      <w:r w:rsidR="003706D3" w:rsidRPr="001E2783">
        <w:rPr>
          <w:rFonts w:cs="Arial"/>
        </w:rPr>
        <w:t>material</w:t>
      </w:r>
      <w:r w:rsidRPr="001E2783">
        <w:rPr>
          <w:rFonts w:cs="Arial"/>
        </w:rPr>
        <w:t>.</w:t>
      </w:r>
    </w:p>
    <w:p w14:paraId="0336C8BA" w14:textId="77777777" w:rsidR="00537938" w:rsidRPr="001E2783" w:rsidRDefault="00537938" w:rsidP="00537938">
      <w:pPr>
        <w:rPr>
          <w:rFonts w:cs="Arial"/>
        </w:rPr>
      </w:pPr>
    </w:p>
    <w:p w14:paraId="67BF3474" w14:textId="77777777" w:rsidR="00706698" w:rsidRPr="001E2783" w:rsidRDefault="00706698" w:rsidP="00706698">
      <w:pPr>
        <w:pStyle w:val="BodysubheaderH4"/>
        <w:rPr>
          <w:rFonts w:cs="Arial"/>
        </w:rPr>
      </w:pPr>
      <w:r w:rsidRPr="001E2783">
        <w:rPr>
          <w:rFonts w:cs="Arial"/>
        </w:rPr>
        <w:t>National Child Protection Week 2013</w:t>
      </w:r>
    </w:p>
    <w:p w14:paraId="2D4C23EA" w14:textId="77777777" w:rsidR="00706698" w:rsidRPr="001E2783" w:rsidRDefault="00706698" w:rsidP="00FE5F72">
      <w:pPr>
        <w:rPr>
          <w:rFonts w:cs="Arial"/>
        </w:rPr>
      </w:pPr>
      <w:r w:rsidRPr="001E2783">
        <w:rPr>
          <w:rFonts w:cs="Arial"/>
        </w:rPr>
        <w:t xml:space="preserve">The ACMA Hotline participated in National Child Protection Week (1–7 September 2013) to raise awareness of how online child sexual abuse material is combated. This annual national campaign is an initiative of the National Association for Prevention of Child Abuse and Neglect (NAPCAN). </w:t>
      </w:r>
    </w:p>
    <w:p w14:paraId="5D0A8419" w14:textId="77777777" w:rsidR="00706698" w:rsidRPr="001E2783" w:rsidRDefault="00706698" w:rsidP="00FE5F72">
      <w:pPr>
        <w:rPr>
          <w:rFonts w:cs="Arial"/>
        </w:rPr>
      </w:pPr>
    </w:p>
    <w:p w14:paraId="777AA6D8" w14:textId="77777777" w:rsidR="00706698" w:rsidRPr="001E2783" w:rsidRDefault="00706698" w:rsidP="00FE5F72">
      <w:pPr>
        <w:rPr>
          <w:rFonts w:cs="Arial"/>
        </w:rPr>
      </w:pPr>
      <w:r w:rsidRPr="001E2783">
        <w:rPr>
          <w:rFonts w:cs="Arial"/>
        </w:rPr>
        <w:t>During the week, the ACMA Hotline undertook 418 investigations into child sexual abuse material based on complaints—a four-fold increase on the previous year’s activities. All of the content was hosted overseas.</w:t>
      </w:r>
    </w:p>
    <w:p w14:paraId="375F9EA9" w14:textId="77777777" w:rsidR="00706698" w:rsidRPr="001E2783" w:rsidRDefault="00706698" w:rsidP="00FE5F72">
      <w:pPr>
        <w:rPr>
          <w:rFonts w:cs="Arial"/>
        </w:rPr>
      </w:pPr>
    </w:p>
    <w:p w14:paraId="6A568C57" w14:textId="77777777" w:rsidR="00706698" w:rsidRPr="001E2783" w:rsidRDefault="00706698" w:rsidP="00FE5F72">
      <w:pPr>
        <w:rPr>
          <w:rFonts w:cs="Arial"/>
        </w:rPr>
      </w:pPr>
      <w:r w:rsidRPr="001E2783">
        <w:rPr>
          <w:rFonts w:cs="Arial"/>
        </w:rPr>
        <w:t xml:space="preserve">The content investigated during the week contained more than 4,700 exploitative images of children—4,280 of girls and 440 of boys. </w:t>
      </w:r>
    </w:p>
    <w:p w14:paraId="1552C25F" w14:textId="77777777" w:rsidR="00706698" w:rsidRPr="001E2783" w:rsidRDefault="00706698" w:rsidP="00FE5F72">
      <w:pPr>
        <w:rPr>
          <w:rFonts w:cs="Arial"/>
        </w:rPr>
      </w:pPr>
    </w:p>
    <w:p w14:paraId="22F7650B" w14:textId="77777777" w:rsidR="00706698" w:rsidRPr="001E2783" w:rsidRDefault="00706698" w:rsidP="0014482B">
      <w:pPr>
        <w:rPr>
          <w:rFonts w:cs="Arial"/>
        </w:rPr>
      </w:pPr>
      <w:r w:rsidRPr="001E2783">
        <w:rPr>
          <w:rFonts w:cs="Arial"/>
        </w:rPr>
        <w:t>All images investigated were notified to either the AFP and/or INHOPE for rapid law enforcement notification and take-down in the host country.</w:t>
      </w:r>
    </w:p>
    <w:p w14:paraId="07EC291F" w14:textId="77777777" w:rsidR="00FE5F72" w:rsidRPr="001E2783" w:rsidRDefault="00FE5F72" w:rsidP="00537938">
      <w:pPr>
        <w:rPr>
          <w:rFonts w:cs="Arial"/>
        </w:rPr>
      </w:pPr>
    </w:p>
    <w:p w14:paraId="09F240BD" w14:textId="77777777" w:rsidR="00537938" w:rsidRPr="001E2783" w:rsidRDefault="00537938" w:rsidP="00537938">
      <w:pPr>
        <w:pStyle w:val="Heading3"/>
      </w:pPr>
      <w:bookmarkStart w:id="192" w:name="_Toc400018564"/>
      <w:r w:rsidRPr="001E2783">
        <w:t>Interactive gambling</w:t>
      </w:r>
      <w:bookmarkEnd w:id="192"/>
    </w:p>
    <w:p w14:paraId="2DAA4829" w14:textId="77777777" w:rsidR="00537938" w:rsidRPr="001E2783" w:rsidRDefault="00537938" w:rsidP="0018323E">
      <w:pPr>
        <w:keepNext/>
        <w:spacing w:after="120"/>
        <w:rPr>
          <w:rFonts w:cs="Arial"/>
        </w:rPr>
      </w:pPr>
      <w:r w:rsidRPr="001E2783">
        <w:rPr>
          <w:rFonts w:cs="Arial"/>
        </w:rPr>
        <w:t xml:space="preserve">In 2013–14, the ACMA received </w:t>
      </w:r>
      <w:r w:rsidR="00706698" w:rsidRPr="001E2783">
        <w:rPr>
          <w:rFonts w:cs="Arial"/>
        </w:rPr>
        <w:t xml:space="preserve">121 </w:t>
      </w:r>
      <w:r w:rsidRPr="001E2783">
        <w:rPr>
          <w:rFonts w:cs="Arial"/>
        </w:rPr>
        <w:t xml:space="preserve">complaints and general enquiries </w:t>
      </w:r>
      <w:r w:rsidR="005B2545" w:rsidRPr="001E2783">
        <w:rPr>
          <w:rFonts w:cs="Arial"/>
        </w:rPr>
        <w:t>about</w:t>
      </w:r>
      <w:r w:rsidRPr="001E2783">
        <w:rPr>
          <w:rFonts w:cs="Arial"/>
        </w:rPr>
        <w:t xml:space="preserve"> the </w:t>
      </w:r>
      <w:r w:rsidRPr="001E2783">
        <w:rPr>
          <w:rFonts w:cs="Arial"/>
          <w:i/>
        </w:rPr>
        <w:t xml:space="preserve">Interactive Gambling Act 2001 </w:t>
      </w:r>
      <w:r w:rsidRPr="001E2783">
        <w:rPr>
          <w:rFonts w:cs="Arial"/>
        </w:rPr>
        <w:t xml:space="preserve">(IGA). </w:t>
      </w:r>
      <w:r w:rsidR="00706698" w:rsidRPr="001E2783">
        <w:rPr>
          <w:rFonts w:cs="Arial"/>
        </w:rPr>
        <w:t>The ACMA conducted</w:t>
      </w:r>
      <w:r w:rsidRPr="001E2783">
        <w:rPr>
          <w:rFonts w:cs="Arial"/>
        </w:rPr>
        <w:t>:</w:t>
      </w:r>
    </w:p>
    <w:p w14:paraId="789F1AE4" w14:textId="77777777" w:rsidR="00537938" w:rsidRPr="001E2783" w:rsidRDefault="00706698" w:rsidP="00537938">
      <w:pPr>
        <w:pStyle w:val="ListBullet"/>
        <w:tabs>
          <w:tab w:val="clear" w:pos="295"/>
        </w:tabs>
        <w:ind w:left="284"/>
        <w:rPr>
          <w:rFonts w:cs="Arial"/>
        </w:rPr>
      </w:pPr>
      <w:r w:rsidRPr="001E2783">
        <w:rPr>
          <w:rFonts w:cs="Arial"/>
        </w:rPr>
        <w:t xml:space="preserve">23 </w:t>
      </w:r>
      <w:r w:rsidR="00537938" w:rsidRPr="001E2783">
        <w:rPr>
          <w:rFonts w:cs="Arial"/>
        </w:rPr>
        <w:t>investigations into overseas-hosted URLs, of which 11 resulted in breach findings and were notified to accredited family-friendly filter providers</w:t>
      </w:r>
      <w:r w:rsidR="00537938" w:rsidRPr="001E2783">
        <w:rPr>
          <w:rFonts w:cs="Arial"/>
          <w:vertAlign w:val="superscript"/>
        </w:rPr>
        <w:footnoteReference w:id="7"/>
      </w:r>
      <w:r w:rsidR="00537938" w:rsidRPr="001E2783">
        <w:rPr>
          <w:rFonts w:cs="Arial"/>
        </w:rPr>
        <w:t xml:space="preserve"> and the </w:t>
      </w:r>
      <w:r w:rsidR="0014482B" w:rsidRPr="001E2783">
        <w:rPr>
          <w:rFonts w:cs="Arial"/>
        </w:rPr>
        <w:t>AFP</w:t>
      </w:r>
    </w:p>
    <w:p w14:paraId="0AD7A068" w14:textId="77777777" w:rsidR="00537938" w:rsidRPr="001E2783" w:rsidRDefault="00706698" w:rsidP="00537938">
      <w:pPr>
        <w:pStyle w:val="ListBullet"/>
        <w:tabs>
          <w:tab w:val="clear" w:pos="295"/>
        </w:tabs>
        <w:ind w:left="284"/>
        <w:rPr>
          <w:rFonts w:cs="Arial"/>
        </w:rPr>
      </w:pPr>
      <w:r w:rsidRPr="001E2783">
        <w:rPr>
          <w:rFonts w:cs="Arial"/>
        </w:rPr>
        <w:t>25</w:t>
      </w:r>
      <w:r w:rsidR="00537938" w:rsidRPr="001E2783">
        <w:rPr>
          <w:rFonts w:cs="Arial"/>
        </w:rPr>
        <w:t xml:space="preserve"> preliminary assessments of Australian-hosted URLs, of which </w:t>
      </w:r>
      <w:r w:rsidRPr="001E2783">
        <w:rPr>
          <w:rFonts w:cs="Arial"/>
        </w:rPr>
        <w:t>10</w:t>
      </w:r>
      <w:r w:rsidR="00537938" w:rsidRPr="001E2783">
        <w:rPr>
          <w:rFonts w:cs="Arial"/>
        </w:rPr>
        <w:t xml:space="preserve"> were referred to the AFP</w:t>
      </w:r>
      <w:r w:rsidR="00537938" w:rsidRPr="001E2783">
        <w:rPr>
          <w:rFonts w:cs="Arial"/>
          <w:vertAlign w:val="superscript"/>
        </w:rPr>
        <w:footnoteReference w:id="8"/>
      </w:r>
      <w:r w:rsidR="00537938" w:rsidRPr="001E2783">
        <w:rPr>
          <w:rFonts w:cs="Arial"/>
          <w:vertAlign w:val="superscript"/>
        </w:rPr>
        <w:t xml:space="preserve"> </w:t>
      </w:r>
    </w:p>
    <w:p w14:paraId="0D3167C3" w14:textId="77777777" w:rsidR="00537938" w:rsidRPr="001E2783" w:rsidRDefault="00706698" w:rsidP="00537938">
      <w:pPr>
        <w:pStyle w:val="ListBullet"/>
        <w:tabs>
          <w:tab w:val="clear" w:pos="295"/>
        </w:tabs>
        <w:spacing w:after="240"/>
        <w:ind w:left="284"/>
        <w:rPr>
          <w:rFonts w:cs="Arial"/>
        </w:rPr>
      </w:pPr>
      <w:r w:rsidRPr="001E2783">
        <w:rPr>
          <w:rFonts w:cs="Arial"/>
        </w:rPr>
        <w:t>4</w:t>
      </w:r>
      <w:r w:rsidR="00FF58C6" w:rsidRPr="001E2783">
        <w:rPr>
          <w:rFonts w:cs="Arial"/>
        </w:rPr>
        <w:t>5</w:t>
      </w:r>
      <w:r w:rsidR="00537938" w:rsidRPr="001E2783">
        <w:rPr>
          <w:rFonts w:cs="Arial"/>
        </w:rPr>
        <w:t xml:space="preserve"> interactive gambling advertising referrals to </w:t>
      </w:r>
      <w:r w:rsidR="00E0520D" w:rsidRPr="001E2783">
        <w:rPr>
          <w:rFonts w:cs="Arial"/>
        </w:rPr>
        <w:t>DoC</w:t>
      </w:r>
      <w:r w:rsidR="00537938" w:rsidRPr="001E2783">
        <w:rPr>
          <w:rFonts w:cs="Arial"/>
        </w:rPr>
        <w:t>.</w:t>
      </w:r>
    </w:p>
    <w:p w14:paraId="3B665D3C" w14:textId="77777777" w:rsidR="00537938" w:rsidRPr="001E2783" w:rsidRDefault="00537938" w:rsidP="00537938">
      <w:pPr>
        <w:rPr>
          <w:rFonts w:cs="Arial"/>
        </w:rPr>
      </w:pPr>
      <w:r w:rsidRPr="001E2783">
        <w:rPr>
          <w:rFonts w:cs="Arial"/>
        </w:rPr>
        <w:t xml:space="preserve">The ACMA continued its partnerships with the AFP and </w:t>
      </w:r>
      <w:r w:rsidR="00E0520D" w:rsidRPr="001E2783">
        <w:rPr>
          <w:rFonts w:cs="Arial"/>
        </w:rPr>
        <w:t>DoC</w:t>
      </w:r>
      <w:r w:rsidR="003065EC" w:rsidRPr="001E2783">
        <w:rPr>
          <w:rFonts w:cs="Arial"/>
        </w:rPr>
        <w:t xml:space="preserve"> </w:t>
      </w:r>
      <w:r w:rsidRPr="001E2783">
        <w:rPr>
          <w:rFonts w:cs="Arial"/>
        </w:rPr>
        <w:t xml:space="preserve">by sharing information and expertise. </w:t>
      </w:r>
    </w:p>
    <w:p w14:paraId="6113A5E1" w14:textId="77777777" w:rsidR="00537938" w:rsidRPr="001E2783" w:rsidRDefault="00537938" w:rsidP="00537938">
      <w:pPr>
        <w:rPr>
          <w:rFonts w:cs="Arial"/>
        </w:rPr>
      </w:pPr>
    </w:p>
    <w:tbl>
      <w:tblPr>
        <w:tblW w:w="9645" w:type="dxa"/>
        <w:tblLayout w:type="fixed"/>
        <w:tblLook w:val="01E0" w:firstRow="1" w:lastRow="1" w:firstColumn="1" w:lastColumn="1" w:noHBand="0" w:noVBand="0"/>
      </w:tblPr>
      <w:tblGrid>
        <w:gridCol w:w="9645"/>
      </w:tblGrid>
      <w:tr w:rsidR="001E2783" w:rsidRPr="001E2783" w14:paraId="0245A4FB" w14:textId="77777777" w:rsidTr="00441258">
        <w:trPr>
          <w:trHeight w:val="570"/>
        </w:trPr>
        <w:tc>
          <w:tcPr>
            <w:tcW w:w="9645" w:type="dxa"/>
            <w:tcBorders>
              <w:top w:val="single" w:sz="2" w:space="0" w:color="505050"/>
            </w:tcBorders>
            <w:shd w:val="clear" w:color="auto" w:fill="auto"/>
            <w:vAlign w:val="center"/>
          </w:tcPr>
          <w:p w14:paraId="49CF95D5" w14:textId="77777777" w:rsidR="00537938" w:rsidRPr="00D3485F" w:rsidRDefault="00F13D23" w:rsidP="002057A4">
            <w:pPr>
              <w:pStyle w:val="Caption"/>
              <w:keepNext/>
              <w:keepLines/>
              <w:spacing w:before="120"/>
              <w:rPr>
                <w:rFonts w:ascii="Arial" w:hAnsi="Arial" w:cs="Arial"/>
              </w:rPr>
            </w:pPr>
            <w:r w:rsidRPr="00D3485F">
              <w:rPr>
                <w:rFonts w:ascii="Arial" w:hAnsi="Arial" w:cs="Arial"/>
              </w:rPr>
              <w:t xml:space="preserve">Figure </w:t>
            </w:r>
            <w:r w:rsidR="00AE6E96" w:rsidRPr="00D3485F">
              <w:rPr>
                <w:rFonts w:ascii="Arial" w:hAnsi="Arial" w:cs="Arial"/>
              </w:rPr>
              <w:t>5</w:t>
            </w:r>
            <w:r w:rsidR="00537938" w:rsidRPr="00D3485F">
              <w:rPr>
                <w:rFonts w:ascii="Arial" w:hAnsi="Arial" w:cs="Arial"/>
              </w:rPr>
              <w:t>: Comparison of interactive gambl</w:t>
            </w:r>
            <w:r w:rsidR="0014482B" w:rsidRPr="00D3485F">
              <w:rPr>
                <w:rFonts w:ascii="Arial" w:hAnsi="Arial" w:cs="Arial"/>
              </w:rPr>
              <w:t>ing assessment outcomes in 2013–</w:t>
            </w:r>
            <w:r w:rsidR="00537938" w:rsidRPr="00D3485F">
              <w:rPr>
                <w:rFonts w:ascii="Arial" w:hAnsi="Arial" w:cs="Arial"/>
              </w:rPr>
              <w:t xml:space="preserve">14 </w:t>
            </w:r>
            <w:r w:rsidR="00E0520D" w:rsidRPr="00D3485F">
              <w:rPr>
                <w:rFonts w:ascii="Arial" w:hAnsi="Arial" w:cs="Arial"/>
              </w:rPr>
              <w:br/>
            </w:r>
            <w:r w:rsidR="00537938" w:rsidRPr="00D3485F">
              <w:rPr>
                <w:rFonts w:ascii="Arial" w:hAnsi="Arial" w:cs="Arial"/>
              </w:rPr>
              <w:t>by host location—IGA</w:t>
            </w:r>
          </w:p>
          <w:p w14:paraId="7D8DAB09" w14:textId="77777777" w:rsidR="00FC1007" w:rsidRDefault="00FC1007" w:rsidP="00537938">
            <w:pPr>
              <w:rPr>
                <w:noProof/>
              </w:rPr>
            </w:pPr>
          </w:p>
          <w:p w14:paraId="3BB3F834" w14:textId="0B99786C" w:rsidR="00537938" w:rsidRPr="001E2783" w:rsidRDefault="00FC1007" w:rsidP="00537938">
            <w:pPr>
              <w:rPr>
                <w:rFonts w:cs="Arial"/>
              </w:rPr>
            </w:pPr>
            <w:r>
              <w:rPr>
                <w:noProof/>
              </w:rPr>
              <w:drawing>
                <wp:inline distT="0" distB="0" distL="0" distR="0" wp14:anchorId="19AD7578" wp14:editId="0BA0826C">
                  <wp:extent cx="3942000" cy="2739600"/>
                  <wp:effectExtent l="0" t="0" r="1905" b="3810"/>
                  <wp:docPr id="13" name="Picture 13" descr="Potential prohibited (Australian-hosted): 24%&#10;Prohibited (overseas-hosted): 24%&#10;Not prohibited (overseas-hosted): 22%&#10;Not prohibited (Australian-hosted): 30%" title="Figure 5: Comparison of interactive gambling assessment outcomes in 2013–14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9"/>
                          <a:srcRect l="3011" t="4831"/>
                          <a:stretch/>
                        </pic:blipFill>
                        <pic:spPr bwMode="auto">
                          <a:xfrm>
                            <a:off x="0" y="0"/>
                            <a:ext cx="3942000" cy="2739600"/>
                          </a:xfrm>
                          <a:prstGeom prst="rect">
                            <a:avLst/>
                          </a:prstGeom>
                          <a:ln>
                            <a:noFill/>
                          </a:ln>
                          <a:extLst>
                            <a:ext uri="{53640926-AAD7-44D8-BBD7-CCE9431645EC}">
                              <a14:shadowObscured xmlns:a14="http://schemas.microsoft.com/office/drawing/2010/main"/>
                            </a:ext>
                          </a:extLst>
                        </pic:spPr>
                      </pic:pic>
                    </a:graphicData>
                  </a:graphic>
                </wp:inline>
              </w:drawing>
            </w:r>
          </w:p>
        </w:tc>
      </w:tr>
      <w:tr w:rsidR="00537938" w:rsidRPr="001E2783" w14:paraId="043FAB5D" w14:textId="77777777" w:rsidTr="00537938">
        <w:tblPrEx>
          <w:tblCellMar>
            <w:left w:w="0" w:type="dxa"/>
            <w:right w:w="0" w:type="dxa"/>
          </w:tblCellMar>
        </w:tblPrEx>
        <w:trPr>
          <w:trHeight w:val="291"/>
        </w:trPr>
        <w:tc>
          <w:tcPr>
            <w:tcW w:w="9645" w:type="dxa"/>
            <w:tcBorders>
              <w:bottom w:val="single" w:sz="2" w:space="0" w:color="505050"/>
            </w:tcBorders>
            <w:shd w:val="clear" w:color="auto" w:fill="auto"/>
          </w:tcPr>
          <w:p w14:paraId="44D6EC9A" w14:textId="77777777" w:rsidR="00537938" w:rsidRPr="001E2783" w:rsidRDefault="00537938" w:rsidP="00537938">
            <w:pPr>
              <w:rPr>
                <w:rFonts w:cs="Arial"/>
                <w:i/>
                <w:sz w:val="16"/>
                <w:szCs w:val="16"/>
              </w:rPr>
            </w:pPr>
          </w:p>
        </w:tc>
      </w:tr>
    </w:tbl>
    <w:p w14:paraId="199DC9FB" w14:textId="77777777" w:rsidR="00537938" w:rsidRPr="001E2783" w:rsidRDefault="00537938" w:rsidP="00537938">
      <w:pPr>
        <w:rPr>
          <w:rFonts w:cs="Arial"/>
        </w:rPr>
      </w:pPr>
    </w:p>
    <w:p w14:paraId="555A68B1" w14:textId="77777777" w:rsidR="00CC119D" w:rsidRPr="001E2783" w:rsidRDefault="00CC119D" w:rsidP="00CC119D">
      <w:pPr>
        <w:pStyle w:val="Heading2"/>
      </w:pPr>
      <w:bookmarkStart w:id="193" w:name="_Toc400018565"/>
      <w:r w:rsidRPr="001E2783">
        <w:t>National interest issues</w:t>
      </w:r>
      <w:bookmarkEnd w:id="190"/>
      <w:bookmarkEnd w:id="193"/>
    </w:p>
    <w:p w14:paraId="086F2539" w14:textId="77777777" w:rsidR="00A80D59" w:rsidRPr="001E2783" w:rsidRDefault="00745D97" w:rsidP="00A80D59">
      <w:pPr>
        <w:rPr>
          <w:rFonts w:cs="Arial"/>
        </w:rPr>
      </w:pPr>
      <w:r w:rsidRPr="001E2783">
        <w:rPr>
          <w:rFonts w:cs="Arial"/>
        </w:rPr>
        <w:t xml:space="preserve">Agencies involved in the national security of Australia and law enforcement and emergency services have special operational requirements </w:t>
      </w:r>
      <w:r w:rsidR="00F545E4" w:rsidRPr="001E2783">
        <w:rPr>
          <w:rFonts w:cs="Arial"/>
        </w:rPr>
        <w:t>in</w:t>
      </w:r>
      <w:r w:rsidRPr="001E2783">
        <w:rPr>
          <w:rFonts w:cs="Arial"/>
        </w:rPr>
        <w:t xml:space="preserve"> the telecommunications industry</w:t>
      </w:r>
      <w:r w:rsidR="00A80D59" w:rsidRPr="001E2783">
        <w:rPr>
          <w:rFonts w:cs="Arial"/>
        </w:rPr>
        <w:t xml:space="preserve">. The ACMA administers the applicable law under the Telecommunications Act and liaises with representatives of agencies and the telecommunications industry. </w:t>
      </w:r>
    </w:p>
    <w:p w14:paraId="2AF3A3CC" w14:textId="77777777" w:rsidR="009C1959" w:rsidRPr="001E2783" w:rsidRDefault="009C1959" w:rsidP="009C1959">
      <w:pPr>
        <w:rPr>
          <w:rFonts w:cs="Arial"/>
        </w:rPr>
      </w:pPr>
    </w:p>
    <w:p w14:paraId="5FDF8367" w14:textId="77777777" w:rsidR="00A80D59" w:rsidRPr="001E2783" w:rsidRDefault="00A80D59" w:rsidP="00A80D59">
      <w:pPr>
        <w:pStyle w:val="Heading3"/>
        <w:rPr>
          <w:bCs w:val="0"/>
          <w:szCs w:val="24"/>
        </w:rPr>
      </w:pPr>
      <w:bookmarkStart w:id="194" w:name="_Toc400018566"/>
      <w:r w:rsidRPr="001E2783">
        <w:rPr>
          <w:bCs w:val="0"/>
          <w:szCs w:val="24"/>
        </w:rPr>
        <w:t>Identity-checking requirements for prepaid mobile phone services</w:t>
      </w:r>
      <w:bookmarkEnd w:id="194"/>
    </w:p>
    <w:p w14:paraId="1CC0EC66" w14:textId="77777777" w:rsidR="004741FD" w:rsidRPr="001E2783" w:rsidRDefault="004741FD" w:rsidP="004741FD">
      <w:pPr>
        <w:rPr>
          <w:rFonts w:cs="Arial"/>
          <w:szCs w:val="22"/>
        </w:rPr>
      </w:pPr>
      <w:r w:rsidRPr="001E2783">
        <w:rPr>
          <w:rFonts w:cs="Arial"/>
        </w:rPr>
        <w:t>The ACMA is responsible for making and administering a determination that requires CSPs to obtain and verify identity information about the purchasers and service activators of prepaid mobile services.</w:t>
      </w:r>
    </w:p>
    <w:p w14:paraId="3039C0B3" w14:textId="77777777" w:rsidR="009C1959" w:rsidRPr="001E2783" w:rsidRDefault="009C1959" w:rsidP="009C1959">
      <w:pPr>
        <w:rPr>
          <w:rFonts w:cs="Arial"/>
        </w:rPr>
      </w:pPr>
    </w:p>
    <w:p w14:paraId="32A25CFC" w14:textId="77777777" w:rsidR="009C1959" w:rsidRPr="001E2783" w:rsidRDefault="009C1959" w:rsidP="009C1959">
      <w:pPr>
        <w:rPr>
          <w:rFonts w:cs="Arial"/>
        </w:rPr>
      </w:pPr>
      <w:r w:rsidRPr="001E2783">
        <w:rPr>
          <w:rFonts w:cs="Arial"/>
        </w:rPr>
        <w:t>On 30 October 2013</w:t>
      </w:r>
      <w:r w:rsidR="00717F11" w:rsidRPr="001E2783">
        <w:rPr>
          <w:rFonts w:cs="Arial"/>
        </w:rPr>
        <w:t>,</w:t>
      </w:r>
      <w:r w:rsidRPr="001E2783">
        <w:rPr>
          <w:rFonts w:cs="Arial"/>
        </w:rPr>
        <w:t xml:space="preserve"> the ACMA made the Telecommunications (Service Provider – Identity Checks for Prepaid Mobile Carriage Services) Determination 2013 under section 99 of the Telecommunications Act. The </w:t>
      </w:r>
      <w:r w:rsidR="00717F11" w:rsidRPr="001E2783">
        <w:rPr>
          <w:rFonts w:cs="Arial"/>
        </w:rPr>
        <w:t>d</w:t>
      </w:r>
      <w:r w:rsidRPr="001E2783">
        <w:rPr>
          <w:rFonts w:cs="Arial"/>
        </w:rPr>
        <w:t xml:space="preserve">etermination revoked and replaced an earlier determination, and introduced changes to streamline the identity verification requirements for prepaid mobile services and enhance their effectiveness. </w:t>
      </w:r>
    </w:p>
    <w:p w14:paraId="19D5EDBD" w14:textId="77777777" w:rsidR="009C1959" w:rsidRPr="001E2783" w:rsidRDefault="009C1959" w:rsidP="009C1959">
      <w:pPr>
        <w:rPr>
          <w:rFonts w:cs="Arial"/>
        </w:rPr>
      </w:pPr>
    </w:p>
    <w:p w14:paraId="3F0E3C5C" w14:textId="77777777" w:rsidR="009C1959" w:rsidRPr="001E2783" w:rsidRDefault="009C1959" w:rsidP="009C1959">
      <w:pPr>
        <w:rPr>
          <w:rFonts w:cs="Arial"/>
        </w:rPr>
      </w:pPr>
      <w:r w:rsidRPr="001E2783">
        <w:rPr>
          <w:rFonts w:cs="Arial"/>
        </w:rPr>
        <w:t>While core</w:t>
      </w:r>
      <w:r w:rsidR="00717F11" w:rsidRPr="001E2783">
        <w:rPr>
          <w:rFonts w:cs="Arial"/>
        </w:rPr>
        <w:t xml:space="preserve"> obligations from the previous d</w:t>
      </w:r>
      <w:r w:rsidRPr="001E2783">
        <w:rPr>
          <w:rFonts w:cs="Arial"/>
        </w:rPr>
        <w:t>etermi</w:t>
      </w:r>
      <w:r w:rsidR="00717F11" w:rsidRPr="001E2783">
        <w:rPr>
          <w:rFonts w:cs="Arial"/>
        </w:rPr>
        <w:t>nation largely remain, the new d</w:t>
      </w:r>
      <w:r w:rsidRPr="001E2783">
        <w:rPr>
          <w:rFonts w:cs="Arial"/>
        </w:rPr>
        <w:t>etermination allows mobile providers to verify a person’s identity information through a range of new methods. These include confirm</w:t>
      </w:r>
      <w:r w:rsidR="00717F11" w:rsidRPr="001E2783">
        <w:rPr>
          <w:rFonts w:cs="Arial"/>
        </w:rPr>
        <w:t>ing</w:t>
      </w:r>
      <w:r w:rsidRPr="001E2783">
        <w:rPr>
          <w:rFonts w:cs="Arial"/>
        </w:rPr>
        <w:t xml:space="preserve"> an existing post-paid account and </w:t>
      </w:r>
      <w:r w:rsidR="004741FD" w:rsidRPr="001E2783">
        <w:rPr>
          <w:rFonts w:cs="Arial"/>
        </w:rPr>
        <w:t xml:space="preserve">using </w:t>
      </w:r>
      <w:r w:rsidRPr="001E2783">
        <w:rPr>
          <w:rFonts w:cs="Arial"/>
        </w:rPr>
        <w:t>government online verification services.</w:t>
      </w:r>
    </w:p>
    <w:p w14:paraId="202E60F4" w14:textId="77777777" w:rsidR="009C1959" w:rsidRPr="001E2783" w:rsidRDefault="009C1959" w:rsidP="009C1959">
      <w:pPr>
        <w:rPr>
          <w:rFonts w:cs="Arial"/>
        </w:rPr>
      </w:pPr>
    </w:p>
    <w:p w14:paraId="2E4A27B7" w14:textId="77777777" w:rsidR="009C1959" w:rsidRPr="001E2783" w:rsidRDefault="009C1959" w:rsidP="009C1959">
      <w:pPr>
        <w:rPr>
          <w:rFonts w:cs="Arial"/>
        </w:rPr>
      </w:pPr>
      <w:r w:rsidRPr="001E2783">
        <w:rPr>
          <w:rFonts w:cs="Arial"/>
        </w:rPr>
        <w:t>The new identi</w:t>
      </w:r>
      <w:r w:rsidR="00717F11" w:rsidRPr="001E2783">
        <w:rPr>
          <w:rFonts w:cs="Arial"/>
        </w:rPr>
        <w:t>ty verification methods in the d</w:t>
      </w:r>
      <w:r w:rsidRPr="001E2783">
        <w:rPr>
          <w:rFonts w:cs="Arial"/>
        </w:rPr>
        <w:t xml:space="preserve">etermination were developed by a joint industry and government working group. </w:t>
      </w:r>
    </w:p>
    <w:p w14:paraId="6DE25E5C" w14:textId="77777777" w:rsidR="009C1959" w:rsidRPr="001E2783" w:rsidRDefault="009C1959" w:rsidP="009C1959">
      <w:pPr>
        <w:rPr>
          <w:rFonts w:cs="Arial"/>
        </w:rPr>
      </w:pPr>
    </w:p>
    <w:p w14:paraId="204AE92F" w14:textId="77777777" w:rsidR="004741FD" w:rsidRPr="001E2783" w:rsidRDefault="004741FD" w:rsidP="004741FD">
      <w:pPr>
        <w:rPr>
          <w:rFonts w:cs="Arial"/>
        </w:rPr>
      </w:pPr>
      <w:r w:rsidRPr="001E2783">
        <w:rPr>
          <w:rFonts w:cs="Arial"/>
        </w:rPr>
        <w:t>Industry is moving to take advantage of the efficiencies of the new rules</w:t>
      </w:r>
      <w:r w:rsidR="00717F11" w:rsidRPr="001E2783">
        <w:rPr>
          <w:rFonts w:cs="Arial"/>
        </w:rPr>
        <w:t>—</w:t>
      </w:r>
      <w:r w:rsidRPr="001E2783">
        <w:rPr>
          <w:rFonts w:cs="Arial"/>
        </w:rPr>
        <w:t xml:space="preserve">a number of mobile providers </w:t>
      </w:r>
      <w:r w:rsidR="00FD6C16" w:rsidRPr="001E2783">
        <w:rPr>
          <w:rFonts w:cs="Arial"/>
        </w:rPr>
        <w:t>are</w:t>
      </w:r>
      <w:r w:rsidR="00717F11" w:rsidRPr="001E2783">
        <w:rPr>
          <w:rFonts w:cs="Arial"/>
        </w:rPr>
        <w:t xml:space="preserve"> </w:t>
      </w:r>
      <w:r w:rsidRPr="001E2783">
        <w:rPr>
          <w:rFonts w:cs="Arial"/>
        </w:rPr>
        <w:t>close to completing the IT upgrades required to use the new government online verification services supported under t</w:t>
      </w:r>
      <w:r w:rsidR="00717F11" w:rsidRPr="001E2783">
        <w:rPr>
          <w:rFonts w:cs="Arial"/>
        </w:rPr>
        <w:t>he d</w:t>
      </w:r>
      <w:r w:rsidRPr="001E2783">
        <w:rPr>
          <w:rFonts w:cs="Arial"/>
        </w:rPr>
        <w:t>etermination.</w:t>
      </w:r>
    </w:p>
    <w:p w14:paraId="74E069FE" w14:textId="77777777" w:rsidR="009C1959" w:rsidRPr="001E2783" w:rsidRDefault="009C1959" w:rsidP="009C1959">
      <w:pPr>
        <w:rPr>
          <w:rFonts w:cs="Arial"/>
        </w:rPr>
      </w:pPr>
    </w:p>
    <w:p w14:paraId="604F1EC5" w14:textId="77777777" w:rsidR="00A80D59" w:rsidRPr="001E2783" w:rsidRDefault="00A80D59" w:rsidP="004128C5">
      <w:pPr>
        <w:pStyle w:val="Heading3"/>
      </w:pPr>
      <w:bookmarkStart w:id="195" w:name="_Toc400018567"/>
      <w:r w:rsidRPr="001E2783">
        <w:t>Interception exemption for trial services</w:t>
      </w:r>
      <w:bookmarkEnd w:id="195"/>
    </w:p>
    <w:p w14:paraId="565C622D" w14:textId="77777777" w:rsidR="00A80D59" w:rsidRPr="001E2783" w:rsidRDefault="00A80D59" w:rsidP="00A80D59">
      <w:pPr>
        <w:rPr>
          <w:rFonts w:cs="Arial"/>
        </w:rPr>
      </w:pPr>
      <w:r w:rsidRPr="001E2783">
        <w:rPr>
          <w:rFonts w:cs="Arial"/>
        </w:rPr>
        <w:t xml:space="preserve">Section 193 of the </w:t>
      </w:r>
      <w:r w:rsidR="00A33637" w:rsidRPr="001E2783">
        <w:rPr>
          <w:rFonts w:cs="Arial"/>
        </w:rPr>
        <w:t>TIA Act</w:t>
      </w:r>
      <w:r w:rsidRPr="001E2783">
        <w:rPr>
          <w:rFonts w:cs="Arial"/>
        </w:rPr>
        <w:t xml:space="preserve"> </w:t>
      </w:r>
      <w:r w:rsidR="00C65905" w:rsidRPr="001E2783">
        <w:rPr>
          <w:rFonts w:cs="Arial"/>
        </w:rPr>
        <w:t>gives</w:t>
      </w:r>
      <w:r w:rsidRPr="001E2783">
        <w:rPr>
          <w:rFonts w:cs="Arial"/>
        </w:rPr>
        <w:t xml:space="preserve"> service providers </w:t>
      </w:r>
      <w:r w:rsidR="00C65905" w:rsidRPr="001E2783">
        <w:rPr>
          <w:rFonts w:cs="Arial"/>
        </w:rPr>
        <w:t xml:space="preserve">the opportunity </w:t>
      </w:r>
      <w:r w:rsidRPr="001E2783">
        <w:rPr>
          <w:rFonts w:cs="Arial"/>
        </w:rPr>
        <w:t xml:space="preserve">to trial new services </w:t>
      </w:r>
      <w:r w:rsidR="00C65905" w:rsidRPr="001E2783">
        <w:rPr>
          <w:rFonts w:cs="Arial"/>
        </w:rPr>
        <w:t>before</w:t>
      </w:r>
      <w:r w:rsidRPr="001E2783">
        <w:rPr>
          <w:rFonts w:cs="Arial"/>
        </w:rPr>
        <w:t xml:space="preserve"> committing expenditure on interception capability. The ACMA can grant an exemption from the obligation to provide interception capability if, after consulting with appropriate interception agencies, it is satisfied that </w:t>
      </w:r>
      <w:r w:rsidR="00C65905" w:rsidRPr="001E2783">
        <w:rPr>
          <w:rFonts w:cs="Arial"/>
        </w:rPr>
        <w:t>this</w:t>
      </w:r>
      <w:r w:rsidRPr="001E2783">
        <w:rPr>
          <w:rFonts w:cs="Arial"/>
        </w:rPr>
        <w:t xml:space="preserve"> is unlikely to create a risk to national security or law enforcement. </w:t>
      </w:r>
    </w:p>
    <w:p w14:paraId="312F46CB" w14:textId="77777777" w:rsidR="00A80D59" w:rsidRPr="001E2783" w:rsidRDefault="00A80D59" w:rsidP="00A80D59">
      <w:pPr>
        <w:rPr>
          <w:rFonts w:cs="Arial"/>
        </w:rPr>
      </w:pPr>
    </w:p>
    <w:p w14:paraId="7DBBA98B" w14:textId="77777777" w:rsidR="00A80D59" w:rsidRPr="001E2783" w:rsidRDefault="009C1959" w:rsidP="00CC119D">
      <w:pPr>
        <w:rPr>
          <w:rFonts w:cs="Arial"/>
          <w:iCs/>
        </w:rPr>
      </w:pPr>
      <w:r w:rsidRPr="001E2783">
        <w:rPr>
          <w:rFonts w:cs="Arial"/>
          <w:iCs/>
        </w:rPr>
        <w:t xml:space="preserve">There were no exemptions granted during </w:t>
      </w:r>
      <w:r w:rsidR="00717F11" w:rsidRPr="001E2783">
        <w:rPr>
          <w:rFonts w:cs="Arial"/>
          <w:iCs/>
        </w:rPr>
        <w:t>2013–</w:t>
      </w:r>
      <w:r w:rsidRPr="001E2783">
        <w:rPr>
          <w:rFonts w:cs="Arial"/>
          <w:iCs/>
        </w:rPr>
        <w:t>14.</w:t>
      </w:r>
    </w:p>
    <w:p w14:paraId="2364247F" w14:textId="77777777" w:rsidR="009C1959" w:rsidRPr="001E2783" w:rsidRDefault="009C1959" w:rsidP="00CC119D">
      <w:pPr>
        <w:rPr>
          <w:rFonts w:cs="Arial"/>
        </w:rPr>
      </w:pPr>
    </w:p>
    <w:p w14:paraId="53D8DE4C" w14:textId="77777777" w:rsidR="00CC119D" w:rsidRPr="001E2783" w:rsidRDefault="00CC119D" w:rsidP="00CC119D">
      <w:pPr>
        <w:pStyle w:val="Heading3"/>
      </w:pPr>
      <w:bookmarkStart w:id="196" w:name="_Toc337727600"/>
      <w:bookmarkStart w:id="197" w:name="_Toc400018568"/>
      <w:r w:rsidRPr="001E2783">
        <w:t>Disclosure of customer information to law enforcement and national security agencies</w:t>
      </w:r>
      <w:bookmarkEnd w:id="196"/>
      <w:bookmarkEnd w:id="197"/>
    </w:p>
    <w:p w14:paraId="41D4F25C" w14:textId="77777777" w:rsidR="00CC119D" w:rsidRPr="001E2783" w:rsidRDefault="00CC119D" w:rsidP="00CC119D">
      <w:pPr>
        <w:spacing w:after="80"/>
        <w:rPr>
          <w:rFonts w:cs="Arial"/>
        </w:rPr>
      </w:pPr>
      <w:r w:rsidRPr="001E2783">
        <w:rPr>
          <w:rFonts w:cs="Arial"/>
        </w:rPr>
        <w:t>Customer information provided by telecommunications carriers and CSPs to law enforcement and national security a</w:t>
      </w:r>
      <w:r w:rsidR="00E37749" w:rsidRPr="001E2783">
        <w:rPr>
          <w:rFonts w:cs="Arial"/>
        </w:rPr>
        <w:t>gencies is protected under Part </w:t>
      </w:r>
      <w:r w:rsidRPr="001E2783">
        <w:rPr>
          <w:rFonts w:cs="Arial"/>
        </w:rPr>
        <w:t>13 of the Telecommunications Act. Carriers and CSPs are prohibited from disclosing that information to other parties except in limited circumstances. Those circumstances generally relate to:</w:t>
      </w:r>
    </w:p>
    <w:p w14:paraId="21628AB7" w14:textId="77777777" w:rsidR="00CC119D" w:rsidRPr="001E2783" w:rsidRDefault="00CC119D" w:rsidP="00CC119D">
      <w:pPr>
        <w:pStyle w:val="ListBullet"/>
        <w:ind w:left="284"/>
        <w:rPr>
          <w:rFonts w:cs="Arial"/>
        </w:rPr>
      </w:pPr>
      <w:r w:rsidRPr="001E2783">
        <w:rPr>
          <w:rFonts w:cs="Arial"/>
        </w:rPr>
        <w:t xml:space="preserve">assisting in investigations by law enforcement or national security agencies, </w:t>
      </w:r>
      <w:r w:rsidR="00B43DA2" w:rsidRPr="001E2783">
        <w:rPr>
          <w:rFonts w:cs="Arial"/>
        </w:rPr>
        <w:t xml:space="preserve">or </w:t>
      </w:r>
      <w:r w:rsidRPr="001E2783">
        <w:rPr>
          <w:rFonts w:cs="Arial"/>
        </w:rPr>
        <w:t>the ACMA, ACCC</w:t>
      </w:r>
      <w:r w:rsidR="00B040FF" w:rsidRPr="001E2783">
        <w:rPr>
          <w:rFonts w:cs="Arial"/>
        </w:rPr>
        <w:t>,</w:t>
      </w:r>
      <w:r w:rsidRPr="001E2783">
        <w:rPr>
          <w:rFonts w:cs="Arial"/>
        </w:rPr>
        <w:t xml:space="preserve"> TIO</w:t>
      </w:r>
      <w:r w:rsidR="00B040FF" w:rsidRPr="001E2783">
        <w:rPr>
          <w:rFonts w:cs="Arial"/>
        </w:rPr>
        <w:t xml:space="preserve"> or TUSMA</w:t>
      </w:r>
    </w:p>
    <w:p w14:paraId="5C705968" w14:textId="77777777" w:rsidR="00CC119D" w:rsidRPr="001E2783" w:rsidRDefault="009D6933" w:rsidP="00CC119D">
      <w:pPr>
        <w:pStyle w:val="ListBullet"/>
        <w:ind w:left="284"/>
        <w:rPr>
          <w:rFonts w:cs="Arial"/>
        </w:rPr>
      </w:pPr>
      <w:r w:rsidRPr="001E2783">
        <w:rPr>
          <w:rFonts w:cs="Arial"/>
        </w:rPr>
        <w:t xml:space="preserve">assisting </w:t>
      </w:r>
      <w:r w:rsidR="00CC119D" w:rsidRPr="001E2783">
        <w:rPr>
          <w:rFonts w:cs="Arial"/>
        </w:rPr>
        <w:t>where there is an imminent threat to a person’s life or health</w:t>
      </w:r>
    </w:p>
    <w:p w14:paraId="5D22DD32" w14:textId="77777777" w:rsidR="00CC119D" w:rsidRPr="001E2783" w:rsidRDefault="00CC119D" w:rsidP="00CC119D">
      <w:pPr>
        <w:pStyle w:val="ListBullet"/>
        <w:spacing w:after="240"/>
        <w:ind w:left="284"/>
        <w:rPr>
          <w:rFonts w:cs="Arial"/>
        </w:rPr>
      </w:pPr>
      <w:r w:rsidRPr="001E2783">
        <w:rPr>
          <w:rFonts w:cs="Arial"/>
        </w:rPr>
        <w:t>satisfying the business needs of other carriers and CSPs.</w:t>
      </w:r>
    </w:p>
    <w:p w14:paraId="1D8CAF04" w14:textId="43EF10DD" w:rsidR="00CC119D" w:rsidRPr="001E2783" w:rsidRDefault="00CC119D" w:rsidP="00CC119D">
      <w:pPr>
        <w:rPr>
          <w:rFonts w:cs="Arial"/>
        </w:rPr>
      </w:pPr>
      <w:r w:rsidRPr="001E2783">
        <w:rPr>
          <w:rFonts w:cs="Arial"/>
        </w:rPr>
        <w:t>Th</w:t>
      </w:r>
      <w:r w:rsidR="00E37749" w:rsidRPr="001E2783">
        <w:rPr>
          <w:rFonts w:cs="Arial"/>
        </w:rPr>
        <w:t xml:space="preserve">e ACMA is required under </w:t>
      </w:r>
      <w:r w:rsidR="00BD3D5A" w:rsidRPr="001E2783">
        <w:rPr>
          <w:rFonts w:cs="Arial"/>
        </w:rPr>
        <w:t>paragraph</w:t>
      </w:r>
      <w:r w:rsidR="00E37749" w:rsidRPr="001E2783">
        <w:rPr>
          <w:rFonts w:cs="Arial"/>
        </w:rPr>
        <w:t> </w:t>
      </w:r>
      <w:r w:rsidRPr="001E2783">
        <w:rPr>
          <w:rFonts w:cs="Arial"/>
        </w:rPr>
        <w:t>57(2)(f) of the ACMA Act to include in its annual report information on disclosures of customer information made during the reporting year. The number and type</w:t>
      </w:r>
      <w:r w:rsidR="00A80D59" w:rsidRPr="001E2783">
        <w:rPr>
          <w:rFonts w:cs="Arial"/>
        </w:rPr>
        <w:t xml:space="preserve"> of disclosures made durin</w:t>
      </w:r>
      <w:r w:rsidR="009C1959" w:rsidRPr="001E2783">
        <w:rPr>
          <w:rFonts w:cs="Arial"/>
        </w:rPr>
        <w:t>g 2013–14</w:t>
      </w:r>
      <w:r w:rsidRPr="001E2783">
        <w:rPr>
          <w:rFonts w:cs="Arial"/>
        </w:rPr>
        <w:t>, as rep</w:t>
      </w:r>
      <w:r w:rsidR="00E37749" w:rsidRPr="001E2783">
        <w:rPr>
          <w:rFonts w:cs="Arial"/>
        </w:rPr>
        <w:t>orted to the ACMA under section </w:t>
      </w:r>
      <w:r w:rsidRPr="001E2783">
        <w:rPr>
          <w:rFonts w:cs="Arial"/>
        </w:rPr>
        <w:t>308 of the Telecommunications Act, are provided</w:t>
      </w:r>
      <w:r w:rsidR="00057E43" w:rsidRPr="001E2783">
        <w:rPr>
          <w:rFonts w:cs="Arial"/>
        </w:rPr>
        <w:t xml:space="preserve"> at Appendix 10</w:t>
      </w:r>
      <w:r w:rsidRPr="001E2783">
        <w:rPr>
          <w:rFonts w:cs="Arial"/>
        </w:rPr>
        <w:t>.</w:t>
      </w:r>
    </w:p>
    <w:p w14:paraId="3922FCDA" w14:textId="77777777" w:rsidR="00CC119D" w:rsidRPr="001E2783" w:rsidRDefault="00CC119D" w:rsidP="00CC119D">
      <w:pPr>
        <w:rPr>
          <w:rFonts w:cs="Arial"/>
        </w:rPr>
      </w:pPr>
    </w:p>
    <w:p w14:paraId="0E4B0D37" w14:textId="77777777" w:rsidR="00CC119D" w:rsidRPr="001E2783" w:rsidRDefault="00CC119D" w:rsidP="00CC119D">
      <w:pPr>
        <w:pStyle w:val="Heading3"/>
      </w:pPr>
      <w:bookmarkStart w:id="198" w:name="_Toc337727601"/>
      <w:bookmarkStart w:id="199" w:name="_Toc400018569"/>
      <w:r w:rsidRPr="001E2783">
        <w:t>Disclosure of Integrated Public Number Database data for telephone-based emergency warning systems</w:t>
      </w:r>
      <w:bookmarkEnd w:id="198"/>
      <w:bookmarkEnd w:id="199"/>
    </w:p>
    <w:p w14:paraId="7046BE89" w14:textId="77777777" w:rsidR="00CC119D" w:rsidRPr="001E2783" w:rsidRDefault="00CC119D" w:rsidP="00CC119D">
      <w:pPr>
        <w:rPr>
          <w:rFonts w:cs="Arial"/>
        </w:rPr>
      </w:pPr>
      <w:r w:rsidRPr="001E2783">
        <w:rPr>
          <w:rFonts w:cs="Arial"/>
        </w:rPr>
        <w:t>Part 13 of the Telecommunications Act allows information contained in the</w:t>
      </w:r>
      <w:r w:rsidR="009D6933" w:rsidRPr="001E2783">
        <w:rPr>
          <w:rFonts w:cs="Arial"/>
        </w:rPr>
        <w:t xml:space="preserve"> Integrated Public Number Database</w:t>
      </w:r>
      <w:r w:rsidRPr="001E2783">
        <w:rPr>
          <w:rFonts w:cs="Arial"/>
        </w:rPr>
        <w:t xml:space="preserve"> </w:t>
      </w:r>
      <w:r w:rsidR="009D6933" w:rsidRPr="001E2783">
        <w:rPr>
          <w:rFonts w:cs="Arial"/>
        </w:rPr>
        <w:t>(</w:t>
      </w:r>
      <w:r w:rsidRPr="001E2783">
        <w:rPr>
          <w:rFonts w:cs="Arial"/>
        </w:rPr>
        <w:t>IPND</w:t>
      </w:r>
      <w:r w:rsidR="009D6933" w:rsidRPr="001E2783">
        <w:rPr>
          <w:rFonts w:cs="Arial"/>
        </w:rPr>
        <w:t>)</w:t>
      </w:r>
      <w:r w:rsidRPr="001E2783">
        <w:rPr>
          <w:rFonts w:cs="Arial"/>
        </w:rPr>
        <w:t xml:space="preserve"> to be disclosed for the testing and operation of telephone-based emergency warning systems by state</w:t>
      </w:r>
      <w:r w:rsidR="00A80D59" w:rsidRPr="001E2783">
        <w:rPr>
          <w:rFonts w:cs="Arial"/>
        </w:rPr>
        <w:t xml:space="preserve"> </w:t>
      </w:r>
      <w:r w:rsidRPr="001E2783">
        <w:rPr>
          <w:rFonts w:cs="Arial"/>
        </w:rPr>
        <w:t xml:space="preserve">and </w:t>
      </w:r>
      <w:r w:rsidR="00A80D59" w:rsidRPr="001E2783">
        <w:rPr>
          <w:rFonts w:cs="Arial"/>
        </w:rPr>
        <w:t>territory governments.</w:t>
      </w:r>
    </w:p>
    <w:p w14:paraId="65087984" w14:textId="77777777" w:rsidR="00CC119D" w:rsidRPr="001E2783" w:rsidRDefault="00CC119D" w:rsidP="00CC119D">
      <w:pPr>
        <w:rPr>
          <w:rFonts w:cs="Arial"/>
        </w:rPr>
      </w:pPr>
    </w:p>
    <w:p w14:paraId="112A9E96" w14:textId="7A8684C4" w:rsidR="004741FD" w:rsidRPr="001E2783" w:rsidRDefault="004741FD" w:rsidP="004741FD">
      <w:pPr>
        <w:rPr>
          <w:rFonts w:cs="Arial"/>
        </w:rPr>
      </w:pPr>
      <w:r w:rsidRPr="001E2783">
        <w:rPr>
          <w:rFonts w:cs="Arial"/>
        </w:rPr>
        <w:t xml:space="preserve">Appendix 10 provides the number of telephone numbers that have been disclosed for this purpose in the reporting period, a description of the emergency or likely emergency, and the location and number of persons to whom the information was disclosed under </w:t>
      </w:r>
      <w:r w:rsidR="00BD3D5A" w:rsidRPr="001E2783">
        <w:rPr>
          <w:rFonts w:cs="Arial"/>
        </w:rPr>
        <w:t>sub</w:t>
      </w:r>
      <w:r w:rsidRPr="001E2783">
        <w:rPr>
          <w:rFonts w:cs="Arial"/>
        </w:rPr>
        <w:t>sections 295V(1) or 295V(2) of the Telecommunications Act.</w:t>
      </w:r>
    </w:p>
    <w:p w14:paraId="2B12ADF8" w14:textId="77777777" w:rsidR="00CC119D" w:rsidRPr="001E2783" w:rsidRDefault="00CC119D" w:rsidP="00CC119D">
      <w:pPr>
        <w:rPr>
          <w:rFonts w:cs="Arial"/>
        </w:rPr>
      </w:pPr>
    </w:p>
    <w:p w14:paraId="06A8D5E5" w14:textId="77777777" w:rsidR="00CC119D" w:rsidRPr="001E2783" w:rsidRDefault="00CC119D" w:rsidP="00CC119D">
      <w:pPr>
        <w:pStyle w:val="Heading3"/>
      </w:pPr>
      <w:bookmarkStart w:id="200" w:name="_Toc295919787"/>
      <w:bookmarkStart w:id="201" w:name="_Toc337727602"/>
      <w:bookmarkStart w:id="202" w:name="_Toc400018570"/>
      <w:r w:rsidRPr="001E2783">
        <w:t>Emergency call service</w:t>
      </w:r>
      <w:bookmarkEnd w:id="200"/>
      <w:bookmarkEnd w:id="201"/>
      <w:bookmarkEnd w:id="202"/>
    </w:p>
    <w:p w14:paraId="16225AA8" w14:textId="77777777" w:rsidR="006250FC" w:rsidRPr="001E2783" w:rsidRDefault="006250FC" w:rsidP="006250FC">
      <w:pPr>
        <w:spacing w:after="80"/>
        <w:rPr>
          <w:rFonts w:cs="Arial"/>
        </w:rPr>
      </w:pPr>
      <w:r w:rsidRPr="001E2783">
        <w:rPr>
          <w:rFonts w:cs="Arial"/>
        </w:rPr>
        <w:t>The emergency call service is a national operator-assisted service that connects emergency callers free-of-charge to state and territory emergency service organisation</w:t>
      </w:r>
      <w:r w:rsidR="00B43DA2" w:rsidRPr="001E2783">
        <w:rPr>
          <w:rFonts w:cs="Arial"/>
        </w:rPr>
        <w:t>s</w:t>
      </w:r>
      <w:r w:rsidR="00443405" w:rsidRPr="001E2783">
        <w:rPr>
          <w:rFonts w:cs="Arial"/>
        </w:rPr>
        <w:t xml:space="preserve"> (ESO</w:t>
      </w:r>
      <w:r w:rsidR="00446D83" w:rsidRPr="001E2783">
        <w:rPr>
          <w:rFonts w:cs="Arial"/>
        </w:rPr>
        <w:t>s</w:t>
      </w:r>
      <w:r w:rsidR="00443405" w:rsidRPr="001E2783">
        <w:rPr>
          <w:rFonts w:cs="Arial"/>
        </w:rPr>
        <w:t>)</w:t>
      </w:r>
      <w:r w:rsidR="00B43DA2" w:rsidRPr="001E2783">
        <w:rPr>
          <w:rFonts w:cs="Arial"/>
        </w:rPr>
        <w:t xml:space="preserve">—police, fire and ambulance. </w:t>
      </w:r>
      <w:r w:rsidRPr="001E2783">
        <w:rPr>
          <w:rFonts w:cs="Arial"/>
        </w:rPr>
        <w:t xml:space="preserve">The service is provided by </w:t>
      </w:r>
      <w:r w:rsidR="00F545E4" w:rsidRPr="001E2783">
        <w:rPr>
          <w:rFonts w:cs="Arial"/>
        </w:rPr>
        <w:t xml:space="preserve">the following </w:t>
      </w:r>
      <w:r w:rsidRPr="001E2783">
        <w:rPr>
          <w:rFonts w:cs="Arial"/>
        </w:rPr>
        <w:t xml:space="preserve">emergency call persons: </w:t>
      </w:r>
    </w:p>
    <w:p w14:paraId="3EFC95CE" w14:textId="77777777" w:rsidR="006250FC" w:rsidRPr="001E2783" w:rsidRDefault="006250FC" w:rsidP="006250FC">
      <w:pPr>
        <w:pStyle w:val="ListBullet"/>
        <w:rPr>
          <w:rFonts w:cs="Arial"/>
        </w:rPr>
      </w:pPr>
      <w:r w:rsidRPr="001E2783">
        <w:rPr>
          <w:rFonts w:cs="Arial"/>
        </w:rPr>
        <w:t>Telstra, for the emergency service numbers 000 and 11</w:t>
      </w:r>
      <w:r w:rsidR="00B43DA2" w:rsidRPr="001E2783">
        <w:rPr>
          <w:rFonts w:cs="Arial"/>
        </w:rPr>
        <w:t>2</w:t>
      </w:r>
    </w:p>
    <w:p w14:paraId="7B0BD134" w14:textId="77777777" w:rsidR="00CC119D" w:rsidRPr="001E2783" w:rsidRDefault="006250FC" w:rsidP="00CC119D">
      <w:pPr>
        <w:pStyle w:val="ListBullet"/>
        <w:spacing w:after="240"/>
        <w:rPr>
          <w:rFonts w:cs="Arial"/>
        </w:rPr>
      </w:pPr>
      <w:r w:rsidRPr="001E2783">
        <w:rPr>
          <w:rFonts w:cs="Arial"/>
        </w:rPr>
        <w:t>Australian Communication Exchange, for the emergency service number 106, used by people who are deaf or hearing</w:t>
      </w:r>
      <w:r w:rsidR="00B43DA2" w:rsidRPr="001E2783">
        <w:rPr>
          <w:rFonts w:cs="Arial"/>
        </w:rPr>
        <w:t>-</w:t>
      </w:r>
      <w:r w:rsidRPr="001E2783">
        <w:rPr>
          <w:rFonts w:cs="Arial"/>
        </w:rPr>
        <w:t>/speech-impaired.</w:t>
      </w:r>
    </w:p>
    <w:p w14:paraId="0F65C223" w14:textId="77777777" w:rsidR="00CC119D" w:rsidRPr="001E2783" w:rsidRDefault="00CC119D" w:rsidP="00CC119D">
      <w:pPr>
        <w:pStyle w:val="BodysubheaderH4"/>
        <w:rPr>
          <w:rFonts w:cs="Arial"/>
        </w:rPr>
      </w:pPr>
      <w:r w:rsidRPr="001E2783">
        <w:rPr>
          <w:rFonts w:cs="Arial"/>
        </w:rPr>
        <w:t>Emergency Call Service Advisory Committee</w:t>
      </w:r>
    </w:p>
    <w:p w14:paraId="4DD57123" w14:textId="77777777" w:rsidR="004741FD" w:rsidRPr="001E2783" w:rsidRDefault="004741FD" w:rsidP="004741FD">
      <w:pPr>
        <w:rPr>
          <w:rFonts w:cs="Arial"/>
        </w:rPr>
      </w:pPr>
      <w:r w:rsidRPr="001E2783">
        <w:rPr>
          <w:rFonts w:cs="Arial"/>
        </w:rPr>
        <w:t>The ACMA convenes the Emergency Call Service Advisory Committee (ECSAC) as a formally constituted advisory committee. ECSAC provides a forum for representatives of the telecommunications industry, emergency call persons and emergency service organisations to provide advice to the ACMA and discuss priority issues affecting the operation of the service. ECSAC met once in 2013–14 and provided advice on a range of matters. Details of ECSAC members are provided at</w:t>
      </w:r>
      <w:r w:rsidR="00E37749" w:rsidRPr="001E2783">
        <w:rPr>
          <w:rFonts w:cs="Arial"/>
        </w:rPr>
        <w:t xml:space="preserve"> Appendix </w:t>
      </w:r>
      <w:r w:rsidRPr="001E2783">
        <w:rPr>
          <w:rFonts w:cs="Arial"/>
        </w:rPr>
        <w:t>2.</w:t>
      </w:r>
    </w:p>
    <w:p w14:paraId="10621CF1" w14:textId="77777777" w:rsidR="00A80D59" w:rsidRPr="001E2783" w:rsidRDefault="00A80D59" w:rsidP="00CC119D">
      <w:pPr>
        <w:rPr>
          <w:rFonts w:cs="Arial"/>
        </w:rPr>
      </w:pPr>
    </w:p>
    <w:p w14:paraId="1EFCF922" w14:textId="77777777" w:rsidR="00CC119D" w:rsidRPr="001E2783" w:rsidRDefault="00CC119D" w:rsidP="00CC119D">
      <w:pPr>
        <w:pStyle w:val="BodysubheaderH4"/>
        <w:rPr>
          <w:rFonts w:cs="Arial"/>
        </w:rPr>
      </w:pPr>
      <w:r w:rsidRPr="001E2783">
        <w:rPr>
          <w:rFonts w:cs="Arial"/>
        </w:rPr>
        <w:t>Reducing the volume of non-emergency calls</w:t>
      </w:r>
    </w:p>
    <w:p w14:paraId="69EE4DF0" w14:textId="77777777" w:rsidR="006250FC" w:rsidRPr="001E2783" w:rsidRDefault="006250FC" w:rsidP="006250FC">
      <w:pPr>
        <w:rPr>
          <w:rFonts w:cs="Arial"/>
        </w:rPr>
      </w:pPr>
      <w:r w:rsidRPr="001E2783">
        <w:rPr>
          <w:rFonts w:cs="Arial"/>
        </w:rPr>
        <w:t xml:space="preserve">An ongoing objective for emergency service delivery has been to reduce the volume of calls to </w:t>
      </w:r>
      <w:r w:rsidR="007B5DB9" w:rsidRPr="001E2783">
        <w:rPr>
          <w:rFonts w:cs="Arial"/>
        </w:rPr>
        <w:t xml:space="preserve">Telstra as the ECP for 000 and 112 </w:t>
      </w:r>
      <w:r w:rsidRPr="001E2783">
        <w:rPr>
          <w:rFonts w:cs="Arial"/>
        </w:rPr>
        <w:t xml:space="preserve">that are not related to an emergency. Of the </w:t>
      </w:r>
      <w:r w:rsidR="007B5DB9" w:rsidRPr="001E2783">
        <w:rPr>
          <w:rFonts w:cs="Arial"/>
        </w:rPr>
        <w:t>8.48 </w:t>
      </w:r>
      <w:r w:rsidRPr="001E2783">
        <w:rPr>
          <w:rFonts w:cs="Arial"/>
        </w:rPr>
        <w:t xml:space="preserve">million calls made to the ECP during 2013–14, </w:t>
      </w:r>
      <w:r w:rsidR="007B5DB9" w:rsidRPr="001E2783">
        <w:rPr>
          <w:rFonts w:cs="Arial"/>
        </w:rPr>
        <w:t>5.74 </w:t>
      </w:r>
      <w:r w:rsidRPr="001E2783">
        <w:rPr>
          <w:rFonts w:cs="Arial"/>
        </w:rPr>
        <w:t>million were connected through to an ESO.</w:t>
      </w:r>
    </w:p>
    <w:p w14:paraId="7630E00D" w14:textId="77777777" w:rsidR="006250FC" w:rsidRPr="001E2783" w:rsidRDefault="006250FC" w:rsidP="006250FC">
      <w:pPr>
        <w:rPr>
          <w:rFonts w:cs="Arial"/>
        </w:rPr>
      </w:pPr>
    </w:p>
    <w:p w14:paraId="4C105A31" w14:textId="77777777" w:rsidR="00515426" w:rsidRPr="001E2783" w:rsidRDefault="00515426" w:rsidP="00515426">
      <w:pPr>
        <w:rPr>
          <w:rFonts w:cs="Arial"/>
        </w:rPr>
      </w:pPr>
      <w:r w:rsidRPr="001E2783">
        <w:rPr>
          <w:rFonts w:cs="Arial"/>
        </w:rPr>
        <w:t>Calls that are categorised as non-emergency may include instances of accidental calls (a particular issue with mobile phones), nuisance calls, calls for assistance that are not time-critical and calls to services that are not accessible through the emergency call service</w:t>
      </w:r>
      <w:r w:rsidR="007B5DB9" w:rsidRPr="001E2783">
        <w:rPr>
          <w:rFonts w:cs="Arial"/>
        </w:rPr>
        <w:t xml:space="preserve">, </w:t>
      </w:r>
      <w:r w:rsidRPr="001E2783">
        <w:rPr>
          <w:rFonts w:cs="Arial"/>
        </w:rPr>
        <w:t>such as state emergency services.</w:t>
      </w:r>
    </w:p>
    <w:p w14:paraId="2A60F33A" w14:textId="77777777" w:rsidR="006250FC" w:rsidRPr="001E2783" w:rsidRDefault="006250FC" w:rsidP="006250FC">
      <w:pPr>
        <w:rPr>
          <w:rFonts w:cs="Arial"/>
        </w:rPr>
      </w:pPr>
    </w:p>
    <w:p w14:paraId="645FC159" w14:textId="77777777" w:rsidR="00CC119D" w:rsidRPr="001E2783" w:rsidRDefault="006250FC" w:rsidP="006250FC">
      <w:pPr>
        <w:rPr>
          <w:rFonts w:cs="Arial"/>
        </w:rPr>
      </w:pPr>
      <w:r w:rsidRPr="001E2783">
        <w:rPr>
          <w:rFonts w:cs="Arial"/>
        </w:rPr>
        <w:t>Since Telstra’s introduction of a short recorded voice announcement fo</w:t>
      </w:r>
      <w:r w:rsidR="00E37749" w:rsidRPr="001E2783">
        <w:rPr>
          <w:rFonts w:cs="Arial"/>
        </w:rPr>
        <w:t>r the Triple Zero service on 19 </w:t>
      </w:r>
      <w:r w:rsidRPr="001E2783">
        <w:rPr>
          <w:rFonts w:cs="Arial"/>
        </w:rPr>
        <w:t xml:space="preserve">December 2008, the number of calls to Triple Zero reaching the ECP has reduced by </w:t>
      </w:r>
      <w:r w:rsidR="007B5DB9" w:rsidRPr="001E2783">
        <w:rPr>
          <w:rFonts w:cs="Arial"/>
        </w:rPr>
        <w:t>about 30 </w:t>
      </w:r>
      <w:r w:rsidRPr="001E2783">
        <w:rPr>
          <w:rFonts w:cs="Arial"/>
        </w:rPr>
        <w:t>per cent, without any genuine calls being affected. Another effective measure to reduce non-emergency calls has been the implementation of an industry-agreed escalated warning process. On avera</w:t>
      </w:r>
      <w:r w:rsidR="00E37749" w:rsidRPr="001E2783">
        <w:rPr>
          <w:rFonts w:cs="Arial"/>
        </w:rPr>
        <w:t>ge, 99 </w:t>
      </w:r>
      <w:r w:rsidRPr="001E2783">
        <w:rPr>
          <w:rFonts w:cs="Arial"/>
        </w:rPr>
        <w:t xml:space="preserve">per cent of callers </w:t>
      </w:r>
      <w:r w:rsidR="00443405" w:rsidRPr="001E2783">
        <w:rPr>
          <w:rFonts w:cs="Arial"/>
        </w:rPr>
        <w:t>who</w:t>
      </w:r>
      <w:r w:rsidRPr="001E2783">
        <w:rPr>
          <w:rFonts w:cs="Arial"/>
        </w:rPr>
        <w:t xml:space="preserve"> receive a warning from the ECP are deterred from further misuse. Experience is showing that the risk of account suspension and police referral is acting as a significant deterrent.</w:t>
      </w:r>
    </w:p>
    <w:p w14:paraId="488965E6" w14:textId="77777777" w:rsidR="006250FC" w:rsidRPr="001E2783" w:rsidRDefault="006250FC" w:rsidP="006250FC">
      <w:pPr>
        <w:rPr>
          <w:rFonts w:cs="Arial"/>
        </w:rPr>
      </w:pPr>
    </w:p>
    <w:p w14:paraId="5A16F7FA" w14:textId="77777777" w:rsidR="00CC119D" w:rsidRPr="001E2783" w:rsidRDefault="00CC119D" w:rsidP="00CC119D">
      <w:pPr>
        <w:pStyle w:val="BodysubheaderH4"/>
        <w:rPr>
          <w:rFonts w:cs="Arial"/>
        </w:rPr>
      </w:pPr>
      <w:r w:rsidRPr="001E2783">
        <w:rPr>
          <w:rFonts w:cs="Arial"/>
        </w:rPr>
        <w:t>Triple Zero Kids’ Challenge</w:t>
      </w:r>
    </w:p>
    <w:p w14:paraId="3E342057" w14:textId="34EA6D3D" w:rsidR="00515426" w:rsidRPr="001E2783" w:rsidRDefault="00515426" w:rsidP="00515426">
      <w:pPr>
        <w:rPr>
          <w:rFonts w:cs="Arial"/>
        </w:rPr>
      </w:pPr>
      <w:bookmarkStart w:id="203" w:name="_Toc274124087"/>
      <w:r w:rsidRPr="001E2783">
        <w:rPr>
          <w:rFonts w:cs="Arial"/>
        </w:rPr>
        <w:t xml:space="preserve">During the reporting period, the Triple Zero Awareness Work Group, an ECSAC working group, was active in developing initiatives aimed at improving awareness of Australia’s emergency call service, particularly among children. </w:t>
      </w:r>
      <w:r w:rsidR="00443405" w:rsidRPr="001E2783">
        <w:rPr>
          <w:rFonts w:cs="Arial"/>
        </w:rPr>
        <w:t>In August 2014, t</w:t>
      </w:r>
      <w:r w:rsidRPr="001E2783">
        <w:rPr>
          <w:rFonts w:cs="Arial"/>
        </w:rPr>
        <w:t>he Triple Zero Awareness Work Group (of which the ACMA is a member) launched smartphone and tablet application versions of the Triple Zero Kids’ Challenge to improve accessibility</w:t>
      </w:r>
      <w:r w:rsidR="00443405" w:rsidRPr="001E2783">
        <w:rPr>
          <w:rFonts w:cs="Arial"/>
        </w:rPr>
        <w:t>. The program aims</w:t>
      </w:r>
      <w:r w:rsidRPr="001E2783">
        <w:rPr>
          <w:rFonts w:cs="Arial"/>
        </w:rPr>
        <w:t xml:space="preserve"> to educate children aged between five and 10 about the emergency call service. Over </w:t>
      </w:r>
      <w:r w:rsidR="007B5DB9" w:rsidRPr="001E2783">
        <w:rPr>
          <w:rFonts w:cs="Arial"/>
        </w:rPr>
        <w:t>925,</w:t>
      </w:r>
      <w:r w:rsidR="006A0278" w:rsidRPr="001E2783">
        <w:rPr>
          <w:rFonts w:cs="Arial"/>
        </w:rPr>
        <w:t>000</w:t>
      </w:r>
      <w:r w:rsidR="007B5DB9" w:rsidRPr="001E2783">
        <w:rPr>
          <w:rFonts w:cs="Arial"/>
        </w:rPr>
        <w:t xml:space="preserve"> </w:t>
      </w:r>
      <w:r w:rsidR="00443405" w:rsidRPr="001E2783">
        <w:rPr>
          <w:rFonts w:cs="Arial"/>
        </w:rPr>
        <w:t>games have been played since its launch</w:t>
      </w:r>
      <w:r w:rsidRPr="001E2783">
        <w:rPr>
          <w:rFonts w:cs="Arial"/>
        </w:rPr>
        <w:t xml:space="preserve"> in May 2010.</w:t>
      </w:r>
    </w:p>
    <w:p w14:paraId="70C9805F" w14:textId="77777777" w:rsidR="006250FC" w:rsidRPr="001E2783" w:rsidRDefault="006250FC" w:rsidP="00CC119D">
      <w:pPr>
        <w:rPr>
          <w:rFonts w:cs="Arial"/>
        </w:rPr>
      </w:pPr>
    </w:p>
    <w:p w14:paraId="7D4EA363" w14:textId="77777777" w:rsidR="006250FC" w:rsidRPr="001E2783" w:rsidRDefault="00443405" w:rsidP="006250FC">
      <w:pPr>
        <w:pStyle w:val="BodysubheaderH4"/>
        <w:rPr>
          <w:rFonts w:cs="Arial"/>
        </w:rPr>
      </w:pPr>
      <w:r w:rsidRPr="001E2783">
        <w:rPr>
          <w:rFonts w:cs="Arial"/>
        </w:rPr>
        <w:t>Emergency+ a</w:t>
      </w:r>
      <w:r w:rsidR="006250FC" w:rsidRPr="001E2783">
        <w:rPr>
          <w:rFonts w:cs="Arial"/>
        </w:rPr>
        <w:t xml:space="preserve">pp </w:t>
      </w:r>
    </w:p>
    <w:p w14:paraId="4CDEF5F0" w14:textId="77777777" w:rsidR="006250FC" w:rsidRPr="001E2783" w:rsidRDefault="006250FC" w:rsidP="006250FC">
      <w:pPr>
        <w:rPr>
          <w:rFonts w:cs="Arial"/>
        </w:rPr>
      </w:pPr>
      <w:r w:rsidRPr="001E2783">
        <w:rPr>
          <w:rFonts w:cs="Arial"/>
        </w:rPr>
        <w:t>In December 2013</w:t>
      </w:r>
      <w:r w:rsidR="00443405" w:rsidRPr="001E2783">
        <w:rPr>
          <w:rFonts w:cs="Arial"/>
        </w:rPr>
        <w:t>,</w:t>
      </w:r>
      <w:r w:rsidRPr="001E2783">
        <w:rPr>
          <w:rFonts w:cs="Arial"/>
        </w:rPr>
        <w:t xml:space="preserve"> the Triple Zero Awareness Work Group launched a new E</w:t>
      </w:r>
      <w:r w:rsidR="00443405" w:rsidRPr="001E2783">
        <w:rPr>
          <w:rFonts w:cs="Arial"/>
        </w:rPr>
        <w:t xml:space="preserve">mergency+ app for smartphones. </w:t>
      </w:r>
      <w:r w:rsidRPr="001E2783">
        <w:rPr>
          <w:rFonts w:cs="Arial"/>
        </w:rPr>
        <w:t xml:space="preserve">When activated, the Emergency+ app </w:t>
      </w:r>
      <w:r w:rsidR="00443405" w:rsidRPr="001E2783">
        <w:rPr>
          <w:rFonts w:cs="Arial"/>
        </w:rPr>
        <w:t>gives</w:t>
      </w:r>
      <w:r w:rsidRPr="001E2783">
        <w:rPr>
          <w:rFonts w:cs="Arial"/>
        </w:rPr>
        <w:t xml:space="preserve"> users their GPS reference</w:t>
      </w:r>
      <w:r w:rsidR="00443405" w:rsidRPr="001E2783">
        <w:rPr>
          <w:rFonts w:cs="Arial"/>
        </w:rPr>
        <w:t>,</w:t>
      </w:r>
      <w:r w:rsidRPr="001E2783">
        <w:rPr>
          <w:rFonts w:cs="Arial"/>
        </w:rPr>
        <w:t xml:space="preserve"> which they can </w:t>
      </w:r>
      <w:r w:rsidR="00446D83" w:rsidRPr="001E2783">
        <w:rPr>
          <w:rFonts w:cs="Arial"/>
        </w:rPr>
        <w:t>provide</w:t>
      </w:r>
      <w:r w:rsidR="007B5DB9" w:rsidRPr="001E2783">
        <w:rPr>
          <w:rFonts w:cs="Arial"/>
        </w:rPr>
        <w:t xml:space="preserve"> orally</w:t>
      </w:r>
      <w:r w:rsidR="00446D83" w:rsidRPr="001E2783">
        <w:rPr>
          <w:rFonts w:cs="Arial"/>
        </w:rPr>
        <w:t xml:space="preserve"> to an emergency call-</w:t>
      </w:r>
      <w:r w:rsidRPr="001E2783">
        <w:rPr>
          <w:rFonts w:cs="Arial"/>
        </w:rPr>
        <w:t>taker to pin</w:t>
      </w:r>
      <w:r w:rsidR="00446D83" w:rsidRPr="001E2783">
        <w:rPr>
          <w:rFonts w:cs="Arial"/>
        </w:rPr>
        <w:t xml:space="preserve">point their physical location. </w:t>
      </w:r>
      <w:r w:rsidRPr="001E2783">
        <w:rPr>
          <w:rFonts w:cs="Arial"/>
        </w:rPr>
        <w:t xml:space="preserve">The app also contains contact numbers and a short explanation of when to call non-emergency numbers such as the Police Assistance Line and the national State Emergency Service (SES) number. </w:t>
      </w:r>
      <w:r w:rsidR="00446D83" w:rsidRPr="001E2783">
        <w:rPr>
          <w:rFonts w:cs="Arial"/>
        </w:rPr>
        <w:t>There have</w:t>
      </w:r>
      <w:r w:rsidRPr="001E2783">
        <w:rPr>
          <w:rFonts w:cs="Arial"/>
        </w:rPr>
        <w:t xml:space="preserve"> been </w:t>
      </w:r>
      <w:r w:rsidR="009212F5" w:rsidRPr="001E2783">
        <w:rPr>
          <w:rFonts w:cs="Arial"/>
        </w:rPr>
        <w:t>over</w:t>
      </w:r>
      <w:r w:rsidRPr="001E2783">
        <w:rPr>
          <w:rFonts w:cs="Arial"/>
        </w:rPr>
        <w:t xml:space="preserve"> </w:t>
      </w:r>
      <w:r w:rsidR="007B5DB9" w:rsidRPr="001E2783">
        <w:rPr>
          <w:rFonts w:cs="Arial"/>
        </w:rPr>
        <w:t>90,0</w:t>
      </w:r>
      <w:r w:rsidR="009212F5" w:rsidRPr="001E2783">
        <w:rPr>
          <w:rFonts w:cs="Arial"/>
        </w:rPr>
        <w:t>00</w:t>
      </w:r>
      <w:r w:rsidRPr="001E2783">
        <w:rPr>
          <w:rFonts w:cs="Arial"/>
        </w:rPr>
        <w:t xml:space="preserve"> downloads of the Emergency+ app since the launch.</w:t>
      </w:r>
    </w:p>
    <w:p w14:paraId="208DE476" w14:textId="77777777" w:rsidR="006250FC" w:rsidRPr="001E2783" w:rsidRDefault="006250FC" w:rsidP="00CC119D">
      <w:pPr>
        <w:rPr>
          <w:rFonts w:cs="Arial"/>
          <w:strike/>
        </w:rPr>
      </w:pPr>
    </w:p>
    <w:p w14:paraId="7E824866" w14:textId="77777777" w:rsidR="00A80D59" w:rsidRPr="001E2783" w:rsidRDefault="00A80D59" w:rsidP="00EC626B">
      <w:pPr>
        <w:pStyle w:val="BodysubheaderH4"/>
        <w:rPr>
          <w:rFonts w:cs="Arial"/>
        </w:rPr>
      </w:pPr>
      <w:r w:rsidRPr="001E2783">
        <w:rPr>
          <w:rFonts w:cs="Arial"/>
        </w:rPr>
        <w:t xml:space="preserve">Complaints </w:t>
      </w:r>
      <w:r w:rsidR="006250FC" w:rsidRPr="001E2783">
        <w:rPr>
          <w:rFonts w:cs="Arial"/>
        </w:rPr>
        <w:t xml:space="preserve">and investigations </w:t>
      </w:r>
      <w:r w:rsidRPr="001E2783">
        <w:rPr>
          <w:rFonts w:cs="Arial"/>
        </w:rPr>
        <w:t>about the Triple Zero service</w:t>
      </w:r>
    </w:p>
    <w:p w14:paraId="67206079" w14:textId="77777777" w:rsidR="00515426" w:rsidRPr="001E2783" w:rsidRDefault="00515426" w:rsidP="00515426">
      <w:pPr>
        <w:pStyle w:val="PlainText"/>
        <w:keepNext/>
        <w:rPr>
          <w:rFonts w:ascii="Arial" w:eastAsia="Times New Roman" w:hAnsi="Arial" w:cs="Arial"/>
          <w:sz w:val="20"/>
          <w:szCs w:val="24"/>
        </w:rPr>
      </w:pPr>
      <w:r w:rsidRPr="001E2783">
        <w:rPr>
          <w:rFonts w:ascii="Arial" w:eastAsia="Times New Roman" w:hAnsi="Arial" w:cs="Arial"/>
          <w:sz w:val="20"/>
          <w:szCs w:val="24"/>
        </w:rPr>
        <w:t xml:space="preserve">During the reporting period, the ACMA received a small number of complaints and enquiries about the Triple Zero service. Most of these related to the handling of calls by </w:t>
      </w:r>
      <w:r w:rsidR="00446D83" w:rsidRPr="001E2783">
        <w:rPr>
          <w:rFonts w:ascii="Arial" w:eastAsia="Times New Roman" w:hAnsi="Arial" w:cs="Arial"/>
          <w:sz w:val="20"/>
          <w:szCs w:val="24"/>
        </w:rPr>
        <w:t>an</w:t>
      </w:r>
      <w:r w:rsidRPr="001E2783">
        <w:rPr>
          <w:rFonts w:ascii="Arial" w:eastAsia="Times New Roman" w:hAnsi="Arial" w:cs="Arial"/>
          <w:sz w:val="20"/>
          <w:szCs w:val="24"/>
        </w:rPr>
        <w:t xml:space="preserve"> </w:t>
      </w:r>
      <w:r w:rsidR="00446D83" w:rsidRPr="001E2783">
        <w:rPr>
          <w:rFonts w:ascii="Arial" w:eastAsia="Times New Roman" w:hAnsi="Arial" w:cs="Arial"/>
          <w:sz w:val="20"/>
          <w:szCs w:val="24"/>
        </w:rPr>
        <w:t>ESO</w:t>
      </w:r>
      <w:r w:rsidRPr="001E2783">
        <w:rPr>
          <w:rFonts w:ascii="Arial" w:eastAsia="Times New Roman" w:hAnsi="Arial" w:cs="Arial"/>
          <w:sz w:val="20"/>
          <w:szCs w:val="24"/>
        </w:rPr>
        <w:t xml:space="preserve"> (and not to Telstra as the ECP for 000 and 112), and were referred to the relevant organisation for a response. In May 2014, the ACMA finalised an investigation into alleged failure to provide Triple Zero access, with a no breach finding due to insufficient evidence.</w:t>
      </w:r>
    </w:p>
    <w:p w14:paraId="6021DFB1" w14:textId="77777777" w:rsidR="006250FC" w:rsidRPr="001E2783" w:rsidRDefault="006250FC" w:rsidP="006250FC">
      <w:pPr>
        <w:rPr>
          <w:rFonts w:cs="Arial"/>
        </w:rPr>
      </w:pPr>
    </w:p>
    <w:p w14:paraId="0E8F6C0F" w14:textId="77777777" w:rsidR="00515426" w:rsidRPr="001E2783" w:rsidRDefault="00515426" w:rsidP="00515426">
      <w:pPr>
        <w:pStyle w:val="BodysubheaderH4"/>
        <w:rPr>
          <w:rFonts w:cs="Arial"/>
        </w:rPr>
      </w:pPr>
      <w:r w:rsidRPr="001E2783">
        <w:rPr>
          <w:rFonts w:cs="Arial"/>
        </w:rPr>
        <w:t>TPG Federal Court judgement</w:t>
      </w:r>
    </w:p>
    <w:p w14:paraId="2F313E5D" w14:textId="77777777" w:rsidR="00515426" w:rsidRPr="001E2783" w:rsidRDefault="00515426" w:rsidP="00515426">
      <w:pPr>
        <w:rPr>
          <w:rFonts w:cs="Arial"/>
        </w:rPr>
      </w:pPr>
      <w:r w:rsidRPr="001E2783">
        <w:rPr>
          <w:rFonts w:cs="Arial"/>
        </w:rPr>
        <w:t xml:space="preserve">In April 2014, the Federal Court of Australia ordered TPG Internet to pay penalties </w:t>
      </w:r>
      <w:r w:rsidR="007B5DB9" w:rsidRPr="001E2783">
        <w:rPr>
          <w:rFonts w:cs="Arial"/>
        </w:rPr>
        <w:t xml:space="preserve">totalling </w:t>
      </w:r>
      <w:r w:rsidRPr="001E2783">
        <w:rPr>
          <w:rFonts w:cs="Arial"/>
        </w:rPr>
        <w:t xml:space="preserve">$400,000 for contraventions of the Telecommunications (Emergency Call Service) Determination 2009. </w:t>
      </w:r>
    </w:p>
    <w:p w14:paraId="0F323122" w14:textId="77777777" w:rsidR="00515426" w:rsidRPr="001E2783" w:rsidRDefault="00515426" w:rsidP="00515426">
      <w:pPr>
        <w:rPr>
          <w:rFonts w:cs="Arial"/>
        </w:rPr>
      </w:pPr>
    </w:p>
    <w:p w14:paraId="1393936F" w14:textId="77777777" w:rsidR="00515426" w:rsidRPr="001E2783" w:rsidRDefault="00515426" w:rsidP="00515426">
      <w:pPr>
        <w:rPr>
          <w:rFonts w:cs="Arial"/>
        </w:rPr>
      </w:pPr>
      <w:r w:rsidRPr="001E2783">
        <w:rPr>
          <w:rFonts w:cs="Arial"/>
        </w:rPr>
        <w:t xml:space="preserve">This followed an investigation by the ACMA into a complaint </w:t>
      </w:r>
      <w:r w:rsidR="00446D83" w:rsidRPr="001E2783">
        <w:rPr>
          <w:rFonts w:cs="Arial"/>
        </w:rPr>
        <w:t>about</w:t>
      </w:r>
      <w:r w:rsidRPr="001E2783">
        <w:rPr>
          <w:rFonts w:cs="Arial"/>
        </w:rPr>
        <w:t xml:space="preserve"> a failure to connect a call made to the Triple Zero emergency call service on a home telephone service supplied by TPG Internet. The call was made in circumstances where an individual required urgent medical attention. </w:t>
      </w:r>
    </w:p>
    <w:p w14:paraId="1F8BD800" w14:textId="77777777" w:rsidR="00515426" w:rsidRPr="001E2783" w:rsidRDefault="00515426" w:rsidP="00515426">
      <w:pPr>
        <w:rPr>
          <w:rFonts w:cs="Arial"/>
        </w:rPr>
      </w:pPr>
    </w:p>
    <w:p w14:paraId="52EA4733" w14:textId="77777777" w:rsidR="00515426" w:rsidRPr="001E2783" w:rsidRDefault="00515426" w:rsidP="00515426">
      <w:pPr>
        <w:rPr>
          <w:rFonts w:cs="Arial"/>
        </w:rPr>
      </w:pPr>
      <w:r w:rsidRPr="001E2783">
        <w:rPr>
          <w:rFonts w:cs="Arial"/>
        </w:rPr>
        <w:t>During the course of the ACMA’s investigation, TPG Internet advised that</w:t>
      </w:r>
      <w:r w:rsidR="00446D83" w:rsidRPr="001E2783">
        <w:rPr>
          <w:rFonts w:cs="Arial"/>
        </w:rPr>
        <w:t>,</w:t>
      </w:r>
      <w:r w:rsidRPr="001E2783">
        <w:rPr>
          <w:rFonts w:cs="Arial"/>
        </w:rPr>
        <w:t xml:space="preserve"> as a result of an error in a software upgrade to its systems, </w:t>
      </w:r>
      <w:r w:rsidR="00E37749" w:rsidRPr="001E2783">
        <w:rPr>
          <w:rFonts w:cs="Arial"/>
        </w:rPr>
        <w:t>from 15 </w:t>
      </w:r>
      <w:r w:rsidR="00446D83" w:rsidRPr="001E2783">
        <w:rPr>
          <w:rFonts w:cs="Arial"/>
        </w:rPr>
        <w:t>March 2011 to 21 </w:t>
      </w:r>
      <w:r w:rsidRPr="001E2783">
        <w:rPr>
          <w:rFonts w:cs="Arial"/>
        </w:rPr>
        <w:t>September 2011 the end</w:t>
      </w:r>
      <w:r w:rsidR="00446D83" w:rsidRPr="001E2783">
        <w:rPr>
          <w:rFonts w:cs="Arial"/>
        </w:rPr>
        <w:t xml:space="preserve"> </w:t>
      </w:r>
      <w:r w:rsidRPr="001E2783">
        <w:rPr>
          <w:rFonts w:cs="Arial"/>
        </w:rPr>
        <w:t>users of 5,979 home telephone services, whose customers had failed to maintain an appropriate credit balance, did not have access to the Triple Zero emergency call service until the credit balance was restored. Telephone records provided by TPG Internet indicated that, during the relevant period, 193 calls were made to Triple Zero on 100 of those home telephone services and none was connected.</w:t>
      </w:r>
    </w:p>
    <w:p w14:paraId="00BA4925" w14:textId="77777777" w:rsidR="006250FC" w:rsidRPr="001E2783" w:rsidRDefault="006250FC" w:rsidP="006250FC">
      <w:pPr>
        <w:rPr>
          <w:rFonts w:cs="Arial"/>
        </w:rPr>
      </w:pPr>
    </w:p>
    <w:p w14:paraId="0594CD36" w14:textId="77777777" w:rsidR="00A80D59" w:rsidRPr="001E2783" w:rsidRDefault="00A80D59" w:rsidP="00A80D59">
      <w:pPr>
        <w:pStyle w:val="Heading3"/>
      </w:pPr>
      <w:bookmarkStart w:id="204" w:name="_Toc400018571"/>
      <w:r w:rsidRPr="001E2783">
        <w:t>Integrated Public Number Database</w:t>
      </w:r>
      <w:bookmarkEnd w:id="204"/>
    </w:p>
    <w:p w14:paraId="38915002" w14:textId="77777777" w:rsidR="00515426" w:rsidRPr="001E2783" w:rsidRDefault="00515426" w:rsidP="00515426">
      <w:pPr>
        <w:rPr>
          <w:rFonts w:cs="Arial"/>
        </w:rPr>
      </w:pPr>
      <w:r w:rsidRPr="001E2783">
        <w:rPr>
          <w:rFonts w:cs="Arial"/>
        </w:rPr>
        <w:t xml:space="preserve">The </w:t>
      </w:r>
      <w:r w:rsidR="00446D83" w:rsidRPr="001E2783">
        <w:rPr>
          <w:rFonts w:cs="Arial"/>
        </w:rPr>
        <w:t>IPND</w:t>
      </w:r>
      <w:r w:rsidRPr="001E2783">
        <w:rPr>
          <w:rFonts w:cs="Arial"/>
        </w:rPr>
        <w:t xml:space="preserve"> is a telecommunications industry-wide database of all listed and unlisted public numbers and their associated customer data. Law enforcement agencies and emergency services regularly access customer data from the IPND and it is critical that the data is accurate for these purposes. </w:t>
      </w:r>
    </w:p>
    <w:p w14:paraId="39B73553" w14:textId="77777777" w:rsidR="00515426" w:rsidRPr="001E2783" w:rsidRDefault="00515426" w:rsidP="00515426">
      <w:pPr>
        <w:rPr>
          <w:rFonts w:cs="Arial"/>
        </w:rPr>
      </w:pPr>
    </w:p>
    <w:p w14:paraId="44858E83" w14:textId="77777777" w:rsidR="00515426" w:rsidRPr="001E2783" w:rsidRDefault="00515426" w:rsidP="00515426">
      <w:pPr>
        <w:rPr>
          <w:rFonts w:cs="Arial"/>
        </w:rPr>
      </w:pPr>
      <w:r w:rsidRPr="001E2783">
        <w:rPr>
          <w:rFonts w:cs="Arial"/>
        </w:rPr>
        <w:t xml:space="preserve">In addition to ongoing compliance activity to improve data quality in the IPND, the ACMA continued to contribute to the IPND review conducted by </w:t>
      </w:r>
      <w:r w:rsidR="00A33637" w:rsidRPr="001E2783">
        <w:rPr>
          <w:rFonts w:cs="Arial"/>
        </w:rPr>
        <w:t>DoC</w:t>
      </w:r>
      <w:r w:rsidRPr="001E2783">
        <w:rPr>
          <w:rFonts w:cs="Arial"/>
        </w:rPr>
        <w:t>.</w:t>
      </w:r>
    </w:p>
    <w:p w14:paraId="52B91DDE" w14:textId="77777777" w:rsidR="00A80D59" w:rsidRPr="001E2783" w:rsidRDefault="00A80D59" w:rsidP="00A80D59">
      <w:pPr>
        <w:rPr>
          <w:rFonts w:cs="Arial"/>
        </w:rPr>
      </w:pPr>
    </w:p>
    <w:p w14:paraId="22BBA52B" w14:textId="77777777" w:rsidR="00515426" w:rsidRPr="001E2783" w:rsidRDefault="00515426" w:rsidP="00515426">
      <w:pPr>
        <w:pStyle w:val="BodysubheaderH4"/>
        <w:rPr>
          <w:rFonts w:cs="Arial"/>
        </w:rPr>
      </w:pPr>
      <w:r w:rsidRPr="001E2783">
        <w:rPr>
          <w:rFonts w:cs="Arial"/>
        </w:rPr>
        <w:t>CSP compliance with IPND requirements</w:t>
      </w:r>
    </w:p>
    <w:p w14:paraId="13BC1C18" w14:textId="77777777" w:rsidR="00515426" w:rsidRPr="001E2783" w:rsidRDefault="00515426" w:rsidP="00515426">
      <w:pPr>
        <w:rPr>
          <w:rFonts w:cs="Arial"/>
        </w:rPr>
      </w:pPr>
      <w:r w:rsidRPr="001E2783">
        <w:rPr>
          <w:rFonts w:cs="Arial"/>
        </w:rPr>
        <w:t xml:space="preserve">The ACMA’s </w:t>
      </w:r>
      <w:r w:rsidR="00446D83" w:rsidRPr="001E2783">
        <w:rPr>
          <w:rFonts w:cs="Arial"/>
        </w:rPr>
        <w:t>c</w:t>
      </w:r>
      <w:r w:rsidRPr="001E2783">
        <w:rPr>
          <w:rFonts w:cs="Arial"/>
        </w:rPr>
        <w:t xml:space="preserve">ompliance </w:t>
      </w:r>
      <w:r w:rsidR="00446D83" w:rsidRPr="001E2783">
        <w:rPr>
          <w:rFonts w:cs="Arial"/>
        </w:rPr>
        <w:t>p</w:t>
      </w:r>
      <w:r w:rsidRPr="001E2783">
        <w:rPr>
          <w:rFonts w:cs="Arial"/>
        </w:rPr>
        <w:t xml:space="preserve">rogram includes a package of measures developed to improve compliance by CSPs with their IPND-related regulatory obligations and, in so doing, improve the quality and completeness of data contained in the IPND. </w:t>
      </w:r>
    </w:p>
    <w:p w14:paraId="328E8469" w14:textId="77777777" w:rsidR="00515426" w:rsidRPr="001E2783" w:rsidRDefault="00515426" w:rsidP="00515426">
      <w:pPr>
        <w:rPr>
          <w:rFonts w:cs="Arial"/>
        </w:rPr>
      </w:pPr>
    </w:p>
    <w:p w14:paraId="207A72C2" w14:textId="77777777" w:rsidR="00515426" w:rsidRPr="001E2783" w:rsidRDefault="00446D83" w:rsidP="00515426">
      <w:pPr>
        <w:rPr>
          <w:rFonts w:cs="Arial"/>
        </w:rPr>
      </w:pPr>
      <w:r w:rsidRPr="001E2783">
        <w:rPr>
          <w:rFonts w:cs="Arial"/>
        </w:rPr>
        <w:t>In 2013–</w:t>
      </w:r>
      <w:r w:rsidR="00515426" w:rsidRPr="001E2783">
        <w:rPr>
          <w:rFonts w:cs="Arial"/>
        </w:rPr>
        <w:t>14, a key compliance activity</w:t>
      </w:r>
      <w:r w:rsidRPr="001E2783">
        <w:rPr>
          <w:rFonts w:cs="Arial"/>
        </w:rPr>
        <w:t xml:space="preserve"> was to monitor</w:t>
      </w:r>
      <w:r w:rsidR="00515426" w:rsidRPr="001E2783">
        <w:rPr>
          <w:rFonts w:cs="Arial"/>
        </w:rPr>
        <w:t>, on a monthly basis, the percentage of customer records each data provider has in the IPND with one or more errors</w:t>
      </w:r>
      <w:r w:rsidRPr="001E2783">
        <w:rPr>
          <w:rFonts w:cs="Arial"/>
        </w:rPr>
        <w:t>,</w:t>
      </w:r>
      <w:r w:rsidR="00515426" w:rsidRPr="001E2783">
        <w:rPr>
          <w:rFonts w:cs="Arial"/>
        </w:rPr>
        <w:t xml:space="preserve"> as i</w:t>
      </w:r>
      <w:r w:rsidRPr="001E2783">
        <w:rPr>
          <w:rFonts w:cs="Arial"/>
        </w:rPr>
        <w:t>dentified by the IPND Manager. T</w:t>
      </w:r>
      <w:r w:rsidR="00515426" w:rsidRPr="001E2783">
        <w:rPr>
          <w:rFonts w:cs="Arial"/>
        </w:rPr>
        <w:t>his monitoring resulted in the ACMA raising compliance issues with 15 CSPs. All 15 CSPs contacted by the ACMA have taken steps to improve the quality of the customer data they provide to the IPND Manager.</w:t>
      </w:r>
    </w:p>
    <w:p w14:paraId="14914250" w14:textId="77777777" w:rsidR="00515426" w:rsidRPr="001E2783" w:rsidRDefault="00515426" w:rsidP="00515426">
      <w:pPr>
        <w:rPr>
          <w:rFonts w:cs="Arial"/>
        </w:rPr>
      </w:pPr>
    </w:p>
    <w:p w14:paraId="23A9B5A1" w14:textId="77777777" w:rsidR="006250FC" w:rsidRPr="001E2783" w:rsidRDefault="00446D83" w:rsidP="00421608">
      <w:pPr>
        <w:pStyle w:val="BodysubheaderH4"/>
        <w:rPr>
          <w:rFonts w:cs="Arial"/>
        </w:rPr>
      </w:pPr>
      <w:r w:rsidRPr="001E2783">
        <w:rPr>
          <w:rFonts w:cs="Arial"/>
        </w:rPr>
        <w:t>Lycamobile e</w:t>
      </w:r>
      <w:r w:rsidR="006250FC" w:rsidRPr="001E2783">
        <w:rPr>
          <w:rFonts w:cs="Arial"/>
        </w:rPr>
        <w:t>nforceable undertaking over IPND rule breaches</w:t>
      </w:r>
    </w:p>
    <w:p w14:paraId="40A9AEAA" w14:textId="77777777" w:rsidR="006250FC" w:rsidRPr="001E2783" w:rsidRDefault="006250FC" w:rsidP="006250FC">
      <w:pPr>
        <w:rPr>
          <w:rFonts w:cs="Arial"/>
        </w:rPr>
      </w:pPr>
      <w:r w:rsidRPr="001E2783">
        <w:rPr>
          <w:rFonts w:cs="Arial"/>
        </w:rPr>
        <w:t xml:space="preserve">In September 2013, the ACMA accepted an enforceable undertaking from Lycamobile, following an investigation that found </w:t>
      </w:r>
      <w:r w:rsidR="00446D83" w:rsidRPr="001E2783">
        <w:rPr>
          <w:rFonts w:cs="Arial"/>
        </w:rPr>
        <w:t>it</w:t>
      </w:r>
      <w:r w:rsidRPr="001E2783">
        <w:rPr>
          <w:rFonts w:cs="Arial"/>
        </w:rPr>
        <w:t xml:space="preserve"> had breached its obligations to provide accurate cus</w:t>
      </w:r>
      <w:r w:rsidR="00446D83" w:rsidRPr="001E2783">
        <w:rPr>
          <w:rFonts w:cs="Arial"/>
        </w:rPr>
        <w:t>tomer information to the IPND.</w:t>
      </w:r>
    </w:p>
    <w:p w14:paraId="489E8D0B" w14:textId="77777777" w:rsidR="00421608" w:rsidRPr="001E2783" w:rsidRDefault="00421608" w:rsidP="006250FC">
      <w:pPr>
        <w:rPr>
          <w:rFonts w:cs="Arial"/>
        </w:rPr>
      </w:pPr>
    </w:p>
    <w:p w14:paraId="0595BE4F" w14:textId="77777777" w:rsidR="00446D83" w:rsidRPr="001E2783" w:rsidRDefault="006250FC" w:rsidP="00446D83">
      <w:pPr>
        <w:spacing w:after="80"/>
        <w:rPr>
          <w:rFonts w:cs="Arial"/>
        </w:rPr>
      </w:pPr>
      <w:r w:rsidRPr="001E2783">
        <w:rPr>
          <w:rFonts w:cs="Arial"/>
        </w:rPr>
        <w:t xml:space="preserve">The </w:t>
      </w:r>
      <w:r w:rsidR="00446D83" w:rsidRPr="001E2783">
        <w:rPr>
          <w:rFonts w:cs="Arial"/>
        </w:rPr>
        <w:t>enforceable undertaking</w:t>
      </w:r>
      <w:r w:rsidRPr="001E2783">
        <w:rPr>
          <w:rFonts w:cs="Arial"/>
        </w:rPr>
        <w:t xml:space="preserve"> commits Lycamobile to</w:t>
      </w:r>
      <w:r w:rsidR="00446D83" w:rsidRPr="001E2783">
        <w:rPr>
          <w:rFonts w:cs="Arial"/>
        </w:rPr>
        <w:t>:</w:t>
      </w:r>
    </w:p>
    <w:p w14:paraId="5CB291F9" w14:textId="77777777" w:rsidR="00446D83" w:rsidRPr="001E2783" w:rsidRDefault="006250FC" w:rsidP="00446D83">
      <w:pPr>
        <w:pStyle w:val="ListBullet"/>
        <w:rPr>
          <w:rFonts w:cs="Arial"/>
        </w:rPr>
      </w:pPr>
      <w:r w:rsidRPr="001E2783">
        <w:rPr>
          <w:rFonts w:cs="Arial"/>
        </w:rPr>
        <w:t>upgrade its data collection and error correction processes</w:t>
      </w:r>
    </w:p>
    <w:p w14:paraId="4996DCEA" w14:textId="77777777" w:rsidR="00446D83" w:rsidRPr="001E2783" w:rsidRDefault="006250FC" w:rsidP="00446D83">
      <w:pPr>
        <w:pStyle w:val="ListBullet"/>
        <w:rPr>
          <w:rFonts w:cs="Arial"/>
        </w:rPr>
      </w:pPr>
      <w:r w:rsidRPr="001E2783">
        <w:rPr>
          <w:rFonts w:cs="Arial"/>
        </w:rPr>
        <w:t>audit its existing records against address validation software</w:t>
      </w:r>
    </w:p>
    <w:p w14:paraId="3BA5E695" w14:textId="77777777" w:rsidR="00446D83" w:rsidRPr="001E2783" w:rsidRDefault="006250FC" w:rsidP="002057A4">
      <w:pPr>
        <w:pStyle w:val="ListBullet"/>
        <w:keepNext/>
        <w:keepLines/>
        <w:rPr>
          <w:rFonts w:cs="Arial"/>
        </w:rPr>
      </w:pPr>
      <w:r w:rsidRPr="001E2783">
        <w:rPr>
          <w:rFonts w:cs="Arial"/>
        </w:rPr>
        <w:t>instigate a comprehensive training and education process</w:t>
      </w:r>
    </w:p>
    <w:p w14:paraId="668BB958" w14:textId="77777777" w:rsidR="00446D83" w:rsidRPr="001E2783" w:rsidRDefault="006250FC" w:rsidP="002057A4">
      <w:pPr>
        <w:pStyle w:val="ListBullet"/>
        <w:keepNext/>
        <w:keepLines/>
        <w:spacing w:after="240"/>
        <w:rPr>
          <w:rFonts w:cs="Arial"/>
        </w:rPr>
      </w:pPr>
      <w:r w:rsidRPr="001E2783">
        <w:rPr>
          <w:rFonts w:cs="Arial"/>
        </w:rPr>
        <w:t>re</w:t>
      </w:r>
      <w:r w:rsidR="002C7BE9" w:rsidRPr="001E2783">
        <w:rPr>
          <w:rFonts w:cs="Arial"/>
        </w:rPr>
        <w:t>gularly report to the ACMA for two years.</w:t>
      </w:r>
    </w:p>
    <w:p w14:paraId="19524F4B" w14:textId="77777777" w:rsidR="00A80D59" w:rsidRPr="001E2783" w:rsidRDefault="006250FC" w:rsidP="00446D83">
      <w:pPr>
        <w:rPr>
          <w:rFonts w:cs="Arial"/>
        </w:rPr>
      </w:pPr>
      <w:r w:rsidRPr="001E2783">
        <w:rPr>
          <w:rFonts w:cs="Arial"/>
        </w:rPr>
        <w:t xml:space="preserve">Since the </w:t>
      </w:r>
      <w:r w:rsidR="002C7BE9" w:rsidRPr="001E2783">
        <w:rPr>
          <w:rFonts w:cs="Arial"/>
        </w:rPr>
        <w:t>enforceable undertaking</w:t>
      </w:r>
      <w:r w:rsidRPr="001E2783">
        <w:rPr>
          <w:rFonts w:cs="Arial"/>
        </w:rPr>
        <w:t xml:space="preserve"> was accepted</w:t>
      </w:r>
      <w:r w:rsidR="002C7BE9" w:rsidRPr="001E2783">
        <w:rPr>
          <w:rFonts w:cs="Arial"/>
        </w:rPr>
        <w:t>,</w:t>
      </w:r>
      <w:r w:rsidRPr="001E2783">
        <w:rPr>
          <w:rFonts w:cs="Arial"/>
        </w:rPr>
        <w:t xml:space="preserve"> the quality of Lycamobile’s customer data has improved significantly, with the percentage of </w:t>
      </w:r>
      <w:r w:rsidR="008E2FBC" w:rsidRPr="001E2783">
        <w:rPr>
          <w:rFonts w:cs="Arial"/>
        </w:rPr>
        <w:t xml:space="preserve">incorrect </w:t>
      </w:r>
      <w:r w:rsidRPr="001E2783">
        <w:rPr>
          <w:rFonts w:cs="Arial"/>
        </w:rPr>
        <w:t>customer records a</w:t>
      </w:r>
      <w:r w:rsidR="002C7BE9" w:rsidRPr="001E2783">
        <w:rPr>
          <w:rFonts w:cs="Arial"/>
        </w:rPr>
        <w:t>t</w:t>
      </w:r>
      <w:r w:rsidRPr="001E2783">
        <w:rPr>
          <w:rFonts w:cs="Arial"/>
        </w:rPr>
        <w:t xml:space="preserve"> </w:t>
      </w:r>
      <w:r w:rsidR="002C7BE9" w:rsidRPr="001E2783">
        <w:rPr>
          <w:rFonts w:cs="Arial"/>
        </w:rPr>
        <w:t xml:space="preserve">a </w:t>
      </w:r>
      <w:r w:rsidRPr="001E2783">
        <w:rPr>
          <w:rFonts w:cs="Arial"/>
        </w:rPr>
        <w:t>fraction of previous</w:t>
      </w:r>
      <w:r w:rsidR="002C7BE9" w:rsidRPr="001E2783">
        <w:rPr>
          <w:rFonts w:cs="Arial"/>
        </w:rPr>
        <w:t xml:space="preserve"> levels</w:t>
      </w:r>
      <w:r w:rsidRPr="001E2783">
        <w:rPr>
          <w:rFonts w:cs="Arial"/>
        </w:rPr>
        <w:t>.</w:t>
      </w:r>
    </w:p>
    <w:p w14:paraId="05B8C06C" w14:textId="77777777" w:rsidR="00421608" w:rsidRPr="001E2783" w:rsidRDefault="00421608" w:rsidP="006250FC">
      <w:pPr>
        <w:rPr>
          <w:rFonts w:cs="Arial"/>
        </w:rPr>
      </w:pPr>
    </w:p>
    <w:p w14:paraId="1BBAB059" w14:textId="77777777" w:rsidR="00FA0362" w:rsidRPr="001E2783" w:rsidRDefault="00FA0362" w:rsidP="00FA0362">
      <w:pPr>
        <w:pStyle w:val="Heading3"/>
      </w:pPr>
      <w:bookmarkStart w:id="205" w:name="_Toc337727604"/>
      <w:bookmarkStart w:id="206" w:name="_Toc400018572"/>
      <w:bookmarkEnd w:id="203"/>
      <w:r w:rsidRPr="001E2783">
        <w:t>Cybersecurity</w:t>
      </w:r>
      <w:bookmarkEnd w:id="205"/>
      <w:bookmarkEnd w:id="206"/>
    </w:p>
    <w:p w14:paraId="640C1A40" w14:textId="1D508E52" w:rsidR="00AF0E3A" w:rsidRPr="001E2783" w:rsidRDefault="00AF0E3A" w:rsidP="00AF0E3A">
      <w:pPr>
        <w:rPr>
          <w:rFonts w:cs="Arial"/>
        </w:rPr>
      </w:pPr>
      <w:bookmarkStart w:id="207" w:name="_Toc337727605"/>
      <w:r w:rsidRPr="001E2783">
        <w:rPr>
          <w:rFonts w:cs="Arial"/>
        </w:rPr>
        <w:t>During 2013–14, the average</w:t>
      </w:r>
      <w:r w:rsidR="00E95CD3" w:rsidRPr="001E2783">
        <w:rPr>
          <w:rFonts w:cs="Arial"/>
        </w:rPr>
        <w:t xml:space="preserve"> number of compromises—</w:t>
      </w:r>
      <w:r w:rsidRPr="001E2783">
        <w:rPr>
          <w:rFonts w:cs="Arial"/>
        </w:rPr>
        <w:t xml:space="preserve">malware infections on computers—reported per day to </w:t>
      </w:r>
      <w:r w:rsidR="00E95CD3" w:rsidRPr="001E2783">
        <w:rPr>
          <w:rFonts w:cs="Arial"/>
        </w:rPr>
        <w:t>internet service providers (</w:t>
      </w:r>
      <w:r w:rsidRPr="001E2783">
        <w:rPr>
          <w:rFonts w:cs="Arial"/>
        </w:rPr>
        <w:t>ISPs</w:t>
      </w:r>
      <w:r w:rsidR="00E95CD3" w:rsidRPr="001E2783">
        <w:rPr>
          <w:rFonts w:cs="Arial"/>
        </w:rPr>
        <w:t>)</w:t>
      </w:r>
      <w:r w:rsidRPr="001E2783">
        <w:rPr>
          <w:rFonts w:cs="Arial"/>
        </w:rPr>
        <w:t xml:space="preserve"> and educational institutions participating in the ACMA’s Australian Internet Security Initiative (AISI) was </w:t>
      </w:r>
      <w:r w:rsidR="00135432" w:rsidRPr="001E2783">
        <w:rPr>
          <w:rFonts w:cs="Arial"/>
        </w:rPr>
        <w:t>25,839</w:t>
      </w:r>
      <w:r w:rsidR="00ED3ECD" w:rsidRPr="001E2783">
        <w:rPr>
          <w:rFonts w:cs="Arial"/>
        </w:rPr>
        <w:t xml:space="preserve"> (up to 27 May 2014). </w:t>
      </w:r>
      <w:r w:rsidR="00135432" w:rsidRPr="001E2783">
        <w:rPr>
          <w:rFonts w:cs="Arial"/>
        </w:rPr>
        <w:t>This was an increase of approximately 52</w:t>
      </w:r>
      <w:r w:rsidR="00E37749" w:rsidRPr="001E2783">
        <w:rPr>
          <w:rFonts w:cs="Arial"/>
        </w:rPr>
        <w:t> </w:t>
      </w:r>
      <w:r w:rsidR="00135432" w:rsidRPr="001E2783">
        <w:rPr>
          <w:rFonts w:cs="Arial"/>
        </w:rPr>
        <w:t>per cent on the previous year, primarily due to the proliferation of a new malware type, ZeroAccess, which started in August 2013.</w:t>
      </w:r>
    </w:p>
    <w:p w14:paraId="3F57F3E0" w14:textId="77777777" w:rsidR="00AF0E3A" w:rsidRPr="001E2783" w:rsidRDefault="00AF0E3A" w:rsidP="00135432">
      <w:pPr>
        <w:tabs>
          <w:tab w:val="left" w:pos="1096"/>
        </w:tabs>
        <w:rPr>
          <w:rFonts w:cs="Arial"/>
        </w:rPr>
      </w:pPr>
    </w:p>
    <w:p w14:paraId="2C339E0F" w14:textId="77777777" w:rsidR="00135432" w:rsidRPr="001E2783" w:rsidRDefault="00135432" w:rsidP="00135432">
      <w:pPr>
        <w:rPr>
          <w:rFonts w:cs="Arial"/>
        </w:rPr>
      </w:pPr>
      <w:r w:rsidRPr="001E2783">
        <w:rPr>
          <w:rFonts w:cs="Arial"/>
        </w:rPr>
        <w:t>Since 27 May 2014, as a result of</w:t>
      </w:r>
      <w:r w:rsidR="00E37749" w:rsidRPr="001E2783">
        <w:rPr>
          <w:rFonts w:cs="Arial"/>
        </w:rPr>
        <w:t xml:space="preserve"> the implementation of the AISI </w:t>
      </w:r>
      <w:r w:rsidRPr="001E2783">
        <w:rPr>
          <w:rFonts w:cs="Arial"/>
        </w:rPr>
        <w:t xml:space="preserve">2.0 project, AISI members have received daily reports listing most observations of malware infections in their networks. Previously, they received only a single report for each infected IP address in each 24-hour period. As a consequence of this change, figures showing the number of reports sent to AISI members before and </w:t>
      </w:r>
      <w:r w:rsidR="00E37749" w:rsidRPr="001E2783">
        <w:rPr>
          <w:rFonts w:cs="Arial"/>
        </w:rPr>
        <w:t>after 27 </w:t>
      </w:r>
      <w:r w:rsidRPr="001E2783">
        <w:rPr>
          <w:rFonts w:cs="Arial"/>
        </w:rPr>
        <w:t>May are not comparable. Betwee</w:t>
      </w:r>
      <w:r w:rsidR="00E37749" w:rsidRPr="001E2783">
        <w:rPr>
          <w:rFonts w:cs="Arial"/>
        </w:rPr>
        <w:t>n 28 May and 30 June 2014, 1.66 </w:t>
      </w:r>
      <w:r w:rsidRPr="001E2783">
        <w:rPr>
          <w:rFonts w:cs="Arial"/>
        </w:rPr>
        <w:t xml:space="preserve">million observations of malware infections were reported to AISI members.  </w:t>
      </w:r>
    </w:p>
    <w:p w14:paraId="53437C71" w14:textId="77777777" w:rsidR="00135432" w:rsidRPr="001E2783" w:rsidRDefault="00135432" w:rsidP="00135432">
      <w:pPr>
        <w:tabs>
          <w:tab w:val="left" w:pos="1096"/>
        </w:tabs>
        <w:rPr>
          <w:rFonts w:cs="Arial"/>
        </w:rPr>
      </w:pPr>
    </w:p>
    <w:p w14:paraId="5F09D078" w14:textId="77777777" w:rsidR="00AF0E3A" w:rsidRPr="001E2783" w:rsidRDefault="00AF0E3A" w:rsidP="00AF0E3A">
      <w:pPr>
        <w:rPr>
          <w:rFonts w:cs="Arial"/>
        </w:rPr>
      </w:pPr>
      <w:r w:rsidRPr="001E2783">
        <w:rPr>
          <w:rFonts w:cs="Arial"/>
        </w:rPr>
        <w:t>The number of AISI partic</w:t>
      </w:r>
      <w:r w:rsidR="00E37749" w:rsidRPr="001E2783">
        <w:rPr>
          <w:rFonts w:cs="Arial"/>
        </w:rPr>
        <w:t>ipants increased from 133 at 30 </w:t>
      </w:r>
      <w:r w:rsidRPr="001E2783">
        <w:rPr>
          <w:rFonts w:cs="Arial"/>
        </w:rPr>
        <w:t>June 201</w:t>
      </w:r>
      <w:r w:rsidR="000158AF" w:rsidRPr="001E2783">
        <w:rPr>
          <w:rFonts w:cs="Arial"/>
        </w:rPr>
        <w:t>3</w:t>
      </w:r>
      <w:r w:rsidRPr="001E2783">
        <w:rPr>
          <w:rFonts w:cs="Arial"/>
        </w:rPr>
        <w:t xml:space="preserve"> to </w:t>
      </w:r>
      <w:r w:rsidR="00135432" w:rsidRPr="001E2783">
        <w:rPr>
          <w:rFonts w:cs="Arial"/>
        </w:rPr>
        <w:t xml:space="preserve">139 </w:t>
      </w:r>
      <w:r w:rsidRPr="001E2783">
        <w:rPr>
          <w:rFonts w:cs="Arial"/>
        </w:rPr>
        <w:t>at 30</w:t>
      </w:r>
      <w:r w:rsidR="000158AF" w:rsidRPr="001E2783">
        <w:rPr>
          <w:rFonts w:cs="Arial"/>
        </w:rPr>
        <w:t> </w:t>
      </w:r>
      <w:r w:rsidRPr="001E2783">
        <w:rPr>
          <w:rFonts w:cs="Arial"/>
        </w:rPr>
        <w:t>June 201</w:t>
      </w:r>
      <w:r w:rsidR="000158AF" w:rsidRPr="001E2783">
        <w:rPr>
          <w:rFonts w:cs="Arial"/>
        </w:rPr>
        <w:t>4</w:t>
      </w:r>
      <w:r w:rsidRPr="001E2783">
        <w:rPr>
          <w:rFonts w:cs="Arial"/>
        </w:rPr>
        <w:t xml:space="preserve">. It is estimated that the </w:t>
      </w:r>
      <w:r w:rsidR="000158AF" w:rsidRPr="001E2783">
        <w:rPr>
          <w:rFonts w:cs="Arial"/>
        </w:rPr>
        <w:t>internet protocol (</w:t>
      </w:r>
      <w:r w:rsidRPr="001E2783">
        <w:rPr>
          <w:rFonts w:cs="Arial"/>
        </w:rPr>
        <w:t>IP</w:t>
      </w:r>
      <w:r w:rsidR="000158AF" w:rsidRPr="001E2783">
        <w:rPr>
          <w:rFonts w:cs="Arial"/>
        </w:rPr>
        <w:t>)</w:t>
      </w:r>
      <w:r w:rsidRPr="001E2783">
        <w:rPr>
          <w:rFonts w:cs="Arial"/>
        </w:rPr>
        <w:t xml:space="preserve"> address ranges used by th</w:t>
      </w:r>
      <w:r w:rsidR="00E37749" w:rsidRPr="001E2783">
        <w:rPr>
          <w:rFonts w:cs="Arial"/>
        </w:rPr>
        <w:t>ese AISI members account for 98 </w:t>
      </w:r>
      <w:r w:rsidRPr="001E2783">
        <w:rPr>
          <w:rFonts w:cs="Arial"/>
        </w:rPr>
        <w:t>per cent of allocated Australian IP address ranges.</w:t>
      </w:r>
    </w:p>
    <w:p w14:paraId="168F6822" w14:textId="77777777" w:rsidR="00AF0E3A" w:rsidRPr="001E2783" w:rsidRDefault="00AF0E3A" w:rsidP="00AF0E3A">
      <w:pPr>
        <w:rPr>
          <w:rFonts w:cs="Arial"/>
        </w:rPr>
      </w:pPr>
    </w:p>
    <w:p w14:paraId="169AA058" w14:textId="77777777" w:rsidR="00AF0E3A" w:rsidRPr="001E2783" w:rsidRDefault="00AF0E3A" w:rsidP="00AF0E3A">
      <w:pPr>
        <w:rPr>
          <w:rFonts w:cs="Arial"/>
        </w:rPr>
      </w:pPr>
      <w:r w:rsidRPr="001E2783">
        <w:rPr>
          <w:rFonts w:cs="Arial"/>
        </w:rPr>
        <w:t>Reports of spam provided to the ACMA can indicate ‘phishing’ activities—the use of electronic messages to acquire significant personal or financial information from users. Since 2011–12, the ACMA has provided notifications of URLs appearing in phishing messages to government agencies such as the Australian Taxation Office</w:t>
      </w:r>
      <w:r w:rsidR="000158AF" w:rsidRPr="001E2783">
        <w:rPr>
          <w:rFonts w:cs="Arial"/>
        </w:rPr>
        <w:t>,</w:t>
      </w:r>
      <w:r w:rsidRPr="001E2783">
        <w:rPr>
          <w:rFonts w:cs="Arial"/>
        </w:rPr>
        <w:t xml:space="preserve"> and critical infrastructure providers such as carriers and financial institutions. In 2013–14, a monthly average of </w:t>
      </w:r>
      <w:r w:rsidR="00135432" w:rsidRPr="001E2783">
        <w:rPr>
          <w:rFonts w:cs="Arial"/>
        </w:rPr>
        <w:t>3,866</w:t>
      </w:r>
      <w:r w:rsidRPr="001E2783">
        <w:rPr>
          <w:rFonts w:cs="Arial"/>
        </w:rPr>
        <w:t xml:space="preserve"> phishing notifications </w:t>
      </w:r>
      <w:r w:rsidR="00E37749" w:rsidRPr="001E2783">
        <w:rPr>
          <w:rFonts w:cs="Arial"/>
        </w:rPr>
        <w:t>was</w:t>
      </w:r>
      <w:r w:rsidRPr="001E2783">
        <w:rPr>
          <w:rFonts w:cs="Arial"/>
        </w:rPr>
        <w:t xml:space="preserve"> sent. </w:t>
      </w:r>
    </w:p>
    <w:p w14:paraId="45060817" w14:textId="77777777" w:rsidR="00AF0E3A" w:rsidRPr="001E2783" w:rsidRDefault="00AF0E3A" w:rsidP="00AF0E3A">
      <w:pPr>
        <w:rPr>
          <w:rFonts w:cs="Arial"/>
        </w:rPr>
      </w:pPr>
    </w:p>
    <w:p w14:paraId="13713612" w14:textId="77777777" w:rsidR="00AF0E3A" w:rsidRPr="001E2783" w:rsidRDefault="00AF0E3A" w:rsidP="00AF0E3A">
      <w:pPr>
        <w:keepNext/>
        <w:spacing w:after="80"/>
        <w:rPr>
          <w:rFonts w:cs="Arial"/>
        </w:rPr>
      </w:pPr>
      <w:r w:rsidRPr="001E2783">
        <w:rPr>
          <w:rFonts w:cs="Arial"/>
        </w:rPr>
        <w:t>In support of these activities</w:t>
      </w:r>
      <w:r w:rsidR="000158AF" w:rsidRPr="001E2783">
        <w:rPr>
          <w:rFonts w:cs="Arial"/>
        </w:rPr>
        <w:t>,</w:t>
      </w:r>
      <w:r w:rsidRPr="001E2783">
        <w:rPr>
          <w:rFonts w:cs="Arial"/>
        </w:rPr>
        <w:t xml:space="preserve"> </w:t>
      </w:r>
      <w:r w:rsidR="000158AF" w:rsidRPr="001E2783">
        <w:rPr>
          <w:rFonts w:cs="Arial"/>
        </w:rPr>
        <w:t xml:space="preserve">in 2013–14 </w:t>
      </w:r>
      <w:r w:rsidRPr="001E2783">
        <w:rPr>
          <w:rFonts w:cs="Arial"/>
        </w:rPr>
        <w:t>the ACMA has:</w:t>
      </w:r>
    </w:p>
    <w:p w14:paraId="79341099" w14:textId="77777777" w:rsidR="00AF0E3A" w:rsidRPr="001E2783" w:rsidRDefault="00AF0E3A" w:rsidP="00AF0E3A">
      <w:pPr>
        <w:pStyle w:val="ListBullet"/>
        <w:rPr>
          <w:rFonts w:cs="Arial"/>
        </w:rPr>
      </w:pPr>
      <w:r w:rsidRPr="001E2783">
        <w:rPr>
          <w:rFonts w:cs="Arial"/>
        </w:rPr>
        <w:t xml:space="preserve">Published on its website </w:t>
      </w:r>
      <w:r w:rsidR="00A33637" w:rsidRPr="001E2783">
        <w:rPr>
          <w:rFonts w:cs="Arial"/>
        </w:rPr>
        <w:t xml:space="preserve">statistics </w:t>
      </w:r>
      <w:r w:rsidRPr="001E2783">
        <w:rPr>
          <w:rFonts w:cs="Arial"/>
        </w:rPr>
        <w:t>on the number and types of malware infections reported each day through the AISI to participants, updated daily.</w:t>
      </w:r>
    </w:p>
    <w:p w14:paraId="5D6DC966" w14:textId="1752CEF0" w:rsidR="00AF0E3A" w:rsidRPr="001E2783" w:rsidRDefault="00AF0E3A" w:rsidP="00AF0E3A">
      <w:pPr>
        <w:pStyle w:val="ListBullet"/>
        <w:spacing w:after="240"/>
        <w:rPr>
          <w:rFonts w:cs="Arial"/>
        </w:rPr>
      </w:pPr>
      <w:r w:rsidRPr="001E2783">
        <w:rPr>
          <w:rFonts w:cs="Arial"/>
        </w:rPr>
        <w:t>Increased data on compromised computers feeding into the AISI in order to enhance the detection of compromises</w:t>
      </w:r>
      <w:r w:rsidR="000158AF" w:rsidRPr="001E2783">
        <w:rPr>
          <w:rFonts w:cs="Arial"/>
        </w:rPr>
        <w:t>. O</w:t>
      </w:r>
      <w:r w:rsidRPr="001E2783">
        <w:rPr>
          <w:rFonts w:cs="Arial"/>
        </w:rPr>
        <w:t>ver 1</w:t>
      </w:r>
      <w:r w:rsidR="00ED3ECD" w:rsidRPr="001E2783">
        <w:rPr>
          <w:rFonts w:cs="Arial"/>
        </w:rPr>
        <w:t>7</w:t>
      </w:r>
      <w:r w:rsidRPr="001E2783">
        <w:rPr>
          <w:rFonts w:cs="Arial"/>
        </w:rPr>
        <w:t xml:space="preserve"> sources provid</w:t>
      </w:r>
      <w:r w:rsidR="000158AF" w:rsidRPr="001E2783">
        <w:rPr>
          <w:rFonts w:cs="Arial"/>
        </w:rPr>
        <w:t>e</w:t>
      </w:r>
      <w:r w:rsidRPr="001E2783">
        <w:rPr>
          <w:rFonts w:cs="Arial"/>
        </w:rPr>
        <w:t xml:space="preserve"> regular data into the AISI</w:t>
      </w:r>
      <w:r w:rsidR="000158AF" w:rsidRPr="001E2783">
        <w:rPr>
          <w:rFonts w:cs="Arial"/>
        </w:rPr>
        <w:t>,</w:t>
      </w:r>
      <w:r w:rsidRPr="001E2783">
        <w:rPr>
          <w:rFonts w:cs="Arial"/>
        </w:rPr>
        <w:t xml:space="preserve"> including</w:t>
      </w:r>
      <w:r w:rsidR="000158AF" w:rsidRPr="001E2783">
        <w:rPr>
          <w:rFonts w:cs="Arial"/>
        </w:rPr>
        <w:t>,</w:t>
      </w:r>
      <w:r w:rsidRPr="001E2783">
        <w:rPr>
          <w:rFonts w:cs="Arial"/>
        </w:rPr>
        <w:t xml:space="preserve"> in May 2014, </w:t>
      </w:r>
      <w:r w:rsidR="000158AF" w:rsidRPr="001E2783">
        <w:rPr>
          <w:rFonts w:cs="Arial"/>
        </w:rPr>
        <w:t xml:space="preserve">an </w:t>
      </w:r>
      <w:r w:rsidRPr="001E2783">
        <w:rPr>
          <w:rFonts w:cs="Arial"/>
        </w:rPr>
        <w:t>agreement for Microsoft to supply the ACMA with data from the Microsoft Cyber Threat Intelligence Program.</w:t>
      </w:r>
    </w:p>
    <w:p w14:paraId="57D425CB" w14:textId="77777777" w:rsidR="00AF0E3A" w:rsidRPr="001E2783" w:rsidRDefault="00AF0E3A" w:rsidP="00AF0E3A">
      <w:pPr>
        <w:rPr>
          <w:rFonts w:cs="Arial"/>
        </w:rPr>
      </w:pPr>
      <w:r w:rsidRPr="001E2783">
        <w:rPr>
          <w:rFonts w:cs="Arial"/>
        </w:rPr>
        <w:t xml:space="preserve">These activities form part of the whole-of-government effort to address cybersecurity risks. In support of this effort, the ACMA also provides data to law enforcement authorities and to CERT Australia that </w:t>
      </w:r>
      <w:r w:rsidR="00554147" w:rsidRPr="001E2783">
        <w:rPr>
          <w:rFonts w:cs="Arial"/>
        </w:rPr>
        <w:t>help</w:t>
      </w:r>
      <w:r w:rsidRPr="001E2783">
        <w:rPr>
          <w:rFonts w:cs="Arial"/>
        </w:rPr>
        <w:t xml:space="preserve"> in identifying current and new cybersecurity threats. </w:t>
      </w:r>
    </w:p>
    <w:p w14:paraId="00BAD17D" w14:textId="77777777" w:rsidR="00AF0E3A" w:rsidRPr="001E2783" w:rsidRDefault="00AF0E3A" w:rsidP="00AF0E3A">
      <w:pPr>
        <w:rPr>
          <w:rFonts w:cs="Arial"/>
        </w:rPr>
      </w:pPr>
    </w:p>
    <w:tbl>
      <w:tblPr>
        <w:tblW w:w="9645" w:type="dxa"/>
        <w:shd w:val="clear" w:color="auto" w:fill="F2F2F2" w:themeFill="background1" w:themeFillShade="F2"/>
        <w:tblLayout w:type="fixed"/>
        <w:tblCellMar>
          <w:left w:w="0" w:type="dxa"/>
          <w:right w:w="0" w:type="dxa"/>
        </w:tblCellMar>
        <w:tblLook w:val="01E0" w:firstRow="1" w:lastRow="1" w:firstColumn="1" w:lastColumn="1" w:noHBand="0" w:noVBand="0"/>
      </w:tblPr>
      <w:tblGrid>
        <w:gridCol w:w="9645"/>
      </w:tblGrid>
      <w:tr w:rsidR="001E2783" w:rsidRPr="001E2783" w14:paraId="5E1E80D3" w14:textId="77777777" w:rsidTr="00AF0E3A">
        <w:trPr>
          <w:trHeight w:val="570"/>
        </w:trPr>
        <w:tc>
          <w:tcPr>
            <w:tcW w:w="9645" w:type="dxa"/>
            <w:tcBorders>
              <w:top w:val="single" w:sz="2" w:space="0" w:color="505050"/>
            </w:tcBorders>
            <w:shd w:val="clear" w:color="auto" w:fill="F2F2F2" w:themeFill="background1" w:themeFillShade="F2"/>
            <w:vAlign w:val="center"/>
          </w:tcPr>
          <w:p w14:paraId="1A035BBD" w14:textId="77777777" w:rsidR="00AF0E3A" w:rsidRPr="001E2783" w:rsidRDefault="00AF0E3A" w:rsidP="00AF0E3A">
            <w:pPr>
              <w:pStyle w:val="Caption"/>
              <w:keepNext/>
              <w:rPr>
                <w:rFonts w:ascii="Arial" w:hAnsi="Arial" w:cs="Arial"/>
                <w:color w:val="auto"/>
              </w:rPr>
            </w:pPr>
            <w:r w:rsidRPr="001E2783">
              <w:rPr>
                <w:rFonts w:ascii="Arial" w:hAnsi="Arial" w:cs="Arial"/>
                <w:color w:val="auto"/>
              </w:rPr>
              <w:t>Case study</w:t>
            </w:r>
          </w:p>
          <w:p w14:paraId="0DE32566" w14:textId="77777777" w:rsidR="00AF0E3A" w:rsidRPr="001E2783" w:rsidRDefault="00135432" w:rsidP="00135432">
            <w:pPr>
              <w:pStyle w:val="Caption"/>
              <w:keepNext/>
              <w:rPr>
                <w:rFonts w:ascii="Arial" w:hAnsi="Arial" w:cs="Arial"/>
                <w:color w:val="auto"/>
              </w:rPr>
            </w:pPr>
            <w:r w:rsidRPr="001E2783">
              <w:rPr>
                <w:rFonts w:ascii="Arial" w:hAnsi="Arial" w:cs="Arial"/>
                <w:color w:val="auto"/>
              </w:rPr>
              <w:t>A</w:t>
            </w:r>
            <w:r w:rsidR="00A65A8D" w:rsidRPr="001E2783">
              <w:rPr>
                <w:rFonts w:ascii="Arial" w:hAnsi="Arial" w:cs="Arial"/>
                <w:color w:val="auto"/>
              </w:rPr>
              <w:t>ISI 2.0 p</w:t>
            </w:r>
            <w:r w:rsidRPr="001E2783">
              <w:rPr>
                <w:rFonts w:ascii="Arial" w:hAnsi="Arial" w:cs="Arial"/>
                <w:color w:val="auto"/>
              </w:rPr>
              <w:t>ortal</w:t>
            </w:r>
            <w:r w:rsidR="00AF0E3A" w:rsidRPr="001E2783">
              <w:rPr>
                <w:rFonts w:ascii="Arial" w:hAnsi="Arial" w:cs="Arial"/>
                <w:color w:val="auto"/>
              </w:rPr>
              <w:t xml:space="preserve"> </w:t>
            </w:r>
          </w:p>
        </w:tc>
      </w:tr>
      <w:tr w:rsidR="001E2783" w:rsidRPr="001E2783" w14:paraId="15C78082" w14:textId="77777777" w:rsidTr="00AF0E3A">
        <w:trPr>
          <w:trHeight w:val="3086"/>
        </w:trPr>
        <w:tc>
          <w:tcPr>
            <w:tcW w:w="9645" w:type="dxa"/>
            <w:shd w:val="clear" w:color="auto" w:fill="F2F2F2" w:themeFill="background1" w:themeFillShade="F2"/>
            <w:tcMar>
              <w:left w:w="28" w:type="dxa"/>
            </w:tcMar>
          </w:tcPr>
          <w:p w14:paraId="5340FAC7" w14:textId="77777777" w:rsidR="00135432" w:rsidRPr="001E2783" w:rsidRDefault="00135432" w:rsidP="00A62137">
            <w:pPr>
              <w:keepNext/>
              <w:keepLines/>
              <w:rPr>
                <w:rFonts w:cs="Arial"/>
              </w:rPr>
            </w:pPr>
            <w:r w:rsidRPr="001E2783">
              <w:rPr>
                <w:rFonts w:cs="Arial"/>
              </w:rPr>
              <w:t>In response to feedback from AISI members, the ACMA upgraded AISI data and provided a self-service model</w:t>
            </w:r>
            <w:r w:rsidR="00E37749" w:rsidRPr="001E2783">
              <w:rPr>
                <w:rFonts w:cs="Arial"/>
              </w:rPr>
              <w:t xml:space="preserve"> through its AISI </w:t>
            </w:r>
            <w:r w:rsidR="00A65A8D" w:rsidRPr="001E2783">
              <w:rPr>
                <w:rFonts w:cs="Arial"/>
              </w:rPr>
              <w:t xml:space="preserve">2.0 project. </w:t>
            </w:r>
            <w:r w:rsidR="00E37749" w:rsidRPr="001E2783">
              <w:rPr>
                <w:rFonts w:cs="Arial"/>
              </w:rPr>
              <w:t>The project culminated on 16 </w:t>
            </w:r>
            <w:r w:rsidRPr="001E2783">
              <w:rPr>
                <w:rFonts w:cs="Arial"/>
              </w:rPr>
              <w:t>June 2014 when the AISI portal was made available to AISI members.</w:t>
            </w:r>
          </w:p>
          <w:p w14:paraId="7EE17776" w14:textId="77777777" w:rsidR="00135432" w:rsidRPr="001E2783" w:rsidRDefault="00135432" w:rsidP="00A62137">
            <w:pPr>
              <w:keepNext/>
              <w:keepLines/>
              <w:rPr>
                <w:rFonts w:cs="Arial"/>
              </w:rPr>
            </w:pPr>
          </w:p>
          <w:p w14:paraId="2AB0DB89" w14:textId="77777777" w:rsidR="00A65A8D" w:rsidRPr="001E2783" w:rsidRDefault="00135432" w:rsidP="00A62137">
            <w:pPr>
              <w:keepNext/>
              <w:keepLines/>
              <w:rPr>
                <w:rFonts w:cs="Arial"/>
              </w:rPr>
            </w:pPr>
            <w:r w:rsidRPr="001E2783">
              <w:rPr>
                <w:rFonts w:cs="Arial"/>
              </w:rPr>
              <w:t xml:space="preserve">Historically, the AISI provided daily reports </w:t>
            </w:r>
            <w:r w:rsidR="00A65A8D" w:rsidRPr="001E2783">
              <w:rPr>
                <w:rFonts w:cs="Arial"/>
              </w:rPr>
              <w:t xml:space="preserve">to members </w:t>
            </w:r>
            <w:r w:rsidRPr="001E2783">
              <w:rPr>
                <w:rFonts w:cs="Arial"/>
              </w:rPr>
              <w:t xml:space="preserve">by email </w:t>
            </w:r>
            <w:r w:rsidR="00A65A8D" w:rsidRPr="001E2783">
              <w:rPr>
                <w:rFonts w:cs="Arial"/>
              </w:rPr>
              <w:t>with</w:t>
            </w:r>
            <w:r w:rsidRPr="001E2783">
              <w:rPr>
                <w:rFonts w:cs="Arial"/>
              </w:rPr>
              <w:t xml:space="preserve"> basic information about sightings of malware infections on their networks. These reports provided the last observation of a partic</w:t>
            </w:r>
            <w:r w:rsidR="00A65A8D" w:rsidRPr="001E2783">
              <w:rPr>
                <w:rFonts w:cs="Arial"/>
              </w:rPr>
              <w:t>ular infection type within a 24-</w:t>
            </w:r>
            <w:r w:rsidRPr="001E2783">
              <w:rPr>
                <w:rFonts w:cs="Arial"/>
              </w:rPr>
              <w:t xml:space="preserve">hour period. Given the number of internet-enabled devices connected to home and </w:t>
            </w:r>
            <w:r w:rsidR="00A65A8D" w:rsidRPr="001E2783">
              <w:rPr>
                <w:rFonts w:cs="Arial"/>
              </w:rPr>
              <w:t>small-</w:t>
            </w:r>
            <w:r w:rsidRPr="001E2783">
              <w:rPr>
                <w:rFonts w:cs="Arial"/>
              </w:rPr>
              <w:t xml:space="preserve">business networks has increased in recent years, it was important to </w:t>
            </w:r>
            <w:r w:rsidR="00A65A8D" w:rsidRPr="001E2783">
              <w:rPr>
                <w:rFonts w:cs="Arial"/>
              </w:rPr>
              <w:t>give</w:t>
            </w:r>
            <w:r w:rsidRPr="001E2783">
              <w:rPr>
                <w:rFonts w:cs="Arial"/>
              </w:rPr>
              <w:t xml:space="preserve"> AISI members, including ISPs, better searchable information to help them identify the infected customer equipment</w:t>
            </w:r>
            <w:r w:rsidR="00A65A8D" w:rsidRPr="001E2783">
              <w:rPr>
                <w:rFonts w:cs="Arial"/>
              </w:rPr>
              <w:t>,</w:t>
            </w:r>
            <w:r w:rsidRPr="001E2783">
              <w:rPr>
                <w:rFonts w:cs="Arial"/>
              </w:rPr>
              <w:t xml:space="preserve"> and advise and </w:t>
            </w:r>
            <w:r w:rsidR="00A65A8D" w:rsidRPr="001E2783">
              <w:rPr>
                <w:rFonts w:cs="Arial"/>
              </w:rPr>
              <w:t>help</w:t>
            </w:r>
            <w:r w:rsidRPr="001E2783">
              <w:rPr>
                <w:rFonts w:cs="Arial"/>
              </w:rPr>
              <w:t xml:space="preserve"> their customers with remediation. </w:t>
            </w:r>
          </w:p>
          <w:p w14:paraId="5DE2DF60" w14:textId="77777777" w:rsidR="00A65A8D" w:rsidRPr="001E2783" w:rsidRDefault="00A65A8D" w:rsidP="00A62137">
            <w:pPr>
              <w:keepNext/>
              <w:keepLines/>
              <w:rPr>
                <w:rFonts w:cs="Arial"/>
              </w:rPr>
            </w:pPr>
          </w:p>
          <w:p w14:paraId="63A04016" w14:textId="77777777" w:rsidR="005C426E" w:rsidRPr="001E2783" w:rsidRDefault="00135432" w:rsidP="00A62137">
            <w:pPr>
              <w:keepNext/>
              <w:keepLines/>
              <w:rPr>
                <w:rFonts w:cs="Arial"/>
              </w:rPr>
            </w:pPr>
            <w:r w:rsidRPr="001E2783">
              <w:rPr>
                <w:rFonts w:cs="Arial"/>
              </w:rPr>
              <w:t>The AISI portal now provides members with access to information, including remote and local port information, about all observations of infections on their networks. Searches and reports can be exported into members’ systems, allowing them to couple AISI in</w:t>
            </w:r>
            <w:r w:rsidR="00A65A8D" w:rsidRPr="001E2783">
              <w:rPr>
                <w:rFonts w:cs="Arial"/>
              </w:rPr>
              <w:t xml:space="preserve">formation with their own data. </w:t>
            </w:r>
            <w:r w:rsidRPr="001E2783">
              <w:rPr>
                <w:rFonts w:cs="Arial"/>
              </w:rPr>
              <w:t>It is anticipated that AISI</w:t>
            </w:r>
            <w:r w:rsidR="00E37749" w:rsidRPr="001E2783">
              <w:rPr>
                <w:rFonts w:cs="Arial"/>
              </w:rPr>
              <w:t> </w:t>
            </w:r>
            <w:r w:rsidRPr="001E2783">
              <w:rPr>
                <w:rFonts w:cs="Arial"/>
              </w:rPr>
              <w:t>2.0 will be central to reducing the risk of malware threats for Australian consumers in 2014</w:t>
            </w:r>
            <w:r w:rsidR="00A65A8D" w:rsidRPr="001E2783">
              <w:rPr>
                <w:rFonts w:cs="Arial"/>
              </w:rPr>
              <w:t>–</w:t>
            </w:r>
            <w:r w:rsidRPr="001E2783">
              <w:rPr>
                <w:rFonts w:cs="Arial"/>
              </w:rPr>
              <w:t>15.</w:t>
            </w:r>
          </w:p>
        </w:tc>
      </w:tr>
      <w:tr w:rsidR="001E2783" w:rsidRPr="001E2783" w14:paraId="22680331" w14:textId="77777777" w:rsidTr="0018323E">
        <w:trPr>
          <w:trHeight w:val="66"/>
        </w:trPr>
        <w:tc>
          <w:tcPr>
            <w:tcW w:w="9645" w:type="dxa"/>
            <w:tcBorders>
              <w:bottom w:val="single" w:sz="2" w:space="0" w:color="505050"/>
            </w:tcBorders>
            <w:shd w:val="clear" w:color="auto" w:fill="F2F2F2" w:themeFill="background1" w:themeFillShade="F2"/>
          </w:tcPr>
          <w:p w14:paraId="2199C003" w14:textId="77777777" w:rsidR="00AF0E3A" w:rsidRPr="001E2783" w:rsidRDefault="00AF0E3A" w:rsidP="00A62137">
            <w:pPr>
              <w:keepNext/>
              <w:keepLines/>
              <w:rPr>
                <w:rFonts w:cs="Arial"/>
              </w:rPr>
            </w:pPr>
          </w:p>
        </w:tc>
      </w:tr>
    </w:tbl>
    <w:p w14:paraId="0B4F28F3" w14:textId="77777777" w:rsidR="00AF0E3A" w:rsidRPr="001E2783" w:rsidRDefault="00AF0E3A" w:rsidP="00AF0E3A">
      <w:pPr>
        <w:rPr>
          <w:rFonts w:cs="Arial"/>
        </w:rPr>
      </w:pPr>
    </w:p>
    <w:p w14:paraId="76E2A3F4" w14:textId="77777777" w:rsidR="00CC119D" w:rsidRPr="001E2783" w:rsidRDefault="00CC119D" w:rsidP="00CC119D">
      <w:pPr>
        <w:pStyle w:val="Heading2"/>
      </w:pPr>
      <w:bookmarkStart w:id="208" w:name="_Toc400018573"/>
      <w:r w:rsidRPr="001E2783">
        <w:t>International matters</w:t>
      </w:r>
      <w:bookmarkEnd w:id="207"/>
      <w:bookmarkEnd w:id="208"/>
    </w:p>
    <w:p w14:paraId="6FB8B1E3" w14:textId="77777777" w:rsidR="00CC119D" w:rsidRPr="001E2783" w:rsidRDefault="00CC119D" w:rsidP="008D2FBA">
      <w:pPr>
        <w:spacing w:after="80"/>
        <w:rPr>
          <w:rFonts w:cs="Arial"/>
        </w:rPr>
      </w:pPr>
      <w:r w:rsidRPr="001E2783">
        <w:rPr>
          <w:rFonts w:cs="Arial"/>
        </w:rPr>
        <w:t>During th</w:t>
      </w:r>
      <w:r w:rsidR="00F65252" w:rsidRPr="001E2783">
        <w:rPr>
          <w:rFonts w:cs="Arial"/>
        </w:rPr>
        <w:t>e</w:t>
      </w:r>
      <w:r w:rsidRPr="001E2783">
        <w:rPr>
          <w:rFonts w:cs="Arial"/>
        </w:rPr>
        <w:t xml:space="preserve"> reporting period, the ACMA pursued a defined international engagement strategy to complement its overall strategic direction. Improving its ability to influence regulatory outcomes—as well as supporting the ACMA’s aspirational objective to be, and be recognised as, the world’s leading converged communications regulator—are objectives of the international engagement strategy. The ACMA engages internationally to:</w:t>
      </w:r>
    </w:p>
    <w:p w14:paraId="1B8D412F" w14:textId="77777777" w:rsidR="00CC119D" w:rsidRPr="001E2783" w:rsidRDefault="00CC119D" w:rsidP="00CC119D">
      <w:pPr>
        <w:pStyle w:val="ListBullet"/>
        <w:ind w:left="284"/>
        <w:rPr>
          <w:rFonts w:cs="Arial"/>
        </w:rPr>
      </w:pPr>
      <w:r w:rsidRPr="001E2783">
        <w:rPr>
          <w:rFonts w:cs="Arial"/>
        </w:rPr>
        <w:t>meet its strategic objectives and legislative requirements where these require international activity, including the areas of online content, spam, e-security, cybersafety, radiocommunications and telecommunications</w:t>
      </w:r>
    </w:p>
    <w:p w14:paraId="150A7B53" w14:textId="77777777" w:rsidR="00CC119D" w:rsidRPr="001E2783" w:rsidRDefault="00CC119D" w:rsidP="00CC119D">
      <w:pPr>
        <w:pStyle w:val="ListBullet"/>
        <w:ind w:left="284"/>
        <w:rPr>
          <w:rFonts w:cs="Arial"/>
        </w:rPr>
      </w:pPr>
      <w:r w:rsidRPr="001E2783">
        <w:rPr>
          <w:rFonts w:cs="Arial"/>
        </w:rPr>
        <w:t>support Australia’s domestic needs and whole-of-government objectives, including trade, international competitiveness and regulatory capacity</w:t>
      </w:r>
    </w:p>
    <w:p w14:paraId="4E29CB0F" w14:textId="77777777" w:rsidR="00CC119D" w:rsidRPr="001E2783" w:rsidRDefault="00CC119D" w:rsidP="004C403E">
      <w:pPr>
        <w:pStyle w:val="ListBullet"/>
        <w:ind w:left="284"/>
        <w:rPr>
          <w:rFonts w:cs="Arial"/>
        </w:rPr>
      </w:pPr>
      <w:r w:rsidRPr="001E2783">
        <w:rPr>
          <w:rFonts w:cs="Arial"/>
        </w:rPr>
        <w:t xml:space="preserve">support external positioning objectives, which </w:t>
      </w:r>
      <w:r w:rsidR="000F0E42" w:rsidRPr="001E2783">
        <w:rPr>
          <w:rFonts w:cs="Arial"/>
        </w:rPr>
        <w:t>uphold</w:t>
      </w:r>
      <w:r w:rsidR="00F65252" w:rsidRPr="001E2783">
        <w:rPr>
          <w:rFonts w:cs="Arial"/>
        </w:rPr>
        <w:t xml:space="preserve"> </w:t>
      </w:r>
      <w:r w:rsidRPr="001E2783">
        <w:rPr>
          <w:rFonts w:cs="Arial"/>
        </w:rPr>
        <w:t xml:space="preserve">the ACMA </w:t>
      </w:r>
      <w:r w:rsidR="00F65252" w:rsidRPr="001E2783">
        <w:rPr>
          <w:rFonts w:cs="Arial"/>
        </w:rPr>
        <w:t>as</w:t>
      </w:r>
      <w:r w:rsidRPr="001E2783">
        <w:rPr>
          <w:rFonts w:cs="Arial"/>
        </w:rPr>
        <w:t xml:space="preserve"> a credible source of advice to government and industry on international matters.</w:t>
      </w:r>
    </w:p>
    <w:p w14:paraId="345FE939" w14:textId="77777777" w:rsidR="00C45389" w:rsidRPr="001E2783" w:rsidRDefault="00545C08" w:rsidP="00C45389">
      <w:pPr>
        <w:pStyle w:val="ListBullet"/>
        <w:spacing w:after="240"/>
        <w:ind w:left="284"/>
        <w:rPr>
          <w:rFonts w:cs="Arial"/>
        </w:rPr>
      </w:pPr>
      <w:r w:rsidRPr="001E2783">
        <w:rPr>
          <w:rFonts w:cs="Arial"/>
        </w:rPr>
        <w:t>develop relationships with fellow regulators</w:t>
      </w:r>
      <w:r w:rsidR="00C45389" w:rsidRPr="001E2783">
        <w:rPr>
          <w:rFonts w:cs="Arial"/>
        </w:rPr>
        <w:t xml:space="preserve"> and</w:t>
      </w:r>
      <w:r w:rsidRPr="001E2783">
        <w:rPr>
          <w:rFonts w:cs="Arial"/>
        </w:rPr>
        <w:t xml:space="preserve"> strengthen bilateral relationships with regional authorities and standards development bodies. </w:t>
      </w:r>
    </w:p>
    <w:p w14:paraId="5E830353" w14:textId="77777777" w:rsidR="00C45389" w:rsidRPr="001E2783" w:rsidRDefault="00C45389" w:rsidP="00C45389">
      <w:pPr>
        <w:pStyle w:val="Heading3"/>
      </w:pPr>
      <w:bookmarkStart w:id="209" w:name="_Toc400018574"/>
      <w:r w:rsidRPr="001E2783">
        <w:t>International spectrum activities</w:t>
      </w:r>
      <w:bookmarkEnd w:id="209"/>
    </w:p>
    <w:p w14:paraId="63237C43" w14:textId="77777777" w:rsidR="00545C08" w:rsidRPr="001E2783" w:rsidRDefault="004C403E" w:rsidP="004C403E">
      <w:pPr>
        <w:rPr>
          <w:rFonts w:cs="Arial"/>
        </w:rPr>
      </w:pPr>
      <w:r w:rsidRPr="001E2783">
        <w:rPr>
          <w:rFonts w:cs="Arial"/>
        </w:rPr>
        <w:t>The ACMA’s international spectrum activities</w:t>
      </w:r>
      <w:r w:rsidR="00545C08" w:rsidRPr="001E2783">
        <w:rPr>
          <w:rFonts w:cs="Arial"/>
        </w:rPr>
        <w:t xml:space="preserve"> </w:t>
      </w:r>
      <w:r w:rsidRPr="001E2783">
        <w:rPr>
          <w:rFonts w:cs="Arial"/>
        </w:rPr>
        <w:t>include</w:t>
      </w:r>
      <w:r w:rsidR="00545C08" w:rsidRPr="001E2783">
        <w:rPr>
          <w:rFonts w:cs="Arial"/>
        </w:rPr>
        <w:t xml:space="preserve"> key preparatory work for the 2015 ITU World Radiocommunication Conference (WRC-15), to be held in Geneva from 2</w:t>
      </w:r>
      <w:r w:rsidR="00F109F9" w:rsidRPr="001E2783">
        <w:rPr>
          <w:rFonts w:cs="Arial"/>
        </w:rPr>
        <w:t xml:space="preserve"> to </w:t>
      </w:r>
      <w:r w:rsidR="00545C08" w:rsidRPr="001E2783">
        <w:rPr>
          <w:rFonts w:cs="Arial"/>
        </w:rPr>
        <w:t>27 November 2015.</w:t>
      </w:r>
      <w:r w:rsidRPr="001E2783">
        <w:rPr>
          <w:rFonts w:cs="Arial"/>
        </w:rPr>
        <w:t xml:space="preserve"> </w:t>
      </w:r>
      <w:r w:rsidR="00545C08" w:rsidRPr="001E2783">
        <w:rPr>
          <w:rFonts w:cs="Arial"/>
        </w:rPr>
        <w:t>In total</w:t>
      </w:r>
      <w:r w:rsidR="00283F55" w:rsidRPr="001E2783">
        <w:rPr>
          <w:rFonts w:cs="Arial"/>
        </w:rPr>
        <w:t>,</w:t>
      </w:r>
      <w:r w:rsidR="00545C08" w:rsidRPr="001E2783">
        <w:rPr>
          <w:rFonts w:cs="Arial"/>
        </w:rPr>
        <w:t xml:space="preserve"> 155 Australian delegates participated and 58 Australian contributions were presented at national, regional and international</w:t>
      </w:r>
      <w:r w:rsidR="00283F55" w:rsidRPr="001E2783">
        <w:rPr>
          <w:rFonts w:cs="Arial"/>
        </w:rPr>
        <w:t xml:space="preserve"> radiocommunications meetings. </w:t>
      </w:r>
    </w:p>
    <w:p w14:paraId="636312DE" w14:textId="77777777" w:rsidR="00F109F9" w:rsidRPr="001E2783" w:rsidRDefault="00F109F9" w:rsidP="00F109F9">
      <w:pPr>
        <w:rPr>
          <w:rFonts w:cs="Arial"/>
        </w:rPr>
      </w:pPr>
    </w:p>
    <w:p w14:paraId="6AD7CA81" w14:textId="77777777" w:rsidR="00545C08" w:rsidRPr="001E2783" w:rsidRDefault="00545C08" w:rsidP="002128FA">
      <w:pPr>
        <w:pStyle w:val="BodysubheaderH4"/>
        <w:rPr>
          <w:rFonts w:cs="Arial"/>
        </w:rPr>
      </w:pPr>
      <w:r w:rsidRPr="001E2783">
        <w:rPr>
          <w:rFonts w:cs="Arial"/>
        </w:rPr>
        <w:t>Meetings of the ITU Radiocommunication (ITU-R) and Telecommunication Standardization Sectors (ITU-T)</w:t>
      </w:r>
    </w:p>
    <w:p w14:paraId="73809A5D" w14:textId="77777777" w:rsidR="00545C08" w:rsidRPr="001E2783" w:rsidRDefault="00545C08" w:rsidP="00283F55">
      <w:pPr>
        <w:pStyle w:val="ListBullet"/>
        <w:ind w:left="284"/>
        <w:rPr>
          <w:rFonts w:cs="Arial"/>
        </w:rPr>
      </w:pPr>
      <w:r w:rsidRPr="001E2783">
        <w:rPr>
          <w:rFonts w:cs="Arial"/>
        </w:rPr>
        <w:t>The ACMA led Australian delegations to a total of 43 ITU-R Study Group and Working Party m</w:t>
      </w:r>
      <w:r w:rsidR="00283F55" w:rsidRPr="001E2783">
        <w:rPr>
          <w:rFonts w:cs="Arial"/>
        </w:rPr>
        <w:t>eetings. Much of this work focu</w:t>
      </w:r>
      <w:r w:rsidRPr="001E2783">
        <w:rPr>
          <w:rFonts w:cs="Arial"/>
        </w:rPr>
        <w:t xml:space="preserve">sed on studies </w:t>
      </w:r>
      <w:r w:rsidR="00283F55" w:rsidRPr="001E2783">
        <w:rPr>
          <w:rFonts w:cs="Arial"/>
        </w:rPr>
        <w:t>associated</w:t>
      </w:r>
      <w:r w:rsidRPr="001E2783">
        <w:rPr>
          <w:rFonts w:cs="Arial"/>
        </w:rPr>
        <w:t xml:space="preserve"> with WRC-15 Agenda items as well as standards for international radiocommunications and spectrum activities.</w:t>
      </w:r>
    </w:p>
    <w:p w14:paraId="27AEEA62" w14:textId="77777777" w:rsidR="00545C08" w:rsidRPr="001E2783" w:rsidRDefault="00545C08" w:rsidP="00283F55">
      <w:pPr>
        <w:pStyle w:val="ListBullet"/>
        <w:spacing w:after="240"/>
        <w:ind w:left="284"/>
        <w:rPr>
          <w:rFonts w:cs="Arial"/>
        </w:rPr>
      </w:pPr>
      <w:r w:rsidRPr="001E2783">
        <w:rPr>
          <w:rFonts w:cs="Arial"/>
        </w:rPr>
        <w:t>The ACMA facilitated inputs to ITU-T meetings</w:t>
      </w:r>
      <w:r w:rsidR="00283F55" w:rsidRPr="001E2783">
        <w:rPr>
          <w:rFonts w:cs="Arial"/>
        </w:rPr>
        <w:t>,</w:t>
      </w:r>
      <w:r w:rsidRPr="001E2783">
        <w:rPr>
          <w:rFonts w:cs="Arial"/>
        </w:rPr>
        <w:t xml:space="preserve"> including Australian delegations to ITU-T Study Group 5 and Study Group 16 meetings.</w:t>
      </w:r>
    </w:p>
    <w:p w14:paraId="7C626A2B" w14:textId="77777777" w:rsidR="00545C08" w:rsidRPr="001E2783" w:rsidRDefault="00283F55" w:rsidP="00A62137">
      <w:pPr>
        <w:pStyle w:val="BodysubheaderH4"/>
        <w:keepLines/>
        <w:rPr>
          <w:rFonts w:cs="Arial"/>
        </w:rPr>
      </w:pPr>
      <w:r w:rsidRPr="001E2783">
        <w:rPr>
          <w:rFonts w:cs="Arial"/>
        </w:rPr>
        <w:t>Meetings of the Asia–</w:t>
      </w:r>
      <w:r w:rsidR="00545C08" w:rsidRPr="001E2783">
        <w:rPr>
          <w:rFonts w:cs="Arial"/>
        </w:rPr>
        <w:t>Pacific Telecommunity (APT)</w:t>
      </w:r>
    </w:p>
    <w:p w14:paraId="668FF924" w14:textId="77777777" w:rsidR="00545C08" w:rsidRPr="001E2783" w:rsidRDefault="00545C08" w:rsidP="00A62137">
      <w:pPr>
        <w:pStyle w:val="ListBullet"/>
        <w:keepNext/>
        <w:keepLines/>
        <w:ind w:left="284"/>
        <w:rPr>
          <w:rFonts w:cs="Arial"/>
        </w:rPr>
      </w:pPr>
      <w:r w:rsidRPr="001E2783">
        <w:rPr>
          <w:rFonts w:cs="Arial"/>
          <w:b/>
        </w:rPr>
        <w:t>37th session of the APT Ma</w:t>
      </w:r>
      <w:r w:rsidR="00283F55" w:rsidRPr="001E2783">
        <w:rPr>
          <w:rFonts w:cs="Arial"/>
          <w:b/>
        </w:rPr>
        <w:t>nagement Committee</w:t>
      </w:r>
      <w:r w:rsidR="00F109F9" w:rsidRPr="001E2783">
        <w:rPr>
          <w:rFonts w:cs="Arial"/>
          <w:b/>
        </w:rPr>
        <w:t xml:space="preserve">, </w:t>
      </w:r>
      <w:r w:rsidR="00283F55" w:rsidRPr="001E2783">
        <w:rPr>
          <w:rFonts w:cs="Arial"/>
          <w:b/>
        </w:rPr>
        <w:t>Vientiane</w:t>
      </w:r>
      <w:r w:rsidR="00F109F9" w:rsidRPr="001E2783">
        <w:rPr>
          <w:rFonts w:cs="Arial"/>
          <w:b/>
        </w:rPr>
        <w:t>, 5–</w:t>
      </w:r>
      <w:r w:rsidRPr="001E2783">
        <w:rPr>
          <w:rFonts w:cs="Arial"/>
          <w:b/>
        </w:rPr>
        <w:t>11 November 2013</w:t>
      </w:r>
      <w:r w:rsidR="00F109F9" w:rsidRPr="001E2783">
        <w:rPr>
          <w:rFonts w:cs="Arial"/>
        </w:rPr>
        <w:br/>
      </w:r>
      <w:r w:rsidRPr="001E2783">
        <w:rPr>
          <w:rFonts w:cs="Arial"/>
        </w:rPr>
        <w:t xml:space="preserve">Led by </w:t>
      </w:r>
      <w:r w:rsidR="00A33637" w:rsidRPr="001E2783">
        <w:rPr>
          <w:rFonts w:cs="Arial"/>
        </w:rPr>
        <w:t>DoC</w:t>
      </w:r>
      <w:r w:rsidRPr="001E2783">
        <w:rPr>
          <w:rFonts w:cs="Arial"/>
        </w:rPr>
        <w:t xml:space="preserve"> and the ACMA, the Australian delegation secured arrangements to host the third meeting of the APG15 in Australia</w:t>
      </w:r>
      <w:r w:rsidR="00283F55" w:rsidRPr="001E2783">
        <w:rPr>
          <w:rFonts w:cs="Arial"/>
        </w:rPr>
        <w:t xml:space="preserve"> and</w:t>
      </w:r>
      <w:r w:rsidRPr="001E2783">
        <w:rPr>
          <w:rFonts w:cs="Arial"/>
        </w:rPr>
        <w:t xml:space="preserve"> the inaugural Training Workshop for APG15-3. </w:t>
      </w:r>
    </w:p>
    <w:p w14:paraId="3C55CE4B" w14:textId="08B80577" w:rsidR="00545C08" w:rsidRPr="001E2783" w:rsidRDefault="00F109F9" w:rsidP="00283F55">
      <w:pPr>
        <w:pStyle w:val="ListBullet"/>
        <w:ind w:left="284"/>
        <w:rPr>
          <w:rFonts w:cs="Arial"/>
        </w:rPr>
      </w:pPr>
      <w:r w:rsidRPr="001E2783">
        <w:rPr>
          <w:rFonts w:cs="Arial"/>
          <w:b/>
        </w:rPr>
        <w:t>2nd</w:t>
      </w:r>
      <w:r w:rsidR="00545C08" w:rsidRPr="001E2783">
        <w:rPr>
          <w:rFonts w:cs="Arial"/>
          <w:b/>
        </w:rPr>
        <w:t xml:space="preserve"> </w:t>
      </w:r>
      <w:r w:rsidR="00283F55" w:rsidRPr="001E2783">
        <w:rPr>
          <w:rFonts w:cs="Arial"/>
          <w:b/>
        </w:rPr>
        <w:t>APT</w:t>
      </w:r>
      <w:r w:rsidR="00A33637" w:rsidRPr="001E2783">
        <w:rPr>
          <w:rFonts w:cs="Arial"/>
          <w:b/>
        </w:rPr>
        <w:t xml:space="preserve"> Preparatory Group (APG15-2) M</w:t>
      </w:r>
      <w:r w:rsidR="00545C08" w:rsidRPr="001E2783">
        <w:rPr>
          <w:rFonts w:cs="Arial"/>
          <w:b/>
        </w:rPr>
        <w:t>eeting for WRC-15</w:t>
      </w:r>
      <w:r w:rsidRPr="001E2783">
        <w:rPr>
          <w:rFonts w:cs="Arial"/>
          <w:b/>
        </w:rPr>
        <w:t>,</w:t>
      </w:r>
      <w:r w:rsidR="00545C08" w:rsidRPr="001E2783">
        <w:rPr>
          <w:rFonts w:cs="Arial"/>
          <w:b/>
        </w:rPr>
        <w:t xml:space="preserve"> Bangkok</w:t>
      </w:r>
      <w:r w:rsidRPr="001E2783">
        <w:rPr>
          <w:rFonts w:cs="Arial"/>
          <w:b/>
        </w:rPr>
        <w:t xml:space="preserve">, </w:t>
      </w:r>
      <w:r w:rsidR="00545C08" w:rsidRPr="001E2783">
        <w:rPr>
          <w:rFonts w:cs="Arial"/>
          <w:b/>
        </w:rPr>
        <w:t>10</w:t>
      </w:r>
      <w:r w:rsidRPr="001E2783">
        <w:rPr>
          <w:rFonts w:cs="Arial"/>
          <w:b/>
        </w:rPr>
        <w:t>–</w:t>
      </w:r>
      <w:r w:rsidR="00A26393">
        <w:rPr>
          <w:rFonts w:cs="Arial"/>
          <w:b/>
        </w:rPr>
        <w:t>15 </w:t>
      </w:r>
      <w:r w:rsidR="00283F55" w:rsidRPr="001E2783">
        <w:rPr>
          <w:rFonts w:cs="Arial"/>
          <w:b/>
        </w:rPr>
        <w:t>July 2013</w:t>
      </w:r>
      <w:r w:rsidRPr="001E2783">
        <w:rPr>
          <w:rFonts w:cs="Arial"/>
        </w:rPr>
        <w:br/>
      </w:r>
      <w:r w:rsidR="00545C08" w:rsidRPr="001E2783">
        <w:rPr>
          <w:rFonts w:cs="Arial"/>
        </w:rPr>
        <w:t>The ACMA-led delegation helped to develop the outcomes of the meeting that were generally consistent with Australian Preliminary Views.</w:t>
      </w:r>
    </w:p>
    <w:p w14:paraId="42D7E285" w14:textId="56B17625" w:rsidR="00545C08" w:rsidRPr="00642061" w:rsidRDefault="00545C08" w:rsidP="00642061">
      <w:pPr>
        <w:pStyle w:val="ListBullet"/>
        <w:rPr>
          <w:rFonts w:cs="Arial"/>
        </w:rPr>
      </w:pPr>
      <w:r w:rsidRPr="001E2783">
        <w:rPr>
          <w:b/>
        </w:rPr>
        <w:t>APG 15-3, Brisbane</w:t>
      </w:r>
      <w:r w:rsidR="00F109F9" w:rsidRPr="001E2783">
        <w:rPr>
          <w:b/>
        </w:rPr>
        <w:t>,</w:t>
      </w:r>
      <w:r w:rsidRPr="001E2783">
        <w:rPr>
          <w:b/>
        </w:rPr>
        <w:t xml:space="preserve"> 9</w:t>
      </w:r>
      <w:r w:rsidR="00283F55" w:rsidRPr="001E2783">
        <w:rPr>
          <w:b/>
        </w:rPr>
        <w:t>–</w:t>
      </w:r>
      <w:r w:rsidRPr="001E2783">
        <w:rPr>
          <w:b/>
        </w:rPr>
        <w:t>13 June 2014</w:t>
      </w:r>
      <w:r w:rsidR="00F109F9" w:rsidRPr="001E2783">
        <w:br/>
        <w:t>H</w:t>
      </w:r>
      <w:r w:rsidRPr="001E2783">
        <w:t>osted by the ACMA</w:t>
      </w:r>
      <w:r w:rsidR="00F109F9" w:rsidRPr="001E2783">
        <w:t>, and w</w:t>
      </w:r>
      <w:r w:rsidR="00283F55" w:rsidRPr="001E2783">
        <w:t xml:space="preserve">ith </w:t>
      </w:r>
      <w:r w:rsidRPr="001E2783">
        <w:t xml:space="preserve">324 delegates from 28 of the 38 APT member administrations </w:t>
      </w:r>
      <w:r w:rsidR="00283F55" w:rsidRPr="001E2783">
        <w:t>attend</w:t>
      </w:r>
      <w:r w:rsidR="00F109F9" w:rsidRPr="001E2783">
        <w:t>ing</w:t>
      </w:r>
      <w:r w:rsidR="00283F55" w:rsidRPr="001E2783">
        <w:t>, t</w:t>
      </w:r>
      <w:r w:rsidRPr="001E2783">
        <w:t>he focus was to further develop Asia–Pacific regional views on WRC-15 Agenda items</w:t>
      </w:r>
      <w:r w:rsidR="00283F55" w:rsidRPr="001E2783">
        <w:t>. It was also</w:t>
      </w:r>
      <w:r w:rsidRPr="001E2783">
        <w:t xml:space="preserve"> an opportunity for the domestically agreed Australian Preliminary Views to be further incorpo</w:t>
      </w:r>
      <w:r w:rsidR="00283F55" w:rsidRPr="001E2783">
        <w:t xml:space="preserve">rated into the regional views. </w:t>
      </w:r>
      <w:r w:rsidRPr="001E2783">
        <w:t>A Training Workshop was he</w:t>
      </w:r>
      <w:r w:rsidR="00283F55" w:rsidRPr="001E2783">
        <w:t>ld in the lead-up to this event from 6 to 7 June.</w:t>
      </w:r>
      <w:r w:rsidRPr="001E2783">
        <w:t xml:space="preserve"> For more information on APG 15-3 and the works</w:t>
      </w:r>
      <w:r w:rsidR="00531038" w:rsidRPr="001E2783">
        <w:t xml:space="preserve">hop, see the </w:t>
      </w:r>
      <w:r w:rsidR="00642061" w:rsidRPr="00642061">
        <w:rPr>
          <w:rFonts w:cs="Arial"/>
          <w:i/>
        </w:rPr>
        <w:t>Regional spectrum cooperation—hosting APG15-3</w:t>
      </w:r>
      <w:r w:rsidR="00642061" w:rsidRPr="00642061">
        <w:rPr>
          <w:rFonts w:cs="Arial"/>
        </w:rPr>
        <w:t xml:space="preserve"> </w:t>
      </w:r>
      <w:r w:rsidR="00531038" w:rsidRPr="001E2783">
        <w:t>case study</w:t>
      </w:r>
      <w:r w:rsidRPr="001E2783">
        <w:t xml:space="preserve">. </w:t>
      </w:r>
    </w:p>
    <w:p w14:paraId="6F19E8E5" w14:textId="77777777" w:rsidR="00545C08" w:rsidRPr="001E2783" w:rsidRDefault="00F109F9" w:rsidP="00283F55">
      <w:pPr>
        <w:pStyle w:val="ListBullet"/>
        <w:ind w:left="284"/>
        <w:rPr>
          <w:rFonts w:cs="Arial"/>
        </w:rPr>
      </w:pPr>
      <w:r w:rsidRPr="001E2783">
        <w:rPr>
          <w:rFonts w:cs="Arial"/>
          <w:b/>
        </w:rPr>
        <w:t>2nd</w:t>
      </w:r>
      <w:r w:rsidR="00545C08" w:rsidRPr="001E2783">
        <w:rPr>
          <w:rFonts w:cs="Arial"/>
          <w:b/>
        </w:rPr>
        <w:t xml:space="preserve"> APT Preparatory Meeting for the 2014 ITU Plenipotentiary Conference (PP-14)</w:t>
      </w:r>
      <w:r w:rsidRPr="001E2783">
        <w:rPr>
          <w:rFonts w:cs="Arial"/>
          <w:b/>
        </w:rPr>
        <w:t>,</w:t>
      </w:r>
      <w:r w:rsidR="00545C08" w:rsidRPr="001E2783">
        <w:rPr>
          <w:rFonts w:cs="Arial"/>
          <w:b/>
        </w:rPr>
        <w:t xml:space="preserve"> Gold Coast</w:t>
      </w:r>
      <w:r w:rsidRPr="001E2783">
        <w:rPr>
          <w:rFonts w:cs="Arial"/>
          <w:b/>
        </w:rPr>
        <w:t>,</w:t>
      </w:r>
      <w:r w:rsidR="00545C08" w:rsidRPr="001E2783">
        <w:rPr>
          <w:rFonts w:cs="Arial"/>
          <w:b/>
        </w:rPr>
        <w:t xml:space="preserve"> 26</w:t>
      </w:r>
      <w:r w:rsidR="00283F55" w:rsidRPr="001E2783">
        <w:rPr>
          <w:rFonts w:cs="Arial"/>
          <w:b/>
        </w:rPr>
        <w:t>–</w:t>
      </w:r>
      <w:r w:rsidR="00545C08" w:rsidRPr="001E2783">
        <w:rPr>
          <w:rFonts w:cs="Arial"/>
          <w:b/>
        </w:rPr>
        <w:t>30 October 2013</w:t>
      </w:r>
      <w:r w:rsidRPr="001E2783">
        <w:rPr>
          <w:rFonts w:cs="Arial"/>
          <w:b/>
        </w:rPr>
        <w:t>;</w:t>
      </w:r>
      <w:r w:rsidR="00A33637" w:rsidRPr="001E2783">
        <w:rPr>
          <w:rFonts w:cs="Arial"/>
          <w:b/>
        </w:rPr>
        <w:t xml:space="preserve"> 3rd APT Preparatory M</w:t>
      </w:r>
      <w:r w:rsidR="00545C08" w:rsidRPr="001E2783">
        <w:rPr>
          <w:rFonts w:cs="Arial"/>
          <w:b/>
        </w:rPr>
        <w:t>eeting for PP-14</w:t>
      </w:r>
      <w:r w:rsidRPr="001E2783">
        <w:rPr>
          <w:rFonts w:cs="Arial"/>
          <w:b/>
        </w:rPr>
        <w:t>,</w:t>
      </w:r>
      <w:r w:rsidR="00545C08" w:rsidRPr="001E2783">
        <w:rPr>
          <w:rFonts w:cs="Arial"/>
          <w:b/>
        </w:rPr>
        <w:t xml:space="preserve"> Kuala Lumpur</w:t>
      </w:r>
      <w:r w:rsidRPr="001E2783">
        <w:rPr>
          <w:rFonts w:cs="Arial"/>
          <w:b/>
        </w:rPr>
        <w:t>,</w:t>
      </w:r>
      <w:r w:rsidR="00545C08" w:rsidRPr="001E2783">
        <w:rPr>
          <w:rFonts w:cs="Arial"/>
          <w:b/>
        </w:rPr>
        <w:t xml:space="preserve"> 2</w:t>
      </w:r>
      <w:r w:rsidR="00283F55" w:rsidRPr="001E2783">
        <w:rPr>
          <w:rFonts w:cs="Arial"/>
          <w:b/>
        </w:rPr>
        <w:t>–</w:t>
      </w:r>
      <w:r w:rsidRPr="001E2783">
        <w:rPr>
          <w:rFonts w:cs="Arial"/>
          <w:b/>
        </w:rPr>
        <w:t>5 June 2014</w:t>
      </w:r>
      <w:r w:rsidRPr="001E2783">
        <w:rPr>
          <w:rFonts w:cs="Arial"/>
        </w:rPr>
        <w:br/>
      </w:r>
      <w:r w:rsidR="00545C08" w:rsidRPr="001E2783">
        <w:rPr>
          <w:rFonts w:cs="Arial"/>
        </w:rPr>
        <w:t>Th</w:t>
      </w:r>
      <w:r w:rsidR="00283F55" w:rsidRPr="001E2783">
        <w:rPr>
          <w:rFonts w:cs="Arial"/>
        </w:rPr>
        <w:t>e objective of these meetings wa</w:t>
      </w:r>
      <w:r w:rsidR="00545C08" w:rsidRPr="001E2783">
        <w:rPr>
          <w:rFonts w:cs="Arial"/>
        </w:rPr>
        <w:t>s to prepare APT views and preliminary common positions for PP-</w:t>
      </w:r>
      <w:r w:rsidR="00283F55" w:rsidRPr="001E2783">
        <w:rPr>
          <w:rFonts w:cs="Arial"/>
        </w:rPr>
        <w:t>14.</w:t>
      </w:r>
    </w:p>
    <w:p w14:paraId="50089E90" w14:textId="77777777" w:rsidR="00545C08" w:rsidRPr="001E2783" w:rsidRDefault="00545C08" w:rsidP="00283F55">
      <w:pPr>
        <w:pStyle w:val="ListBullet"/>
        <w:spacing w:after="240"/>
        <w:ind w:left="284"/>
        <w:rPr>
          <w:rFonts w:cs="Arial"/>
        </w:rPr>
      </w:pPr>
      <w:r w:rsidRPr="001E2783">
        <w:rPr>
          <w:rFonts w:cs="Arial"/>
          <w:b/>
        </w:rPr>
        <w:t>Two meetings of the APT Wireless Group (AWG)</w:t>
      </w:r>
      <w:r w:rsidR="00F109F9" w:rsidRPr="001E2783">
        <w:rPr>
          <w:rFonts w:cs="Arial"/>
          <w:b/>
        </w:rPr>
        <w:t>,</w:t>
      </w:r>
      <w:r w:rsidRPr="001E2783">
        <w:rPr>
          <w:rFonts w:cs="Arial"/>
          <w:b/>
        </w:rPr>
        <w:t xml:space="preserve"> Thailand</w:t>
      </w:r>
      <w:r w:rsidR="00F109F9" w:rsidRPr="001E2783">
        <w:rPr>
          <w:rFonts w:cs="Arial"/>
          <w:b/>
        </w:rPr>
        <w:t>,</w:t>
      </w:r>
      <w:r w:rsidRPr="001E2783">
        <w:rPr>
          <w:rFonts w:cs="Arial"/>
          <w:b/>
        </w:rPr>
        <w:t xml:space="preserve"> August 2013 and March 2014</w:t>
      </w:r>
      <w:r w:rsidR="00F109F9" w:rsidRPr="001E2783">
        <w:rPr>
          <w:rFonts w:cs="Arial"/>
        </w:rPr>
        <w:br/>
      </w:r>
      <w:r w:rsidRPr="001E2783">
        <w:rPr>
          <w:rFonts w:cs="Arial"/>
        </w:rPr>
        <w:t>The ACMA led the Australian delegation to these meetings, the objectives of which included developing cost-effective and timely radiocommunications solutions, sharing information on radiocommunication technologies and harmonising spectrum usage in the Asia–Pacific region.</w:t>
      </w:r>
    </w:p>
    <w:p w14:paraId="75B7E070" w14:textId="77777777" w:rsidR="00545C08" w:rsidRPr="001E2783" w:rsidRDefault="00545C08" w:rsidP="002128FA">
      <w:pPr>
        <w:pStyle w:val="BodysubheaderH4"/>
        <w:rPr>
          <w:rFonts w:cs="Arial"/>
        </w:rPr>
      </w:pPr>
      <w:r w:rsidRPr="001E2783">
        <w:rPr>
          <w:rFonts w:cs="Arial"/>
        </w:rPr>
        <w:t>Non-APT meetings and other events</w:t>
      </w:r>
    </w:p>
    <w:p w14:paraId="2A2A18A2" w14:textId="77777777" w:rsidR="00545C08" w:rsidRPr="001E2783" w:rsidRDefault="00545C08" w:rsidP="00AA2F14">
      <w:pPr>
        <w:pStyle w:val="ListBullet"/>
        <w:spacing w:after="240"/>
        <w:ind w:left="284"/>
        <w:rPr>
          <w:rFonts w:cs="Arial"/>
        </w:rPr>
      </w:pPr>
      <w:r w:rsidRPr="001E2783">
        <w:rPr>
          <w:rFonts w:cs="Arial"/>
          <w:b/>
        </w:rPr>
        <w:t>6th Multi-lateral Meeting of Administrations</w:t>
      </w:r>
      <w:r w:rsidR="00F109F9" w:rsidRPr="001E2783">
        <w:rPr>
          <w:rFonts w:cs="Arial"/>
          <w:b/>
        </w:rPr>
        <w:t>, 10–14 November 2013</w:t>
      </w:r>
      <w:r w:rsidR="00F109F9" w:rsidRPr="001E2783">
        <w:rPr>
          <w:rFonts w:cs="Arial"/>
        </w:rPr>
        <w:br/>
      </w:r>
      <w:r w:rsidRPr="001E2783">
        <w:rPr>
          <w:rFonts w:cs="Arial"/>
        </w:rPr>
        <w:t>Th</w:t>
      </w:r>
      <w:r w:rsidR="00AA2F14" w:rsidRPr="001E2783">
        <w:rPr>
          <w:rFonts w:cs="Arial"/>
        </w:rPr>
        <w:t>i</w:t>
      </w:r>
      <w:r w:rsidRPr="001E2783">
        <w:rPr>
          <w:rFonts w:cs="Arial"/>
        </w:rPr>
        <w:t xml:space="preserve">s meeting reviewed an established </w:t>
      </w:r>
      <w:r w:rsidR="00A33637" w:rsidRPr="001E2783">
        <w:rPr>
          <w:rFonts w:cs="Arial"/>
        </w:rPr>
        <w:t>MoU</w:t>
      </w:r>
      <w:r w:rsidRPr="001E2783">
        <w:rPr>
          <w:rFonts w:cs="Arial"/>
        </w:rPr>
        <w:t xml:space="preserve"> </w:t>
      </w:r>
      <w:r w:rsidR="00AA2F14" w:rsidRPr="001E2783">
        <w:rPr>
          <w:rFonts w:cs="Arial"/>
        </w:rPr>
        <w:t xml:space="preserve">on </w:t>
      </w:r>
      <w:r w:rsidRPr="001E2783">
        <w:rPr>
          <w:rFonts w:cs="Arial"/>
        </w:rPr>
        <w:t>multilateral satellite network coordination for L-band geostationary mobile satellite services.</w:t>
      </w:r>
    </w:p>
    <w:p w14:paraId="2BFFC0B7" w14:textId="77777777" w:rsidR="00545C08" w:rsidRPr="001E2783" w:rsidRDefault="002128FA" w:rsidP="002128FA">
      <w:pPr>
        <w:pStyle w:val="Heading3"/>
      </w:pPr>
      <w:bookmarkStart w:id="210" w:name="_Toc400018575"/>
      <w:r w:rsidRPr="001E2783">
        <w:t>Other in</w:t>
      </w:r>
      <w:r w:rsidR="00AA2F14" w:rsidRPr="001E2783">
        <w:t xml:space="preserve">ternational </w:t>
      </w:r>
      <w:r w:rsidRPr="001E2783">
        <w:t>activities</w:t>
      </w:r>
      <w:bookmarkEnd w:id="210"/>
    </w:p>
    <w:p w14:paraId="0D90F95C" w14:textId="77777777" w:rsidR="00545C08" w:rsidRPr="001E2783" w:rsidRDefault="00545C08" w:rsidP="002128FA">
      <w:pPr>
        <w:pStyle w:val="ListBullet"/>
        <w:rPr>
          <w:rFonts w:cs="Arial"/>
        </w:rPr>
      </w:pPr>
      <w:r w:rsidRPr="001E2783">
        <w:rPr>
          <w:rFonts w:cs="Arial"/>
        </w:rPr>
        <w:t>ACMA Chair</w:t>
      </w:r>
      <w:r w:rsidR="00A33637" w:rsidRPr="001E2783">
        <w:rPr>
          <w:rFonts w:cs="Arial"/>
        </w:rPr>
        <w:t>man</w:t>
      </w:r>
      <w:r w:rsidRPr="001E2783">
        <w:rPr>
          <w:rFonts w:cs="Arial"/>
        </w:rPr>
        <w:t xml:space="preserve"> Chris Chapman attended the Asia</w:t>
      </w:r>
      <w:r w:rsidR="002128FA" w:rsidRPr="001E2783">
        <w:rPr>
          <w:rFonts w:cs="Arial"/>
        </w:rPr>
        <w:t>–</w:t>
      </w:r>
      <w:r w:rsidRPr="001E2783">
        <w:rPr>
          <w:rFonts w:cs="Arial"/>
        </w:rPr>
        <w:t>Pacific Regulators’ Roundtable from 14</w:t>
      </w:r>
      <w:r w:rsidR="002128FA" w:rsidRPr="001E2783">
        <w:rPr>
          <w:rFonts w:cs="Arial"/>
        </w:rPr>
        <w:t>–</w:t>
      </w:r>
      <w:r w:rsidRPr="001E2783">
        <w:rPr>
          <w:rFonts w:cs="Arial"/>
        </w:rPr>
        <w:t>15 October 2013 and an ITU/KCC Interna</w:t>
      </w:r>
      <w:r w:rsidR="002128FA" w:rsidRPr="001E2783">
        <w:rPr>
          <w:rFonts w:cs="Arial"/>
        </w:rPr>
        <w:t>tional Training Program from 16–</w:t>
      </w:r>
      <w:r w:rsidRPr="001E2783">
        <w:rPr>
          <w:rFonts w:cs="Arial"/>
        </w:rPr>
        <w:t>18 October 2013</w:t>
      </w:r>
      <w:r w:rsidR="006630DD" w:rsidRPr="001E2783">
        <w:rPr>
          <w:rFonts w:cs="Arial"/>
        </w:rPr>
        <w:t>, both in the Republic of Korea.</w:t>
      </w:r>
    </w:p>
    <w:p w14:paraId="0DBAFFD6" w14:textId="77777777" w:rsidR="00545C08" w:rsidRPr="001E2783" w:rsidRDefault="00545C08" w:rsidP="002128FA">
      <w:pPr>
        <w:pStyle w:val="ListBullet"/>
        <w:rPr>
          <w:rFonts w:cs="Arial"/>
        </w:rPr>
      </w:pPr>
      <w:r w:rsidRPr="001E2783">
        <w:rPr>
          <w:rFonts w:cs="Arial"/>
        </w:rPr>
        <w:t>ACMA Deputy Chai</w:t>
      </w:r>
      <w:r w:rsidR="002128FA" w:rsidRPr="001E2783">
        <w:rPr>
          <w:rFonts w:cs="Arial"/>
        </w:rPr>
        <w:t>rman Richard Bean attended the eigh</w:t>
      </w:r>
      <w:r w:rsidRPr="001E2783">
        <w:rPr>
          <w:rFonts w:cs="Arial"/>
        </w:rPr>
        <w:t xml:space="preserve">th anniversary celebration of the National Communication Commission of Taiwan </w:t>
      </w:r>
      <w:r w:rsidR="002128FA" w:rsidRPr="001E2783">
        <w:rPr>
          <w:rFonts w:cs="Arial"/>
        </w:rPr>
        <w:t xml:space="preserve">on </w:t>
      </w:r>
      <w:r w:rsidR="00E37749" w:rsidRPr="001E2783">
        <w:rPr>
          <w:rFonts w:cs="Arial"/>
        </w:rPr>
        <w:t>21 </w:t>
      </w:r>
      <w:r w:rsidRPr="001E2783">
        <w:rPr>
          <w:rFonts w:cs="Arial"/>
        </w:rPr>
        <w:t>February 2014</w:t>
      </w:r>
      <w:r w:rsidR="002128FA" w:rsidRPr="001E2783">
        <w:rPr>
          <w:rFonts w:cs="Arial"/>
        </w:rPr>
        <w:t>;</w:t>
      </w:r>
      <w:r w:rsidRPr="001E2783">
        <w:rPr>
          <w:rFonts w:cs="Arial"/>
        </w:rPr>
        <w:t xml:space="preserve"> </w:t>
      </w:r>
      <w:r w:rsidR="002128FA" w:rsidRPr="001E2783">
        <w:rPr>
          <w:rFonts w:cs="Arial"/>
        </w:rPr>
        <w:t xml:space="preserve">and </w:t>
      </w:r>
      <w:r w:rsidRPr="001E2783">
        <w:rPr>
          <w:rFonts w:cs="Arial"/>
        </w:rPr>
        <w:t xml:space="preserve">the Family Online Safety Institute annual conference and the 3rd Annual Americas Spectrum Management Conference of Forum Global, both held in Washington DC, </w:t>
      </w:r>
      <w:r w:rsidR="002128FA" w:rsidRPr="001E2783">
        <w:rPr>
          <w:rFonts w:cs="Arial"/>
        </w:rPr>
        <w:t xml:space="preserve">on </w:t>
      </w:r>
      <w:r w:rsidRPr="001E2783">
        <w:rPr>
          <w:rFonts w:cs="Arial"/>
        </w:rPr>
        <w:t xml:space="preserve">6 and 7 November 2013. </w:t>
      </w:r>
    </w:p>
    <w:p w14:paraId="59F57E2C" w14:textId="77777777" w:rsidR="00545C08" w:rsidRPr="001E2783" w:rsidRDefault="00545C08" w:rsidP="002128FA">
      <w:pPr>
        <w:pStyle w:val="ListBullet"/>
        <w:rPr>
          <w:rFonts w:cs="Arial"/>
        </w:rPr>
      </w:pPr>
      <w:r w:rsidRPr="001E2783">
        <w:rPr>
          <w:rFonts w:cs="Arial"/>
        </w:rPr>
        <w:t xml:space="preserve">The ACMA also hosted visitors from overseas communications and regulatory agencies. These visits facilitate collaboration and information exchange on international communications policy and regulation issues. This included delegations from Canada, People’s Republic of China, Papua New Guinea, Nigeria, Indonesia, Japan, the Republic of Korea, Kenya, Uganda, the US and France. Topics discussed included spectrum management and planning, rollout of broadband communications services, dealing with illegal online materials, universal service regulation, consumer protection, carrier licensing, TV broadcasting content regulation and the digital economy. </w:t>
      </w:r>
    </w:p>
    <w:p w14:paraId="39F63820" w14:textId="710E45AD" w:rsidR="00AA2F14" w:rsidRPr="001E2783" w:rsidRDefault="00AA2F14" w:rsidP="00AA2F14">
      <w:pPr>
        <w:pStyle w:val="ListBullet"/>
        <w:rPr>
          <w:rFonts w:cs="Arial"/>
        </w:rPr>
      </w:pPr>
      <w:r w:rsidRPr="001E2783">
        <w:rPr>
          <w:rFonts w:cs="Arial"/>
        </w:rPr>
        <w:t>The ACMA was represented at the INHOPE members’ meetings held in Amsterdam and Utrecht from 12 to</w:t>
      </w:r>
      <w:r w:rsidR="002128FA" w:rsidRPr="001E2783">
        <w:rPr>
          <w:rFonts w:cs="Arial"/>
        </w:rPr>
        <w:t xml:space="preserve"> </w:t>
      </w:r>
      <w:r w:rsidRPr="001E2783">
        <w:rPr>
          <w:rFonts w:cs="Arial"/>
        </w:rPr>
        <w:t>14 November 2013, and in Warsaw from 10 to 12 June 2014. Members’ meetings provide a valuable forum for exchanging information and expertise on investigation techniques</w:t>
      </w:r>
      <w:r w:rsidR="006630DD" w:rsidRPr="001E2783">
        <w:rPr>
          <w:rFonts w:cs="Arial"/>
        </w:rPr>
        <w:t>;</w:t>
      </w:r>
      <w:r w:rsidRPr="001E2783">
        <w:rPr>
          <w:rFonts w:cs="Arial"/>
        </w:rPr>
        <w:t xml:space="preserve"> highly sensitive reports</w:t>
      </w:r>
      <w:r w:rsidR="006630DD" w:rsidRPr="001E2783">
        <w:rPr>
          <w:rFonts w:cs="Arial"/>
        </w:rPr>
        <w:t>;</w:t>
      </w:r>
      <w:r w:rsidRPr="001E2783">
        <w:rPr>
          <w:rFonts w:cs="Arial"/>
        </w:rPr>
        <w:t xml:space="preserve"> staff welfare</w:t>
      </w:r>
      <w:r w:rsidR="006630DD" w:rsidRPr="001E2783">
        <w:rPr>
          <w:rFonts w:cs="Arial"/>
        </w:rPr>
        <w:t>;</w:t>
      </w:r>
      <w:r w:rsidRPr="001E2783">
        <w:rPr>
          <w:rFonts w:cs="Arial"/>
        </w:rPr>
        <w:t xml:space="preserve"> and other hotline management, technology and operational issues</w:t>
      </w:r>
      <w:r w:rsidR="002128FA" w:rsidRPr="001E2783">
        <w:rPr>
          <w:rFonts w:cs="Arial"/>
        </w:rPr>
        <w:t xml:space="preserve"> (s</w:t>
      </w:r>
      <w:r w:rsidRPr="001E2783">
        <w:rPr>
          <w:rFonts w:cs="Arial"/>
        </w:rPr>
        <w:t xml:space="preserve">ee also </w:t>
      </w:r>
      <w:r w:rsidRPr="001E2783">
        <w:rPr>
          <w:rFonts w:cs="Arial"/>
          <w:i/>
        </w:rPr>
        <w:t>Online content complaints</w:t>
      </w:r>
      <w:r w:rsidR="002128FA" w:rsidRPr="001E2783">
        <w:rPr>
          <w:rFonts w:cs="Arial"/>
        </w:rPr>
        <w:t>)</w:t>
      </w:r>
      <w:r w:rsidR="00EA2E0A" w:rsidRPr="001E2783">
        <w:rPr>
          <w:rFonts w:cs="Arial"/>
        </w:rPr>
        <w:t>.</w:t>
      </w:r>
    </w:p>
    <w:p w14:paraId="35D3EACF" w14:textId="77777777" w:rsidR="009A0F93" w:rsidRPr="001E2783" w:rsidRDefault="009A0F93" w:rsidP="00CC119D">
      <w:pPr>
        <w:rPr>
          <w:rFonts w:cs="Arial"/>
        </w:rPr>
      </w:pPr>
    </w:p>
    <w:tbl>
      <w:tblPr>
        <w:tblW w:w="9645" w:type="dxa"/>
        <w:shd w:val="clear" w:color="auto" w:fill="F2F2F2" w:themeFill="background1" w:themeFillShade="F2"/>
        <w:tblLayout w:type="fixed"/>
        <w:tblCellMar>
          <w:left w:w="0" w:type="dxa"/>
          <w:right w:w="0" w:type="dxa"/>
        </w:tblCellMar>
        <w:tblLook w:val="01E0" w:firstRow="1" w:lastRow="1" w:firstColumn="1" w:lastColumn="1" w:noHBand="0" w:noVBand="0"/>
      </w:tblPr>
      <w:tblGrid>
        <w:gridCol w:w="9645"/>
      </w:tblGrid>
      <w:tr w:rsidR="001E2783" w:rsidRPr="001E2783" w14:paraId="4931246F" w14:textId="77777777" w:rsidTr="009A0F93">
        <w:trPr>
          <w:trHeight w:val="570"/>
        </w:trPr>
        <w:tc>
          <w:tcPr>
            <w:tcW w:w="9645" w:type="dxa"/>
            <w:tcBorders>
              <w:top w:val="single" w:sz="2" w:space="0" w:color="505050"/>
            </w:tcBorders>
            <w:shd w:val="clear" w:color="auto" w:fill="F2F2F2" w:themeFill="background1" w:themeFillShade="F2"/>
            <w:vAlign w:val="center"/>
          </w:tcPr>
          <w:p w14:paraId="1DE3D01B" w14:textId="77777777" w:rsidR="009A0F93" w:rsidRPr="001E2783" w:rsidRDefault="009A0F93" w:rsidP="009A0F93">
            <w:pPr>
              <w:pStyle w:val="Caption"/>
              <w:keepNext/>
              <w:rPr>
                <w:rFonts w:ascii="Arial" w:hAnsi="Arial" w:cs="Arial"/>
                <w:color w:val="auto"/>
              </w:rPr>
            </w:pPr>
            <w:r w:rsidRPr="001E2783">
              <w:rPr>
                <w:rFonts w:ascii="Arial" w:hAnsi="Arial" w:cs="Arial"/>
                <w:color w:val="auto"/>
              </w:rPr>
              <w:t>Case study</w:t>
            </w:r>
          </w:p>
          <w:p w14:paraId="47B36B88" w14:textId="77777777" w:rsidR="009A0F93" w:rsidRPr="001E2783" w:rsidRDefault="00684D23" w:rsidP="006630DD">
            <w:pPr>
              <w:pStyle w:val="Caption"/>
              <w:keepNext/>
              <w:rPr>
                <w:rFonts w:ascii="Arial" w:hAnsi="Arial" w:cs="Arial"/>
                <w:color w:val="auto"/>
              </w:rPr>
            </w:pPr>
            <w:r w:rsidRPr="001E2783">
              <w:rPr>
                <w:rFonts w:ascii="Arial" w:hAnsi="Arial" w:cs="Arial"/>
                <w:color w:val="auto"/>
              </w:rPr>
              <w:t xml:space="preserve">Regional </w:t>
            </w:r>
            <w:r w:rsidR="006630DD" w:rsidRPr="001E2783">
              <w:rPr>
                <w:rFonts w:ascii="Arial" w:hAnsi="Arial" w:cs="Arial"/>
                <w:color w:val="auto"/>
              </w:rPr>
              <w:t>spectrum</w:t>
            </w:r>
            <w:r w:rsidRPr="001E2783">
              <w:rPr>
                <w:rFonts w:ascii="Arial" w:hAnsi="Arial" w:cs="Arial"/>
                <w:color w:val="auto"/>
              </w:rPr>
              <w:t xml:space="preserve"> co</w:t>
            </w:r>
            <w:r w:rsidR="009A0F93" w:rsidRPr="001E2783">
              <w:rPr>
                <w:rFonts w:ascii="Arial" w:hAnsi="Arial" w:cs="Arial"/>
                <w:color w:val="auto"/>
              </w:rPr>
              <w:t>operation</w:t>
            </w:r>
            <w:r w:rsidRPr="001E2783">
              <w:rPr>
                <w:rFonts w:ascii="Arial" w:hAnsi="Arial" w:cs="Arial"/>
                <w:color w:val="auto"/>
              </w:rPr>
              <w:t>—ho</w:t>
            </w:r>
            <w:r w:rsidR="009A0F93" w:rsidRPr="001E2783">
              <w:rPr>
                <w:rFonts w:ascii="Arial" w:hAnsi="Arial" w:cs="Arial"/>
                <w:color w:val="auto"/>
              </w:rPr>
              <w:t>sting APG15-3</w:t>
            </w:r>
          </w:p>
        </w:tc>
      </w:tr>
      <w:tr w:rsidR="001E2783" w:rsidRPr="001E2783" w14:paraId="1379C169" w14:textId="77777777" w:rsidTr="009A0F93">
        <w:trPr>
          <w:trHeight w:val="3086"/>
        </w:trPr>
        <w:tc>
          <w:tcPr>
            <w:tcW w:w="9645" w:type="dxa"/>
            <w:shd w:val="clear" w:color="auto" w:fill="F2F2F2" w:themeFill="background1" w:themeFillShade="F2"/>
            <w:tcMar>
              <w:left w:w="28" w:type="dxa"/>
            </w:tcMar>
          </w:tcPr>
          <w:p w14:paraId="7D4FA2F8" w14:textId="77777777" w:rsidR="00493F02" w:rsidRPr="001E2783" w:rsidRDefault="000D4B37" w:rsidP="00493F02">
            <w:pPr>
              <w:rPr>
                <w:rFonts w:cs="Arial"/>
                <w:szCs w:val="20"/>
              </w:rPr>
            </w:pPr>
            <w:r w:rsidRPr="001E2783">
              <w:rPr>
                <w:rFonts w:cs="Arial"/>
                <w:szCs w:val="20"/>
              </w:rPr>
              <w:t xml:space="preserve">The World Radiocommunication Conference (WRC) is a forum for many key debates on spectrum and other critical international radiocommunications issues. </w:t>
            </w:r>
            <w:r w:rsidR="00115F40" w:rsidRPr="001E2783">
              <w:rPr>
                <w:rFonts w:cs="Arial"/>
                <w:szCs w:val="20"/>
              </w:rPr>
              <w:t xml:space="preserve">As a key milestone to </w:t>
            </w:r>
            <w:r w:rsidRPr="001E2783">
              <w:rPr>
                <w:rFonts w:cs="Arial"/>
                <w:szCs w:val="20"/>
              </w:rPr>
              <w:t xml:space="preserve">WRC-15, to be held </w:t>
            </w:r>
            <w:r w:rsidR="00115F40" w:rsidRPr="001E2783">
              <w:rPr>
                <w:rFonts w:cs="Arial"/>
                <w:szCs w:val="20"/>
              </w:rPr>
              <w:t>in Geneva</w:t>
            </w:r>
            <w:r w:rsidRPr="001E2783">
              <w:rPr>
                <w:rFonts w:cs="Arial"/>
                <w:szCs w:val="20"/>
              </w:rPr>
              <w:t xml:space="preserve"> in November 2015, the ACMA hosted APG15-3</w:t>
            </w:r>
            <w:r w:rsidR="00115F40" w:rsidRPr="001E2783">
              <w:rPr>
                <w:rFonts w:cs="Arial"/>
                <w:szCs w:val="20"/>
              </w:rPr>
              <w:t xml:space="preserve"> </w:t>
            </w:r>
            <w:r w:rsidRPr="001E2783">
              <w:rPr>
                <w:rFonts w:cs="Arial"/>
                <w:szCs w:val="20"/>
              </w:rPr>
              <w:t>in Brisbane from 9 to</w:t>
            </w:r>
            <w:r w:rsidR="00AA2F14" w:rsidRPr="001E2783">
              <w:rPr>
                <w:rFonts w:cs="Arial"/>
                <w:szCs w:val="20"/>
              </w:rPr>
              <w:t xml:space="preserve"> </w:t>
            </w:r>
            <w:r w:rsidRPr="001E2783">
              <w:rPr>
                <w:rFonts w:cs="Arial"/>
                <w:szCs w:val="20"/>
              </w:rPr>
              <w:t>13 June 2014</w:t>
            </w:r>
            <w:r w:rsidR="00493F02" w:rsidRPr="001E2783">
              <w:rPr>
                <w:rFonts w:cs="Arial"/>
                <w:szCs w:val="20"/>
              </w:rPr>
              <w:t xml:space="preserve">. </w:t>
            </w:r>
          </w:p>
          <w:p w14:paraId="732BEC77" w14:textId="77777777" w:rsidR="00493F02" w:rsidRPr="001E2783" w:rsidRDefault="00493F02" w:rsidP="00493F02">
            <w:pPr>
              <w:rPr>
                <w:rFonts w:cs="Arial"/>
                <w:szCs w:val="20"/>
              </w:rPr>
            </w:pPr>
          </w:p>
          <w:p w14:paraId="771B927B" w14:textId="77777777" w:rsidR="00493F02" w:rsidRPr="001E2783" w:rsidRDefault="00493F02" w:rsidP="00493F02">
            <w:pPr>
              <w:rPr>
                <w:rFonts w:cs="Arial"/>
                <w:szCs w:val="20"/>
              </w:rPr>
            </w:pPr>
            <w:r w:rsidRPr="001E2783">
              <w:rPr>
                <w:rFonts w:cs="Arial"/>
                <w:szCs w:val="20"/>
              </w:rPr>
              <w:t>More than 350 delegates from 32 of the 38 APT member administrations attended APG15-3</w:t>
            </w:r>
            <w:r w:rsidR="000D4B37" w:rsidRPr="001E2783">
              <w:rPr>
                <w:rFonts w:cs="Arial"/>
                <w:szCs w:val="20"/>
              </w:rPr>
              <w:t>, the third of five APT Preparatory Group meetings</w:t>
            </w:r>
            <w:r w:rsidRPr="001E2783">
              <w:rPr>
                <w:rFonts w:cs="Arial"/>
                <w:szCs w:val="20"/>
              </w:rPr>
              <w:t xml:space="preserve">. A key focus was to further develop the Asia–Pacific regional views on WRC-15 Agenda items. </w:t>
            </w:r>
          </w:p>
          <w:p w14:paraId="77CF5F42" w14:textId="77777777" w:rsidR="00493F02" w:rsidRPr="001E2783" w:rsidRDefault="00493F02" w:rsidP="00493F02">
            <w:pPr>
              <w:rPr>
                <w:rFonts w:cs="Arial"/>
                <w:szCs w:val="20"/>
              </w:rPr>
            </w:pPr>
          </w:p>
          <w:p w14:paraId="69865A70" w14:textId="77777777" w:rsidR="00493F02" w:rsidRPr="001E2783" w:rsidRDefault="00493F02" w:rsidP="00493F02">
            <w:pPr>
              <w:rPr>
                <w:rFonts w:cs="Arial"/>
                <w:szCs w:val="20"/>
              </w:rPr>
            </w:pPr>
            <w:r w:rsidRPr="001E2783">
              <w:rPr>
                <w:rFonts w:cs="Arial"/>
                <w:szCs w:val="20"/>
              </w:rPr>
              <w:t>The ACMA manages a very extensive preparatory process for the WRC and</w:t>
            </w:r>
            <w:r w:rsidR="000D4B37" w:rsidRPr="001E2783">
              <w:rPr>
                <w:rFonts w:cs="Arial"/>
                <w:szCs w:val="20"/>
              </w:rPr>
              <w:t>,</w:t>
            </w:r>
            <w:r w:rsidRPr="001E2783">
              <w:rPr>
                <w:rFonts w:cs="Arial"/>
                <w:szCs w:val="20"/>
              </w:rPr>
              <w:t xml:space="preserve"> through this process, develops the views for Australia’s future spectrum requirements. APG15-3 </w:t>
            </w:r>
            <w:r w:rsidR="006675F3" w:rsidRPr="001E2783">
              <w:rPr>
                <w:rFonts w:cs="Arial"/>
                <w:szCs w:val="20"/>
              </w:rPr>
              <w:t>wa</w:t>
            </w:r>
            <w:r w:rsidRPr="001E2783">
              <w:rPr>
                <w:rFonts w:cs="Arial"/>
                <w:szCs w:val="20"/>
              </w:rPr>
              <w:t>s an important opportunity to integrate agreed Australian Preliminary Views on WRC issues into the regional views developed at the meeting. This objective was achieved, with Australian Views often providing a basis for the final regional views.</w:t>
            </w:r>
            <w:r w:rsidR="006675F3" w:rsidRPr="001E2783">
              <w:rPr>
                <w:rFonts w:cs="Arial"/>
                <w:szCs w:val="20"/>
              </w:rPr>
              <w:t xml:space="preserve"> </w:t>
            </w:r>
            <w:r w:rsidRPr="001E2783">
              <w:rPr>
                <w:rFonts w:cs="Arial"/>
                <w:szCs w:val="20"/>
              </w:rPr>
              <w:t xml:space="preserve">The Australian delegation and the ACMA provided leadership and </w:t>
            </w:r>
            <w:r w:rsidR="006675F3" w:rsidRPr="001E2783">
              <w:rPr>
                <w:rFonts w:cs="Arial"/>
                <w:szCs w:val="20"/>
              </w:rPr>
              <w:t xml:space="preserve">helped </w:t>
            </w:r>
            <w:r w:rsidRPr="001E2783">
              <w:rPr>
                <w:rFonts w:cs="Arial"/>
                <w:szCs w:val="20"/>
              </w:rPr>
              <w:t xml:space="preserve">negotiate difficult decisions </w:t>
            </w:r>
            <w:r w:rsidR="006675F3" w:rsidRPr="001E2783">
              <w:rPr>
                <w:rFonts w:cs="Arial"/>
                <w:szCs w:val="20"/>
              </w:rPr>
              <w:t xml:space="preserve">during </w:t>
            </w:r>
            <w:r w:rsidRPr="001E2783">
              <w:rPr>
                <w:rFonts w:cs="Arial"/>
                <w:szCs w:val="20"/>
              </w:rPr>
              <w:t>the meeting.</w:t>
            </w:r>
          </w:p>
          <w:p w14:paraId="62487771" w14:textId="77777777" w:rsidR="00493F02" w:rsidRPr="001E2783" w:rsidRDefault="00493F02" w:rsidP="00493F02">
            <w:pPr>
              <w:rPr>
                <w:rFonts w:cs="Arial"/>
                <w:szCs w:val="20"/>
              </w:rPr>
            </w:pPr>
          </w:p>
          <w:p w14:paraId="111B1474" w14:textId="77777777" w:rsidR="00493F02" w:rsidRPr="001E2783" w:rsidRDefault="00493F02" w:rsidP="00493F02">
            <w:pPr>
              <w:rPr>
                <w:rFonts w:cs="Arial"/>
                <w:szCs w:val="20"/>
              </w:rPr>
            </w:pPr>
            <w:r w:rsidRPr="001E2783">
              <w:rPr>
                <w:rFonts w:cs="Arial"/>
                <w:szCs w:val="20"/>
              </w:rPr>
              <w:t>In hosting the event, the ACMA led one of Australia’s largest ever delegations to an international radiocommunication meeting</w:t>
            </w:r>
            <w:r w:rsidR="006675F3" w:rsidRPr="001E2783">
              <w:rPr>
                <w:rFonts w:cs="Arial"/>
                <w:szCs w:val="20"/>
              </w:rPr>
              <w:t>,</w:t>
            </w:r>
            <w:r w:rsidRPr="001E2783">
              <w:rPr>
                <w:rFonts w:cs="Arial"/>
                <w:szCs w:val="20"/>
              </w:rPr>
              <w:t xml:space="preserve"> with a total of 50 delegates registered. Bilateral meetings were </w:t>
            </w:r>
            <w:r w:rsidR="006675F3" w:rsidRPr="001E2783">
              <w:rPr>
                <w:rFonts w:cs="Arial"/>
                <w:szCs w:val="20"/>
              </w:rPr>
              <w:t xml:space="preserve">also </w:t>
            </w:r>
            <w:r w:rsidRPr="001E2783">
              <w:rPr>
                <w:rFonts w:cs="Arial"/>
                <w:szCs w:val="20"/>
              </w:rPr>
              <w:t>organised between senior ACMA delegation members and key regional and international representatives.</w:t>
            </w:r>
          </w:p>
          <w:p w14:paraId="56EC56EB" w14:textId="77777777" w:rsidR="00493F02" w:rsidRPr="001E2783" w:rsidRDefault="00493F02" w:rsidP="00493F02">
            <w:pPr>
              <w:rPr>
                <w:rFonts w:cs="Arial"/>
                <w:szCs w:val="20"/>
              </w:rPr>
            </w:pPr>
          </w:p>
          <w:p w14:paraId="43CF58BA" w14:textId="07AE4619" w:rsidR="00493F02" w:rsidRPr="001E2783" w:rsidRDefault="00493F02" w:rsidP="00493F02">
            <w:pPr>
              <w:pStyle w:val="PlainText"/>
              <w:rPr>
                <w:rFonts w:ascii="Arial" w:hAnsi="Arial" w:cs="Arial"/>
                <w:sz w:val="20"/>
                <w:szCs w:val="20"/>
              </w:rPr>
            </w:pPr>
            <w:r w:rsidRPr="001E2783">
              <w:rPr>
                <w:rFonts w:ascii="Arial" w:hAnsi="Arial" w:cs="Arial"/>
                <w:sz w:val="20"/>
                <w:szCs w:val="20"/>
              </w:rPr>
              <w:t xml:space="preserve">Immediately prior to APG15-3, the ACMA also hosted the first APG Training Workshop. The objective of the workshop was to </w:t>
            </w:r>
            <w:r w:rsidR="006675F3" w:rsidRPr="001E2783">
              <w:rPr>
                <w:rFonts w:ascii="Arial" w:hAnsi="Arial" w:cs="Arial"/>
                <w:sz w:val="20"/>
                <w:szCs w:val="20"/>
              </w:rPr>
              <w:t xml:space="preserve">help </w:t>
            </w:r>
            <w:r w:rsidRPr="001E2783">
              <w:rPr>
                <w:rFonts w:ascii="Arial" w:hAnsi="Arial" w:cs="Arial"/>
                <w:sz w:val="20"/>
                <w:szCs w:val="20"/>
              </w:rPr>
              <w:t>APG delegates from developing countries to better understand the complex and demanding processes of the regional APG meetings. M</w:t>
            </w:r>
            <w:r w:rsidR="00EA2E0A" w:rsidRPr="001E2783">
              <w:rPr>
                <w:rFonts w:ascii="Arial" w:hAnsi="Arial" w:cs="Arial"/>
                <w:sz w:val="20"/>
                <w:szCs w:val="20"/>
              </w:rPr>
              <w:t>ore than 80 people from 22 APT m</w:t>
            </w:r>
            <w:r w:rsidRPr="001E2783">
              <w:rPr>
                <w:rFonts w:ascii="Arial" w:hAnsi="Arial" w:cs="Arial"/>
                <w:sz w:val="20"/>
                <w:szCs w:val="20"/>
              </w:rPr>
              <w:t>ember countries participated in the workshop, includ</w:t>
            </w:r>
            <w:r w:rsidR="006675F3" w:rsidRPr="001E2783">
              <w:rPr>
                <w:rFonts w:ascii="Arial" w:hAnsi="Arial" w:cs="Arial"/>
                <w:sz w:val="20"/>
                <w:szCs w:val="20"/>
              </w:rPr>
              <w:t>ing</w:t>
            </w:r>
            <w:r w:rsidRPr="001E2783">
              <w:rPr>
                <w:rFonts w:ascii="Arial" w:hAnsi="Arial" w:cs="Arial"/>
                <w:sz w:val="20"/>
                <w:szCs w:val="20"/>
              </w:rPr>
              <w:t xml:space="preserve"> many senior office-bearers from the APG and </w:t>
            </w:r>
            <w:r w:rsidR="006675F3" w:rsidRPr="001E2783">
              <w:rPr>
                <w:rFonts w:ascii="Arial" w:hAnsi="Arial" w:cs="Arial"/>
                <w:sz w:val="20"/>
                <w:szCs w:val="20"/>
              </w:rPr>
              <w:t xml:space="preserve">ITU </w:t>
            </w:r>
            <w:r w:rsidRPr="001E2783">
              <w:rPr>
                <w:rFonts w:ascii="Arial" w:hAnsi="Arial" w:cs="Arial"/>
                <w:sz w:val="20"/>
                <w:szCs w:val="20"/>
              </w:rPr>
              <w:t>representatives. </w:t>
            </w:r>
          </w:p>
          <w:p w14:paraId="048BABDE" w14:textId="77777777" w:rsidR="00493F02" w:rsidRPr="001E2783" w:rsidRDefault="00493F02" w:rsidP="00493F02">
            <w:pPr>
              <w:pStyle w:val="PlainText"/>
              <w:rPr>
                <w:rFonts w:ascii="Arial" w:hAnsi="Arial" w:cs="Arial"/>
                <w:sz w:val="20"/>
                <w:szCs w:val="20"/>
              </w:rPr>
            </w:pPr>
          </w:p>
          <w:p w14:paraId="7D4D2462" w14:textId="77777777" w:rsidR="00E37749" w:rsidRPr="001E2783" w:rsidRDefault="00493F02" w:rsidP="006630DD">
            <w:pPr>
              <w:pStyle w:val="PlainText"/>
              <w:rPr>
                <w:rFonts w:ascii="Arial" w:hAnsi="Arial" w:cs="Arial"/>
                <w:sz w:val="20"/>
                <w:szCs w:val="20"/>
              </w:rPr>
            </w:pPr>
            <w:r w:rsidRPr="001E2783">
              <w:rPr>
                <w:rFonts w:ascii="Arial" w:hAnsi="Arial" w:cs="Arial"/>
                <w:sz w:val="20"/>
                <w:szCs w:val="20"/>
              </w:rPr>
              <w:t>The two-day workshop covered detailed presentations on APG meeting process and interactive sessions on writing, presenting and debating contributions to the meeting. The workshop was enthusiastically received and the ACMA anticipates the training activity to be a feature of future APG meetings.</w:t>
            </w:r>
          </w:p>
        </w:tc>
      </w:tr>
      <w:tr w:rsidR="001E2783" w:rsidRPr="001E2783" w14:paraId="59E602FC" w14:textId="77777777" w:rsidTr="009A0F93">
        <w:trPr>
          <w:trHeight w:val="291"/>
        </w:trPr>
        <w:tc>
          <w:tcPr>
            <w:tcW w:w="9645" w:type="dxa"/>
            <w:tcBorders>
              <w:bottom w:val="single" w:sz="2" w:space="0" w:color="505050"/>
            </w:tcBorders>
            <w:shd w:val="clear" w:color="auto" w:fill="F2F2F2" w:themeFill="background1" w:themeFillShade="F2"/>
          </w:tcPr>
          <w:p w14:paraId="40FD8BB9" w14:textId="77777777" w:rsidR="009A0F93" w:rsidRPr="001E2783" w:rsidRDefault="009A0F93" w:rsidP="009A0F93">
            <w:pPr>
              <w:rPr>
                <w:rFonts w:cs="Arial"/>
              </w:rPr>
            </w:pPr>
          </w:p>
        </w:tc>
      </w:tr>
    </w:tbl>
    <w:p w14:paraId="680D6206" w14:textId="77777777" w:rsidR="00CC119D" w:rsidRPr="000544EA" w:rsidRDefault="00CC119D" w:rsidP="000544EA">
      <w:pPr>
        <w:pStyle w:val="Heading1"/>
      </w:pPr>
      <w:bookmarkStart w:id="211" w:name="_Toc337727608"/>
      <w:bookmarkStart w:id="212" w:name="_Toc400018576"/>
      <w:r w:rsidRPr="000544EA">
        <w:t>Chapter 3: Content regulation and consumer information</w:t>
      </w:r>
      <w:bookmarkEnd w:id="211"/>
      <w:bookmarkEnd w:id="212"/>
    </w:p>
    <w:p w14:paraId="64767045" w14:textId="77777777" w:rsidR="00CC119D" w:rsidRPr="001E2783" w:rsidRDefault="00CC119D" w:rsidP="00CC119D">
      <w:pPr>
        <w:spacing w:after="120"/>
        <w:rPr>
          <w:rFonts w:cs="Arial"/>
        </w:rPr>
      </w:pPr>
      <w:r w:rsidRPr="001E2783">
        <w:rPr>
          <w:rFonts w:cs="Arial"/>
        </w:rPr>
        <w:t>Chapter 3 reflects the ACMA’s key result areas related to:</w:t>
      </w:r>
    </w:p>
    <w:p w14:paraId="2EBDFD14" w14:textId="77777777" w:rsidR="00CC119D" w:rsidRPr="001E2783" w:rsidRDefault="00CC119D" w:rsidP="00CC119D">
      <w:pPr>
        <w:pStyle w:val="ListBullet"/>
        <w:ind w:left="284"/>
        <w:rPr>
          <w:rFonts w:cs="Arial"/>
        </w:rPr>
      </w:pPr>
      <w:r w:rsidRPr="001E2783">
        <w:rPr>
          <w:rFonts w:cs="Arial"/>
          <w:b/>
        </w:rPr>
        <w:t>Outcome 1:</w:t>
      </w:r>
      <w:r w:rsidRPr="001E2783">
        <w:rPr>
          <w:rFonts w:cs="Arial"/>
        </w:rPr>
        <w:t xml:space="preserve"> A communications and media environment that balances the needs of the industry and the Australian community through regulation, education and advice</w:t>
      </w:r>
    </w:p>
    <w:p w14:paraId="49A2C554" w14:textId="77777777" w:rsidR="00CC119D" w:rsidRPr="001E2783" w:rsidRDefault="00CC119D" w:rsidP="00CC119D">
      <w:pPr>
        <w:pStyle w:val="ListBullet"/>
        <w:spacing w:after="240"/>
        <w:ind w:left="284"/>
        <w:rPr>
          <w:rFonts w:cs="Arial"/>
        </w:rPr>
      </w:pPr>
      <w:r w:rsidRPr="001E2783">
        <w:rPr>
          <w:rFonts w:cs="Arial"/>
          <w:b/>
        </w:rPr>
        <w:t>Program 1.2:</w:t>
      </w:r>
      <w:r w:rsidRPr="001E2783">
        <w:rPr>
          <w:rFonts w:cs="Arial"/>
        </w:rPr>
        <w:t xml:space="preserve"> Consumer safeguards, education and information. </w:t>
      </w:r>
    </w:p>
    <w:p w14:paraId="0478F1EC" w14:textId="77777777" w:rsidR="00CC119D" w:rsidRPr="001E2783" w:rsidRDefault="00CC119D" w:rsidP="00CC119D">
      <w:pPr>
        <w:rPr>
          <w:rFonts w:cs="Arial"/>
        </w:rPr>
      </w:pPr>
      <w:r w:rsidRPr="001E2783">
        <w:rPr>
          <w:rFonts w:cs="Arial"/>
        </w:rPr>
        <w:t>The ACMA’s responses to the performance inform</w:t>
      </w:r>
      <w:r w:rsidR="00307D09" w:rsidRPr="001E2783">
        <w:rPr>
          <w:rFonts w:cs="Arial"/>
        </w:rPr>
        <w:t>ation set out below for Program </w:t>
      </w:r>
      <w:r w:rsidRPr="001E2783">
        <w:rPr>
          <w:rFonts w:cs="Arial"/>
        </w:rPr>
        <w:t>1.2 can be found throughout the chapter</w:t>
      </w:r>
      <w:r w:rsidR="00230D5D" w:rsidRPr="001E2783">
        <w:rPr>
          <w:rFonts w:cs="Arial"/>
        </w:rPr>
        <w:t>, noting that matters of compliance and enforcement are addressed in Chapter 2.</w:t>
      </w:r>
    </w:p>
    <w:p w14:paraId="2EE5AC5F" w14:textId="77777777" w:rsidR="00CC119D" w:rsidRPr="001E2783" w:rsidRDefault="00CC119D" w:rsidP="00CC119D">
      <w:pPr>
        <w:rPr>
          <w:rFonts w:cs="Arial"/>
        </w:rPr>
      </w:pPr>
    </w:p>
    <w:p w14:paraId="3C1296D9" w14:textId="77777777" w:rsidR="00CC119D" w:rsidRPr="001E2783" w:rsidRDefault="00311E08" w:rsidP="00CC119D">
      <w:pPr>
        <w:rPr>
          <w:rFonts w:cs="Arial"/>
        </w:rPr>
      </w:pPr>
      <w:r>
        <w:rPr>
          <w:rFonts w:cs="Arial"/>
        </w:rPr>
        <w:pict w14:anchorId="2D48CFAB">
          <v:rect id="_x0000_i1027" style="width:0;height:1.5pt" o:hralign="center" o:hrstd="t" o:hr="t" fillcolor="#a0a0a0" stroked="f"/>
        </w:pict>
      </w:r>
    </w:p>
    <w:p w14:paraId="3031D09C" w14:textId="77777777" w:rsidR="00CC119D" w:rsidRPr="001E2783" w:rsidRDefault="00CC119D" w:rsidP="00CC119D">
      <w:pPr>
        <w:spacing w:after="120"/>
        <w:rPr>
          <w:rFonts w:cs="Arial"/>
          <w:b/>
          <w:szCs w:val="20"/>
        </w:rPr>
      </w:pPr>
      <w:r w:rsidRPr="001E2783">
        <w:rPr>
          <w:rFonts w:cs="Arial"/>
          <w:b/>
          <w:szCs w:val="20"/>
        </w:rPr>
        <w:t>Program 1.2: Consumer safeguards, education and information</w:t>
      </w:r>
    </w:p>
    <w:p w14:paraId="021CB8FB" w14:textId="77777777" w:rsidR="00CC119D" w:rsidRPr="001E2783" w:rsidRDefault="00CC119D" w:rsidP="00CC119D">
      <w:pPr>
        <w:spacing w:after="120"/>
        <w:rPr>
          <w:rFonts w:cs="Arial"/>
          <w:b/>
        </w:rPr>
      </w:pPr>
      <w:r w:rsidRPr="001E2783">
        <w:rPr>
          <w:rFonts w:cs="Arial"/>
          <w:b/>
        </w:rPr>
        <w:t>Program 1.2 Key performance indicators</w:t>
      </w:r>
    </w:p>
    <w:p w14:paraId="22F13387" w14:textId="77777777" w:rsidR="00CC119D" w:rsidRPr="001E2783" w:rsidRDefault="00CC119D" w:rsidP="00CC119D">
      <w:pPr>
        <w:pStyle w:val="ListBullet"/>
        <w:ind w:left="284"/>
        <w:rPr>
          <w:rFonts w:cs="Arial"/>
        </w:rPr>
      </w:pPr>
      <w:r w:rsidRPr="001E2783">
        <w:rPr>
          <w:rFonts w:cs="Arial"/>
        </w:rPr>
        <w:t>The community has access to sufficient information to enable it to make informed decisions about communications products and services.</w:t>
      </w:r>
    </w:p>
    <w:p w14:paraId="1A527A52" w14:textId="77777777" w:rsidR="00CC119D" w:rsidRPr="001E2783" w:rsidRDefault="00CC119D" w:rsidP="00CC119D">
      <w:pPr>
        <w:pStyle w:val="ListBullet"/>
        <w:ind w:left="284"/>
        <w:rPr>
          <w:rFonts w:cs="Arial"/>
        </w:rPr>
      </w:pPr>
      <w:r w:rsidRPr="001E2783">
        <w:rPr>
          <w:rFonts w:cs="Arial"/>
        </w:rPr>
        <w:t>Effective community safeguards are implemented and maintained.</w:t>
      </w:r>
    </w:p>
    <w:p w14:paraId="692B4FB6" w14:textId="77777777" w:rsidR="00CC119D" w:rsidRPr="001E2783" w:rsidRDefault="00CC119D" w:rsidP="00CC119D">
      <w:pPr>
        <w:pStyle w:val="ListBullet"/>
        <w:spacing w:after="240"/>
        <w:ind w:left="284"/>
        <w:rPr>
          <w:rFonts w:cs="Arial"/>
        </w:rPr>
      </w:pPr>
      <w:r w:rsidRPr="001E2783">
        <w:rPr>
          <w:rFonts w:cs="Arial"/>
        </w:rPr>
        <w:t>Research is undertaken, and stakeholders engaged, to maximise the extent to which information, standards and safeguards address the broad concerns of the community.</w:t>
      </w:r>
    </w:p>
    <w:p w14:paraId="3D9DF499" w14:textId="77777777" w:rsidR="00CC119D" w:rsidRPr="001E2783" w:rsidRDefault="00CC119D" w:rsidP="00CC119D">
      <w:pPr>
        <w:spacing w:after="120"/>
        <w:rPr>
          <w:rFonts w:cs="Arial"/>
          <w:b/>
        </w:rPr>
      </w:pPr>
      <w:r w:rsidRPr="001E2783">
        <w:rPr>
          <w:rFonts w:cs="Arial"/>
          <w:b/>
        </w:rPr>
        <w:t>Program 1.2 Deliverables</w:t>
      </w:r>
    </w:p>
    <w:p w14:paraId="6FBD789B" w14:textId="77777777" w:rsidR="00CC119D" w:rsidRPr="001E2783" w:rsidRDefault="00FC2DF4" w:rsidP="00CC119D">
      <w:pPr>
        <w:pStyle w:val="ListBullet"/>
        <w:ind w:left="284"/>
        <w:rPr>
          <w:rFonts w:cs="Arial"/>
        </w:rPr>
      </w:pPr>
      <w:r w:rsidRPr="001E2783">
        <w:rPr>
          <w:rFonts w:cs="Arial"/>
        </w:rPr>
        <w:t>Deliver information programs to raise awareness of rights</w:t>
      </w:r>
      <w:r w:rsidR="00676F17" w:rsidRPr="001E2783">
        <w:rPr>
          <w:rFonts w:cs="Arial"/>
        </w:rPr>
        <w:t xml:space="preserve"> and responsibilities, including</w:t>
      </w:r>
      <w:r w:rsidRPr="001E2783">
        <w:rPr>
          <w:rFonts w:cs="Arial"/>
        </w:rPr>
        <w:t xml:space="preserve"> safety issues.</w:t>
      </w:r>
    </w:p>
    <w:p w14:paraId="52C8C925" w14:textId="77777777" w:rsidR="00FC2DF4" w:rsidRPr="001E2783" w:rsidRDefault="00676F17" w:rsidP="00CC119D">
      <w:pPr>
        <w:pStyle w:val="ListBullet"/>
        <w:ind w:left="284"/>
        <w:rPr>
          <w:rFonts w:cs="Arial"/>
        </w:rPr>
      </w:pPr>
      <w:r w:rsidRPr="001E2783">
        <w:rPr>
          <w:rFonts w:cs="Arial"/>
        </w:rPr>
        <w:t>Report</w:t>
      </w:r>
      <w:r w:rsidR="00FC2DF4" w:rsidRPr="001E2783">
        <w:rPr>
          <w:rFonts w:cs="Arial"/>
        </w:rPr>
        <w:t xml:space="preserve"> on industry compliance with statutory consumer safeguards available within required timeframes.</w:t>
      </w:r>
    </w:p>
    <w:p w14:paraId="7BD96D93" w14:textId="77777777" w:rsidR="00CC119D" w:rsidRPr="001E2783" w:rsidRDefault="00CC119D" w:rsidP="00CC119D">
      <w:pPr>
        <w:pStyle w:val="ListBullet"/>
        <w:ind w:left="284"/>
        <w:rPr>
          <w:rFonts w:cs="Arial"/>
        </w:rPr>
      </w:pPr>
      <w:r w:rsidRPr="001E2783">
        <w:rPr>
          <w:rFonts w:cs="Arial"/>
        </w:rPr>
        <w:t xml:space="preserve">Develop </w:t>
      </w:r>
      <w:r w:rsidR="00676F17" w:rsidRPr="001E2783">
        <w:rPr>
          <w:rFonts w:cs="Arial"/>
        </w:rPr>
        <w:t>cybersafety education programs which are research based and educationally sound.</w:t>
      </w:r>
    </w:p>
    <w:p w14:paraId="5F4D9823" w14:textId="77777777" w:rsidR="00CC119D" w:rsidRPr="001E2783" w:rsidRDefault="00CC119D" w:rsidP="00CC119D">
      <w:pPr>
        <w:pStyle w:val="ListBullet"/>
        <w:ind w:left="284"/>
        <w:rPr>
          <w:rFonts w:cs="Arial"/>
        </w:rPr>
      </w:pPr>
      <w:r w:rsidRPr="001E2783">
        <w:rPr>
          <w:rFonts w:cs="Arial"/>
        </w:rPr>
        <w:t>Undertake consultation at regular intervals to receive information and advice on matters affecting consumers of communications services.</w:t>
      </w:r>
    </w:p>
    <w:p w14:paraId="3ED25ABF" w14:textId="77777777" w:rsidR="00CC119D" w:rsidRPr="001E2783" w:rsidRDefault="00CC119D" w:rsidP="00CC119D">
      <w:pPr>
        <w:pStyle w:val="ListBullet"/>
        <w:ind w:left="284"/>
        <w:rPr>
          <w:rFonts w:cs="Arial"/>
        </w:rPr>
      </w:pPr>
      <w:r w:rsidRPr="001E2783">
        <w:rPr>
          <w:rFonts w:cs="Arial"/>
        </w:rPr>
        <w:t>In co</w:t>
      </w:r>
      <w:r w:rsidR="00676F17" w:rsidRPr="001E2783">
        <w:rPr>
          <w:rFonts w:cs="Arial"/>
        </w:rPr>
        <w:t>-</w:t>
      </w:r>
      <w:r w:rsidRPr="001E2783">
        <w:rPr>
          <w:rFonts w:cs="Arial"/>
        </w:rPr>
        <w:t>operation with industry, undertake reviews of communications standards, codes and determinations within appropriate timeframes.</w:t>
      </w:r>
    </w:p>
    <w:p w14:paraId="26F017AC" w14:textId="77777777" w:rsidR="00CC119D" w:rsidRPr="001E2783" w:rsidRDefault="00FC2DF4" w:rsidP="00CC119D">
      <w:pPr>
        <w:pStyle w:val="ListBullet"/>
        <w:ind w:left="284"/>
        <w:rPr>
          <w:rFonts w:cs="Arial"/>
        </w:rPr>
      </w:pPr>
      <w:r w:rsidRPr="001E2783">
        <w:rPr>
          <w:rFonts w:cs="Arial"/>
        </w:rPr>
        <w:t>Raise awareness of Australia’</w:t>
      </w:r>
      <w:r w:rsidR="00CC119D" w:rsidRPr="001E2783">
        <w:rPr>
          <w:rFonts w:cs="Arial"/>
        </w:rPr>
        <w:t>s spam</w:t>
      </w:r>
      <w:r w:rsidR="00E5017A" w:rsidRPr="001E2783">
        <w:rPr>
          <w:rFonts w:cs="Arial"/>
        </w:rPr>
        <w:t xml:space="preserve"> and D</w:t>
      </w:r>
      <w:r w:rsidR="00676F17" w:rsidRPr="001E2783">
        <w:rPr>
          <w:rFonts w:cs="Arial"/>
        </w:rPr>
        <w:t xml:space="preserve">o </w:t>
      </w:r>
      <w:r w:rsidR="00E5017A" w:rsidRPr="001E2783">
        <w:rPr>
          <w:rFonts w:cs="Arial"/>
        </w:rPr>
        <w:t>N</w:t>
      </w:r>
      <w:r w:rsidR="00676F17" w:rsidRPr="001E2783">
        <w:rPr>
          <w:rFonts w:cs="Arial"/>
        </w:rPr>
        <w:t xml:space="preserve">ot </w:t>
      </w:r>
      <w:r w:rsidR="00E5017A" w:rsidRPr="001E2783">
        <w:rPr>
          <w:rFonts w:cs="Arial"/>
        </w:rPr>
        <w:t>C</w:t>
      </w:r>
      <w:r w:rsidR="00676F17" w:rsidRPr="001E2783">
        <w:rPr>
          <w:rFonts w:cs="Arial"/>
        </w:rPr>
        <w:t>all</w:t>
      </w:r>
      <w:r w:rsidR="00CC119D" w:rsidRPr="001E2783">
        <w:rPr>
          <w:rFonts w:cs="Arial"/>
        </w:rPr>
        <w:t xml:space="preserve"> legislation among consumers, businesses and the </w:t>
      </w:r>
      <w:r w:rsidR="00676F17" w:rsidRPr="001E2783">
        <w:rPr>
          <w:rFonts w:cs="Arial"/>
        </w:rPr>
        <w:t xml:space="preserve">telemarketing and </w:t>
      </w:r>
      <w:r w:rsidR="00CC119D" w:rsidRPr="001E2783">
        <w:rPr>
          <w:rFonts w:cs="Arial"/>
        </w:rPr>
        <w:t>e-marketing industr</w:t>
      </w:r>
      <w:r w:rsidR="00676F17" w:rsidRPr="001E2783">
        <w:rPr>
          <w:rFonts w:cs="Arial"/>
        </w:rPr>
        <w:t>ies</w:t>
      </w:r>
      <w:r w:rsidR="00CC119D" w:rsidRPr="001E2783">
        <w:rPr>
          <w:rFonts w:cs="Arial"/>
        </w:rPr>
        <w:t xml:space="preserve"> through education programs and publications.</w:t>
      </w:r>
    </w:p>
    <w:p w14:paraId="63C8E37F" w14:textId="77777777" w:rsidR="00CC119D" w:rsidRPr="001E2783" w:rsidRDefault="00311E08" w:rsidP="00B073E8">
      <w:pPr>
        <w:rPr>
          <w:rFonts w:cs="Arial"/>
        </w:rPr>
      </w:pPr>
      <w:r>
        <w:rPr>
          <w:rFonts w:cs="Arial"/>
        </w:rPr>
        <w:pict w14:anchorId="5D538FE3">
          <v:rect id="_x0000_i1028" style="width:0;height:1.5pt" o:hralign="center" o:hrstd="t" o:hr="t" fillcolor="#a0a0a0" stroked="f"/>
        </w:pict>
      </w:r>
    </w:p>
    <w:p w14:paraId="2CCC59F4" w14:textId="77777777" w:rsidR="00CC119D" w:rsidRPr="001E2783" w:rsidRDefault="00CC119D" w:rsidP="00AF0E3A">
      <w:pPr>
        <w:pStyle w:val="Heading2"/>
      </w:pPr>
      <w:r w:rsidRPr="001E2783">
        <w:br w:type="page"/>
      </w:r>
      <w:bookmarkStart w:id="213" w:name="_Toc337727609"/>
      <w:bookmarkStart w:id="214" w:name="_Toc400018577"/>
      <w:r w:rsidRPr="001E2783">
        <w:t>The ACMA’s role</w:t>
      </w:r>
      <w:bookmarkEnd w:id="213"/>
      <w:bookmarkEnd w:id="214"/>
    </w:p>
    <w:p w14:paraId="36A39ED0" w14:textId="77777777" w:rsidR="00AF0E3A" w:rsidRPr="001E2783" w:rsidRDefault="00AF0E3A" w:rsidP="00AF0E3A">
      <w:pPr>
        <w:rPr>
          <w:rFonts w:cs="Arial"/>
        </w:rPr>
      </w:pPr>
      <w:r w:rsidRPr="001E2783">
        <w:rPr>
          <w:rFonts w:cs="Arial"/>
        </w:rPr>
        <w:t>The ACMA’s role includes informing the community about communications matters and delivering effective consumer protection. To this end, the ACMA provides information to facilitate informed decisions about communications products and services. Industry-developed codes of practice set out the requirements to meet service and information provision obligations.</w:t>
      </w:r>
    </w:p>
    <w:p w14:paraId="3E105BBE" w14:textId="77777777" w:rsidR="00AF0E3A" w:rsidRPr="001E2783" w:rsidRDefault="00AF0E3A" w:rsidP="00AF0E3A">
      <w:pPr>
        <w:rPr>
          <w:rFonts w:cs="Arial"/>
        </w:rPr>
      </w:pPr>
    </w:p>
    <w:p w14:paraId="149C5B1F" w14:textId="77777777" w:rsidR="00AF0E3A" w:rsidRPr="001E2783" w:rsidRDefault="00AF0E3A" w:rsidP="00AF0E3A">
      <w:pPr>
        <w:pStyle w:val="Heading3"/>
      </w:pPr>
      <w:bookmarkStart w:id="215" w:name="_Toc400018578"/>
      <w:r w:rsidRPr="001E2783">
        <w:t>Australian content in advertising</w:t>
      </w:r>
      <w:bookmarkEnd w:id="215"/>
    </w:p>
    <w:p w14:paraId="4D607899" w14:textId="77777777" w:rsidR="00AF0E3A" w:rsidRPr="001E2783" w:rsidRDefault="00AF0E3A" w:rsidP="00AF0E3A">
      <w:pPr>
        <w:rPr>
          <w:rFonts w:cs="Arial"/>
        </w:rPr>
      </w:pPr>
      <w:r w:rsidRPr="001E2783">
        <w:rPr>
          <w:rFonts w:cs="Arial"/>
        </w:rPr>
        <w:t>Television Program Standard 23</w:t>
      </w:r>
      <w:r w:rsidR="00186751" w:rsidRPr="001E2783">
        <w:rPr>
          <w:rFonts w:cs="Arial"/>
        </w:rPr>
        <w:t>—</w:t>
      </w:r>
      <w:r w:rsidRPr="001E2783">
        <w:rPr>
          <w:rFonts w:cs="Arial"/>
        </w:rPr>
        <w:t xml:space="preserve">Australian Content in Advertising requires that commercial television broadcasting licensees </w:t>
      </w:r>
      <w:r w:rsidR="00186751" w:rsidRPr="001E2783">
        <w:rPr>
          <w:rFonts w:cs="Arial"/>
        </w:rPr>
        <w:t xml:space="preserve">each year </w:t>
      </w:r>
      <w:r w:rsidRPr="001E2783">
        <w:rPr>
          <w:rFonts w:cs="Arial"/>
        </w:rPr>
        <w:t xml:space="preserve">provide </w:t>
      </w:r>
      <w:r w:rsidR="00186751" w:rsidRPr="001E2783">
        <w:rPr>
          <w:rFonts w:cs="Arial"/>
        </w:rPr>
        <w:t>at least 80 per cent Australian-</w:t>
      </w:r>
      <w:r w:rsidRPr="001E2783">
        <w:rPr>
          <w:rFonts w:cs="Arial"/>
        </w:rPr>
        <w:t>produced advertisement</w:t>
      </w:r>
      <w:r w:rsidR="00186751" w:rsidRPr="001E2783">
        <w:rPr>
          <w:rFonts w:cs="Arial"/>
        </w:rPr>
        <w:t>s</w:t>
      </w:r>
      <w:r w:rsidRPr="001E2783">
        <w:rPr>
          <w:rFonts w:cs="Arial"/>
        </w:rPr>
        <w:t xml:space="preserve"> between 6</w:t>
      </w:r>
      <w:r w:rsidR="00186751" w:rsidRPr="001E2783">
        <w:rPr>
          <w:rFonts w:cs="Arial"/>
        </w:rPr>
        <w:t> am and midnight.</w:t>
      </w:r>
      <w:r w:rsidRPr="001E2783">
        <w:rPr>
          <w:rFonts w:cs="Arial"/>
        </w:rPr>
        <w:t xml:space="preserve"> Following an extended period of high self-reported compliance, and noting a desire for red-tape reduction, the ACMA consider</w:t>
      </w:r>
      <w:r w:rsidR="009D0E6B" w:rsidRPr="001E2783">
        <w:rPr>
          <w:rFonts w:cs="Arial"/>
        </w:rPr>
        <w:t xml:space="preserve">ed </w:t>
      </w:r>
      <w:r w:rsidRPr="001E2783">
        <w:rPr>
          <w:rFonts w:cs="Arial"/>
        </w:rPr>
        <w:t xml:space="preserve">the program standard </w:t>
      </w:r>
      <w:r w:rsidR="009D0E6B" w:rsidRPr="001E2783">
        <w:rPr>
          <w:rFonts w:cs="Arial"/>
        </w:rPr>
        <w:t>to be</w:t>
      </w:r>
      <w:r w:rsidRPr="001E2783">
        <w:rPr>
          <w:rFonts w:cs="Arial"/>
        </w:rPr>
        <w:t xml:space="preserve"> more efficiently monitored by other compliance means. As such, no compliance returns were required by licensees </w:t>
      </w:r>
      <w:r w:rsidR="00186751" w:rsidRPr="001E2783">
        <w:rPr>
          <w:rFonts w:cs="Arial"/>
        </w:rPr>
        <w:t>for</w:t>
      </w:r>
      <w:r w:rsidRPr="001E2783">
        <w:rPr>
          <w:rFonts w:cs="Arial"/>
        </w:rPr>
        <w:t xml:space="preserve"> the 2013 period.</w:t>
      </w:r>
    </w:p>
    <w:p w14:paraId="08FF523D" w14:textId="77777777" w:rsidR="00AF0E3A" w:rsidRPr="001E2783" w:rsidRDefault="00AF0E3A" w:rsidP="00AF0E3A">
      <w:pPr>
        <w:rPr>
          <w:rFonts w:cs="Arial"/>
        </w:rPr>
      </w:pPr>
    </w:p>
    <w:p w14:paraId="46029AAB" w14:textId="77777777" w:rsidR="00AF0E3A" w:rsidRPr="001E2783" w:rsidRDefault="00AF0E3A" w:rsidP="00AF0E3A">
      <w:pPr>
        <w:pStyle w:val="Heading3"/>
      </w:pPr>
      <w:bookmarkStart w:id="216" w:name="_Toc400018579"/>
      <w:r w:rsidRPr="001E2783">
        <w:t>Australian content</w:t>
      </w:r>
      <w:bookmarkEnd w:id="216"/>
    </w:p>
    <w:p w14:paraId="6CF467E9" w14:textId="77777777" w:rsidR="002E4DEB" w:rsidRPr="001E2783" w:rsidRDefault="002E4DEB" w:rsidP="002E4DEB">
      <w:pPr>
        <w:rPr>
          <w:rFonts w:cs="Arial"/>
        </w:rPr>
      </w:pPr>
      <w:r w:rsidRPr="001E2783">
        <w:rPr>
          <w:rFonts w:cs="Arial"/>
        </w:rPr>
        <w:t>All metropolitan commercial television broadcasting licensees re</w:t>
      </w:r>
      <w:r w:rsidR="00307D09" w:rsidRPr="001E2783">
        <w:rPr>
          <w:rFonts w:cs="Arial"/>
        </w:rPr>
        <w:t>ported meeting main channel (55 </w:t>
      </w:r>
      <w:r w:rsidRPr="001E2783">
        <w:rPr>
          <w:rFonts w:cs="Arial"/>
        </w:rPr>
        <w:t>p</w:t>
      </w:r>
      <w:r w:rsidR="00307D09" w:rsidRPr="001E2783">
        <w:rPr>
          <w:rFonts w:cs="Arial"/>
        </w:rPr>
        <w:t>er cent) and multi-channel (730 </w:t>
      </w:r>
      <w:r w:rsidRPr="001E2783">
        <w:rPr>
          <w:rFonts w:cs="Arial"/>
        </w:rPr>
        <w:t xml:space="preserve">hours) transmission quotas for Australian content. </w:t>
      </w:r>
    </w:p>
    <w:p w14:paraId="77435505" w14:textId="77777777" w:rsidR="002E4DEB" w:rsidRPr="001E2783" w:rsidRDefault="002E4DEB" w:rsidP="002E4DEB">
      <w:pPr>
        <w:rPr>
          <w:rFonts w:cs="Arial"/>
        </w:rPr>
      </w:pPr>
    </w:p>
    <w:p w14:paraId="6D2198ED" w14:textId="77777777" w:rsidR="002E4DEB" w:rsidRPr="001E2783" w:rsidRDefault="002E4DEB" w:rsidP="002E4DEB">
      <w:pPr>
        <w:rPr>
          <w:rFonts w:cs="Arial"/>
        </w:rPr>
      </w:pPr>
      <w:r w:rsidRPr="001E2783">
        <w:rPr>
          <w:rFonts w:cs="Arial"/>
        </w:rPr>
        <w:t xml:space="preserve">The transmission quotas apply to programs televised by free-to-air commercial broadcasters between 6 am and midnight each calendar year and are specified by the BSA. Australian content on commercial television’s main broadcasting channels remained high, with the Seven Network providing an average of 69 per cent local programming, </w:t>
      </w:r>
      <w:r w:rsidR="006630DD" w:rsidRPr="001E2783">
        <w:rPr>
          <w:rFonts w:cs="Arial"/>
        </w:rPr>
        <w:t xml:space="preserve">the </w:t>
      </w:r>
      <w:r w:rsidRPr="001E2783">
        <w:rPr>
          <w:rFonts w:cs="Arial"/>
        </w:rPr>
        <w:t>Nine Network an average of 65 per cent a</w:t>
      </w:r>
      <w:r w:rsidR="00387EDB" w:rsidRPr="001E2783">
        <w:rPr>
          <w:rFonts w:cs="Arial"/>
        </w:rPr>
        <w:t>nd Network Ten an average of 59 per cent</w:t>
      </w:r>
      <w:r w:rsidRPr="001E2783">
        <w:rPr>
          <w:rFonts w:cs="Arial"/>
        </w:rPr>
        <w:t>.</w:t>
      </w:r>
    </w:p>
    <w:p w14:paraId="3CF49C88" w14:textId="77777777" w:rsidR="002E4DEB" w:rsidRPr="001E2783" w:rsidRDefault="002E4DEB" w:rsidP="002E4DEB">
      <w:pPr>
        <w:rPr>
          <w:rFonts w:cs="Arial"/>
        </w:rPr>
      </w:pPr>
    </w:p>
    <w:p w14:paraId="0F25DE8F" w14:textId="77777777" w:rsidR="00005AF0" w:rsidRPr="001E2783" w:rsidRDefault="002E4DEB" w:rsidP="002E4DEB">
      <w:pPr>
        <w:rPr>
          <w:rFonts w:cs="Arial"/>
        </w:rPr>
      </w:pPr>
      <w:r w:rsidRPr="001E2783">
        <w:rPr>
          <w:rFonts w:cs="Arial"/>
        </w:rPr>
        <w:t>2013 marked the first year of the new transmission quota for broadcasters’ multi-channels. This new Australian content obligation was comfortably met by all metropolitan broadcasters by more than double the minimum requirement. The multi-channel quota increased to 1</w:t>
      </w:r>
      <w:r w:rsidR="00387EDB" w:rsidRPr="001E2783">
        <w:rPr>
          <w:rFonts w:cs="Arial"/>
        </w:rPr>
        <w:t>,095 hours in 2014</w:t>
      </w:r>
      <w:r w:rsidR="00307D09" w:rsidRPr="001E2783">
        <w:rPr>
          <w:rFonts w:cs="Arial"/>
        </w:rPr>
        <w:t>,</w:t>
      </w:r>
      <w:r w:rsidR="00387EDB" w:rsidRPr="001E2783">
        <w:rPr>
          <w:rFonts w:cs="Arial"/>
        </w:rPr>
        <w:t xml:space="preserve"> and increases to </w:t>
      </w:r>
      <w:r w:rsidRPr="001E2783">
        <w:rPr>
          <w:rFonts w:cs="Arial"/>
        </w:rPr>
        <w:t>1,460 hours in 2015 and beyond.</w:t>
      </w:r>
    </w:p>
    <w:p w14:paraId="3AD7BC90" w14:textId="77777777" w:rsidR="00387EDB" w:rsidRPr="001E2783" w:rsidRDefault="00387EDB" w:rsidP="002E4DEB">
      <w:pPr>
        <w:rPr>
          <w:rFonts w:cs="Arial"/>
        </w:rPr>
      </w:pPr>
    </w:p>
    <w:p w14:paraId="0169A507" w14:textId="77777777" w:rsidR="009D0E6B" w:rsidRPr="001E2783" w:rsidRDefault="00005AF0" w:rsidP="00E61945">
      <w:pPr>
        <w:spacing w:after="80"/>
        <w:rPr>
          <w:rFonts w:cs="Arial"/>
        </w:rPr>
      </w:pPr>
      <w:r w:rsidRPr="001E2783">
        <w:rPr>
          <w:rFonts w:cs="Arial"/>
        </w:rPr>
        <w:t xml:space="preserve">In addition, there are specific minimum annual sub-quotas for first-release Australian drama, documentary and children’s programs, as well as sub-quota requirements for repeat children’s programs and Australian preschool programs </w:t>
      </w:r>
      <w:r w:rsidR="006630DD" w:rsidRPr="001E2783">
        <w:rPr>
          <w:rFonts w:cs="Arial"/>
        </w:rPr>
        <w:t xml:space="preserve">that </w:t>
      </w:r>
      <w:r w:rsidRPr="001E2783">
        <w:rPr>
          <w:rFonts w:cs="Arial"/>
        </w:rPr>
        <w:t>licensees</w:t>
      </w:r>
      <w:r w:rsidR="00354397" w:rsidRPr="001E2783">
        <w:rPr>
          <w:rFonts w:cs="Arial"/>
        </w:rPr>
        <w:t xml:space="preserve"> must meet</w:t>
      </w:r>
      <w:r w:rsidRPr="001E2783">
        <w:rPr>
          <w:rFonts w:cs="Arial"/>
        </w:rPr>
        <w:t xml:space="preserve"> on their core/primary commercial television service.</w:t>
      </w:r>
      <w:r w:rsidR="009D0E6B" w:rsidRPr="001E2783">
        <w:rPr>
          <w:rFonts w:cs="Arial"/>
        </w:rPr>
        <w:t xml:space="preserve"> Notably, 2013 marked the final year of the latest triennial period for adult drama. For the period 2011</w:t>
      </w:r>
      <w:r w:rsidR="00E61945" w:rsidRPr="001E2783">
        <w:rPr>
          <w:rFonts w:cs="Arial"/>
        </w:rPr>
        <w:t>–</w:t>
      </w:r>
      <w:r w:rsidR="009D0E6B" w:rsidRPr="001E2783">
        <w:rPr>
          <w:rFonts w:cs="Arial"/>
        </w:rPr>
        <w:t>13, all commercial television metropolitan lic</w:t>
      </w:r>
      <w:r w:rsidR="00E61945" w:rsidRPr="001E2783">
        <w:rPr>
          <w:rFonts w:cs="Arial"/>
        </w:rPr>
        <w:t>ensees reported meeting the 860-</w:t>
      </w:r>
      <w:r w:rsidR="009D0E6B" w:rsidRPr="001E2783">
        <w:rPr>
          <w:rFonts w:cs="Arial"/>
        </w:rPr>
        <w:t xml:space="preserve">point drama score: </w:t>
      </w:r>
    </w:p>
    <w:p w14:paraId="4CECA04F" w14:textId="77777777" w:rsidR="009D0E6B" w:rsidRPr="001E2783" w:rsidRDefault="009D0E6B" w:rsidP="009D0E6B">
      <w:pPr>
        <w:pStyle w:val="ListBullet"/>
        <w:ind w:left="284"/>
        <w:rPr>
          <w:rFonts w:cs="Arial"/>
        </w:rPr>
      </w:pPr>
      <w:r w:rsidRPr="001E2783">
        <w:rPr>
          <w:rFonts w:cs="Arial"/>
        </w:rPr>
        <w:t>Seven</w:t>
      </w:r>
      <w:r w:rsidR="00307D09" w:rsidRPr="001E2783">
        <w:rPr>
          <w:rFonts w:cs="Arial"/>
        </w:rPr>
        <w:t xml:space="preserve"> Network licensees averaged 911 </w:t>
      </w:r>
      <w:r w:rsidRPr="001E2783">
        <w:rPr>
          <w:rFonts w:cs="Arial"/>
        </w:rPr>
        <w:t>points</w:t>
      </w:r>
    </w:p>
    <w:p w14:paraId="2CCEDB55" w14:textId="77777777" w:rsidR="009D0E6B" w:rsidRPr="001E2783" w:rsidRDefault="009D0E6B" w:rsidP="009D0E6B">
      <w:pPr>
        <w:pStyle w:val="ListBullet"/>
        <w:ind w:left="284"/>
        <w:rPr>
          <w:rFonts w:cs="Arial"/>
        </w:rPr>
      </w:pPr>
      <w:r w:rsidRPr="001E2783">
        <w:rPr>
          <w:rFonts w:cs="Arial"/>
        </w:rPr>
        <w:t>Nine</w:t>
      </w:r>
      <w:r w:rsidR="00307D09" w:rsidRPr="001E2783">
        <w:rPr>
          <w:rFonts w:cs="Arial"/>
        </w:rPr>
        <w:t xml:space="preserve"> Network licensees averaged 876 </w:t>
      </w:r>
      <w:r w:rsidRPr="001E2783">
        <w:rPr>
          <w:rFonts w:cs="Arial"/>
        </w:rPr>
        <w:t>points</w:t>
      </w:r>
    </w:p>
    <w:p w14:paraId="16C108A6" w14:textId="77777777" w:rsidR="009D0E6B" w:rsidRPr="001E2783" w:rsidRDefault="009D0E6B" w:rsidP="009D0E6B">
      <w:pPr>
        <w:pStyle w:val="ListBullet"/>
        <w:spacing w:after="240"/>
        <w:ind w:left="284"/>
        <w:rPr>
          <w:rFonts w:cs="Arial"/>
        </w:rPr>
      </w:pPr>
      <w:r w:rsidRPr="001E2783">
        <w:rPr>
          <w:rFonts w:cs="Arial"/>
        </w:rPr>
        <w:t>Net</w:t>
      </w:r>
      <w:r w:rsidR="00307D09" w:rsidRPr="001E2783">
        <w:rPr>
          <w:rFonts w:cs="Arial"/>
        </w:rPr>
        <w:t>work Ten licensees averaged 870 </w:t>
      </w:r>
      <w:r w:rsidRPr="001E2783">
        <w:rPr>
          <w:rFonts w:cs="Arial"/>
        </w:rPr>
        <w:t>points.</w:t>
      </w:r>
    </w:p>
    <w:p w14:paraId="067587B3" w14:textId="77777777" w:rsidR="009D0E6B" w:rsidRPr="001E2783" w:rsidRDefault="009D0E6B" w:rsidP="009D0E6B">
      <w:pPr>
        <w:rPr>
          <w:rFonts w:cs="Arial"/>
        </w:rPr>
      </w:pPr>
      <w:r w:rsidRPr="001E2783">
        <w:rPr>
          <w:rFonts w:cs="Arial"/>
        </w:rPr>
        <w:t>In 2013, three Network Nine licensees failed to provide minimum first-release Australian C programming, with 124 hours of the minimum 130-hour requirement. Appropriate remedial action for these licensees will be finalised in the next reporting period. All other metropolitan licensees reported compliance with the sub-quota requirements in 2013.</w:t>
      </w:r>
    </w:p>
    <w:p w14:paraId="65E384C3" w14:textId="77777777" w:rsidR="00AF0E3A" w:rsidRPr="001E2783" w:rsidRDefault="00AF0E3A" w:rsidP="00AF0E3A">
      <w:pPr>
        <w:rPr>
          <w:rFonts w:cs="Arial"/>
        </w:rPr>
      </w:pPr>
    </w:p>
    <w:p w14:paraId="64692985" w14:textId="77777777" w:rsidR="00A31D3D" w:rsidRPr="001E2783" w:rsidRDefault="00A31D3D" w:rsidP="00A31D3D">
      <w:pPr>
        <w:pStyle w:val="Heading3"/>
      </w:pPr>
      <w:bookmarkStart w:id="217" w:name="_Toc400018580"/>
      <w:r w:rsidRPr="001E2783">
        <w:t>Australian music code</w:t>
      </w:r>
      <w:bookmarkEnd w:id="217"/>
    </w:p>
    <w:p w14:paraId="316AB6BF" w14:textId="77777777" w:rsidR="00E61945" w:rsidRPr="001E2783" w:rsidRDefault="00A31D3D" w:rsidP="00E61945">
      <w:pPr>
        <w:rPr>
          <w:rFonts w:cs="Arial"/>
        </w:rPr>
      </w:pPr>
      <w:r w:rsidRPr="001E2783">
        <w:rPr>
          <w:rFonts w:cs="Arial"/>
        </w:rPr>
        <w:t>Code 4 of the Commercial Radio Codes of Practice sets quotas for the broadcast of Australian music by commercial radio licensees, for analog and digital-simulcast services.</w:t>
      </w:r>
      <w:r w:rsidR="00E61945" w:rsidRPr="001E2783">
        <w:rPr>
          <w:rFonts w:cs="Arial"/>
        </w:rPr>
        <w:t xml:space="preserve"> The ACMA’s role is to investigate relevant valid code complaints. </w:t>
      </w:r>
    </w:p>
    <w:p w14:paraId="0079FB4A" w14:textId="42972AF1" w:rsidR="00005AF0" w:rsidRPr="001E2783" w:rsidRDefault="00ED3ECD" w:rsidP="00005AF0">
      <w:pPr>
        <w:rPr>
          <w:rFonts w:cs="Arial"/>
        </w:rPr>
      </w:pPr>
      <w:r w:rsidRPr="001E2783">
        <w:rPr>
          <w:rFonts w:cs="Arial"/>
        </w:rPr>
        <w:t>The Australian Recording Industry Association (ARIA) monitors and reports on commercial radio stations’ compliance with their obligation under code 4. ARIA’s most recent annual report on the performance of Commercial Radio Australia members</w:t>
      </w:r>
      <w:r w:rsidR="001F28C8" w:rsidRPr="001E2783">
        <w:rPr>
          <w:rFonts w:cs="Arial"/>
        </w:rPr>
        <w:t xml:space="preserve"> for code 4 is available at </w:t>
      </w:r>
      <w:r w:rsidRPr="001E2783">
        <w:rPr>
          <w:rFonts w:cs="Arial"/>
        </w:rPr>
        <w:t>aria.com.au.</w:t>
      </w:r>
      <w:r w:rsidR="00005AF0" w:rsidRPr="001E2783">
        <w:rPr>
          <w:rFonts w:cs="Arial"/>
        </w:rPr>
        <w:t xml:space="preserve"> </w:t>
      </w:r>
    </w:p>
    <w:p w14:paraId="62A9F755" w14:textId="77777777" w:rsidR="00A31D3D" w:rsidRPr="001E2783" w:rsidRDefault="00A31D3D" w:rsidP="00A31D3D">
      <w:pPr>
        <w:rPr>
          <w:rFonts w:cs="Arial"/>
        </w:rPr>
      </w:pPr>
    </w:p>
    <w:p w14:paraId="2D827397" w14:textId="77777777" w:rsidR="00AF0E3A" w:rsidRPr="001E2783" w:rsidRDefault="00A31D3D" w:rsidP="00AF0E3A">
      <w:pPr>
        <w:pStyle w:val="Heading3"/>
      </w:pPr>
      <w:bookmarkStart w:id="218" w:name="_Toc400018581"/>
      <w:r w:rsidRPr="001E2783">
        <w:t>Children’s television</w:t>
      </w:r>
      <w:bookmarkStart w:id="219" w:name="_Toc337727614"/>
      <w:bookmarkStart w:id="220" w:name="_Toc359319062"/>
      <w:bookmarkEnd w:id="218"/>
    </w:p>
    <w:p w14:paraId="00992287" w14:textId="77777777" w:rsidR="00AF0E3A" w:rsidRPr="001E2783" w:rsidRDefault="00AF0E3A" w:rsidP="00AF0E3A">
      <w:pPr>
        <w:spacing w:after="80"/>
        <w:rPr>
          <w:rFonts w:cs="Arial"/>
        </w:rPr>
      </w:pPr>
      <w:r w:rsidRPr="001E2783">
        <w:rPr>
          <w:rFonts w:cs="Arial"/>
        </w:rPr>
        <w:t>In 2013, the amount of first-release Australian children’s drama broadcast reported by the metropolitan networks averaged more than the 25-hour quota:</w:t>
      </w:r>
    </w:p>
    <w:p w14:paraId="0DCE5124" w14:textId="77777777" w:rsidR="00AF0E3A" w:rsidRPr="001E2783" w:rsidRDefault="00AF0E3A" w:rsidP="00AF0E3A">
      <w:pPr>
        <w:pStyle w:val="ListBullet"/>
        <w:ind w:left="284"/>
        <w:rPr>
          <w:rFonts w:cs="Arial"/>
        </w:rPr>
      </w:pPr>
      <w:r w:rsidRPr="001E2783">
        <w:rPr>
          <w:rFonts w:cs="Arial"/>
        </w:rPr>
        <w:t>Seve</w:t>
      </w:r>
      <w:r w:rsidR="00307D09" w:rsidRPr="001E2783">
        <w:rPr>
          <w:rFonts w:cs="Arial"/>
        </w:rPr>
        <w:t>n Network licensees averaged 27 hours (32.5 </w:t>
      </w:r>
      <w:r w:rsidRPr="001E2783">
        <w:rPr>
          <w:rFonts w:cs="Arial"/>
        </w:rPr>
        <w:t>hours in 2012)</w:t>
      </w:r>
    </w:p>
    <w:p w14:paraId="3F0B791E" w14:textId="77777777" w:rsidR="00AF0E3A" w:rsidRPr="001E2783" w:rsidRDefault="00AF0E3A" w:rsidP="00AF0E3A">
      <w:pPr>
        <w:pStyle w:val="ListBullet"/>
        <w:ind w:left="284"/>
        <w:rPr>
          <w:rFonts w:cs="Arial"/>
        </w:rPr>
      </w:pPr>
      <w:r w:rsidRPr="001E2783">
        <w:rPr>
          <w:rFonts w:cs="Arial"/>
        </w:rPr>
        <w:t xml:space="preserve">Nine </w:t>
      </w:r>
      <w:r w:rsidR="00307D09" w:rsidRPr="001E2783">
        <w:rPr>
          <w:rFonts w:cs="Arial"/>
        </w:rPr>
        <w:t>Network licensees averaged 27.5 hours (32 </w:t>
      </w:r>
      <w:r w:rsidRPr="001E2783">
        <w:rPr>
          <w:rFonts w:cs="Arial"/>
        </w:rPr>
        <w:t>hours in 2012)</w:t>
      </w:r>
    </w:p>
    <w:p w14:paraId="36324B3A" w14:textId="77777777" w:rsidR="00AF0E3A" w:rsidRPr="001E2783" w:rsidRDefault="00AF0E3A" w:rsidP="00AF0E3A">
      <w:pPr>
        <w:pStyle w:val="ListBullet"/>
        <w:spacing w:after="240"/>
        <w:ind w:left="284"/>
        <w:rPr>
          <w:rFonts w:cs="Arial"/>
        </w:rPr>
      </w:pPr>
      <w:r w:rsidRPr="001E2783">
        <w:rPr>
          <w:rFonts w:cs="Arial"/>
        </w:rPr>
        <w:t>Network Ten licensees averag</w:t>
      </w:r>
      <w:r w:rsidR="00307D09" w:rsidRPr="001E2783">
        <w:rPr>
          <w:rFonts w:cs="Arial"/>
        </w:rPr>
        <w:t>ed 34 hours (25 </w:t>
      </w:r>
      <w:r w:rsidRPr="001E2783">
        <w:rPr>
          <w:rFonts w:cs="Arial"/>
        </w:rPr>
        <w:t>hours in 2012).</w:t>
      </w:r>
    </w:p>
    <w:p w14:paraId="427CD1A1" w14:textId="77777777" w:rsidR="00AF0E3A" w:rsidRPr="001E2783" w:rsidRDefault="00AF0E3A" w:rsidP="00AF0E3A">
      <w:pPr>
        <w:rPr>
          <w:rFonts w:cs="Arial"/>
        </w:rPr>
      </w:pPr>
      <w:r w:rsidRPr="001E2783">
        <w:rPr>
          <w:rFonts w:cs="Arial"/>
        </w:rPr>
        <w:t>Most metropolitan licensees reported meeting the minimum quota requirements for children’s programming in 2013, with the exception of three licensees operated by Nine Network. Following investigations undertaken in 2014</w:t>
      </w:r>
      <w:r w:rsidR="009432A4" w:rsidRPr="001E2783">
        <w:rPr>
          <w:rFonts w:cs="Arial"/>
        </w:rPr>
        <w:t>, the ACMA found the licensees—</w:t>
      </w:r>
      <w:r w:rsidRPr="001E2783">
        <w:rPr>
          <w:rFonts w:cs="Arial"/>
        </w:rPr>
        <w:t>TCN Channel Nine (TCN), General Television Corporation (GTV) a</w:t>
      </w:r>
      <w:r w:rsidR="009432A4" w:rsidRPr="001E2783">
        <w:rPr>
          <w:rFonts w:cs="Arial"/>
        </w:rPr>
        <w:t>nd Queensland Television (QTQ)—</w:t>
      </w:r>
      <w:r w:rsidRPr="001E2783">
        <w:rPr>
          <w:rFonts w:cs="Arial"/>
        </w:rPr>
        <w:t>provided 258.5 hours of C programming</w:t>
      </w:r>
      <w:r w:rsidR="009432A4" w:rsidRPr="001E2783">
        <w:rPr>
          <w:rFonts w:cs="Arial"/>
        </w:rPr>
        <w:t xml:space="preserve"> in 2013, below the minimum 260-</w:t>
      </w:r>
      <w:r w:rsidRPr="001E2783">
        <w:rPr>
          <w:rFonts w:cs="Arial"/>
        </w:rPr>
        <w:t xml:space="preserve">hour quota required by CTS 8(2)(a). </w:t>
      </w:r>
    </w:p>
    <w:p w14:paraId="4982D3FF" w14:textId="77777777" w:rsidR="00AF0E3A" w:rsidRPr="001E2783" w:rsidRDefault="00AF0E3A" w:rsidP="00AF0E3A">
      <w:pPr>
        <w:rPr>
          <w:rFonts w:cs="Arial"/>
        </w:rPr>
      </w:pPr>
    </w:p>
    <w:p w14:paraId="3B0BB48E" w14:textId="77777777" w:rsidR="00AF0E3A" w:rsidRPr="001E2783" w:rsidRDefault="00AF0E3A" w:rsidP="00AF0E3A">
      <w:pPr>
        <w:pStyle w:val="Bodysubheader"/>
        <w:keepNext/>
        <w:rPr>
          <w:rFonts w:ascii="Arial" w:hAnsi="Arial" w:cs="Arial"/>
        </w:rPr>
      </w:pPr>
      <w:r w:rsidRPr="001E2783">
        <w:rPr>
          <w:rFonts w:ascii="Arial" w:hAnsi="Arial" w:cs="Arial"/>
        </w:rPr>
        <w:t>Children’s and preschool programs</w:t>
      </w:r>
    </w:p>
    <w:p w14:paraId="4B1A7A09" w14:textId="77777777" w:rsidR="00E61945" w:rsidRPr="001E2783" w:rsidRDefault="00AF0E3A" w:rsidP="00E61945">
      <w:pPr>
        <w:rPr>
          <w:rFonts w:cs="Arial"/>
        </w:rPr>
      </w:pPr>
      <w:r w:rsidRPr="001E2783">
        <w:rPr>
          <w:rFonts w:cs="Arial"/>
        </w:rPr>
        <w:t xml:space="preserve">During 2013–14, the ACMA assessed </w:t>
      </w:r>
      <w:r w:rsidR="00E61945" w:rsidRPr="001E2783">
        <w:rPr>
          <w:rFonts w:cs="Arial"/>
        </w:rPr>
        <w:t xml:space="preserve">40 applications for classification of children’s and preschool programs, including the renewal of classification for three preschool programs. Only one application was refused classification. This compares with 38 programs assessed and 36 granted classification in 2012–13 </w:t>
      </w:r>
      <w:r w:rsidR="00307D09" w:rsidRPr="001E2783">
        <w:rPr>
          <w:rFonts w:cs="Arial"/>
        </w:rPr>
        <w:t>(see Table </w:t>
      </w:r>
      <w:r w:rsidR="00AE6E96" w:rsidRPr="001E2783">
        <w:rPr>
          <w:rFonts w:cs="Arial"/>
        </w:rPr>
        <w:t>31</w:t>
      </w:r>
      <w:r w:rsidR="00E61945" w:rsidRPr="001E2783">
        <w:rPr>
          <w:rFonts w:cs="Arial"/>
        </w:rPr>
        <w:t>).</w:t>
      </w:r>
    </w:p>
    <w:p w14:paraId="51C88BED" w14:textId="77777777" w:rsidR="00AF0E3A" w:rsidRPr="001E2783" w:rsidRDefault="00AF0E3A" w:rsidP="00AF0E3A">
      <w:pPr>
        <w:rPr>
          <w:rFonts w:cs="Arial"/>
        </w:rPr>
      </w:pPr>
    </w:p>
    <w:p w14:paraId="15ACE914" w14:textId="77777777" w:rsidR="00AF0E3A" w:rsidRPr="001E2783" w:rsidRDefault="00AF0E3A" w:rsidP="00AF0E3A">
      <w:pPr>
        <w:rPr>
          <w:rFonts w:cs="Arial"/>
        </w:rPr>
      </w:pPr>
      <w:r w:rsidRPr="001E2783">
        <w:rPr>
          <w:rFonts w:cs="Arial"/>
        </w:rPr>
        <w:t>Of the</w:t>
      </w:r>
      <w:r w:rsidR="00307D09" w:rsidRPr="001E2783">
        <w:rPr>
          <w:rFonts w:cs="Arial"/>
        </w:rPr>
        <w:t>se program classifications, 100 </w:t>
      </w:r>
      <w:r w:rsidRPr="001E2783">
        <w:rPr>
          <w:rFonts w:cs="Arial"/>
        </w:rPr>
        <w:t>per cent were completed within 60 days of the ACMA receiving a completed application.</w:t>
      </w:r>
    </w:p>
    <w:p w14:paraId="25765FE9" w14:textId="77777777" w:rsidR="00AF0E3A" w:rsidRPr="001E2783" w:rsidRDefault="00AF0E3A" w:rsidP="00AF0E3A">
      <w:pPr>
        <w:rPr>
          <w:rFonts w:cs="Arial"/>
        </w:rPr>
      </w:pPr>
    </w:p>
    <w:p w14:paraId="494A3799" w14:textId="77777777" w:rsidR="00AF0E3A" w:rsidRPr="001E2783" w:rsidRDefault="00AF0E3A" w:rsidP="00AF0E3A">
      <w:pPr>
        <w:rPr>
          <w:rFonts w:cs="Arial"/>
        </w:rPr>
      </w:pPr>
      <w:r w:rsidRPr="001E2783">
        <w:rPr>
          <w:rFonts w:cs="Arial"/>
        </w:rPr>
        <w:t xml:space="preserve">A list of children’s television consultants and programs granted C or </w:t>
      </w:r>
      <w:r w:rsidR="00307D09" w:rsidRPr="001E2783">
        <w:rPr>
          <w:rFonts w:cs="Arial"/>
        </w:rPr>
        <w:t>P classification is in Appendix </w:t>
      </w:r>
      <w:r w:rsidRPr="001E2783">
        <w:rPr>
          <w:rFonts w:cs="Arial"/>
        </w:rPr>
        <w:t>5.</w:t>
      </w:r>
    </w:p>
    <w:p w14:paraId="3F43CD23" w14:textId="77777777" w:rsidR="00AF0E3A" w:rsidRPr="001E2783" w:rsidRDefault="00AF0E3A" w:rsidP="00AF0E3A">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4C7B1609" w14:textId="77777777" w:rsidTr="00AF0E3A">
        <w:trPr>
          <w:trHeight w:val="570"/>
        </w:trPr>
        <w:tc>
          <w:tcPr>
            <w:tcW w:w="9645" w:type="dxa"/>
            <w:tcBorders>
              <w:top w:val="single" w:sz="2" w:space="0" w:color="505050"/>
            </w:tcBorders>
            <w:shd w:val="clear" w:color="auto" w:fill="auto"/>
            <w:vAlign w:val="center"/>
          </w:tcPr>
          <w:p w14:paraId="2721886A" w14:textId="28A1933D" w:rsidR="00AF0E3A" w:rsidRPr="001E2783" w:rsidRDefault="00AF0E3A" w:rsidP="006630DD">
            <w:pPr>
              <w:pStyle w:val="Caption"/>
              <w:keepNext/>
              <w:keepLines/>
              <w:rPr>
                <w:rFonts w:ascii="Arial" w:hAnsi="Arial" w:cs="Arial"/>
                <w:color w:val="auto"/>
              </w:rPr>
            </w:pPr>
            <w:r w:rsidRPr="00D3485F">
              <w:rPr>
                <w:rFonts w:ascii="Arial" w:hAnsi="Arial" w:cs="Arial"/>
              </w:rPr>
              <w:t xml:space="preserve">Table </w:t>
            </w:r>
            <w:r w:rsidR="00AE6E96" w:rsidRPr="00D3485F">
              <w:rPr>
                <w:rFonts w:ascii="Arial" w:hAnsi="Arial" w:cs="Arial"/>
              </w:rPr>
              <w:t>31</w:t>
            </w:r>
            <w:r w:rsidRPr="00D3485F">
              <w:rPr>
                <w:rFonts w:ascii="Arial" w:hAnsi="Arial" w:cs="Arial"/>
              </w:rPr>
              <w:t>: Children’s and preschool program classification</w:t>
            </w:r>
            <w:r w:rsidR="00677014" w:rsidRPr="00D3485F">
              <w:rPr>
                <w:rFonts w:ascii="Arial" w:hAnsi="Arial" w:cs="Arial"/>
              </w:rPr>
              <w:t>, 2012–13 and 2013–14</w:t>
            </w:r>
          </w:p>
        </w:tc>
      </w:tr>
      <w:tr w:rsidR="001E2783" w:rsidRPr="001E2783" w14:paraId="14A7BEB8" w14:textId="77777777" w:rsidTr="00AF0E3A">
        <w:trPr>
          <w:trHeight w:val="3086"/>
        </w:trPr>
        <w:tc>
          <w:tcPr>
            <w:tcW w:w="9645" w:type="dxa"/>
            <w:shd w:val="clear" w:color="auto" w:fill="auto"/>
            <w:tcMar>
              <w:left w:w="28" w:type="dxa"/>
            </w:tcMar>
          </w:tcPr>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98"/>
              <w:gridCol w:w="1701"/>
              <w:gridCol w:w="1701"/>
              <w:gridCol w:w="1559"/>
              <w:gridCol w:w="1647"/>
            </w:tblGrid>
            <w:tr w:rsidR="001E2783" w:rsidRPr="001E2783" w14:paraId="3A1C1AE1" w14:textId="77777777" w:rsidTr="00AF0E3A">
              <w:tc>
                <w:tcPr>
                  <w:tcW w:w="2998" w:type="dxa"/>
                  <w:vMerge w:val="restart"/>
                  <w:shd w:val="clear" w:color="auto" w:fill="404040" w:themeFill="text1" w:themeFillTint="BF"/>
                  <w:tcMar>
                    <w:top w:w="57" w:type="dxa"/>
                    <w:left w:w="57" w:type="dxa"/>
                    <w:bottom w:w="57" w:type="dxa"/>
                    <w:right w:w="57" w:type="dxa"/>
                  </w:tcMar>
                </w:tcPr>
                <w:p w14:paraId="290934B5" w14:textId="77777777" w:rsidR="00AF0E3A" w:rsidRPr="000544EA" w:rsidRDefault="00AF0E3A" w:rsidP="009432A4">
                  <w:pPr>
                    <w:pStyle w:val="TableHeading"/>
                    <w:jc w:val="right"/>
                    <w:rPr>
                      <w:rFonts w:ascii="Arial" w:hAnsi="Arial" w:cs="Arial"/>
                      <w:color w:val="FFFFFF" w:themeColor="background1"/>
                      <w:kern w:val="32"/>
                    </w:rPr>
                  </w:pPr>
                </w:p>
              </w:tc>
              <w:tc>
                <w:tcPr>
                  <w:tcW w:w="3402" w:type="dxa"/>
                  <w:gridSpan w:val="2"/>
                  <w:shd w:val="clear" w:color="auto" w:fill="404040" w:themeFill="text1" w:themeFillTint="BF"/>
                  <w:tcMar>
                    <w:top w:w="57" w:type="dxa"/>
                    <w:left w:w="57" w:type="dxa"/>
                    <w:bottom w:w="57" w:type="dxa"/>
                    <w:right w:w="57" w:type="dxa"/>
                  </w:tcMar>
                </w:tcPr>
                <w:p w14:paraId="6137CAA2" w14:textId="77777777" w:rsidR="00AF0E3A" w:rsidRPr="000544EA" w:rsidRDefault="00AF0E3A" w:rsidP="009432A4">
                  <w:pPr>
                    <w:pStyle w:val="TableHeading"/>
                    <w:jc w:val="center"/>
                    <w:rPr>
                      <w:rFonts w:ascii="Arial" w:hAnsi="Arial" w:cs="Arial"/>
                      <w:color w:val="FFFFFF" w:themeColor="background1"/>
                    </w:rPr>
                  </w:pPr>
                  <w:r w:rsidRPr="000544EA">
                    <w:rPr>
                      <w:rFonts w:ascii="Arial" w:hAnsi="Arial" w:cs="Arial"/>
                      <w:color w:val="FFFFFF" w:themeColor="background1"/>
                    </w:rPr>
                    <w:t>2012–13</w:t>
                  </w:r>
                </w:p>
              </w:tc>
              <w:tc>
                <w:tcPr>
                  <w:tcW w:w="3206" w:type="dxa"/>
                  <w:gridSpan w:val="2"/>
                  <w:shd w:val="clear" w:color="auto" w:fill="404040" w:themeFill="text1" w:themeFillTint="BF"/>
                  <w:tcMar>
                    <w:top w:w="57" w:type="dxa"/>
                    <w:left w:w="57" w:type="dxa"/>
                    <w:bottom w:w="57" w:type="dxa"/>
                    <w:right w:w="57" w:type="dxa"/>
                  </w:tcMar>
                </w:tcPr>
                <w:p w14:paraId="3465A29C" w14:textId="77777777" w:rsidR="00AF0E3A" w:rsidRPr="000544EA" w:rsidRDefault="00AF0E3A" w:rsidP="009432A4">
                  <w:pPr>
                    <w:pStyle w:val="TableHeading"/>
                    <w:jc w:val="center"/>
                    <w:rPr>
                      <w:rFonts w:ascii="Arial" w:hAnsi="Arial" w:cs="Arial"/>
                      <w:color w:val="FFFFFF" w:themeColor="background1"/>
                    </w:rPr>
                  </w:pPr>
                  <w:r w:rsidRPr="000544EA">
                    <w:rPr>
                      <w:rFonts w:ascii="Arial" w:hAnsi="Arial" w:cs="Arial"/>
                      <w:color w:val="FFFFFF" w:themeColor="background1"/>
                    </w:rPr>
                    <w:t>2013–14</w:t>
                  </w:r>
                </w:p>
              </w:tc>
            </w:tr>
            <w:tr w:rsidR="001E2783" w:rsidRPr="001E2783" w14:paraId="132E462C" w14:textId="77777777" w:rsidTr="00AF0E3A">
              <w:tc>
                <w:tcPr>
                  <w:tcW w:w="2998" w:type="dxa"/>
                  <w:vMerge/>
                  <w:shd w:val="clear" w:color="auto" w:fill="404040" w:themeFill="text1" w:themeFillTint="BF"/>
                  <w:tcMar>
                    <w:top w:w="57" w:type="dxa"/>
                    <w:left w:w="57" w:type="dxa"/>
                    <w:bottom w:w="57" w:type="dxa"/>
                    <w:right w:w="57" w:type="dxa"/>
                  </w:tcMar>
                </w:tcPr>
                <w:p w14:paraId="63400C44" w14:textId="77777777" w:rsidR="00AF0E3A" w:rsidRPr="000544EA" w:rsidRDefault="00AF0E3A" w:rsidP="009432A4">
                  <w:pPr>
                    <w:pStyle w:val="TableHeading"/>
                    <w:jc w:val="right"/>
                    <w:rPr>
                      <w:rFonts w:ascii="Arial" w:hAnsi="Arial" w:cs="Arial"/>
                      <w:color w:val="FFFFFF" w:themeColor="background1"/>
                    </w:rPr>
                  </w:pPr>
                </w:p>
              </w:tc>
              <w:tc>
                <w:tcPr>
                  <w:tcW w:w="1701" w:type="dxa"/>
                  <w:shd w:val="clear" w:color="auto" w:fill="404040" w:themeFill="text1" w:themeFillTint="BF"/>
                  <w:tcMar>
                    <w:top w:w="57" w:type="dxa"/>
                    <w:left w:w="57" w:type="dxa"/>
                    <w:bottom w:w="57" w:type="dxa"/>
                    <w:right w:w="57" w:type="dxa"/>
                  </w:tcMar>
                </w:tcPr>
                <w:p w14:paraId="2B238770" w14:textId="77777777" w:rsidR="00AF0E3A" w:rsidRPr="000544EA" w:rsidRDefault="00AF0E3A" w:rsidP="009432A4">
                  <w:pPr>
                    <w:pStyle w:val="TableHeading"/>
                    <w:jc w:val="right"/>
                    <w:rPr>
                      <w:rFonts w:ascii="Arial" w:hAnsi="Arial" w:cs="Arial"/>
                      <w:color w:val="FFFFFF" w:themeColor="background1"/>
                    </w:rPr>
                  </w:pPr>
                  <w:r w:rsidRPr="000544EA">
                    <w:rPr>
                      <w:rFonts w:ascii="Arial" w:hAnsi="Arial" w:cs="Arial"/>
                      <w:color w:val="FFFFFF" w:themeColor="background1"/>
                    </w:rPr>
                    <w:t>Applications granted classification</w:t>
                  </w:r>
                </w:p>
              </w:tc>
              <w:tc>
                <w:tcPr>
                  <w:tcW w:w="1701" w:type="dxa"/>
                  <w:shd w:val="clear" w:color="auto" w:fill="404040" w:themeFill="text1" w:themeFillTint="BF"/>
                  <w:tcMar>
                    <w:top w:w="57" w:type="dxa"/>
                    <w:left w:w="57" w:type="dxa"/>
                    <w:bottom w:w="57" w:type="dxa"/>
                    <w:right w:w="57" w:type="dxa"/>
                  </w:tcMar>
                </w:tcPr>
                <w:p w14:paraId="0D0F9B66" w14:textId="77777777" w:rsidR="00AF0E3A" w:rsidRPr="000544EA" w:rsidRDefault="00AF0E3A" w:rsidP="009432A4">
                  <w:pPr>
                    <w:pStyle w:val="TableHeading"/>
                    <w:jc w:val="right"/>
                    <w:rPr>
                      <w:rFonts w:ascii="Arial" w:hAnsi="Arial" w:cs="Arial"/>
                      <w:color w:val="FFFFFF" w:themeColor="background1"/>
                    </w:rPr>
                  </w:pPr>
                  <w:r w:rsidRPr="000544EA">
                    <w:rPr>
                      <w:rFonts w:ascii="Arial" w:hAnsi="Arial" w:cs="Arial"/>
                      <w:color w:val="FFFFFF" w:themeColor="background1"/>
                    </w:rPr>
                    <w:t>Applications refused classification*</w:t>
                  </w:r>
                </w:p>
              </w:tc>
              <w:tc>
                <w:tcPr>
                  <w:tcW w:w="1559" w:type="dxa"/>
                  <w:shd w:val="clear" w:color="auto" w:fill="404040" w:themeFill="text1" w:themeFillTint="BF"/>
                  <w:tcMar>
                    <w:top w:w="57" w:type="dxa"/>
                    <w:left w:w="57" w:type="dxa"/>
                    <w:bottom w:w="57" w:type="dxa"/>
                    <w:right w:w="57" w:type="dxa"/>
                  </w:tcMar>
                </w:tcPr>
                <w:p w14:paraId="2AC94503" w14:textId="77777777" w:rsidR="00AF0E3A" w:rsidRPr="000544EA" w:rsidRDefault="00AF0E3A" w:rsidP="009432A4">
                  <w:pPr>
                    <w:pStyle w:val="TableHeading"/>
                    <w:jc w:val="right"/>
                    <w:rPr>
                      <w:rFonts w:ascii="Arial" w:hAnsi="Arial" w:cs="Arial"/>
                      <w:color w:val="FFFFFF" w:themeColor="background1"/>
                    </w:rPr>
                  </w:pPr>
                  <w:r w:rsidRPr="000544EA">
                    <w:rPr>
                      <w:rFonts w:ascii="Arial" w:hAnsi="Arial" w:cs="Arial"/>
                      <w:color w:val="FFFFFF" w:themeColor="background1"/>
                    </w:rPr>
                    <w:t>Applications granted classification</w:t>
                  </w:r>
                </w:p>
              </w:tc>
              <w:tc>
                <w:tcPr>
                  <w:tcW w:w="1647" w:type="dxa"/>
                  <w:shd w:val="clear" w:color="auto" w:fill="404040" w:themeFill="text1" w:themeFillTint="BF"/>
                  <w:tcMar>
                    <w:top w:w="57" w:type="dxa"/>
                    <w:left w:w="57" w:type="dxa"/>
                    <w:bottom w:w="57" w:type="dxa"/>
                    <w:right w:w="57" w:type="dxa"/>
                  </w:tcMar>
                </w:tcPr>
                <w:p w14:paraId="06695D55" w14:textId="77777777" w:rsidR="00AF0E3A" w:rsidRPr="000544EA" w:rsidRDefault="00AF0E3A" w:rsidP="009432A4">
                  <w:pPr>
                    <w:pStyle w:val="TableHeading"/>
                    <w:jc w:val="right"/>
                    <w:rPr>
                      <w:rFonts w:ascii="Arial" w:hAnsi="Arial" w:cs="Arial"/>
                      <w:color w:val="FFFFFF" w:themeColor="background1"/>
                    </w:rPr>
                  </w:pPr>
                  <w:r w:rsidRPr="000544EA">
                    <w:rPr>
                      <w:rFonts w:ascii="Arial" w:hAnsi="Arial" w:cs="Arial"/>
                      <w:color w:val="FFFFFF" w:themeColor="background1"/>
                    </w:rPr>
                    <w:t>Applications refused classification*</w:t>
                  </w:r>
                </w:p>
              </w:tc>
            </w:tr>
            <w:tr w:rsidR="001E2783" w:rsidRPr="001E2783" w14:paraId="2113EC8C" w14:textId="77777777" w:rsidTr="00AF0E3A">
              <w:tc>
                <w:tcPr>
                  <w:tcW w:w="2998" w:type="dxa"/>
                  <w:shd w:val="clear" w:color="auto" w:fill="auto"/>
                  <w:tcMar>
                    <w:top w:w="57" w:type="dxa"/>
                    <w:left w:w="57" w:type="dxa"/>
                    <w:bottom w:w="57" w:type="dxa"/>
                    <w:right w:w="57" w:type="dxa"/>
                  </w:tcMar>
                </w:tcPr>
                <w:p w14:paraId="7146B39D" w14:textId="77777777" w:rsidR="00005AF0" w:rsidRPr="001E2783" w:rsidRDefault="00005AF0" w:rsidP="009432A4">
                  <w:pPr>
                    <w:pStyle w:val="TableTextLeft"/>
                    <w:rPr>
                      <w:rFonts w:cs="Arial"/>
                      <w:sz w:val="20"/>
                    </w:rPr>
                  </w:pPr>
                  <w:r w:rsidRPr="001E2783">
                    <w:rPr>
                      <w:rFonts w:cs="Arial"/>
                      <w:sz w:val="20"/>
                    </w:rPr>
                    <w:t>Children’s programs</w:t>
                  </w:r>
                </w:p>
              </w:tc>
              <w:tc>
                <w:tcPr>
                  <w:tcW w:w="1701" w:type="dxa"/>
                  <w:shd w:val="clear" w:color="auto" w:fill="auto"/>
                  <w:tcMar>
                    <w:top w:w="57" w:type="dxa"/>
                    <w:left w:w="57" w:type="dxa"/>
                    <w:bottom w:w="57" w:type="dxa"/>
                    <w:right w:w="57" w:type="dxa"/>
                  </w:tcMar>
                </w:tcPr>
                <w:p w14:paraId="40657FA0" w14:textId="77777777" w:rsidR="00005AF0" w:rsidRPr="001E2783" w:rsidRDefault="00005AF0" w:rsidP="009432A4">
                  <w:pPr>
                    <w:pStyle w:val="TableTextLeft"/>
                    <w:jc w:val="right"/>
                    <w:rPr>
                      <w:rFonts w:cs="Arial"/>
                      <w:sz w:val="20"/>
                    </w:rPr>
                  </w:pPr>
                  <w:r w:rsidRPr="001E2783">
                    <w:rPr>
                      <w:rFonts w:cs="Arial"/>
                      <w:sz w:val="20"/>
                    </w:rPr>
                    <w:t>9</w:t>
                  </w:r>
                </w:p>
              </w:tc>
              <w:tc>
                <w:tcPr>
                  <w:tcW w:w="1701" w:type="dxa"/>
                  <w:shd w:val="clear" w:color="auto" w:fill="auto"/>
                  <w:tcMar>
                    <w:top w:w="57" w:type="dxa"/>
                    <w:left w:w="57" w:type="dxa"/>
                    <w:bottom w:w="57" w:type="dxa"/>
                    <w:right w:w="57" w:type="dxa"/>
                  </w:tcMar>
                </w:tcPr>
                <w:p w14:paraId="10DE050E" w14:textId="77777777" w:rsidR="00005AF0" w:rsidRPr="001E2783" w:rsidRDefault="00005AF0" w:rsidP="009432A4">
                  <w:pPr>
                    <w:pStyle w:val="TableTextLeft"/>
                    <w:jc w:val="right"/>
                    <w:rPr>
                      <w:rFonts w:cs="Arial"/>
                      <w:sz w:val="20"/>
                    </w:rPr>
                  </w:pPr>
                  <w:r w:rsidRPr="001E2783">
                    <w:rPr>
                      <w:rFonts w:cs="Arial"/>
                      <w:sz w:val="20"/>
                    </w:rPr>
                    <w:t>1</w:t>
                  </w:r>
                </w:p>
              </w:tc>
              <w:tc>
                <w:tcPr>
                  <w:tcW w:w="1559" w:type="dxa"/>
                  <w:shd w:val="clear" w:color="auto" w:fill="auto"/>
                  <w:tcMar>
                    <w:top w:w="57" w:type="dxa"/>
                    <w:left w:w="57" w:type="dxa"/>
                    <w:bottom w:w="57" w:type="dxa"/>
                    <w:right w:w="57" w:type="dxa"/>
                  </w:tcMar>
                </w:tcPr>
                <w:p w14:paraId="30749B17" w14:textId="77777777" w:rsidR="00005AF0" w:rsidRPr="001E2783" w:rsidRDefault="00005AF0" w:rsidP="009432A4">
                  <w:pPr>
                    <w:pStyle w:val="TableTextLeft"/>
                    <w:jc w:val="right"/>
                    <w:rPr>
                      <w:rFonts w:cs="Arial"/>
                      <w:sz w:val="20"/>
                    </w:rPr>
                  </w:pPr>
                  <w:r w:rsidRPr="001E2783">
                    <w:rPr>
                      <w:rFonts w:cs="Arial"/>
                      <w:sz w:val="20"/>
                    </w:rPr>
                    <w:t>8</w:t>
                  </w:r>
                </w:p>
              </w:tc>
              <w:tc>
                <w:tcPr>
                  <w:tcW w:w="1647" w:type="dxa"/>
                  <w:shd w:val="clear" w:color="auto" w:fill="auto"/>
                  <w:tcMar>
                    <w:top w:w="57" w:type="dxa"/>
                    <w:left w:w="57" w:type="dxa"/>
                    <w:bottom w:w="57" w:type="dxa"/>
                    <w:right w:w="57" w:type="dxa"/>
                  </w:tcMar>
                </w:tcPr>
                <w:p w14:paraId="046E9342" w14:textId="77777777" w:rsidR="00005AF0" w:rsidRPr="001E2783" w:rsidRDefault="00005AF0" w:rsidP="009432A4">
                  <w:pPr>
                    <w:pStyle w:val="TableTextLeft"/>
                    <w:jc w:val="right"/>
                    <w:rPr>
                      <w:rFonts w:cs="Arial"/>
                      <w:sz w:val="20"/>
                    </w:rPr>
                  </w:pPr>
                  <w:r w:rsidRPr="001E2783">
                    <w:rPr>
                      <w:rFonts w:cs="Arial"/>
                      <w:sz w:val="20"/>
                    </w:rPr>
                    <w:t>1</w:t>
                  </w:r>
                </w:p>
              </w:tc>
            </w:tr>
            <w:tr w:rsidR="001E2783" w:rsidRPr="001E2783" w14:paraId="5F69BCA8" w14:textId="77777777" w:rsidTr="00AF0E3A">
              <w:tc>
                <w:tcPr>
                  <w:tcW w:w="2998" w:type="dxa"/>
                  <w:shd w:val="clear" w:color="auto" w:fill="auto"/>
                  <w:tcMar>
                    <w:top w:w="57" w:type="dxa"/>
                    <w:left w:w="57" w:type="dxa"/>
                    <w:bottom w:w="57" w:type="dxa"/>
                    <w:right w:w="57" w:type="dxa"/>
                  </w:tcMar>
                </w:tcPr>
                <w:p w14:paraId="146678B9" w14:textId="77777777" w:rsidR="00005AF0" w:rsidRPr="001E2783" w:rsidRDefault="00005AF0" w:rsidP="009432A4">
                  <w:pPr>
                    <w:pStyle w:val="TableTextLeft"/>
                    <w:rPr>
                      <w:rFonts w:cs="Arial"/>
                      <w:sz w:val="20"/>
                    </w:rPr>
                  </w:pPr>
                  <w:r w:rsidRPr="001E2783">
                    <w:rPr>
                      <w:rFonts w:cs="Arial"/>
                      <w:sz w:val="20"/>
                    </w:rPr>
                    <w:t>Children’s programs—drama</w:t>
                  </w:r>
                </w:p>
              </w:tc>
              <w:tc>
                <w:tcPr>
                  <w:tcW w:w="1701" w:type="dxa"/>
                  <w:shd w:val="clear" w:color="auto" w:fill="auto"/>
                  <w:tcMar>
                    <w:top w:w="57" w:type="dxa"/>
                    <w:left w:w="57" w:type="dxa"/>
                    <w:bottom w:w="57" w:type="dxa"/>
                    <w:right w:w="57" w:type="dxa"/>
                  </w:tcMar>
                </w:tcPr>
                <w:p w14:paraId="3A321E16" w14:textId="77777777" w:rsidR="00005AF0" w:rsidRPr="001E2783" w:rsidRDefault="00005AF0" w:rsidP="009432A4">
                  <w:pPr>
                    <w:pStyle w:val="TableTextLeft"/>
                    <w:jc w:val="right"/>
                    <w:rPr>
                      <w:rFonts w:cs="Arial"/>
                      <w:sz w:val="20"/>
                    </w:rPr>
                  </w:pPr>
                  <w:r w:rsidRPr="001E2783">
                    <w:rPr>
                      <w:rFonts w:cs="Arial"/>
                      <w:sz w:val="20"/>
                    </w:rPr>
                    <w:t>12</w:t>
                  </w:r>
                </w:p>
              </w:tc>
              <w:tc>
                <w:tcPr>
                  <w:tcW w:w="1701" w:type="dxa"/>
                  <w:shd w:val="clear" w:color="auto" w:fill="auto"/>
                  <w:tcMar>
                    <w:top w:w="57" w:type="dxa"/>
                    <w:left w:w="57" w:type="dxa"/>
                    <w:bottom w:w="57" w:type="dxa"/>
                    <w:right w:w="57" w:type="dxa"/>
                  </w:tcMar>
                </w:tcPr>
                <w:p w14:paraId="2FB8F368" w14:textId="77777777" w:rsidR="00005AF0" w:rsidRPr="001E2783" w:rsidRDefault="00005AF0" w:rsidP="009432A4">
                  <w:pPr>
                    <w:pStyle w:val="TableTextLeft"/>
                    <w:jc w:val="right"/>
                    <w:rPr>
                      <w:rFonts w:cs="Arial"/>
                      <w:sz w:val="20"/>
                    </w:rPr>
                  </w:pPr>
                  <w:r w:rsidRPr="001E2783">
                    <w:rPr>
                      <w:rFonts w:cs="Arial"/>
                      <w:sz w:val="20"/>
                    </w:rPr>
                    <w:t>1</w:t>
                  </w:r>
                </w:p>
              </w:tc>
              <w:tc>
                <w:tcPr>
                  <w:tcW w:w="1559" w:type="dxa"/>
                  <w:shd w:val="clear" w:color="auto" w:fill="auto"/>
                  <w:tcMar>
                    <w:top w:w="57" w:type="dxa"/>
                    <w:left w:w="57" w:type="dxa"/>
                    <w:bottom w:w="57" w:type="dxa"/>
                    <w:right w:w="57" w:type="dxa"/>
                  </w:tcMar>
                </w:tcPr>
                <w:p w14:paraId="655EA636" w14:textId="77777777" w:rsidR="00005AF0" w:rsidRPr="001E2783" w:rsidRDefault="00005AF0" w:rsidP="009432A4">
                  <w:pPr>
                    <w:pStyle w:val="TableTextLeft"/>
                    <w:jc w:val="right"/>
                    <w:rPr>
                      <w:rFonts w:cs="Arial"/>
                      <w:sz w:val="20"/>
                    </w:rPr>
                  </w:pPr>
                  <w:r w:rsidRPr="001E2783">
                    <w:rPr>
                      <w:rFonts w:cs="Arial"/>
                      <w:sz w:val="20"/>
                    </w:rPr>
                    <w:t>16</w:t>
                  </w:r>
                </w:p>
              </w:tc>
              <w:tc>
                <w:tcPr>
                  <w:tcW w:w="1647" w:type="dxa"/>
                  <w:shd w:val="clear" w:color="auto" w:fill="auto"/>
                  <w:tcMar>
                    <w:top w:w="57" w:type="dxa"/>
                    <w:left w:w="57" w:type="dxa"/>
                    <w:bottom w:w="57" w:type="dxa"/>
                    <w:right w:w="57" w:type="dxa"/>
                  </w:tcMar>
                </w:tcPr>
                <w:p w14:paraId="7B1B3FC1" w14:textId="77777777" w:rsidR="00005AF0" w:rsidRPr="001E2783" w:rsidRDefault="00005AF0" w:rsidP="009432A4">
                  <w:pPr>
                    <w:pStyle w:val="TableTextLeft"/>
                    <w:jc w:val="right"/>
                    <w:rPr>
                      <w:rFonts w:cs="Arial"/>
                      <w:sz w:val="20"/>
                    </w:rPr>
                  </w:pPr>
                  <w:r w:rsidRPr="001E2783">
                    <w:rPr>
                      <w:rFonts w:cs="Arial"/>
                      <w:sz w:val="20"/>
                    </w:rPr>
                    <w:t>0</w:t>
                  </w:r>
                </w:p>
              </w:tc>
            </w:tr>
            <w:tr w:rsidR="001E2783" w:rsidRPr="001E2783" w14:paraId="16E556EB" w14:textId="77777777" w:rsidTr="00AF0E3A">
              <w:tc>
                <w:tcPr>
                  <w:tcW w:w="2998" w:type="dxa"/>
                  <w:shd w:val="clear" w:color="auto" w:fill="auto"/>
                  <w:tcMar>
                    <w:top w:w="57" w:type="dxa"/>
                    <w:left w:w="57" w:type="dxa"/>
                    <w:bottom w:w="57" w:type="dxa"/>
                    <w:right w:w="57" w:type="dxa"/>
                  </w:tcMar>
                </w:tcPr>
                <w:p w14:paraId="76776872" w14:textId="77777777" w:rsidR="00005AF0" w:rsidRPr="001E2783" w:rsidRDefault="00005AF0" w:rsidP="009432A4">
                  <w:pPr>
                    <w:pStyle w:val="TableTextLeft"/>
                    <w:rPr>
                      <w:rFonts w:cs="Arial"/>
                      <w:sz w:val="20"/>
                    </w:rPr>
                  </w:pPr>
                  <w:r w:rsidRPr="001E2783">
                    <w:rPr>
                      <w:rFonts w:cs="Arial"/>
                      <w:sz w:val="20"/>
                    </w:rPr>
                    <w:t>Provisional—children’s</w:t>
                  </w:r>
                </w:p>
              </w:tc>
              <w:tc>
                <w:tcPr>
                  <w:tcW w:w="1701" w:type="dxa"/>
                  <w:shd w:val="clear" w:color="auto" w:fill="auto"/>
                  <w:tcMar>
                    <w:top w:w="57" w:type="dxa"/>
                    <w:left w:w="57" w:type="dxa"/>
                    <w:bottom w:w="57" w:type="dxa"/>
                    <w:right w:w="57" w:type="dxa"/>
                  </w:tcMar>
                </w:tcPr>
                <w:p w14:paraId="5DEEE170" w14:textId="77777777" w:rsidR="00005AF0" w:rsidRPr="001E2783" w:rsidRDefault="00005AF0" w:rsidP="009432A4">
                  <w:pPr>
                    <w:pStyle w:val="TableTextLeft"/>
                    <w:jc w:val="right"/>
                    <w:rPr>
                      <w:rFonts w:cs="Arial"/>
                      <w:sz w:val="20"/>
                    </w:rPr>
                  </w:pPr>
                  <w:r w:rsidRPr="001E2783">
                    <w:rPr>
                      <w:rFonts w:cs="Arial"/>
                      <w:sz w:val="20"/>
                    </w:rPr>
                    <w:t>8</w:t>
                  </w:r>
                </w:p>
              </w:tc>
              <w:tc>
                <w:tcPr>
                  <w:tcW w:w="1701" w:type="dxa"/>
                  <w:shd w:val="clear" w:color="auto" w:fill="auto"/>
                  <w:tcMar>
                    <w:top w:w="57" w:type="dxa"/>
                    <w:left w:w="57" w:type="dxa"/>
                    <w:bottom w:w="57" w:type="dxa"/>
                    <w:right w:w="57" w:type="dxa"/>
                  </w:tcMar>
                </w:tcPr>
                <w:p w14:paraId="304B61A0" w14:textId="77777777" w:rsidR="00005AF0" w:rsidRPr="001E2783" w:rsidRDefault="00005AF0" w:rsidP="009432A4">
                  <w:pPr>
                    <w:pStyle w:val="TableTextLeft"/>
                    <w:jc w:val="right"/>
                    <w:rPr>
                      <w:rFonts w:cs="Arial"/>
                      <w:sz w:val="20"/>
                    </w:rPr>
                  </w:pPr>
                  <w:r w:rsidRPr="001E2783">
                    <w:rPr>
                      <w:rFonts w:cs="Arial"/>
                      <w:sz w:val="20"/>
                    </w:rPr>
                    <w:t>0</w:t>
                  </w:r>
                </w:p>
              </w:tc>
              <w:tc>
                <w:tcPr>
                  <w:tcW w:w="1559" w:type="dxa"/>
                  <w:shd w:val="clear" w:color="auto" w:fill="auto"/>
                  <w:tcMar>
                    <w:top w:w="57" w:type="dxa"/>
                    <w:left w:w="57" w:type="dxa"/>
                    <w:bottom w:w="57" w:type="dxa"/>
                    <w:right w:w="57" w:type="dxa"/>
                  </w:tcMar>
                </w:tcPr>
                <w:p w14:paraId="56ED0C18" w14:textId="77777777" w:rsidR="00005AF0" w:rsidRPr="001E2783" w:rsidRDefault="00005AF0" w:rsidP="009432A4">
                  <w:pPr>
                    <w:pStyle w:val="TableTextLeft"/>
                    <w:jc w:val="right"/>
                    <w:rPr>
                      <w:rFonts w:cs="Arial"/>
                      <w:sz w:val="20"/>
                    </w:rPr>
                  </w:pPr>
                  <w:r w:rsidRPr="001E2783">
                    <w:rPr>
                      <w:rFonts w:cs="Arial"/>
                      <w:sz w:val="20"/>
                    </w:rPr>
                    <w:t>7</w:t>
                  </w:r>
                </w:p>
              </w:tc>
              <w:tc>
                <w:tcPr>
                  <w:tcW w:w="1647" w:type="dxa"/>
                  <w:shd w:val="clear" w:color="auto" w:fill="auto"/>
                  <w:tcMar>
                    <w:top w:w="57" w:type="dxa"/>
                    <w:left w:w="57" w:type="dxa"/>
                    <w:bottom w:w="57" w:type="dxa"/>
                    <w:right w:w="57" w:type="dxa"/>
                  </w:tcMar>
                </w:tcPr>
                <w:p w14:paraId="5EF5CDCF" w14:textId="77777777" w:rsidR="00005AF0" w:rsidRPr="001E2783" w:rsidRDefault="00005AF0" w:rsidP="009432A4">
                  <w:pPr>
                    <w:pStyle w:val="TableTextLeft"/>
                    <w:jc w:val="right"/>
                    <w:rPr>
                      <w:rFonts w:cs="Arial"/>
                      <w:sz w:val="20"/>
                    </w:rPr>
                  </w:pPr>
                  <w:r w:rsidRPr="001E2783">
                    <w:rPr>
                      <w:rFonts w:cs="Arial"/>
                      <w:sz w:val="20"/>
                    </w:rPr>
                    <w:t>0</w:t>
                  </w:r>
                </w:p>
              </w:tc>
            </w:tr>
            <w:tr w:rsidR="001E2783" w:rsidRPr="001E2783" w14:paraId="45541F50" w14:textId="77777777" w:rsidTr="00AF0E3A">
              <w:tc>
                <w:tcPr>
                  <w:tcW w:w="2998" w:type="dxa"/>
                  <w:shd w:val="clear" w:color="auto" w:fill="auto"/>
                  <w:tcMar>
                    <w:top w:w="57" w:type="dxa"/>
                    <w:left w:w="57" w:type="dxa"/>
                    <w:bottom w:w="57" w:type="dxa"/>
                    <w:right w:w="57" w:type="dxa"/>
                  </w:tcMar>
                </w:tcPr>
                <w:p w14:paraId="77442B3E" w14:textId="77777777" w:rsidR="00005AF0" w:rsidRPr="001E2783" w:rsidRDefault="00005AF0" w:rsidP="009432A4">
                  <w:pPr>
                    <w:pStyle w:val="TableTextLeft"/>
                    <w:rPr>
                      <w:rFonts w:cs="Arial"/>
                      <w:sz w:val="20"/>
                    </w:rPr>
                  </w:pPr>
                  <w:r w:rsidRPr="001E2783">
                    <w:rPr>
                      <w:rFonts w:cs="Arial"/>
                      <w:sz w:val="20"/>
                    </w:rPr>
                    <w:t>Provisional—preschool</w:t>
                  </w:r>
                </w:p>
              </w:tc>
              <w:tc>
                <w:tcPr>
                  <w:tcW w:w="1701" w:type="dxa"/>
                  <w:shd w:val="clear" w:color="auto" w:fill="auto"/>
                  <w:tcMar>
                    <w:top w:w="57" w:type="dxa"/>
                    <w:left w:w="57" w:type="dxa"/>
                    <w:bottom w:w="57" w:type="dxa"/>
                    <w:right w:w="57" w:type="dxa"/>
                  </w:tcMar>
                </w:tcPr>
                <w:p w14:paraId="0D3BDA5E" w14:textId="77777777" w:rsidR="00005AF0" w:rsidRPr="001E2783" w:rsidRDefault="00005AF0" w:rsidP="009432A4">
                  <w:pPr>
                    <w:pStyle w:val="TableTextLeft"/>
                    <w:jc w:val="right"/>
                    <w:rPr>
                      <w:rFonts w:cs="Arial"/>
                      <w:sz w:val="20"/>
                    </w:rPr>
                  </w:pPr>
                  <w:r w:rsidRPr="001E2783">
                    <w:rPr>
                      <w:rFonts w:cs="Arial"/>
                      <w:sz w:val="20"/>
                    </w:rPr>
                    <w:t>2</w:t>
                  </w:r>
                </w:p>
              </w:tc>
              <w:tc>
                <w:tcPr>
                  <w:tcW w:w="1701" w:type="dxa"/>
                  <w:shd w:val="clear" w:color="auto" w:fill="auto"/>
                  <w:tcMar>
                    <w:top w:w="57" w:type="dxa"/>
                    <w:left w:w="57" w:type="dxa"/>
                    <w:bottom w:w="57" w:type="dxa"/>
                    <w:right w:w="57" w:type="dxa"/>
                  </w:tcMar>
                </w:tcPr>
                <w:p w14:paraId="4C3510E7" w14:textId="77777777" w:rsidR="00005AF0" w:rsidRPr="001E2783" w:rsidRDefault="00005AF0" w:rsidP="009432A4">
                  <w:pPr>
                    <w:pStyle w:val="TableTextLeft"/>
                    <w:jc w:val="right"/>
                    <w:rPr>
                      <w:rFonts w:cs="Arial"/>
                      <w:sz w:val="20"/>
                    </w:rPr>
                  </w:pPr>
                  <w:r w:rsidRPr="001E2783">
                    <w:rPr>
                      <w:rFonts w:cs="Arial"/>
                      <w:sz w:val="20"/>
                    </w:rPr>
                    <w:t>0</w:t>
                  </w:r>
                </w:p>
              </w:tc>
              <w:tc>
                <w:tcPr>
                  <w:tcW w:w="1559" w:type="dxa"/>
                  <w:shd w:val="clear" w:color="auto" w:fill="auto"/>
                  <w:tcMar>
                    <w:top w:w="57" w:type="dxa"/>
                    <w:left w:w="57" w:type="dxa"/>
                    <w:bottom w:w="57" w:type="dxa"/>
                    <w:right w:w="57" w:type="dxa"/>
                  </w:tcMar>
                </w:tcPr>
                <w:p w14:paraId="2AD65612" w14:textId="77777777" w:rsidR="00005AF0" w:rsidRPr="001E2783" w:rsidRDefault="00005AF0" w:rsidP="009432A4">
                  <w:pPr>
                    <w:pStyle w:val="TableTextLeft"/>
                    <w:jc w:val="right"/>
                    <w:rPr>
                      <w:rFonts w:cs="Arial"/>
                      <w:sz w:val="20"/>
                    </w:rPr>
                  </w:pPr>
                  <w:r w:rsidRPr="001E2783">
                    <w:rPr>
                      <w:rFonts w:cs="Arial"/>
                      <w:sz w:val="20"/>
                    </w:rPr>
                    <w:t>1</w:t>
                  </w:r>
                </w:p>
              </w:tc>
              <w:tc>
                <w:tcPr>
                  <w:tcW w:w="1647" w:type="dxa"/>
                  <w:shd w:val="clear" w:color="auto" w:fill="auto"/>
                  <w:tcMar>
                    <w:top w:w="57" w:type="dxa"/>
                    <w:left w:w="57" w:type="dxa"/>
                    <w:bottom w:w="57" w:type="dxa"/>
                    <w:right w:w="57" w:type="dxa"/>
                  </w:tcMar>
                </w:tcPr>
                <w:p w14:paraId="7BB0B672" w14:textId="77777777" w:rsidR="00005AF0" w:rsidRPr="001E2783" w:rsidRDefault="00005AF0" w:rsidP="009432A4">
                  <w:pPr>
                    <w:pStyle w:val="TableTextLeft"/>
                    <w:jc w:val="right"/>
                    <w:rPr>
                      <w:rFonts w:cs="Arial"/>
                      <w:sz w:val="20"/>
                    </w:rPr>
                  </w:pPr>
                  <w:r w:rsidRPr="001E2783">
                    <w:rPr>
                      <w:rFonts w:cs="Arial"/>
                      <w:sz w:val="20"/>
                    </w:rPr>
                    <w:t>0</w:t>
                  </w:r>
                </w:p>
              </w:tc>
            </w:tr>
            <w:tr w:rsidR="001E2783" w:rsidRPr="001E2783" w14:paraId="491B08D1" w14:textId="77777777" w:rsidTr="00AF0E3A">
              <w:tc>
                <w:tcPr>
                  <w:tcW w:w="2998" w:type="dxa"/>
                  <w:shd w:val="clear" w:color="auto" w:fill="auto"/>
                  <w:tcMar>
                    <w:top w:w="57" w:type="dxa"/>
                    <w:left w:w="57" w:type="dxa"/>
                    <w:bottom w:w="57" w:type="dxa"/>
                    <w:right w:w="57" w:type="dxa"/>
                  </w:tcMar>
                </w:tcPr>
                <w:p w14:paraId="4742091E" w14:textId="77777777" w:rsidR="00005AF0" w:rsidRPr="001E2783" w:rsidRDefault="00005AF0" w:rsidP="009432A4">
                  <w:pPr>
                    <w:pStyle w:val="TableTextLeft"/>
                    <w:rPr>
                      <w:rFonts w:cs="Arial"/>
                      <w:sz w:val="20"/>
                    </w:rPr>
                  </w:pPr>
                  <w:r w:rsidRPr="001E2783">
                    <w:rPr>
                      <w:rFonts w:cs="Arial"/>
                      <w:sz w:val="20"/>
                    </w:rPr>
                    <w:t>Preschool programs</w:t>
                  </w:r>
                </w:p>
              </w:tc>
              <w:tc>
                <w:tcPr>
                  <w:tcW w:w="1701" w:type="dxa"/>
                  <w:shd w:val="clear" w:color="auto" w:fill="auto"/>
                  <w:tcMar>
                    <w:top w:w="57" w:type="dxa"/>
                    <w:left w:w="57" w:type="dxa"/>
                    <w:bottom w:w="57" w:type="dxa"/>
                    <w:right w:w="57" w:type="dxa"/>
                  </w:tcMar>
                </w:tcPr>
                <w:p w14:paraId="4B64A18F" w14:textId="77777777" w:rsidR="00005AF0" w:rsidRPr="001E2783" w:rsidRDefault="00005AF0" w:rsidP="009432A4">
                  <w:pPr>
                    <w:pStyle w:val="TableTextLeft"/>
                    <w:jc w:val="right"/>
                    <w:rPr>
                      <w:rFonts w:cs="Arial"/>
                      <w:sz w:val="20"/>
                    </w:rPr>
                  </w:pPr>
                  <w:r w:rsidRPr="001E2783">
                    <w:rPr>
                      <w:rFonts w:cs="Arial"/>
                      <w:sz w:val="20"/>
                    </w:rPr>
                    <w:t>5</w:t>
                  </w:r>
                </w:p>
              </w:tc>
              <w:tc>
                <w:tcPr>
                  <w:tcW w:w="1701" w:type="dxa"/>
                  <w:shd w:val="clear" w:color="auto" w:fill="auto"/>
                  <w:tcMar>
                    <w:top w:w="57" w:type="dxa"/>
                    <w:left w:w="57" w:type="dxa"/>
                    <w:bottom w:w="57" w:type="dxa"/>
                    <w:right w:w="57" w:type="dxa"/>
                  </w:tcMar>
                </w:tcPr>
                <w:p w14:paraId="6E96C6BC" w14:textId="77777777" w:rsidR="00005AF0" w:rsidRPr="001E2783" w:rsidRDefault="00005AF0" w:rsidP="009432A4">
                  <w:pPr>
                    <w:pStyle w:val="TableTextLeft"/>
                    <w:jc w:val="right"/>
                    <w:rPr>
                      <w:rFonts w:cs="Arial"/>
                      <w:sz w:val="20"/>
                    </w:rPr>
                  </w:pPr>
                  <w:r w:rsidRPr="001E2783">
                    <w:rPr>
                      <w:rFonts w:cs="Arial"/>
                      <w:sz w:val="20"/>
                    </w:rPr>
                    <w:t>0</w:t>
                  </w:r>
                </w:p>
              </w:tc>
              <w:tc>
                <w:tcPr>
                  <w:tcW w:w="1559" w:type="dxa"/>
                  <w:shd w:val="clear" w:color="auto" w:fill="auto"/>
                  <w:tcMar>
                    <w:top w:w="57" w:type="dxa"/>
                    <w:left w:w="57" w:type="dxa"/>
                    <w:bottom w:w="57" w:type="dxa"/>
                    <w:right w:w="57" w:type="dxa"/>
                  </w:tcMar>
                </w:tcPr>
                <w:p w14:paraId="295307B2" w14:textId="77777777" w:rsidR="00005AF0" w:rsidRPr="001E2783" w:rsidRDefault="00005AF0" w:rsidP="009432A4">
                  <w:pPr>
                    <w:pStyle w:val="TableTextLeft"/>
                    <w:jc w:val="right"/>
                    <w:rPr>
                      <w:rFonts w:cs="Arial"/>
                      <w:sz w:val="20"/>
                    </w:rPr>
                  </w:pPr>
                  <w:r w:rsidRPr="001E2783">
                    <w:rPr>
                      <w:rFonts w:cs="Arial"/>
                      <w:sz w:val="20"/>
                    </w:rPr>
                    <w:t>7**</w:t>
                  </w:r>
                </w:p>
              </w:tc>
              <w:tc>
                <w:tcPr>
                  <w:tcW w:w="1647" w:type="dxa"/>
                  <w:shd w:val="clear" w:color="auto" w:fill="auto"/>
                  <w:tcMar>
                    <w:top w:w="57" w:type="dxa"/>
                    <w:left w:w="57" w:type="dxa"/>
                    <w:bottom w:w="57" w:type="dxa"/>
                    <w:right w:w="57" w:type="dxa"/>
                  </w:tcMar>
                </w:tcPr>
                <w:p w14:paraId="715AF2A1" w14:textId="77777777" w:rsidR="00005AF0" w:rsidRPr="001E2783" w:rsidRDefault="00005AF0" w:rsidP="009432A4">
                  <w:pPr>
                    <w:pStyle w:val="TableTextLeft"/>
                    <w:jc w:val="right"/>
                    <w:rPr>
                      <w:rFonts w:cs="Arial"/>
                      <w:sz w:val="20"/>
                    </w:rPr>
                  </w:pPr>
                  <w:r w:rsidRPr="001E2783">
                    <w:rPr>
                      <w:rFonts w:cs="Arial"/>
                      <w:sz w:val="20"/>
                    </w:rPr>
                    <w:t>0</w:t>
                  </w:r>
                </w:p>
              </w:tc>
            </w:tr>
            <w:tr w:rsidR="001E2783" w:rsidRPr="001E2783" w14:paraId="6DE1A57B" w14:textId="77777777" w:rsidTr="00AF0E3A">
              <w:tc>
                <w:tcPr>
                  <w:tcW w:w="2998" w:type="dxa"/>
                  <w:shd w:val="clear" w:color="auto" w:fill="auto"/>
                  <w:tcMar>
                    <w:top w:w="57" w:type="dxa"/>
                    <w:left w:w="57" w:type="dxa"/>
                    <w:bottom w:w="57" w:type="dxa"/>
                    <w:right w:w="57" w:type="dxa"/>
                  </w:tcMar>
                </w:tcPr>
                <w:p w14:paraId="2D2E1D5B" w14:textId="77777777" w:rsidR="00005AF0" w:rsidRPr="001E2783" w:rsidRDefault="00005AF0" w:rsidP="009432A4">
                  <w:pPr>
                    <w:pStyle w:val="TableTextLeft"/>
                    <w:rPr>
                      <w:rFonts w:cs="Arial"/>
                      <w:b/>
                      <w:sz w:val="20"/>
                    </w:rPr>
                  </w:pPr>
                  <w:r w:rsidRPr="001E2783">
                    <w:rPr>
                      <w:rFonts w:cs="Arial"/>
                      <w:b/>
                      <w:sz w:val="20"/>
                    </w:rPr>
                    <w:t>Total</w:t>
                  </w:r>
                </w:p>
              </w:tc>
              <w:tc>
                <w:tcPr>
                  <w:tcW w:w="1701" w:type="dxa"/>
                  <w:shd w:val="clear" w:color="auto" w:fill="auto"/>
                  <w:tcMar>
                    <w:top w:w="57" w:type="dxa"/>
                    <w:left w:w="57" w:type="dxa"/>
                    <w:bottom w:w="57" w:type="dxa"/>
                    <w:right w:w="57" w:type="dxa"/>
                  </w:tcMar>
                </w:tcPr>
                <w:p w14:paraId="5D290752" w14:textId="77777777" w:rsidR="00005AF0" w:rsidRPr="001E2783" w:rsidRDefault="00005AF0" w:rsidP="009432A4">
                  <w:pPr>
                    <w:pStyle w:val="TableTextLeft"/>
                    <w:jc w:val="right"/>
                    <w:rPr>
                      <w:rFonts w:cs="Arial"/>
                      <w:b/>
                      <w:sz w:val="20"/>
                    </w:rPr>
                  </w:pPr>
                  <w:r w:rsidRPr="001E2783">
                    <w:rPr>
                      <w:rFonts w:cs="Arial"/>
                      <w:b/>
                      <w:sz w:val="20"/>
                    </w:rPr>
                    <w:t>36</w:t>
                  </w:r>
                </w:p>
              </w:tc>
              <w:tc>
                <w:tcPr>
                  <w:tcW w:w="1701" w:type="dxa"/>
                  <w:shd w:val="clear" w:color="auto" w:fill="auto"/>
                  <w:tcMar>
                    <w:top w:w="57" w:type="dxa"/>
                    <w:left w:w="57" w:type="dxa"/>
                    <w:bottom w:w="57" w:type="dxa"/>
                    <w:right w:w="57" w:type="dxa"/>
                  </w:tcMar>
                </w:tcPr>
                <w:p w14:paraId="0A0AB7C6" w14:textId="77777777" w:rsidR="00005AF0" w:rsidRPr="001E2783" w:rsidRDefault="00005AF0" w:rsidP="009432A4">
                  <w:pPr>
                    <w:pStyle w:val="TableTextLeft"/>
                    <w:jc w:val="right"/>
                    <w:rPr>
                      <w:rFonts w:cs="Arial"/>
                      <w:b/>
                      <w:sz w:val="20"/>
                    </w:rPr>
                  </w:pPr>
                  <w:r w:rsidRPr="001E2783">
                    <w:rPr>
                      <w:rFonts w:cs="Arial"/>
                      <w:b/>
                      <w:sz w:val="20"/>
                    </w:rPr>
                    <w:t>2</w:t>
                  </w:r>
                </w:p>
              </w:tc>
              <w:tc>
                <w:tcPr>
                  <w:tcW w:w="1559" w:type="dxa"/>
                  <w:shd w:val="clear" w:color="auto" w:fill="auto"/>
                  <w:tcMar>
                    <w:top w:w="57" w:type="dxa"/>
                    <w:left w:w="57" w:type="dxa"/>
                    <w:bottom w:w="57" w:type="dxa"/>
                    <w:right w:w="57" w:type="dxa"/>
                  </w:tcMar>
                </w:tcPr>
                <w:p w14:paraId="5838D862" w14:textId="77777777" w:rsidR="00005AF0" w:rsidRPr="001E2783" w:rsidRDefault="00005AF0" w:rsidP="009432A4">
                  <w:pPr>
                    <w:pStyle w:val="TableTextLeft"/>
                    <w:jc w:val="right"/>
                    <w:rPr>
                      <w:rFonts w:cs="Arial"/>
                      <w:b/>
                      <w:sz w:val="20"/>
                    </w:rPr>
                  </w:pPr>
                  <w:r w:rsidRPr="001E2783">
                    <w:rPr>
                      <w:rFonts w:cs="Arial"/>
                      <w:b/>
                      <w:sz w:val="20"/>
                    </w:rPr>
                    <w:t>39</w:t>
                  </w:r>
                </w:p>
              </w:tc>
              <w:tc>
                <w:tcPr>
                  <w:tcW w:w="1647" w:type="dxa"/>
                  <w:shd w:val="clear" w:color="auto" w:fill="auto"/>
                  <w:tcMar>
                    <w:top w:w="57" w:type="dxa"/>
                    <w:left w:w="57" w:type="dxa"/>
                    <w:bottom w:w="57" w:type="dxa"/>
                    <w:right w:w="57" w:type="dxa"/>
                  </w:tcMar>
                </w:tcPr>
                <w:p w14:paraId="17D1FCF3" w14:textId="77777777" w:rsidR="00005AF0" w:rsidRPr="001E2783" w:rsidRDefault="00005AF0" w:rsidP="009432A4">
                  <w:pPr>
                    <w:pStyle w:val="TableTextLeft"/>
                    <w:jc w:val="right"/>
                    <w:rPr>
                      <w:rFonts w:cs="Arial"/>
                      <w:b/>
                      <w:sz w:val="20"/>
                    </w:rPr>
                  </w:pPr>
                  <w:r w:rsidRPr="001E2783">
                    <w:rPr>
                      <w:rFonts w:cs="Arial"/>
                      <w:b/>
                      <w:sz w:val="20"/>
                    </w:rPr>
                    <w:t>1</w:t>
                  </w:r>
                </w:p>
              </w:tc>
            </w:tr>
          </w:tbl>
          <w:p w14:paraId="04964A29" w14:textId="77777777" w:rsidR="00AF0E3A" w:rsidRPr="001E2783" w:rsidRDefault="00AF0E3A" w:rsidP="00AF0E3A">
            <w:pPr>
              <w:rPr>
                <w:rFonts w:cs="Arial"/>
              </w:rPr>
            </w:pPr>
          </w:p>
        </w:tc>
      </w:tr>
      <w:tr w:rsidR="00AF0E3A" w:rsidRPr="001E2783" w14:paraId="16A54339" w14:textId="77777777" w:rsidTr="00AF0E3A">
        <w:trPr>
          <w:trHeight w:val="291"/>
        </w:trPr>
        <w:tc>
          <w:tcPr>
            <w:tcW w:w="9645" w:type="dxa"/>
            <w:tcBorders>
              <w:bottom w:val="single" w:sz="2" w:space="0" w:color="505050"/>
            </w:tcBorders>
            <w:shd w:val="clear" w:color="auto" w:fill="auto"/>
          </w:tcPr>
          <w:p w14:paraId="024C58B0" w14:textId="77777777" w:rsidR="00AF0E3A" w:rsidRPr="001E2783" w:rsidRDefault="00AF0E3A" w:rsidP="00A62137">
            <w:pPr>
              <w:spacing w:before="120"/>
              <w:rPr>
                <w:rFonts w:cs="Arial"/>
                <w:i/>
                <w:sz w:val="16"/>
                <w:szCs w:val="16"/>
              </w:rPr>
            </w:pPr>
            <w:r w:rsidRPr="001E2783">
              <w:rPr>
                <w:rFonts w:cs="Arial"/>
                <w:i/>
                <w:sz w:val="16"/>
                <w:szCs w:val="16"/>
              </w:rPr>
              <w:t>*These programs failed to satisfy the criteria in the CTS.</w:t>
            </w:r>
          </w:p>
          <w:p w14:paraId="45F3021F" w14:textId="77777777" w:rsidR="00AF0E3A" w:rsidRPr="001E2783" w:rsidRDefault="009432A4" w:rsidP="00AF0E3A">
            <w:pPr>
              <w:rPr>
                <w:rFonts w:cs="Arial"/>
                <w:sz w:val="18"/>
                <w:szCs w:val="18"/>
              </w:rPr>
            </w:pPr>
            <w:r w:rsidRPr="001E2783">
              <w:rPr>
                <w:rFonts w:cs="Arial"/>
                <w:i/>
                <w:sz w:val="16"/>
                <w:szCs w:val="16"/>
              </w:rPr>
              <w:t>**</w:t>
            </w:r>
            <w:r w:rsidR="00AF0E3A" w:rsidRPr="001E2783">
              <w:rPr>
                <w:rFonts w:cs="Arial"/>
                <w:i/>
                <w:sz w:val="16"/>
                <w:szCs w:val="16"/>
              </w:rPr>
              <w:t>Includes three renewals of classification</w:t>
            </w:r>
            <w:r w:rsidRPr="001E2783">
              <w:rPr>
                <w:rFonts w:cs="Arial"/>
                <w:i/>
                <w:sz w:val="16"/>
                <w:szCs w:val="16"/>
              </w:rPr>
              <w:t>.</w:t>
            </w:r>
          </w:p>
        </w:tc>
      </w:tr>
    </w:tbl>
    <w:p w14:paraId="5D1091A9" w14:textId="77777777" w:rsidR="00AF0E3A" w:rsidRPr="001E2783" w:rsidRDefault="00AF0E3A" w:rsidP="00AF0E3A">
      <w:pPr>
        <w:rPr>
          <w:rFonts w:cs="Arial"/>
        </w:rPr>
      </w:pPr>
    </w:p>
    <w:tbl>
      <w:tblPr>
        <w:tblW w:w="9645" w:type="dxa"/>
        <w:shd w:val="clear" w:color="auto" w:fill="F2F2F2" w:themeFill="background1" w:themeFillShade="F2"/>
        <w:tblLayout w:type="fixed"/>
        <w:tblCellMar>
          <w:left w:w="0" w:type="dxa"/>
          <w:right w:w="0" w:type="dxa"/>
        </w:tblCellMar>
        <w:tblLook w:val="01E0" w:firstRow="1" w:lastRow="1" w:firstColumn="1" w:lastColumn="1" w:noHBand="0" w:noVBand="0"/>
      </w:tblPr>
      <w:tblGrid>
        <w:gridCol w:w="9645"/>
      </w:tblGrid>
      <w:tr w:rsidR="001E2783" w:rsidRPr="001E2783" w14:paraId="2AC723FD" w14:textId="77777777" w:rsidTr="00E61945">
        <w:trPr>
          <w:trHeight w:val="570"/>
        </w:trPr>
        <w:tc>
          <w:tcPr>
            <w:tcW w:w="9645" w:type="dxa"/>
            <w:tcBorders>
              <w:top w:val="single" w:sz="2" w:space="0" w:color="505050"/>
            </w:tcBorders>
            <w:shd w:val="clear" w:color="auto" w:fill="F2F2F2" w:themeFill="background1" w:themeFillShade="F2"/>
            <w:vAlign w:val="center"/>
          </w:tcPr>
          <w:p w14:paraId="5FB0E3D3" w14:textId="77777777" w:rsidR="00E61945" w:rsidRPr="001E2783" w:rsidRDefault="00E61945" w:rsidP="00E61945">
            <w:pPr>
              <w:pStyle w:val="Caption"/>
              <w:keepNext/>
              <w:rPr>
                <w:rFonts w:ascii="Arial" w:hAnsi="Arial" w:cs="Arial"/>
                <w:color w:val="auto"/>
              </w:rPr>
            </w:pPr>
            <w:r w:rsidRPr="001E2783">
              <w:rPr>
                <w:rFonts w:ascii="Arial" w:hAnsi="Arial" w:cs="Arial"/>
                <w:color w:val="auto"/>
              </w:rPr>
              <w:t>Case study</w:t>
            </w:r>
          </w:p>
          <w:p w14:paraId="2020F0EB" w14:textId="77777777" w:rsidR="00E61945" w:rsidRPr="001E2783" w:rsidRDefault="00E61945" w:rsidP="00E61945">
            <w:pPr>
              <w:pStyle w:val="Caption"/>
              <w:keepNext/>
              <w:rPr>
                <w:rFonts w:ascii="Arial" w:hAnsi="Arial" w:cs="Arial"/>
                <w:color w:val="auto"/>
              </w:rPr>
            </w:pPr>
            <w:r w:rsidRPr="001E2783">
              <w:rPr>
                <w:rFonts w:ascii="Arial" w:hAnsi="Arial" w:cs="Arial"/>
                <w:color w:val="auto"/>
              </w:rPr>
              <w:t xml:space="preserve">Hanging out for a guide to C &amp; P classification applications </w:t>
            </w:r>
          </w:p>
        </w:tc>
      </w:tr>
      <w:tr w:rsidR="001E2783" w:rsidRPr="001E2783" w14:paraId="6FF4C2B0" w14:textId="77777777" w:rsidTr="00E61945">
        <w:trPr>
          <w:trHeight w:val="3086"/>
        </w:trPr>
        <w:tc>
          <w:tcPr>
            <w:tcW w:w="9645" w:type="dxa"/>
            <w:shd w:val="clear" w:color="auto" w:fill="F2F2F2" w:themeFill="background1" w:themeFillShade="F2"/>
            <w:tcMar>
              <w:left w:w="28" w:type="dxa"/>
            </w:tcMar>
          </w:tcPr>
          <w:p w14:paraId="34BC78BA" w14:textId="77777777" w:rsidR="00E61945" w:rsidRPr="001E2783" w:rsidRDefault="00E61945" w:rsidP="00E61945">
            <w:pPr>
              <w:rPr>
                <w:rFonts w:cs="Arial"/>
              </w:rPr>
            </w:pPr>
            <w:r w:rsidRPr="001E2783">
              <w:rPr>
                <w:rFonts w:cs="Arial"/>
              </w:rPr>
              <w:t xml:space="preserve">On 22 August 2013, the ACMA hosted a Google Hangout to launch its </w:t>
            </w:r>
            <w:r w:rsidRPr="001E2783">
              <w:rPr>
                <w:rFonts w:cs="Arial"/>
                <w:i/>
              </w:rPr>
              <w:t>Guide to the children’s television classification for applicants for C &amp; P programs</w:t>
            </w:r>
            <w:r w:rsidRPr="001E2783">
              <w:rPr>
                <w:rFonts w:cs="Arial"/>
              </w:rPr>
              <w:t xml:space="preserve">. </w:t>
            </w:r>
          </w:p>
          <w:p w14:paraId="3D704CEA" w14:textId="77777777" w:rsidR="005E42B5" w:rsidRPr="001E2783" w:rsidRDefault="005E42B5" w:rsidP="00E61945">
            <w:pPr>
              <w:rPr>
                <w:rFonts w:cs="Arial"/>
              </w:rPr>
            </w:pPr>
          </w:p>
          <w:p w14:paraId="18438294" w14:textId="77777777" w:rsidR="00E61945" w:rsidRPr="001E2783" w:rsidRDefault="00E61945" w:rsidP="00E61945">
            <w:pPr>
              <w:rPr>
                <w:rFonts w:cs="Arial"/>
              </w:rPr>
            </w:pPr>
            <w:r w:rsidRPr="001E2783">
              <w:rPr>
                <w:rFonts w:cs="Arial"/>
              </w:rPr>
              <w:t xml:space="preserve">The Children’s Television Standards 2009 (CTS) require commercial television licensees to broadcast minimum annual quotas of children’s programming. All C (children’s) and P (preschool) programs must be classified by the ACMA before </w:t>
            </w:r>
            <w:r w:rsidR="005E42B5" w:rsidRPr="001E2783">
              <w:rPr>
                <w:rFonts w:cs="Arial"/>
              </w:rPr>
              <w:t xml:space="preserve">they are </w:t>
            </w:r>
            <w:r w:rsidRPr="001E2783">
              <w:rPr>
                <w:rFonts w:cs="Arial"/>
              </w:rPr>
              <w:t>broadcast on free-to-air commercial television.</w:t>
            </w:r>
            <w:r w:rsidR="005E42B5" w:rsidRPr="001E2783">
              <w:rPr>
                <w:rFonts w:cs="Arial"/>
              </w:rPr>
              <w:t xml:space="preserve"> The g</w:t>
            </w:r>
            <w:r w:rsidRPr="001E2783">
              <w:rPr>
                <w:rFonts w:cs="Arial"/>
              </w:rPr>
              <w:t>uide summarises the classification criteria and provides information about the assessment procedure and application requirements.</w:t>
            </w:r>
          </w:p>
          <w:p w14:paraId="70F52BDF" w14:textId="77777777" w:rsidR="005E42B5" w:rsidRPr="001E2783" w:rsidRDefault="005E42B5" w:rsidP="00E61945">
            <w:pPr>
              <w:rPr>
                <w:rFonts w:cs="Arial"/>
              </w:rPr>
            </w:pPr>
          </w:p>
          <w:p w14:paraId="08A10E7D" w14:textId="77777777" w:rsidR="00E61945" w:rsidRPr="001E2783" w:rsidRDefault="00E61945" w:rsidP="005E42B5">
            <w:pPr>
              <w:spacing w:after="80"/>
              <w:rPr>
                <w:rFonts w:cs="Arial"/>
              </w:rPr>
            </w:pPr>
            <w:r w:rsidRPr="001E2783">
              <w:rPr>
                <w:rFonts w:cs="Arial"/>
              </w:rPr>
              <w:t>The event was streamed live over the internet and then uploaded to YouTube. It was hosted by the ACMA with four key industry participants:</w:t>
            </w:r>
          </w:p>
          <w:p w14:paraId="25B58A48" w14:textId="77777777" w:rsidR="00E61945" w:rsidRPr="001E2783" w:rsidRDefault="00E61945" w:rsidP="005E42B5">
            <w:pPr>
              <w:pStyle w:val="ListBullet"/>
              <w:rPr>
                <w:rFonts w:cs="Arial"/>
              </w:rPr>
            </w:pPr>
            <w:r w:rsidRPr="001E2783">
              <w:rPr>
                <w:rFonts w:cs="Arial"/>
              </w:rPr>
              <w:t>Cherrie Bottger, Head of Children’s Programming, Network Ten</w:t>
            </w:r>
          </w:p>
          <w:p w14:paraId="4086C0D3" w14:textId="77777777" w:rsidR="00E61945" w:rsidRPr="001E2783" w:rsidRDefault="00E61945" w:rsidP="005E42B5">
            <w:pPr>
              <w:pStyle w:val="ListBullet"/>
              <w:rPr>
                <w:rFonts w:cs="Arial"/>
              </w:rPr>
            </w:pPr>
            <w:r w:rsidRPr="001E2783">
              <w:rPr>
                <w:rFonts w:cs="Arial"/>
              </w:rPr>
              <w:t>Suzanne Ryan, Executive Producer and CEO, SLR Productions</w:t>
            </w:r>
          </w:p>
          <w:p w14:paraId="0CA0423C" w14:textId="77777777" w:rsidR="00E61945" w:rsidRPr="001E2783" w:rsidRDefault="00E61945" w:rsidP="005E42B5">
            <w:pPr>
              <w:pStyle w:val="ListBullet"/>
              <w:rPr>
                <w:rFonts w:cs="Arial"/>
              </w:rPr>
            </w:pPr>
            <w:r w:rsidRPr="001E2783">
              <w:rPr>
                <w:rFonts w:cs="Arial"/>
              </w:rPr>
              <w:t>Rebecca Mostyn, Program Manager, Screen Australia</w:t>
            </w:r>
          </w:p>
          <w:p w14:paraId="7B19BAA1" w14:textId="77777777" w:rsidR="00E61945" w:rsidRPr="001E2783" w:rsidRDefault="00E61945" w:rsidP="005E42B5">
            <w:pPr>
              <w:pStyle w:val="ListBullet"/>
              <w:spacing w:after="240"/>
              <w:rPr>
                <w:rFonts w:cs="Arial"/>
              </w:rPr>
            </w:pPr>
            <w:r w:rsidRPr="001E2783">
              <w:rPr>
                <w:rFonts w:cs="Arial"/>
              </w:rPr>
              <w:t>Emma Bain, CTS Program Classifier, ACMA</w:t>
            </w:r>
            <w:r w:rsidR="005E42B5" w:rsidRPr="001E2783">
              <w:rPr>
                <w:rFonts w:cs="Arial"/>
              </w:rPr>
              <w:t>.</w:t>
            </w:r>
          </w:p>
          <w:p w14:paraId="2519B397" w14:textId="77777777" w:rsidR="00E61945" w:rsidRPr="001E2783" w:rsidRDefault="00E61945" w:rsidP="005E42B5">
            <w:pPr>
              <w:spacing w:after="80"/>
              <w:rPr>
                <w:rFonts w:cs="Arial"/>
              </w:rPr>
            </w:pPr>
            <w:r w:rsidRPr="001E2783">
              <w:rPr>
                <w:rFonts w:cs="Arial"/>
              </w:rPr>
              <w:t>The discussion dealt with several topics, including:</w:t>
            </w:r>
          </w:p>
          <w:p w14:paraId="660B807E" w14:textId="77777777" w:rsidR="00E61945" w:rsidRPr="001E2783" w:rsidRDefault="00E61945" w:rsidP="005E42B5">
            <w:pPr>
              <w:pStyle w:val="ListBullet"/>
              <w:rPr>
                <w:rFonts w:cs="Arial"/>
              </w:rPr>
            </w:pPr>
            <w:r w:rsidRPr="001E2783">
              <w:rPr>
                <w:rFonts w:cs="Arial"/>
              </w:rPr>
              <w:t>the challenges of adapting programs as kids move to watching content on mobile devices</w:t>
            </w:r>
            <w:r w:rsidR="00282AAD" w:rsidRPr="001E2783">
              <w:rPr>
                <w:rFonts w:cs="Arial"/>
              </w:rPr>
              <w:t xml:space="preserve"> like</w:t>
            </w:r>
            <w:r w:rsidRPr="001E2783">
              <w:rPr>
                <w:rFonts w:cs="Arial"/>
              </w:rPr>
              <w:t xml:space="preserve"> smartphones and tablets </w:t>
            </w:r>
          </w:p>
          <w:p w14:paraId="624D5D67" w14:textId="77777777" w:rsidR="00E61945" w:rsidRPr="001E2783" w:rsidRDefault="00282AAD" w:rsidP="005E42B5">
            <w:pPr>
              <w:pStyle w:val="ListBullet"/>
              <w:rPr>
                <w:rFonts w:cs="Arial"/>
              </w:rPr>
            </w:pPr>
            <w:r w:rsidRPr="001E2783">
              <w:rPr>
                <w:rFonts w:cs="Arial"/>
              </w:rPr>
              <w:t>kids’ ongoing love of stories involving comedy, adventure and mystery, despite the changing ways in which they view</w:t>
            </w:r>
            <w:r w:rsidR="00E61945" w:rsidRPr="001E2783">
              <w:rPr>
                <w:rFonts w:cs="Arial"/>
              </w:rPr>
              <w:t xml:space="preserve"> content </w:t>
            </w:r>
          </w:p>
          <w:p w14:paraId="4D052D61" w14:textId="77777777" w:rsidR="00E61945" w:rsidRPr="001E2783" w:rsidRDefault="00E61945" w:rsidP="005E42B5">
            <w:pPr>
              <w:pStyle w:val="ListBullet"/>
              <w:rPr>
                <w:rFonts w:cs="Arial"/>
              </w:rPr>
            </w:pPr>
            <w:r w:rsidRPr="001E2783">
              <w:rPr>
                <w:rFonts w:cs="Arial"/>
              </w:rPr>
              <w:t>kids</w:t>
            </w:r>
            <w:r w:rsidR="00282AAD" w:rsidRPr="001E2783">
              <w:rPr>
                <w:rFonts w:cs="Arial"/>
              </w:rPr>
              <w:t>’ ability to differentiate between—</w:t>
            </w:r>
            <w:r w:rsidRPr="001E2783">
              <w:rPr>
                <w:rFonts w:cs="Arial"/>
              </w:rPr>
              <w:t xml:space="preserve">and </w:t>
            </w:r>
            <w:r w:rsidR="00282AAD" w:rsidRPr="001E2783">
              <w:rPr>
                <w:rFonts w:cs="Arial"/>
              </w:rPr>
              <w:t>their preference for—</w:t>
            </w:r>
            <w:r w:rsidRPr="001E2783">
              <w:rPr>
                <w:rFonts w:cs="Arial"/>
              </w:rPr>
              <w:t>programs made s</w:t>
            </w:r>
            <w:r w:rsidR="00282AAD" w:rsidRPr="001E2783">
              <w:rPr>
                <w:rFonts w:cs="Arial"/>
              </w:rPr>
              <w:t>pecifically for them (such as C-</w:t>
            </w:r>
            <w:r w:rsidRPr="001E2783">
              <w:rPr>
                <w:rFonts w:cs="Arial"/>
              </w:rPr>
              <w:t>classified programs)</w:t>
            </w:r>
            <w:r w:rsidR="00282AAD" w:rsidRPr="001E2783">
              <w:rPr>
                <w:rFonts w:cs="Arial"/>
              </w:rPr>
              <w:t xml:space="preserve"> and </w:t>
            </w:r>
            <w:r w:rsidRPr="001E2783">
              <w:rPr>
                <w:rFonts w:cs="Arial"/>
              </w:rPr>
              <w:t xml:space="preserve">general classification programs </w:t>
            </w:r>
            <w:r w:rsidR="00282AAD" w:rsidRPr="001E2783">
              <w:rPr>
                <w:rFonts w:cs="Arial"/>
              </w:rPr>
              <w:t>or</w:t>
            </w:r>
            <w:r w:rsidRPr="001E2783">
              <w:rPr>
                <w:rFonts w:cs="Arial"/>
              </w:rPr>
              <w:t xml:space="preserve"> </w:t>
            </w:r>
            <w:r w:rsidR="00282AAD" w:rsidRPr="001E2783">
              <w:rPr>
                <w:rFonts w:cs="Arial"/>
              </w:rPr>
              <w:t>those</w:t>
            </w:r>
            <w:r w:rsidRPr="001E2783">
              <w:rPr>
                <w:rFonts w:cs="Arial"/>
              </w:rPr>
              <w:t xml:space="preserve"> made for adults</w:t>
            </w:r>
            <w:r w:rsidR="00282AAD" w:rsidRPr="001E2783">
              <w:rPr>
                <w:rFonts w:cs="Arial"/>
              </w:rPr>
              <w:t xml:space="preserve"> (according to a survey of kids for Screen Australia’s </w:t>
            </w:r>
            <w:r w:rsidR="00282AAD" w:rsidRPr="001E2783">
              <w:rPr>
                <w:rFonts w:cs="Arial"/>
                <w:i/>
              </w:rPr>
              <w:t>Child’s Play</w:t>
            </w:r>
            <w:r w:rsidR="00282AAD" w:rsidRPr="001E2783">
              <w:rPr>
                <w:rFonts w:cs="Arial"/>
              </w:rPr>
              <w:t xml:space="preserve"> report)</w:t>
            </w:r>
          </w:p>
          <w:p w14:paraId="5AAAD0D5" w14:textId="77777777" w:rsidR="00E61945" w:rsidRPr="001E2783" w:rsidRDefault="00E61945" w:rsidP="005E42B5">
            <w:pPr>
              <w:pStyle w:val="ListBullet"/>
              <w:rPr>
                <w:rFonts w:cs="Arial"/>
              </w:rPr>
            </w:pPr>
            <w:r w:rsidRPr="001E2783">
              <w:rPr>
                <w:rFonts w:cs="Arial"/>
              </w:rPr>
              <w:t xml:space="preserve">the importance of kids having access to Australian stories </w:t>
            </w:r>
          </w:p>
          <w:p w14:paraId="661A591D" w14:textId="77777777" w:rsidR="00E61945" w:rsidRPr="001E2783" w:rsidRDefault="00E61945" w:rsidP="00282AAD">
            <w:pPr>
              <w:pStyle w:val="ListBullet"/>
              <w:spacing w:after="240"/>
              <w:rPr>
                <w:rFonts w:cs="Arial"/>
              </w:rPr>
            </w:pPr>
            <w:r w:rsidRPr="001E2783">
              <w:rPr>
                <w:rFonts w:cs="Arial"/>
              </w:rPr>
              <w:t>the significance of government support for children’s television through direct funding (Screen Australia), quotas (such as the CTS)</w:t>
            </w:r>
            <w:r w:rsidR="006630DD" w:rsidRPr="001E2783">
              <w:rPr>
                <w:rFonts w:cs="Arial"/>
              </w:rPr>
              <w:t xml:space="preserve"> </w:t>
            </w:r>
            <w:r w:rsidRPr="001E2783">
              <w:rPr>
                <w:rFonts w:cs="Arial"/>
              </w:rPr>
              <w:t>and ind</w:t>
            </w:r>
            <w:r w:rsidR="00282AAD" w:rsidRPr="001E2783">
              <w:rPr>
                <w:rFonts w:cs="Arial"/>
              </w:rPr>
              <w:t>irect funding (producer offset).</w:t>
            </w:r>
          </w:p>
          <w:p w14:paraId="1BD9904B" w14:textId="77777777" w:rsidR="00E61945" w:rsidRPr="001E2783" w:rsidRDefault="00282AAD" w:rsidP="005E42B5">
            <w:pPr>
              <w:spacing w:after="80"/>
              <w:rPr>
                <w:rFonts w:cs="Arial"/>
              </w:rPr>
            </w:pPr>
            <w:r w:rsidRPr="001E2783">
              <w:rPr>
                <w:rFonts w:cs="Arial"/>
              </w:rPr>
              <w:t>P</w:t>
            </w:r>
            <w:r w:rsidR="00E61945" w:rsidRPr="001E2783">
              <w:rPr>
                <w:rFonts w:cs="Arial"/>
              </w:rPr>
              <w:t xml:space="preserve">articipants </w:t>
            </w:r>
            <w:r w:rsidRPr="001E2783">
              <w:rPr>
                <w:rFonts w:cs="Arial"/>
              </w:rPr>
              <w:t xml:space="preserve">also </w:t>
            </w:r>
            <w:r w:rsidR="00E61945" w:rsidRPr="001E2783">
              <w:rPr>
                <w:rFonts w:cs="Arial"/>
              </w:rPr>
              <w:t>discussed</w:t>
            </w:r>
            <w:r w:rsidRPr="001E2783">
              <w:rPr>
                <w:rFonts w:cs="Arial"/>
              </w:rPr>
              <w:t xml:space="preserve"> applying to the ACMA for C or P classification, including</w:t>
            </w:r>
            <w:r w:rsidR="00E61945" w:rsidRPr="001E2783">
              <w:rPr>
                <w:rFonts w:cs="Arial"/>
              </w:rPr>
              <w:t>:</w:t>
            </w:r>
          </w:p>
          <w:p w14:paraId="04815029" w14:textId="77777777" w:rsidR="00E61945" w:rsidRPr="001E2783" w:rsidRDefault="00E61945" w:rsidP="005E42B5">
            <w:pPr>
              <w:pStyle w:val="ListBullet"/>
              <w:rPr>
                <w:rFonts w:cs="Arial"/>
              </w:rPr>
            </w:pPr>
            <w:r w:rsidRPr="001E2783">
              <w:rPr>
                <w:rFonts w:cs="Arial"/>
              </w:rPr>
              <w:t xml:space="preserve">the importance of producers having a clear picture of the program and its audience before </w:t>
            </w:r>
            <w:r w:rsidR="00282AAD" w:rsidRPr="001E2783">
              <w:rPr>
                <w:rFonts w:cs="Arial"/>
              </w:rPr>
              <w:t xml:space="preserve">applying for </w:t>
            </w:r>
            <w:r w:rsidRPr="001E2783">
              <w:rPr>
                <w:rFonts w:cs="Arial"/>
              </w:rPr>
              <w:t xml:space="preserve">classification  </w:t>
            </w:r>
          </w:p>
          <w:p w14:paraId="6FECF03C" w14:textId="77777777" w:rsidR="00E61945" w:rsidRPr="001E2783" w:rsidRDefault="00E61945" w:rsidP="005E42B5">
            <w:pPr>
              <w:pStyle w:val="ListBullet"/>
              <w:rPr>
                <w:rFonts w:cs="Arial"/>
              </w:rPr>
            </w:pPr>
            <w:r w:rsidRPr="001E2783">
              <w:rPr>
                <w:rFonts w:cs="Arial"/>
              </w:rPr>
              <w:t xml:space="preserve">the utility of provisional classification applications for new applicants and/or complex or atypical programs </w:t>
            </w:r>
          </w:p>
          <w:p w14:paraId="6FC9289A" w14:textId="77777777" w:rsidR="00E61945" w:rsidRPr="001E2783" w:rsidRDefault="00E61945" w:rsidP="005E42B5">
            <w:pPr>
              <w:pStyle w:val="ListBullet"/>
              <w:spacing w:after="240"/>
              <w:rPr>
                <w:rFonts w:cs="Arial"/>
              </w:rPr>
            </w:pPr>
            <w:r w:rsidRPr="001E2783">
              <w:rPr>
                <w:rFonts w:cs="Arial"/>
              </w:rPr>
              <w:t xml:space="preserve">the need for the pace of the program to be relevant to the child audience and </w:t>
            </w:r>
            <w:r w:rsidR="00282AAD" w:rsidRPr="001E2783">
              <w:rPr>
                <w:rFonts w:cs="Arial"/>
              </w:rPr>
              <w:t xml:space="preserve">to </w:t>
            </w:r>
            <w:r w:rsidRPr="001E2783">
              <w:rPr>
                <w:rFonts w:cs="Arial"/>
              </w:rPr>
              <w:t>maintain a child’</w:t>
            </w:r>
            <w:r w:rsidR="00282AAD" w:rsidRPr="001E2783">
              <w:rPr>
                <w:rFonts w:cs="Arial"/>
              </w:rPr>
              <w:t>s perspective</w:t>
            </w:r>
            <w:r w:rsidR="005E42B5" w:rsidRPr="001E2783">
              <w:rPr>
                <w:rFonts w:cs="Arial"/>
              </w:rPr>
              <w:t>.</w:t>
            </w:r>
          </w:p>
          <w:p w14:paraId="13279110" w14:textId="77777777" w:rsidR="00E105CE" w:rsidRPr="001E2783" w:rsidRDefault="00E61945" w:rsidP="006630DD">
            <w:pPr>
              <w:rPr>
                <w:rFonts w:cs="Arial"/>
              </w:rPr>
            </w:pPr>
            <w:r w:rsidRPr="001E2783">
              <w:rPr>
                <w:rFonts w:cs="Arial"/>
              </w:rPr>
              <w:t xml:space="preserve">The event was </w:t>
            </w:r>
            <w:r w:rsidR="008B17E8" w:rsidRPr="001E2783">
              <w:rPr>
                <w:rFonts w:cs="Arial"/>
              </w:rPr>
              <w:t>watched</w:t>
            </w:r>
            <w:r w:rsidRPr="001E2783">
              <w:rPr>
                <w:rFonts w:cs="Arial"/>
              </w:rPr>
              <w:t xml:space="preserve"> live by </w:t>
            </w:r>
            <w:r w:rsidR="008B17E8" w:rsidRPr="001E2783">
              <w:rPr>
                <w:rFonts w:cs="Arial"/>
              </w:rPr>
              <w:t>about</w:t>
            </w:r>
            <w:r w:rsidRPr="001E2783">
              <w:rPr>
                <w:rFonts w:cs="Arial"/>
              </w:rPr>
              <w:t xml:space="preserve"> 100 people and has </w:t>
            </w:r>
            <w:r w:rsidR="008B17E8" w:rsidRPr="001E2783">
              <w:rPr>
                <w:rFonts w:cs="Arial"/>
              </w:rPr>
              <w:t xml:space="preserve">since </w:t>
            </w:r>
            <w:r w:rsidRPr="001E2783">
              <w:rPr>
                <w:rFonts w:cs="Arial"/>
              </w:rPr>
              <w:t xml:space="preserve">been viewed on YouTube </w:t>
            </w:r>
            <w:r w:rsidR="008B17E8" w:rsidRPr="001E2783">
              <w:rPr>
                <w:rFonts w:cs="Arial"/>
              </w:rPr>
              <w:t>more than</w:t>
            </w:r>
            <w:r w:rsidRPr="001E2783">
              <w:rPr>
                <w:rFonts w:cs="Arial"/>
              </w:rPr>
              <w:t xml:space="preserve"> 2</w:t>
            </w:r>
            <w:r w:rsidR="008B17E8" w:rsidRPr="001E2783">
              <w:rPr>
                <w:rFonts w:cs="Arial"/>
              </w:rPr>
              <w:t>0</w:t>
            </w:r>
            <w:r w:rsidRPr="001E2783">
              <w:rPr>
                <w:rFonts w:cs="Arial"/>
              </w:rPr>
              <w:t>0 times.</w:t>
            </w:r>
          </w:p>
        </w:tc>
      </w:tr>
      <w:tr w:rsidR="001E2783" w:rsidRPr="001E2783" w14:paraId="296B0460" w14:textId="77777777" w:rsidTr="00E61945">
        <w:trPr>
          <w:trHeight w:val="291"/>
        </w:trPr>
        <w:tc>
          <w:tcPr>
            <w:tcW w:w="9645" w:type="dxa"/>
            <w:tcBorders>
              <w:bottom w:val="single" w:sz="2" w:space="0" w:color="505050"/>
            </w:tcBorders>
            <w:shd w:val="clear" w:color="auto" w:fill="F2F2F2" w:themeFill="background1" w:themeFillShade="F2"/>
          </w:tcPr>
          <w:p w14:paraId="1BDDDCC4" w14:textId="77777777" w:rsidR="00E61945" w:rsidRPr="001E2783" w:rsidRDefault="00E61945" w:rsidP="00E61945">
            <w:pPr>
              <w:rPr>
                <w:rFonts w:cs="Arial"/>
              </w:rPr>
            </w:pPr>
          </w:p>
        </w:tc>
      </w:tr>
    </w:tbl>
    <w:p w14:paraId="0993A10F" w14:textId="77777777" w:rsidR="00E61945" w:rsidRPr="001E2783" w:rsidRDefault="00E61945" w:rsidP="00AF0E3A">
      <w:pPr>
        <w:rPr>
          <w:rFonts w:cs="Arial"/>
        </w:rPr>
      </w:pPr>
    </w:p>
    <w:p w14:paraId="7F96692E" w14:textId="77777777" w:rsidR="008136CD" w:rsidRPr="001E2783" w:rsidRDefault="008136CD" w:rsidP="008136CD">
      <w:pPr>
        <w:pStyle w:val="Heading3"/>
      </w:pPr>
      <w:bookmarkStart w:id="221" w:name="_Toc400018582"/>
      <w:r w:rsidRPr="001E2783">
        <w:t>Declaration of primary services</w:t>
      </w:r>
      <w:bookmarkEnd w:id="219"/>
      <w:bookmarkEnd w:id="220"/>
      <w:bookmarkEnd w:id="221"/>
    </w:p>
    <w:p w14:paraId="484DF469" w14:textId="77777777" w:rsidR="004C403E" w:rsidRPr="001E2783" w:rsidRDefault="00D31A35" w:rsidP="005F352C">
      <w:pPr>
        <w:rPr>
          <w:rFonts w:cs="Arial"/>
        </w:rPr>
      </w:pPr>
      <w:r w:rsidRPr="001E2783">
        <w:rPr>
          <w:rFonts w:cs="Arial"/>
        </w:rPr>
        <w:t xml:space="preserve">In December 2013, Australia completed its transition from analog to digital-only television when the last analog broadcasting services were switched off. </w:t>
      </w:r>
    </w:p>
    <w:p w14:paraId="71A62CCB" w14:textId="77777777" w:rsidR="004C403E" w:rsidRPr="001E2783" w:rsidRDefault="004C403E" w:rsidP="005F352C">
      <w:pPr>
        <w:rPr>
          <w:rFonts w:cs="Arial"/>
        </w:rPr>
      </w:pPr>
    </w:p>
    <w:p w14:paraId="0F1160FC" w14:textId="77777777" w:rsidR="00D31A35" w:rsidRPr="001E2783" w:rsidRDefault="00D31A35" w:rsidP="005F352C">
      <w:pPr>
        <w:rPr>
          <w:rFonts w:cs="Arial"/>
        </w:rPr>
      </w:pPr>
      <w:r w:rsidRPr="001E2783">
        <w:rPr>
          <w:rFonts w:cs="Arial"/>
        </w:rPr>
        <w:t xml:space="preserve">From 1 January 2009 </w:t>
      </w:r>
      <w:r w:rsidR="00307D09" w:rsidRPr="001E2783">
        <w:rPr>
          <w:rFonts w:cs="Arial"/>
        </w:rPr>
        <w:t>in the lead-up to analog switch-</w:t>
      </w:r>
      <w:r w:rsidRPr="001E2783">
        <w:rPr>
          <w:rFonts w:cs="Arial"/>
        </w:rPr>
        <w:t xml:space="preserve">off, commercial broadcasters were authorised to provide up to three multi-channelled commercial television broadcasting services in digital mode; two standard definition’ television (SDTV) and one ‘high definition’ television (HDTV) service. </w:t>
      </w:r>
    </w:p>
    <w:p w14:paraId="28C25321" w14:textId="77777777" w:rsidR="00D31A35" w:rsidRPr="001E2783" w:rsidRDefault="00D31A35" w:rsidP="005F352C">
      <w:pPr>
        <w:rPr>
          <w:rFonts w:cs="Arial"/>
        </w:rPr>
      </w:pPr>
    </w:p>
    <w:p w14:paraId="41FBD994" w14:textId="77777777" w:rsidR="00D31A35" w:rsidRPr="001E2783" w:rsidRDefault="00D31A35" w:rsidP="005F352C">
      <w:pPr>
        <w:rPr>
          <w:rFonts w:cs="Arial"/>
        </w:rPr>
      </w:pPr>
      <w:r w:rsidRPr="001E2783">
        <w:rPr>
          <w:rFonts w:cs="Arial"/>
        </w:rPr>
        <w:t>In prepar</w:t>
      </w:r>
      <w:r w:rsidR="004C403E" w:rsidRPr="001E2783">
        <w:rPr>
          <w:rFonts w:cs="Arial"/>
        </w:rPr>
        <w:t>ation for the switch to digital-</w:t>
      </w:r>
      <w:r w:rsidRPr="001E2783">
        <w:rPr>
          <w:rFonts w:cs="Arial"/>
        </w:rPr>
        <w:t>only television, there was a transitional ‘simulcast period’</w:t>
      </w:r>
      <w:r w:rsidR="004C403E" w:rsidRPr="001E2783">
        <w:rPr>
          <w:rFonts w:cs="Arial"/>
        </w:rPr>
        <w:t>,</w:t>
      </w:r>
      <w:r w:rsidRPr="001E2783">
        <w:rPr>
          <w:rFonts w:cs="Arial"/>
        </w:rPr>
        <w:t xml:space="preserve"> during which commercial broadcasters were required to simultaneously transmit both analog and digital signals using one of the</w:t>
      </w:r>
      <w:r w:rsidR="00307D09" w:rsidRPr="001E2783">
        <w:rPr>
          <w:rFonts w:cs="Arial"/>
        </w:rPr>
        <w:t xml:space="preserve"> SDTV services. Under subclause 41G(2) of Schedule </w:t>
      </w:r>
      <w:r w:rsidRPr="001E2783">
        <w:rPr>
          <w:rFonts w:cs="Arial"/>
        </w:rPr>
        <w:t xml:space="preserve">4 to the BSA, the ACMA may declare that after the end of the simulcast period, a specified SDTV multi-channelled commercial television service is a licensee’s primary commercial television broadcasting service in a licence area. </w:t>
      </w:r>
    </w:p>
    <w:p w14:paraId="75D6CC44" w14:textId="77777777" w:rsidR="00D31A35" w:rsidRPr="001E2783" w:rsidRDefault="00D31A35" w:rsidP="005F352C">
      <w:pPr>
        <w:rPr>
          <w:rFonts w:cs="Arial"/>
        </w:rPr>
      </w:pPr>
    </w:p>
    <w:p w14:paraId="4C67542C" w14:textId="77777777" w:rsidR="00D31A35" w:rsidRPr="001E2783" w:rsidRDefault="00D31A35" w:rsidP="005F352C">
      <w:pPr>
        <w:rPr>
          <w:rFonts w:cs="Arial"/>
        </w:rPr>
      </w:pPr>
      <w:r w:rsidRPr="001E2783">
        <w:rPr>
          <w:rFonts w:cs="Arial"/>
        </w:rPr>
        <w:t xml:space="preserve">Under the BSA, different regulatory obligations </w:t>
      </w:r>
      <w:r w:rsidR="004C403E" w:rsidRPr="001E2783">
        <w:rPr>
          <w:rFonts w:cs="Arial"/>
        </w:rPr>
        <w:t>for</w:t>
      </w:r>
      <w:r w:rsidRPr="001E2783">
        <w:rPr>
          <w:rFonts w:cs="Arial"/>
        </w:rPr>
        <w:t xml:space="preserve"> the application of program standards, captioning and certain provisions of the Commercial Television Industry Code of Practice 2010 apply to a licensee’s primary channel compared to its other multi-channels.</w:t>
      </w:r>
    </w:p>
    <w:p w14:paraId="33150569" w14:textId="77777777" w:rsidR="00D31A35" w:rsidRPr="001E2783" w:rsidRDefault="00D31A35" w:rsidP="005F352C">
      <w:pPr>
        <w:rPr>
          <w:rFonts w:cs="Arial"/>
        </w:rPr>
      </w:pPr>
    </w:p>
    <w:p w14:paraId="487D566D" w14:textId="77777777" w:rsidR="00D31A35" w:rsidRPr="001E2783" w:rsidRDefault="00D31A35" w:rsidP="005F352C">
      <w:pPr>
        <w:spacing w:after="80"/>
        <w:rPr>
          <w:rFonts w:cs="Arial"/>
        </w:rPr>
      </w:pPr>
      <w:r w:rsidRPr="001E2783">
        <w:rPr>
          <w:rFonts w:cs="Arial"/>
        </w:rPr>
        <w:t>I</w:t>
      </w:r>
      <w:r w:rsidR="004C403E" w:rsidRPr="001E2783">
        <w:rPr>
          <w:rFonts w:cs="Arial"/>
        </w:rPr>
        <w:t>n November 2013, the ACMA made p</w:t>
      </w:r>
      <w:r w:rsidRPr="001E2783">
        <w:rPr>
          <w:rFonts w:cs="Arial"/>
        </w:rPr>
        <w:t>rimary service declarations for the last lic</w:t>
      </w:r>
      <w:r w:rsidR="004C403E" w:rsidRPr="001E2783">
        <w:rPr>
          <w:rFonts w:cs="Arial"/>
        </w:rPr>
        <w:t>ence areas to switch to digital-</w:t>
      </w:r>
      <w:r w:rsidRPr="001E2783">
        <w:rPr>
          <w:rFonts w:cs="Arial"/>
        </w:rPr>
        <w:t>o</w:t>
      </w:r>
      <w:r w:rsidR="004C403E" w:rsidRPr="001E2783">
        <w:rPr>
          <w:rFonts w:cs="Arial"/>
        </w:rPr>
        <w:t>nly television:</w:t>
      </w:r>
    </w:p>
    <w:p w14:paraId="0B695FCE" w14:textId="77777777" w:rsidR="00D31A35" w:rsidRPr="001E2783" w:rsidRDefault="004C403E" w:rsidP="004C403E">
      <w:pPr>
        <w:pStyle w:val="ListBullet"/>
        <w:rPr>
          <w:rFonts w:cs="Arial"/>
        </w:rPr>
      </w:pPr>
      <w:r w:rsidRPr="001E2783">
        <w:rPr>
          <w:rFonts w:cs="Arial"/>
        </w:rPr>
        <w:t>Northern NSW TV1</w:t>
      </w:r>
    </w:p>
    <w:p w14:paraId="648D0AE5" w14:textId="77777777" w:rsidR="00D31A35" w:rsidRPr="001E2783" w:rsidRDefault="004C403E" w:rsidP="004C403E">
      <w:pPr>
        <w:pStyle w:val="ListBullet"/>
        <w:rPr>
          <w:rFonts w:cs="Arial"/>
        </w:rPr>
      </w:pPr>
      <w:r w:rsidRPr="001E2783">
        <w:rPr>
          <w:rFonts w:cs="Arial"/>
        </w:rPr>
        <w:t>Sydney TV1</w:t>
      </w:r>
    </w:p>
    <w:p w14:paraId="11E7E1B7" w14:textId="77777777" w:rsidR="00D31A35" w:rsidRPr="001E2783" w:rsidRDefault="004C403E" w:rsidP="004C403E">
      <w:pPr>
        <w:pStyle w:val="ListBullet"/>
        <w:rPr>
          <w:rFonts w:cs="Arial"/>
        </w:rPr>
      </w:pPr>
      <w:r w:rsidRPr="001E2783">
        <w:rPr>
          <w:rFonts w:cs="Arial"/>
        </w:rPr>
        <w:t>Melbourne TV1</w:t>
      </w:r>
    </w:p>
    <w:p w14:paraId="07CAD9E3" w14:textId="77777777" w:rsidR="00D31A35" w:rsidRPr="001E2783" w:rsidRDefault="00D31A35" w:rsidP="004C403E">
      <w:pPr>
        <w:pStyle w:val="ListBullet"/>
        <w:rPr>
          <w:rFonts w:cs="Arial"/>
        </w:rPr>
      </w:pPr>
      <w:r w:rsidRPr="001E2783">
        <w:rPr>
          <w:rFonts w:cs="Arial"/>
        </w:rPr>
        <w:t>Remote Central and E</w:t>
      </w:r>
      <w:r w:rsidR="004C403E" w:rsidRPr="001E2783">
        <w:rPr>
          <w:rFonts w:cs="Arial"/>
        </w:rPr>
        <w:t>astern Australia TV1 and 2</w:t>
      </w:r>
    </w:p>
    <w:p w14:paraId="0C1599FB" w14:textId="77777777" w:rsidR="00D31A35" w:rsidRPr="001E2783" w:rsidRDefault="00D31A35" w:rsidP="004C403E">
      <w:pPr>
        <w:pStyle w:val="ListBullet"/>
        <w:spacing w:after="240"/>
        <w:rPr>
          <w:rFonts w:cs="Arial"/>
        </w:rPr>
      </w:pPr>
      <w:r w:rsidRPr="001E2783">
        <w:rPr>
          <w:rFonts w:cs="Arial"/>
        </w:rPr>
        <w:t>Mt Isa</w:t>
      </w:r>
      <w:r w:rsidR="004C403E" w:rsidRPr="001E2783">
        <w:rPr>
          <w:rFonts w:cs="Arial"/>
        </w:rPr>
        <w:t>.</w:t>
      </w:r>
    </w:p>
    <w:p w14:paraId="33C0F4B9" w14:textId="77777777" w:rsidR="00A31D3D" w:rsidRPr="001E2783" w:rsidRDefault="00A31D3D" w:rsidP="00A31D3D">
      <w:pPr>
        <w:pStyle w:val="Heading3"/>
      </w:pPr>
      <w:bookmarkStart w:id="222" w:name="_Toc400018583"/>
      <w:bookmarkStart w:id="223" w:name="_Toc274124098"/>
      <w:r w:rsidRPr="001E2783">
        <w:t>High definition broadcasting</w:t>
      </w:r>
      <w:bookmarkEnd w:id="222"/>
    </w:p>
    <w:p w14:paraId="0C791C13" w14:textId="77777777" w:rsidR="00AF0E3A" w:rsidRPr="001E2783" w:rsidRDefault="00AF0E3A" w:rsidP="00AF0E3A">
      <w:pPr>
        <w:rPr>
          <w:rFonts w:cs="Arial"/>
        </w:rPr>
      </w:pPr>
      <w:bookmarkStart w:id="224" w:name="_Toc337727623"/>
      <w:bookmarkEnd w:id="223"/>
      <w:r w:rsidRPr="001E2783">
        <w:rPr>
          <w:rFonts w:cs="Arial"/>
        </w:rPr>
        <w:t xml:space="preserve">The HDTV quota requirement was </w:t>
      </w:r>
      <w:r w:rsidR="00297FDA" w:rsidRPr="001E2783">
        <w:rPr>
          <w:rFonts w:cs="Arial"/>
        </w:rPr>
        <w:t xml:space="preserve">previously </w:t>
      </w:r>
      <w:r w:rsidRPr="001E2783">
        <w:rPr>
          <w:rFonts w:cs="Arial"/>
        </w:rPr>
        <w:t>applicable to commercial and national television broadcasting services in a mainland metropolitan area, as well as some broadcasters in non-remote areas. The obligation to broadcast 1</w:t>
      </w:r>
      <w:r w:rsidR="00297FDA" w:rsidRPr="001E2783">
        <w:rPr>
          <w:rFonts w:cs="Arial"/>
        </w:rPr>
        <w:t>,</w:t>
      </w:r>
      <w:r w:rsidR="00307D09" w:rsidRPr="001E2783">
        <w:rPr>
          <w:rFonts w:cs="Arial"/>
        </w:rPr>
        <w:t>040 </w:t>
      </w:r>
      <w:r w:rsidRPr="001E2783">
        <w:rPr>
          <w:rFonts w:cs="Arial"/>
        </w:rPr>
        <w:t>hours of HDTV each year was operational until the end of the simulcast period in the relevant service area. Following the completion of analog switch-off in 2013, the obligation to meet the HDTV quota ceased. In the final compliance period</w:t>
      </w:r>
      <w:r w:rsidR="00297FDA" w:rsidRPr="001E2783">
        <w:rPr>
          <w:rFonts w:cs="Arial"/>
        </w:rPr>
        <w:t>,</w:t>
      </w:r>
      <w:r w:rsidRPr="001E2783">
        <w:rPr>
          <w:rFonts w:cs="Arial"/>
        </w:rPr>
        <w:t xml:space="preserve"> all broadcasters required to transmit the HDTV quotas complied.</w:t>
      </w:r>
    </w:p>
    <w:p w14:paraId="1D36C797" w14:textId="77777777" w:rsidR="00AF0E3A" w:rsidRPr="001E2783" w:rsidRDefault="00AF0E3A" w:rsidP="00AF0E3A">
      <w:pPr>
        <w:rPr>
          <w:rFonts w:cs="Arial"/>
        </w:rPr>
      </w:pPr>
    </w:p>
    <w:p w14:paraId="5993B8A8" w14:textId="77777777" w:rsidR="00AF0E3A" w:rsidRPr="001E2783" w:rsidRDefault="00AF0E3A" w:rsidP="00AF0E3A">
      <w:pPr>
        <w:rPr>
          <w:rFonts w:cs="Arial"/>
        </w:rPr>
      </w:pPr>
      <w:r w:rsidRPr="001E2783">
        <w:rPr>
          <w:rFonts w:cs="Arial"/>
        </w:rPr>
        <w:t xml:space="preserve">The compliance results of national and commercial television broadcasters in the mainland </w:t>
      </w:r>
      <w:r w:rsidR="00307D09" w:rsidRPr="001E2783">
        <w:rPr>
          <w:rFonts w:cs="Arial"/>
        </w:rPr>
        <w:t>metropolitan areas are in Table </w:t>
      </w:r>
      <w:r w:rsidR="00856140" w:rsidRPr="001E2783">
        <w:rPr>
          <w:rFonts w:cs="Arial"/>
        </w:rPr>
        <w:t>32</w:t>
      </w:r>
      <w:r w:rsidRPr="001E2783">
        <w:rPr>
          <w:rFonts w:cs="Arial"/>
        </w:rPr>
        <w:t>.</w:t>
      </w:r>
    </w:p>
    <w:p w14:paraId="131FE5D7" w14:textId="77777777" w:rsidR="00AF0E3A" w:rsidRPr="001E2783" w:rsidRDefault="00AF0E3A" w:rsidP="00AF0E3A">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145AA4CC" w14:textId="77777777" w:rsidTr="00AF0E3A">
        <w:trPr>
          <w:trHeight w:val="570"/>
        </w:trPr>
        <w:tc>
          <w:tcPr>
            <w:tcW w:w="9645" w:type="dxa"/>
            <w:tcBorders>
              <w:top w:val="single" w:sz="2" w:space="0" w:color="505050"/>
            </w:tcBorders>
            <w:shd w:val="clear" w:color="auto" w:fill="auto"/>
            <w:vAlign w:val="center"/>
          </w:tcPr>
          <w:p w14:paraId="49C136A8" w14:textId="77777777" w:rsidR="00AF0E3A" w:rsidRPr="001E2783" w:rsidRDefault="00AF0E3A" w:rsidP="006630DD">
            <w:pPr>
              <w:pStyle w:val="Caption"/>
              <w:keepNext/>
              <w:keepLines/>
              <w:rPr>
                <w:rFonts w:ascii="Arial" w:hAnsi="Arial" w:cs="Arial"/>
                <w:color w:val="auto"/>
              </w:rPr>
            </w:pPr>
            <w:r w:rsidRPr="00D3485F">
              <w:rPr>
                <w:rFonts w:ascii="Arial" w:hAnsi="Arial" w:cs="Arial"/>
              </w:rPr>
              <w:t xml:space="preserve">Table </w:t>
            </w:r>
            <w:r w:rsidR="00856140" w:rsidRPr="00D3485F">
              <w:rPr>
                <w:rFonts w:ascii="Arial" w:hAnsi="Arial" w:cs="Arial"/>
              </w:rPr>
              <w:t>32</w:t>
            </w:r>
            <w:r w:rsidRPr="00D3485F">
              <w:rPr>
                <w:rFonts w:ascii="Arial" w:hAnsi="Arial" w:cs="Arial"/>
              </w:rPr>
              <w:t>: HDTV quota, 2013</w:t>
            </w:r>
          </w:p>
        </w:tc>
      </w:tr>
      <w:tr w:rsidR="001E2783" w:rsidRPr="001E2783" w14:paraId="5EE0DE25" w14:textId="77777777" w:rsidTr="00AF0E3A">
        <w:trPr>
          <w:trHeight w:val="1478"/>
        </w:trPr>
        <w:tc>
          <w:tcPr>
            <w:tcW w:w="9645" w:type="dxa"/>
            <w:shd w:val="clear" w:color="auto" w:fill="auto"/>
            <w:tcMar>
              <w:left w:w="28" w:type="dxa"/>
            </w:tcMa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32"/>
              <w:gridCol w:w="4733"/>
            </w:tblGrid>
            <w:tr w:rsidR="001E2783" w:rsidRPr="001E2783" w14:paraId="61415BC0" w14:textId="77777777" w:rsidTr="00AF0E3A">
              <w:trPr>
                <w:trHeight w:val="375"/>
              </w:trPr>
              <w:tc>
                <w:tcPr>
                  <w:tcW w:w="4732" w:type="dxa"/>
                  <w:shd w:val="clear" w:color="auto" w:fill="404040" w:themeFill="text1" w:themeFillTint="BF"/>
                  <w:tcMar>
                    <w:top w:w="57" w:type="dxa"/>
                    <w:left w:w="57" w:type="dxa"/>
                    <w:bottom w:w="57" w:type="dxa"/>
                    <w:right w:w="57" w:type="dxa"/>
                  </w:tcMar>
                  <w:vAlign w:val="center"/>
                </w:tcPr>
                <w:p w14:paraId="7470F0CF" w14:textId="77777777" w:rsidR="00AF0E3A" w:rsidRPr="000544EA" w:rsidRDefault="00AF0E3A" w:rsidP="00AF0E3A">
                  <w:pPr>
                    <w:pStyle w:val="TableHeading"/>
                    <w:rPr>
                      <w:rFonts w:ascii="Arial" w:hAnsi="Arial" w:cs="Arial"/>
                      <w:color w:val="FFFFFF" w:themeColor="background1"/>
                    </w:rPr>
                  </w:pPr>
                  <w:r w:rsidRPr="000544EA">
                    <w:rPr>
                      <w:rFonts w:ascii="Arial" w:hAnsi="Arial" w:cs="Arial"/>
                      <w:color w:val="FFFFFF" w:themeColor="background1"/>
                    </w:rPr>
                    <w:t>Broadcaster</w:t>
                  </w:r>
                </w:p>
              </w:tc>
              <w:tc>
                <w:tcPr>
                  <w:tcW w:w="4733" w:type="dxa"/>
                  <w:shd w:val="clear" w:color="auto" w:fill="404040" w:themeFill="text1" w:themeFillTint="BF"/>
                  <w:tcMar>
                    <w:top w:w="57" w:type="dxa"/>
                    <w:left w:w="57" w:type="dxa"/>
                    <w:bottom w:w="57" w:type="dxa"/>
                    <w:right w:w="57" w:type="dxa"/>
                  </w:tcMar>
                  <w:vAlign w:val="center"/>
                </w:tcPr>
                <w:p w14:paraId="2BD33913" w14:textId="77777777" w:rsidR="00AF0E3A" w:rsidRPr="000544EA" w:rsidRDefault="00AF0E3A" w:rsidP="00AF0E3A">
                  <w:pPr>
                    <w:pStyle w:val="TableHeading"/>
                    <w:ind w:left="114"/>
                    <w:jc w:val="right"/>
                    <w:rPr>
                      <w:rFonts w:ascii="Arial" w:hAnsi="Arial" w:cs="Arial"/>
                      <w:color w:val="FFFFFF" w:themeColor="background1"/>
                    </w:rPr>
                  </w:pPr>
                  <w:r w:rsidRPr="000544EA">
                    <w:rPr>
                      <w:rFonts w:ascii="Arial" w:hAnsi="Arial" w:cs="Arial"/>
                      <w:color w:val="FFFFFF" w:themeColor="background1"/>
                    </w:rPr>
                    <w:t>HDTV hours (range hhhh:mm)</w:t>
                  </w:r>
                </w:p>
              </w:tc>
            </w:tr>
            <w:tr w:rsidR="001E2783" w:rsidRPr="001E2783" w14:paraId="2F6891DF" w14:textId="77777777" w:rsidTr="00AF0E3A">
              <w:tc>
                <w:tcPr>
                  <w:tcW w:w="4732" w:type="dxa"/>
                  <w:tcMar>
                    <w:top w:w="57" w:type="dxa"/>
                    <w:left w:w="57" w:type="dxa"/>
                    <w:bottom w:w="57" w:type="dxa"/>
                    <w:right w:w="57" w:type="dxa"/>
                  </w:tcMar>
                </w:tcPr>
                <w:p w14:paraId="2369CA64" w14:textId="77777777" w:rsidR="00AF0E3A" w:rsidRPr="001E2783" w:rsidRDefault="00AF0E3A" w:rsidP="00297FDA">
                  <w:pPr>
                    <w:pStyle w:val="TableTextLeft"/>
                    <w:rPr>
                      <w:rFonts w:cs="Arial"/>
                      <w:sz w:val="20"/>
                    </w:rPr>
                  </w:pPr>
                  <w:r w:rsidRPr="001E2783">
                    <w:rPr>
                      <w:rFonts w:cs="Arial"/>
                      <w:sz w:val="20"/>
                    </w:rPr>
                    <w:t>ABC</w:t>
                  </w:r>
                </w:p>
              </w:tc>
              <w:tc>
                <w:tcPr>
                  <w:tcW w:w="4733" w:type="dxa"/>
                  <w:tcMar>
                    <w:top w:w="57" w:type="dxa"/>
                    <w:left w:w="57" w:type="dxa"/>
                    <w:bottom w:w="57" w:type="dxa"/>
                    <w:right w:w="57" w:type="dxa"/>
                  </w:tcMar>
                </w:tcPr>
                <w:p w14:paraId="2C86188D" w14:textId="77777777" w:rsidR="00AF0E3A" w:rsidRPr="001E2783" w:rsidRDefault="00AF0E3A" w:rsidP="00297FDA">
                  <w:pPr>
                    <w:pStyle w:val="TableTextLeft"/>
                    <w:jc w:val="right"/>
                    <w:rPr>
                      <w:rFonts w:cs="Arial"/>
                      <w:sz w:val="20"/>
                    </w:rPr>
                  </w:pPr>
                  <w:r w:rsidRPr="001E2783">
                    <w:rPr>
                      <w:rFonts w:cs="Arial"/>
                      <w:sz w:val="20"/>
                    </w:rPr>
                    <w:t>8432:00</w:t>
                  </w:r>
                </w:p>
              </w:tc>
            </w:tr>
            <w:tr w:rsidR="001E2783" w:rsidRPr="001E2783" w14:paraId="303E7117" w14:textId="77777777" w:rsidTr="00AF0E3A">
              <w:tc>
                <w:tcPr>
                  <w:tcW w:w="4732" w:type="dxa"/>
                  <w:tcMar>
                    <w:top w:w="57" w:type="dxa"/>
                    <w:left w:w="57" w:type="dxa"/>
                    <w:bottom w:w="57" w:type="dxa"/>
                    <w:right w:w="57" w:type="dxa"/>
                  </w:tcMar>
                </w:tcPr>
                <w:p w14:paraId="59B0D7C6" w14:textId="77777777" w:rsidR="00AF0E3A" w:rsidRPr="001E2783" w:rsidRDefault="00AF0E3A" w:rsidP="00297FDA">
                  <w:pPr>
                    <w:pStyle w:val="TableTextLeft"/>
                    <w:rPr>
                      <w:rFonts w:cs="Arial"/>
                      <w:sz w:val="20"/>
                    </w:rPr>
                  </w:pPr>
                  <w:r w:rsidRPr="001E2783">
                    <w:rPr>
                      <w:rFonts w:cs="Arial"/>
                      <w:sz w:val="20"/>
                    </w:rPr>
                    <w:t>SBS</w:t>
                  </w:r>
                </w:p>
              </w:tc>
              <w:tc>
                <w:tcPr>
                  <w:tcW w:w="4733" w:type="dxa"/>
                  <w:tcMar>
                    <w:top w:w="57" w:type="dxa"/>
                    <w:left w:w="57" w:type="dxa"/>
                    <w:bottom w:w="57" w:type="dxa"/>
                    <w:right w:w="57" w:type="dxa"/>
                  </w:tcMar>
                </w:tcPr>
                <w:p w14:paraId="7052B6DF" w14:textId="77777777" w:rsidR="00AF0E3A" w:rsidRPr="001E2783" w:rsidRDefault="00AF0E3A" w:rsidP="00297FDA">
                  <w:pPr>
                    <w:pStyle w:val="TableTextLeft"/>
                    <w:jc w:val="right"/>
                    <w:rPr>
                      <w:rFonts w:cs="Arial"/>
                      <w:sz w:val="20"/>
                    </w:rPr>
                  </w:pPr>
                  <w:r w:rsidRPr="001E2783">
                    <w:rPr>
                      <w:rFonts w:cs="Arial"/>
                      <w:sz w:val="20"/>
                    </w:rPr>
                    <w:t>2196:00 to 8220:00</w:t>
                  </w:r>
                </w:p>
              </w:tc>
            </w:tr>
            <w:tr w:rsidR="001E2783" w:rsidRPr="001E2783" w14:paraId="17376A47" w14:textId="77777777" w:rsidTr="00AF0E3A">
              <w:tc>
                <w:tcPr>
                  <w:tcW w:w="4732" w:type="dxa"/>
                  <w:tcMar>
                    <w:top w:w="57" w:type="dxa"/>
                    <w:left w:w="57" w:type="dxa"/>
                    <w:bottom w:w="57" w:type="dxa"/>
                    <w:right w:w="57" w:type="dxa"/>
                  </w:tcMar>
                </w:tcPr>
                <w:p w14:paraId="66853E5E" w14:textId="77777777" w:rsidR="00AF0E3A" w:rsidRPr="001E2783" w:rsidRDefault="00AF0E3A" w:rsidP="00297FDA">
                  <w:pPr>
                    <w:pStyle w:val="TableTextLeft"/>
                    <w:rPr>
                      <w:rFonts w:cs="Arial"/>
                      <w:sz w:val="20"/>
                    </w:rPr>
                  </w:pPr>
                  <w:r w:rsidRPr="001E2783">
                    <w:rPr>
                      <w:rFonts w:cs="Arial"/>
                      <w:sz w:val="20"/>
                    </w:rPr>
                    <w:t>Seven Network</w:t>
                  </w:r>
                </w:p>
              </w:tc>
              <w:tc>
                <w:tcPr>
                  <w:tcW w:w="4733" w:type="dxa"/>
                  <w:tcMar>
                    <w:top w:w="57" w:type="dxa"/>
                    <w:left w:w="57" w:type="dxa"/>
                    <w:bottom w:w="57" w:type="dxa"/>
                    <w:right w:w="57" w:type="dxa"/>
                  </w:tcMar>
                </w:tcPr>
                <w:p w14:paraId="20B69323" w14:textId="77777777" w:rsidR="00AF0E3A" w:rsidRPr="001E2783" w:rsidRDefault="00AF0E3A" w:rsidP="00297FDA">
                  <w:pPr>
                    <w:pStyle w:val="TableTextLeft"/>
                    <w:jc w:val="right"/>
                    <w:rPr>
                      <w:rFonts w:cs="Arial"/>
                      <w:sz w:val="20"/>
                    </w:rPr>
                  </w:pPr>
                  <w:r w:rsidRPr="001E2783">
                    <w:rPr>
                      <w:rFonts w:cs="Arial"/>
                      <w:sz w:val="20"/>
                    </w:rPr>
                    <w:t>1022:26 to 2297:30</w:t>
                  </w:r>
                </w:p>
              </w:tc>
            </w:tr>
            <w:tr w:rsidR="001E2783" w:rsidRPr="001E2783" w14:paraId="474AAFCA" w14:textId="77777777" w:rsidTr="00AF0E3A">
              <w:tc>
                <w:tcPr>
                  <w:tcW w:w="4732" w:type="dxa"/>
                  <w:tcMar>
                    <w:top w:w="57" w:type="dxa"/>
                    <w:left w:w="57" w:type="dxa"/>
                    <w:bottom w:w="57" w:type="dxa"/>
                    <w:right w:w="57" w:type="dxa"/>
                  </w:tcMar>
                </w:tcPr>
                <w:p w14:paraId="43F4E0FD" w14:textId="77777777" w:rsidR="00AF0E3A" w:rsidRPr="001E2783" w:rsidRDefault="00AF0E3A" w:rsidP="00297FDA">
                  <w:pPr>
                    <w:pStyle w:val="TableTextLeft"/>
                    <w:rPr>
                      <w:rFonts w:cs="Arial"/>
                      <w:sz w:val="20"/>
                    </w:rPr>
                  </w:pPr>
                  <w:r w:rsidRPr="001E2783">
                    <w:rPr>
                      <w:rFonts w:cs="Arial"/>
                      <w:sz w:val="20"/>
                    </w:rPr>
                    <w:t>Nine Network</w:t>
                  </w:r>
                </w:p>
              </w:tc>
              <w:tc>
                <w:tcPr>
                  <w:tcW w:w="4733" w:type="dxa"/>
                  <w:tcMar>
                    <w:top w:w="57" w:type="dxa"/>
                    <w:left w:w="57" w:type="dxa"/>
                    <w:bottom w:w="57" w:type="dxa"/>
                    <w:right w:w="57" w:type="dxa"/>
                  </w:tcMar>
                </w:tcPr>
                <w:p w14:paraId="2468106B" w14:textId="77777777" w:rsidR="00AF0E3A" w:rsidRPr="001E2783" w:rsidRDefault="00AF0E3A" w:rsidP="00297FDA">
                  <w:pPr>
                    <w:pStyle w:val="TableTextLeft"/>
                    <w:jc w:val="right"/>
                    <w:rPr>
                      <w:rFonts w:cs="Arial"/>
                      <w:sz w:val="20"/>
                    </w:rPr>
                  </w:pPr>
                  <w:r w:rsidRPr="001E2783">
                    <w:rPr>
                      <w:rFonts w:cs="Arial"/>
                      <w:sz w:val="20"/>
                    </w:rPr>
                    <w:t>1051:36 to 3540:30</w:t>
                  </w:r>
                </w:p>
              </w:tc>
            </w:tr>
            <w:tr w:rsidR="001E2783" w:rsidRPr="001E2783" w14:paraId="69A2B13F" w14:textId="77777777" w:rsidTr="00AF0E3A">
              <w:tc>
                <w:tcPr>
                  <w:tcW w:w="4732" w:type="dxa"/>
                  <w:tcMar>
                    <w:top w:w="57" w:type="dxa"/>
                    <w:left w:w="57" w:type="dxa"/>
                    <w:bottom w:w="57" w:type="dxa"/>
                    <w:right w:w="57" w:type="dxa"/>
                  </w:tcMar>
                </w:tcPr>
                <w:p w14:paraId="1746A6D6" w14:textId="77777777" w:rsidR="00AF0E3A" w:rsidRPr="001E2783" w:rsidRDefault="00AF0E3A" w:rsidP="00297FDA">
                  <w:pPr>
                    <w:pStyle w:val="TableTextLeft"/>
                    <w:rPr>
                      <w:rFonts w:cs="Arial"/>
                      <w:sz w:val="20"/>
                    </w:rPr>
                  </w:pPr>
                  <w:r w:rsidRPr="001E2783">
                    <w:rPr>
                      <w:rFonts w:cs="Arial"/>
                      <w:sz w:val="20"/>
                    </w:rPr>
                    <w:t>Ten Network</w:t>
                  </w:r>
                </w:p>
              </w:tc>
              <w:tc>
                <w:tcPr>
                  <w:tcW w:w="4733" w:type="dxa"/>
                  <w:tcMar>
                    <w:top w:w="57" w:type="dxa"/>
                    <w:left w:w="57" w:type="dxa"/>
                    <w:bottom w:w="57" w:type="dxa"/>
                    <w:right w:w="57" w:type="dxa"/>
                  </w:tcMar>
                </w:tcPr>
                <w:p w14:paraId="0C7B1A0A" w14:textId="77777777" w:rsidR="00AF0E3A" w:rsidRPr="001E2783" w:rsidRDefault="00AF0E3A" w:rsidP="00297FDA">
                  <w:pPr>
                    <w:pStyle w:val="TableTextLeft"/>
                    <w:jc w:val="right"/>
                    <w:rPr>
                      <w:rFonts w:cs="Arial"/>
                      <w:sz w:val="20"/>
                    </w:rPr>
                  </w:pPr>
                  <w:r w:rsidRPr="001E2783">
                    <w:rPr>
                      <w:rFonts w:cs="Arial"/>
                      <w:sz w:val="20"/>
                    </w:rPr>
                    <w:t>3854:45 to 3873:45</w:t>
                  </w:r>
                </w:p>
              </w:tc>
            </w:tr>
          </w:tbl>
          <w:p w14:paraId="21769FE5" w14:textId="77777777" w:rsidR="00AF0E3A" w:rsidRPr="001E2783" w:rsidRDefault="00AF0E3A" w:rsidP="00AF0E3A">
            <w:pPr>
              <w:rPr>
                <w:rFonts w:cs="Arial"/>
              </w:rPr>
            </w:pPr>
          </w:p>
        </w:tc>
      </w:tr>
      <w:tr w:rsidR="00AF0E3A" w:rsidRPr="001E2783" w14:paraId="51D3A855" w14:textId="77777777" w:rsidTr="00AF0E3A">
        <w:trPr>
          <w:trHeight w:val="291"/>
        </w:trPr>
        <w:tc>
          <w:tcPr>
            <w:tcW w:w="9645" w:type="dxa"/>
            <w:tcBorders>
              <w:bottom w:val="single" w:sz="2" w:space="0" w:color="505050"/>
            </w:tcBorders>
            <w:shd w:val="clear" w:color="auto" w:fill="auto"/>
          </w:tcPr>
          <w:p w14:paraId="73B715FE" w14:textId="77777777" w:rsidR="00AF0E3A" w:rsidRPr="001E2783" w:rsidRDefault="00AF0E3A" w:rsidP="00AF0E3A">
            <w:pPr>
              <w:rPr>
                <w:rFonts w:cs="Arial"/>
              </w:rPr>
            </w:pPr>
          </w:p>
        </w:tc>
      </w:tr>
    </w:tbl>
    <w:p w14:paraId="3FEDB6D8" w14:textId="77777777" w:rsidR="00AF0E3A" w:rsidRPr="001E2783" w:rsidRDefault="00AF0E3A" w:rsidP="00AF0E3A">
      <w:pPr>
        <w:rPr>
          <w:rFonts w:cs="Arial"/>
        </w:rPr>
      </w:pPr>
    </w:p>
    <w:p w14:paraId="1D8C60E0" w14:textId="77777777" w:rsidR="00AF0E3A" w:rsidRPr="001E2783" w:rsidRDefault="00AF0E3A" w:rsidP="00AF0E3A">
      <w:pPr>
        <w:pStyle w:val="Heading3"/>
      </w:pPr>
      <w:bookmarkStart w:id="225" w:name="_Toc400018584"/>
      <w:bookmarkStart w:id="226" w:name="_Toc274124100"/>
      <w:r w:rsidRPr="001E2783">
        <w:t>Subscription television drama expenditure</w:t>
      </w:r>
      <w:bookmarkEnd w:id="225"/>
    </w:p>
    <w:p w14:paraId="2D6D3423" w14:textId="77777777" w:rsidR="00AF0E3A" w:rsidRPr="001E2783" w:rsidRDefault="00AF0E3A" w:rsidP="00AF0E3A">
      <w:pPr>
        <w:rPr>
          <w:rFonts w:cs="Arial"/>
        </w:rPr>
      </w:pPr>
      <w:r w:rsidRPr="001E2783">
        <w:rPr>
          <w:rFonts w:cs="Arial"/>
        </w:rPr>
        <w:t xml:space="preserve">The new eligible drama </w:t>
      </w:r>
      <w:r w:rsidR="00E16E99" w:rsidRPr="001E2783">
        <w:rPr>
          <w:rFonts w:cs="Arial"/>
        </w:rPr>
        <w:t xml:space="preserve">(NED) </w:t>
      </w:r>
      <w:r w:rsidRPr="001E2783">
        <w:rPr>
          <w:rFonts w:cs="Arial"/>
        </w:rPr>
        <w:t xml:space="preserve">expenditure scheme requires licensees and channel providers that provide subscription television drama services to spend at least 10 per cent of their annual total program expenditure on eligible drama programs during a financial year. </w:t>
      </w:r>
    </w:p>
    <w:p w14:paraId="5175F67C" w14:textId="77777777" w:rsidR="00AF0E3A" w:rsidRPr="001E2783" w:rsidRDefault="00AF0E3A" w:rsidP="00AF0E3A">
      <w:pPr>
        <w:rPr>
          <w:rFonts w:cs="Arial"/>
        </w:rPr>
      </w:pPr>
    </w:p>
    <w:p w14:paraId="357DCFBC" w14:textId="7F2D8A33" w:rsidR="00AF0E3A" w:rsidRPr="001E2783" w:rsidRDefault="00AF0E3A" w:rsidP="00AF0E3A">
      <w:pPr>
        <w:rPr>
          <w:rFonts w:cs="Arial"/>
        </w:rPr>
      </w:pPr>
      <w:r w:rsidRPr="001E2783">
        <w:rPr>
          <w:rFonts w:cs="Arial"/>
        </w:rPr>
        <w:t xml:space="preserve">Each year, scheme participants are required to provide annual returns by 29 August. As a result, only 2012–13 information is available for this annual report. For the </w:t>
      </w:r>
      <w:r w:rsidR="00A62137" w:rsidRPr="001E2783">
        <w:rPr>
          <w:rFonts w:cs="Arial"/>
        </w:rPr>
        <w:br/>
      </w:r>
      <w:r w:rsidRPr="001E2783">
        <w:rPr>
          <w:rFonts w:cs="Arial"/>
        </w:rPr>
        <w:t>2012–13 compliance period, five licensees and eigh</w:t>
      </w:r>
      <w:r w:rsidR="00307D09" w:rsidRPr="001E2783">
        <w:rPr>
          <w:rFonts w:cs="Arial"/>
        </w:rPr>
        <w:t xml:space="preserve">t channel providers supplied 33 </w:t>
      </w:r>
      <w:r w:rsidRPr="001E2783">
        <w:rPr>
          <w:rFonts w:cs="Arial"/>
        </w:rPr>
        <w:t>eligible drama channels. All participants met their expenditure obligations for this period, reporting an expenditure on new elig</w:t>
      </w:r>
      <w:r w:rsidR="00307D09" w:rsidRPr="001E2783">
        <w:rPr>
          <w:rFonts w:cs="Arial"/>
        </w:rPr>
        <w:t>ible Australian drama of $13.70 </w:t>
      </w:r>
      <w:r w:rsidRPr="001E2783">
        <w:rPr>
          <w:rFonts w:cs="Arial"/>
        </w:rPr>
        <w:t>million (aggregat</w:t>
      </w:r>
      <w:r w:rsidR="00307D09" w:rsidRPr="001E2783">
        <w:rPr>
          <w:rFonts w:cs="Arial"/>
        </w:rPr>
        <w:t>ed). Of that expenditure, $6.41 </w:t>
      </w:r>
      <w:r w:rsidRPr="001E2783">
        <w:rPr>
          <w:rFonts w:cs="Arial"/>
        </w:rPr>
        <w:t>million was nominated to acquit the expenditure shortfall for 2011–12. Similarly, for 2013–14, licensees and channel providers</w:t>
      </w:r>
      <w:r w:rsidR="00307D09" w:rsidRPr="001E2783">
        <w:rPr>
          <w:rFonts w:cs="Arial"/>
        </w:rPr>
        <w:t xml:space="preserve"> must spend a minimum of $25.76 </w:t>
      </w:r>
      <w:r w:rsidRPr="001E2783">
        <w:rPr>
          <w:rFonts w:cs="Arial"/>
        </w:rPr>
        <w:t>million on new eligible programs to acquit the remaining 2012–13 obligation.</w:t>
      </w:r>
    </w:p>
    <w:p w14:paraId="36972D39" w14:textId="77777777" w:rsidR="00AF0E3A" w:rsidRPr="001E2783" w:rsidRDefault="00AF0E3A" w:rsidP="00AF0E3A">
      <w:pPr>
        <w:rPr>
          <w:rFonts w:cs="Arial"/>
        </w:rPr>
      </w:pPr>
    </w:p>
    <w:p w14:paraId="60AEB9F3" w14:textId="77777777" w:rsidR="000D258E" w:rsidRPr="001E2783" w:rsidRDefault="00297FDA" w:rsidP="00AF0E3A">
      <w:pPr>
        <w:rPr>
          <w:rFonts w:cs="Arial"/>
        </w:rPr>
      </w:pPr>
      <w:r w:rsidRPr="001E2783">
        <w:rPr>
          <w:rFonts w:cs="Arial"/>
        </w:rPr>
        <w:t>During the 2012–13 period, the ACMA also re</w:t>
      </w:r>
      <w:r w:rsidR="00AF0E3A" w:rsidRPr="001E2783">
        <w:rPr>
          <w:rFonts w:cs="Arial"/>
        </w:rPr>
        <w:t xml:space="preserve">issued compliance certificates relevant to one channel provider for compliance periods from 2007 to 2011, following concerns raised by the channel provider of reporting practice discrepancies. Following an exhaustive review of administrative procedures by the </w:t>
      </w:r>
      <w:r w:rsidRPr="001E2783">
        <w:rPr>
          <w:rFonts w:cs="Arial"/>
        </w:rPr>
        <w:t xml:space="preserve">ACMA and </w:t>
      </w:r>
      <w:r w:rsidR="00AF0E3A" w:rsidRPr="001E2783">
        <w:rPr>
          <w:rFonts w:cs="Arial"/>
        </w:rPr>
        <w:t>channel provider</w:t>
      </w:r>
      <w:r w:rsidRPr="001E2783">
        <w:rPr>
          <w:rFonts w:cs="Arial"/>
        </w:rPr>
        <w:t>,</w:t>
      </w:r>
      <w:r w:rsidR="00AF0E3A" w:rsidRPr="001E2783">
        <w:rPr>
          <w:rFonts w:cs="Arial"/>
        </w:rPr>
        <w:t xml:space="preserve"> </w:t>
      </w:r>
      <w:r w:rsidRPr="001E2783">
        <w:rPr>
          <w:rFonts w:cs="Arial"/>
        </w:rPr>
        <w:t xml:space="preserve">the ACMA </w:t>
      </w:r>
      <w:r w:rsidR="00AF0E3A" w:rsidRPr="001E2783">
        <w:rPr>
          <w:rFonts w:cs="Arial"/>
        </w:rPr>
        <w:t>found the channel had maintained the minimum spend required to acquit its expenditure obligation in each of the compliance periods. Subsequently, the ACMA published updated industry compliance results for the relevant periods</w:t>
      </w:r>
      <w:r w:rsidRPr="001E2783">
        <w:rPr>
          <w:rFonts w:cs="Arial"/>
        </w:rPr>
        <w:t>,</w:t>
      </w:r>
      <w:r w:rsidR="00307D09" w:rsidRPr="001E2783">
        <w:rPr>
          <w:rFonts w:cs="Arial"/>
        </w:rPr>
        <w:t xml:space="preserve"> as shown in Table </w:t>
      </w:r>
      <w:r w:rsidR="00856140" w:rsidRPr="001E2783">
        <w:rPr>
          <w:rFonts w:cs="Arial"/>
        </w:rPr>
        <w:t>33</w:t>
      </w:r>
      <w:r w:rsidR="00AF0E3A" w:rsidRPr="001E2783">
        <w:rPr>
          <w:rFonts w:cs="Arial"/>
        </w:rPr>
        <w:t>.</w:t>
      </w:r>
    </w:p>
    <w:p w14:paraId="2A207BBE" w14:textId="77777777" w:rsidR="000D258E" w:rsidRPr="001E2783" w:rsidRDefault="000D258E" w:rsidP="000D258E">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69C14599" w14:textId="77777777" w:rsidTr="000D258E">
        <w:trPr>
          <w:trHeight w:val="570"/>
        </w:trPr>
        <w:tc>
          <w:tcPr>
            <w:tcW w:w="9645" w:type="dxa"/>
            <w:tcBorders>
              <w:top w:val="single" w:sz="2" w:space="0" w:color="505050"/>
            </w:tcBorders>
            <w:shd w:val="clear" w:color="auto" w:fill="auto"/>
            <w:vAlign w:val="center"/>
          </w:tcPr>
          <w:p w14:paraId="3B37E10B" w14:textId="77777777" w:rsidR="000D258E" w:rsidRPr="001E2783" w:rsidRDefault="000D258E" w:rsidP="006630DD">
            <w:pPr>
              <w:pStyle w:val="Caption"/>
              <w:keepNext/>
              <w:keepLines/>
              <w:rPr>
                <w:rFonts w:ascii="Arial" w:hAnsi="Arial" w:cs="Arial"/>
                <w:color w:val="auto"/>
              </w:rPr>
            </w:pPr>
            <w:r w:rsidRPr="00D3485F">
              <w:rPr>
                <w:rFonts w:ascii="Arial" w:hAnsi="Arial" w:cs="Arial"/>
              </w:rPr>
              <w:t xml:space="preserve">Table </w:t>
            </w:r>
            <w:r w:rsidR="00856140" w:rsidRPr="00D3485F">
              <w:rPr>
                <w:rFonts w:ascii="Arial" w:hAnsi="Arial" w:cs="Arial"/>
              </w:rPr>
              <w:t>33:</w:t>
            </w:r>
            <w:r w:rsidRPr="00D3485F">
              <w:rPr>
                <w:rFonts w:ascii="Arial" w:hAnsi="Arial" w:cs="Arial"/>
              </w:rPr>
              <w:t xml:space="preserve"> Revised NED expenditure compliance</w:t>
            </w:r>
            <w:r w:rsidR="00E16E99" w:rsidRPr="00D3485F">
              <w:rPr>
                <w:rFonts w:ascii="Arial" w:hAnsi="Arial" w:cs="Arial"/>
              </w:rPr>
              <w:t>,</w:t>
            </w:r>
            <w:r w:rsidRPr="00D3485F">
              <w:rPr>
                <w:rFonts w:ascii="Arial" w:hAnsi="Arial" w:cs="Arial"/>
              </w:rPr>
              <w:t xml:space="preserve"> 2007</w:t>
            </w:r>
            <w:r w:rsidR="00E16E99" w:rsidRPr="00D3485F">
              <w:rPr>
                <w:rFonts w:ascii="Arial" w:hAnsi="Arial" w:cs="Arial"/>
              </w:rPr>
              <w:t>–</w:t>
            </w:r>
            <w:r w:rsidRPr="00D3485F">
              <w:rPr>
                <w:rFonts w:ascii="Arial" w:hAnsi="Arial" w:cs="Arial"/>
              </w:rPr>
              <w:t>08 to 2012</w:t>
            </w:r>
            <w:r w:rsidR="00E16E99" w:rsidRPr="00D3485F">
              <w:rPr>
                <w:rFonts w:ascii="Arial" w:hAnsi="Arial" w:cs="Arial"/>
              </w:rPr>
              <w:t>–</w:t>
            </w:r>
            <w:r w:rsidRPr="00D3485F">
              <w:rPr>
                <w:rFonts w:ascii="Arial" w:hAnsi="Arial" w:cs="Arial"/>
              </w:rPr>
              <w:t>13</w:t>
            </w:r>
          </w:p>
        </w:tc>
      </w:tr>
      <w:tr w:rsidR="001E2783" w:rsidRPr="001E2783" w14:paraId="258858B7" w14:textId="77777777" w:rsidTr="000D258E">
        <w:trPr>
          <w:trHeight w:val="3086"/>
        </w:trPr>
        <w:tc>
          <w:tcPr>
            <w:tcW w:w="9645" w:type="dxa"/>
            <w:shd w:val="clear" w:color="auto" w:fill="auto"/>
            <w:tcMar>
              <w:left w:w="28" w:type="dxa"/>
            </w:tcMar>
          </w:tcPr>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1E0" w:firstRow="1" w:lastRow="1" w:firstColumn="1" w:lastColumn="1" w:noHBand="0" w:noVBand="0"/>
            </w:tblPr>
            <w:tblGrid>
              <w:gridCol w:w="4078"/>
              <w:gridCol w:w="921"/>
              <w:gridCol w:w="921"/>
              <w:gridCol w:w="922"/>
              <w:gridCol w:w="921"/>
              <w:gridCol w:w="921"/>
              <w:gridCol w:w="922"/>
            </w:tblGrid>
            <w:tr w:rsidR="001E2783" w:rsidRPr="001E2783" w14:paraId="2E3F924C" w14:textId="77777777" w:rsidTr="00F72AFD">
              <w:tc>
                <w:tcPr>
                  <w:tcW w:w="4078" w:type="dxa"/>
                  <w:vMerge w:val="restart"/>
                  <w:shd w:val="clear" w:color="auto" w:fill="404040" w:themeFill="text1" w:themeFillTint="BF"/>
                </w:tcPr>
                <w:p w14:paraId="36980049" w14:textId="77777777" w:rsidR="006630DD" w:rsidRPr="000544EA" w:rsidRDefault="006630DD" w:rsidP="00297FDA">
                  <w:pPr>
                    <w:pStyle w:val="TableHeading"/>
                    <w:jc w:val="center"/>
                    <w:rPr>
                      <w:rFonts w:ascii="Arial" w:hAnsi="Arial" w:cs="Arial"/>
                      <w:color w:val="FFFFFF" w:themeColor="background1"/>
                    </w:rPr>
                  </w:pPr>
                </w:p>
              </w:tc>
              <w:tc>
                <w:tcPr>
                  <w:tcW w:w="921" w:type="dxa"/>
                  <w:shd w:val="clear" w:color="auto" w:fill="404040" w:themeFill="text1" w:themeFillTint="BF"/>
                </w:tcPr>
                <w:p w14:paraId="004FB41C" w14:textId="77777777" w:rsidR="006630DD" w:rsidRPr="000544EA" w:rsidRDefault="006630DD" w:rsidP="00A62137">
                  <w:pPr>
                    <w:pStyle w:val="TableHeading"/>
                    <w:jc w:val="right"/>
                    <w:rPr>
                      <w:rFonts w:ascii="Arial" w:hAnsi="Arial" w:cs="Arial"/>
                      <w:color w:val="FFFFFF" w:themeColor="background1"/>
                    </w:rPr>
                  </w:pPr>
                  <w:r w:rsidRPr="000544EA">
                    <w:rPr>
                      <w:rFonts w:ascii="Arial" w:hAnsi="Arial" w:cs="Arial"/>
                      <w:color w:val="FFFFFF" w:themeColor="background1"/>
                    </w:rPr>
                    <w:t>2007–08</w:t>
                  </w:r>
                </w:p>
              </w:tc>
              <w:tc>
                <w:tcPr>
                  <w:tcW w:w="921" w:type="dxa"/>
                  <w:shd w:val="clear" w:color="auto" w:fill="404040" w:themeFill="text1" w:themeFillTint="BF"/>
                </w:tcPr>
                <w:p w14:paraId="0CBD4382" w14:textId="77777777" w:rsidR="006630DD" w:rsidRPr="000544EA" w:rsidRDefault="006630DD" w:rsidP="00A62137">
                  <w:pPr>
                    <w:pStyle w:val="TableHeading"/>
                    <w:jc w:val="right"/>
                    <w:rPr>
                      <w:rFonts w:ascii="Arial" w:hAnsi="Arial" w:cs="Arial"/>
                      <w:color w:val="FFFFFF" w:themeColor="background1"/>
                    </w:rPr>
                  </w:pPr>
                  <w:r w:rsidRPr="000544EA">
                    <w:rPr>
                      <w:rFonts w:ascii="Arial" w:hAnsi="Arial" w:cs="Arial"/>
                      <w:color w:val="FFFFFF" w:themeColor="background1"/>
                    </w:rPr>
                    <w:t>2008–09</w:t>
                  </w:r>
                </w:p>
              </w:tc>
              <w:tc>
                <w:tcPr>
                  <w:tcW w:w="922" w:type="dxa"/>
                  <w:shd w:val="clear" w:color="auto" w:fill="404040" w:themeFill="text1" w:themeFillTint="BF"/>
                </w:tcPr>
                <w:p w14:paraId="53D38195" w14:textId="77777777" w:rsidR="006630DD" w:rsidRPr="000544EA" w:rsidRDefault="006630DD" w:rsidP="00A62137">
                  <w:pPr>
                    <w:pStyle w:val="TableHeading"/>
                    <w:jc w:val="right"/>
                    <w:rPr>
                      <w:rFonts w:ascii="Arial" w:hAnsi="Arial" w:cs="Arial"/>
                      <w:color w:val="FFFFFF" w:themeColor="background1"/>
                    </w:rPr>
                  </w:pPr>
                  <w:r w:rsidRPr="000544EA">
                    <w:rPr>
                      <w:rFonts w:ascii="Arial" w:hAnsi="Arial" w:cs="Arial"/>
                      <w:color w:val="FFFFFF" w:themeColor="background1"/>
                    </w:rPr>
                    <w:t>2009–10</w:t>
                  </w:r>
                </w:p>
              </w:tc>
              <w:tc>
                <w:tcPr>
                  <w:tcW w:w="921" w:type="dxa"/>
                  <w:shd w:val="clear" w:color="auto" w:fill="404040" w:themeFill="text1" w:themeFillTint="BF"/>
                </w:tcPr>
                <w:p w14:paraId="741F118D" w14:textId="77777777" w:rsidR="006630DD" w:rsidRPr="000544EA" w:rsidRDefault="006630DD" w:rsidP="00A62137">
                  <w:pPr>
                    <w:pStyle w:val="TableHeading"/>
                    <w:jc w:val="right"/>
                    <w:rPr>
                      <w:rFonts w:ascii="Arial" w:hAnsi="Arial" w:cs="Arial"/>
                      <w:color w:val="FFFFFF" w:themeColor="background1"/>
                    </w:rPr>
                  </w:pPr>
                  <w:r w:rsidRPr="000544EA">
                    <w:rPr>
                      <w:rFonts w:ascii="Arial" w:hAnsi="Arial" w:cs="Arial"/>
                      <w:color w:val="FFFFFF" w:themeColor="background1"/>
                    </w:rPr>
                    <w:t>2010–11</w:t>
                  </w:r>
                </w:p>
              </w:tc>
              <w:tc>
                <w:tcPr>
                  <w:tcW w:w="921" w:type="dxa"/>
                  <w:shd w:val="clear" w:color="auto" w:fill="404040" w:themeFill="text1" w:themeFillTint="BF"/>
                </w:tcPr>
                <w:p w14:paraId="66F1365F" w14:textId="77777777" w:rsidR="006630DD" w:rsidRPr="000544EA" w:rsidRDefault="006630DD" w:rsidP="00A62137">
                  <w:pPr>
                    <w:pStyle w:val="TableHeading"/>
                    <w:jc w:val="right"/>
                    <w:rPr>
                      <w:rFonts w:ascii="Arial" w:hAnsi="Arial" w:cs="Arial"/>
                      <w:color w:val="FFFFFF" w:themeColor="background1"/>
                    </w:rPr>
                  </w:pPr>
                  <w:r w:rsidRPr="000544EA">
                    <w:rPr>
                      <w:rFonts w:ascii="Arial" w:hAnsi="Arial" w:cs="Arial"/>
                      <w:color w:val="FFFFFF" w:themeColor="background1"/>
                    </w:rPr>
                    <w:t>2011–12</w:t>
                  </w:r>
                </w:p>
              </w:tc>
              <w:tc>
                <w:tcPr>
                  <w:tcW w:w="922" w:type="dxa"/>
                  <w:shd w:val="clear" w:color="auto" w:fill="404040" w:themeFill="text1" w:themeFillTint="BF"/>
                </w:tcPr>
                <w:p w14:paraId="4EBFC6EF" w14:textId="77777777" w:rsidR="006630DD" w:rsidRPr="000544EA" w:rsidRDefault="006630DD" w:rsidP="00A62137">
                  <w:pPr>
                    <w:pStyle w:val="TableHeading"/>
                    <w:jc w:val="right"/>
                    <w:rPr>
                      <w:rFonts w:ascii="Arial" w:hAnsi="Arial" w:cs="Arial"/>
                      <w:color w:val="FFFFFF" w:themeColor="background1"/>
                    </w:rPr>
                  </w:pPr>
                  <w:r w:rsidRPr="000544EA">
                    <w:rPr>
                      <w:rFonts w:ascii="Arial" w:hAnsi="Arial" w:cs="Arial"/>
                      <w:color w:val="FFFFFF" w:themeColor="background1"/>
                    </w:rPr>
                    <w:t>2012–13</w:t>
                  </w:r>
                </w:p>
              </w:tc>
            </w:tr>
            <w:tr w:rsidR="001E2783" w:rsidRPr="001E2783" w14:paraId="207765B0" w14:textId="77777777" w:rsidTr="006630DD">
              <w:tc>
                <w:tcPr>
                  <w:tcW w:w="4078" w:type="dxa"/>
                  <w:vMerge/>
                  <w:shd w:val="clear" w:color="auto" w:fill="404040" w:themeFill="text1" w:themeFillTint="BF"/>
                </w:tcPr>
                <w:p w14:paraId="57DC2E6C" w14:textId="77777777" w:rsidR="006630DD" w:rsidRPr="000544EA" w:rsidRDefault="006630DD" w:rsidP="00297FDA">
                  <w:pPr>
                    <w:pStyle w:val="TableHeading"/>
                    <w:jc w:val="center"/>
                    <w:rPr>
                      <w:rFonts w:ascii="Arial" w:hAnsi="Arial" w:cs="Arial"/>
                      <w:color w:val="FFFFFF" w:themeColor="background1"/>
                    </w:rPr>
                  </w:pPr>
                </w:p>
              </w:tc>
              <w:tc>
                <w:tcPr>
                  <w:tcW w:w="5528" w:type="dxa"/>
                  <w:gridSpan w:val="6"/>
                  <w:shd w:val="clear" w:color="auto" w:fill="404040" w:themeFill="text1" w:themeFillTint="BF"/>
                </w:tcPr>
                <w:p w14:paraId="34EDC3A5" w14:textId="77777777" w:rsidR="006630DD" w:rsidRPr="000544EA" w:rsidRDefault="006630DD" w:rsidP="00A62137">
                  <w:pPr>
                    <w:pStyle w:val="TableHeading"/>
                    <w:jc w:val="center"/>
                    <w:rPr>
                      <w:rFonts w:ascii="Arial" w:hAnsi="Arial" w:cs="Arial"/>
                      <w:color w:val="FFFFFF" w:themeColor="background1"/>
                    </w:rPr>
                  </w:pPr>
                  <w:r w:rsidRPr="000544EA">
                    <w:rPr>
                      <w:rFonts w:ascii="Arial" w:hAnsi="Arial" w:cs="Arial"/>
                      <w:color w:val="FFFFFF" w:themeColor="background1"/>
                    </w:rPr>
                    <w:t>$million</w:t>
                  </w:r>
                </w:p>
              </w:tc>
            </w:tr>
            <w:tr w:rsidR="001E2783" w:rsidRPr="001E2783" w14:paraId="7A18A1F3" w14:textId="77777777" w:rsidTr="00F72AFD">
              <w:tc>
                <w:tcPr>
                  <w:tcW w:w="4078" w:type="dxa"/>
                  <w:vAlign w:val="center"/>
                </w:tcPr>
                <w:p w14:paraId="1F84D520" w14:textId="77777777" w:rsidR="00F72AFD" w:rsidRPr="001E2783" w:rsidRDefault="00F72AFD" w:rsidP="00F72AFD">
                  <w:pPr>
                    <w:pStyle w:val="TableTextLeft"/>
                    <w:rPr>
                      <w:rFonts w:cs="Arial"/>
                      <w:sz w:val="20"/>
                    </w:rPr>
                  </w:pPr>
                  <w:r w:rsidRPr="001E2783">
                    <w:rPr>
                      <w:rFonts w:cs="Arial"/>
                      <w:sz w:val="20"/>
                    </w:rPr>
                    <w:t>NED expenditure requirement</w:t>
                  </w:r>
                </w:p>
              </w:tc>
              <w:tc>
                <w:tcPr>
                  <w:tcW w:w="921" w:type="dxa"/>
                  <w:vAlign w:val="center"/>
                </w:tcPr>
                <w:p w14:paraId="45F0EB57" w14:textId="77777777" w:rsidR="00F72AFD" w:rsidRPr="001E2783" w:rsidRDefault="00F72AFD" w:rsidP="00A62137">
                  <w:pPr>
                    <w:pStyle w:val="TableTextCentred"/>
                    <w:jc w:val="right"/>
                    <w:rPr>
                      <w:rFonts w:cs="Arial"/>
                      <w:sz w:val="20"/>
                    </w:rPr>
                  </w:pPr>
                  <w:r w:rsidRPr="001E2783">
                    <w:rPr>
                      <w:rFonts w:cs="Arial"/>
                      <w:sz w:val="20"/>
                    </w:rPr>
                    <w:t>23.08</w:t>
                  </w:r>
                </w:p>
              </w:tc>
              <w:tc>
                <w:tcPr>
                  <w:tcW w:w="921" w:type="dxa"/>
                  <w:vAlign w:val="center"/>
                </w:tcPr>
                <w:p w14:paraId="468143B8" w14:textId="77777777" w:rsidR="00F72AFD" w:rsidRPr="001E2783" w:rsidRDefault="00F72AFD" w:rsidP="00A62137">
                  <w:pPr>
                    <w:pStyle w:val="TableTextCentred"/>
                    <w:jc w:val="right"/>
                    <w:rPr>
                      <w:rFonts w:cs="Arial"/>
                      <w:sz w:val="20"/>
                    </w:rPr>
                  </w:pPr>
                  <w:r w:rsidRPr="001E2783">
                    <w:rPr>
                      <w:rFonts w:cs="Arial"/>
                      <w:sz w:val="20"/>
                    </w:rPr>
                    <w:t>26.11</w:t>
                  </w:r>
                </w:p>
              </w:tc>
              <w:tc>
                <w:tcPr>
                  <w:tcW w:w="922" w:type="dxa"/>
                  <w:vAlign w:val="center"/>
                </w:tcPr>
                <w:p w14:paraId="680FBEE3" w14:textId="77777777" w:rsidR="00F72AFD" w:rsidRPr="001E2783" w:rsidRDefault="00F72AFD" w:rsidP="00A62137">
                  <w:pPr>
                    <w:pStyle w:val="TableTextCentred"/>
                    <w:jc w:val="right"/>
                    <w:rPr>
                      <w:rFonts w:cs="Arial"/>
                      <w:sz w:val="20"/>
                    </w:rPr>
                  </w:pPr>
                  <w:r w:rsidRPr="001E2783">
                    <w:rPr>
                      <w:rFonts w:cs="Arial"/>
                      <w:sz w:val="20"/>
                    </w:rPr>
                    <w:t>27.74</w:t>
                  </w:r>
                </w:p>
              </w:tc>
              <w:tc>
                <w:tcPr>
                  <w:tcW w:w="921" w:type="dxa"/>
                  <w:vAlign w:val="center"/>
                </w:tcPr>
                <w:p w14:paraId="3F1AEA86" w14:textId="77777777" w:rsidR="00F72AFD" w:rsidRPr="001E2783" w:rsidRDefault="00F72AFD" w:rsidP="00A62137">
                  <w:pPr>
                    <w:pStyle w:val="TableTextCentred"/>
                    <w:jc w:val="right"/>
                    <w:rPr>
                      <w:rFonts w:cs="Arial"/>
                      <w:sz w:val="20"/>
                      <w:lang w:bidi="he-IL"/>
                    </w:rPr>
                  </w:pPr>
                  <w:r w:rsidRPr="001E2783">
                    <w:rPr>
                      <w:rFonts w:cs="Arial"/>
                      <w:sz w:val="20"/>
                    </w:rPr>
                    <w:t>30.87</w:t>
                  </w:r>
                </w:p>
              </w:tc>
              <w:tc>
                <w:tcPr>
                  <w:tcW w:w="921" w:type="dxa"/>
                  <w:vAlign w:val="center"/>
                </w:tcPr>
                <w:p w14:paraId="06A3EB47" w14:textId="77777777" w:rsidR="00F72AFD" w:rsidRPr="001E2783" w:rsidRDefault="00F72AFD" w:rsidP="00A62137">
                  <w:pPr>
                    <w:pStyle w:val="TableTextCentred"/>
                    <w:jc w:val="right"/>
                    <w:rPr>
                      <w:rFonts w:cs="Arial"/>
                      <w:sz w:val="20"/>
                    </w:rPr>
                  </w:pPr>
                  <w:r w:rsidRPr="001E2783">
                    <w:rPr>
                      <w:rFonts w:cs="Arial"/>
                      <w:sz w:val="20"/>
                    </w:rPr>
                    <w:t>28.82</w:t>
                  </w:r>
                </w:p>
              </w:tc>
              <w:tc>
                <w:tcPr>
                  <w:tcW w:w="922" w:type="dxa"/>
                  <w:vAlign w:val="center"/>
                </w:tcPr>
                <w:p w14:paraId="5985B90A" w14:textId="77777777" w:rsidR="00F72AFD" w:rsidRPr="001E2783" w:rsidRDefault="00F72AFD" w:rsidP="00A62137">
                  <w:pPr>
                    <w:pStyle w:val="TableTextCentred"/>
                    <w:jc w:val="right"/>
                    <w:rPr>
                      <w:rFonts w:cs="Arial"/>
                      <w:sz w:val="20"/>
                    </w:rPr>
                  </w:pPr>
                  <w:r w:rsidRPr="001E2783">
                    <w:rPr>
                      <w:rFonts w:cs="Arial"/>
                      <w:sz w:val="20"/>
                    </w:rPr>
                    <w:t>33.41</w:t>
                  </w:r>
                </w:p>
              </w:tc>
            </w:tr>
            <w:tr w:rsidR="001E2783" w:rsidRPr="001E2783" w14:paraId="60880901" w14:textId="77777777" w:rsidTr="00F72AFD">
              <w:tc>
                <w:tcPr>
                  <w:tcW w:w="4078" w:type="dxa"/>
                </w:tcPr>
                <w:p w14:paraId="1E09E802" w14:textId="77777777" w:rsidR="00F72AFD" w:rsidRPr="001E2783" w:rsidRDefault="00F72AFD" w:rsidP="00F72AFD">
                  <w:pPr>
                    <w:pStyle w:val="TableTextLeft"/>
                    <w:rPr>
                      <w:rFonts w:cs="Arial"/>
                      <w:sz w:val="20"/>
                    </w:rPr>
                  </w:pPr>
                  <w:r w:rsidRPr="001E2783">
                    <w:rPr>
                      <w:rFonts w:cs="Arial"/>
                      <w:sz w:val="20"/>
                    </w:rPr>
                    <w:t>Expe</w:t>
                  </w:r>
                  <w:r w:rsidR="00E16E99" w:rsidRPr="001E2783">
                    <w:rPr>
                      <w:rFonts w:cs="Arial"/>
                      <w:sz w:val="20"/>
                    </w:rPr>
                    <w:t>nditure on NED</w:t>
                  </w:r>
                </w:p>
              </w:tc>
              <w:tc>
                <w:tcPr>
                  <w:tcW w:w="921" w:type="dxa"/>
                  <w:vAlign w:val="center"/>
                </w:tcPr>
                <w:p w14:paraId="7D164A99" w14:textId="77777777" w:rsidR="00F72AFD" w:rsidRPr="001E2783" w:rsidRDefault="00F72AFD" w:rsidP="00A62137">
                  <w:pPr>
                    <w:pStyle w:val="TableTextCentred"/>
                    <w:jc w:val="right"/>
                    <w:rPr>
                      <w:rFonts w:cs="Arial"/>
                      <w:sz w:val="20"/>
                    </w:rPr>
                  </w:pPr>
                  <w:r w:rsidRPr="001E2783">
                    <w:rPr>
                      <w:rFonts w:cs="Arial"/>
                      <w:sz w:val="20"/>
                    </w:rPr>
                    <w:t>20.07</w:t>
                  </w:r>
                </w:p>
              </w:tc>
              <w:tc>
                <w:tcPr>
                  <w:tcW w:w="921" w:type="dxa"/>
                  <w:vAlign w:val="center"/>
                </w:tcPr>
                <w:p w14:paraId="5B38C06C" w14:textId="77777777" w:rsidR="00F72AFD" w:rsidRPr="001E2783" w:rsidRDefault="00F72AFD" w:rsidP="00A62137">
                  <w:pPr>
                    <w:pStyle w:val="TableTextCentred"/>
                    <w:jc w:val="right"/>
                    <w:rPr>
                      <w:rFonts w:cs="Arial"/>
                      <w:sz w:val="20"/>
                    </w:rPr>
                  </w:pPr>
                  <w:r w:rsidRPr="001E2783">
                    <w:rPr>
                      <w:rFonts w:cs="Arial"/>
                      <w:sz w:val="20"/>
                    </w:rPr>
                    <w:t>28.56</w:t>
                  </w:r>
                </w:p>
              </w:tc>
              <w:tc>
                <w:tcPr>
                  <w:tcW w:w="922" w:type="dxa"/>
                  <w:vAlign w:val="center"/>
                </w:tcPr>
                <w:p w14:paraId="2B3ADE5B" w14:textId="77777777" w:rsidR="00F72AFD" w:rsidRPr="001E2783" w:rsidRDefault="00F72AFD" w:rsidP="00A62137">
                  <w:pPr>
                    <w:pStyle w:val="TableTextCentred"/>
                    <w:jc w:val="right"/>
                    <w:rPr>
                      <w:rFonts w:cs="Arial"/>
                      <w:sz w:val="20"/>
                    </w:rPr>
                  </w:pPr>
                  <w:r w:rsidRPr="001E2783">
                    <w:rPr>
                      <w:rFonts w:cs="Arial"/>
                      <w:sz w:val="20"/>
                    </w:rPr>
                    <w:t>36.15</w:t>
                  </w:r>
                </w:p>
              </w:tc>
              <w:tc>
                <w:tcPr>
                  <w:tcW w:w="921" w:type="dxa"/>
                  <w:vAlign w:val="center"/>
                </w:tcPr>
                <w:p w14:paraId="0C710AD9" w14:textId="77777777" w:rsidR="00F72AFD" w:rsidRPr="001E2783" w:rsidRDefault="00F72AFD" w:rsidP="00A62137">
                  <w:pPr>
                    <w:pStyle w:val="TableTextCentred"/>
                    <w:jc w:val="right"/>
                    <w:rPr>
                      <w:rFonts w:cs="Arial"/>
                      <w:sz w:val="20"/>
                      <w:lang w:bidi="he-IL"/>
                    </w:rPr>
                  </w:pPr>
                  <w:r w:rsidRPr="001E2783">
                    <w:rPr>
                      <w:rFonts w:cs="Arial"/>
                      <w:sz w:val="20"/>
                    </w:rPr>
                    <w:t>34.63</w:t>
                  </w:r>
                </w:p>
              </w:tc>
              <w:tc>
                <w:tcPr>
                  <w:tcW w:w="921" w:type="dxa"/>
                  <w:vAlign w:val="center"/>
                </w:tcPr>
                <w:p w14:paraId="67B9ECBD" w14:textId="77777777" w:rsidR="00F72AFD" w:rsidRPr="001E2783" w:rsidRDefault="00F72AFD" w:rsidP="00A62137">
                  <w:pPr>
                    <w:pStyle w:val="TableTextCentred"/>
                    <w:jc w:val="right"/>
                    <w:rPr>
                      <w:rFonts w:cs="Arial"/>
                      <w:sz w:val="20"/>
                    </w:rPr>
                  </w:pPr>
                  <w:r w:rsidRPr="001E2783">
                    <w:rPr>
                      <w:rFonts w:cs="Arial"/>
                      <w:sz w:val="20"/>
                    </w:rPr>
                    <w:t>24.38</w:t>
                  </w:r>
                </w:p>
              </w:tc>
              <w:tc>
                <w:tcPr>
                  <w:tcW w:w="922" w:type="dxa"/>
                  <w:vAlign w:val="center"/>
                </w:tcPr>
                <w:p w14:paraId="62BBFA8E" w14:textId="77777777" w:rsidR="00F72AFD" w:rsidRPr="001E2783" w:rsidRDefault="00F72AFD" w:rsidP="00A62137">
                  <w:pPr>
                    <w:pStyle w:val="TableTextCentred"/>
                    <w:jc w:val="right"/>
                    <w:rPr>
                      <w:rFonts w:cs="Arial"/>
                      <w:sz w:val="20"/>
                    </w:rPr>
                  </w:pPr>
                  <w:r w:rsidRPr="001E2783">
                    <w:rPr>
                      <w:rFonts w:cs="Arial"/>
                      <w:sz w:val="20"/>
                    </w:rPr>
                    <w:t>13.70</w:t>
                  </w:r>
                </w:p>
              </w:tc>
            </w:tr>
            <w:tr w:rsidR="001E2783" w:rsidRPr="001E2783" w14:paraId="71E32D87" w14:textId="77777777" w:rsidTr="00F72AFD">
              <w:tc>
                <w:tcPr>
                  <w:tcW w:w="4078" w:type="dxa"/>
                  <w:vAlign w:val="center"/>
                </w:tcPr>
                <w:p w14:paraId="5DCE4906" w14:textId="77777777" w:rsidR="00F72AFD" w:rsidRPr="001E2783" w:rsidRDefault="00E16E99" w:rsidP="00F72AFD">
                  <w:pPr>
                    <w:pStyle w:val="TableTextLeft"/>
                    <w:rPr>
                      <w:rFonts w:cs="Arial"/>
                      <w:sz w:val="20"/>
                    </w:rPr>
                  </w:pPr>
                  <w:r w:rsidRPr="001E2783">
                    <w:rPr>
                      <w:rFonts w:cs="Arial"/>
                      <w:sz w:val="20"/>
                    </w:rPr>
                    <w:t>Expenditure nominated to make up previous year’</w:t>
                  </w:r>
                  <w:r w:rsidR="00F72AFD" w:rsidRPr="001E2783">
                    <w:rPr>
                      <w:rFonts w:cs="Arial"/>
                      <w:sz w:val="20"/>
                    </w:rPr>
                    <w:t>s shortfall</w:t>
                  </w:r>
                </w:p>
              </w:tc>
              <w:tc>
                <w:tcPr>
                  <w:tcW w:w="921" w:type="dxa"/>
                  <w:vAlign w:val="center"/>
                </w:tcPr>
                <w:p w14:paraId="4DD446F7" w14:textId="77777777" w:rsidR="00F72AFD" w:rsidRPr="001E2783" w:rsidRDefault="00F72AFD" w:rsidP="00A62137">
                  <w:pPr>
                    <w:pStyle w:val="TableTextCentred"/>
                    <w:jc w:val="right"/>
                    <w:rPr>
                      <w:rFonts w:cs="Arial"/>
                      <w:sz w:val="20"/>
                    </w:rPr>
                  </w:pPr>
                  <w:r w:rsidRPr="001E2783">
                    <w:rPr>
                      <w:rFonts w:cs="Arial"/>
                      <w:sz w:val="20"/>
                    </w:rPr>
                    <w:t>10.48</w:t>
                  </w:r>
                </w:p>
              </w:tc>
              <w:tc>
                <w:tcPr>
                  <w:tcW w:w="921" w:type="dxa"/>
                  <w:vAlign w:val="center"/>
                </w:tcPr>
                <w:p w14:paraId="63B35F20" w14:textId="77777777" w:rsidR="00F72AFD" w:rsidRPr="001E2783" w:rsidRDefault="00F72AFD" w:rsidP="00A62137">
                  <w:pPr>
                    <w:pStyle w:val="TableTextCentred"/>
                    <w:jc w:val="right"/>
                    <w:rPr>
                      <w:rFonts w:cs="Arial"/>
                      <w:sz w:val="20"/>
                    </w:rPr>
                  </w:pPr>
                  <w:r w:rsidRPr="001E2783">
                    <w:rPr>
                      <w:rFonts w:cs="Arial"/>
                      <w:sz w:val="20"/>
                    </w:rPr>
                    <w:t>13.88</w:t>
                  </w:r>
                </w:p>
              </w:tc>
              <w:tc>
                <w:tcPr>
                  <w:tcW w:w="922" w:type="dxa"/>
                  <w:vAlign w:val="center"/>
                </w:tcPr>
                <w:p w14:paraId="73552FF4" w14:textId="77777777" w:rsidR="00F72AFD" w:rsidRPr="001E2783" w:rsidRDefault="00F72AFD" w:rsidP="00A62137">
                  <w:pPr>
                    <w:pStyle w:val="TableTextCentred"/>
                    <w:jc w:val="right"/>
                    <w:rPr>
                      <w:rFonts w:cs="Arial"/>
                      <w:sz w:val="20"/>
                    </w:rPr>
                  </w:pPr>
                  <w:r w:rsidRPr="001E2783">
                    <w:rPr>
                      <w:rFonts w:cs="Arial"/>
                      <w:sz w:val="20"/>
                    </w:rPr>
                    <w:t>11.32</w:t>
                  </w:r>
                </w:p>
              </w:tc>
              <w:tc>
                <w:tcPr>
                  <w:tcW w:w="921" w:type="dxa"/>
                  <w:vAlign w:val="center"/>
                </w:tcPr>
                <w:p w14:paraId="261DA1F9" w14:textId="77777777" w:rsidR="00F72AFD" w:rsidRPr="001E2783" w:rsidRDefault="00F72AFD" w:rsidP="00A62137">
                  <w:pPr>
                    <w:pStyle w:val="TableTextCentred"/>
                    <w:jc w:val="right"/>
                    <w:rPr>
                      <w:rFonts w:cs="Arial"/>
                      <w:sz w:val="20"/>
                      <w:lang w:bidi="he-IL"/>
                    </w:rPr>
                  </w:pPr>
                  <w:r w:rsidRPr="001E2783">
                    <w:rPr>
                      <w:rFonts w:cs="Arial"/>
                      <w:sz w:val="20"/>
                    </w:rPr>
                    <w:t>12.11</w:t>
                  </w:r>
                </w:p>
              </w:tc>
              <w:tc>
                <w:tcPr>
                  <w:tcW w:w="921" w:type="dxa"/>
                  <w:vAlign w:val="center"/>
                </w:tcPr>
                <w:p w14:paraId="59DB8A86" w14:textId="77777777" w:rsidR="00F72AFD" w:rsidRPr="001E2783" w:rsidRDefault="00F72AFD" w:rsidP="00A62137">
                  <w:pPr>
                    <w:pStyle w:val="TableTextCentred"/>
                    <w:jc w:val="right"/>
                    <w:rPr>
                      <w:rFonts w:cs="Arial"/>
                      <w:sz w:val="20"/>
                    </w:rPr>
                  </w:pPr>
                  <w:r w:rsidRPr="001E2783">
                    <w:rPr>
                      <w:rFonts w:cs="Arial"/>
                      <w:sz w:val="20"/>
                    </w:rPr>
                    <w:t>6.81</w:t>
                  </w:r>
                </w:p>
              </w:tc>
              <w:tc>
                <w:tcPr>
                  <w:tcW w:w="922" w:type="dxa"/>
                  <w:vAlign w:val="center"/>
                </w:tcPr>
                <w:p w14:paraId="565E11F1" w14:textId="77777777" w:rsidR="00F72AFD" w:rsidRPr="001E2783" w:rsidRDefault="00F72AFD" w:rsidP="00A62137">
                  <w:pPr>
                    <w:pStyle w:val="TableTextCentred"/>
                    <w:jc w:val="right"/>
                    <w:rPr>
                      <w:rFonts w:cs="Arial"/>
                      <w:sz w:val="20"/>
                    </w:rPr>
                  </w:pPr>
                  <w:r w:rsidRPr="001E2783">
                    <w:rPr>
                      <w:rFonts w:cs="Arial"/>
                      <w:sz w:val="20"/>
                    </w:rPr>
                    <w:t>6.41</w:t>
                  </w:r>
                </w:p>
              </w:tc>
            </w:tr>
            <w:tr w:rsidR="001E2783" w:rsidRPr="001E2783" w14:paraId="13A28AA7" w14:textId="77777777" w:rsidTr="00F72AFD">
              <w:tc>
                <w:tcPr>
                  <w:tcW w:w="4078" w:type="dxa"/>
                  <w:vAlign w:val="center"/>
                </w:tcPr>
                <w:p w14:paraId="33569239" w14:textId="77777777" w:rsidR="00F72AFD" w:rsidRPr="001E2783" w:rsidRDefault="00F72AFD" w:rsidP="00F72AFD">
                  <w:pPr>
                    <w:pStyle w:val="TableTextLeft"/>
                    <w:rPr>
                      <w:rFonts w:cs="Arial"/>
                      <w:sz w:val="20"/>
                    </w:rPr>
                  </w:pPr>
                  <w:r w:rsidRPr="001E2783">
                    <w:rPr>
                      <w:rFonts w:cs="Arial"/>
                      <w:sz w:val="20"/>
                    </w:rPr>
                    <w:t xml:space="preserve">Expenditure nominated towards current year's NED requirement </w:t>
                  </w:r>
                </w:p>
              </w:tc>
              <w:tc>
                <w:tcPr>
                  <w:tcW w:w="921" w:type="dxa"/>
                  <w:vAlign w:val="center"/>
                </w:tcPr>
                <w:p w14:paraId="1B346A0E" w14:textId="77777777" w:rsidR="00F72AFD" w:rsidRPr="001E2783" w:rsidRDefault="00F72AFD" w:rsidP="00A62137">
                  <w:pPr>
                    <w:pStyle w:val="TableTextCentred"/>
                    <w:jc w:val="right"/>
                    <w:rPr>
                      <w:rFonts w:cs="Arial"/>
                      <w:sz w:val="20"/>
                    </w:rPr>
                  </w:pPr>
                  <w:r w:rsidRPr="001E2783">
                    <w:rPr>
                      <w:rFonts w:cs="Arial"/>
                      <w:sz w:val="20"/>
                    </w:rPr>
                    <w:t>9.16</w:t>
                  </w:r>
                </w:p>
              </w:tc>
              <w:tc>
                <w:tcPr>
                  <w:tcW w:w="921" w:type="dxa"/>
                  <w:vAlign w:val="center"/>
                </w:tcPr>
                <w:p w14:paraId="44D54A4A" w14:textId="77777777" w:rsidR="00F72AFD" w:rsidRPr="001E2783" w:rsidRDefault="00F72AFD" w:rsidP="00A62137">
                  <w:pPr>
                    <w:pStyle w:val="TableTextCentred"/>
                    <w:jc w:val="right"/>
                    <w:rPr>
                      <w:rFonts w:cs="Arial"/>
                      <w:sz w:val="20"/>
                    </w:rPr>
                  </w:pPr>
                  <w:r w:rsidRPr="001E2783">
                    <w:rPr>
                      <w:rFonts w:cs="Arial"/>
                      <w:sz w:val="20"/>
                    </w:rPr>
                    <w:t>14.79</w:t>
                  </w:r>
                </w:p>
              </w:tc>
              <w:tc>
                <w:tcPr>
                  <w:tcW w:w="922" w:type="dxa"/>
                  <w:vAlign w:val="center"/>
                </w:tcPr>
                <w:p w14:paraId="458FE35B" w14:textId="77777777" w:rsidR="00F72AFD" w:rsidRPr="001E2783" w:rsidRDefault="00F72AFD" w:rsidP="00A62137">
                  <w:pPr>
                    <w:pStyle w:val="TableTextCentred"/>
                    <w:jc w:val="right"/>
                    <w:rPr>
                      <w:rFonts w:cs="Arial"/>
                      <w:sz w:val="20"/>
                    </w:rPr>
                  </w:pPr>
                  <w:r w:rsidRPr="001E2783">
                    <w:rPr>
                      <w:rFonts w:cs="Arial"/>
                      <w:sz w:val="20"/>
                    </w:rPr>
                    <w:t>15.59</w:t>
                  </w:r>
                </w:p>
              </w:tc>
              <w:tc>
                <w:tcPr>
                  <w:tcW w:w="921" w:type="dxa"/>
                  <w:vAlign w:val="center"/>
                </w:tcPr>
                <w:p w14:paraId="3C11F82B" w14:textId="77777777" w:rsidR="00F72AFD" w:rsidRPr="001E2783" w:rsidRDefault="00F72AFD" w:rsidP="00A62137">
                  <w:pPr>
                    <w:pStyle w:val="TableTextCentred"/>
                    <w:jc w:val="right"/>
                    <w:rPr>
                      <w:rFonts w:cs="Arial"/>
                      <w:sz w:val="20"/>
                      <w:lang w:bidi="he-IL"/>
                    </w:rPr>
                  </w:pPr>
                  <w:r w:rsidRPr="001E2783">
                    <w:rPr>
                      <w:rFonts w:cs="Arial"/>
                      <w:sz w:val="20"/>
                    </w:rPr>
                    <w:t>24.05</w:t>
                  </w:r>
                </w:p>
              </w:tc>
              <w:tc>
                <w:tcPr>
                  <w:tcW w:w="921" w:type="dxa"/>
                  <w:vAlign w:val="center"/>
                </w:tcPr>
                <w:p w14:paraId="186A68DC" w14:textId="77777777" w:rsidR="00F72AFD" w:rsidRPr="001E2783" w:rsidRDefault="00F72AFD" w:rsidP="00A62137">
                  <w:pPr>
                    <w:pStyle w:val="TableTextCentred"/>
                    <w:jc w:val="right"/>
                    <w:rPr>
                      <w:rFonts w:cs="Arial"/>
                      <w:sz w:val="20"/>
                    </w:rPr>
                  </w:pPr>
                  <w:r w:rsidRPr="001E2783">
                    <w:rPr>
                      <w:rFonts w:cs="Arial"/>
                      <w:sz w:val="20"/>
                    </w:rPr>
                    <w:t>22.53</w:t>
                  </w:r>
                </w:p>
              </w:tc>
              <w:tc>
                <w:tcPr>
                  <w:tcW w:w="922" w:type="dxa"/>
                  <w:vAlign w:val="center"/>
                </w:tcPr>
                <w:p w14:paraId="45456E3A" w14:textId="77777777" w:rsidR="00F72AFD" w:rsidRPr="001E2783" w:rsidRDefault="00F72AFD" w:rsidP="00A62137">
                  <w:pPr>
                    <w:pStyle w:val="TableTextCentred"/>
                    <w:jc w:val="right"/>
                    <w:rPr>
                      <w:rFonts w:cs="Arial"/>
                      <w:sz w:val="20"/>
                    </w:rPr>
                  </w:pPr>
                  <w:r w:rsidRPr="001E2783">
                    <w:rPr>
                      <w:rFonts w:cs="Arial"/>
                      <w:sz w:val="20"/>
                    </w:rPr>
                    <w:t>6.42</w:t>
                  </w:r>
                </w:p>
              </w:tc>
            </w:tr>
            <w:tr w:rsidR="001E2783" w:rsidRPr="001E2783" w14:paraId="5874AF49" w14:textId="77777777" w:rsidTr="00F72AFD">
              <w:tc>
                <w:tcPr>
                  <w:tcW w:w="4078" w:type="dxa"/>
                  <w:vAlign w:val="center"/>
                </w:tcPr>
                <w:p w14:paraId="5DADEB81" w14:textId="77777777" w:rsidR="00F72AFD" w:rsidRPr="001E2783" w:rsidRDefault="00F72AFD" w:rsidP="00F72AFD">
                  <w:pPr>
                    <w:pStyle w:val="TableTextLeft"/>
                    <w:rPr>
                      <w:rFonts w:cs="Arial"/>
                      <w:sz w:val="20"/>
                    </w:rPr>
                  </w:pPr>
                  <w:r w:rsidRPr="001E2783">
                    <w:rPr>
                      <w:rFonts w:cs="Arial"/>
                      <w:sz w:val="20"/>
                    </w:rPr>
                    <w:t>Remaining obligation to be acquitted next financial year </w:t>
                  </w:r>
                </w:p>
              </w:tc>
              <w:tc>
                <w:tcPr>
                  <w:tcW w:w="921" w:type="dxa"/>
                  <w:vAlign w:val="center"/>
                </w:tcPr>
                <w:p w14:paraId="74308E99" w14:textId="77777777" w:rsidR="00F72AFD" w:rsidRPr="001E2783" w:rsidRDefault="00F72AFD" w:rsidP="00A62137">
                  <w:pPr>
                    <w:pStyle w:val="TableTextCentred"/>
                    <w:jc w:val="right"/>
                    <w:rPr>
                      <w:rFonts w:cs="Arial"/>
                      <w:sz w:val="20"/>
                    </w:rPr>
                  </w:pPr>
                  <w:r w:rsidRPr="001E2783">
                    <w:rPr>
                      <w:rFonts w:cs="Arial"/>
                      <w:sz w:val="20"/>
                    </w:rPr>
                    <w:t>13.92</w:t>
                  </w:r>
                </w:p>
              </w:tc>
              <w:tc>
                <w:tcPr>
                  <w:tcW w:w="921" w:type="dxa"/>
                  <w:vAlign w:val="center"/>
                </w:tcPr>
                <w:p w14:paraId="05DB8284" w14:textId="77777777" w:rsidR="00F72AFD" w:rsidRPr="001E2783" w:rsidRDefault="00F72AFD" w:rsidP="00A62137">
                  <w:pPr>
                    <w:pStyle w:val="TableTextCentred"/>
                    <w:jc w:val="right"/>
                    <w:rPr>
                      <w:rFonts w:cs="Arial"/>
                      <w:sz w:val="20"/>
                    </w:rPr>
                  </w:pPr>
                  <w:r w:rsidRPr="001E2783">
                    <w:rPr>
                      <w:rFonts w:cs="Arial"/>
                      <w:sz w:val="20"/>
                    </w:rPr>
                    <w:t>11.32</w:t>
                  </w:r>
                </w:p>
              </w:tc>
              <w:tc>
                <w:tcPr>
                  <w:tcW w:w="922" w:type="dxa"/>
                  <w:vAlign w:val="center"/>
                </w:tcPr>
                <w:p w14:paraId="512AAA0A" w14:textId="77777777" w:rsidR="00F72AFD" w:rsidRPr="001E2783" w:rsidRDefault="00F72AFD" w:rsidP="00A62137">
                  <w:pPr>
                    <w:pStyle w:val="TableTextCentred"/>
                    <w:jc w:val="right"/>
                    <w:rPr>
                      <w:rFonts w:cs="Arial"/>
                      <w:sz w:val="20"/>
                      <w:lang w:bidi="he-IL"/>
                    </w:rPr>
                  </w:pPr>
                  <w:r w:rsidRPr="001E2783">
                    <w:rPr>
                      <w:rFonts w:cs="Arial"/>
                      <w:sz w:val="20"/>
                    </w:rPr>
                    <w:t>12.15</w:t>
                  </w:r>
                </w:p>
              </w:tc>
              <w:tc>
                <w:tcPr>
                  <w:tcW w:w="921" w:type="dxa"/>
                  <w:vAlign w:val="center"/>
                </w:tcPr>
                <w:p w14:paraId="6CCA224A" w14:textId="77777777" w:rsidR="00F72AFD" w:rsidRPr="001E2783" w:rsidRDefault="00F72AFD" w:rsidP="00A62137">
                  <w:pPr>
                    <w:pStyle w:val="TableTextCentred"/>
                    <w:jc w:val="right"/>
                    <w:rPr>
                      <w:rFonts w:cs="Arial"/>
                      <w:sz w:val="20"/>
                      <w:lang w:bidi="he-IL"/>
                    </w:rPr>
                  </w:pPr>
                  <w:r w:rsidRPr="001E2783">
                    <w:rPr>
                      <w:rFonts w:cs="Arial"/>
                      <w:sz w:val="20"/>
                    </w:rPr>
                    <w:t>6.81</w:t>
                  </w:r>
                </w:p>
              </w:tc>
              <w:tc>
                <w:tcPr>
                  <w:tcW w:w="921" w:type="dxa"/>
                  <w:vAlign w:val="center"/>
                </w:tcPr>
                <w:p w14:paraId="219256DD" w14:textId="77777777" w:rsidR="00F72AFD" w:rsidRPr="001E2783" w:rsidRDefault="00F72AFD" w:rsidP="00A62137">
                  <w:pPr>
                    <w:pStyle w:val="TableTextCentred"/>
                    <w:jc w:val="right"/>
                    <w:rPr>
                      <w:rFonts w:cs="Arial"/>
                      <w:sz w:val="20"/>
                    </w:rPr>
                  </w:pPr>
                  <w:r w:rsidRPr="001E2783">
                    <w:rPr>
                      <w:rFonts w:cs="Arial"/>
                      <w:sz w:val="20"/>
                    </w:rPr>
                    <w:t>6.41</w:t>
                  </w:r>
                </w:p>
              </w:tc>
              <w:tc>
                <w:tcPr>
                  <w:tcW w:w="922" w:type="dxa"/>
                  <w:vAlign w:val="center"/>
                </w:tcPr>
                <w:p w14:paraId="061B1802" w14:textId="77777777" w:rsidR="00F72AFD" w:rsidRPr="001E2783" w:rsidRDefault="00F72AFD" w:rsidP="00A62137">
                  <w:pPr>
                    <w:pStyle w:val="TableTextCentred"/>
                    <w:jc w:val="right"/>
                    <w:rPr>
                      <w:rFonts w:cs="Arial"/>
                      <w:sz w:val="20"/>
                    </w:rPr>
                  </w:pPr>
                  <w:r w:rsidRPr="001E2783">
                    <w:rPr>
                      <w:rFonts w:cs="Arial"/>
                      <w:sz w:val="20"/>
                    </w:rPr>
                    <w:t>25.76</w:t>
                  </w:r>
                </w:p>
              </w:tc>
            </w:tr>
          </w:tbl>
          <w:p w14:paraId="0F7563F5" w14:textId="77777777" w:rsidR="000D258E" w:rsidRPr="001E2783" w:rsidRDefault="000D258E" w:rsidP="000D258E">
            <w:pPr>
              <w:rPr>
                <w:rFonts w:cs="Arial"/>
              </w:rPr>
            </w:pPr>
          </w:p>
        </w:tc>
      </w:tr>
      <w:tr w:rsidR="000D258E" w:rsidRPr="001E2783" w14:paraId="3977803E" w14:textId="77777777" w:rsidTr="000D258E">
        <w:trPr>
          <w:trHeight w:val="291"/>
        </w:trPr>
        <w:tc>
          <w:tcPr>
            <w:tcW w:w="9645" w:type="dxa"/>
            <w:tcBorders>
              <w:bottom w:val="single" w:sz="2" w:space="0" w:color="505050"/>
            </w:tcBorders>
            <w:shd w:val="clear" w:color="auto" w:fill="auto"/>
          </w:tcPr>
          <w:p w14:paraId="7AC02C7C" w14:textId="77777777" w:rsidR="00E16E99" w:rsidRPr="001E2783" w:rsidRDefault="00E16E99" w:rsidP="005259A1">
            <w:pPr>
              <w:rPr>
                <w:rFonts w:cs="Arial"/>
                <w:i/>
                <w:sz w:val="16"/>
                <w:szCs w:val="16"/>
              </w:rPr>
            </w:pPr>
          </w:p>
        </w:tc>
      </w:tr>
    </w:tbl>
    <w:p w14:paraId="387F9348" w14:textId="77777777" w:rsidR="000D258E" w:rsidRPr="001E2783" w:rsidRDefault="000D258E" w:rsidP="000D258E">
      <w:pPr>
        <w:rPr>
          <w:rFonts w:cs="Arial"/>
        </w:rPr>
      </w:pPr>
    </w:p>
    <w:p w14:paraId="1141F2F2" w14:textId="77777777" w:rsidR="00AF0E3A" w:rsidRPr="001E2783" w:rsidRDefault="00AF0E3A" w:rsidP="00AF0E3A">
      <w:pPr>
        <w:pStyle w:val="Heading3"/>
      </w:pPr>
      <w:bookmarkStart w:id="227" w:name="_Toc400018585"/>
      <w:bookmarkEnd w:id="226"/>
      <w:r w:rsidRPr="001E2783">
        <w:t>Captioning</w:t>
      </w:r>
      <w:bookmarkEnd w:id="227"/>
    </w:p>
    <w:p w14:paraId="2A11F3D3" w14:textId="77777777" w:rsidR="00AF0E3A" w:rsidRPr="001E2783" w:rsidRDefault="00AF0E3A" w:rsidP="00AF0E3A">
      <w:pPr>
        <w:rPr>
          <w:rFonts w:cs="Arial"/>
        </w:rPr>
      </w:pPr>
      <w:r w:rsidRPr="001E2783">
        <w:rPr>
          <w:rFonts w:cs="Arial"/>
        </w:rPr>
        <w:t xml:space="preserve">In September 2013, the ACMA received annual compliance reports on captioning obligations for national television broadcasters (the ABC and SBS), commercial television licensees and subscription television licensees. </w:t>
      </w:r>
    </w:p>
    <w:p w14:paraId="0DC3AB30" w14:textId="77777777" w:rsidR="00AF0E3A" w:rsidRPr="001E2783" w:rsidRDefault="00AF0E3A" w:rsidP="00AF0E3A">
      <w:pPr>
        <w:rPr>
          <w:rFonts w:cs="Arial"/>
        </w:rPr>
      </w:pPr>
    </w:p>
    <w:p w14:paraId="268B197F" w14:textId="77777777" w:rsidR="00AF0E3A" w:rsidRPr="001E2783" w:rsidRDefault="00AF0E3A" w:rsidP="000D258E">
      <w:pPr>
        <w:spacing w:after="80"/>
        <w:rPr>
          <w:rFonts w:cs="Arial"/>
        </w:rPr>
      </w:pPr>
      <w:r w:rsidRPr="001E2783">
        <w:rPr>
          <w:rFonts w:cs="Arial"/>
        </w:rPr>
        <w:t xml:space="preserve">The annual compliance reports indicated a high level of compliance with annual captioning </w:t>
      </w:r>
      <w:r w:rsidR="00E76C38" w:rsidRPr="001E2783">
        <w:rPr>
          <w:rFonts w:cs="Arial"/>
        </w:rPr>
        <w:t>target requirements during 2012–</w:t>
      </w:r>
      <w:r w:rsidRPr="001E2783">
        <w:rPr>
          <w:rFonts w:cs="Arial"/>
        </w:rPr>
        <w:t xml:space="preserve">13, the first year </w:t>
      </w:r>
      <w:r w:rsidR="00E76C38" w:rsidRPr="001E2783">
        <w:rPr>
          <w:rFonts w:cs="Arial"/>
        </w:rPr>
        <w:t>for</w:t>
      </w:r>
      <w:r w:rsidRPr="001E2783">
        <w:rPr>
          <w:rFonts w:cs="Arial"/>
        </w:rPr>
        <w:t xml:space="preserve"> new television captioning obligations: </w:t>
      </w:r>
    </w:p>
    <w:p w14:paraId="415DD46F" w14:textId="77777777" w:rsidR="0008102C" w:rsidRPr="001E2783" w:rsidRDefault="0008102C" w:rsidP="0008102C">
      <w:pPr>
        <w:pStyle w:val="ListBullet"/>
        <w:spacing w:after="60"/>
        <w:rPr>
          <w:rFonts w:cs="Arial"/>
        </w:rPr>
      </w:pPr>
      <w:r w:rsidRPr="001E2783">
        <w:rPr>
          <w:rFonts w:cs="Arial"/>
        </w:rPr>
        <w:t>All 50 commercial television broadcasting licensees (involving 72 services) and both national broadcasters (the ABC and SBS services in 20 coverage areas) met their annual captioning target requirements. In total, the 92 free-to-air (commercial and national) televi</w:t>
      </w:r>
      <w:r w:rsidR="00307D09" w:rsidRPr="001E2783">
        <w:rPr>
          <w:rFonts w:cs="Arial"/>
        </w:rPr>
        <w:t>sion services broadcast 528,401 </w:t>
      </w:r>
      <w:r w:rsidRPr="001E2783">
        <w:rPr>
          <w:rFonts w:cs="Arial"/>
        </w:rPr>
        <w:t>hours of captioned television programs in 2012–13 (6 am to midnig</w:t>
      </w:r>
      <w:r w:rsidR="00307D09" w:rsidRPr="001E2783">
        <w:rPr>
          <w:rFonts w:cs="Arial"/>
        </w:rPr>
        <w:t>ht), making up approximately 93 </w:t>
      </w:r>
      <w:r w:rsidRPr="001E2783">
        <w:rPr>
          <w:rFonts w:cs="Arial"/>
        </w:rPr>
        <w:t xml:space="preserve">per cent of the programming broadcast during this period. </w:t>
      </w:r>
    </w:p>
    <w:p w14:paraId="47AB821C" w14:textId="77777777" w:rsidR="0008102C" w:rsidRPr="001E2783" w:rsidRDefault="0008102C" w:rsidP="0008102C">
      <w:pPr>
        <w:pStyle w:val="ListBullet"/>
        <w:spacing w:after="240"/>
        <w:rPr>
          <w:rFonts w:cs="Arial"/>
        </w:rPr>
      </w:pPr>
      <w:r w:rsidRPr="001E2783">
        <w:rPr>
          <w:rFonts w:cs="Arial"/>
        </w:rPr>
        <w:t xml:space="preserve">Ninety-nine per cent of subscription television services (661 out of 667) met their annual captioning target requirements. </w:t>
      </w:r>
      <w:r w:rsidRPr="001E2783">
        <w:rPr>
          <w:rFonts w:cs="Arial"/>
          <w:szCs w:val="20"/>
        </w:rPr>
        <w:t>During the year, there were captioning services on 394 subscription television services (or 80 distinct subscription television channels—as the same channels provided by different licensees are treated as different services under the captioning legislation).</w:t>
      </w:r>
    </w:p>
    <w:p w14:paraId="19AB5992" w14:textId="77777777" w:rsidR="00AF0E3A" w:rsidRPr="001E2783" w:rsidRDefault="00AF0E3A" w:rsidP="000D258E">
      <w:pPr>
        <w:spacing w:after="80"/>
        <w:rPr>
          <w:rFonts w:cs="Arial"/>
        </w:rPr>
      </w:pPr>
      <w:r w:rsidRPr="001E2783">
        <w:rPr>
          <w:rFonts w:cs="Arial"/>
        </w:rPr>
        <w:t>However, television service providers also reported breaches of cap</w:t>
      </w:r>
      <w:r w:rsidR="00E76C38" w:rsidRPr="001E2783">
        <w:rPr>
          <w:rFonts w:cs="Arial"/>
        </w:rPr>
        <w:t>tioning obligations during 2012–</w:t>
      </w:r>
      <w:r w:rsidRPr="001E2783">
        <w:rPr>
          <w:rFonts w:cs="Arial"/>
        </w:rPr>
        <w:t xml:space="preserve">13: </w:t>
      </w:r>
    </w:p>
    <w:p w14:paraId="5D97F102" w14:textId="77777777" w:rsidR="00AF0E3A" w:rsidRPr="001E2783" w:rsidRDefault="00AF0E3A" w:rsidP="000D258E">
      <w:pPr>
        <w:pStyle w:val="ListBullet"/>
        <w:rPr>
          <w:rFonts w:cs="Arial"/>
        </w:rPr>
      </w:pPr>
      <w:r w:rsidRPr="001E2783">
        <w:rPr>
          <w:rFonts w:cs="Arial"/>
        </w:rPr>
        <w:t xml:space="preserve">Both national broadcasters and </w:t>
      </w:r>
      <w:r w:rsidR="001E3FC0" w:rsidRPr="001E2783">
        <w:rPr>
          <w:rFonts w:cs="Arial"/>
        </w:rPr>
        <w:t>41</w:t>
      </w:r>
      <w:r w:rsidRPr="001E2783">
        <w:rPr>
          <w:rFonts w:cs="Arial"/>
        </w:rPr>
        <w:t xml:space="preserve"> commercial television </w:t>
      </w:r>
      <w:r w:rsidR="001E3FC0" w:rsidRPr="001E2783">
        <w:rPr>
          <w:rFonts w:cs="Arial"/>
        </w:rPr>
        <w:t xml:space="preserve">licensees </w:t>
      </w:r>
      <w:r w:rsidRPr="001E2783">
        <w:rPr>
          <w:rFonts w:cs="Arial"/>
        </w:rPr>
        <w:t xml:space="preserve">reported instances of non-compliance with the basic captioning rule and/or captioning requirements for repeat programs on multi-channels. </w:t>
      </w:r>
    </w:p>
    <w:p w14:paraId="2905B1B2" w14:textId="77777777" w:rsidR="00AF0E3A" w:rsidRPr="001E2783" w:rsidRDefault="00AF0E3A" w:rsidP="000D258E">
      <w:pPr>
        <w:pStyle w:val="ListBullet"/>
        <w:spacing w:after="240"/>
        <w:rPr>
          <w:rFonts w:cs="Arial"/>
        </w:rPr>
      </w:pPr>
      <w:r w:rsidRPr="001E2783">
        <w:rPr>
          <w:rFonts w:cs="Arial"/>
        </w:rPr>
        <w:t xml:space="preserve">Subscription television licensees’ annual compliance reports also indicated a few early implementation problems, especially </w:t>
      </w:r>
      <w:r w:rsidR="00D21386" w:rsidRPr="001E2783">
        <w:rPr>
          <w:rFonts w:cs="Arial"/>
        </w:rPr>
        <w:t>for</w:t>
      </w:r>
      <w:r w:rsidRPr="001E2783">
        <w:rPr>
          <w:rFonts w:cs="Arial"/>
        </w:rPr>
        <w:t xml:space="preserve"> captioning requirements of repeat television programs</w:t>
      </w:r>
      <w:r w:rsidRPr="001E2783">
        <w:rPr>
          <w:rFonts w:cs="Arial"/>
          <w:szCs w:val="20"/>
        </w:rPr>
        <w:t>.</w:t>
      </w:r>
    </w:p>
    <w:p w14:paraId="5A7EB694" w14:textId="77777777" w:rsidR="00AF0E3A" w:rsidRPr="001E2783" w:rsidRDefault="00AF0E3A" w:rsidP="00AF0E3A">
      <w:pPr>
        <w:rPr>
          <w:rFonts w:cs="Arial"/>
        </w:rPr>
      </w:pPr>
      <w:r w:rsidRPr="001E2783">
        <w:rPr>
          <w:rFonts w:cs="Arial"/>
        </w:rPr>
        <w:t>The ACMA has taken an educative approach to breaches of the captioning annual compliance obligations during</w:t>
      </w:r>
      <w:r w:rsidR="00D21386" w:rsidRPr="001E2783">
        <w:rPr>
          <w:rFonts w:cs="Arial"/>
        </w:rPr>
        <w:t xml:space="preserve"> 2012–13,</w:t>
      </w:r>
      <w:r w:rsidRPr="001E2783">
        <w:rPr>
          <w:rFonts w:cs="Arial"/>
        </w:rPr>
        <w:t xml:space="preserve"> the first year of implementation. This is consistent with the approach </w:t>
      </w:r>
      <w:r w:rsidR="00D21386" w:rsidRPr="001E2783">
        <w:rPr>
          <w:rFonts w:cs="Arial"/>
        </w:rPr>
        <w:t xml:space="preserve">the ACMA has </w:t>
      </w:r>
      <w:r w:rsidR="001E3FC0" w:rsidRPr="001E2783">
        <w:rPr>
          <w:rFonts w:cs="Arial"/>
        </w:rPr>
        <w:t xml:space="preserve">previously </w:t>
      </w:r>
      <w:r w:rsidRPr="001E2783">
        <w:rPr>
          <w:rFonts w:cs="Arial"/>
        </w:rPr>
        <w:t xml:space="preserve">adopted </w:t>
      </w:r>
      <w:r w:rsidR="00D21386" w:rsidRPr="001E2783">
        <w:rPr>
          <w:rFonts w:cs="Arial"/>
        </w:rPr>
        <w:t>i</w:t>
      </w:r>
      <w:r w:rsidRPr="001E2783">
        <w:rPr>
          <w:rFonts w:cs="Arial"/>
        </w:rPr>
        <w:t xml:space="preserve">n the first year following the introduction of other new broadcasting regulations. </w:t>
      </w:r>
    </w:p>
    <w:p w14:paraId="4A2F3F74" w14:textId="77777777" w:rsidR="00AF0E3A" w:rsidRPr="001E2783" w:rsidRDefault="00AF0E3A" w:rsidP="00AF0E3A">
      <w:pPr>
        <w:rPr>
          <w:rFonts w:cs="Arial"/>
        </w:rPr>
      </w:pPr>
    </w:p>
    <w:p w14:paraId="11A2305E" w14:textId="77777777" w:rsidR="001E3FC0" w:rsidRPr="001E2783" w:rsidRDefault="00307D09" w:rsidP="001E3FC0">
      <w:pPr>
        <w:rPr>
          <w:rFonts w:cs="Arial"/>
        </w:rPr>
      </w:pPr>
      <w:r w:rsidRPr="001E2783">
        <w:rPr>
          <w:rFonts w:cs="Arial"/>
        </w:rPr>
        <w:t>Table </w:t>
      </w:r>
      <w:r w:rsidR="00856140" w:rsidRPr="001E2783">
        <w:rPr>
          <w:rFonts w:cs="Arial"/>
        </w:rPr>
        <w:t>34</w:t>
      </w:r>
      <w:r w:rsidR="001E3FC0" w:rsidRPr="001E2783">
        <w:rPr>
          <w:rFonts w:cs="Arial"/>
        </w:rPr>
        <w:t xml:space="preserve"> summarises the captioning breaches, excluding disregarded breaches.</w:t>
      </w:r>
      <w:r w:rsidR="001E3FC0" w:rsidRPr="001E2783">
        <w:rPr>
          <w:rStyle w:val="FootnoteReference"/>
          <w:rFonts w:cs="Arial"/>
        </w:rPr>
        <w:footnoteReference w:id="9"/>
      </w:r>
      <w:r w:rsidR="001E3FC0" w:rsidRPr="001E2783">
        <w:rPr>
          <w:rFonts w:cs="Arial"/>
        </w:rPr>
        <w:t xml:space="preserve"> </w:t>
      </w:r>
    </w:p>
    <w:p w14:paraId="162636DB" w14:textId="77777777" w:rsidR="001E3FC0" w:rsidRPr="001E2783" w:rsidRDefault="001E3FC0" w:rsidP="00AF0E3A">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20959D8C" w14:textId="77777777" w:rsidTr="000D258E">
        <w:trPr>
          <w:trHeight w:val="570"/>
        </w:trPr>
        <w:tc>
          <w:tcPr>
            <w:tcW w:w="9645" w:type="dxa"/>
            <w:tcBorders>
              <w:top w:val="single" w:sz="2" w:space="0" w:color="505050"/>
            </w:tcBorders>
            <w:shd w:val="clear" w:color="auto" w:fill="auto"/>
            <w:vAlign w:val="center"/>
          </w:tcPr>
          <w:p w14:paraId="53132595" w14:textId="77777777" w:rsidR="000D258E" w:rsidRPr="001E2783" w:rsidRDefault="000D258E" w:rsidP="00F736B7">
            <w:pPr>
              <w:pStyle w:val="Caption"/>
              <w:keepNext/>
              <w:keepLines/>
              <w:rPr>
                <w:rFonts w:ascii="Arial" w:hAnsi="Arial" w:cs="Arial"/>
                <w:color w:val="auto"/>
              </w:rPr>
            </w:pPr>
            <w:r w:rsidRPr="00D3485F">
              <w:rPr>
                <w:rFonts w:ascii="Arial" w:hAnsi="Arial" w:cs="Arial"/>
              </w:rPr>
              <w:t xml:space="preserve">Table </w:t>
            </w:r>
            <w:r w:rsidR="00856140" w:rsidRPr="00D3485F">
              <w:rPr>
                <w:rFonts w:ascii="Arial" w:hAnsi="Arial" w:cs="Arial"/>
              </w:rPr>
              <w:t>34:</w:t>
            </w:r>
            <w:r w:rsidR="00BA0707" w:rsidRPr="00D3485F">
              <w:rPr>
                <w:rFonts w:ascii="Arial" w:hAnsi="Arial" w:cs="Arial"/>
              </w:rPr>
              <w:t xml:space="preserve"> </w:t>
            </w:r>
            <w:r w:rsidR="001E3FC0" w:rsidRPr="00D3485F">
              <w:rPr>
                <w:rFonts w:ascii="Arial" w:hAnsi="Arial" w:cs="Arial"/>
              </w:rPr>
              <w:t>Captioning breaches</w:t>
            </w:r>
            <w:r w:rsidR="00F736B7" w:rsidRPr="00D3485F">
              <w:rPr>
                <w:rFonts w:ascii="Arial" w:hAnsi="Arial" w:cs="Arial"/>
              </w:rPr>
              <w:t>,</w:t>
            </w:r>
            <w:r w:rsidR="001E3FC0" w:rsidRPr="00D3485F">
              <w:rPr>
                <w:rFonts w:ascii="Arial" w:hAnsi="Arial" w:cs="Arial"/>
              </w:rPr>
              <w:t xml:space="preserve"> 2012–13</w:t>
            </w:r>
          </w:p>
        </w:tc>
      </w:tr>
      <w:tr w:rsidR="001E2783" w:rsidRPr="001E2783" w14:paraId="2FB561A5" w14:textId="77777777" w:rsidTr="00A62137">
        <w:trPr>
          <w:trHeight w:val="1558"/>
        </w:trPr>
        <w:tc>
          <w:tcPr>
            <w:tcW w:w="9645" w:type="dxa"/>
            <w:shd w:val="clear" w:color="auto" w:fill="auto"/>
            <w:tcMar>
              <w:left w:w="28" w:type="dxa"/>
            </w:tcMar>
          </w:tcPr>
          <w:tbl>
            <w:tblPr>
              <w:tblStyle w:val="TableGrid"/>
              <w:tblW w:w="9493" w:type="dxa"/>
              <w:tblLayout w:type="fixed"/>
              <w:tblLook w:val="04A0" w:firstRow="1" w:lastRow="0" w:firstColumn="1" w:lastColumn="0" w:noHBand="0" w:noVBand="1"/>
            </w:tblPr>
            <w:tblGrid>
              <w:gridCol w:w="2122"/>
              <w:gridCol w:w="1984"/>
              <w:gridCol w:w="1998"/>
              <w:gridCol w:w="3389"/>
            </w:tblGrid>
            <w:tr w:rsidR="001E2783" w:rsidRPr="001E2783" w14:paraId="0D974961" w14:textId="77777777" w:rsidTr="001E3FC0">
              <w:tc>
                <w:tcPr>
                  <w:tcW w:w="2122" w:type="dxa"/>
                  <w:shd w:val="clear" w:color="auto" w:fill="404040" w:themeFill="text1" w:themeFillTint="BF"/>
                </w:tcPr>
                <w:p w14:paraId="26C9C43A" w14:textId="77777777" w:rsidR="001E3FC0" w:rsidRPr="007F3FB8" w:rsidRDefault="001E3FC0" w:rsidP="001E3FC0">
                  <w:pPr>
                    <w:pStyle w:val="TableHeading"/>
                    <w:rPr>
                      <w:rFonts w:ascii="Arial" w:hAnsi="Arial" w:cs="Arial"/>
                      <w:color w:val="FFFFFF" w:themeColor="background1"/>
                      <w:szCs w:val="20"/>
                    </w:rPr>
                  </w:pPr>
                  <w:r w:rsidRPr="007F3FB8">
                    <w:rPr>
                      <w:rFonts w:ascii="Arial" w:hAnsi="Arial" w:cs="Arial"/>
                      <w:color w:val="FFFFFF" w:themeColor="background1"/>
                      <w:szCs w:val="20"/>
                    </w:rPr>
                    <w:t>Captioning obligations</w:t>
                  </w:r>
                </w:p>
              </w:tc>
              <w:tc>
                <w:tcPr>
                  <w:tcW w:w="1984" w:type="dxa"/>
                  <w:shd w:val="clear" w:color="auto" w:fill="404040" w:themeFill="text1" w:themeFillTint="BF"/>
                </w:tcPr>
                <w:p w14:paraId="257999AC" w14:textId="77777777" w:rsidR="001E3FC0" w:rsidRPr="007F3FB8" w:rsidRDefault="001E3FC0" w:rsidP="00A62137">
                  <w:pPr>
                    <w:pStyle w:val="TableHeading"/>
                    <w:jc w:val="right"/>
                    <w:rPr>
                      <w:rFonts w:ascii="Arial" w:hAnsi="Arial" w:cs="Arial"/>
                      <w:color w:val="FFFFFF" w:themeColor="background1"/>
                      <w:szCs w:val="20"/>
                    </w:rPr>
                  </w:pPr>
                  <w:r w:rsidRPr="007F3FB8">
                    <w:rPr>
                      <w:rFonts w:ascii="Arial" w:hAnsi="Arial" w:cs="Arial"/>
                      <w:color w:val="FFFFFF" w:themeColor="background1"/>
                      <w:szCs w:val="20"/>
                    </w:rPr>
                    <w:t>Free-to-air—</w:t>
                  </w:r>
                  <w:r w:rsidRPr="007F3FB8">
                    <w:rPr>
                      <w:rFonts w:ascii="Arial" w:hAnsi="Arial" w:cs="Arial"/>
                      <w:color w:val="FFFFFF" w:themeColor="background1"/>
                      <w:szCs w:val="20"/>
                    </w:rPr>
                    <w:br/>
                    <w:t>number of services in breach</w:t>
                  </w:r>
                </w:p>
              </w:tc>
              <w:tc>
                <w:tcPr>
                  <w:tcW w:w="1998" w:type="dxa"/>
                  <w:shd w:val="clear" w:color="auto" w:fill="404040" w:themeFill="text1" w:themeFillTint="BF"/>
                </w:tcPr>
                <w:p w14:paraId="45092297" w14:textId="77777777" w:rsidR="001E3FC0" w:rsidRPr="007F3FB8" w:rsidRDefault="001E3FC0" w:rsidP="00A62137">
                  <w:pPr>
                    <w:pStyle w:val="TableHeading"/>
                    <w:jc w:val="right"/>
                    <w:rPr>
                      <w:rFonts w:ascii="Arial" w:hAnsi="Arial" w:cs="Arial"/>
                      <w:color w:val="FFFFFF" w:themeColor="background1"/>
                      <w:szCs w:val="20"/>
                    </w:rPr>
                  </w:pPr>
                  <w:r w:rsidRPr="007F3FB8">
                    <w:rPr>
                      <w:rFonts w:ascii="Arial" w:hAnsi="Arial" w:cs="Arial"/>
                      <w:color w:val="FFFFFF" w:themeColor="background1"/>
                      <w:szCs w:val="20"/>
                    </w:rPr>
                    <w:t>Subscription—number of services in breach</w:t>
                  </w:r>
                </w:p>
              </w:tc>
              <w:tc>
                <w:tcPr>
                  <w:tcW w:w="3389" w:type="dxa"/>
                  <w:shd w:val="clear" w:color="auto" w:fill="404040" w:themeFill="text1" w:themeFillTint="BF"/>
                </w:tcPr>
                <w:p w14:paraId="0A80E329" w14:textId="77777777" w:rsidR="001E3FC0" w:rsidRPr="007F3FB8" w:rsidRDefault="001E3FC0" w:rsidP="00A62137">
                  <w:pPr>
                    <w:pStyle w:val="TableHeading"/>
                    <w:jc w:val="right"/>
                    <w:rPr>
                      <w:rFonts w:ascii="Arial" w:hAnsi="Arial" w:cs="Arial"/>
                      <w:color w:val="FFFFFF" w:themeColor="background1"/>
                      <w:szCs w:val="20"/>
                    </w:rPr>
                  </w:pPr>
                  <w:r w:rsidRPr="007F3FB8">
                    <w:rPr>
                      <w:rFonts w:ascii="Arial" w:hAnsi="Arial" w:cs="Arial"/>
                      <w:color w:val="FFFFFF" w:themeColor="background1"/>
                      <w:szCs w:val="20"/>
                    </w:rPr>
                    <w:t xml:space="preserve">Description of obligations </w:t>
                  </w:r>
                  <w:r w:rsidRPr="007F3FB8">
                    <w:rPr>
                      <w:rFonts w:ascii="Arial" w:hAnsi="Arial" w:cs="Arial"/>
                      <w:color w:val="FFFFFF" w:themeColor="background1"/>
                      <w:szCs w:val="20"/>
                    </w:rPr>
                    <w:br/>
                    <w:t>in 2012–13</w:t>
                  </w:r>
                </w:p>
              </w:tc>
            </w:tr>
            <w:tr w:rsidR="001E2783" w:rsidRPr="001E2783" w14:paraId="2112CEDF" w14:textId="77777777" w:rsidTr="001E3FC0">
              <w:tc>
                <w:tcPr>
                  <w:tcW w:w="2122" w:type="dxa"/>
                </w:tcPr>
                <w:p w14:paraId="7FE6CB87" w14:textId="77777777" w:rsidR="001E3FC0" w:rsidRPr="001E2783" w:rsidRDefault="001E3FC0" w:rsidP="001E3FC0">
                  <w:pPr>
                    <w:pStyle w:val="TableTextLeft"/>
                    <w:rPr>
                      <w:rFonts w:cs="Arial"/>
                      <w:sz w:val="20"/>
                    </w:rPr>
                  </w:pPr>
                  <w:r w:rsidRPr="001E2783">
                    <w:rPr>
                      <w:rFonts w:cs="Arial"/>
                      <w:sz w:val="20"/>
                    </w:rPr>
                    <w:t xml:space="preserve">Annual captioning target </w:t>
                  </w:r>
                </w:p>
              </w:tc>
              <w:tc>
                <w:tcPr>
                  <w:tcW w:w="1984" w:type="dxa"/>
                </w:tcPr>
                <w:p w14:paraId="541AEA36" w14:textId="77777777" w:rsidR="001E3FC0" w:rsidRPr="001E2783" w:rsidRDefault="001E3FC0" w:rsidP="00A62137">
                  <w:pPr>
                    <w:pStyle w:val="TableTextLeft"/>
                    <w:jc w:val="right"/>
                    <w:rPr>
                      <w:rFonts w:cs="Arial"/>
                      <w:sz w:val="20"/>
                    </w:rPr>
                  </w:pPr>
                  <w:r w:rsidRPr="001E2783">
                    <w:rPr>
                      <w:rFonts w:cs="Arial"/>
                      <w:sz w:val="20"/>
                    </w:rPr>
                    <w:t>0</w:t>
                  </w:r>
                </w:p>
              </w:tc>
              <w:tc>
                <w:tcPr>
                  <w:tcW w:w="1998" w:type="dxa"/>
                </w:tcPr>
                <w:p w14:paraId="2797F050" w14:textId="77777777" w:rsidR="001E3FC0" w:rsidRPr="001E2783" w:rsidRDefault="0027016A" w:rsidP="00A62137">
                  <w:pPr>
                    <w:pStyle w:val="TableTextLeft"/>
                    <w:jc w:val="right"/>
                    <w:rPr>
                      <w:rFonts w:cs="Arial"/>
                      <w:sz w:val="20"/>
                    </w:rPr>
                  </w:pPr>
                  <w:r w:rsidRPr="001E2783">
                    <w:rPr>
                      <w:rFonts w:cs="Arial"/>
                      <w:sz w:val="20"/>
                    </w:rPr>
                    <w:t>Six</w:t>
                  </w:r>
                  <w:r w:rsidR="001E3FC0" w:rsidRPr="001E2783">
                    <w:rPr>
                      <w:rFonts w:cs="Arial"/>
                      <w:sz w:val="20"/>
                    </w:rPr>
                    <w:t xml:space="preserve"> services</w:t>
                  </w:r>
                </w:p>
              </w:tc>
              <w:tc>
                <w:tcPr>
                  <w:tcW w:w="3389" w:type="dxa"/>
                </w:tcPr>
                <w:p w14:paraId="0AEAE69C" w14:textId="77777777" w:rsidR="001E3FC0" w:rsidRPr="001E2783" w:rsidRDefault="0027016A" w:rsidP="00A62137">
                  <w:pPr>
                    <w:pStyle w:val="TableTextLeft"/>
                    <w:jc w:val="right"/>
                    <w:rPr>
                      <w:rFonts w:cs="Arial"/>
                      <w:sz w:val="20"/>
                    </w:rPr>
                  </w:pPr>
                  <w:r w:rsidRPr="001E2783">
                    <w:rPr>
                      <w:rFonts w:cs="Arial"/>
                      <w:sz w:val="20"/>
                    </w:rPr>
                    <w:t xml:space="preserve">Free-to-air: </w:t>
                  </w:r>
                  <w:r w:rsidR="001E3FC0" w:rsidRPr="001E2783">
                    <w:rPr>
                      <w:rFonts w:cs="Arial"/>
                      <w:sz w:val="20"/>
                    </w:rPr>
                    <w:t>90</w:t>
                  </w:r>
                  <w:r w:rsidR="00307D09" w:rsidRPr="001E2783">
                    <w:rPr>
                      <w:rFonts w:cs="Arial"/>
                      <w:sz w:val="20"/>
                    </w:rPr>
                    <w:t> </w:t>
                  </w:r>
                  <w:r w:rsidRPr="001E2783">
                    <w:rPr>
                      <w:rFonts w:cs="Arial"/>
                      <w:sz w:val="20"/>
                    </w:rPr>
                    <w:t>per cent</w:t>
                  </w:r>
                  <w:r w:rsidR="001E3FC0" w:rsidRPr="001E2783">
                    <w:rPr>
                      <w:rFonts w:cs="Arial"/>
                      <w:sz w:val="20"/>
                    </w:rPr>
                    <w:t xml:space="preserve"> captioning 6 am to midnight across the year on core/primary services, with exceptions.</w:t>
                  </w:r>
                </w:p>
                <w:p w14:paraId="709DB554" w14:textId="77777777" w:rsidR="001E3FC0" w:rsidRPr="001E2783" w:rsidRDefault="0027016A" w:rsidP="00A62137">
                  <w:pPr>
                    <w:pStyle w:val="TableTextLeft"/>
                    <w:jc w:val="right"/>
                    <w:rPr>
                      <w:rFonts w:cs="Arial"/>
                      <w:sz w:val="20"/>
                    </w:rPr>
                  </w:pPr>
                  <w:r w:rsidRPr="001E2783">
                    <w:rPr>
                      <w:rFonts w:cs="Arial"/>
                      <w:sz w:val="20"/>
                    </w:rPr>
                    <w:t xml:space="preserve">Subscription: </w:t>
                  </w:r>
                  <w:r w:rsidR="001E3FC0" w:rsidRPr="001E2783">
                    <w:rPr>
                      <w:rFonts w:cs="Arial"/>
                      <w:sz w:val="20"/>
                    </w:rPr>
                    <w:t>5–60</w:t>
                  </w:r>
                  <w:r w:rsidR="00307D09" w:rsidRPr="001E2783">
                    <w:rPr>
                      <w:rFonts w:cs="Arial"/>
                      <w:sz w:val="20"/>
                    </w:rPr>
                    <w:t> </w:t>
                  </w:r>
                  <w:r w:rsidRPr="001E2783">
                    <w:rPr>
                      <w:rFonts w:cs="Arial"/>
                      <w:sz w:val="20"/>
                    </w:rPr>
                    <w:t>per cent</w:t>
                  </w:r>
                  <w:r w:rsidR="001E3FC0" w:rsidRPr="001E2783">
                    <w:rPr>
                      <w:rFonts w:cs="Arial"/>
                      <w:sz w:val="20"/>
                    </w:rPr>
                    <w:t xml:space="preserve"> captioning across the year depending on service category, with exceptions.</w:t>
                  </w:r>
                </w:p>
                <w:p w14:paraId="6D423C5E" w14:textId="77777777" w:rsidR="001E3FC0" w:rsidRPr="001E2783" w:rsidRDefault="001E3FC0" w:rsidP="00A62137">
                  <w:pPr>
                    <w:pStyle w:val="TableTextLeft"/>
                    <w:jc w:val="right"/>
                    <w:rPr>
                      <w:rFonts w:cs="Arial"/>
                      <w:sz w:val="20"/>
                    </w:rPr>
                  </w:pPr>
                  <w:r w:rsidRPr="001E2783">
                    <w:rPr>
                      <w:rFonts w:cs="Arial"/>
                      <w:sz w:val="20"/>
                    </w:rPr>
                    <w:t>(See notes below.)</w:t>
                  </w:r>
                </w:p>
              </w:tc>
            </w:tr>
            <w:tr w:rsidR="001E2783" w:rsidRPr="001E2783" w14:paraId="0C027E06" w14:textId="77777777" w:rsidTr="001E3FC0">
              <w:tc>
                <w:tcPr>
                  <w:tcW w:w="2122" w:type="dxa"/>
                </w:tcPr>
                <w:p w14:paraId="69970A11" w14:textId="77777777" w:rsidR="001E3FC0" w:rsidRPr="001E2783" w:rsidRDefault="001E3FC0" w:rsidP="001E3FC0">
                  <w:pPr>
                    <w:pStyle w:val="TableTextLeft"/>
                    <w:rPr>
                      <w:rFonts w:cs="Arial"/>
                      <w:sz w:val="20"/>
                    </w:rPr>
                  </w:pPr>
                  <w:r w:rsidRPr="001E2783">
                    <w:rPr>
                      <w:rFonts w:cs="Arial"/>
                      <w:sz w:val="20"/>
                    </w:rPr>
                    <w:t xml:space="preserve">Emergency warnings </w:t>
                  </w:r>
                </w:p>
              </w:tc>
              <w:tc>
                <w:tcPr>
                  <w:tcW w:w="1984" w:type="dxa"/>
                </w:tcPr>
                <w:p w14:paraId="626A0BD6" w14:textId="77777777" w:rsidR="001E3FC0" w:rsidRPr="001E2783" w:rsidRDefault="001E3FC0" w:rsidP="00A62137">
                  <w:pPr>
                    <w:pStyle w:val="TableTextLeft"/>
                    <w:jc w:val="right"/>
                    <w:rPr>
                      <w:rFonts w:cs="Arial"/>
                      <w:sz w:val="20"/>
                    </w:rPr>
                  </w:pPr>
                  <w:r w:rsidRPr="001E2783">
                    <w:rPr>
                      <w:rFonts w:cs="Arial"/>
                      <w:sz w:val="20"/>
                    </w:rPr>
                    <w:t>0</w:t>
                  </w:r>
                </w:p>
              </w:tc>
              <w:tc>
                <w:tcPr>
                  <w:tcW w:w="1998" w:type="dxa"/>
                </w:tcPr>
                <w:p w14:paraId="1954EC88" w14:textId="77777777" w:rsidR="001E3FC0" w:rsidRPr="001E2783" w:rsidRDefault="001E3FC0" w:rsidP="00A62137">
                  <w:pPr>
                    <w:pStyle w:val="TableTextLeft"/>
                    <w:jc w:val="right"/>
                    <w:rPr>
                      <w:rFonts w:cs="Arial"/>
                      <w:sz w:val="20"/>
                    </w:rPr>
                  </w:pPr>
                  <w:r w:rsidRPr="001E2783">
                    <w:rPr>
                      <w:rFonts w:cs="Arial"/>
                      <w:sz w:val="20"/>
                    </w:rPr>
                    <w:t>0</w:t>
                  </w:r>
                </w:p>
              </w:tc>
              <w:tc>
                <w:tcPr>
                  <w:tcW w:w="3389" w:type="dxa"/>
                </w:tcPr>
                <w:p w14:paraId="6A02E470" w14:textId="77777777" w:rsidR="001E3FC0" w:rsidRPr="001E2783" w:rsidRDefault="001E3FC0" w:rsidP="00A62137">
                  <w:pPr>
                    <w:pStyle w:val="TableTextLeft"/>
                    <w:jc w:val="right"/>
                    <w:rPr>
                      <w:rFonts w:cs="Arial"/>
                      <w:sz w:val="20"/>
                    </w:rPr>
                  </w:pPr>
                  <w:r w:rsidRPr="001E2783">
                    <w:rPr>
                      <w:rFonts w:cs="Arial"/>
                      <w:sz w:val="20"/>
                    </w:rPr>
                    <w:t>Transmit emergency warnings in text and speech and, if practicable, with captioning.</w:t>
                  </w:r>
                </w:p>
              </w:tc>
            </w:tr>
            <w:tr w:rsidR="001E2783" w:rsidRPr="001E2783" w14:paraId="6962F6A1" w14:textId="77777777" w:rsidTr="001E3FC0">
              <w:tc>
                <w:tcPr>
                  <w:tcW w:w="2122" w:type="dxa"/>
                </w:tcPr>
                <w:p w14:paraId="56A95DC8" w14:textId="77777777" w:rsidR="001E3FC0" w:rsidRPr="001E2783" w:rsidRDefault="001E3FC0" w:rsidP="001E3FC0">
                  <w:pPr>
                    <w:pStyle w:val="TableTextLeft"/>
                    <w:rPr>
                      <w:rFonts w:cs="Arial"/>
                      <w:sz w:val="20"/>
                    </w:rPr>
                  </w:pPr>
                  <w:r w:rsidRPr="001E2783">
                    <w:rPr>
                      <w:rFonts w:cs="Arial"/>
                      <w:sz w:val="20"/>
                    </w:rPr>
                    <w:t>Basic rule—designated viewing hours (free-to-air)</w:t>
                  </w:r>
                </w:p>
              </w:tc>
              <w:tc>
                <w:tcPr>
                  <w:tcW w:w="1984" w:type="dxa"/>
                </w:tcPr>
                <w:p w14:paraId="3A7FA4F0" w14:textId="1282D2EF" w:rsidR="001E3FC0" w:rsidRPr="001E2783" w:rsidRDefault="001E3FC0" w:rsidP="001F28C8">
                  <w:pPr>
                    <w:pStyle w:val="TableTextLeft"/>
                    <w:jc w:val="right"/>
                    <w:rPr>
                      <w:rFonts w:cs="Arial"/>
                      <w:sz w:val="20"/>
                    </w:rPr>
                  </w:pPr>
                  <w:r w:rsidRPr="001E2783">
                    <w:rPr>
                      <w:rFonts w:cs="Arial"/>
                      <w:sz w:val="20"/>
                    </w:rPr>
                    <w:t>5</w:t>
                  </w:r>
                  <w:r w:rsidR="001F28C8" w:rsidRPr="001E2783">
                    <w:rPr>
                      <w:rFonts w:cs="Arial"/>
                      <w:sz w:val="20"/>
                    </w:rPr>
                    <w:t>3</w:t>
                  </w:r>
                  <w:r w:rsidRPr="001E2783">
                    <w:rPr>
                      <w:rFonts w:cs="Arial"/>
                      <w:sz w:val="20"/>
                    </w:rPr>
                    <w:t xml:space="preserve"> services </w:t>
                  </w:r>
                </w:p>
              </w:tc>
              <w:tc>
                <w:tcPr>
                  <w:tcW w:w="1998" w:type="dxa"/>
                </w:tcPr>
                <w:p w14:paraId="4DE75883" w14:textId="2D3F02CA" w:rsidR="001E3FC0" w:rsidRPr="001E2783" w:rsidRDefault="00A62137" w:rsidP="00A62137">
                  <w:pPr>
                    <w:pStyle w:val="TableTextLeft"/>
                    <w:jc w:val="right"/>
                    <w:rPr>
                      <w:rFonts w:cs="Arial"/>
                      <w:sz w:val="20"/>
                    </w:rPr>
                  </w:pPr>
                  <w:r w:rsidRPr="001E2783">
                    <w:rPr>
                      <w:rFonts w:cs="Arial"/>
                      <w:sz w:val="20"/>
                    </w:rPr>
                    <w:t>n/a</w:t>
                  </w:r>
                </w:p>
              </w:tc>
              <w:tc>
                <w:tcPr>
                  <w:tcW w:w="3389" w:type="dxa"/>
                </w:tcPr>
                <w:p w14:paraId="3F3B84D0" w14:textId="77777777" w:rsidR="001E3FC0" w:rsidRPr="001E2783" w:rsidRDefault="001E3FC0" w:rsidP="00A62137">
                  <w:pPr>
                    <w:pStyle w:val="TableTextLeft"/>
                    <w:jc w:val="right"/>
                    <w:rPr>
                      <w:rFonts w:cs="Arial"/>
                      <w:sz w:val="20"/>
                    </w:rPr>
                  </w:pPr>
                  <w:r w:rsidRPr="001E2783">
                    <w:rPr>
                      <w:rFonts w:cs="Arial"/>
                      <w:sz w:val="20"/>
                    </w:rPr>
                    <w:t>Caption all programming between 6 pm and 10.30 pm each day (designated viewing hours) on core/primary service.</w:t>
                  </w:r>
                </w:p>
              </w:tc>
            </w:tr>
            <w:tr w:rsidR="001E2783" w:rsidRPr="001E2783" w14:paraId="515ED1D2" w14:textId="77777777" w:rsidTr="001E3FC0">
              <w:tc>
                <w:tcPr>
                  <w:tcW w:w="2122" w:type="dxa"/>
                </w:tcPr>
                <w:p w14:paraId="149C5AE1" w14:textId="77777777" w:rsidR="001E3FC0" w:rsidRPr="001E2783" w:rsidRDefault="001E3FC0" w:rsidP="001E3FC0">
                  <w:pPr>
                    <w:pStyle w:val="TableTextLeft"/>
                    <w:rPr>
                      <w:rFonts w:cs="Arial"/>
                      <w:sz w:val="20"/>
                    </w:rPr>
                  </w:pPr>
                  <w:r w:rsidRPr="001E2783">
                    <w:rPr>
                      <w:rFonts w:cs="Arial"/>
                      <w:sz w:val="20"/>
                    </w:rPr>
                    <w:t>Basic rule—news and current affairs (free-to-air)</w:t>
                  </w:r>
                </w:p>
              </w:tc>
              <w:tc>
                <w:tcPr>
                  <w:tcW w:w="1984" w:type="dxa"/>
                </w:tcPr>
                <w:p w14:paraId="4D571BCA" w14:textId="7C110622" w:rsidR="001E3FC0" w:rsidRPr="001E2783" w:rsidRDefault="001E3FC0" w:rsidP="001F28C8">
                  <w:pPr>
                    <w:pStyle w:val="TableTextLeft"/>
                    <w:jc w:val="right"/>
                    <w:rPr>
                      <w:rFonts w:cs="Arial"/>
                      <w:sz w:val="20"/>
                    </w:rPr>
                  </w:pPr>
                  <w:r w:rsidRPr="001E2783">
                    <w:rPr>
                      <w:rFonts w:cs="Arial"/>
                      <w:sz w:val="20"/>
                    </w:rPr>
                    <w:t>5</w:t>
                  </w:r>
                  <w:r w:rsidR="001F28C8" w:rsidRPr="001E2783">
                    <w:rPr>
                      <w:rFonts w:cs="Arial"/>
                      <w:sz w:val="20"/>
                    </w:rPr>
                    <w:t>4</w:t>
                  </w:r>
                  <w:r w:rsidRPr="001E2783">
                    <w:rPr>
                      <w:rFonts w:cs="Arial"/>
                      <w:sz w:val="20"/>
                    </w:rPr>
                    <w:t xml:space="preserve"> services</w:t>
                  </w:r>
                </w:p>
              </w:tc>
              <w:tc>
                <w:tcPr>
                  <w:tcW w:w="1998" w:type="dxa"/>
                </w:tcPr>
                <w:p w14:paraId="21D1FB1D" w14:textId="6466E9C3" w:rsidR="001E3FC0" w:rsidRPr="001E2783" w:rsidRDefault="00A62137" w:rsidP="00A62137">
                  <w:pPr>
                    <w:pStyle w:val="TableTextLeft"/>
                    <w:jc w:val="right"/>
                    <w:rPr>
                      <w:rFonts w:cs="Arial"/>
                      <w:sz w:val="20"/>
                    </w:rPr>
                  </w:pPr>
                  <w:r w:rsidRPr="001E2783">
                    <w:rPr>
                      <w:rFonts w:cs="Arial"/>
                      <w:sz w:val="20"/>
                    </w:rPr>
                    <w:t>n/a</w:t>
                  </w:r>
                </w:p>
              </w:tc>
              <w:tc>
                <w:tcPr>
                  <w:tcW w:w="3389" w:type="dxa"/>
                </w:tcPr>
                <w:p w14:paraId="0F9B3C23" w14:textId="77777777" w:rsidR="001E3FC0" w:rsidRPr="001E2783" w:rsidRDefault="001E3FC0" w:rsidP="00A62137">
                  <w:pPr>
                    <w:pStyle w:val="TableTextLeft"/>
                    <w:jc w:val="right"/>
                    <w:rPr>
                      <w:rFonts w:cs="Arial"/>
                      <w:sz w:val="20"/>
                    </w:rPr>
                  </w:pPr>
                  <w:r w:rsidRPr="001E2783">
                    <w:rPr>
                      <w:rFonts w:cs="Arial"/>
                      <w:sz w:val="20"/>
                    </w:rPr>
                    <w:t>Caption all news and current affairs outside designated viewing hours on core/primary service.</w:t>
                  </w:r>
                </w:p>
              </w:tc>
            </w:tr>
            <w:tr w:rsidR="001E2783" w:rsidRPr="001E2783" w14:paraId="14B47DDC" w14:textId="77777777" w:rsidTr="001E3FC0">
              <w:tc>
                <w:tcPr>
                  <w:tcW w:w="2122" w:type="dxa"/>
                </w:tcPr>
                <w:p w14:paraId="3DA44D97" w14:textId="77777777" w:rsidR="001E3FC0" w:rsidRPr="001E2783" w:rsidRDefault="001E3FC0" w:rsidP="001E3FC0">
                  <w:pPr>
                    <w:pStyle w:val="TableTextLeft"/>
                    <w:rPr>
                      <w:rFonts w:cs="Arial"/>
                      <w:sz w:val="20"/>
                    </w:rPr>
                  </w:pPr>
                  <w:r w:rsidRPr="001E2783">
                    <w:rPr>
                      <w:rFonts w:cs="Arial"/>
                      <w:sz w:val="20"/>
                    </w:rPr>
                    <w:t>Multi-channel (free-to-air)</w:t>
                  </w:r>
                </w:p>
              </w:tc>
              <w:tc>
                <w:tcPr>
                  <w:tcW w:w="1984" w:type="dxa"/>
                </w:tcPr>
                <w:p w14:paraId="63416DB3" w14:textId="77777777" w:rsidR="001E3FC0" w:rsidRPr="001E2783" w:rsidRDefault="001E3FC0" w:rsidP="00A62137">
                  <w:pPr>
                    <w:pStyle w:val="TableTextLeft"/>
                    <w:jc w:val="right"/>
                    <w:rPr>
                      <w:rFonts w:cs="Arial"/>
                      <w:sz w:val="20"/>
                    </w:rPr>
                  </w:pPr>
                  <w:r w:rsidRPr="001E2783">
                    <w:rPr>
                      <w:rFonts w:cs="Arial"/>
                      <w:sz w:val="20"/>
                    </w:rPr>
                    <w:t>17 services</w:t>
                  </w:r>
                </w:p>
              </w:tc>
              <w:tc>
                <w:tcPr>
                  <w:tcW w:w="1998" w:type="dxa"/>
                </w:tcPr>
                <w:p w14:paraId="601A4FAE" w14:textId="62AA694E" w:rsidR="001E3FC0" w:rsidRPr="001E2783" w:rsidRDefault="00A62137" w:rsidP="00A62137">
                  <w:pPr>
                    <w:pStyle w:val="TableTextLeft"/>
                    <w:jc w:val="right"/>
                    <w:rPr>
                      <w:rFonts w:cs="Arial"/>
                      <w:sz w:val="20"/>
                    </w:rPr>
                  </w:pPr>
                  <w:r w:rsidRPr="001E2783">
                    <w:rPr>
                      <w:rFonts w:cs="Arial"/>
                      <w:sz w:val="20"/>
                    </w:rPr>
                    <w:t>n/a</w:t>
                  </w:r>
                </w:p>
              </w:tc>
              <w:tc>
                <w:tcPr>
                  <w:tcW w:w="3389" w:type="dxa"/>
                </w:tcPr>
                <w:p w14:paraId="6C6FB660" w14:textId="77777777" w:rsidR="001E3FC0" w:rsidRPr="001E2783" w:rsidRDefault="001E3FC0" w:rsidP="00A62137">
                  <w:pPr>
                    <w:pStyle w:val="TableTextLeft"/>
                    <w:jc w:val="right"/>
                    <w:rPr>
                      <w:rFonts w:cs="Arial"/>
                      <w:sz w:val="20"/>
                    </w:rPr>
                  </w:pPr>
                  <w:r w:rsidRPr="001E2783">
                    <w:rPr>
                      <w:rFonts w:cs="Arial"/>
                      <w:sz w:val="20"/>
                    </w:rPr>
                    <w:t>Caption repeated programs on a multi-channel if those programs have previously been broadcast with captioning on the broadcaster’s core/primary service in the licence or coverage area</w:t>
                  </w:r>
                  <w:r w:rsidR="0027016A" w:rsidRPr="001E2783">
                    <w:rPr>
                      <w:rFonts w:cs="Arial"/>
                      <w:sz w:val="20"/>
                    </w:rPr>
                    <w:t>.</w:t>
                  </w:r>
                </w:p>
              </w:tc>
            </w:tr>
            <w:tr w:rsidR="001E2783" w:rsidRPr="001E2783" w14:paraId="1A39BB54" w14:textId="77777777" w:rsidTr="001E3FC0">
              <w:tc>
                <w:tcPr>
                  <w:tcW w:w="2122" w:type="dxa"/>
                </w:tcPr>
                <w:p w14:paraId="6B4D137F" w14:textId="77777777" w:rsidR="001E3FC0" w:rsidRPr="001E2783" w:rsidRDefault="001E3FC0" w:rsidP="001E3FC0">
                  <w:pPr>
                    <w:pStyle w:val="TableTextLeft"/>
                    <w:rPr>
                      <w:rFonts w:cs="Arial"/>
                      <w:sz w:val="20"/>
                    </w:rPr>
                  </w:pPr>
                  <w:r w:rsidRPr="001E2783">
                    <w:rPr>
                      <w:rFonts w:cs="Arial"/>
                      <w:sz w:val="20"/>
                    </w:rPr>
                    <w:t>Simulcast programming (subscription)</w:t>
                  </w:r>
                </w:p>
              </w:tc>
              <w:tc>
                <w:tcPr>
                  <w:tcW w:w="1984" w:type="dxa"/>
                </w:tcPr>
                <w:p w14:paraId="06F1E048" w14:textId="3990F791" w:rsidR="001E3FC0" w:rsidRPr="001E2783" w:rsidRDefault="00A62137" w:rsidP="00A62137">
                  <w:pPr>
                    <w:pStyle w:val="TableTextLeft"/>
                    <w:jc w:val="right"/>
                    <w:rPr>
                      <w:rFonts w:cs="Arial"/>
                      <w:sz w:val="20"/>
                    </w:rPr>
                  </w:pPr>
                  <w:r w:rsidRPr="001E2783">
                    <w:rPr>
                      <w:rFonts w:cs="Arial"/>
                      <w:sz w:val="20"/>
                    </w:rPr>
                    <w:t>n/a</w:t>
                  </w:r>
                </w:p>
              </w:tc>
              <w:tc>
                <w:tcPr>
                  <w:tcW w:w="1998" w:type="dxa"/>
                </w:tcPr>
                <w:p w14:paraId="0835E86D" w14:textId="11518B5D" w:rsidR="001E3FC0" w:rsidRPr="001E2783" w:rsidRDefault="00856377" w:rsidP="00730799">
                  <w:pPr>
                    <w:pStyle w:val="TableTextLeft"/>
                    <w:jc w:val="right"/>
                    <w:rPr>
                      <w:rFonts w:cs="Arial"/>
                      <w:sz w:val="20"/>
                    </w:rPr>
                  </w:pPr>
                  <w:r w:rsidRPr="001E2783">
                    <w:rPr>
                      <w:rFonts w:cs="Arial"/>
                      <w:sz w:val="20"/>
                    </w:rPr>
                    <w:t>Five services (only one distinct channel involved)</w:t>
                  </w:r>
                </w:p>
              </w:tc>
              <w:tc>
                <w:tcPr>
                  <w:tcW w:w="3389" w:type="dxa"/>
                </w:tcPr>
                <w:p w14:paraId="17224EE7" w14:textId="77777777" w:rsidR="001E3FC0" w:rsidRPr="001E2783" w:rsidRDefault="001E3FC0" w:rsidP="00A62137">
                  <w:pPr>
                    <w:pStyle w:val="TableTextLeft"/>
                    <w:jc w:val="right"/>
                    <w:rPr>
                      <w:rFonts w:cs="Arial"/>
                      <w:sz w:val="20"/>
                    </w:rPr>
                  </w:pPr>
                  <w:r w:rsidRPr="001E2783">
                    <w:rPr>
                      <w:rFonts w:cs="Arial"/>
                      <w:sz w:val="20"/>
                    </w:rPr>
                    <w:t>Caption simulcast programs on the second service if the programs are simultaneously transmitted with captioning on the first service</w:t>
                  </w:r>
                  <w:r w:rsidR="0027016A" w:rsidRPr="001E2783">
                    <w:rPr>
                      <w:rFonts w:cs="Arial"/>
                      <w:sz w:val="20"/>
                    </w:rPr>
                    <w:t>.</w:t>
                  </w:r>
                </w:p>
              </w:tc>
            </w:tr>
            <w:tr w:rsidR="001E2783" w:rsidRPr="001E2783" w14:paraId="21975E5E" w14:textId="77777777" w:rsidTr="001E3FC0">
              <w:tc>
                <w:tcPr>
                  <w:tcW w:w="2122" w:type="dxa"/>
                </w:tcPr>
                <w:p w14:paraId="33D43CF7" w14:textId="77777777" w:rsidR="001E3FC0" w:rsidRPr="001E2783" w:rsidRDefault="001E3FC0" w:rsidP="001E3FC0">
                  <w:pPr>
                    <w:pStyle w:val="TableTextLeft"/>
                    <w:rPr>
                      <w:rFonts w:cs="Arial"/>
                      <w:sz w:val="20"/>
                    </w:rPr>
                  </w:pPr>
                  <w:r w:rsidRPr="001E2783">
                    <w:rPr>
                      <w:rFonts w:cs="Arial"/>
                      <w:sz w:val="20"/>
                    </w:rPr>
                    <w:t>Repeat programming (subscription)</w:t>
                  </w:r>
                </w:p>
              </w:tc>
              <w:tc>
                <w:tcPr>
                  <w:tcW w:w="1984" w:type="dxa"/>
                </w:tcPr>
                <w:p w14:paraId="70339317" w14:textId="1A3A139C" w:rsidR="001E3FC0" w:rsidRPr="001E2783" w:rsidRDefault="00A62137" w:rsidP="00A62137">
                  <w:pPr>
                    <w:pStyle w:val="TableTextLeft"/>
                    <w:jc w:val="right"/>
                    <w:rPr>
                      <w:rFonts w:cs="Arial"/>
                      <w:sz w:val="20"/>
                    </w:rPr>
                  </w:pPr>
                  <w:r w:rsidRPr="001E2783">
                    <w:rPr>
                      <w:rFonts w:cs="Arial"/>
                      <w:sz w:val="20"/>
                    </w:rPr>
                    <w:t>n/a</w:t>
                  </w:r>
                </w:p>
              </w:tc>
              <w:tc>
                <w:tcPr>
                  <w:tcW w:w="1998" w:type="dxa"/>
                </w:tcPr>
                <w:p w14:paraId="059EBE83" w14:textId="005C2E67" w:rsidR="001E3FC0" w:rsidRPr="001E2783" w:rsidRDefault="00730799" w:rsidP="00A62137">
                  <w:pPr>
                    <w:pStyle w:val="TableTextLeft"/>
                    <w:jc w:val="right"/>
                    <w:rPr>
                      <w:rFonts w:cs="Arial"/>
                      <w:sz w:val="20"/>
                    </w:rPr>
                  </w:pPr>
                  <w:r w:rsidRPr="001E2783">
                    <w:rPr>
                      <w:rFonts w:cs="Arial"/>
                      <w:sz w:val="20"/>
                    </w:rPr>
                    <w:t>44 services (only nine distinct channels involved)</w:t>
                  </w:r>
                </w:p>
              </w:tc>
              <w:tc>
                <w:tcPr>
                  <w:tcW w:w="3389" w:type="dxa"/>
                </w:tcPr>
                <w:p w14:paraId="35FF6375" w14:textId="77777777" w:rsidR="001E3FC0" w:rsidRPr="001E2783" w:rsidRDefault="001E3FC0" w:rsidP="00A62137">
                  <w:pPr>
                    <w:pStyle w:val="TableTextLeft"/>
                    <w:jc w:val="right"/>
                    <w:rPr>
                      <w:rFonts w:cs="Arial"/>
                      <w:sz w:val="20"/>
                    </w:rPr>
                  </w:pPr>
                  <w:r w:rsidRPr="001E2783">
                    <w:rPr>
                      <w:rFonts w:cs="Arial"/>
                      <w:sz w:val="20"/>
                    </w:rPr>
                    <w:t>Caption programs that have previously been transmitted with captioning and then repeated on the same or another subscription television service provided by the licensee</w:t>
                  </w:r>
                  <w:r w:rsidR="0027016A" w:rsidRPr="001E2783">
                    <w:rPr>
                      <w:rFonts w:cs="Arial"/>
                      <w:sz w:val="20"/>
                    </w:rPr>
                    <w:t>.</w:t>
                  </w:r>
                </w:p>
              </w:tc>
            </w:tr>
          </w:tbl>
          <w:p w14:paraId="470BEDFA" w14:textId="77777777" w:rsidR="000D258E" w:rsidRPr="001E2783" w:rsidRDefault="000D258E" w:rsidP="000D258E">
            <w:pPr>
              <w:rPr>
                <w:rFonts w:cs="Arial"/>
              </w:rPr>
            </w:pPr>
          </w:p>
        </w:tc>
      </w:tr>
      <w:tr w:rsidR="000D258E" w:rsidRPr="001E2783" w14:paraId="3906EB79" w14:textId="77777777" w:rsidTr="000D258E">
        <w:trPr>
          <w:trHeight w:val="291"/>
        </w:trPr>
        <w:tc>
          <w:tcPr>
            <w:tcW w:w="9645" w:type="dxa"/>
            <w:tcBorders>
              <w:bottom w:val="single" w:sz="2" w:space="0" w:color="505050"/>
            </w:tcBorders>
            <w:shd w:val="clear" w:color="auto" w:fill="auto"/>
          </w:tcPr>
          <w:p w14:paraId="5C6FB7E7" w14:textId="77777777" w:rsidR="0027016A" w:rsidRPr="001E2783" w:rsidRDefault="0027016A" w:rsidP="00A62137">
            <w:pPr>
              <w:spacing w:before="120"/>
              <w:rPr>
                <w:rFonts w:cs="Arial"/>
                <w:i/>
                <w:sz w:val="16"/>
                <w:szCs w:val="16"/>
              </w:rPr>
            </w:pPr>
            <w:r w:rsidRPr="001E2783">
              <w:rPr>
                <w:rFonts w:cs="Arial"/>
                <w:i/>
                <w:sz w:val="16"/>
                <w:szCs w:val="16"/>
              </w:rPr>
              <w:t xml:space="preserve">Notes: </w:t>
            </w:r>
          </w:p>
          <w:p w14:paraId="44EF0544" w14:textId="77777777" w:rsidR="0027016A" w:rsidRPr="001E2783" w:rsidRDefault="0027016A" w:rsidP="0027016A">
            <w:pPr>
              <w:rPr>
                <w:rFonts w:cs="Arial"/>
                <w:i/>
                <w:sz w:val="16"/>
                <w:szCs w:val="16"/>
              </w:rPr>
            </w:pPr>
            <w:r w:rsidRPr="001E2783">
              <w:rPr>
                <w:rFonts w:cs="Arial"/>
                <w:i/>
                <w:sz w:val="16"/>
                <w:szCs w:val="16"/>
              </w:rPr>
              <w:t>Captioning obligations do not apply to exempt programs, which include foreign programs (wholly in a language other than English) and music programs that do not contain any human vocal content.</w:t>
            </w:r>
          </w:p>
          <w:p w14:paraId="20A9CE35" w14:textId="77777777" w:rsidR="0027016A" w:rsidRPr="001E2783" w:rsidRDefault="0027016A" w:rsidP="0027016A">
            <w:pPr>
              <w:rPr>
                <w:rFonts w:cs="Arial"/>
                <w:i/>
                <w:sz w:val="16"/>
                <w:szCs w:val="16"/>
              </w:rPr>
            </w:pPr>
            <w:r w:rsidRPr="001E2783">
              <w:rPr>
                <w:rFonts w:cs="Arial"/>
                <w:i/>
                <w:sz w:val="16"/>
                <w:szCs w:val="16"/>
              </w:rPr>
              <w:t>In 2012–13, three commercial broadcasters had reduced annual targets of 80 per cent as a result of target reduction orders (unjustifiable hardship).</w:t>
            </w:r>
          </w:p>
          <w:p w14:paraId="2D588C30" w14:textId="77777777" w:rsidR="000D258E" w:rsidRPr="001E2783" w:rsidRDefault="0027016A" w:rsidP="0027016A">
            <w:pPr>
              <w:rPr>
                <w:rFonts w:cs="Arial"/>
              </w:rPr>
            </w:pPr>
            <w:r w:rsidRPr="001E2783">
              <w:rPr>
                <w:rFonts w:cs="Arial"/>
                <w:i/>
                <w:sz w:val="16"/>
                <w:szCs w:val="16"/>
              </w:rPr>
              <w:t>Some subscription services were exempt from the annual captioning target in 2012–13 as a result of exemption orders (unjustifiable hardship) and nominations under section 130ZX of the BSA (a transitional measure that allows exemption of certain services if the licensee has met the annual captioning target for the threshold number of services).</w:t>
            </w:r>
          </w:p>
        </w:tc>
      </w:tr>
    </w:tbl>
    <w:p w14:paraId="59845939" w14:textId="77777777" w:rsidR="00AF0E3A" w:rsidRPr="001E2783" w:rsidRDefault="00AF0E3A" w:rsidP="00AF0E3A">
      <w:pPr>
        <w:rPr>
          <w:rFonts w:cs="Arial"/>
        </w:rPr>
      </w:pPr>
    </w:p>
    <w:p w14:paraId="455FB87F" w14:textId="77777777" w:rsidR="0027016A" w:rsidRPr="001E2783" w:rsidRDefault="0027016A" w:rsidP="0027016A">
      <w:pPr>
        <w:pStyle w:val="BodysubheaderH4"/>
        <w:rPr>
          <w:rFonts w:cs="Arial"/>
        </w:rPr>
      </w:pPr>
      <w:r w:rsidRPr="001E2783">
        <w:rPr>
          <w:rFonts w:cs="Arial"/>
        </w:rPr>
        <w:t>Exemption orders</w:t>
      </w:r>
    </w:p>
    <w:p w14:paraId="0435C359" w14:textId="77777777" w:rsidR="00AF0E3A" w:rsidRPr="001E2783" w:rsidRDefault="00AF0E3A" w:rsidP="00AF0E3A">
      <w:pPr>
        <w:rPr>
          <w:rFonts w:cs="Arial"/>
        </w:rPr>
      </w:pPr>
      <w:r w:rsidRPr="001E2783">
        <w:rPr>
          <w:rFonts w:cs="Arial"/>
        </w:rPr>
        <w:t xml:space="preserve">In December 2013, the ACMA received 41 applications for exemption orders (for 41 separate services) and no applications for target reduction orders. The ACMA made all 41 exemption orders for four individual subscription television licensees. The ACMA met the statutory requirement to make a decision on each application for exemption orders within 90 days </w:t>
      </w:r>
      <w:r w:rsidR="00F736B7" w:rsidRPr="001E2783">
        <w:rPr>
          <w:rFonts w:cs="Arial"/>
        </w:rPr>
        <w:t xml:space="preserve">of </w:t>
      </w:r>
      <w:r w:rsidRPr="001E2783">
        <w:rPr>
          <w:rFonts w:cs="Arial"/>
        </w:rPr>
        <w:t xml:space="preserve">receiving the applications. </w:t>
      </w:r>
    </w:p>
    <w:p w14:paraId="1D93CD54" w14:textId="77777777" w:rsidR="00AF0E3A" w:rsidRPr="001E2783" w:rsidRDefault="00AF0E3A" w:rsidP="00AF0E3A">
      <w:pPr>
        <w:rPr>
          <w:rFonts w:cs="Arial"/>
        </w:rPr>
      </w:pPr>
    </w:p>
    <w:p w14:paraId="4A38D87F" w14:textId="77777777" w:rsidR="00AF0E3A" w:rsidRPr="001E2783" w:rsidRDefault="00AF0E3A" w:rsidP="00AF0E3A">
      <w:pPr>
        <w:pStyle w:val="Heading2"/>
      </w:pPr>
      <w:bookmarkStart w:id="228" w:name="_Toc337727620"/>
      <w:bookmarkStart w:id="229" w:name="_Toc400018586"/>
      <w:r w:rsidRPr="001E2783">
        <w:t>Consumer safeguards</w:t>
      </w:r>
      <w:bookmarkEnd w:id="228"/>
      <w:bookmarkEnd w:id="229"/>
    </w:p>
    <w:p w14:paraId="01D656D5" w14:textId="77777777" w:rsidR="00AF0E3A" w:rsidRPr="001E2783" w:rsidRDefault="00AF0E3A" w:rsidP="00AF0E3A">
      <w:pPr>
        <w:rPr>
          <w:rFonts w:cs="Arial"/>
        </w:rPr>
      </w:pPr>
      <w:r w:rsidRPr="001E2783">
        <w:rPr>
          <w:rFonts w:cs="Arial"/>
        </w:rPr>
        <w:t>The ACMA monitors and reports on the service performance and compliance of telecommunications companies, including against consumer safeguards that establish minimum performance standards and information obligations.</w:t>
      </w:r>
    </w:p>
    <w:p w14:paraId="16CDE2ED" w14:textId="77777777" w:rsidR="00AF0E3A" w:rsidRPr="001E2783" w:rsidRDefault="00AF0E3A" w:rsidP="00AF0E3A">
      <w:pPr>
        <w:rPr>
          <w:rFonts w:cs="Arial"/>
        </w:rPr>
      </w:pPr>
    </w:p>
    <w:p w14:paraId="738764C1" w14:textId="77777777" w:rsidR="00AF0E3A" w:rsidRPr="001E2783" w:rsidRDefault="00AF0E3A" w:rsidP="00AF0E3A">
      <w:pPr>
        <w:pStyle w:val="Heading3"/>
      </w:pPr>
      <w:bookmarkStart w:id="230" w:name="_Toc400018587"/>
      <w:r w:rsidRPr="001E2783">
        <w:t>International mobile roaming standard</w:t>
      </w:r>
      <w:bookmarkEnd w:id="230"/>
      <w:r w:rsidRPr="001E2783">
        <w:t xml:space="preserve"> </w:t>
      </w:r>
    </w:p>
    <w:p w14:paraId="2C313BF9" w14:textId="77777777" w:rsidR="00AF0E3A" w:rsidRPr="001E2783" w:rsidRDefault="00AF0E3A" w:rsidP="00FD51FB">
      <w:pPr>
        <w:rPr>
          <w:rFonts w:cs="Arial"/>
        </w:rPr>
      </w:pPr>
      <w:r w:rsidRPr="001E2783">
        <w:rPr>
          <w:rFonts w:cs="Arial"/>
        </w:rPr>
        <w:t xml:space="preserve">The International Mobile Roaming (IMR) Standard came into effect on 27 September 2013. The IMR Standard was developed in response to a direction from the </w:t>
      </w:r>
      <w:r w:rsidR="007E4893" w:rsidRPr="001E2783">
        <w:rPr>
          <w:rFonts w:cs="Arial"/>
        </w:rPr>
        <w:t xml:space="preserve">then </w:t>
      </w:r>
      <w:r w:rsidRPr="001E2783">
        <w:rPr>
          <w:rFonts w:cs="Arial"/>
        </w:rPr>
        <w:t>Minister for Broadband</w:t>
      </w:r>
      <w:r w:rsidR="007E4893" w:rsidRPr="001E2783">
        <w:rPr>
          <w:rFonts w:cs="Arial"/>
        </w:rPr>
        <w:t>,</w:t>
      </w:r>
      <w:r w:rsidRPr="001E2783">
        <w:rPr>
          <w:rFonts w:cs="Arial"/>
        </w:rPr>
        <w:t xml:space="preserve"> Communication</w:t>
      </w:r>
      <w:r w:rsidR="007E4893" w:rsidRPr="001E2783">
        <w:rPr>
          <w:rFonts w:cs="Arial"/>
        </w:rPr>
        <w:t>s and the Digital Economy. The s</w:t>
      </w:r>
      <w:r w:rsidRPr="001E2783">
        <w:rPr>
          <w:rFonts w:cs="Arial"/>
        </w:rPr>
        <w:t xml:space="preserve">tandard requires providers to give consumers information about the cost of roaming when overseas and enable them to opt out of roaming services, in order to help minimise the risk and incidence of bill shock. </w:t>
      </w:r>
      <w:r w:rsidR="007E4893" w:rsidRPr="001E2783">
        <w:rPr>
          <w:rFonts w:cs="Arial"/>
        </w:rPr>
        <w:t>It</w:t>
      </w:r>
      <w:r w:rsidRPr="001E2783">
        <w:rPr>
          <w:rFonts w:cs="Arial"/>
        </w:rPr>
        <w:t xml:space="preserve"> also requires CSPs to offer their customers spend management tools to help them manage expenditure while travelling.</w:t>
      </w:r>
    </w:p>
    <w:p w14:paraId="77D67CAC" w14:textId="77777777" w:rsidR="00AF0E3A" w:rsidRPr="001E2783" w:rsidRDefault="00AF0E3A" w:rsidP="00FD51FB">
      <w:pPr>
        <w:rPr>
          <w:rFonts w:cs="Arial"/>
        </w:rPr>
      </w:pPr>
    </w:p>
    <w:p w14:paraId="7A79BBAE" w14:textId="77777777" w:rsidR="00AF0E3A" w:rsidRPr="001E2783" w:rsidRDefault="00AF0E3A" w:rsidP="00FD51FB">
      <w:pPr>
        <w:rPr>
          <w:rFonts w:cs="Arial"/>
        </w:rPr>
      </w:pPr>
      <w:r w:rsidRPr="001E2783">
        <w:rPr>
          <w:rFonts w:cs="Arial"/>
        </w:rPr>
        <w:t>Almost all Australian travellers are now receiving warning messages about international mobile roaming when they arrive at an overseas destination. The ACMA has reviewed the warning notifications sent by Telstra, Optus and Vodafone</w:t>
      </w:r>
      <w:r w:rsidR="007E4893" w:rsidRPr="001E2783">
        <w:rPr>
          <w:rFonts w:cs="Arial"/>
        </w:rPr>
        <w:t>,</w:t>
      </w:r>
      <w:r w:rsidRPr="001E2783">
        <w:rPr>
          <w:rFonts w:cs="Arial"/>
        </w:rPr>
        <w:t xml:space="preserve"> and found all providers to be compliant. In accordance with the IMR Standard, customers of Telstra, Optus and Vodafone are also receiving pricing information via SMS, which helps mitigate the risk of bill shock. </w:t>
      </w:r>
    </w:p>
    <w:p w14:paraId="2B220350" w14:textId="77777777" w:rsidR="00AF0E3A" w:rsidRPr="001E2783" w:rsidRDefault="00AF0E3A" w:rsidP="00FD51FB">
      <w:pPr>
        <w:rPr>
          <w:rFonts w:cs="Arial"/>
        </w:rPr>
      </w:pPr>
    </w:p>
    <w:p w14:paraId="52E5ECB4" w14:textId="77777777" w:rsidR="00AF0E3A" w:rsidRPr="001E2783" w:rsidRDefault="00AF0E3A" w:rsidP="00AF0E3A">
      <w:pPr>
        <w:pStyle w:val="Heading3"/>
      </w:pPr>
      <w:bookmarkStart w:id="231" w:name="_Toc274124110"/>
      <w:bookmarkStart w:id="232" w:name="_Toc337727622"/>
      <w:bookmarkStart w:id="233" w:name="_Toc400018588"/>
      <w:r w:rsidRPr="001E2783">
        <w:t>Telecommunications Industry Ombudsman</w:t>
      </w:r>
      <w:bookmarkEnd w:id="231"/>
      <w:r w:rsidRPr="001E2783">
        <w:t xml:space="preserve"> </w:t>
      </w:r>
      <w:bookmarkEnd w:id="232"/>
      <w:r w:rsidR="007E4893" w:rsidRPr="001E2783">
        <w:t>scheme</w:t>
      </w:r>
      <w:bookmarkEnd w:id="233"/>
    </w:p>
    <w:p w14:paraId="59B68AA8" w14:textId="77777777" w:rsidR="00AF0E3A" w:rsidRPr="001E2783" w:rsidRDefault="00AF0E3A" w:rsidP="00AF0E3A">
      <w:pPr>
        <w:rPr>
          <w:rFonts w:cs="Arial"/>
        </w:rPr>
      </w:pPr>
      <w:r w:rsidRPr="001E2783">
        <w:rPr>
          <w:rFonts w:cs="Arial"/>
        </w:rPr>
        <w:t>Carriers and eligible CSPs have an obligation under the TCPSS Act to join the TIO scheme. The scheme provides an alternative dispu</w:t>
      </w:r>
      <w:r w:rsidR="007E4893" w:rsidRPr="001E2783">
        <w:rPr>
          <w:rFonts w:cs="Arial"/>
        </w:rPr>
        <w:t>te resolution service for small-</w:t>
      </w:r>
      <w:r w:rsidRPr="001E2783">
        <w:rPr>
          <w:rFonts w:cs="Arial"/>
        </w:rPr>
        <w:t xml:space="preserve">business and residential customers with unresolved complaints about their telephone or internet services. </w:t>
      </w:r>
    </w:p>
    <w:p w14:paraId="4AF243FE" w14:textId="77777777" w:rsidR="00AF0E3A" w:rsidRPr="001E2783" w:rsidRDefault="00AF0E3A" w:rsidP="00AF0E3A">
      <w:pPr>
        <w:rPr>
          <w:rFonts w:cs="Arial"/>
        </w:rPr>
      </w:pPr>
    </w:p>
    <w:p w14:paraId="4B2755DE" w14:textId="77777777" w:rsidR="00AF0E3A" w:rsidRPr="001E2783" w:rsidRDefault="00AF0E3A" w:rsidP="00AF0E3A">
      <w:pPr>
        <w:rPr>
          <w:rFonts w:cs="Arial"/>
        </w:rPr>
      </w:pPr>
      <w:r w:rsidRPr="001E2783">
        <w:rPr>
          <w:rFonts w:cs="Arial"/>
        </w:rPr>
        <w:t>The TIO may investigate, make determinations and give directions on complaints about carriage services by end users of those services. The TIO has the authority to make binding decisions up to the value of $30,000 and recommendations up to the value of $85,000.</w:t>
      </w:r>
    </w:p>
    <w:p w14:paraId="3F160362" w14:textId="77777777" w:rsidR="00AF0E3A" w:rsidRPr="001E2783" w:rsidRDefault="00AF0E3A" w:rsidP="00AF0E3A">
      <w:pPr>
        <w:rPr>
          <w:rFonts w:cs="Arial"/>
        </w:rPr>
      </w:pPr>
    </w:p>
    <w:p w14:paraId="4A8CA95B" w14:textId="77777777" w:rsidR="00AF0E3A" w:rsidRPr="001E2783" w:rsidRDefault="00AF0E3A" w:rsidP="00AF0E3A">
      <w:pPr>
        <w:pStyle w:val="BodysubheaderH4"/>
        <w:rPr>
          <w:rFonts w:cs="Arial"/>
        </w:rPr>
      </w:pPr>
      <w:r w:rsidRPr="001E2783">
        <w:rPr>
          <w:rFonts w:cs="Arial"/>
        </w:rPr>
        <w:t>TIO scheme membership</w:t>
      </w:r>
    </w:p>
    <w:p w14:paraId="1149F156" w14:textId="77777777" w:rsidR="00AF0E3A" w:rsidRPr="001E2783" w:rsidRDefault="00AF0E3A" w:rsidP="00AF0E3A">
      <w:pPr>
        <w:rPr>
          <w:rFonts w:cs="Arial"/>
          <w:szCs w:val="20"/>
        </w:rPr>
      </w:pPr>
      <w:r w:rsidRPr="001E2783">
        <w:rPr>
          <w:rFonts w:cs="Arial"/>
        </w:rPr>
        <w:t>Section</w:t>
      </w:r>
      <w:r w:rsidRPr="001E2783">
        <w:rPr>
          <w:rFonts w:cs="Arial"/>
          <w:szCs w:val="20"/>
        </w:rPr>
        <w:t xml:space="preserve"> 128 of the TCPSS Act requires that all CSPs (including</w:t>
      </w:r>
      <w:r w:rsidR="007E4893" w:rsidRPr="001E2783">
        <w:rPr>
          <w:rFonts w:cs="Arial"/>
          <w:szCs w:val="20"/>
        </w:rPr>
        <w:t xml:space="preserve"> ISPs</w:t>
      </w:r>
      <w:r w:rsidRPr="001E2783">
        <w:rPr>
          <w:rFonts w:cs="Arial"/>
          <w:szCs w:val="20"/>
        </w:rPr>
        <w:t>) that provide se</w:t>
      </w:r>
      <w:r w:rsidR="007E4893" w:rsidRPr="001E2783">
        <w:rPr>
          <w:rFonts w:cs="Arial"/>
          <w:szCs w:val="20"/>
        </w:rPr>
        <w:t>rvices to residential and small-</w:t>
      </w:r>
      <w:r w:rsidRPr="001E2783">
        <w:rPr>
          <w:rFonts w:cs="Arial"/>
          <w:szCs w:val="20"/>
        </w:rPr>
        <w:t xml:space="preserve">business customers must join the TIO scheme. </w:t>
      </w:r>
    </w:p>
    <w:p w14:paraId="5CBC2B95" w14:textId="77777777" w:rsidR="00AF0E3A" w:rsidRPr="001E2783" w:rsidRDefault="00AF0E3A" w:rsidP="00AF0E3A">
      <w:pPr>
        <w:rPr>
          <w:rFonts w:cs="Arial"/>
          <w:szCs w:val="20"/>
        </w:rPr>
      </w:pPr>
    </w:p>
    <w:p w14:paraId="39E0EDF0" w14:textId="77777777" w:rsidR="00AF0E3A" w:rsidRPr="001E2783" w:rsidRDefault="00AF0E3A" w:rsidP="00AF0E3A">
      <w:pPr>
        <w:rPr>
          <w:rFonts w:eastAsiaTheme="minorHAnsi" w:cs="Arial"/>
        </w:rPr>
      </w:pPr>
      <w:r w:rsidRPr="001E2783">
        <w:rPr>
          <w:rFonts w:eastAsiaTheme="minorHAnsi" w:cs="Arial"/>
        </w:rPr>
        <w:t xml:space="preserve">From 1 July 2013 to 30 June 2014, the TIO referred six companies that had not joined the TIO scheme to the ACMA. Two of these matters resulted in the provider being issued with a direction to join the TIO scheme. </w:t>
      </w:r>
    </w:p>
    <w:p w14:paraId="0514DEDE" w14:textId="77777777" w:rsidR="00AF0E3A" w:rsidRPr="001E2783" w:rsidRDefault="00AF0E3A" w:rsidP="00AF0E3A">
      <w:pPr>
        <w:rPr>
          <w:rFonts w:eastAsiaTheme="minorHAnsi" w:cs="Arial"/>
        </w:rPr>
      </w:pPr>
    </w:p>
    <w:p w14:paraId="0CB6937D" w14:textId="77777777" w:rsidR="00AF0E3A" w:rsidRPr="001E2783" w:rsidRDefault="00AF0E3A" w:rsidP="00AF0E3A">
      <w:pPr>
        <w:rPr>
          <w:rFonts w:eastAsiaTheme="minorHAnsi" w:cs="Arial"/>
        </w:rPr>
      </w:pPr>
      <w:r w:rsidRPr="001E2783">
        <w:rPr>
          <w:rFonts w:eastAsiaTheme="minorHAnsi" w:cs="Arial"/>
        </w:rPr>
        <w:t>The other four referrals remain the subject of ACMA investigations.</w:t>
      </w:r>
    </w:p>
    <w:p w14:paraId="5344D5A9" w14:textId="77777777" w:rsidR="00AF0E3A" w:rsidRPr="001E2783" w:rsidRDefault="00AF0E3A" w:rsidP="00AF0E3A">
      <w:pPr>
        <w:rPr>
          <w:rFonts w:eastAsiaTheme="minorHAnsi" w:cs="Arial"/>
          <w:sz w:val="22"/>
          <w:szCs w:val="22"/>
        </w:rPr>
      </w:pPr>
    </w:p>
    <w:p w14:paraId="12C59787" w14:textId="77777777" w:rsidR="00AF0E3A" w:rsidRPr="001E2783" w:rsidRDefault="00AF0E3A" w:rsidP="00FD51FB">
      <w:pPr>
        <w:pStyle w:val="BodysubheaderH4"/>
        <w:rPr>
          <w:rFonts w:cs="Arial"/>
        </w:rPr>
      </w:pPr>
      <w:r w:rsidRPr="001E2783">
        <w:rPr>
          <w:rFonts w:cs="Arial"/>
        </w:rPr>
        <w:t>Non-compliance with the TIO scheme</w:t>
      </w:r>
    </w:p>
    <w:p w14:paraId="4152D56F" w14:textId="77777777" w:rsidR="00AF0E3A" w:rsidRPr="001E2783" w:rsidRDefault="00AF0E3A" w:rsidP="00AF0E3A">
      <w:pPr>
        <w:rPr>
          <w:rFonts w:cs="Arial"/>
        </w:rPr>
      </w:pPr>
      <w:r w:rsidRPr="001E2783">
        <w:rPr>
          <w:rFonts w:cs="Arial"/>
        </w:rPr>
        <w:t>Following a referral from the TIO in September 2013, the ACMA commenced an investigation into a provider for failing to comply with the TIO scheme. The investigation found that the provider had failed to comply with a determination made by the TIO</w:t>
      </w:r>
      <w:r w:rsidR="007E4893" w:rsidRPr="001E2783">
        <w:rPr>
          <w:rFonts w:cs="Arial"/>
        </w:rPr>
        <w:t>,</w:t>
      </w:r>
      <w:r w:rsidRPr="001E2783">
        <w:rPr>
          <w:rFonts w:cs="Arial"/>
        </w:rPr>
        <w:t xml:space="preserve"> and had therefore failed to comply with the TIO scheme, the </w:t>
      </w:r>
      <w:r w:rsidR="00C9485E" w:rsidRPr="001E2783">
        <w:rPr>
          <w:rFonts w:cs="Arial"/>
        </w:rPr>
        <w:t>TCPSS Act</w:t>
      </w:r>
      <w:r w:rsidRPr="001E2783">
        <w:rPr>
          <w:rFonts w:cs="Arial"/>
        </w:rPr>
        <w:t xml:space="preserve"> and subsequently the service p</w:t>
      </w:r>
      <w:r w:rsidR="00307D09" w:rsidRPr="001E2783">
        <w:rPr>
          <w:rFonts w:cs="Arial"/>
        </w:rPr>
        <w:t>rovider rules set out at clause 1 of Schedule </w:t>
      </w:r>
      <w:r w:rsidRPr="001E2783">
        <w:rPr>
          <w:rFonts w:cs="Arial"/>
        </w:rPr>
        <w:t xml:space="preserve">2 to the Telecommunications Act. The ACMA issued the provider with a direction to comply with the TIO scheme, </w:t>
      </w:r>
      <w:r w:rsidR="00F736B7" w:rsidRPr="001E2783">
        <w:rPr>
          <w:rFonts w:cs="Arial"/>
        </w:rPr>
        <w:t>which</w:t>
      </w:r>
      <w:r w:rsidRPr="001E2783">
        <w:rPr>
          <w:rFonts w:cs="Arial"/>
        </w:rPr>
        <w:t xml:space="preserve"> was complied with.</w:t>
      </w:r>
    </w:p>
    <w:p w14:paraId="21D2D06D" w14:textId="77777777" w:rsidR="00AF0E3A" w:rsidRPr="001E2783" w:rsidRDefault="00AF0E3A" w:rsidP="00AF0E3A">
      <w:pPr>
        <w:rPr>
          <w:rFonts w:cs="Arial"/>
        </w:rPr>
      </w:pPr>
    </w:p>
    <w:p w14:paraId="2F92BBEB" w14:textId="77777777" w:rsidR="00AF0E3A" w:rsidRPr="001E2783" w:rsidRDefault="00AF0E3A" w:rsidP="00FD51FB">
      <w:pPr>
        <w:pStyle w:val="BodysubheaderH4"/>
        <w:rPr>
          <w:rFonts w:cs="Arial"/>
        </w:rPr>
      </w:pPr>
      <w:r w:rsidRPr="001E2783">
        <w:rPr>
          <w:rFonts w:cs="Arial"/>
        </w:rPr>
        <w:t>Exemptions from the TIO scheme</w:t>
      </w:r>
    </w:p>
    <w:p w14:paraId="2B3FE370" w14:textId="77777777" w:rsidR="00AF0E3A" w:rsidRPr="001E2783" w:rsidRDefault="00AF0E3A" w:rsidP="00AF0E3A">
      <w:pPr>
        <w:rPr>
          <w:rFonts w:cs="Arial"/>
        </w:rPr>
      </w:pPr>
      <w:r w:rsidRPr="001E2783">
        <w:rPr>
          <w:rFonts w:cs="Arial"/>
        </w:rPr>
        <w:t>Section 129 of the TCPSS Act allows the ACMA to declare a carrier or eligible CSP exempt from the TIO scheme.</w:t>
      </w:r>
    </w:p>
    <w:p w14:paraId="4D051AF3" w14:textId="77777777" w:rsidR="00AF0E3A" w:rsidRPr="001E2783" w:rsidRDefault="00AF0E3A" w:rsidP="00AF0E3A">
      <w:pPr>
        <w:rPr>
          <w:rFonts w:cs="Arial"/>
        </w:rPr>
      </w:pPr>
    </w:p>
    <w:p w14:paraId="57E7BF42" w14:textId="77777777" w:rsidR="00AF0E3A" w:rsidRPr="001E2783" w:rsidRDefault="00AF0E3A" w:rsidP="00AF0E3A">
      <w:pPr>
        <w:rPr>
          <w:rFonts w:cs="Arial"/>
        </w:rPr>
      </w:pPr>
      <w:r w:rsidRPr="001E2783">
        <w:rPr>
          <w:rFonts w:cs="Arial"/>
        </w:rPr>
        <w:t xml:space="preserve">In 2013–14, the ACMA granted five exemptions from the obligation to join the TIO scheme. </w:t>
      </w:r>
    </w:p>
    <w:p w14:paraId="70A11ECA" w14:textId="77777777" w:rsidR="00AF0E3A" w:rsidRPr="001E2783" w:rsidRDefault="00AF0E3A" w:rsidP="00AF0E3A">
      <w:pPr>
        <w:rPr>
          <w:rFonts w:cs="Arial"/>
        </w:rPr>
      </w:pPr>
    </w:p>
    <w:p w14:paraId="70272716" w14:textId="77777777" w:rsidR="00045C33" w:rsidRPr="001E2783" w:rsidRDefault="00045C33" w:rsidP="00045C33">
      <w:pPr>
        <w:pStyle w:val="BodysubheaderH4"/>
        <w:rPr>
          <w:rFonts w:cs="Arial"/>
        </w:rPr>
      </w:pPr>
      <w:r w:rsidRPr="001E2783">
        <w:rPr>
          <w:rFonts w:cs="Arial"/>
        </w:rPr>
        <w:t>Customer Information Committee</w:t>
      </w:r>
    </w:p>
    <w:p w14:paraId="29137300" w14:textId="77777777" w:rsidR="00045C33" w:rsidRPr="001E2783" w:rsidRDefault="00045C33" w:rsidP="00045C33">
      <w:pPr>
        <w:rPr>
          <w:rFonts w:cs="Arial"/>
        </w:rPr>
      </w:pPr>
      <w:r w:rsidRPr="001E2783">
        <w:rPr>
          <w:rFonts w:cs="Arial"/>
        </w:rPr>
        <w:t>ACMA staff, in collaboration with Communications Alliance, are reviewing a number of regulatory and self-regulatory telecommunications instruments to identify areas for reform. The focus is on those instruments that do not require changes to legislation to be amended, including consumer codes.</w:t>
      </w:r>
    </w:p>
    <w:p w14:paraId="6A2F9227" w14:textId="77777777" w:rsidR="00045C33" w:rsidRPr="001E2783" w:rsidRDefault="00045C33" w:rsidP="00045C33">
      <w:pPr>
        <w:rPr>
          <w:rFonts w:cs="Arial"/>
        </w:rPr>
      </w:pPr>
    </w:p>
    <w:p w14:paraId="3E06C320" w14:textId="77777777" w:rsidR="00045C33" w:rsidRPr="001E2783" w:rsidRDefault="00045C33" w:rsidP="00045C33">
      <w:pPr>
        <w:rPr>
          <w:rFonts w:cs="Arial"/>
        </w:rPr>
      </w:pPr>
      <w:r w:rsidRPr="001E2783">
        <w:rPr>
          <w:rFonts w:cs="Arial"/>
        </w:rPr>
        <w:t xml:space="preserve">The primary forum for this work is the </w:t>
      </w:r>
      <w:r w:rsidR="00840C28" w:rsidRPr="001E2783">
        <w:rPr>
          <w:rFonts w:cs="Arial"/>
        </w:rPr>
        <w:t xml:space="preserve">Customer </w:t>
      </w:r>
      <w:r w:rsidRPr="001E2783">
        <w:rPr>
          <w:rFonts w:cs="Arial"/>
        </w:rPr>
        <w:t>Information Committee (CIC), which is examining the current customer information provision requirements on the industry.</w:t>
      </w:r>
    </w:p>
    <w:p w14:paraId="24787E1D" w14:textId="77777777" w:rsidR="00045C33" w:rsidRPr="001E2783" w:rsidRDefault="00045C33" w:rsidP="00045C33">
      <w:pPr>
        <w:rPr>
          <w:rFonts w:cs="Arial"/>
        </w:rPr>
      </w:pPr>
    </w:p>
    <w:p w14:paraId="3D8AF00F" w14:textId="77777777" w:rsidR="00045C33" w:rsidRPr="001E2783" w:rsidRDefault="00045C33" w:rsidP="00045C33">
      <w:pPr>
        <w:rPr>
          <w:rFonts w:cs="Arial"/>
        </w:rPr>
      </w:pPr>
      <w:r w:rsidRPr="001E2783">
        <w:rPr>
          <w:rFonts w:cs="Arial"/>
        </w:rPr>
        <w:t>Other members of the CIC are representatives of Telstra, Op</w:t>
      </w:r>
      <w:r w:rsidR="00D272C1" w:rsidRPr="001E2783">
        <w:rPr>
          <w:rFonts w:cs="Arial"/>
        </w:rPr>
        <w:t>tus, Vodafone, iiN</w:t>
      </w:r>
      <w:r w:rsidRPr="001E2783">
        <w:rPr>
          <w:rFonts w:cs="Arial"/>
        </w:rPr>
        <w:t>et and ACCAN. The CIC has been meeting fortnightly since February 2014 and is expected to continue until identified reforms are implemented in late 2014.</w:t>
      </w:r>
    </w:p>
    <w:p w14:paraId="16283AE8" w14:textId="77777777" w:rsidR="00045C33" w:rsidRPr="001E2783" w:rsidRDefault="00045C33" w:rsidP="00AF0E3A">
      <w:pPr>
        <w:rPr>
          <w:rFonts w:cs="Arial"/>
        </w:rPr>
      </w:pPr>
    </w:p>
    <w:p w14:paraId="20688663" w14:textId="77777777" w:rsidR="00CC119D" w:rsidRPr="001E2783" w:rsidRDefault="00CC119D" w:rsidP="00CC119D">
      <w:pPr>
        <w:pStyle w:val="Heading3"/>
      </w:pPr>
      <w:bookmarkStart w:id="234" w:name="_Toc400018589"/>
      <w:r w:rsidRPr="001E2783">
        <w:t>Universal service obligation</w:t>
      </w:r>
      <w:bookmarkEnd w:id="224"/>
      <w:bookmarkEnd w:id="234"/>
    </w:p>
    <w:p w14:paraId="64F84EF7" w14:textId="77777777" w:rsidR="00421608" w:rsidRPr="001E2783" w:rsidRDefault="00421608" w:rsidP="00421608">
      <w:pPr>
        <w:rPr>
          <w:rFonts w:cs="Arial"/>
        </w:rPr>
      </w:pPr>
      <w:r w:rsidRPr="001E2783">
        <w:rPr>
          <w:rFonts w:cs="Arial"/>
        </w:rPr>
        <w:t>Part 2 of the TCPSS Act establishes a universal service regime administered by the ACMA, which includes the universal service obligation (USO).</w:t>
      </w:r>
    </w:p>
    <w:p w14:paraId="24FA531E" w14:textId="77777777" w:rsidR="00421608" w:rsidRPr="001E2783" w:rsidRDefault="00421608" w:rsidP="00421608">
      <w:pPr>
        <w:rPr>
          <w:rFonts w:cs="Arial"/>
        </w:rPr>
      </w:pPr>
    </w:p>
    <w:p w14:paraId="32536344" w14:textId="77777777" w:rsidR="00421608" w:rsidRPr="001E2783" w:rsidRDefault="00421608" w:rsidP="00421608">
      <w:pPr>
        <w:rPr>
          <w:rFonts w:cs="Arial"/>
        </w:rPr>
      </w:pPr>
      <w:r w:rsidRPr="001E2783">
        <w:rPr>
          <w:rFonts w:cs="Arial"/>
        </w:rPr>
        <w:t>The ACMA monitors several aspects of compliance with the USO regime through the Customer Service Guarantee and the Payphone Performance Benchmarks</w:t>
      </w:r>
      <w:r w:rsidR="007215CA" w:rsidRPr="001E2783">
        <w:rPr>
          <w:rFonts w:cs="Arial"/>
        </w:rPr>
        <w:t>,</w:t>
      </w:r>
      <w:r w:rsidRPr="001E2783">
        <w:rPr>
          <w:rFonts w:cs="Arial"/>
        </w:rPr>
        <w:t xml:space="preserve"> and reports on these matters in its annual communications report (see also </w:t>
      </w:r>
      <w:r w:rsidR="007215CA" w:rsidRPr="001E2783">
        <w:rPr>
          <w:rFonts w:cs="Arial"/>
          <w:i/>
        </w:rPr>
        <w:t>Payphone p</w:t>
      </w:r>
      <w:r w:rsidRPr="001E2783">
        <w:rPr>
          <w:rFonts w:cs="Arial"/>
          <w:i/>
        </w:rPr>
        <w:t>erformance</w:t>
      </w:r>
      <w:r w:rsidRPr="001E2783">
        <w:rPr>
          <w:rFonts w:cs="Arial"/>
        </w:rPr>
        <w:t xml:space="preserve"> and </w:t>
      </w:r>
      <w:r w:rsidRPr="001E2783">
        <w:rPr>
          <w:rFonts w:cs="Arial"/>
          <w:i/>
        </w:rPr>
        <w:t>Customer Service Guarantee</w:t>
      </w:r>
      <w:r w:rsidRPr="001E2783">
        <w:rPr>
          <w:rFonts w:cs="Arial"/>
        </w:rPr>
        <w:t xml:space="preserve"> </w:t>
      </w:r>
      <w:r w:rsidR="00F736B7" w:rsidRPr="001E2783">
        <w:rPr>
          <w:rFonts w:cs="Arial"/>
        </w:rPr>
        <w:t>below</w:t>
      </w:r>
      <w:r w:rsidRPr="001E2783">
        <w:rPr>
          <w:rFonts w:cs="Arial"/>
        </w:rPr>
        <w:t>). TUSMA also manages contracts with Telstra for the provision of standard telephone services and payphones under the USO.</w:t>
      </w:r>
    </w:p>
    <w:p w14:paraId="4413F87A" w14:textId="77777777" w:rsidR="00421608" w:rsidRPr="001E2783" w:rsidRDefault="00421608" w:rsidP="00421608">
      <w:pPr>
        <w:rPr>
          <w:rFonts w:cs="Arial"/>
        </w:rPr>
      </w:pPr>
    </w:p>
    <w:p w14:paraId="4D3032D1" w14:textId="77777777" w:rsidR="00421608" w:rsidRPr="001E2783" w:rsidRDefault="00421608" w:rsidP="00421608">
      <w:pPr>
        <w:rPr>
          <w:rFonts w:cs="Arial"/>
        </w:rPr>
      </w:pPr>
      <w:r w:rsidRPr="001E2783">
        <w:rPr>
          <w:rFonts w:cs="Arial"/>
        </w:rPr>
        <w:t xml:space="preserve">Telstra continues to be the only universal service provider and is responsible for all areas in Australia. </w:t>
      </w:r>
    </w:p>
    <w:p w14:paraId="4D1A553D" w14:textId="77777777" w:rsidR="00D95D76" w:rsidRPr="001E2783" w:rsidRDefault="00D95D76" w:rsidP="00421608">
      <w:pPr>
        <w:rPr>
          <w:rFonts w:cs="Arial"/>
        </w:rPr>
      </w:pPr>
    </w:p>
    <w:p w14:paraId="0644F2C9" w14:textId="734D1BFD" w:rsidR="00CC119D" w:rsidRPr="001E2783" w:rsidRDefault="00421608" w:rsidP="00421608">
      <w:pPr>
        <w:rPr>
          <w:rFonts w:cs="Arial"/>
        </w:rPr>
      </w:pPr>
      <w:r w:rsidRPr="001E2783">
        <w:rPr>
          <w:rFonts w:cs="Arial"/>
        </w:rPr>
        <w:t xml:space="preserve">For information about USO funding and eligible revenue assessment, see </w:t>
      </w:r>
      <w:r w:rsidR="009B749A" w:rsidRPr="009B749A">
        <w:rPr>
          <w:rFonts w:cs="Arial"/>
          <w:i/>
        </w:rPr>
        <w:t>Telecommunications services funding</w:t>
      </w:r>
      <w:r w:rsidR="009B749A">
        <w:rPr>
          <w:rFonts w:cs="Arial"/>
        </w:rPr>
        <w:t xml:space="preserve"> and </w:t>
      </w:r>
      <w:r w:rsidR="009B749A" w:rsidRPr="009B749A">
        <w:rPr>
          <w:rFonts w:cs="Arial"/>
          <w:i/>
        </w:rPr>
        <w:t>Eligible revenue assessment</w:t>
      </w:r>
      <w:r w:rsidR="00F736B7" w:rsidRPr="001E2783">
        <w:rPr>
          <w:rFonts w:cs="Arial"/>
        </w:rPr>
        <w:t>.</w:t>
      </w:r>
    </w:p>
    <w:p w14:paraId="1E22B288" w14:textId="77777777" w:rsidR="00421608" w:rsidRPr="001E2783" w:rsidRDefault="00421608" w:rsidP="00421608">
      <w:pPr>
        <w:rPr>
          <w:rFonts w:cs="Arial"/>
          <w:i/>
        </w:rPr>
      </w:pPr>
    </w:p>
    <w:p w14:paraId="3427D703" w14:textId="77777777" w:rsidR="00CC119D" w:rsidRPr="001E2783" w:rsidRDefault="00CC119D" w:rsidP="00CC119D">
      <w:pPr>
        <w:pStyle w:val="Heading3"/>
      </w:pPr>
      <w:bookmarkStart w:id="235" w:name="_Toc337727624"/>
      <w:bookmarkStart w:id="236" w:name="_Toc400018590"/>
      <w:r w:rsidRPr="001E2783">
        <w:t>Payphone performance</w:t>
      </w:r>
      <w:bookmarkEnd w:id="235"/>
      <w:bookmarkEnd w:id="236"/>
    </w:p>
    <w:p w14:paraId="77704C21" w14:textId="77777777" w:rsidR="00421608" w:rsidRPr="001E2783" w:rsidRDefault="00421608" w:rsidP="00421608">
      <w:pPr>
        <w:spacing w:after="80"/>
        <w:rPr>
          <w:rFonts w:cs="Arial"/>
        </w:rPr>
      </w:pPr>
      <w:r w:rsidRPr="001E2783">
        <w:rPr>
          <w:rFonts w:cs="Arial"/>
        </w:rPr>
        <w:t>In January 2014</w:t>
      </w:r>
      <w:r w:rsidR="007215CA" w:rsidRPr="001E2783">
        <w:rPr>
          <w:rFonts w:cs="Arial"/>
        </w:rPr>
        <w:t>,</w:t>
      </w:r>
      <w:r w:rsidRPr="001E2783">
        <w:rPr>
          <w:rFonts w:cs="Arial"/>
        </w:rPr>
        <w:t xml:space="preserve"> the ACMA </w:t>
      </w:r>
      <w:r w:rsidR="00D95D76" w:rsidRPr="001E2783">
        <w:rPr>
          <w:rFonts w:cs="Arial"/>
        </w:rPr>
        <w:t xml:space="preserve">announced the conclusion of </w:t>
      </w:r>
      <w:r w:rsidRPr="001E2783">
        <w:rPr>
          <w:rFonts w:cs="Arial"/>
        </w:rPr>
        <w:t xml:space="preserve">an investigation </w:t>
      </w:r>
      <w:r w:rsidR="00F736B7" w:rsidRPr="001E2783">
        <w:rPr>
          <w:rFonts w:cs="Arial"/>
        </w:rPr>
        <w:t>into</w:t>
      </w:r>
      <w:r w:rsidRPr="001E2783">
        <w:rPr>
          <w:rFonts w:cs="Arial"/>
        </w:rPr>
        <w:t xml:space="preserve"> Telstra’s compliance with payphone removal require</w:t>
      </w:r>
      <w:r w:rsidR="00B820A2" w:rsidRPr="001E2783">
        <w:rPr>
          <w:rFonts w:cs="Arial"/>
        </w:rPr>
        <w:t>ments (for the period between 1 </w:t>
      </w:r>
      <w:r w:rsidRPr="001E2783">
        <w:rPr>
          <w:rFonts w:cs="Arial"/>
        </w:rPr>
        <w:t>January 20</w:t>
      </w:r>
      <w:r w:rsidR="00B820A2" w:rsidRPr="001E2783">
        <w:rPr>
          <w:rFonts w:cs="Arial"/>
        </w:rPr>
        <w:t>12 and 31 </w:t>
      </w:r>
      <w:r w:rsidRPr="001E2783">
        <w:rPr>
          <w:rFonts w:cs="Arial"/>
        </w:rPr>
        <w:t>March 2013). Telstra was found to have</w:t>
      </w:r>
      <w:r w:rsidR="007215CA" w:rsidRPr="001E2783">
        <w:rPr>
          <w:rFonts w:cs="Arial"/>
        </w:rPr>
        <w:t xml:space="preserve"> contravened</w:t>
      </w:r>
      <w:r w:rsidRPr="001E2783">
        <w:rPr>
          <w:rFonts w:cs="Arial"/>
        </w:rPr>
        <w:t>:</w:t>
      </w:r>
    </w:p>
    <w:p w14:paraId="2A25771D" w14:textId="77777777" w:rsidR="00421608" w:rsidRPr="001E2783" w:rsidRDefault="00421608" w:rsidP="00421608">
      <w:pPr>
        <w:pStyle w:val="ListBullet"/>
        <w:rPr>
          <w:rFonts w:cs="Arial"/>
        </w:rPr>
      </w:pPr>
      <w:r w:rsidRPr="001E2783">
        <w:rPr>
          <w:rFonts w:cs="Arial"/>
        </w:rPr>
        <w:t>provisions of the Telecommunications Universal Service Obligation (Location of Payphones) Determination 2011</w:t>
      </w:r>
      <w:r w:rsidR="007215CA" w:rsidRPr="001E2783">
        <w:rPr>
          <w:rFonts w:cs="Arial"/>
        </w:rPr>
        <w:t>,</w:t>
      </w:r>
      <w:r w:rsidRPr="001E2783">
        <w:rPr>
          <w:rFonts w:cs="Arial"/>
        </w:rPr>
        <w:t xml:space="preserve"> </w:t>
      </w:r>
      <w:r w:rsidR="007215CA" w:rsidRPr="001E2783">
        <w:rPr>
          <w:rFonts w:cs="Arial"/>
        </w:rPr>
        <w:t>by removing</w:t>
      </w:r>
      <w:r w:rsidRPr="001E2783">
        <w:rPr>
          <w:rFonts w:cs="Arial"/>
        </w:rPr>
        <w:t xml:space="preserve"> eight payphones</w:t>
      </w:r>
    </w:p>
    <w:p w14:paraId="7A576760" w14:textId="77777777" w:rsidR="00421608" w:rsidRPr="001E2783" w:rsidRDefault="00421608" w:rsidP="00421608">
      <w:pPr>
        <w:pStyle w:val="ListBullet"/>
        <w:rPr>
          <w:rFonts w:cs="Arial"/>
        </w:rPr>
      </w:pPr>
      <w:r w:rsidRPr="001E2783">
        <w:rPr>
          <w:rFonts w:cs="Arial"/>
        </w:rPr>
        <w:t>provisions of the Telecommunications Universal Service Obligation (Public Consultation on the Location or Removal of Payphones) Determination 2011 for the same eight payphones</w:t>
      </w:r>
    </w:p>
    <w:p w14:paraId="0625D7E6" w14:textId="77777777" w:rsidR="00421608" w:rsidRPr="001E2783" w:rsidRDefault="00421608" w:rsidP="00421608">
      <w:pPr>
        <w:pStyle w:val="ListBullet"/>
        <w:spacing w:after="240"/>
        <w:rPr>
          <w:rFonts w:cs="Arial"/>
        </w:rPr>
      </w:pPr>
      <w:r w:rsidRPr="001E2783">
        <w:rPr>
          <w:rFonts w:cs="Arial"/>
        </w:rPr>
        <w:t>the Telecommunications Universal Service Obligation (Payphone Comp</w:t>
      </w:r>
      <w:r w:rsidR="00F736B7" w:rsidRPr="001E2783">
        <w:rPr>
          <w:rFonts w:cs="Arial"/>
        </w:rPr>
        <w:t>laint Rules) Determination 2011</w:t>
      </w:r>
      <w:r w:rsidRPr="001E2783">
        <w:rPr>
          <w:rFonts w:cs="Arial"/>
        </w:rPr>
        <w:t xml:space="preserve"> in relation to </w:t>
      </w:r>
      <w:r w:rsidR="007215CA" w:rsidRPr="001E2783">
        <w:rPr>
          <w:rFonts w:cs="Arial"/>
        </w:rPr>
        <w:t>where</w:t>
      </w:r>
      <w:r w:rsidRPr="001E2783">
        <w:rPr>
          <w:rFonts w:cs="Arial"/>
        </w:rPr>
        <w:t xml:space="preserve"> the payphone complaint process </w:t>
      </w:r>
      <w:r w:rsidR="007215CA" w:rsidRPr="001E2783">
        <w:rPr>
          <w:rFonts w:cs="Arial"/>
        </w:rPr>
        <w:t xml:space="preserve">was located </w:t>
      </w:r>
      <w:r w:rsidRPr="001E2783">
        <w:rPr>
          <w:rFonts w:cs="Arial"/>
        </w:rPr>
        <w:t xml:space="preserve">on its website. </w:t>
      </w:r>
    </w:p>
    <w:p w14:paraId="74D83625" w14:textId="77777777" w:rsidR="00421608" w:rsidRPr="001E2783" w:rsidRDefault="00421608" w:rsidP="00421608">
      <w:pPr>
        <w:rPr>
          <w:rFonts w:cs="Arial"/>
        </w:rPr>
      </w:pPr>
      <w:r w:rsidRPr="001E2783">
        <w:rPr>
          <w:rFonts w:cs="Arial"/>
        </w:rPr>
        <w:t xml:space="preserve">These contraventions resulted in breaches of the Telecommunications Act and the </w:t>
      </w:r>
      <w:r w:rsidR="007215CA" w:rsidRPr="001E2783">
        <w:rPr>
          <w:rFonts w:cs="Arial"/>
        </w:rPr>
        <w:t xml:space="preserve">TCPSS </w:t>
      </w:r>
      <w:r w:rsidRPr="001E2783">
        <w:rPr>
          <w:rFonts w:cs="Arial"/>
        </w:rPr>
        <w:t>Act. The ACMA issued a formal warning to Telstra for these breaches.</w:t>
      </w:r>
    </w:p>
    <w:p w14:paraId="25A20DFF" w14:textId="77777777" w:rsidR="00421608" w:rsidRPr="001E2783" w:rsidRDefault="00421608" w:rsidP="00421608">
      <w:pPr>
        <w:rPr>
          <w:rFonts w:cs="Arial"/>
        </w:rPr>
      </w:pPr>
    </w:p>
    <w:p w14:paraId="54FFC07C" w14:textId="77777777" w:rsidR="00421608" w:rsidRPr="001E2783" w:rsidRDefault="00421608" w:rsidP="00421608">
      <w:pPr>
        <w:rPr>
          <w:rFonts w:cs="Arial"/>
        </w:rPr>
      </w:pPr>
      <w:r w:rsidRPr="001E2783">
        <w:rPr>
          <w:rFonts w:cs="Arial"/>
        </w:rPr>
        <w:t>In October 2013, the ACMA completed its assessment of Telstra’s compliance against the Telecommunications Universal Service Obligation (Paypho</w:t>
      </w:r>
      <w:r w:rsidR="00B820A2" w:rsidRPr="001E2783">
        <w:rPr>
          <w:rFonts w:cs="Arial"/>
        </w:rPr>
        <w:t>ne Performance Benchmarks) (No. 1) 2011 for the period 1 July 2012 to 30 </w:t>
      </w:r>
      <w:r w:rsidRPr="001E2783">
        <w:rPr>
          <w:rFonts w:cs="Arial"/>
        </w:rPr>
        <w:t>June 2013. The ACMA determined that Telstra met the required benchmarks.</w:t>
      </w:r>
    </w:p>
    <w:p w14:paraId="72882E82" w14:textId="77777777" w:rsidR="00421608" w:rsidRPr="001E2783" w:rsidRDefault="00421608" w:rsidP="00421608">
      <w:pPr>
        <w:rPr>
          <w:rFonts w:cs="Arial"/>
        </w:rPr>
      </w:pPr>
    </w:p>
    <w:p w14:paraId="6D6D2CC8" w14:textId="77777777" w:rsidR="00350B44" w:rsidRPr="001E2783" w:rsidRDefault="00421608" w:rsidP="00421608">
      <w:pPr>
        <w:rPr>
          <w:rFonts w:cs="Arial"/>
        </w:rPr>
      </w:pPr>
      <w:r w:rsidRPr="001E2783">
        <w:rPr>
          <w:rFonts w:cs="Arial"/>
        </w:rPr>
        <w:t xml:space="preserve">In 2013–14, the ACMA received one complaint </w:t>
      </w:r>
      <w:r w:rsidR="007215CA" w:rsidRPr="001E2783">
        <w:rPr>
          <w:rFonts w:cs="Arial"/>
        </w:rPr>
        <w:t xml:space="preserve">on the relocation of </w:t>
      </w:r>
      <w:r w:rsidRPr="001E2783">
        <w:rPr>
          <w:rFonts w:cs="Arial"/>
        </w:rPr>
        <w:t>a payphone. The ACMA finalised this review within the reporting period and found that Telstra had complied with its Standard Marketing Plan and other agreed processes.</w:t>
      </w:r>
    </w:p>
    <w:p w14:paraId="105BE2BB" w14:textId="77777777" w:rsidR="00421608" w:rsidRPr="001E2783" w:rsidRDefault="00421608" w:rsidP="00421608">
      <w:pPr>
        <w:rPr>
          <w:rFonts w:cs="Arial"/>
        </w:rPr>
      </w:pPr>
    </w:p>
    <w:p w14:paraId="3015CCF8" w14:textId="77777777" w:rsidR="00CC119D" w:rsidRPr="001E2783" w:rsidRDefault="00CC119D" w:rsidP="00CC119D">
      <w:pPr>
        <w:pStyle w:val="Heading3"/>
      </w:pPr>
      <w:bookmarkStart w:id="237" w:name="_Toc337727625"/>
      <w:bookmarkStart w:id="238" w:name="_Toc400018591"/>
      <w:r w:rsidRPr="001E2783">
        <w:t>Customer Service Guarantee</w:t>
      </w:r>
      <w:bookmarkEnd w:id="237"/>
      <w:bookmarkEnd w:id="238"/>
    </w:p>
    <w:p w14:paraId="4F64FFF0" w14:textId="77777777" w:rsidR="00215591" w:rsidRPr="001E2783" w:rsidRDefault="009212F5" w:rsidP="00215591">
      <w:pPr>
        <w:rPr>
          <w:rFonts w:cs="Arial"/>
        </w:rPr>
      </w:pPr>
      <w:r w:rsidRPr="001E2783">
        <w:rPr>
          <w:rFonts w:cs="Arial"/>
        </w:rPr>
        <w:t>In January 2014</w:t>
      </w:r>
      <w:r w:rsidR="00215591" w:rsidRPr="001E2783">
        <w:rPr>
          <w:rFonts w:cs="Arial"/>
        </w:rPr>
        <w:t xml:space="preserve">, the ACMA </w:t>
      </w:r>
      <w:r w:rsidRPr="001E2783">
        <w:rPr>
          <w:rFonts w:cs="Arial"/>
        </w:rPr>
        <w:t>released</w:t>
      </w:r>
      <w:r w:rsidR="00215591" w:rsidRPr="001E2783">
        <w:rPr>
          <w:rFonts w:cs="Arial"/>
        </w:rPr>
        <w:t xml:space="preserve"> its assessment of the compliance of qualifying </w:t>
      </w:r>
      <w:r w:rsidR="00D47BF7" w:rsidRPr="001E2783">
        <w:rPr>
          <w:rFonts w:cs="Arial"/>
        </w:rPr>
        <w:t>CSPs</w:t>
      </w:r>
      <w:r w:rsidR="00215591" w:rsidRPr="001E2783">
        <w:rPr>
          <w:rFonts w:cs="Arial"/>
        </w:rPr>
        <w:t xml:space="preserve"> against the Telecommunications (Customer Service Guarantee – Retail Performance Benchmarks) Instrument (No.</w:t>
      </w:r>
      <w:r w:rsidR="00D47BF7" w:rsidRPr="001E2783">
        <w:rPr>
          <w:rFonts w:cs="Arial"/>
        </w:rPr>
        <w:t> </w:t>
      </w:r>
      <w:r w:rsidR="00215591" w:rsidRPr="001E2783">
        <w:rPr>
          <w:rFonts w:cs="Arial"/>
        </w:rPr>
        <w:t xml:space="preserve">1) 2011 and the Telecommunications (Customer Service Guarantee) Record-Keeping Rules </w:t>
      </w:r>
      <w:r w:rsidR="00D47BF7" w:rsidRPr="001E2783">
        <w:rPr>
          <w:rFonts w:cs="Arial"/>
        </w:rPr>
        <w:t>2011. The benchmarks and record-</w:t>
      </w:r>
      <w:r w:rsidR="00215591" w:rsidRPr="001E2783">
        <w:rPr>
          <w:rFonts w:cs="Arial"/>
        </w:rPr>
        <w:t>keeping rules applied to Telstra, Optus</w:t>
      </w:r>
      <w:r w:rsidR="00D47BF7" w:rsidRPr="001E2783">
        <w:rPr>
          <w:rFonts w:cs="Arial"/>
        </w:rPr>
        <w:t>, iiNet and Primus for the 2012–</w:t>
      </w:r>
      <w:r w:rsidR="00215591" w:rsidRPr="001E2783">
        <w:rPr>
          <w:rFonts w:cs="Arial"/>
        </w:rPr>
        <w:t>13 period</w:t>
      </w:r>
      <w:r w:rsidRPr="001E2783">
        <w:rPr>
          <w:rFonts w:cs="Arial"/>
        </w:rPr>
        <w:t xml:space="preserve">. </w:t>
      </w:r>
      <w:r w:rsidR="00215591" w:rsidRPr="001E2783">
        <w:rPr>
          <w:rFonts w:cs="Arial"/>
        </w:rPr>
        <w:t>Optus, iiNet and Primus me</w:t>
      </w:r>
      <w:r w:rsidRPr="001E2783">
        <w:rPr>
          <w:rFonts w:cs="Arial"/>
        </w:rPr>
        <w:t>t</w:t>
      </w:r>
      <w:r w:rsidR="00215591" w:rsidRPr="001E2783">
        <w:rPr>
          <w:rFonts w:cs="Arial"/>
        </w:rPr>
        <w:t xml:space="preserve"> all </w:t>
      </w:r>
      <w:r w:rsidRPr="001E2783">
        <w:rPr>
          <w:rFonts w:cs="Arial"/>
        </w:rPr>
        <w:t>relevant benchmarks in the reporting period.</w:t>
      </w:r>
      <w:r w:rsidR="00215591" w:rsidRPr="001E2783">
        <w:rPr>
          <w:rFonts w:cs="Arial"/>
        </w:rPr>
        <w:t xml:space="preserve"> </w:t>
      </w:r>
    </w:p>
    <w:p w14:paraId="70BB7CB7" w14:textId="77777777" w:rsidR="00215591" w:rsidRPr="001E2783" w:rsidRDefault="00215591" w:rsidP="00215591">
      <w:pPr>
        <w:rPr>
          <w:rFonts w:cs="Arial"/>
        </w:rPr>
      </w:pPr>
    </w:p>
    <w:p w14:paraId="63AC7336" w14:textId="77777777" w:rsidR="00215591" w:rsidRPr="001E2783" w:rsidRDefault="00215591" w:rsidP="00215591">
      <w:pPr>
        <w:spacing w:after="80"/>
        <w:rPr>
          <w:rFonts w:cs="Arial"/>
        </w:rPr>
      </w:pPr>
      <w:r w:rsidRPr="001E2783">
        <w:rPr>
          <w:rFonts w:cs="Arial"/>
        </w:rPr>
        <w:t>There are nine applicable benchmarks for Telstra, of which it met seven. The two not met were</w:t>
      </w:r>
      <w:r w:rsidR="00D47BF7" w:rsidRPr="001E2783">
        <w:rPr>
          <w:rFonts w:cs="Arial"/>
        </w:rPr>
        <w:t xml:space="preserve"> for</w:t>
      </w:r>
      <w:r w:rsidRPr="001E2783">
        <w:rPr>
          <w:rFonts w:cs="Arial"/>
        </w:rPr>
        <w:t>:</w:t>
      </w:r>
    </w:p>
    <w:p w14:paraId="69CCCCD6" w14:textId="77777777" w:rsidR="00215591" w:rsidRPr="001E2783" w:rsidRDefault="00215591" w:rsidP="00215591">
      <w:pPr>
        <w:pStyle w:val="ListBullet"/>
        <w:rPr>
          <w:rFonts w:cs="Arial"/>
        </w:rPr>
      </w:pPr>
      <w:r w:rsidRPr="001E2783">
        <w:rPr>
          <w:rFonts w:cs="Arial"/>
        </w:rPr>
        <w:t>new c</w:t>
      </w:r>
      <w:r w:rsidR="00B820A2" w:rsidRPr="001E2783">
        <w:rPr>
          <w:rFonts w:cs="Arial"/>
        </w:rPr>
        <w:t>onnections in urban areas (88.6 </w:t>
      </w:r>
      <w:r w:rsidRPr="001E2783">
        <w:rPr>
          <w:rFonts w:cs="Arial"/>
        </w:rPr>
        <w:t>per cent performance agains</w:t>
      </w:r>
      <w:r w:rsidR="00B820A2" w:rsidRPr="001E2783">
        <w:rPr>
          <w:rFonts w:cs="Arial"/>
        </w:rPr>
        <w:t>t a 90 </w:t>
      </w:r>
      <w:r w:rsidR="00D47BF7" w:rsidRPr="001E2783">
        <w:rPr>
          <w:rFonts w:cs="Arial"/>
        </w:rPr>
        <w:t>per cent benchmark)</w:t>
      </w:r>
    </w:p>
    <w:p w14:paraId="70DB0EFF" w14:textId="77777777" w:rsidR="00215591" w:rsidRPr="001E2783" w:rsidRDefault="00215591" w:rsidP="00215591">
      <w:pPr>
        <w:pStyle w:val="ListBullet"/>
        <w:spacing w:after="240"/>
        <w:rPr>
          <w:rFonts w:cs="Arial"/>
        </w:rPr>
      </w:pPr>
      <w:r w:rsidRPr="001E2783">
        <w:rPr>
          <w:rFonts w:cs="Arial"/>
        </w:rPr>
        <w:t>new co</w:t>
      </w:r>
      <w:r w:rsidR="00B820A2" w:rsidRPr="001E2783">
        <w:rPr>
          <w:rFonts w:cs="Arial"/>
        </w:rPr>
        <w:t>nnections in remote areas (89.0 </w:t>
      </w:r>
      <w:r w:rsidRPr="001E2783">
        <w:rPr>
          <w:rFonts w:cs="Arial"/>
        </w:rPr>
        <w:t>pe</w:t>
      </w:r>
      <w:r w:rsidR="00B820A2" w:rsidRPr="001E2783">
        <w:rPr>
          <w:rFonts w:cs="Arial"/>
        </w:rPr>
        <w:t>r cent performance against a 90 </w:t>
      </w:r>
      <w:r w:rsidRPr="001E2783">
        <w:rPr>
          <w:rFonts w:cs="Arial"/>
        </w:rPr>
        <w:t xml:space="preserve">per cent benchmark). </w:t>
      </w:r>
    </w:p>
    <w:p w14:paraId="1EDB4400" w14:textId="77777777" w:rsidR="00215591" w:rsidRPr="001E2783" w:rsidRDefault="00215591" w:rsidP="00215591">
      <w:pPr>
        <w:rPr>
          <w:rFonts w:cs="Arial"/>
        </w:rPr>
      </w:pPr>
      <w:r w:rsidRPr="001E2783">
        <w:rPr>
          <w:rFonts w:cs="Arial"/>
        </w:rPr>
        <w:t>The ACMA issued Telstra an infringement notice with an administrative penalty of $510,000 (</w:t>
      </w:r>
      <w:r w:rsidR="009212F5" w:rsidRPr="001E2783">
        <w:rPr>
          <w:rFonts w:cs="Arial"/>
        </w:rPr>
        <w:t xml:space="preserve">subsequently </w:t>
      </w:r>
      <w:r w:rsidRPr="001E2783">
        <w:rPr>
          <w:rFonts w:cs="Arial"/>
        </w:rPr>
        <w:t>paid by Telstra) for the breach</w:t>
      </w:r>
      <w:r w:rsidR="009212F5" w:rsidRPr="001E2783">
        <w:rPr>
          <w:rFonts w:cs="Arial"/>
        </w:rPr>
        <w:t xml:space="preserve"> relating to new connections in urban areas</w:t>
      </w:r>
      <w:r w:rsidRPr="001E2783">
        <w:rPr>
          <w:rFonts w:cs="Arial"/>
        </w:rPr>
        <w:t xml:space="preserve"> and issued a formal warning for the breach</w:t>
      </w:r>
      <w:r w:rsidR="009212F5" w:rsidRPr="001E2783">
        <w:rPr>
          <w:rFonts w:cs="Arial"/>
        </w:rPr>
        <w:t xml:space="preserve"> relating to new connections in remote areas.</w:t>
      </w:r>
    </w:p>
    <w:p w14:paraId="5CCC751C" w14:textId="77777777" w:rsidR="00215591" w:rsidRPr="001E2783" w:rsidRDefault="00215591" w:rsidP="00215591">
      <w:pPr>
        <w:rPr>
          <w:rFonts w:cs="Arial"/>
        </w:rPr>
      </w:pPr>
    </w:p>
    <w:p w14:paraId="2AB5AD75" w14:textId="77777777" w:rsidR="00515426" w:rsidRPr="001E2783" w:rsidRDefault="00515426" w:rsidP="00515426">
      <w:pPr>
        <w:rPr>
          <w:rFonts w:cs="Arial"/>
        </w:rPr>
      </w:pPr>
      <w:r w:rsidRPr="001E2783">
        <w:rPr>
          <w:rFonts w:cs="Arial"/>
        </w:rPr>
        <w:t xml:space="preserve">The ACMA also receives notification of exemptions claimed by CSPs for mass service disruptions and monitors this information to determine that the requirements for claiming exemptions have been met. The number of mass service disruption notices (not including extensions) received by the ACMA from carriers/CSPs decreased from 265 in 2012–13 to </w:t>
      </w:r>
      <w:r w:rsidR="009212F5" w:rsidRPr="001E2783">
        <w:rPr>
          <w:rFonts w:cs="Arial"/>
        </w:rPr>
        <w:t>234</w:t>
      </w:r>
      <w:r w:rsidR="00D47BF7" w:rsidRPr="001E2783">
        <w:rPr>
          <w:rFonts w:cs="Arial"/>
        </w:rPr>
        <w:t xml:space="preserve"> in 2013–</w:t>
      </w:r>
      <w:r w:rsidR="00B820A2" w:rsidRPr="001E2783">
        <w:rPr>
          <w:rFonts w:cs="Arial"/>
        </w:rPr>
        <w:t>14 (see Table </w:t>
      </w:r>
      <w:r w:rsidR="00856140" w:rsidRPr="001E2783">
        <w:rPr>
          <w:rFonts w:cs="Arial"/>
        </w:rPr>
        <w:t>35</w:t>
      </w:r>
      <w:r w:rsidRPr="001E2783">
        <w:rPr>
          <w:rFonts w:cs="Arial"/>
        </w:rPr>
        <w:t>).</w:t>
      </w:r>
      <w:r w:rsidR="00D47BF7" w:rsidRPr="001E2783">
        <w:rPr>
          <w:rFonts w:cs="Arial"/>
        </w:rPr>
        <w:t xml:space="preserve"> The impact of each exemption</w:t>
      </w:r>
      <w:r w:rsidRPr="001E2783">
        <w:rPr>
          <w:rFonts w:cs="Arial"/>
        </w:rPr>
        <w:t xml:space="preserve"> varies in the number of services affected and the duration.</w:t>
      </w:r>
    </w:p>
    <w:p w14:paraId="16CC25C4" w14:textId="77777777" w:rsidR="00215591" w:rsidRPr="001E2783" w:rsidRDefault="00215591" w:rsidP="00215591">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736FFC74" w14:textId="77777777" w:rsidTr="00C902FF">
        <w:trPr>
          <w:trHeight w:val="570"/>
        </w:trPr>
        <w:tc>
          <w:tcPr>
            <w:tcW w:w="9645" w:type="dxa"/>
            <w:tcBorders>
              <w:top w:val="single" w:sz="2" w:space="0" w:color="505050"/>
            </w:tcBorders>
            <w:shd w:val="clear" w:color="auto" w:fill="auto"/>
            <w:vAlign w:val="center"/>
          </w:tcPr>
          <w:p w14:paraId="30D195E3" w14:textId="77777777" w:rsidR="00CC119D" w:rsidRPr="001E2783" w:rsidRDefault="00CC119D" w:rsidP="00F736B7">
            <w:pPr>
              <w:pStyle w:val="Caption"/>
              <w:keepNext/>
              <w:keepLines/>
              <w:rPr>
                <w:rFonts w:ascii="Arial" w:hAnsi="Arial" w:cs="Arial"/>
                <w:color w:val="auto"/>
              </w:rPr>
            </w:pPr>
            <w:r w:rsidRPr="00D3485F">
              <w:rPr>
                <w:rFonts w:ascii="Arial" w:hAnsi="Arial" w:cs="Arial"/>
              </w:rPr>
              <w:t xml:space="preserve">Table </w:t>
            </w:r>
            <w:r w:rsidR="00856140" w:rsidRPr="00D3485F">
              <w:rPr>
                <w:rFonts w:ascii="Arial" w:hAnsi="Arial" w:cs="Arial"/>
              </w:rPr>
              <w:t>35</w:t>
            </w:r>
            <w:r w:rsidRPr="00D3485F">
              <w:rPr>
                <w:rFonts w:ascii="Arial" w:hAnsi="Arial" w:cs="Arial"/>
              </w:rPr>
              <w:t>: Mass service disruption notices, by carrier/CSP</w:t>
            </w:r>
          </w:p>
        </w:tc>
      </w:tr>
      <w:tr w:rsidR="001E2783" w:rsidRPr="001E2783" w14:paraId="15972625" w14:textId="77777777" w:rsidTr="00C902FF">
        <w:trPr>
          <w:trHeight w:val="290"/>
        </w:trPr>
        <w:tc>
          <w:tcPr>
            <w:tcW w:w="9645" w:type="dxa"/>
            <w:shd w:val="clear" w:color="auto" w:fill="auto"/>
            <w:tcMar>
              <w:left w:w="28" w:type="dxa"/>
            </w:tcMa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28"/>
              <w:gridCol w:w="2835"/>
            </w:tblGrid>
            <w:tr w:rsidR="001E2783" w:rsidRPr="001E2783" w14:paraId="2EC8406B" w14:textId="77777777" w:rsidTr="00CE252A">
              <w:trPr>
                <w:cantSplit/>
                <w:trHeight w:val="274"/>
              </w:trPr>
              <w:tc>
                <w:tcPr>
                  <w:tcW w:w="3228" w:type="dxa"/>
                  <w:shd w:val="clear" w:color="auto" w:fill="404040" w:themeFill="text1" w:themeFillTint="BF"/>
                  <w:tcMar>
                    <w:top w:w="57" w:type="dxa"/>
                    <w:left w:w="57" w:type="dxa"/>
                    <w:bottom w:w="57" w:type="dxa"/>
                    <w:right w:w="57" w:type="dxa"/>
                  </w:tcMar>
                </w:tcPr>
                <w:p w14:paraId="2A34E9EC" w14:textId="77777777" w:rsidR="00041872" w:rsidRPr="007F3FB8" w:rsidRDefault="00041872" w:rsidP="00D47BF7">
                  <w:pPr>
                    <w:pStyle w:val="TableHeading"/>
                    <w:keepNext/>
                    <w:rPr>
                      <w:rFonts w:ascii="Arial" w:hAnsi="Arial" w:cs="Arial"/>
                      <w:color w:val="FFFFFF" w:themeColor="background1"/>
                    </w:rPr>
                  </w:pPr>
                  <w:r w:rsidRPr="007F3FB8">
                    <w:rPr>
                      <w:rFonts w:ascii="Arial" w:hAnsi="Arial" w:cs="Arial"/>
                      <w:color w:val="FFFFFF" w:themeColor="background1"/>
                    </w:rPr>
                    <w:t>Carrier</w:t>
                  </w:r>
                </w:p>
              </w:tc>
              <w:tc>
                <w:tcPr>
                  <w:tcW w:w="2835" w:type="dxa"/>
                  <w:shd w:val="clear" w:color="auto" w:fill="404040" w:themeFill="text1" w:themeFillTint="BF"/>
                  <w:tcMar>
                    <w:top w:w="57" w:type="dxa"/>
                    <w:left w:w="57" w:type="dxa"/>
                    <w:bottom w:w="57" w:type="dxa"/>
                    <w:right w:w="57" w:type="dxa"/>
                  </w:tcMar>
                </w:tcPr>
                <w:p w14:paraId="4AFEDF45" w14:textId="77777777" w:rsidR="00041872" w:rsidRPr="007F3FB8" w:rsidRDefault="00041872" w:rsidP="00B820A2">
                  <w:pPr>
                    <w:pStyle w:val="TableHeading"/>
                    <w:keepNext/>
                    <w:jc w:val="right"/>
                    <w:rPr>
                      <w:rFonts w:ascii="Arial" w:hAnsi="Arial" w:cs="Arial"/>
                      <w:color w:val="FFFFFF" w:themeColor="background1"/>
                    </w:rPr>
                  </w:pPr>
                  <w:r w:rsidRPr="007F3FB8">
                    <w:rPr>
                      <w:rFonts w:ascii="Arial" w:hAnsi="Arial" w:cs="Arial"/>
                      <w:color w:val="FFFFFF" w:themeColor="background1"/>
                    </w:rPr>
                    <w:t>No. of notices</w:t>
                  </w:r>
                </w:p>
              </w:tc>
            </w:tr>
            <w:tr w:rsidR="001E2783" w:rsidRPr="001E2783" w14:paraId="77A3D0FE" w14:textId="77777777" w:rsidTr="00CE252A">
              <w:trPr>
                <w:cantSplit/>
              </w:trPr>
              <w:tc>
                <w:tcPr>
                  <w:tcW w:w="3228" w:type="dxa"/>
                  <w:tcMar>
                    <w:top w:w="57" w:type="dxa"/>
                    <w:left w:w="57" w:type="dxa"/>
                    <w:bottom w:w="57" w:type="dxa"/>
                    <w:right w:w="57" w:type="dxa"/>
                  </w:tcMar>
                </w:tcPr>
                <w:p w14:paraId="535C275B" w14:textId="77777777" w:rsidR="009212F5" w:rsidRPr="001E2783" w:rsidRDefault="009212F5" w:rsidP="009212F5">
                  <w:pPr>
                    <w:pStyle w:val="TableTextLeft"/>
                    <w:rPr>
                      <w:rFonts w:cs="Arial"/>
                      <w:sz w:val="20"/>
                    </w:rPr>
                  </w:pPr>
                  <w:r w:rsidRPr="001E2783">
                    <w:rPr>
                      <w:rFonts w:cs="Arial"/>
                      <w:sz w:val="20"/>
                    </w:rPr>
                    <w:t>Telstra</w:t>
                  </w:r>
                </w:p>
              </w:tc>
              <w:tc>
                <w:tcPr>
                  <w:tcW w:w="2835" w:type="dxa"/>
                  <w:tcMar>
                    <w:top w:w="57" w:type="dxa"/>
                    <w:left w:w="57" w:type="dxa"/>
                    <w:bottom w:w="57" w:type="dxa"/>
                    <w:right w:w="57" w:type="dxa"/>
                  </w:tcMar>
                </w:tcPr>
                <w:p w14:paraId="115EA9C6" w14:textId="77777777" w:rsidR="009212F5" w:rsidRPr="001E2783" w:rsidRDefault="009212F5" w:rsidP="009212F5">
                  <w:pPr>
                    <w:pStyle w:val="TableTextLeft"/>
                    <w:jc w:val="right"/>
                    <w:rPr>
                      <w:rFonts w:cs="Arial"/>
                      <w:sz w:val="20"/>
                    </w:rPr>
                  </w:pPr>
                  <w:r w:rsidRPr="001E2783">
                    <w:rPr>
                      <w:rFonts w:cs="Arial"/>
                      <w:sz w:val="20"/>
                    </w:rPr>
                    <w:t>60</w:t>
                  </w:r>
                </w:p>
              </w:tc>
            </w:tr>
            <w:tr w:rsidR="001E2783" w:rsidRPr="001E2783" w14:paraId="09A3B371" w14:textId="77777777" w:rsidTr="00CE252A">
              <w:trPr>
                <w:cantSplit/>
              </w:trPr>
              <w:tc>
                <w:tcPr>
                  <w:tcW w:w="3228" w:type="dxa"/>
                  <w:tcMar>
                    <w:top w:w="57" w:type="dxa"/>
                    <w:left w:w="57" w:type="dxa"/>
                    <w:bottom w:w="57" w:type="dxa"/>
                    <w:right w:w="57" w:type="dxa"/>
                  </w:tcMar>
                </w:tcPr>
                <w:p w14:paraId="629585B9" w14:textId="77777777" w:rsidR="009212F5" w:rsidRPr="001E2783" w:rsidRDefault="009212F5" w:rsidP="009212F5">
                  <w:pPr>
                    <w:pStyle w:val="TableTextLeft"/>
                    <w:rPr>
                      <w:rFonts w:cs="Arial"/>
                      <w:sz w:val="20"/>
                    </w:rPr>
                  </w:pPr>
                  <w:r w:rsidRPr="001E2783">
                    <w:rPr>
                      <w:rFonts w:cs="Arial"/>
                      <w:sz w:val="20"/>
                    </w:rPr>
                    <w:t>iiNet</w:t>
                  </w:r>
                </w:p>
              </w:tc>
              <w:tc>
                <w:tcPr>
                  <w:tcW w:w="2835" w:type="dxa"/>
                  <w:tcMar>
                    <w:top w:w="57" w:type="dxa"/>
                    <w:left w:w="57" w:type="dxa"/>
                    <w:bottom w:w="57" w:type="dxa"/>
                    <w:right w:w="57" w:type="dxa"/>
                  </w:tcMar>
                </w:tcPr>
                <w:p w14:paraId="1D380850" w14:textId="77777777" w:rsidR="009212F5" w:rsidRPr="001E2783" w:rsidRDefault="009212F5" w:rsidP="009212F5">
                  <w:pPr>
                    <w:pStyle w:val="TableTextLeft"/>
                    <w:jc w:val="right"/>
                    <w:rPr>
                      <w:rFonts w:cs="Arial"/>
                      <w:sz w:val="20"/>
                    </w:rPr>
                  </w:pPr>
                  <w:r w:rsidRPr="001E2783">
                    <w:rPr>
                      <w:rFonts w:cs="Arial"/>
                      <w:sz w:val="20"/>
                    </w:rPr>
                    <w:t>60</w:t>
                  </w:r>
                </w:p>
              </w:tc>
            </w:tr>
            <w:tr w:rsidR="001E2783" w:rsidRPr="001E2783" w14:paraId="274D7F17" w14:textId="77777777" w:rsidTr="00CE252A">
              <w:trPr>
                <w:cantSplit/>
              </w:trPr>
              <w:tc>
                <w:tcPr>
                  <w:tcW w:w="3228" w:type="dxa"/>
                  <w:tcMar>
                    <w:top w:w="57" w:type="dxa"/>
                    <w:left w:w="57" w:type="dxa"/>
                    <w:bottom w:w="57" w:type="dxa"/>
                    <w:right w:w="57" w:type="dxa"/>
                  </w:tcMar>
                </w:tcPr>
                <w:p w14:paraId="6827A960" w14:textId="77777777" w:rsidR="009212F5" w:rsidRPr="001E2783" w:rsidRDefault="009212F5" w:rsidP="009212F5">
                  <w:pPr>
                    <w:pStyle w:val="TableTextLeft"/>
                    <w:rPr>
                      <w:rFonts w:cs="Arial"/>
                      <w:sz w:val="20"/>
                    </w:rPr>
                  </w:pPr>
                  <w:r w:rsidRPr="001E2783">
                    <w:rPr>
                      <w:rFonts w:cs="Arial"/>
                      <w:sz w:val="20"/>
                    </w:rPr>
                    <w:t>Optus</w:t>
                  </w:r>
                </w:p>
              </w:tc>
              <w:tc>
                <w:tcPr>
                  <w:tcW w:w="2835" w:type="dxa"/>
                  <w:tcMar>
                    <w:top w:w="57" w:type="dxa"/>
                    <w:left w:w="57" w:type="dxa"/>
                    <w:bottom w:w="57" w:type="dxa"/>
                    <w:right w:w="57" w:type="dxa"/>
                  </w:tcMar>
                </w:tcPr>
                <w:p w14:paraId="5499B1F9" w14:textId="77777777" w:rsidR="009212F5" w:rsidRPr="001E2783" w:rsidDel="009D03B1" w:rsidRDefault="009212F5" w:rsidP="009212F5">
                  <w:pPr>
                    <w:pStyle w:val="TableTextLeft"/>
                    <w:jc w:val="right"/>
                    <w:rPr>
                      <w:rFonts w:cs="Arial"/>
                      <w:sz w:val="20"/>
                    </w:rPr>
                  </w:pPr>
                  <w:r w:rsidRPr="001E2783">
                    <w:rPr>
                      <w:rFonts w:cs="Arial"/>
                      <w:sz w:val="20"/>
                    </w:rPr>
                    <w:t>56</w:t>
                  </w:r>
                </w:p>
              </w:tc>
            </w:tr>
            <w:tr w:rsidR="001E2783" w:rsidRPr="001E2783" w14:paraId="5A88852C" w14:textId="77777777" w:rsidTr="00CE252A">
              <w:trPr>
                <w:cantSplit/>
              </w:trPr>
              <w:tc>
                <w:tcPr>
                  <w:tcW w:w="3228" w:type="dxa"/>
                  <w:tcMar>
                    <w:top w:w="57" w:type="dxa"/>
                    <w:left w:w="57" w:type="dxa"/>
                    <w:bottom w:w="57" w:type="dxa"/>
                    <w:right w:w="57" w:type="dxa"/>
                  </w:tcMar>
                </w:tcPr>
                <w:p w14:paraId="631162D4" w14:textId="77777777" w:rsidR="009212F5" w:rsidRPr="001E2783" w:rsidRDefault="009212F5" w:rsidP="009212F5">
                  <w:pPr>
                    <w:pStyle w:val="TableTextLeft"/>
                    <w:rPr>
                      <w:rFonts w:cs="Arial"/>
                      <w:sz w:val="20"/>
                    </w:rPr>
                  </w:pPr>
                  <w:r w:rsidRPr="001E2783">
                    <w:rPr>
                      <w:rFonts w:cs="Arial"/>
                      <w:sz w:val="20"/>
                    </w:rPr>
                    <w:t>M2 Group</w:t>
                  </w:r>
                  <w:r w:rsidR="00F736B7" w:rsidRPr="001E2783">
                    <w:rPr>
                      <w:rFonts w:cs="Arial"/>
                      <w:sz w:val="20"/>
                    </w:rPr>
                    <w:t>*</w:t>
                  </w:r>
                </w:p>
              </w:tc>
              <w:tc>
                <w:tcPr>
                  <w:tcW w:w="2835" w:type="dxa"/>
                  <w:tcMar>
                    <w:top w:w="57" w:type="dxa"/>
                    <w:left w:w="57" w:type="dxa"/>
                    <w:bottom w:w="57" w:type="dxa"/>
                    <w:right w:w="57" w:type="dxa"/>
                  </w:tcMar>
                </w:tcPr>
                <w:p w14:paraId="2D09582D" w14:textId="77777777" w:rsidR="009212F5" w:rsidRPr="001E2783" w:rsidRDefault="009212F5" w:rsidP="009212F5">
                  <w:pPr>
                    <w:pStyle w:val="TableTextLeft"/>
                    <w:jc w:val="right"/>
                    <w:rPr>
                      <w:rFonts w:cs="Arial"/>
                      <w:sz w:val="20"/>
                    </w:rPr>
                  </w:pPr>
                  <w:r w:rsidRPr="001E2783">
                    <w:rPr>
                      <w:rFonts w:cs="Arial"/>
                      <w:sz w:val="20"/>
                    </w:rPr>
                    <w:t>58</w:t>
                  </w:r>
                </w:p>
              </w:tc>
            </w:tr>
            <w:tr w:rsidR="001E2783" w:rsidRPr="001E2783" w14:paraId="7E3B7EBA" w14:textId="77777777" w:rsidTr="00CE252A">
              <w:trPr>
                <w:cantSplit/>
              </w:trPr>
              <w:tc>
                <w:tcPr>
                  <w:tcW w:w="3228" w:type="dxa"/>
                  <w:tcMar>
                    <w:top w:w="57" w:type="dxa"/>
                    <w:left w:w="57" w:type="dxa"/>
                    <w:bottom w:w="57" w:type="dxa"/>
                    <w:right w:w="57" w:type="dxa"/>
                  </w:tcMar>
                </w:tcPr>
                <w:p w14:paraId="4269C61F" w14:textId="77777777" w:rsidR="009212F5" w:rsidRPr="001E2783" w:rsidRDefault="009212F5" w:rsidP="00D47BF7">
                  <w:pPr>
                    <w:pStyle w:val="TableTextLeft"/>
                    <w:rPr>
                      <w:rFonts w:cs="Arial"/>
                      <w:sz w:val="20"/>
                    </w:rPr>
                  </w:pPr>
                  <w:r w:rsidRPr="001E2783">
                    <w:rPr>
                      <w:rFonts w:cs="Arial"/>
                      <w:b/>
                      <w:sz w:val="20"/>
                    </w:rPr>
                    <w:t>Total</w:t>
                  </w:r>
                </w:p>
              </w:tc>
              <w:tc>
                <w:tcPr>
                  <w:tcW w:w="2835" w:type="dxa"/>
                  <w:tcMar>
                    <w:top w:w="57" w:type="dxa"/>
                    <w:left w:w="57" w:type="dxa"/>
                    <w:bottom w:w="57" w:type="dxa"/>
                    <w:right w:w="57" w:type="dxa"/>
                  </w:tcMar>
                </w:tcPr>
                <w:p w14:paraId="6EE264A2" w14:textId="77777777" w:rsidR="009212F5" w:rsidRPr="001E2783" w:rsidDel="009D03B1" w:rsidRDefault="009212F5" w:rsidP="009212F5">
                  <w:pPr>
                    <w:pStyle w:val="TableTextLeft"/>
                    <w:jc w:val="right"/>
                    <w:rPr>
                      <w:rFonts w:cs="Arial"/>
                      <w:b/>
                      <w:sz w:val="20"/>
                    </w:rPr>
                  </w:pPr>
                  <w:r w:rsidRPr="001E2783">
                    <w:rPr>
                      <w:rFonts w:cs="Arial"/>
                      <w:b/>
                      <w:sz w:val="20"/>
                    </w:rPr>
                    <w:t>234</w:t>
                  </w:r>
                </w:p>
              </w:tc>
            </w:tr>
          </w:tbl>
          <w:p w14:paraId="4B79AAB8" w14:textId="77777777" w:rsidR="00CC119D" w:rsidRPr="001E2783" w:rsidRDefault="00CC119D" w:rsidP="00C902FF">
            <w:pPr>
              <w:ind w:left="720"/>
              <w:rPr>
                <w:rFonts w:cs="Arial"/>
              </w:rPr>
            </w:pPr>
          </w:p>
        </w:tc>
      </w:tr>
      <w:tr w:rsidR="00CC119D" w:rsidRPr="001E2783" w14:paraId="0B353FBE" w14:textId="77777777" w:rsidTr="00C902FF">
        <w:trPr>
          <w:trHeight w:val="61"/>
        </w:trPr>
        <w:tc>
          <w:tcPr>
            <w:tcW w:w="9645" w:type="dxa"/>
            <w:tcBorders>
              <w:bottom w:val="single" w:sz="2" w:space="0" w:color="505050"/>
            </w:tcBorders>
            <w:shd w:val="clear" w:color="auto" w:fill="auto"/>
          </w:tcPr>
          <w:p w14:paraId="629F0FFD" w14:textId="77777777" w:rsidR="00CC119D" w:rsidRPr="001E2783" w:rsidRDefault="00F736B7" w:rsidP="00A26393">
            <w:pPr>
              <w:tabs>
                <w:tab w:val="left" w:pos="2552"/>
              </w:tabs>
              <w:spacing w:before="120"/>
              <w:ind w:left="57"/>
              <w:rPr>
                <w:rFonts w:cs="Arial"/>
                <w:i/>
                <w:sz w:val="16"/>
                <w:szCs w:val="16"/>
              </w:rPr>
            </w:pPr>
            <w:r w:rsidRPr="001E2783">
              <w:rPr>
                <w:rFonts w:cs="Arial"/>
                <w:i/>
                <w:sz w:val="16"/>
                <w:szCs w:val="16"/>
              </w:rPr>
              <w:t>*</w:t>
            </w:r>
            <w:r w:rsidR="008C7046" w:rsidRPr="001E2783">
              <w:rPr>
                <w:rFonts w:cs="Arial"/>
                <w:i/>
                <w:sz w:val="16"/>
                <w:szCs w:val="16"/>
              </w:rPr>
              <w:t>M2 Group exemption notifications include Primus, Eftel and Dodo exemptions due to recent acquisitions by the M2 Group.</w:t>
            </w:r>
          </w:p>
        </w:tc>
      </w:tr>
    </w:tbl>
    <w:p w14:paraId="14DB25E8" w14:textId="77777777" w:rsidR="00CC119D" w:rsidRPr="001E2783" w:rsidRDefault="00CC119D" w:rsidP="00CC119D">
      <w:pPr>
        <w:spacing w:after="80"/>
        <w:rPr>
          <w:rFonts w:cs="Arial"/>
        </w:rPr>
      </w:pPr>
    </w:p>
    <w:p w14:paraId="3649EC81" w14:textId="77777777" w:rsidR="00CC119D" w:rsidRPr="001E2783" w:rsidRDefault="00CC119D" w:rsidP="00215591">
      <w:pPr>
        <w:pStyle w:val="Heading3"/>
      </w:pPr>
      <w:bookmarkStart w:id="239" w:name="_Toc337727626"/>
      <w:bookmarkStart w:id="240" w:name="_Toc400018592"/>
      <w:r w:rsidRPr="001E2783">
        <w:t>Network Reliability Framework</w:t>
      </w:r>
      <w:bookmarkEnd w:id="239"/>
      <w:bookmarkEnd w:id="240"/>
    </w:p>
    <w:p w14:paraId="4D02E5AE" w14:textId="77777777" w:rsidR="00CC119D" w:rsidRPr="001E2783" w:rsidRDefault="00CC119D" w:rsidP="00CC119D">
      <w:pPr>
        <w:spacing w:after="80"/>
        <w:rPr>
          <w:rFonts w:cs="Arial"/>
        </w:rPr>
      </w:pPr>
      <w:r w:rsidRPr="001E2783">
        <w:rPr>
          <w:rFonts w:cs="Arial"/>
        </w:rPr>
        <w:t>Under the NRF, Telstra is required to provide the ACMA with network performance reports at three levels:</w:t>
      </w:r>
    </w:p>
    <w:p w14:paraId="033235BB" w14:textId="77777777" w:rsidR="00CC119D" w:rsidRPr="001E2783" w:rsidRDefault="00CC119D" w:rsidP="00CC119D">
      <w:pPr>
        <w:pStyle w:val="ListBullet"/>
        <w:ind w:left="284"/>
        <w:rPr>
          <w:rFonts w:cs="Arial"/>
        </w:rPr>
      </w:pPr>
      <w:r w:rsidRPr="001E2783">
        <w:rPr>
          <w:rFonts w:cs="Arial"/>
        </w:rPr>
        <w:t>Level 1—geographical area level, based on Telstra’s field service areas</w:t>
      </w:r>
    </w:p>
    <w:p w14:paraId="38440187" w14:textId="77777777" w:rsidR="00CC119D" w:rsidRPr="001E2783" w:rsidRDefault="00CC119D" w:rsidP="00CC119D">
      <w:pPr>
        <w:pStyle w:val="ListBullet"/>
        <w:ind w:left="284"/>
        <w:rPr>
          <w:rFonts w:cs="Arial"/>
        </w:rPr>
      </w:pPr>
      <w:r w:rsidRPr="001E2783">
        <w:rPr>
          <w:rFonts w:cs="Arial"/>
        </w:rPr>
        <w:t>Level 2—disaggregated parts of the network known as cable runs</w:t>
      </w:r>
    </w:p>
    <w:p w14:paraId="23FB7389" w14:textId="77777777" w:rsidR="00CC119D" w:rsidRPr="001E2783" w:rsidRDefault="00CC119D" w:rsidP="00CC119D">
      <w:pPr>
        <w:pStyle w:val="ListBullet"/>
        <w:spacing w:after="240"/>
        <w:ind w:left="284"/>
        <w:rPr>
          <w:rFonts w:cs="Arial"/>
        </w:rPr>
      </w:pPr>
      <w:r w:rsidRPr="001E2783">
        <w:rPr>
          <w:rFonts w:cs="Arial"/>
        </w:rPr>
        <w:t>Level 3—the individual service level.</w:t>
      </w:r>
    </w:p>
    <w:p w14:paraId="008C10EF" w14:textId="77777777" w:rsidR="008C7046" w:rsidRPr="001E2783" w:rsidRDefault="008C7046" w:rsidP="00215591">
      <w:pPr>
        <w:rPr>
          <w:rFonts w:cs="Arial"/>
        </w:rPr>
      </w:pPr>
      <w:r w:rsidRPr="001E2783">
        <w:rPr>
          <w:rFonts w:cs="Arial"/>
        </w:rPr>
        <w:t>Level 1 of the NRF shows the percentage of CSG services without a fault or service difficulty, the percentage of time CSG services are available and the average time (hours) to restore fault-affected CSG services.</w:t>
      </w:r>
    </w:p>
    <w:p w14:paraId="18726337" w14:textId="77777777" w:rsidR="008C7046" w:rsidRPr="001E2783" w:rsidRDefault="008C7046" w:rsidP="00215591">
      <w:pPr>
        <w:rPr>
          <w:rFonts w:cs="Arial"/>
        </w:rPr>
      </w:pPr>
    </w:p>
    <w:p w14:paraId="7754E5E8" w14:textId="77777777" w:rsidR="00215591" w:rsidRPr="001E2783" w:rsidRDefault="00F736B7" w:rsidP="00215591">
      <w:pPr>
        <w:rPr>
          <w:rFonts w:cs="Arial"/>
        </w:rPr>
      </w:pPr>
      <w:r w:rsidRPr="001E2783">
        <w:rPr>
          <w:rFonts w:cs="Arial"/>
        </w:rPr>
        <w:t>Each month, t</w:t>
      </w:r>
      <w:r w:rsidR="00215591" w:rsidRPr="001E2783">
        <w:rPr>
          <w:rFonts w:cs="Arial"/>
        </w:rPr>
        <w:t>he ACMA is required to ap</w:t>
      </w:r>
      <w:r w:rsidR="00D47BF7" w:rsidRPr="001E2783">
        <w:rPr>
          <w:rFonts w:cs="Arial"/>
        </w:rPr>
        <w:t>prove</w:t>
      </w:r>
      <w:r w:rsidR="008C7046" w:rsidRPr="001E2783">
        <w:rPr>
          <w:rFonts w:cs="Arial"/>
        </w:rPr>
        <w:t xml:space="preserve"> </w:t>
      </w:r>
      <w:r w:rsidR="00D47BF7" w:rsidRPr="001E2783">
        <w:rPr>
          <w:rFonts w:cs="Arial"/>
        </w:rPr>
        <w:t>the initial selection of L</w:t>
      </w:r>
      <w:r w:rsidR="00B820A2" w:rsidRPr="001E2783">
        <w:rPr>
          <w:rFonts w:cs="Arial"/>
        </w:rPr>
        <w:t>evel </w:t>
      </w:r>
      <w:r w:rsidR="00215591" w:rsidRPr="001E2783">
        <w:rPr>
          <w:rFonts w:cs="Arial"/>
        </w:rPr>
        <w:t>2 cable runs in line with a prescribed formula and to receive reports on the remediations. Where a remediation time frame has not been met, and the reasons for this match specific requirements, the ACMA can grant an extension of the remediation time fra</w:t>
      </w:r>
      <w:r w:rsidR="00B820A2" w:rsidRPr="001E2783">
        <w:rPr>
          <w:rFonts w:cs="Arial"/>
        </w:rPr>
        <w:t>me. The ACMA approved all Level </w:t>
      </w:r>
      <w:r w:rsidR="00215591" w:rsidRPr="001E2783">
        <w:rPr>
          <w:rFonts w:cs="Arial"/>
        </w:rPr>
        <w:t>2 cable run lists p</w:t>
      </w:r>
      <w:r w:rsidR="00D47BF7" w:rsidRPr="001E2783">
        <w:rPr>
          <w:rFonts w:cs="Arial"/>
        </w:rPr>
        <w:t xml:space="preserve">rovided in 2013–14 and granted </w:t>
      </w:r>
      <w:r w:rsidR="008C7046" w:rsidRPr="001E2783">
        <w:rPr>
          <w:rFonts w:cs="Arial"/>
        </w:rPr>
        <w:t>20</w:t>
      </w:r>
      <w:r w:rsidR="00215591" w:rsidRPr="001E2783">
        <w:rPr>
          <w:rFonts w:cs="Arial"/>
        </w:rPr>
        <w:t xml:space="preserve"> extensions of time for remediation of cable runs in the reporting period. </w:t>
      </w:r>
    </w:p>
    <w:p w14:paraId="0F04F214" w14:textId="77777777" w:rsidR="00215591" w:rsidRPr="001E2783" w:rsidRDefault="00215591" w:rsidP="00215591">
      <w:pPr>
        <w:rPr>
          <w:rFonts w:cs="Arial"/>
        </w:rPr>
      </w:pPr>
    </w:p>
    <w:p w14:paraId="4BC79DA4" w14:textId="77777777" w:rsidR="004142AF" w:rsidRPr="001E2783" w:rsidRDefault="00215591" w:rsidP="00215591">
      <w:pPr>
        <w:rPr>
          <w:rFonts w:cs="Arial"/>
        </w:rPr>
      </w:pPr>
      <w:r w:rsidRPr="001E2783">
        <w:rPr>
          <w:rFonts w:cs="Arial"/>
        </w:rPr>
        <w:t>The Level 3 requirement is for Telstra to remediate individual services that have experienced more than three fault</w:t>
      </w:r>
      <w:r w:rsidR="008C7046" w:rsidRPr="001E2783">
        <w:rPr>
          <w:rFonts w:cs="Arial"/>
        </w:rPr>
        <w:t>s</w:t>
      </w:r>
      <w:r w:rsidRPr="001E2783">
        <w:rPr>
          <w:rFonts w:cs="Arial"/>
        </w:rPr>
        <w:t xml:space="preserve"> or service difficulties in a 60-day rolling period or more than four fault</w:t>
      </w:r>
      <w:r w:rsidR="008C7046" w:rsidRPr="001E2783">
        <w:rPr>
          <w:rFonts w:cs="Arial"/>
        </w:rPr>
        <w:t>s</w:t>
      </w:r>
      <w:r w:rsidRPr="001E2783">
        <w:rPr>
          <w:rFonts w:cs="Arial"/>
        </w:rPr>
        <w:t xml:space="preserve"> or service difficulties in a 365-day rolling calendar period. The ACMA is required to approve a proposed remediation plan for the services</w:t>
      </w:r>
      <w:r w:rsidR="00D47BF7" w:rsidRPr="001E2783">
        <w:rPr>
          <w:rFonts w:cs="Arial"/>
        </w:rPr>
        <w:t xml:space="preserve">. In 2013–14, Telstra reported </w:t>
      </w:r>
      <w:r w:rsidR="008C7046" w:rsidRPr="001E2783">
        <w:rPr>
          <w:rFonts w:cs="Arial"/>
        </w:rPr>
        <w:t xml:space="preserve">2,525 </w:t>
      </w:r>
      <w:r w:rsidR="00B820A2" w:rsidRPr="001E2783">
        <w:rPr>
          <w:rFonts w:cs="Arial"/>
        </w:rPr>
        <w:t>Level </w:t>
      </w:r>
      <w:r w:rsidRPr="001E2783">
        <w:rPr>
          <w:rFonts w:cs="Arial"/>
        </w:rPr>
        <w:t>3 contraventions, for which the ACMA approved all submitted remediation plans.</w:t>
      </w:r>
    </w:p>
    <w:p w14:paraId="43F77525" w14:textId="77777777" w:rsidR="00215591" w:rsidRPr="001E2783" w:rsidRDefault="00215591" w:rsidP="00215591">
      <w:pPr>
        <w:rPr>
          <w:rFonts w:cs="Arial"/>
        </w:rPr>
      </w:pPr>
    </w:p>
    <w:p w14:paraId="0755DABF" w14:textId="77777777" w:rsidR="004142AF" w:rsidRPr="001E2783" w:rsidRDefault="004142AF" w:rsidP="004142AF">
      <w:pPr>
        <w:rPr>
          <w:rFonts w:cs="Arial"/>
        </w:rPr>
      </w:pPr>
      <w:r w:rsidRPr="001E2783">
        <w:rPr>
          <w:rFonts w:cs="Arial"/>
        </w:rPr>
        <w:t xml:space="preserve">Service performance under the NRF is reported in the ACMA’s annual </w:t>
      </w:r>
      <w:r w:rsidR="00D81C36" w:rsidRPr="001E2783">
        <w:rPr>
          <w:rFonts w:cs="Arial"/>
        </w:rPr>
        <w:t>c</w:t>
      </w:r>
      <w:r w:rsidRPr="001E2783">
        <w:rPr>
          <w:rFonts w:cs="Arial"/>
        </w:rPr>
        <w:t>ommunications report.</w:t>
      </w:r>
    </w:p>
    <w:p w14:paraId="03B57DC0" w14:textId="77777777" w:rsidR="000D6C05" w:rsidRPr="001E2783" w:rsidRDefault="000D6C05" w:rsidP="004142AF">
      <w:pPr>
        <w:rPr>
          <w:rFonts w:cs="Arial"/>
        </w:rPr>
      </w:pPr>
    </w:p>
    <w:p w14:paraId="64A5D03E" w14:textId="77777777" w:rsidR="00CC119D" w:rsidRPr="001E2783" w:rsidRDefault="00CC119D" w:rsidP="00CC119D">
      <w:pPr>
        <w:pStyle w:val="Heading3"/>
      </w:pPr>
      <w:bookmarkStart w:id="241" w:name="_Toc337727627"/>
      <w:bookmarkStart w:id="242" w:name="_Toc400018593"/>
      <w:r w:rsidRPr="001E2783">
        <w:t>Priority assistance</w:t>
      </w:r>
      <w:bookmarkEnd w:id="241"/>
      <w:bookmarkEnd w:id="242"/>
    </w:p>
    <w:p w14:paraId="4832BBC8" w14:textId="77777777" w:rsidR="00DE5878" w:rsidRPr="001E2783" w:rsidRDefault="00DE5878" w:rsidP="00DE5878">
      <w:pPr>
        <w:rPr>
          <w:rFonts w:cs="Arial"/>
        </w:rPr>
      </w:pPr>
      <w:r w:rsidRPr="001E2783">
        <w:rPr>
          <w:rFonts w:cs="Arial"/>
        </w:rPr>
        <w:t>Priority assistance is an enhanced telephone connection and repair service for people with a diagnosed life-threatening medical condition who are at risk of suffering a rapid deterioration in their condition. Telstra is currently the only carrier required under its carrier</w:t>
      </w:r>
      <w:r w:rsidR="00515426" w:rsidRPr="001E2783">
        <w:rPr>
          <w:rFonts w:cs="Arial"/>
        </w:rPr>
        <w:t xml:space="preserve"> licence conditions to provide p</w:t>
      </w:r>
      <w:r w:rsidRPr="001E2783">
        <w:rPr>
          <w:rFonts w:cs="Arial"/>
        </w:rPr>
        <w:t>riority assistance services. However</w:t>
      </w:r>
      <w:r w:rsidR="00D47BF7" w:rsidRPr="001E2783">
        <w:rPr>
          <w:rFonts w:cs="Arial"/>
        </w:rPr>
        <w:t>,</w:t>
      </w:r>
      <w:r w:rsidRPr="001E2783">
        <w:rPr>
          <w:rFonts w:cs="Arial"/>
        </w:rPr>
        <w:t xml:space="preserve"> other service providers may offer priority assistance in accordance with </w:t>
      </w:r>
      <w:r w:rsidR="00D47BF7" w:rsidRPr="001E2783">
        <w:rPr>
          <w:rFonts w:cs="Arial"/>
        </w:rPr>
        <w:t>i</w:t>
      </w:r>
      <w:r w:rsidRPr="001E2783">
        <w:rPr>
          <w:rFonts w:cs="Arial"/>
        </w:rPr>
        <w:t xml:space="preserve">ndustry </w:t>
      </w:r>
      <w:r w:rsidR="00D47BF7" w:rsidRPr="001E2783">
        <w:rPr>
          <w:rFonts w:cs="Arial"/>
        </w:rPr>
        <w:t>c</w:t>
      </w:r>
      <w:r w:rsidRPr="001E2783">
        <w:rPr>
          <w:rFonts w:cs="Arial"/>
        </w:rPr>
        <w:t xml:space="preserve">ode </w:t>
      </w:r>
      <w:r w:rsidR="00F736B7" w:rsidRPr="001E2783">
        <w:rPr>
          <w:rFonts w:cs="Arial"/>
        </w:rPr>
        <w:t>ACIF </w:t>
      </w:r>
      <w:r w:rsidRPr="001E2783">
        <w:rPr>
          <w:rFonts w:cs="Arial"/>
        </w:rPr>
        <w:t>C609:2007</w:t>
      </w:r>
      <w:r w:rsidRPr="001E2783">
        <w:rPr>
          <w:rFonts w:cs="Arial"/>
          <w:i/>
        </w:rPr>
        <w:t xml:space="preserve"> Priority Assistance for Life Threatening Medical Conditions</w:t>
      </w:r>
      <w:r w:rsidRPr="001E2783">
        <w:rPr>
          <w:rFonts w:cs="Arial"/>
        </w:rPr>
        <w:t xml:space="preserve">. </w:t>
      </w:r>
    </w:p>
    <w:p w14:paraId="5D5AB8A7" w14:textId="77777777" w:rsidR="00DE5878" w:rsidRPr="001E2783" w:rsidRDefault="00DE5878" w:rsidP="00DE5878">
      <w:pPr>
        <w:rPr>
          <w:rFonts w:cs="Arial"/>
        </w:rPr>
      </w:pPr>
    </w:p>
    <w:p w14:paraId="7C6AC611" w14:textId="296FDABB" w:rsidR="008C7046" w:rsidRPr="001E2783" w:rsidRDefault="008C7046" w:rsidP="008C7046">
      <w:pPr>
        <w:rPr>
          <w:rFonts w:cs="Arial"/>
        </w:rPr>
      </w:pPr>
      <w:r w:rsidRPr="001E2783">
        <w:rPr>
          <w:rFonts w:cs="Arial"/>
        </w:rPr>
        <w:t>The ACMA received one complaint about priority assistance in 2013–14, which was resolved through communication with the complainant. The ACMA also concluded one investigation that commenced in 2012–13 on com</w:t>
      </w:r>
      <w:r w:rsidR="00B820A2" w:rsidRPr="001E2783">
        <w:rPr>
          <w:rFonts w:cs="Arial"/>
        </w:rPr>
        <w:t>pliance with section 19 of Part 6 of Schedule </w:t>
      </w:r>
      <w:r w:rsidRPr="001E2783">
        <w:rPr>
          <w:rFonts w:cs="Arial"/>
        </w:rPr>
        <w:t xml:space="preserve">2 of the Telecommunications Act. This section requires a CSP that does not offer priority assistance to inform a prospective customer of that fact and notify </w:t>
      </w:r>
      <w:r w:rsidR="00573B6A" w:rsidRPr="001E2783">
        <w:rPr>
          <w:rFonts w:cs="Arial"/>
        </w:rPr>
        <w:t>the customer</w:t>
      </w:r>
      <w:r w:rsidRPr="001E2783">
        <w:rPr>
          <w:rFonts w:cs="Arial"/>
        </w:rPr>
        <w:t xml:space="preserve"> of another CSP that does offer priority assistance. The investigation resulted in the CSP agreeing to modify its policies and procedures to comply with the Telecommunications Act.</w:t>
      </w:r>
    </w:p>
    <w:p w14:paraId="273D6D7E" w14:textId="77777777" w:rsidR="00DE5878" w:rsidRPr="001E2783" w:rsidRDefault="00DE5878" w:rsidP="00DE5878">
      <w:pPr>
        <w:rPr>
          <w:rFonts w:cs="Arial"/>
        </w:rPr>
      </w:pPr>
    </w:p>
    <w:p w14:paraId="7A9E433A" w14:textId="77777777" w:rsidR="00C573B4" w:rsidRPr="001E2783" w:rsidRDefault="00C573B4" w:rsidP="00C573B4">
      <w:pPr>
        <w:pStyle w:val="Heading3"/>
      </w:pPr>
      <w:bookmarkStart w:id="243" w:name="_Toc400018594"/>
      <w:r w:rsidRPr="001E2783">
        <w:t>Informed consent arrangements for NBN battery back-up services</w:t>
      </w:r>
      <w:bookmarkEnd w:id="243"/>
    </w:p>
    <w:p w14:paraId="2485FAB6" w14:textId="43270A48" w:rsidR="00C573B4" w:rsidRPr="001E2783" w:rsidRDefault="00C573B4" w:rsidP="00C573B4">
      <w:pPr>
        <w:rPr>
          <w:rFonts w:cs="Arial"/>
        </w:rPr>
      </w:pPr>
      <w:r w:rsidRPr="001E2783">
        <w:rPr>
          <w:rFonts w:cs="Arial"/>
        </w:rPr>
        <w:t xml:space="preserve">The government has advised the ACMA that, for the provision of NBN </w:t>
      </w:r>
      <w:r w:rsidR="00573B6A" w:rsidRPr="001E2783">
        <w:rPr>
          <w:rFonts w:cs="Arial"/>
        </w:rPr>
        <w:t xml:space="preserve">fibre </w:t>
      </w:r>
      <w:r w:rsidRPr="001E2783">
        <w:rPr>
          <w:rFonts w:cs="Arial"/>
        </w:rPr>
        <w:t>services with battery back-up</w:t>
      </w:r>
      <w:r w:rsidR="00C44DD4" w:rsidRPr="001E2783">
        <w:rPr>
          <w:rFonts w:cs="Arial"/>
        </w:rPr>
        <w:t xml:space="preserve"> at customer premises</w:t>
      </w:r>
      <w:r w:rsidRPr="001E2783">
        <w:rPr>
          <w:rFonts w:cs="Arial"/>
        </w:rPr>
        <w:t xml:space="preserve">, </w:t>
      </w:r>
      <w:r w:rsidR="00C44DD4" w:rsidRPr="001E2783">
        <w:rPr>
          <w:rFonts w:cs="Arial"/>
        </w:rPr>
        <w:t xml:space="preserve">CSPs should acquire and retain </w:t>
      </w:r>
      <w:r w:rsidRPr="001E2783">
        <w:rPr>
          <w:rFonts w:cs="Arial"/>
        </w:rPr>
        <w:t xml:space="preserve">the informed consent of customers in a consistent manner. The ACMA was asked to consider potential regulatory mechanisms—including developing a service provider determination—to achieve the stated policy aims. </w:t>
      </w:r>
    </w:p>
    <w:p w14:paraId="42EFEEA9" w14:textId="77777777" w:rsidR="00C573B4" w:rsidRPr="001E2783" w:rsidRDefault="00C573B4" w:rsidP="00C573B4">
      <w:pPr>
        <w:rPr>
          <w:rFonts w:cs="Arial"/>
        </w:rPr>
      </w:pPr>
    </w:p>
    <w:p w14:paraId="09A39B5F" w14:textId="77777777" w:rsidR="00C573B4" w:rsidRPr="001E2783" w:rsidRDefault="00C573B4" w:rsidP="00C573B4">
      <w:pPr>
        <w:rPr>
          <w:rFonts w:cs="Arial"/>
        </w:rPr>
      </w:pPr>
      <w:r w:rsidRPr="001E2783">
        <w:rPr>
          <w:rFonts w:cs="Arial"/>
        </w:rPr>
        <w:t>During the reporting period, the ACMA published an options-stage Regulation Impact Statement on</w:t>
      </w:r>
      <w:r w:rsidR="00C44DD4" w:rsidRPr="001E2783">
        <w:rPr>
          <w:rFonts w:cs="Arial"/>
        </w:rPr>
        <w:t xml:space="preserve"> various options</w:t>
      </w:r>
      <w:r w:rsidRPr="001E2783">
        <w:rPr>
          <w:rFonts w:cs="Arial"/>
        </w:rPr>
        <w:t xml:space="preserve"> and subsequently proceeded to obtain feedback on these options via a public consultation process. The ACMA is considering the preferred approach in light of the submissions received and subsequent consultations with industry and other submitters. A decision on the appropriate arrangements is expected early in the next reporting period.</w:t>
      </w:r>
    </w:p>
    <w:p w14:paraId="648C340C" w14:textId="77777777" w:rsidR="00DE5878" w:rsidRPr="001E2783" w:rsidRDefault="00DE5878" w:rsidP="00DE5878">
      <w:pPr>
        <w:rPr>
          <w:rFonts w:cs="Arial"/>
        </w:rPr>
      </w:pPr>
    </w:p>
    <w:p w14:paraId="71B59476" w14:textId="77777777" w:rsidR="00505E9B" w:rsidRPr="001E2783" w:rsidRDefault="00505E9B" w:rsidP="00505E9B">
      <w:pPr>
        <w:pStyle w:val="Heading3"/>
      </w:pPr>
      <w:bookmarkStart w:id="244" w:name="_Toc400018595"/>
      <w:r w:rsidRPr="001E2783">
        <w:t>Transition of legacy over-the-top services to the NBN</w:t>
      </w:r>
      <w:bookmarkEnd w:id="244"/>
    </w:p>
    <w:p w14:paraId="5E0D667B" w14:textId="77777777" w:rsidR="00505E9B" w:rsidRPr="001E2783" w:rsidRDefault="00133193" w:rsidP="00505E9B">
      <w:pPr>
        <w:rPr>
          <w:rFonts w:cs="Arial"/>
        </w:rPr>
      </w:pPr>
      <w:r w:rsidRPr="001E2783">
        <w:rPr>
          <w:rFonts w:cs="Arial"/>
        </w:rPr>
        <w:t xml:space="preserve">The ACMA has continued to be represented on an industry working group established by Communications Alliance </w:t>
      </w:r>
      <w:r w:rsidR="006C73B8" w:rsidRPr="001E2783">
        <w:rPr>
          <w:rFonts w:cs="Arial"/>
        </w:rPr>
        <w:t xml:space="preserve">to </w:t>
      </w:r>
      <w:r w:rsidRPr="001E2783">
        <w:rPr>
          <w:rFonts w:cs="Arial"/>
        </w:rPr>
        <w:t>deal with issues associated with the transition of legacy over-the-top services to the NBN.</w:t>
      </w:r>
    </w:p>
    <w:p w14:paraId="43216103" w14:textId="77777777" w:rsidR="00133193" w:rsidRPr="001E2783" w:rsidRDefault="00133193" w:rsidP="00505E9B">
      <w:pPr>
        <w:rPr>
          <w:rFonts w:cs="Arial"/>
        </w:rPr>
      </w:pPr>
    </w:p>
    <w:p w14:paraId="7293923E" w14:textId="77777777" w:rsidR="00505E9B" w:rsidRPr="001E2783" w:rsidRDefault="00440D97" w:rsidP="00505E9B">
      <w:pPr>
        <w:pStyle w:val="Heading3"/>
      </w:pPr>
      <w:bookmarkStart w:id="245" w:name="_Toc400018596"/>
      <w:r w:rsidRPr="001E2783">
        <w:t>NBN-</w:t>
      </w:r>
      <w:r w:rsidR="00505E9B" w:rsidRPr="001E2783">
        <w:t>related web materials</w:t>
      </w:r>
      <w:bookmarkEnd w:id="245"/>
    </w:p>
    <w:p w14:paraId="225E52C8" w14:textId="77777777" w:rsidR="00515426" w:rsidRPr="001E2783" w:rsidRDefault="00515426" w:rsidP="00515426">
      <w:pPr>
        <w:rPr>
          <w:rFonts w:cs="Arial"/>
        </w:rPr>
      </w:pPr>
      <w:r w:rsidRPr="001E2783">
        <w:rPr>
          <w:rFonts w:cs="Arial"/>
        </w:rPr>
        <w:t>During the reporting period, the ACMA reviewed its suite of online materials designed to help both consumers and industry with the transition to the NBN. The conte</w:t>
      </w:r>
      <w:r w:rsidR="006C73B8" w:rsidRPr="001E2783">
        <w:rPr>
          <w:rFonts w:cs="Arial"/>
        </w:rPr>
        <w:t>nt was modified to reflect the g</w:t>
      </w:r>
      <w:r w:rsidRPr="001E2783">
        <w:rPr>
          <w:rFonts w:cs="Arial"/>
        </w:rPr>
        <w:t>overnment’s revised NBN policy settings</w:t>
      </w:r>
      <w:r w:rsidR="00F736B7" w:rsidRPr="001E2783">
        <w:rPr>
          <w:rFonts w:cs="Arial"/>
        </w:rPr>
        <w:t>,</w:t>
      </w:r>
      <w:r w:rsidRPr="001E2783">
        <w:rPr>
          <w:rFonts w:cs="Arial"/>
        </w:rPr>
        <w:t xml:space="preserve"> and to </w:t>
      </w:r>
      <w:r w:rsidR="006C73B8" w:rsidRPr="001E2783">
        <w:rPr>
          <w:rFonts w:cs="Arial"/>
        </w:rPr>
        <w:t xml:space="preserve">make </w:t>
      </w:r>
      <w:r w:rsidRPr="001E2783">
        <w:rPr>
          <w:rFonts w:cs="Arial"/>
        </w:rPr>
        <w:t>information about existing regulatory obligations and links to external websites accurate and appropriate.</w:t>
      </w:r>
    </w:p>
    <w:p w14:paraId="179A78AF" w14:textId="77777777" w:rsidR="00133193" w:rsidRPr="001E2783" w:rsidRDefault="00133193" w:rsidP="00CC119D">
      <w:pPr>
        <w:rPr>
          <w:rFonts w:cs="Arial"/>
        </w:rPr>
      </w:pPr>
    </w:p>
    <w:p w14:paraId="1C1483A1" w14:textId="77777777" w:rsidR="004142AF" w:rsidRPr="001E2783" w:rsidRDefault="004142AF" w:rsidP="004142AF">
      <w:pPr>
        <w:pStyle w:val="Heading3"/>
      </w:pPr>
      <w:bookmarkStart w:id="246" w:name="_Toc337727628"/>
      <w:bookmarkStart w:id="247" w:name="_Toc400018597"/>
      <w:r w:rsidRPr="001E2783">
        <w:t>Local presence plan</w:t>
      </w:r>
      <w:bookmarkEnd w:id="246"/>
      <w:bookmarkEnd w:id="247"/>
    </w:p>
    <w:p w14:paraId="5A0A77DA" w14:textId="77777777" w:rsidR="00133193" w:rsidRPr="001E2783" w:rsidRDefault="00133193" w:rsidP="00133193">
      <w:pPr>
        <w:rPr>
          <w:rFonts w:cs="Arial"/>
        </w:rPr>
      </w:pPr>
      <w:r w:rsidRPr="001E2783">
        <w:rPr>
          <w:rFonts w:cs="Arial"/>
        </w:rPr>
        <w:t>Under its licence conditions, Telstra is required to maintain a local presence in regional, rural and remote Australia, to the extent that this is broadly compatible with its overall commercial interests.</w:t>
      </w:r>
    </w:p>
    <w:p w14:paraId="5EA4C128" w14:textId="77777777" w:rsidR="00133193" w:rsidRPr="001E2783" w:rsidRDefault="00133193" w:rsidP="00133193">
      <w:pPr>
        <w:rPr>
          <w:rFonts w:cs="Arial"/>
        </w:rPr>
      </w:pPr>
    </w:p>
    <w:p w14:paraId="71930900" w14:textId="77777777" w:rsidR="00515426" w:rsidRPr="001E2783" w:rsidRDefault="00515426" w:rsidP="00515426">
      <w:pPr>
        <w:rPr>
          <w:rFonts w:cs="Arial"/>
        </w:rPr>
      </w:pPr>
      <w:r w:rsidRPr="001E2783">
        <w:rPr>
          <w:rFonts w:cs="Arial"/>
        </w:rPr>
        <w:t>In accordance with Telstra’s carrier licence conditions, the ACMA received Telstra’s rep</w:t>
      </w:r>
      <w:r w:rsidR="006C73B8" w:rsidRPr="001E2783">
        <w:rPr>
          <w:rFonts w:cs="Arial"/>
        </w:rPr>
        <w:t>ort on performance against the l</w:t>
      </w:r>
      <w:r w:rsidRPr="001E2783">
        <w:rPr>
          <w:rFonts w:cs="Arial"/>
        </w:rPr>
        <w:t xml:space="preserve">ocal </w:t>
      </w:r>
      <w:r w:rsidR="006C73B8" w:rsidRPr="001E2783">
        <w:rPr>
          <w:rFonts w:cs="Arial"/>
        </w:rPr>
        <w:t>p</w:t>
      </w:r>
      <w:r w:rsidRPr="001E2783">
        <w:rPr>
          <w:rFonts w:cs="Arial"/>
        </w:rPr>
        <w:t xml:space="preserve">resence </w:t>
      </w:r>
      <w:r w:rsidR="006C73B8" w:rsidRPr="001E2783">
        <w:rPr>
          <w:rFonts w:cs="Arial"/>
        </w:rPr>
        <w:t>p</w:t>
      </w:r>
      <w:r w:rsidRPr="001E2783">
        <w:rPr>
          <w:rFonts w:cs="Arial"/>
        </w:rPr>
        <w:t>lan for the previous reporting period 2012–13 on 29 August 2013.</w:t>
      </w:r>
    </w:p>
    <w:p w14:paraId="30CD2D4D" w14:textId="77777777" w:rsidR="00FD51FB" w:rsidRPr="001E2783" w:rsidRDefault="00FD51FB" w:rsidP="00133193">
      <w:pPr>
        <w:rPr>
          <w:rFonts w:cs="Arial"/>
        </w:rPr>
      </w:pPr>
    </w:p>
    <w:p w14:paraId="4A4FB6D1" w14:textId="77777777" w:rsidR="00FD51FB" w:rsidRPr="001E2783" w:rsidRDefault="00FD51FB" w:rsidP="00FD51FB">
      <w:pPr>
        <w:pStyle w:val="Heading3"/>
      </w:pPr>
      <w:bookmarkStart w:id="248" w:name="_Toc400018598"/>
      <w:r w:rsidRPr="001E2783">
        <w:rPr>
          <w:i/>
        </w:rPr>
        <w:t>Reconnecting the Customer</w:t>
      </w:r>
      <w:r w:rsidRPr="001E2783">
        <w:t xml:space="preserve"> Mobile Network Performance Forum</w:t>
      </w:r>
      <w:bookmarkEnd w:id="248"/>
    </w:p>
    <w:p w14:paraId="6F255394" w14:textId="77777777" w:rsidR="006C73B8" w:rsidRPr="001E2783" w:rsidRDefault="006C73B8" w:rsidP="006C73B8">
      <w:pPr>
        <w:spacing w:after="80"/>
        <w:rPr>
          <w:rFonts w:cs="Arial"/>
        </w:rPr>
      </w:pPr>
      <w:r w:rsidRPr="001E2783">
        <w:rPr>
          <w:rFonts w:cs="Arial"/>
        </w:rPr>
        <w:t>T</w:t>
      </w:r>
      <w:r w:rsidR="00FD51FB" w:rsidRPr="001E2783">
        <w:rPr>
          <w:rFonts w:cs="Arial"/>
        </w:rPr>
        <w:t xml:space="preserve">he ACMA held the </w:t>
      </w:r>
      <w:r w:rsidR="00FD51FB" w:rsidRPr="001E2783">
        <w:rPr>
          <w:rFonts w:cs="Arial"/>
          <w:i/>
        </w:rPr>
        <w:t>Reconnecting the Customer</w:t>
      </w:r>
      <w:r w:rsidR="00FD51FB" w:rsidRPr="001E2783">
        <w:rPr>
          <w:rFonts w:cs="Arial"/>
        </w:rPr>
        <w:t xml:space="preserve"> Mobile Network Performance Forum on 14 November 2013. The </w:t>
      </w:r>
      <w:r w:rsidRPr="001E2783">
        <w:rPr>
          <w:rFonts w:cs="Arial"/>
        </w:rPr>
        <w:t>purpose of the forum was</w:t>
      </w:r>
      <w:r w:rsidR="00FD51FB" w:rsidRPr="001E2783">
        <w:rPr>
          <w:rFonts w:cs="Arial"/>
        </w:rPr>
        <w:t xml:space="preserve"> to</w:t>
      </w:r>
      <w:r w:rsidRPr="001E2783">
        <w:rPr>
          <w:rFonts w:cs="Arial"/>
        </w:rPr>
        <w:t>:</w:t>
      </w:r>
    </w:p>
    <w:p w14:paraId="060444F0" w14:textId="77777777" w:rsidR="006C73B8" w:rsidRPr="001E2783" w:rsidRDefault="00FD51FB" w:rsidP="006C73B8">
      <w:pPr>
        <w:pStyle w:val="ListBullet"/>
        <w:rPr>
          <w:rFonts w:cs="Arial"/>
        </w:rPr>
      </w:pPr>
      <w:r w:rsidRPr="001E2783">
        <w:rPr>
          <w:rFonts w:cs="Arial"/>
        </w:rPr>
        <w:t>gain a better understanding of what is at the heart of consumer complaints about mobile network performance</w:t>
      </w:r>
    </w:p>
    <w:p w14:paraId="6CD55B84" w14:textId="77777777" w:rsidR="006C73B8" w:rsidRPr="001E2783" w:rsidRDefault="00FD51FB" w:rsidP="006C73B8">
      <w:pPr>
        <w:pStyle w:val="ListBullet"/>
        <w:rPr>
          <w:rFonts w:cs="Arial"/>
        </w:rPr>
      </w:pPr>
      <w:r w:rsidRPr="001E2783">
        <w:rPr>
          <w:rFonts w:cs="Arial"/>
        </w:rPr>
        <w:t>identify whether these issues are being sufficiently addressed</w:t>
      </w:r>
    </w:p>
    <w:p w14:paraId="5024B6DC" w14:textId="77777777" w:rsidR="006C73B8" w:rsidRPr="001E2783" w:rsidRDefault="00FD51FB" w:rsidP="006C73B8">
      <w:pPr>
        <w:pStyle w:val="ListBullet"/>
        <w:rPr>
          <w:rFonts w:cs="Arial"/>
        </w:rPr>
      </w:pPr>
      <w:r w:rsidRPr="001E2783">
        <w:rPr>
          <w:rFonts w:cs="Arial"/>
        </w:rPr>
        <w:t>find out what information helps consumers to understand providers’ network performance</w:t>
      </w:r>
    </w:p>
    <w:p w14:paraId="2B8802F2" w14:textId="77777777" w:rsidR="00FD51FB" w:rsidRPr="001E2783" w:rsidRDefault="00FD51FB" w:rsidP="006C73B8">
      <w:pPr>
        <w:pStyle w:val="ListBullet"/>
        <w:spacing w:after="240"/>
        <w:rPr>
          <w:rFonts w:cs="Arial"/>
        </w:rPr>
      </w:pPr>
      <w:r w:rsidRPr="001E2783">
        <w:rPr>
          <w:rFonts w:cs="Arial"/>
        </w:rPr>
        <w:t xml:space="preserve">identify whether current offerings meet consumer needs. </w:t>
      </w:r>
    </w:p>
    <w:p w14:paraId="1BE5BC68" w14:textId="77777777" w:rsidR="00FD51FB" w:rsidRPr="001E2783" w:rsidRDefault="006C73B8" w:rsidP="00A26393">
      <w:pPr>
        <w:spacing w:after="240"/>
        <w:rPr>
          <w:rFonts w:cs="Arial"/>
        </w:rPr>
      </w:pPr>
      <w:r w:rsidRPr="001E2783">
        <w:rPr>
          <w:rFonts w:cs="Arial"/>
        </w:rPr>
        <w:t>Following the f</w:t>
      </w:r>
      <w:r w:rsidR="00FD51FB" w:rsidRPr="001E2783">
        <w:rPr>
          <w:rFonts w:cs="Arial"/>
        </w:rPr>
        <w:t>orum</w:t>
      </w:r>
      <w:r w:rsidRPr="001E2783">
        <w:rPr>
          <w:rFonts w:cs="Arial"/>
        </w:rPr>
        <w:t xml:space="preserve"> and consultation with the ACMA</w:t>
      </w:r>
      <w:r w:rsidR="00FD51FB" w:rsidRPr="001E2783">
        <w:rPr>
          <w:rFonts w:cs="Arial"/>
        </w:rPr>
        <w:t>, the Austra</w:t>
      </w:r>
      <w:r w:rsidRPr="001E2783">
        <w:rPr>
          <w:rFonts w:cs="Arial"/>
        </w:rPr>
        <w:t>lian Mobile Telecommunications A</w:t>
      </w:r>
      <w:r w:rsidR="00FD51FB" w:rsidRPr="001E2783">
        <w:rPr>
          <w:rFonts w:cs="Arial"/>
        </w:rPr>
        <w:t xml:space="preserve">ssociation and Communications </w:t>
      </w:r>
      <w:r w:rsidR="003065EC" w:rsidRPr="001E2783">
        <w:rPr>
          <w:rFonts w:cs="Arial"/>
        </w:rPr>
        <w:t>Alliance</w:t>
      </w:r>
      <w:r w:rsidR="00FD51FB" w:rsidRPr="001E2783">
        <w:rPr>
          <w:rFonts w:cs="Arial"/>
        </w:rPr>
        <w:t xml:space="preserve"> develope</w:t>
      </w:r>
      <w:r w:rsidRPr="001E2783">
        <w:rPr>
          <w:rFonts w:cs="Arial"/>
        </w:rPr>
        <w:t>d a new consumer guide</w:t>
      </w:r>
      <w:r w:rsidR="00FD51FB" w:rsidRPr="001E2783">
        <w:rPr>
          <w:rFonts w:cs="Arial"/>
        </w:rPr>
        <w:t xml:space="preserve">. </w:t>
      </w:r>
    </w:p>
    <w:p w14:paraId="712E7650" w14:textId="77777777" w:rsidR="00FD51FB" w:rsidRPr="001E2783" w:rsidRDefault="00FD51FB" w:rsidP="00FD51FB">
      <w:pPr>
        <w:rPr>
          <w:rFonts w:cs="Arial"/>
        </w:rPr>
      </w:pPr>
      <w:r w:rsidRPr="001E2783">
        <w:rPr>
          <w:rFonts w:cs="Arial"/>
        </w:rPr>
        <w:t xml:space="preserve">The guide </w:t>
      </w:r>
      <w:r w:rsidR="006C73B8" w:rsidRPr="001E2783">
        <w:rPr>
          <w:rFonts w:cs="Arial"/>
        </w:rPr>
        <w:t>is</w:t>
      </w:r>
      <w:r w:rsidRPr="001E2783">
        <w:rPr>
          <w:rFonts w:cs="Arial"/>
        </w:rPr>
        <w:t xml:space="preserve"> an overview of the factors that can </w:t>
      </w:r>
      <w:r w:rsidR="006C73B8" w:rsidRPr="001E2783">
        <w:rPr>
          <w:rFonts w:cs="Arial"/>
        </w:rPr>
        <w:t>affect</w:t>
      </w:r>
      <w:r w:rsidRPr="001E2783">
        <w:rPr>
          <w:rFonts w:cs="Arial"/>
        </w:rPr>
        <w:t xml:space="preserve"> a mobile consumer’s experience of mobile networks, including issues such as coverage, and the built and natural environments. The guide also explains what consumers should do if they experience problems with their mobile service.</w:t>
      </w:r>
    </w:p>
    <w:p w14:paraId="1E7DE05D" w14:textId="77777777" w:rsidR="00CC119D" w:rsidRPr="001E2783" w:rsidRDefault="00CC119D" w:rsidP="00FD51FB">
      <w:pPr>
        <w:rPr>
          <w:rFonts w:cs="Arial"/>
        </w:rPr>
      </w:pPr>
    </w:p>
    <w:p w14:paraId="5E1508A7" w14:textId="77777777" w:rsidR="00FD51FB" w:rsidRPr="001E2783" w:rsidRDefault="00FD51FB" w:rsidP="00FD51FB">
      <w:pPr>
        <w:pStyle w:val="Heading3"/>
      </w:pPr>
      <w:bookmarkStart w:id="249" w:name="_Toc400018599"/>
      <w:r w:rsidRPr="001E2783">
        <w:t>Consumer Consultative Forum</w:t>
      </w:r>
      <w:bookmarkEnd w:id="249"/>
    </w:p>
    <w:p w14:paraId="67F9E9B3" w14:textId="77777777" w:rsidR="00FD51FB" w:rsidRPr="001E2783" w:rsidRDefault="00FD51FB" w:rsidP="00FD51FB">
      <w:pPr>
        <w:rPr>
          <w:rFonts w:cs="Arial"/>
        </w:rPr>
      </w:pPr>
      <w:r w:rsidRPr="001E2783">
        <w:rPr>
          <w:rFonts w:cs="Arial"/>
        </w:rPr>
        <w:t>The CCF is a formal advisory comm</w:t>
      </w:r>
      <w:r w:rsidR="00B820A2" w:rsidRPr="001E2783">
        <w:rPr>
          <w:rFonts w:cs="Arial"/>
        </w:rPr>
        <w:t>ittee established under section </w:t>
      </w:r>
      <w:r w:rsidRPr="001E2783">
        <w:rPr>
          <w:rFonts w:cs="Arial"/>
        </w:rPr>
        <w:t xml:space="preserve">59 of the ACMA Act to help the ACMA perform its consumer functions. It provides advice to the ACMA on communications issues (mainly telecommunications and the internet) that affect consumers. </w:t>
      </w:r>
    </w:p>
    <w:p w14:paraId="79875B9B" w14:textId="77777777" w:rsidR="00FD51FB" w:rsidRPr="001E2783" w:rsidRDefault="00FD51FB" w:rsidP="00FD51FB">
      <w:pPr>
        <w:rPr>
          <w:rFonts w:cs="Arial"/>
        </w:rPr>
      </w:pPr>
    </w:p>
    <w:p w14:paraId="58D23282" w14:textId="77777777" w:rsidR="00FD51FB" w:rsidRPr="001E2783" w:rsidRDefault="00FD51FB" w:rsidP="00FD51FB">
      <w:pPr>
        <w:rPr>
          <w:rFonts w:cs="Arial"/>
        </w:rPr>
      </w:pPr>
      <w:r w:rsidRPr="001E2783">
        <w:rPr>
          <w:rFonts w:cs="Arial"/>
        </w:rPr>
        <w:t>This year, the ACMA appointed three</w:t>
      </w:r>
      <w:r w:rsidR="006C73B8" w:rsidRPr="001E2783">
        <w:rPr>
          <w:rFonts w:cs="Arial"/>
        </w:rPr>
        <w:t xml:space="preserve"> new consumer representatives—</w:t>
      </w:r>
      <w:r w:rsidRPr="001E2783">
        <w:rPr>
          <w:rFonts w:cs="Arial"/>
        </w:rPr>
        <w:t>Catriona Lowe (Consumers Federation of Australia), Chris Jeffery (Council on the Ag</w:t>
      </w:r>
      <w:r w:rsidR="006C73B8" w:rsidRPr="001E2783">
        <w:rPr>
          <w:rFonts w:cs="Arial"/>
        </w:rPr>
        <w:t>e</w:t>
      </w:r>
      <w:r w:rsidRPr="001E2783">
        <w:rPr>
          <w:rFonts w:cs="Arial"/>
        </w:rPr>
        <w:t xml:space="preserve">ing WA) and Hollie Baillieu (National Farmers Federation).  </w:t>
      </w:r>
    </w:p>
    <w:p w14:paraId="12E87FF8" w14:textId="77777777" w:rsidR="00FD51FB" w:rsidRPr="001E2783" w:rsidRDefault="00FD51FB" w:rsidP="00FD51FB">
      <w:pPr>
        <w:rPr>
          <w:rFonts w:cs="Arial"/>
        </w:rPr>
      </w:pPr>
    </w:p>
    <w:p w14:paraId="7C81FF4B" w14:textId="77777777" w:rsidR="00FD51FB" w:rsidRPr="001E2783" w:rsidRDefault="00FD51FB" w:rsidP="00FD51FB">
      <w:pPr>
        <w:spacing w:after="80"/>
        <w:rPr>
          <w:rFonts w:cs="Arial"/>
        </w:rPr>
      </w:pPr>
      <w:r w:rsidRPr="001E2783">
        <w:rPr>
          <w:rFonts w:cs="Arial"/>
        </w:rPr>
        <w:t>Consumer representatives joined regulators and industry bodies at two meetings during the reporting period to discuss topics including:</w:t>
      </w:r>
    </w:p>
    <w:p w14:paraId="222BD4E9" w14:textId="77777777" w:rsidR="00FD51FB" w:rsidRPr="001E2783" w:rsidRDefault="00FD51FB" w:rsidP="00FD51FB">
      <w:pPr>
        <w:pStyle w:val="ListBullet"/>
        <w:rPr>
          <w:rFonts w:cs="Arial"/>
        </w:rPr>
      </w:pPr>
      <w:r w:rsidRPr="001E2783">
        <w:rPr>
          <w:rFonts w:cs="Arial"/>
        </w:rPr>
        <w:t>the NBN and its impact on consumers</w:t>
      </w:r>
    </w:p>
    <w:p w14:paraId="0693C172" w14:textId="77777777" w:rsidR="00FD51FB" w:rsidRPr="001E2783" w:rsidRDefault="00FD51FB" w:rsidP="00FD51FB">
      <w:pPr>
        <w:pStyle w:val="ListBullet"/>
        <w:rPr>
          <w:rFonts w:cs="Arial"/>
        </w:rPr>
      </w:pPr>
      <w:r w:rsidRPr="001E2783">
        <w:rPr>
          <w:rFonts w:cs="Arial"/>
        </w:rPr>
        <w:t xml:space="preserve">ACMA activities such as the enforcement of the TCP Code </w:t>
      </w:r>
    </w:p>
    <w:p w14:paraId="6D70DADF" w14:textId="77777777" w:rsidR="00FD51FB" w:rsidRPr="001E2783" w:rsidRDefault="00FD51FB" w:rsidP="00FD51FB">
      <w:pPr>
        <w:pStyle w:val="ListBullet"/>
        <w:rPr>
          <w:rFonts w:cs="Arial"/>
        </w:rPr>
      </w:pPr>
      <w:r w:rsidRPr="001E2783">
        <w:rPr>
          <w:rFonts w:cs="Arial"/>
        </w:rPr>
        <w:t>mobile network performance</w:t>
      </w:r>
    </w:p>
    <w:p w14:paraId="1D89A083" w14:textId="77777777" w:rsidR="00FD51FB" w:rsidRPr="001E2783" w:rsidRDefault="00FD51FB" w:rsidP="00FD51FB">
      <w:pPr>
        <w:pStyle w:val="ListBullet"/>
        <w:rPr>
          <w:rFonts w:cs="Arial"/>
        </w:rPr>
      </w:pPr>
      <w:r w:rsidRPr="001E2783">
        <w:rPr>
          <w:rFonts w:cs="Arial"/>
        </w:rPr>
        <w:t>the government’s deregulation program</w:t>
      </w:r>
    </w:p>
    <w:p w14:paraId="43DF9309" w14:textId="77777777" w:rsidR="00FD51FB" w:rsidRPr="001E2783" w:rsidRDefault="00FD51FB" w:rsidP="00FD51FB">
      <w:pPr>
        <w:pStyle w:val="ListBullet"/>
        <w:rPr>
          <w:rFonts w:cs="Arial"/>
        </w:rPr>
      </w:pPr>
      <w:r w:rsidRPr="001E2783">
        <w:rPr>
          <w:rFonts w:cs="Arial"/>
        </w:rPr>
        <w:t>cross-sectoral approaches to identifying and assisting customers experiencing financial hardship</w:t>
      </w:r>
    </w:p>
    <w:p w14:paraId="7318AB1D" w14:textId="77777777" w:rsidR="00FD51FB" w:rsidRPr="001E2783" w:rsidRDefault="00FD51FB" w:rsidP="00FD51FB">
      <w:pPr>
        <w:pStyle w:val="ListBullet"/>
        <w:spacing w:after="240"/>
        <w:rPr>
          <w:rFonts w:cs="Arial"/>
        </w:rPr>
      </w:pPr>
      <w:r w:rsidRPr="001E2783">
        <w:rPr>
          <w:rFonts w:cs="Arial"/>
        </w:rPr>
        <w:t>a wide range of emerging issues such as the failure of small telecommunications companies.</w:t>
      </w:r>
    </w:p>
    <w:p w14:paraId="1469787D" w14:textId="77777777" w:rsidR="00FD51FB" w:rsidRPr="001E2783" w:rsidRDefault="00FD51FB" w:rsidP="00FD51FB">
      <w:pPr>
        <w:rPr>
          <w:rFonts w:cs="Arial"/>
        </w:rPr>
      </w:pPr>
      <w:r w:rsidRPr="001E2783">
        <w:rPr>
          <w:rFonts w:cs="Arial"/>
        </w:rPr>
        <w:t xml:space="preserve">In addition to twice-yearly meetings, consumer representatives will attend regular teleconferences between meetings </w:t>
      </w:r>
      <w:r w:rsidR="00916CAD" w:rsidRPr="001E2783">
        <w:rPr>
          <w:rFonts w:cs="Arial"/>
        </w:rPr>
        <w:t>throughout</w:t>
      </w:r>
      <w:r w:rsidRPr="001E2783">
        <w:rPr>
          <w:rFonts w:cs="Arial"/>
        </w:rPr>
        <w:t xml:space="preserve"> 2014. </w:t>
      </w:r>
    </w:p>
    <w:p w14:paraId="2D401E1D" w14:textId="77777777" w:rsidR="00A31D3D" w:rsidRPr="001E2783" w:rsidRDefault="00A31D3D" w:rsidP="00A31D3D">
      <w:pPr>
        <w:rPr>
          <w:rFonts w:cs="Arial"/>
        </w:rPr>
      </w:pPr>
    </w:p>
    <w:p w14:paraId="0FD01C0D" w14:textId="77777777" w:rsidR="00A31D3D" w:rsidRPr="001E2783" w:rsidRDefault="00A31D3D" w:rsidP="00A31D3D">
      <w:pPr>
        <w:pStyle w:val="Heading3"/>
      </w:pPr>
      <w:bookmarkStart w:id="250" w:name="_Toc274124118"/>
      <w:bookmarkStart w:id="251" w:name="_Toc337727631"/>
      <w:bookmarkStart w:id="252" w:name="_Toc400018600"/>
      <w:r w:rsidRPr="001E2783">
        <w:t>Do Not Call Register</w:t>
      </w:r>
      <w:bookmarkEnd w:id="250"/>
      <w:bookmarkEnd w:id="251"/>
      <w:bookmarkEnd w:id="252"/>
    </w:p>
    <w:p w14:paraId="3DD0C636" w14:textId="43C3E055" w:rsidR="00FD51FB" w:rsidRPr="001E2783" w:rsidRDefault="00FD51FB" w:rsidP="00FD51FB">
      <w:pPr>
        <w:rPr>
          <w:rFonts w:cs="Arial"/>
        </w:rPr>
      </w:pPr>
      <w:r w:rsidRPr="001E2783">
        <w:rPr>
          <w:rFonts w:cs="Arial"/>
        </w:rPr>
        <w:t xml:space="preserve">Australians continue to add their numbers to the Do Not Call Register—more than </w:t>
      </w:r>
      <w:r w:rsidR="00840C28" w:rsidRPr="001E2783">
        <w:rPr>
          <w:rFonts w:cs="Arial"/>
        </w:rPr>
        <w:t>860,000</w:t>
      </w:r>
      <w:r w:rsidRPr="001E2783">
        <w:rPr>
          <w:rFonts w:cs="Arial"/>
        </w:rPr>
        <w:t xml:space="preserve"> fixed-lines, mobiles and faxes </w:t>
      </w:r>
      <w:r w:rsidR="00916CAD" w:rsidRPr="001E2783">
        <w:rPr>
          <w:rFonts w:cs="Arial"/>
        </w:rPr>
        <w:t xml:space="preserve">were added </w:t>
      </w:r>
      <w:r w:rsidRPr="001E2783">
        <w:rPr>
          <w:rFonts w:cs="Arial"/>
        </w:rPr>
        <w:t xml:space="preserve">in 2013–14. By 30 June 2014, more than </w:t>
      </w:r>
      <w:r w:rsidR="00840C28" w:rsidRPr="001E2783">
        <w:rPr>
          <w:rFonts w:cs="Arial"/>
        </w:rPr>
        <w:t>9.6</w:t>
      </w:r>
      <w:r w:rsidRPr="001E2783">
        <w:rPr>
          <w:rFonts w:cs="Arial"/>
        </w:rPr>
        <w:t xml:space="preserve"> million numbers had been listed on the register, representing </w:t>
      </w:r>
      <w:r w:rsidR="00764D8D" w:rsidRPr="001E2783">
        <w:rPr>
          <w:rFonts w:cs="Arial"/>
        </w:rPr>
        <w:t>around</w:t>
      </w:r>
      <w:r w:rsidRPr="001E2783">
        <w:rPr>
          <w:rFonts w:cs="Arial"/>
        </w:rPr>
        <w:t xml:space="preserve"> half of Australia’s fixed-line numbers, </w:t>
      </w:r>
      <w:r w:rsidR="00B820A2" w:rsidRPr="001E2783">
        <w:rPr>
          <w:rFonts w:cs="Arial"/>
        </w:rPr>
        <w:t>4.1 </w:t>
      </w:r>
      <w:r w:rsidR="00840C28" w:rsidRPr="001E2783">
        <w:rPr>
          <w:rFonts w:cs="Arial"/>
        </w:rPr>
        <w:t>million mobile numbers and 377,000 fax numbers</w:t>
      </w:r>
      <w:r w:rsidR="00856140" w:rsidRPr="001E2783">
        <w:rPr>
          <w:rFonts w:cs="Arial"/>
        </w:rPr>
        <w:t xml:space="preserve"> (see Figure 6</w:t>
      </w:r>
      <w:r w:rsidRPr="001E2783">
        <w:rPr>
          <w:rFonts w:cs="Arial"/>
        </w:rPr>
        <w:t>). Registration remains free and is valid for eight years.</w:t>
      </w:r>
    </w:p>
    <w:p w14:paraId="0D50D4E5" w14:textId="77777777" w:rsidR="00FD51FB" w:rsidRPr="001E2783" w:rsidRDefault="00FD51FB" w:rsidP="00FD51FB">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43D00E27" w14:textId="77777777" w:rsidTr="00FD51FB">
        <w:trPr>
          <w:trHeight w:val="570"/>
        </w:trPr>
        <w:tc>
          <w:tcPr>
            <w:tcW w:w="9645" w:type="dxa"/>
            <w:tcBorders>
              <w:top w:val="single" w:sz="2" w:space="0" w:color="505050"/>
            </w:tcBorders>
            <w:shd w:val="clear" w:color="auto" w:fill="auto"/>
            <w:vAlign w:val="center"/>
          </w:tcPr>
          <w:p w14:paraId="71040F68" w14:textId="77777777" w:rsidR="00FD51FB" w:rsidRPr="001E2783" w:rsidRDefault="00FD51FB" w:rsidP="00F736B7">
            <w:pPr>
              <w:pStyle w:val="Caption"/>
              <w:keepNext/>
              <w:keepLines/>
              <w:rPr>
                <w:rFonts w:ascii="Arial" w:hAnsi="Arial" w:cs="Arial"/>
                <w:color w:val="auto"/>
              </w:rPr>
            </w:pPr>
            <w:r w:rsidRPr="00D3485F">
              <w:rPr>
                <w:rFonts w:ascii="Arial" w:hAnsi="Arial" w:cs="Arial"/>
              </w:rPr>
              <w:t xml:space="preserve">Figure </w:t>
            </w:r>
            <w:r w:rsidR="00856140" w:rsidRPr="00D3485F">
              <w:rPr>
                <w:rFonts w:ascii="Arial" w:hAnsi="Arial" w:cs="Arial"/>
              </w:rPr>
              <w:t>6</w:t>
            </w:r>
            <w:r w:rsidRPr="00D3485F">
              <w:rPr>
                <w:rFonts w:ascii="Arial" w:hAnsi="Arial" w:cs="Arial"/>
              </w:rPr>
              <w:t xml:space="preserve">: Fixed-line, </w:t>
            </w:r>
            <w:r w:rsidR="00840C28" w:rsidRPr="00D3485F">
              <w:rPr>
                <w:rFonts w:ascii="Arial" w:hAnsi="Arial" w:cs="Arial"/>
              </w:rPr>
              <w:t>mobile and fax</w:t>
            </w:r>
            <w:r w:rsidRPr="00D3485F">
              <w:rPr>
                <w:rFonts w:ascii="Arial" w:hAnsi="Arial" w:cs="Arial"/>
              </w:rPr>
              <w:t xml:space="preserve"> numbers listed on the Do Not Call Register, 2009–10 to 2013–14</w:t>
            </w:r>
          </w:p>
        </w:tc>
      </w:tr>
      <w:tr w:rsidR="001E2783" w:rsidRPr="001E2783" w14:paraId="03CC3131" w14:textId="77777777" w:rsidTr="00441258">
        <w:tblPrEx>
          <w:tblCellMar>
            <w:left w:w="108" w:type="dxa"/>
            <w:right w:w="108" w:type="dxa"/>
          </w:tblCellMar>
        </w:tblPrEx>
        <w:trPr>
          <w:trHeight w:val="3086"/>
        </w:trPr>
        <w:tc>
          <w:tcPr>
            <w:tcW w:w="9645" w:type="dxa"/>
            <w:shd w:val="clear" w:color="auto" w:fill="auto"/>
          </w:tcPr>
          <w:p w14:paraId="1FBBD44C" w14:textId="3BABDA9F" w:rsidR="00FD51FB" w:rsidRPr="001E2783" w:rsidRDefault="00A26393" w:rsidP="00FD51FB">
            <w:pPr>
              <w:rPr>
                <w:rFonts w:cs="Arial"/>
              </w:rPr>
            </w:pPr>
            <w:r>
              <w:rPr>
                <w:noProof/>
              </w:rPr>
              <w:drawing>
                <wp:inline distT="0" distB="0" distL="0" distR="0" wp14:anchorId="4AEEC6A6" wp14:editId="350A948D">
                  <wp:extent cx="5987415" cy="3040380"/>
                  <wp:effectExtent l="0" t="0" r="0" b="7620"/>
                  <wp:docPr id="26" name="Picture 26" descr="2009–10*: Fixed-line: 2.83 million; Mobile: 2.20 million; Fax: 0.01 million; Total DNCR registrations: 5.04 million&#10;2010–11: Fixed-line: 3.43 million; Mobile: 2.76 million; Fax: 0.09 million; Total DNCR registrations: 6.28 million&#10;2011–12: Fixed-line: 4.21 million; Mobile: 3.32 million; Fax: 0.21 million; Total DNCR registrations: 7.73 million&#10;2012–13: Fixed-line: 4.66 million; Mobile: 3.77 million; Fax: 0.30 million; Total DNCR registrations: 8.74 million&#10;2013–14: Fixed-line: 5.08 million; Mobile: 4.14 million; Fax: 0.38 million; Total DNCR registrations: 9.60 million&#10;" title="Figure 6: Fixed-line, mobile and fax numbers listed on the Do Not Call Register, 2009–10 to 201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5987415" cy="3040380"/>
                          </a:xfrm>
                          <a:prstGeom prst="rect">
                            <a:avLst/>
                          </a:prstGeom>
                        </pic:spPr>
                      </pic:pic>
                    </a:graphicData>
                  </a:graphic>
                </wp:inline>
              </w:drawing>
            </w:r>
          </w:p>
        </w:tc>
      </w:tr>
      <w:tr w:rsidR="00FD51FB" w:rsidRPr="001E2783" w14:paraId="37A314E5" w14:textId="77777777" w:rsidTr="00FD51FB">
        <w:trPr>
          <w:trHeight w:val="291"/>
        </w:trPr>
        <w:tc>
          <w:tcPr>
            <w:tcW w:w="9645" w:type="dxa"/>
            <w:tcBorders>
              <w:bottom w:val="single" w:sz="2" w:space="0" w:color="505050"/>
            </w:tcBorders>
            <w:shd w:val="clear" w:color="auto" w:fill="auto"/>
          </w:tcPr>
          <w:p w14:paraId="4B87E683" w14:textId="758AB57D" w:rsidR="00FD51FB" w:rsidRPr="001E2783" w:rsidRDefault="001E2783" w:rsidP="00BF30ED">
            <w:pPr>
              <w:spacing w:before="120"/>
              <w:rPr>
                <w:rFonts w:cs="Arial"/>
                <w:i/>
                <w:sz w:val="16"/>
                <w:szCs w:val="16"/>
              </w:rPr>
            </w:pPr>
            <w:r w:rsidRPr="001E2783">
              <w:rPr>
                <w:rFonts w:cs="Arial"/>
                <w:i/>
                <w:sz w:val="16"/>
                <w:szCs w:val="16"/>
              </w:rPr>
              <w:t>*</w:t>
            </w:r>
            <w:r w:rsidR="00840C28" w:rsidRPr="001E2783">
              <w:rPr>
                <w:rFonts w:cs="Arial"/>
                <w:i/>
                <w:sz w:val="16"/>
                <w:szCs w:val="16"/>
              </w:rPr>
              <w:t xml:space="preserve">The </w:t>
            </w:r>
            <w:r w:rsidR="00840C28" w:rsidRPr="001E2783">
              <w:rPr>
                <w:rFonts w:cs="Arial"/>
                <w:sz w:val="16"/>
                <w:szCs w:val="16"/>
              </w:rPr>
              <w:t>Do Not Call Register Legislation Amendment Act 2010</w:t>
            </w:r>
            <w:r w:rsidR="00840C28" w:rsidRPr="001E2783">
              <w:rPr>
                <w:rFonts w:cs="Arial"/>
                <w:i/>
                <w:sz w:val="16"/>
                <w:szCs w:val="16"/>
              </w:rPr>
              <w:t xml:space="preserve"> expanded the register to include government, emergency service and fax numbers. </w:t>
            </w:r>
          </w:p>
        </w:tc>
      </w:tr>
    </w:tbl>
    <w:p w14:paraId="06655EDA" w14:textId="77777777" w:rsidR="00FD51FB" w:rsidRPr="001E2783" w:rsidRDefault="00FD51FB" w:rsidP="00FD51FB">
      <w:pPr>
        <w:rPr>
          <w:rFonts w:cs="Arial"/>
        </w:rPr>
      </w:pPr>
    </w:p>
    <w:p w14:paraId="79F47382" w14:textId="77777777" w:rsidR="00FD51FB" w:rsidRPr="001E2783" w:rsidRDefault="00FD51FB" w:rsidP="00FD51FB">
      <w:pPr>
        <w:rPr>
          <w:rFonts w:cs="Arial"/>
        </w:rPr>
      </w:pPr>
      <w:r w:rsidRPr="001E2783">
        <w:rPr>
          <w:rFonts w:cs="Arial"/>
        </w:rPr>
        <w:t xml:space="preserve">To avoid breaching the DNCR Act, telemarketers and fax marketers </w:t>
      </w:r>
      <w:r w:rsidR="00002055" w:rsidRPr="001E2783">
        <w:rPr>
          <w:rFonts w:cs="Arial"/>
        </w:rPr>
        <w:t>can</w:t>
      </w:r>
      <w:r w:rsidRPr="001E2783">
        <w:rPr>
          <w:rFonts w:cs="Arial"/>
        </w:rPr>
        <w:t xml:space="preserve"> submit their call lists for checking against the register. In 2013–14, over </w:t>
      </w:r>
      <w:r w:rsidR="00002055" w:rsidRPr="001E2783">
        <w:rPr>
          <w:rFonts w:cs="Arial"/>
        </w:rPr>
        <w:t>1.1</w:t>
      </w:r>
      <w:r w:rsidR="00B820A2" w:rsidRPr="001E2783">
        <w:rPr>
          <w:rFonts w:cs="Arial"/>
        </w:rPr>
        <w:t> </w:t>
      </w:r>
      <w:r w:rsidRPr="001E2783">
        <w:rPr>
          <w:rFonts w:cs="Arial"/>
        </w:rPr>
        <w:t>billion numbers were checked or ‘washed’ against the register</w:t>
      </w:r>
      <w:r w:rsidR="00002055" w:rsidRPr="001E2783">
        <w:rPr>
          <w:rFonts w:cs="Arial"/>
        </w:rPr>
        <w:t xml:space="preserve"> by 1,189 telemarketers and fax marketers</w:t>
      </w:r>
      <w:r w:rsidRPr="001E2783">
        <w:rPr>
          <w:rFonts w:cs="Arial"/>
        </w:rPr>
        <w:t>.</w:t>
      </w:r>
    </w:p>
    <w:p w14:paraId="320049C6" w14:textId="77777777" w:rsidR="00FD51FB" w:rsidRPr="001E2783" w:rsidRDefault="00FD51FB" w:rsidP="00FD51FB">
      <w:pPr>
        <w:rPr>
          <w:rFonts w:cs="Arial"/>
        </w:rPr>
      </w:pPr>
    </w:p>
    <w:p w14:paraId="501AFB08" w14:textId="77777777" w:rsidR="00FD51FB" w:rsidRPr="001E2783" w:rsidRDefault="00FD51FB" w:rsidP="00FD51FB">
      <w:pPr>
        <w:rPr>
          <w:rFonts w:cs="Arial"/>
        </w:rPr>
      </w:pPr>
      <w:r w:rsidRPr="001E2783">
        <w:rPr>
          <w:rFonts w:cs="Arial"/>
        </w:rPr>
        <w:t>A proportion of telemarketers and fax marketers that wash their numbers against the register are based overseas. Outside of Australia, India,</w:t>
      </w:r>
      <w:r w:rsidR="00002055" w:rsidRPr="001E2783">
        <w:rPr>
          <w:rFonts w:cs="Arial"/>
        </w:rPr>
        <w:t xml:space="preserve"> the Philippines and</w:t>
      </w:r>
      <w:r w:rsidRPr="001E2783">
        <w:rPr>
          <w:rFonts w:cs="Arial"/>
        </w:rPr>
        <w:t xml:space="preserve"> the US have the highest number</w:t>
      </w:r>
      <w:r w:rsidR="00BF30ED" w:rsidRPr="001E2783">
        <w:rPr>
          <w:rFonts w:cs="Arial"/>
        </w:rPr>
        <w:t>s</w:t>
      </w:r>
      <w:r w:rsidRPr="001E2783">
        <w:rPr>
          <w:rFonts w:cs="Arial"/>
        </w:rPr>
        <w:t xml:space="preserve"> of washing accounts.</w:t>
      </w:r>
    </w:p>
    <w:p w14:paraId="361D5466" w14:textId="77777777" w:rsidR="00FD51FB" w:rsidRPr="001E2783" w:rsidRDefault="00FD51FB" w:rsidP="00FD51FB">
      <w:pPr>
        <w:rPr>
          <w:rFonts w:cs="Arial"/>
        </w:rPr>
      </w:pPr>
    </w:p>
    <w:p w14:paraId="1E3B9583" w14:textId="77777777" w:rsidR="00FD51FB" w:rsidRPr="001E2783" w:rsidRDefault="00FD51FB" w:rsidP="00FD51FB">
      <w:pPr>
        <w:pStyle w:val="Bodysubheader"/>
        <w:rPr>
          <w:rFonts w:ascii="Arial" w:hAnsi="Arial" w:cs="Arial"/>
        </w:rPr>
      </w:pPr>
      <w:r w:rsidRPr="001E2783">
        <w:rPr>
          <w:rFonts w:ascii="Arial" w:hAnsi="Arial" w:cs="Arial"/>
        </w:rPr>
        <w:t>Do Not Call Register consumer awareness</w:t>
      </w:r>
    </w:p>
    <w:p w14:paraId="6EE38EDD" w14:textId="77777777" w:rsidR="00FD51FB" w:rsidRPr="001E2783" w:rsidRDefault="00FD51FB" w:rsidP="00FD51FB">
      <w:pPr>
        <w:tabs>
          <w:tab w:val="left" w:pos="3686"/>
        </w:tabs>
        <w:rPr>
          <w:rFonts w:cs="Arial"/>
        </w:rPr>
      </w:pPr>
      <w:r w:rsidRPr="001E2783">
        <w:rPr>
          <w:rFonts w:cs="Arial"/>
        </w:rPr>
        <w:t xml:space="preserve">The Do Not Call Register website </w:t>
      </w:r>
      <w:r w:rsidR="00002055" w:rsidRPr="001E2783">
        <w:rPr>
          <w:rFonts w:cs="Arial"/>
        </w:rPr>
        <w:t xml:space="preserve">has consumer brochures </w:t>
      </w:r>
      <w:r w:rsidRPr="001E2783">
        <w:rPr>
          <w:rFonts w:cs="Arial"/>
        </w:rPr>
        <w:t>in six languages to help people register their phone numbers</w:t>
      </w:r>
      <w:r w:rsidR="00002055" w:rsidRPr="001E2783">
        <w:rPr>
          <w:rFonts w:cs="Arial"/>
        </w:rPr>
        <w:t>. A number of consumer information sheets are also available on the website.</w:t>
      </w:r>
      <w:r w:rsidRPr="001E2783">
        <w:rPr>
          <w:rFonts w:cs="Arial"/>
        </w:rPr>
        <w:t xml:space="preserve"> </w:t>
      </w:r>
    </w:p>
    <w:p w14:paraId="2AECB10B" w14:textId="77777777" w:rsidR="00A31D3D" w:rsidRPr="001E2783" w:rsidRDefault="00A31D3D" w:rsidP="005E66FB">
      <w:pPr>
        <w:rPr>
          <w:rFonts w:cs="Arial"/>
        </w:rPr>
      </w:pPr>
    </w:p>
    <w:p w14:paraId="5550B71B" w14:textId="77777777" w:rsidR="00A31D3D" w:rsidRPr="001E2783" w:rsidRDefault="00A31D3D" w:rsidP="00A31D3D">
      <w:pPr>
        <w:pStyle w:val="Heading3"/>
      </w:pPr>
      <w:bookmarkStart w:id="253" w:name="_Toc337727632"/>
      <w:bookmarkStart w:id="254" w:name="_Toc400018601"/>
      <w:r w:rsidRPr="001E2783">
        <w:t>Protection of consumer information</w:t>
      </w:r>
      <w:bookmarkEnd w:id="253"/>
      <w:bookmarkEnd w:id="254"/>
    </w:p>
    <w:p w14:paraId="148D64EC" w14:textId="77777777" w:rsidR="00A31D3D" w:rsidRPr="001E2783" w:rsidRDefault="00A31D3D" w:rsidP="00A31D3D">
      <w:pPr>
        <w:rPr>
          <w:rFonts w:cs="Arial"/>
        </w:rPr>
      </w:pPr>
      <w:r w:rsidRPr="001E2783">
        <w:rPr>
          <w:rFonts w:cs="Arial"/>
        </w:rPr>
        <w:t>Part 13 of the Telecommunications Act provides for the ACMA to administer the IPND scheme.</w:t>
      </w:r>
    </w:p>
    <w:p w14:paraId="0F656A9C" w14:textId="77777777" w:rsidR="00A31D3D" w:rsidRPr="001E2783" w:rsidRDefault="00A31D3D" w:rsidP="00A31D3D">
      <w:pPr>
        <w:rPr>
          <w:rFonts w:cs="Arial"/>
        </w:rPr>
      </w:pPr>
    </w:p>
    <w:p w14:paraId="40B790FA" w14:textId="77777777" w:rsidR="00A31D3D" w:rsidRPr="001E2783" w:rsidRDefault="00A31D3D" w:rsidP="00A31D3D">
      <w:pPr>
        <w:rPr>
          <w:rFonts w:cs="Arial"/>
        </w:rPr>
      </w:pPr>
      <w:r w:rsidRPr="001E2783">
        <w:rPr>
          <w:rFonts w:cs="Arial"/>
        </w:rPr>
        <w:t>The IPND is an industry-wide database of all listed and unlisted public telephone numbers. It was established in 1998 and is currently managed by Telstra under the Carrier Licence Conditions (Telstra Corporation Limited) Declaration 1997.</w:t>
      </w:r>
    </w:p>
    <w:p w14:paraId="5D41AA66" w14:textId="77777777" w:rsidR="00A31D3D" w:rsidRPr="001E2783" w:rsidRDefault="00A31D3D" w:rsidP="00A31D3D">
      <w:pPr>
        <w:rPr>
          <w:rFonts w:cs="Arial"/>
        </w:rPr>
      </w:pPr>
    </w:p>
    <w:p w14:paraId="3B32F441" w14:textId="77777777" w:rsidR="00A31D3D" w:rsidRPr="001E2783" w:rsidRDefault="0018267B" w:rsidP="00A31D3D">
      <w:pPr>
        <w:rPr>
          <w:rFonts w:cs="Arial"/>
        </w:rPr>
      </w:pPr>
      <w:r w:rsidRPr="001E2783">
        <w:rPr>
          <w:rFonts w:cs="Arial"/>
        </w:rPr>
        <w:t xml:space="preserve">The IPND scheme allows for the assessment of applications for authorisation for public number directory publishers and </w:t>
      </w:r>
      <w:r w:rsidR="00C44DD4" w:rsidRPr="001E2783">
        <w:rPr>
          <w:rFonts w:cs="Arial"/>
        </w:rPr>
        <w:t xml:space="preserve">people conducting </w:t>
      </w:r>
      <w:r w:rsidRPr="001E2783">
        <w:rPr>
          <w:rFonts w:cs="Arial"/>
        </w:rPr>
        <w:t>research of a kind specified by the minister as being in the pub</w:t>
      </w:r>
      <w:r w:rsidR="00B820A2" w:rsidRPr="001E2783">
        <w:rPr>
          <w:rFonts w:cs="Arial"/>
        </w:rPr>
        <w:t>lic interest. In the year to 30 </w:t>
      </w:r>
      <w:r w:rsidRPr="001E2783">
        <w:rPr>
          <w:rFonts w:cs="Arial"/>
        </w:rPr>
        <w:t>June 2014, no authorisations to access IPND data for the purposes of conducting permitted research w</w:t>
      </w:r>
      <w:r w:rsidR="00B820A2" w:rsidRPr="001E2783">
        <w:rPr>
          <w:rFonts w:cs="Arial"/>
        </w:rPr>
        <w:t>ere granted. As a result, at 30 </w:t>
      </w:r>
      <w:r w:rsidRPr="001E2783">
        <w:rPr>
          <w:rFonts w:cs="Arial"/>
        </w:rPr>
        <w:t>June 2014, six entities held authorisations to access IPND data for the purpose of publishing public number directories and one entity held research authorisation. Four of the authorisations relate to electronic public number directories.</w:t>
      </w:r>
    </w:p>
    <w:p w14:paraId="2CD13C5A" w14:textId="77777777" w:rsidR="0018267B" w:rsidRPr="001E2783" w:rsidRDefault="0018267B" w:rsidP="00A31D3D">
      <w:pPr>
        <w:rPr>
          <w:rFonts w:cs="Arial"/>
        </w:rPr>
      </w:pPr>
    </w:p>
    <w:p w14:paraId="72052142" w14:textId="4D22508D" w:rsidR="00A31D3D" w:rsidRPr="001E2783" w:rsidRDefault="00A31D3D" w:rsidP="00A31D3D">
      <w:pPr>
        <w:rPr>
          <w:rFonts w:cs="Arial"/>
        </w:rPr>
      </w:pPr>
      <w:r w:rsidRPr="001E2783">
        <w:rPr>
          <w:rFonts w:cs="Arial"/>
        </w:rPr>
        <w:t xml:space="preserve">See also </w:t>
      </w:r>
      <w:r w:rsidRPr="001E2783">
        <w:rPr>
          <w:rFonts w:cs="Arial"/>
          <w:i/>
        </w:rPr>
        <w:t>Integrated Public Number Database</w:t>
      </w:r>
      <w:r w:rsidRPr="001E2783">
        <w:rPr>
          <w:rFonts w:cs="Arial"/>
        </w:rPr>
        <w:t>.</w:t>
      </w:r>
    </w:p>
    <w:p w14:paraId="49D9D5A4" w14:textId="77777777" w:rsidR="004142AF" w:rsidRPr="001E2783" w:rsidRDefault="004142AF" w:rsidP="00CC119D">
      <w:pPr>
        <w:rPr>
          <w:rFonts w:cs="Arial"/>
        </w:rPr>
      </w:pPr>
    </w:p>
    <w:p w14:paraId="44E5C760" w14:textId="27282DF4" w:rsidR="004142AF" w:rsidRPr="001E2783" w:rsidRDefault="004142AF" w:rsidP="00BF6B8E">
      <w:pPr>
        <w:pStyle w:val="Heading3"/>
      </w:pPr>
      <w:bookmarkStart w:id="255" w:name="_Toc400018602"/>
      <w:r w:rsidRPr="001E2783">
        <w:t xml:space="preserve">Review of </w:t>
      </w:r>
      <w:r w:rsidR="000B4EE3" w:rsidRPr="001E2783">
        <w:t>‘</w:t>
      </w:r>
      <w:r w:rsidRPr="001E2783">
        <w:t>190</w:t>
      </w:r>
      <w:r w:rsidR="000B4EE3" w:rsidRPr="001E2783">
        <w:t>’</w:t>
      </w:r>
      <w:r w:rsidRPr="001E2783">
        <w:t xml:space="preserve"> phone service rules</w:t>
      </w:r>
      <w:bookmarkEnd w:id="255"/>
      <w:r w:rsidRPr="001E2783">
        <w:t xml:space="preserve"> </w:t>
      </w:r>
    </w:p>
    <w:p w14:paraId="3E1E7CB3" w14:textId="77777777" w:rsidR="00515426" w:rsidRPr="001E2783" w:rsidRDefault="00515426" w:rsidP="00515426">
      <w:pPr>
        <w:rPr>
          <w:rFonts w:cs="Arial"/>
        </w:rPr>
      </w:pPr>
      <w:r w:rsidRPr="001E2783">
        <w:rPr>
          <w:rFonts w:cs="Arial"/>
        </w:rPr>
        <w:t>In March 2013, the ACMA began a review of the Telecommunications Service Provider (Premium Services) Determination 20</w:t>
      </w:r>
      <w:r w:rsidR="00B820A2" w:rsidRPr="001E2783">
        <w:rPr>
          <w:rFonts w:cs="Arial"/>
        </w:rPr>
        <w:t>04 (No. </w:t>
      </w:r>
      <w:r w:rsidRPr="001E2783">
        <w:rPr>
          <w:rFonts w:cs="Arial"/>
        </w:rPr>
        <w:t>1), which obliges providers to give customers information about 1900, 1901 and 1902 premium service numbers, including the potential costs associated with these services and how to avoid unexpectedly high bills.</w:t>
      </w:r>
    </w:p>
    <w:p w14:paraId="32A2BC2A" w14:textId="77777777" w:rsidR="00515426" w:rsidRPr="001E2783" w:rsidRDefault="00515426" w:rsidP="00515426">
      <w:pPr>
        <w:rPr>
          <w:rFonts w:cs="Arial"/>
        </w:rPr>
      </w:pPr>
    </w:p>
    <w:p w14:paraId="281968A2" w14:textId="77777777" w:rsidR="00515426" w:rsidRPr="001E2783" w:rsidRDefault="00CD7D35" w:rsidP="00515426">
      <w:pPr>
        <w:rPr>
          <w:rFonts w:cs="Arial"/>
        </w:rPr>
      </w:pPr>
      <w:r w:rsidRPr="001E2783">
        <w:rPr>
          <w:rFonts w:cs="Arial"/>
        </w:rPr>
        <w:t>Since the d</w:t>
      </w:r>
      <w:r w:rsidR="00515426" w:rsidRPr="001E2783">
        <w:rPr>
          <w:rFonts w:cs="Arial"/>
        </w:rPr>
        <w:t xml:space="preserve">etermination was made in 2004, new business models for providing premium content have evolved and the significance of 190 premium services has steadily declined. Updated consumer protection tools </w:t>
      </w:r>
      <w:r w:rsidR="00BF30ED" w:rsidRPr="001E2783">
        <w:rPr>
          <w:rFonts w:cs="Arial"/>
        </w:rPr>
        <w:t>are</w:t>
      </w:r>
      <w:r w:rsidR="00515426" w:rsidRPr="001E2783">
        <w:rPr>
          <w:rFonts w:cs="Arial"/>
        </w:rPr>
        <w:t xml:space="preserve"> also available in the </w:t>
      </w:r>
      <w:r w:rsidRPr="001E2783">
        <w:rPr>
          <w:rFonts w:cs="Arial"/>
        </w:rPr>
        <w:t>TCP Code</w:t>
      </w:r>
      <w:r w:rsidR="00515426" w:rsidRPr="001E2783">
        <w:rPr>
          <w:rFonts w:cs="Arial"/>
          <w:i/>
        </w:rPr>
        <w:t>.</w:t>
      </w:r>
      <w:r w:rsidR="00515426" w:rsidRPr="001E2783">
        <w:rPr>
          <w:rFonts w:cs="Arial"/>
        </w:rPr>
        <w:t xml:space="preserve"> The ACMA consulted with consumers and indust</w:t>
      </w:r>
      <w:r w:rsidRPr="001E2783">
        <w:rPr>
          <w:rFonts w:cs="Arial"/>
        </w:rPr>
        <w:t>ry on the effectiveness of the d</w:t>
      </w:r>
      <w:r w:rsidR="00515426" w:rsidRPr="001E2783">
        <w:rPr>
          <w:rFonts w:cs="Arial"/>
        </w:rPr>
        <w:t>etermination and its ongoing usefulness for regulating 190 premium services. As a result of the review</w:t>
      </w:r>
      <w:r w:rsidRPr="001E2783">
        <w:rPr>
          <w:rFonts w:cs="Arial"/>
        </w:rPr>
        <w:t>,</w:t>
      </w:r>
      <w:r w:rsidR="00515426" w:rsidRPr="001E2783">
        <w:rPr>
          <w:rFonts w:cs="Arial"/>
        </w:rPr>
        <w:t xml:space="preserve"> the ACMA revoked the </w:t>
      </w:r>
      <w:r w:rsidRPr="001E2783">
        <w:rPr>
          <w:rFonts w:cs="Arial"/>
        </w:rPr>
        <w:t>d</w:t>
      </w:r>
      <w:r w:rsidR="00515426" w:rsidRPr="001E2783">
        <w:rPr>
          <w:rFonts w:cs="Arial"/>
        </w:rPr>
        <w:t>etermination in October 2013.</w:t>
      </w:r>
    </w:p>
    <w:p w14:paraId="71CFCC5D" w14:textId="77777777" w:rsidR="004142AF" w:rsidRPr="001E2783" w:rsidRDefault="004142AF" w:rsidP="00CC119D">
      <w:pPr>
        <w:rPr>
          <w:rFonts w:cs="Arial"/>
        </w:rPr>
      </w:pPr>
    </w:p>
    <w:p w14:paraId="4BE010DB" w14:textId="77777777" w:rsidR="00CC119D" w:rsidRPr="001E2783" w:rsidRDefault="00CC119D" w:rsidP="00CC119D">
      <w:pPr>
        <w:pStyle w:val="Heading2"/>
      </w:pPr>
      <w:bookmarkStart w:id="256" w:name="_Toc337727633"/>
      <w:bookmarkStart w:id="257" w:name="_Toc400018603"/>
      <w:r w:rsidRPr="001E2783">
        <w:t>Community awareness</w:t>
      </w:r>
      <w:bookmarkEnd w:id="256"/>
      <w:bookmarkEnd w:id="257"/>
    </w:p>
    <w:p w14:paraId="6DF3922C" w14:textId="77777777" w:rsidR="00CC119D" w:rsidRPr="001E2783" w:rsidRDefault="00CC119D" w:rsidP="00CC119D">
      <w:pPr>
        <w:rPr>
          <w:rFonts w:cs="Arial"/>
        </w:rPr>
      </w:pPr>
      <w:r w:rsidRPr="001E2783">
        <w:rPr>
          <w:rFonts w:cs="Arial"/>
        </w:rPr>
        <w:t>The ACMA’s role includes informing consumers about communications products and services that are available to them, and informing industry and consumers about their communications rights and obligations.</w:t>
      </w:r>
    </w:p>
    <w:p w14:paraId="343BA26A" w14:textId="77777777" w:rsidR="00CC119D" w:rsidRPr="001E2783" w:rsidRDefault="00CC119D" w:rsidP="00CC119D">
      <w:pPr>
        <w:rPr>
          <w:rFonts w:cs="Arial"/>
        </w:rPr>
      </w:pPr>
    </w:p>
    <w:p w14:paraId="6ED27CDE" w14:textId="77777777" w:rsidR="0018267B" w:rsidRPr="001E2783" w:rsidRDefault="0018267B" w:rsidP="0018267B">
      <w:pPr>
        <w:pStyle w:val="Heading3"/>
      </w:pPr>
      <w:bookmarkStart w:id="258" w:name="_Toc400018604"/>
      <w:r w:rsidRPr="001E2783">
        <w:t>Cybersafety—the Cybersmart program</w:t>
      </w:r>
      <w:bookmarkEnd w:id="258"/>
    </w:p>
    <w:p w14:paraId="1C0D51FA" w14:textId="6B6CE10F" w:rsidR="0018267B" w:rsidRPr="001E2783" w:rsidRDefault="0018267B" w:rsidP="0018267B">
      <w:pPr>
        <w:rPr>
          <w:rFonts w:cs="Arial"/>
        </w:rPr>
      </w:pPr>
      <w:r w:rsidRPr="001E2783">
        <w:rPr>
          <w:rFonts w:cs="Arial"/>
        </w:rPr>
        <w:t xml:space="preserve">The ACMA manages a national cybersafety education program, a role </w:t>
      </w:r>
      <w:r w:rsidR="00B820A2" w:rsidRPr="001E2783">
        <w:rPr>
          <w:rFonts w:cs="Arial"/>
        </w:rPr>
        <w:t>conferred on it under Schedule </w:t>
      </w:r>
      <w:r w:rsidRPr="001E2783">
        <w:rPr>
          <w:rFonts w:cs="Arial"/>
        </w:rPr>
        <w:t xml:space="preserve">5 </w:t>
      </w:r>
      <w:r w:rsidR="00730799" w:rsidRPr="001E2783">
        <w:rPr>
          <w:rFonts w:cs="Arial"/>
        </w:rPr>
        <w:t xml:space="preserve">and Schedule 7 </w:t>
      </w:r>
      <w:r w:rsidRPr="001E2783">
        <w:rPr>
          <w:rFonts w:cs="Arial"/>
        </w:rPr>
        <w:t xml:space="preserve">of the BSA. </w:t>
      </w:r>
    </w:p>
    <w:p w14:paraId="460EAB14" w14:textId="77777777" w:rsidR="0018267B" w:rsidRPr="001E2783" w:rsidRDefault="0018267B" w:rsidP="0018267B">
      <w:pPr>
        <w:rPr>
          <w:rFonts w:cs="Arial"/>
        </w:rPr>
      </w:pPr>
    </w:p>
    <w:p w14:paraId="3BC5EE24" w14:textId="77777777" w:rsidR="0018267B" w:rsidRPr="001E2783" w:rsidRDefault="0018267B" w:rsidP="0018267B">
      <w:pPr>
        <w:keepNext/>
        <w:spacing w:after="80"/>
        <w:rPr>
          <w:rFonts w:cs="Arial"/>
        </w:rPr>
      </w:pPr>
      <w:r w:rsidRPr="001E2783">
        <w:rPr>
          <w:rFonts w:cs="Arial"/>
        </w:rPr>
        <w:t>In 2013–14, cybersafety community education activities centred on the:</w:t>
      </w:r>
    </w:p>
    <w:p w14:paraId="334DA6AF" w14:textId="77777777" w:rsidR="0018267B" w:rsidRPr="001E2783" w:rsidRDefault="0018267B" w:rsidP="0018267B">
      <w:pPr>
        <w:pStyle w:val="ListBullet"/>
        <w:ind w:left="284"/>
        <w:rPr>
          <w:rFonts w:cs="Arial"/>
        </w:rPr>
      </w:pPr>
      <w:r w:rsidRPr="001E2783">
        <w:rPr>
          <w:rFonts w:cs="Arial"/>
        </w:rPr>
        <w:t>continuing dev</w:t>
      </w:r>
      <w:r w:rsidR="00CD7D35" w:rsidRPr="001E2783">
        <w:rPr>
          <w:rFonts w:cs="Arial"/>
        </w:rPr>
        <w:t>elopment and deployment of face-to-</w:t>
      </w:r>
      <w:r w:rsidRPr="001E2783">
        <w:rPr>
          <w:rFonts w:cs="Arial"/>
        </w:rPr>
        <w:t>face internet safety presentations and teacher professional development for the Outreach program</w:t>
      </w:r>
    </w:p>
    <w:p w14:paraId="4500459D" w14:textId="77777777" w:rsidR="0018267B" w:rsidRPr="001E2783" w:rsidRDefault="0018267B" w:rsidP="0018267B">
      <w:pPr>
        <w:pStyle w:val="ListBullet"/>
        <w:spacing w:after="240"/>
        <w:ind w:left="284"/>
        <w:rPr>
          <w:rFonts w:cs="Arial"/>
        </w:rPr>
      </w:pPr>
      <w:r w:rsidRPr="001E2783">
        <w:rPr>
          <w:rFonts w:cs="Arial"/>
        </w:rPr>
        <w:t>development of cybersafety education programs and information material for schools, pre-service teachers and parents that are designed to develop skills required to use digital technologies with confidence and safety.</w:t>
      </w:r>
    </w:p>
    <w:p w14:paraId="367B8129" w14:textId="38790059" w:rsidR="0018267B" w:rsidRPr="001E2783" w:rsidRDefault="0018267B" w:rsidP="0018267B">
      <w:pPr>
        <w:rPr>
          <w:rFonts w:cs="Arial"/>
        </w:rPr>
      </w:pPr>
      <w:r w:rsidRPr="001E2783">
        <w:rPr>
          <w:rFonts w:cs="Arial"/>
        </w:rPr>
        <w:t>Throughout the reporting period</w:t>
      </w:r>
      <w:r w:rsidR="00CD7D35" w:rsidRPr="001E2783">
        <w:rPr>
          <w:rFonts w:cs="Arial"/>
        </w:rPr>
        <w:t>,</w:t>
      </w:r>
      <w:r w:rsidRPr="001E2783">
        <w:rPr>
          <w:rFonts w:cs="Arial"/>
        </w:rPr>
        <w:t xml:space="preserve"> Cybersmart </w:t>
      </w:r>
      <w:r w:rsidR="00CD7D35" w:rsidRPr="001E2783">
        <w:rPr>
          <w:rFonts w:cs="Arial"/>
        </w:rPr>
        <w:t>focus</w:t>
      </w:r>
      <w:r w:rsidRPr="001E2783">
        <w:rPr>
          <w:rFonts w:cs="Arial"/>
        </w:rPr>
        <w:t>ed on maximising its reach into more Australian communities with cus</w:t>
      </w:r>
      <w:r w:rsidR="00CD7D35" w:rsidRPr="001E2783">
        <w:rPr>
          <w:rFonts w:cs="Arial"/>
        </w:rPr>
        <w:t xml:space="preserve">tomised online safety content. </w:t>
      </w:r>
      <w:r w:rsidRPr="001E2783">
        <w:rPr>
          <w:rFonts w:cs="Arial"/>
        </w:rPr>
        <w:t>An important focus of the program has been the development of tailored resources for use in Indigenous communities (see</w:t>
      </w:r>
      <w:r w:rsidR="00BF30ED" w:rsidRPr="001E2783">
        <w:rPr>
          <w:rFonts w:cs="Arial"/>
        </w:rPr>
        <w:t xml:space="preserve"> the</w:t>
      </w:r>
      <w:r w:rsidRPr="001E2783">
        <w:rPr>
          <w:rFonts w:cs="Arial"/>
        </w:rPr>
        <w:t xml:space="preserve"> </w:t>
      </w:r>
      <w:r w:rsidR="00CD7D35" w:rsidRPr="001E2783">
        <w:rPr>
          <w:rFonts w:cs="Arial"/>
          <w:i/>
        </w:rPr>
        <w:t xml:space="preserve">Be Deadly Online—resources for Indigenous Australians </w:t>
      </w:r>
      <w:r w:rsidRPr="001E2783">
        <w:rPr>
          <w:rFonts w:cs="Arial"/>
        </w:rPr>
        <w:t xml:space="preserve">case study). </w:t>
      </w:r>
    </w:p>
    <w:p w14:paraId="3B16D5AA" w14:textId="77777777" w:rsidR="0018267B" w:rsidRPr="001E2783" w:rsidRDefault="0018267B" w:rsidP="0018267B">
      <w:pPr>
        <w:rPr>
          <w:rFonts w:cs="Arial"/>
        </w:rPr>
      </w:pPr>
    </w:p>
    <w:p w14:paraId="760FB771" w14:textId="77777777" w:rsidR="0018267B" w:rsidRPr="001E2783" w:rsidRDefault="00CD7D35" w:rsidP="0018267B">
      <w:pPr>
        <w:rPr>
          <w:rFonts w:cs="Arial"/>
        </w:rPr>
      </w:pPr>
      <w:r w:rsidRPr="001E2783">
        <w:rPr>
          <w:rFonts w:cs="Arial"/>
        </w:rPr>
        <w:t>Based on research into how to educate parents about cybersafety, the ACMA also focu</w:t>
      </w:r>
      <w:r w:rsidR="0018267B" w:rsidRPr="001E2783">
        <w:rPr>
          <w:rFonts w:cs="Arial"/>
        </w:rPr>
        <w:t xml:space="preserve">sed on expanding the range of resources aimed at </w:t>
      </w:r>
      <w:r w:rsidRPr="001E2783">
        <w:rPr>
          <w:rFonts w:cs="Arial"/>
        </w:rPr>
        <w:t>this group</w:t>
      </w:r>
      <w:r w:rsidR="0018267B" w:rsidRPr="001E2783">
        <w:rPr>
          <w:rFonts w:cs="Arial"/>
        </w:rPr>
        <w:t xml:space="preserve">. </w:t>
      </w:r>
      <w:r w:rsidR="0018267B" w:rsidRPr="001E2783">
        <w:rPr>
          <w:rFonts w:cs="Arial"/>
          <w:i/>
        </w:rPr>
        <w:t>Chatterbox,</w:t>
      </w:r>
      <w:r w:rsidR="0018267B" w:rsidRPr="001E2783">
        <w:rPr>
          <w:rFonts w:cs="Arial"/>
        </w:rPr>
        <w:t xml:space="preserve"> an online video and conversation series</w:t>
      </w:r>
      <w:r w:rsidRPr="001E2783">
        <w:rPr>
          <w:rFonts w:cs="Arial"/>
        </w:rPr>
        <w:t xml:space="preserve"> with a range of related web-based resources, was</w:t>
      </w:r>
      <w:r w:rsidR="0018267B" w:rsidRPr="001E2783">
        <w:rPr>
          <w:rFonts w:cs="Arial"/>
        </w:rPr>
        <w:t xml:space="preserve"> developed to help parents deal with specific issues and behaviours relevant to the online world of children.</w:t>
      </w:r>
    </w:p>
    <w:p w14:paraId="53FD5E57" w14:textId="77777777" w:rsidR="0018267B" w:rsidRPr="001E2783" w:rsidRDefault="0018267B" w:rsidP="0018267B">
      <w:pPr>
        <w:rPr>
          <w:rFonts w:cs="Arial"/>
        </w:rPr>
      </w:pPr>
    </w:p>
    <w:p w14:paraId="3A1905D9" w14:textId="77777777" w:rsidR="0018267B" w:rsidRPr="001E2783" w:rsidRDefault="0018267B" w:rsidP="0018267B">
      <w:pPr>
        <w:rPr>
          <w:rFonts w:cs="Arial"/>
          <w:szCs w:val="20"/>
        </w:rPr>
      </w:pPr>
      <w:r w:rsidRPr="001E2783">
        <w:rPr>
          <w:rFonts w:cs="Arial"/>
          <w:szCs w:val="20"/>
        </w:rPr>
        <w:t xml:space="preserve">The </w:t>
      </w:r>
      <w:r w:rsidRPr="001E2783">
        <w:rPr>
          <w:rFonts w:cs="Arial"/>
        </w:rPr>
        <w:t>Cybersmart website</w:t>
      </w:r>
      <w:r w:rsidR="00CD7D35" w:rsidRPr="001E2783">
        <w:rPr>
          <w:rFonts w:cs="Arial"/>
          <w:szCs w:val="20"/>
        </w:rPr>
        <w:t xml:space="preserve"> is the main portal for </w:t>
      </w:r>
      <w:r w:rsidRPr="001E2783">
        <w:rPr>
          <w:rFonts w:cs="Arial"/>
          <w:szCs w:val="20"/>
        </w:rPr>
        <w:t>hosting and deliver</w:t>
      </w:r>
      <w:r w:rsidR="00CD7D35" w:rsidRPr="001E2783">
        <w:rPr>
          <w:rFonts w:cs="Arial"/>
          <w:szCs w:val="20"/>
        </w:rPr>
        <w:t>ing</w:t>
      </w:r>
      <w:r w:rsidRPr="001E2783">
        <w:rPr>
          <w:rFonts w:cs="Arial"/>
          <w:szCs w:val="20"/>
        </w:rPr>
        <w:t xml:space="preserve"> cybersafety information and resources to students, parents and teachers. In 2013</w:t>
      </w:r>
      <w:r w:rsidR="00CD7D35" w:rsidRPr="001E2783">
        <w:rPr>
          <w:rFonts w:cs="Arial"/>
          <w:szCs w:val="20"/>
        </w:rPr>
        <w:t>–</w:t>
      </w:r>
      <w:r w:rsidRPr="001E2783">
        <w:rPr>
          <w:rFonts w:cs="Arial"/>
          <w:szCs w:val="20"/>
        </w:rPr>
        <w:t xml:space="preserve">14, </w:t>
      </w:r>
      <w:r w:rsidR="00CD7D35" w:rsidRPr="001E2783">
        <w:rPr>
          <w:rFonts w:cs="Arial"/>
          <w:szCs w:val="20"/>
        </w:rPr>
        <w:t>the site had</w:t>
      </w:r>
      <w:r w:rsidRPr="001E2783">
        <w:rPr>
          <w:rFonts w:cs="Arial"/>
          <w:szCs w:val="20"/>
        </w:rPr>
        <w:t xml:space="preserve"> </w:t>
      </w:r>
      <w:r w:rsidR="00C44DD4" w:rsidRPr="001E2783">
        <w:rPr>
          <w:rFonts w:cs="Arial"/>
          <w:szCs w:val="20"/>
        </w:rPr>
        <w:t>1,115,848</w:t>
      </w:r>
      <w:r w:rsidRPr="001E2783">
        <w:rPr>
          <w:rFonts w:cs="Arial"/>
          <w:szCs w:val="20"/>
        </w:rPr>
        <w:t xml:space="preserve"> unique visitors and </w:t>
      </w:r>
      <w:r w:rsidR="00C44DD4" w:rsidRPr="001E2783">
        <w:rPr>
          <w:rFonts w:cs="Arial"/>
          <w:szCs w:val="20"/>
        </w:rPr>
        <w:t xml:space="preserve">6,427,025 </w:t>
      </w:r>
      <w:r w:rsidRPr="001E2783">
        <w:rPr>
          <w:rFonts w:cs="Arial"/>
          <w:szCs w:val="20"/>
        </w:rPr>
        <w:t>page views. Since</w:t>
      </w:r>
      <w:r w:rsidR="003964E9" w:rsidRPr="001E2783">
        <w:rPr>
          <w:rFonts w:cs="Arial"/>
          <w:szCs w:val="20"/>
        </w:rPr>
        <w:t xml:space="preserve"> </w:t>
      </w:r>
      <w:r w:rsidR="00C44DD4" w:rsidRPr="001E2783">
        <w:rPr>
          <w:rFonts w:cs="Arial"/>
          <w:szCs w:val="20"/>
        </w:rPr>
        <w:t>the site’s</w:t>
      </w:r>
      <w:r w:rsidR="003964E9" w:rsidRPr="001E2783">
        <w:rPr>
          <w:rFonts w:cs="Arial"/>
          <w:szCs w:val="20"/>
        </w:rPr>
        <w:t xml:space="preserve"> </w:t>
      </w:r>
      <w:r w:rsidRPr="001E2783">
        <w:rPr>
          <w:rFonts w:cs="Arial"/>
          <w:szCs w:val="20"/>
        </w:rPr>
        <w:t xml:space="preserve">July 2009 launch, </w:t>
      </w:r>
      <w:r w:rsidR="00C44DD4" w:rsidRPr="001E2783">
        <w:rPr>
          <w:rFonts w:cs="Arial"/>
          <w:szCs w:val="20"/>
        </w:rPr>
        <w:t>there have been over 3.95 million visitors and more than 28.4 million page views. During the reporting period, t</w:t>
      </w:r>
      <w:r w:rsidRPr="001E2783">
        <w:rPr>
          <w:rFonts w:cs="Arial"/>
          <w:szCs w:val="20"/>
        </w:rPr>
        <w:t xml:space="preserve">he website </w:t>
      </w:r>
      <w:r w:rsidR="00C44DD4" w:rsidRPr="001E2783">
        <w:rPr>
          <w:rFonts w:cs="Arial"/>
          <w:szCs w:val="20"/>
        </w:rPr>
        <w:t>w</w:t>
      </w:r>
      <w:r w:rsidR="003964E9" w:rsidRPr="001E2783">
        <w:rPr>
          <w:rFonts w:cs="Arial"/>
          <w:szCs w:val="20"/>
        </w:rPr>
        <w:t xml:space="preserve">as </w:t>
      </w:r>
      <w:r w:rsidRPr="001E2783">
        <w:rPr>
          <w:rFonts w:cs="Arial"/>
          <w:szCs w:val="20"/>
        </w:rPr>
        <w:t>expanded to incorporate a customised Indigenous portal with targeted information and advice</w:t>
      </w:r>
      <w:r w:rsidR="003964E9" w:rsidRPr="001E2783">
        <w:rPr>
          <w:rFonts w:cs="Arial"/>
          <w:szCs w:val="20"/>
        </w:rPr>
        <w:t>,</w:t>
      </w:r>
      <w:r w:rsidR="00C44DD4" w:rsidRPr="001E2783">
        <w:rPr>
          <w:rFonts w:cs="Arial"/>
          <w:szCs w:val="20"/>
        </w:rPr>
        <w:t xml:space="preserve"> and</w:t>
      </w:r>
      <w:r w:rsidR="003964E9" w:rsidRPr="001E2783">
        <w:rPr>
          <w:rFonts w:cs="Arial"/>
          <w:szCs w:val="20"/>
        </w:rPr>
        <w:t xml:space="preserve"> </w:t>
      </w:r>
      <w:r w:rsidRPr="001E2783">
        <w:rPr>
          <w:rFonts w:cs="Arial"/>
          <w:szCs w:val="20"/>
        </w:rPr>
        <w:t>a revamped gateway for parents</w:t>
      </w:r>
      <w:r w:rsidR="00BF30ED" w:rsidRPr="001E2783">
        <w:rPr>
          <w:rFonts w:cs="Arial"/>
          <w:szCs w:val="20"/>
        </w:rPr>
        <w:t>. I</w:t>
      </w:r>
      <w:r w:rsidRPr="001E2783">
        <w:rPr>
          <w:rFonts w:cs="Arial"/>
          <w:szCs w:val="20"/>
        </w:rPr>
        <w:t>ts ordering facility</w:t>
      </w:r>
      <w:r w:rsidR="003964E9" w:rsidRPr="001E2783">
        <w:rPr>
          <w:rFonts w:cs="Arial"/>
          <w:szCs w:val="20"/>
        </w:rPr>
        <w:t xml:space="preserve"> </w:t>
      </w:r>
      <w:r w:rsidR="00C44DD4" w:rsidRPr="001E2783">
        <w:rPr>
          <w:rFonts w:cs="Arial"/>
          <w:szCs w:val="20"/>
        </w:rPr>
        <w:t>was</w:t>
      </w:r>
      <w:r w:rsidR="003964E9" w:rsidRPr="001E2783">
        <w:rPr>
          <w:rFonts w:cs="Arial"/>
          <w:szCs w:val="20"/>
        </w:rPr>
        <w:t xml:space="preserve"> </w:t>
      </w:r>
      <w:r w:rsidR="002C359E" w:rsidRPr="001E2783">
        <w:rPr>
          <w:rFonts w:cs="Arial"/>
          <w:szCs w:val="20"/>
        </w:rPr>
        <w:t xml:space="preserve">also </w:t>
      </w:r>
      <w:r w:rsidR="003964E9" w:rsidRPr="001E2783">
        <w:rPr>
          <w:rFonts w:cs="Arial"/>
          <w:szCs w:val="20"/>
        </w:rPr>
        <w:t>refined</w:t>
      </w:r>
      <w:r w:rsidRPr="001E2783">
        <w:rPr>
          <w:rFonts w:cs="Arial"/>
          <w:szCs w:val="20"/>
        </w:rPr>
        <w:t>.</w:t>
      </w:r>
    </w:p>
    <w:p w14:paraId="6D02324B" w14:textId="77777777" w:rsidR="0018267B" w:rsidRPr="001E2783" w:rsidRDefault="0018267B" w:rsidP="0018267B">
      <w:pPr>
        <w:rPr>
          <w:rFonts w:cs="Arial"/>
          <w:szCs w:val="20"/>
        </w:rPr>
      </w:pPr>
    </w:p>
    <w:p w14:paraId="085046A2" w14:textId="77777777" w:rsidR="0018267B" w:rsidRPr="001E2783" w:rsidRDefault="003964E9" w:rsidP="0018267B">
      <w:pPr>
        <w:spacing w:after="80"/>
        <w:rPr>
          <w:rFonts w:cs="Arial"/>
          <w:szCs w:val="20"/>
        </w:rPr>
      </w:pPr>
      <w:r w:rsidRPr="001E2783">
        <w:rPr>
          <w:rFonts w:cs="Arial"/>
          <w:szCs w:val="20"/>
        </w:rPr>
        <w:t xml:space="preserve">In the reporting period, </w:t>
      </w:r>
      <w:r w:rsidR="0018267B" w:rsidRPr="001E2783">
        <w:rPr>
          <w:rFonts w:cs="Arial"/>
          <w:szCs w:val="20"/>
        </w:rPr>
        <w:t>Cybersmart continued to engage directly with target audiences on social media platforms with audien</w:t>
      </w:r>
      <w:r w:rsidRPr="001E2783">
        <w:rPr>
          <w:rFonts w:cs="Arial"/>
          <w:szCs w:val="20"/>
        </w:rPr>
        <w:t>ce-</w:t>
      </w:r>
      <w:r w:rsidR="0018267B" w:rsidRPr="001E2783">
        <w:rPr>
          <w:rFonts w:cs="Arial"/>
          <w:szCs w:val="20"/>
        </w:rPr>
        <w:t>specific content, videos, expert interviews</w:t>
      </w:r>
      <w:r w:rsidRPr="001E2783">
        <w:rPr>
          <w:rFonts w:cs="Arial"/>
          <w:szCs w:val="20"/>
        </w:rPr>
        <w:t>,</w:t>
      </w:r>
      <w:r w:rsidR="0018267B" w:rsidRPr="001E2783">
        <w:rPr>
          <w:rFonts w:cs="Arial"/>
          <w:szCs w:val="20"/>
        </w:rPr>
        <w:t xml:space="preserve"> and current cybersafety news and trends: </w:t>
      </w:r>
    </w:p>
    <w:p w14:paraId="0AB2712C" w14:textId="77777777" w:rsidR="00515426" w:rsidRPr="001E2783" w:rsidRDefault="00515426" w:rsidP="00515426">
      <w:pPr>
        <w:pStyle w:val="ListBullet"/>
        <w:rPr>
          <w:rFonts w:cs="Arial"/>
        </w:rPr>
      </w:pPr>
      <w:r w:rsidRPr="001E2783">
        <w:rPr>
          <w:rFonts w:cs="Arial"/>
          <w:i/>
        </w:rPr>
        <w:t>The Cloud</w:t>
      </w:r>
      <w:r w:rsidRPr="001E2783">
        <w:rPr>
          <w:rFonts w:cs="Arial"/>
        </w:rPr>
        <w:t>, Cybersmart’s Facebook page for teens</w:t>
      </w:r>
      <w:r w:rsidR="003964E9" w:rsidRPr="001E2783">
        <w:rPr>
          <w:rFonts w:cs="Arial"/>
        </w:rPr>
        <w:t>,</w:t>
      </w:r>
      <w:r w:rsidRPr="001E2783">
        <w:rPr>
          <w:rFonts w:cs="Arial"/>
        </w:rPr>
        <w:t xml:space="preserve"> attracted </w:t>
      </w:r>
      <w:r w:rsidR="002C359E" w:rsidRPr="001E2783">
        <w:rPr>
          <w:rFonts w:cs="Arial"/>
        </w:rPr>
        <w:t xml:space="preserve">an additional 3,000 likes, bringing the total for this page to 7,640 </w:t>
      </w:r>
      <w:r w:rsidR="003964E9" w:rsidRPr="001E2783">
        <w:rPr>
          <w:rFonts w:cs="Arial"/>
        </w:rPr>
        <w:t xml:space="preserve">and </w:t>
      </w:r>
      <w:r w:rsidR="002C359E" w:rsidRPr="001E2783">
        <w:rPr>
          <w:rFonts w:cs="Arial"/>
        </w:rPr>
        <w:t xml:space="preserve">reaching </w:t>
      </w:r>
      <w:r w:rsidR="003964E9" w:rsidRPr="001E2783">
        <w:rPr>
          <w:rFonts w:cs="Arial"/>
        </w:rPr>
        <w:t>one</w:t>
      </w:r>
      <w:r w:rsidR="00B820A2" w:rsidRPr="001E2783">
        <w:rPr>
          <w:rFonts w:cs="Arial"/>
        </w:rPr>
        <w:t> </w:t>
      </w:r>
      <w:r w:rsidRPr="001E2783">
        <w:rPr>
          <w:rFonts w:cs="Arial"/>
        </w:rPr>
        <w:t xml:space="preserve">million friends of fans of the page. </w:t>
      </w:r>
      <w:r w:rsidR="002C359E" w:rsidRPr="001E2783">
        <w:rPr>
          <w:rFonts w:cs="Arial"/>
        </w:rPr>
        <w:t>The P</w:t>
      </w:r>
      <w:r w:rsidRPr="001E2783">
        <w:rPr>
          <w:rFonts w:cs="Arial"/>
        </w:rPr>
        <w:t xml:space="preserve">arents page </w:t>
      </w:r>
      <w:r w:rsidR="002C359E" w:rsidRPr="001E2783">
        <w:rPr>
          <w:rFonts w:cs="Arial"/>
        </w:rPr>
        <w:t>has attracted 4,030 likes since its launch on 26 February 2014</w:t>
      </w:r>
      <w:r w:rsidR="002735E0" w:rsidRPr="001E2783">
        <w:rPr>
          <w:rFonts w:cs="Arial"/>
        </w:rPr>
        <w:t>.</w:t>
      </w:r>
    </w:p>
    <w:p w14:paraId="7AAC60EC" w14:textId="77777777" w:rsidR="00515426" w:rsidRPr="001E2783" w:rsidRDefault="00515426" w:rsidP="00515426">
      <w:pPr>
        <w:pStyle w:val="ListBullet"/>
        <w:rPr>
          <w:rFonts w:cs="Arial"/>
        </w:rPr>
      </w:pPr>
      <w:r w:rsidRPr="001E2783">
        <w:rPr>
          <w:rFonts w:cs="Arial"/>
        </w:rPr>
        <w:t>The Cybersmart Twitter channel, aimed at educators and stakeholders</w:t>
      </w:r>
      <w:r w:rsidR="002735E0" w:rsidRPr="001E2783">
        <w:rPr>
          <w:rFonts w:cs="Arial"/>
        </w:rPr>
        <w:t>,</w:t>
      </w:r>
      <w:r w:rsidRPr="001E2783">
        <w:rPr>
          <w:rFonts w:cs="Arial"/>
        </w:rPr>
        <w:t xml:space="preserve"> </w:t>
      </w:r>
      <w:r w:rsidR="002C359E" w:rsidRPr="001E2783">
        <w:rPr>
          <w:rFonts w:cs="Arial"/>
        </w:rPr>
        <w:t xml:space="preserve">now </w:t>
      </w:r>
      <w:r w:rsidRPr="001E2783">
        <w:rPr>
          <w:rFonts w:cs="Arial"/>
        </w:rPr>
        <w:t>has</w:t>
      </w:r>
      <w:r w:rsidR="002C359E" w:rsidRPr="001E2783">
        <w:rPr>
          <w:rFonts w:cs="Arial"/>
        </w:rPr>
        <w:t xml:space="preserve"> 3,442 </w:t>
      </w:r>
      <w:r w:rsidRPr="001E2783">
        <w:rPr>
          <w:rFonts w:cs="Arial"/>
        </w:rPr>
        <w:t>followers</w:t>
      </w:r>
      <w:r w:rsidR="002735E0" w:rsidRPr="001E2783">
        <w:rPr>
          <w:rFonts w:cs="Arial"/>
        </w:rPr>
        <w:t>.</w:t>
      </w:r>
    </w:p>
    <w:p w14:paraId="420F49ED" w14:textId="77777777" w:rsidR="009C63DB" w:rsidRPr="001E2783" w:rsidRDefault="00515426" w:rsidP="009C63DB">
      <w:pPr>
        <w:pStyle w:val="ListBullet"/>
        <w:rPr>
          <w:rFonts w:cs="Arial"/>
        </w:rPr>
      </w:pPr>
      <w:r w:rsidRPr="001E2783">
        <w:rPr>
          <w:rFonts w:cs="Arial"/>
        </w:rPr>
        <w:t>YouTube and Vimeo are the main platforms used to host Cybersmart resources. These channels attracted more than</w:t>
      </w:r>
      <w:r w:rsidR="002C359E" w:rsidRPr="001E2783">
        <w:rPr>
          <w:rFonts w:cs="Arial"/>
        </w:rPr>
        <w:t xml:space="preserve"> 124,606</w:t>
      </w:r>
      <w:r w:rsidRPr="001E2783">
        <w:rPr>
          <w:rFonts w:cs="Arial"/>
        </w:rPr>
        <w:t xml:space="preserve"> video views</w:t>
      </w:r>
      <w:r w:rsidR="002C359E" w:rsidRPr="001E2783">
        <w:rPr>
          <w:rFonts w:cs="Arial"/>
        </w:rPr>
        <w:t>, with an estimated 380,551 minutes of video watched</w:t>
      </w:r>
      <w:r w:rsidRPr="001E2783">
        <w:rPr>
          <w:rFonts w:cs="Arial"/>
        </w:rPr>
        <w:t xml:space="preserve">. Our most popular </w:t>
      </w:r>
      <w:r w:rsidR="009C63DB" w:rsidRPr="001E2783">
        <w:rPr>
          <w:rFonts w:cs="Arial"/>
        </w:rPr>
        <w:t xml:space="preserve">video </w:t>
      </w:r>
      <w:r w:rsidRPr="001E2783">
        <w:rPr>
          <w:rFonts w:cs="Arial"/>
        </w:rPr>
        <w:t xml:space="preserve">resource, the </w:t>
      </w:r>
      <w:r w:rsidR="002735E0" w:rsidRPr="001E2783">
        <w:rPr>
          <w:rFonts w:cs="Arial"/>
        </w:rPr>
        <w:t>short film</w:t>
      </w:r>
      <w:r w:rsidR="002735E0" w:rsidRPr="001E2783">
        <w:rPr>
          <w:rFonts w:cs="Arial"/>
          <w:i/>
        </w:rPr>
        <w:t xml:space="preserve"> </w:t>
      </w:r>
      <w:r w:rsidRPr="001E2783">
        <w:rPr>
          <w:rFonts w:cs="Arial"/>
          <w:i/>
        </w:rPr>
        <w:t>Tagged</w:t>
      </w:r>
      <w:r w:rsidR="002735E0" w:rsidRPr="001E2783">
        <w:rPr>
          <w:rFonts w:cs="Arial"/>
        </w:rPr>
        <w:t xml:space="preserve">, </w:t>
      </w:r>
      <w:r w:rsidRPr="001E2783">
        <w:rPr>
          <w:rFonts w:cs="Arial"/>
        </w:rPr>
        <w:t xml:space="preserve">had over </w:t>
      </w:r>
      <w:r w:rsidR="009C63DB" w:rsidRPr="001E2783">
        <w:rPr>
          <w:rFonts w:cs="Arial"/>
        </w:rPr>
        <w:t>53,228</w:t>
      </w:r>
      <w:r w:rsidRPr="001E2783">
        <w:rPr>
          <w:rFonts w:cs="Arial"/>
        </w:rPr>
        <w:t xml:space="preserve"> views on YouTube</w:t>
      </w:r>
      <w:r w:rsidR="009C63DB" w:rsidRPr="001E2783">
        <w:rPr>
          <w:rFonts w:cs="Arial"/>
        </w:rPr>
        <w:t>/Vimeo and</w:t>
      </w:r>
      <w:r w:rsidRPr="001E2783">
        <w:rPr>
          <w:rFonts w:cs="Arial"/>
        </w:rPr>
        <w:t xml:space="preserve"> the </w:t>
      </w:r>
      <w:r w:rsidRPr="001E2783">
        <w:rPr>
          <w:rFonts w:cs="Arial"/>
          <w:i/>
        </w:rPr>
        <w:t>Tagged</w:t>
      </w:r>
      <w:r w:rsidRPr="001E2783">
        <w:rPr>
          <w:rFonts w:cs="Arial"/>
        </w:rPr>
        <w:t xml:space="preserve"> character in</w:t>
      </w:r>
      <w:r w:rsidR="002735E0" w:rsidRPr="001E2783">
        <w:rPr>
          <w:rFonts w:cs="Arial"/>
        </w:rPr>
        <w:t xml:space="preserve">terviews attracted </w:t>
      </w:r>
      <w:r w:rsidR="009C63DB" w:rsidRPr="001E2783">
        <w:rPr>
          <w:rFonts w:cs="Arial"/>
        </w:rPr>
        <w:t>12,243</w:t>
      </w:r>
      <w:r w:rsidR="002735E0" w:rsidRPr="001E2783">
        <w:rPr>
          <w:rFonts w:cs="Arial"/>
        </w:rPr>
        <w:t xml:space="preserve"> views.</w:t>
      </w:r>
      <w:r w:rsidR="009C63DB" w:rsidRPr="001E2783">
        <w:rPr>
          <w:rFonts w:cs="Arial"/>
        </w:rPr>
        <w:t xml:space="preserve"> Since </w:t>
      </w:r>
      <w:r w:rsidR="009C63DB" w:rsidRPr="001E2783">
        <w:rPr>
          <w:rFonts w:cs="Arial"/>
          <w:i/>
        </w:rPr>
        <w:t>Tagged</w:t>
      </w:r>
      <w:r w:rsidR="009C63DB" w:rsidRPr="001E2783">
        <w:rPr>
          <w:rFonts w:cs="Arial"/>
        </w:rPr>
        <w:t>’s September 2011 launch, there have been over 180,300 views of the film and more than 33,707 views of the character interview videos.</w:t>
      </w:r>
    </w:p>
    <w:p w14:paraId="5F93DD3E" w14:textId="77777777" w:rsidR="00515426" w:rsidRPr="001E2783" w:rsidRDefault="002735E0" w:rsidP="00515426">
      <w:pPr>
        <w:pStyle w:val="ListBullet"/>
        <w:rPr>
          <w:rFonts w:cs="Arial"/>
          <w:b/>
          <w:bCs/>
        </w:rPr>
      </w:pPr>
      <w:r w:rsidRPr="001E2783">
        <w:rPr>
          <w:rFonts w:cs="Arial"/>
        </w:rPr>
        <w:t>The Cybersmart b</w:t>
      </w:r>
      <w:r w:rsidR="00515426" w:rsidRPr="001E2783">
        <w:rPr>
          <w:rFonts w:cs="Arial"/>
        </w:rPr>
        <w:t>log</w:t>
      </w:r>
      <w:r w:rsidRPr="001E2783">
        <w:rPr>
          <w:rFonts w:cs="Arial"/>
        </w:rPr>
        <w:t xml:space="preserve"> </w:t>
      </w:r>
      <w:r w:rsidRPr="001E2783">
        <w:rPr>
          <w:rFonts w:cs="Arial"/>
          <w:bCs/>
        </w:rPr>
        <w:t>educates</w:t>
      </w:r>
      <w:r w:rsidR="00515426" w:rsidRPr="001E2783">
        <w:rPr>
          <w:rFonts w:cs="Arial"/>
          <w:bCs/>
        </w:rPr>
        <w:t xml:space="preserve"> parents through conversations about manag</w:t>
      </w:r>
      <w:r w:rsidRPr="001E2783">
        <w:rPr>
          <w:rFonts w:cs="Arial"/>
          <w:bCs/>
        </w:rPr>
        <w:t>ing</w:t>
      </w:r>
      <w:r w:rsidR="00515426" w:rsidRPr="001E2783">
        <w:rPr>
          <w:rFonts w:cs="Arial"/>
          <w:bCs/>
        </w:rPr>
        <w:t xml:space="preserve"> day-to-day cybersafety issues</w:t>
      </w:r>
      <w:r w:rsidR="009C63DB" w:rsidRPr="001E2783">
        <w:rPr>
          <w:rFonts w:cs="Arial"/>
          <w:bCs/>
        </w:rPr>
        <w:t>. During the reporting period, the blog received more than 19,888</w:t>
      </w:r>
      <w:r w:rsidR="00515426" w:rsidRPr="001E2783">
        <w:rPr>
          <w:rFonts w:cs="Arial"/>
          <w:bCs/>
        </w:rPr>
        <w:t xml:space="preserve"> page views</w:t>
      </w:r>
      <w:r w:rsidRPr="001E2783">
        <w:rPr>
          <w:rFonts w:cs="Arial"/>
          <w:bCs/>
        </w:rPr>
        <w:t>.</w:t>
      </w:r>
    </w:p>
    <w:p w14:paraId="469B6CB0" w14:textId="77777777" w:rsidR="00515426" w:rsidRPr="001E2783" w:rsidRDefault="002735E0" w:rsidP="00515426">
      <w:pPr>
        <w:pStyle w:val="ListBullet"/>
        <w:spacing w:after="240"/>
        <w:rPr>
          <w:rFonts w:cs="Arial"/>
        </w:rPr>
      </w:pPr>
      <w:r w:rsidRPr="001E2783">
        <w:rPr>
          <w:rFonts w:cs="Arial"/>
        </w:rPr>
        <w:t>T</w:t>
      </w:r>
      <w:r w:rsidR="00515426" w:rsidRPr="001E2783">
        <w:rPr>
          <w:rFonts w:cs="Arial"/>
        </w:rPr>
        <w:t>he Cyberzine e-newsletter for schools</w:t>
      </w:r>
      <w:r w:rsidRPr="001E2783">
        <w:rPr>
          <w:rFonts w:cs="Arial"/>
        </w:rPr>
        <w:t>, which</w:t>
      </w:r>
      <w:r w:rsidR="00515426" w:rsidRPr="001E2783">
        <w:rPr>
          <w:rFonts w:cs="Arial"/>
        </w:rPr>
        <w:t xml:space="preserve"> provides current news about Cybersmart resources and cybersafety trends, </w:t>
      </w:r>
      <w:r w:rsidRPr="001E2783">
        <w:rPr>
          <w:rFonts w:cs="Arial"/>
        </w:rPr>
        <w:t>has</w:t>
      </w:r>
      <w:r w:rsidR="00515426" w:rsidRPr="001E2783">
        <w:rPr>
          <w:rFonts w:cs="Arial"/>
        </w:rPr>
        <w:t xml:space="preserve"> </w:t>
      </w:r>
      <w:r w:rsidR="009C63DB" w:rsidRPr="001E2783">
        <w:rPr>
          <w:rFonts w:cs="Arial"/>
        </w:rPr>
        <w:t>4,797</w:t>
      </w:r>
      <w:r w:rsidR="00515426" w:rsidRPr="001E2783">
        <w:rPr>
          <w:rFonts w:cs="Arial"/>
        </w:rPr>
        <w:t xml:space="preserve"> subscribers</w:t>
      </w:r>
      <w:r w:rsidR="009C63DB" w:rsidRPr="001E2783">
        <w:rPr>
          <w:rFonts w:cs="Arial"/>
        </w:rPr>
        <w:t xml:space="preserve"> to date</w:t>
      </w:r>
      <w:r w:rsidR="00515426" w:rsidRPr="001E2783">
        <w:rPr>
          <w:rFonts w:cs="Arial"/>
        </w:rPr>
        <w:t xml:space="preserve">. </w:t>
      </w:r>
    </w:p>
    <w:p w14:paraId="53A57B9F" w14:textId="64439BAF" w:rsidR="00851338" w:rsidRPr="001E2783" w:rsidRDefault="00851338" w:rsidP="00851338">
      <w:pPr>
        <w:rPr>
          <w:rFonts w:cs="Arial"/>
        </w:rPr>
      </w:pPr>
      <w:r w:rsidRPr="001E2783">
        <w:rPr>
          <w:rFonts w:cs="Arial"/>
        </w:rPr>
        <w:t xml:space="preserve">Cybersmart </w:t>
      </w:r>
      <w:r w:rsidR="002735E0" w:rsidRPr="001E2783">
        <w:rPr>
          <w:rFonts w:cs="Arial"/>
        </w:rPr>
        <w:t>continues</w:t>
      </w:r>
      <w:r w:rsidRPr="001E2783">
        <w:rPr>
          <w:rFonts w:cs="Arial"/>
        </w:rPr>
        <w:t xml:space="preserve"> to provide access to a Helpline service for young people that offers real-time online and telephone professional counselling and advice about issues such as cyberbullying. Delivered in partnership with Kids Helpline, the service is free and confidential. </w:t>
      </w:r>
      <w:r w:rsidR="008951B6" w:rsidRPr="001E2783">
        <w:rPr>
          <w:rFonts w:cs="Arial"/>
        </w:rPr>
        <w:t>On cyberbullying issues, the</w:t>
      </w:r>
      <w:r w:rsidRPr="001E2783">
        <w:rPr>
          <w:rFonts w:cs="Arial"/>
        </w:rPr>
        <w:t xml:space="preserve"> Cybersmart program is currently the lead referral point for young people accessing the Kid’s Helpline service. Throughout </w:t>
      </w:r>
      <w:r w:rsidR="002735E0" w:rsidRPr="001E2783">
        <w:rPr>
          <w:rFonts w:cs="Arial"/>
        </w:rPr>
        <w:t xml:space="preserve">2013–14, </w:t>
      </w:r>
      <w:r w:rsidRPr="001E2783">
        <w:rPr>
          <w:rFonts w:cs="Arial"/>
        </w:rPr>
        <w:t xml:space="preserve">the Cybersmart Contact Centre provided an information service to </w:t>
      </w:r>
      <w:r w:rsidR="002735E0" w:rsidRPr="001E2783">
        <w:rPr>
          <w:rFonts w:cs="Arial"/>
        </w:rPr>
        <w:t>answer</w:t>
      </w:r>
      <w:r w:rsidRPr="001E2783">
        <w:rPr>
          <w:rFonts w:cs="Arial"/>
        </w:rPr>
        <w:t xml:space="preserve"> queries about cybersafety issues, </w:t>
      </w:r>
      <w:r w:rsidR="002735E0" w:rsidRPr="001E2783">
        <w:rPr>
          <w:rFonts w:cs="Arial"/>
        </w:rPr>
        <w:t xml:space="preserve">and to take </w:t>
      </w:r>
      <w:r w:rsidRPr="001E2783">
        <w:rPr>
          <w:rFonts w:cs="Arial"/>
        </w:rPr>
        <w:t>bookings for Cybersmart Outreach presentations and or</w:t>
      </w:r>
      <w:r w:rsidR="002735E0" w:rsidRPr="001E2783">
        <w:rPr>
          <w:rFonts w:cs="Arial"/>
        </w:rPr>
        <w:t xml:space="preserve">ders for Cybersmart resources. </w:t>
      </w:r>
      <w:r w:rsidRPr="001E2783">
        <w:rPr>
          <w:rFonts w:cs="Arial"/>
        </w:rPr>
        <w:t xml:space="preserve">More than </w:t>
      </w:r>
      <w:r w:rsidR="003C1A35" w:rsidRPr="001E2783">
        <w:rPr>
          <w:rFonts w:cs="Arial"/>
          <w:szCs w:val="20"/>
        </w:rPr>
        <w:t>472,368</w:t>
      </w:r>
      <w:r w:rsidRPr="001E2783">
        <w:rPr>
          <w:rFonts w:cs="Arial"/>
        </w:rPr>
        <w:t xml:space="preserve"> hard copy m</w:t>
      </w:r>
      <w:r w:rsidR="002735E0" w:rsidRPr="001E2783">
        <w:rPr>
          <w:rFonts w:cs="Arial"/>
        </w:rPr>
        <w:t>aterials were delivered in 2013–</w:t>
      </w:r>
      <w:r w:rsidRPr="001E2783">
        <w:rPr>
          <w:rFonts w:cs="Arial"/>
        </w:rPr>
        <w:t>14.</w:t>
      </w:r>
    </w:p>
    <w:p w14:paraId="0E845AE1" w14:textId="77777777" w:rsidR="0018267B" w:rsidRPr="001E2783" w:rsidRDefault="0018267B" w:rsidP="0018267B">
      <w:pPr>
        <w:rPr>
          <w:rFonts w:cs="Arial"/>
          <w:szCs w:val="20"/>
        </w:rPr>
      </w:pPr>
    </w:p>
    <w:p w14:paraId="069F3498" w14:textId="77777777" w:rsidR="0018267B" w:rsidRPr="001E2783" w:rsidRDefault="0018267B" w:rsidP="0018267B">
      <w:pPr>
        <w:pStyle w:val="BodysubheaderH4"/>
        <w:rPr>
          <w:rFonts w:cs="Arial"/>
        </w:rPr>
      </w:pPr>
      <w:r w:rsidRPr="001E2783">
        <w:rPr>
          <w:rFonts w:cs="Arial"/>
        </w:rPr>
        <w:t>Cybersmart Challenge activities</w:t>
      </w:r>
    </w:p>
    <w:p w14:paraId="24B1704E" w14:textId="77777777" w:rsidR="00141517" w:rsidRPr="001E2783" w:rsidRDefault="0018267B" w:rsidP="00141517">
      <w:pPr>
        <w:spacing w:after="80"/>
        <w:rPr>
          <w:rFonts w:cs="Arial"/>
        </w:rPr>
      </w:pPr>
      <w:r w:rsidRPr="001E2783">
        <w:rPr>
          <w:rFonts w:cs="Arial"/>
        </w:rPr>
        <w:t>2013–14 saw active participation in Cybersmart Challenge activities. The</w:t>
      </w:r>
      <w:r w:rsidR="00141517" w:rsidRPr="001E2783">
        <w:rPr>
          <w:rFonts w:cs="Arial"/>
        </w:rPr>
        <w:t>se</w:t>
      </w:r>
      <w:r w:rsidRPr="001E2783">
        <w:rPr>
          <w:rFonts w:cs="Arial"/>
        </w:rPr>
        <w:t xml:space="preserve"> resources comprise three distinct modules each targeting a specific cybersafety theme: </w:t>
      </w:r>
    </w:p>
    <w:p w14:paraId="462E25F2" w14:textId="77777777" w:rsidR="00141517" w:rsidRPr="001E2783" w:rsidRDefault="00141517" w:rsidP="00141517">
      <w:pPr>
        <w:pStyle w:val="ListBullet"/>
        <w:rPr>
          <w:rFonts w:cs="Arial"/>
        </w:rPr>
      </w:pPr>
      <w:r w:rsidRPr="001E2783">
        <w:rPr>
          <w:rFonts w:cs="Arial"/>
        </w:rPr>
        <w:t>Cybersmart Detectives—unwanted online contact</w:t>
      </w:r>
    </w:p>
    <w:p w14:paraId="737284EF" w14:textId="77777777" w:rsidR="00141517" w:rsidRPr="001E2783" w:rsidRDefault="00141517" w:rsidP="00141517">
      <w:pPr>
        <w:pStyle w:val="ListBullet"/>
        <w:rPr>
          <w:rFonts w:cs="Arial"/>
        </w:rPr>
      </w:pPr>
      <w:r w:rsidRPr="001E2783">
        <w:rPr>
          <w:rFonts w:cs="Arial"/>
        </w:rPr>
        <w:t>Cybersmart Hero—cyberbullying</w:t>
      </w:r>
    </w:p>
    <w:p w14:paraId="0B62C4BB" w14:textId="77777777" w:rsidR="00141517" w:rsidRPr="001E2783" w:rsidRDefault="00141517" w:rsidP="00141517">
      <w:pPr>
        <w:pStyle w:val="ListBullet"/>
        <w:spacing w:after="240"/>
        <w:rPr>
          <w:rFonts w:cs="Arial"/>
        </w:rPr>
      </w:pPr>
      <w:r w:rsidRPr="001E2783">
        <w:rPr>
          <w:rFonts w:cs="Arial"/>
        </w:rPr>
        <w:t>Cybersmart Networking—</w:t>
      </w:r>
      <w:r w:rsidR="00851338" w:rsidRPr="001E2783">
        <w:rPr>
          <w:rFonts w:cs="Arial"/>
        </w:rPr>
        <w:t>safe social networki</w:t>
      </w:r>
      <w:r w:rsidRPr="001E2783">
        <w:rPr>
          <w:rFonts w:cs="Arial"/>
        </w:rPr>
        <w:t>ng</w:t>
      </w:r>
      <w:r w:rsidR="00851338" w:rsidRPr="001E2783">
        <w:rPr>
          <w:rFonts w:cs="Arial"/>
        </w:rPr>
        <w:t xml:space="preserve">. </w:t>
      </w:r>
    </w:p>
    <w:p w14:paraId="6721EFCE" w14:textId="77777777" w:rsidR="0018267B" w:rsidRPr="001E2783" w:rsidRDefault="00851338" w:rsidP="00141517">
      <w:pPr>
        <w:rPr>
          <w:rFonts w:cs="Arial"/>
        </w:rPr>
      </w:pPr>
      <w:r w:rsidRPr="001E2783">
        <w:rPr>
          <w:rFonts w:cs="Arial"/>
        </w:rPr>
        <w:t xml:space="preserve">These </w:t>
      </w:r>
      <w:r w:rsidR="0018267B" w:rsidRPr="001E2783">
        <w:rPr>
          <w:rFonts w:cs="Arial"/>
        </w:rPr>
        <w:t xml:space="preserve">interactive school-based resources provide personalised cybersafety instruction for students in a safe online environment under the supervision of teachers and adult guides. </w:t>
      </w:r>
    </w:p>
    <w:p w14:paraId="1BF9A2AE" w14:textId="77777777" w:rsidR="0018267B" w:rsidRPr="001E2783" w:rsidRDefault="0018267B" w:rsidP="0018267B">
      <w:pPr>
        <w:rPr>
          <w:rFonts w:cs="Arial"/>
        </w:rPr>
      </w:pPr>
    </w:p>
    <w:p w14:paraId="52E2B5D1" w14:textId="77777777" w:rsidR="0018267B" w:rsidRPr="001E2783" w:rsidRDefault="0018267B" w:rsidP="0018267B">
      <w:pPr>
        <w:rPr>
          <w:rFonts w:cs="Arial"/>
        </w:rPr>
      </w:pPr>
      <w:r w:rsidRPr="001E2783">
        <w:rPr>
          <w:rFonts w:cs="Arial"/>
        </w:rPr>
        <w:t xml:space="preserve">During 2013–14, </w:t>
      </w:r>
      <w:r w:rsidR="003C1A35" w:rsidRPr="001E2783">
        <w:rPr>
          <w:rFonts w:cs="Arial"/>
        </w:rPr>
        <w:t>9,034</w:t>
      </w:r>
      <w:r w:rsidRPr="001E2783">
        <w:rPr>
          <w:rFonts w:cs="Arial"/>
        </w:rPr>
        <w:t xml:space="preserve"> students participated in Cybersmart Challenge activities</w:t>
      </w:r>
      <w:r w:rsidR="00BF30ED" w:rsidRPr="001E2783">
        <w:rPr>
          <w:rFonts w:cs="Arial"/>
        </w:rPr>
        <w:t>;</w:t>
      </w:r>
      <w:r w:rsidRPr="001E2783">
        <w:rPr>
          <w:rFonts w:cs="Arial"/>
        </w:rPr>
        <w:t xml:space="preserve"> more than </w:t>
      </w:r>
      <w:r w:rsidR="003C1A35" w:rsidRPr="001E2783">
        <w:rPr>
          <w:rFonts w:cs="Arial"/>
        </w:rPr>
        <w:t>58,000</w:t>
      </w:r>
      <w:r w:rsidRPr="001E2783">
        <w:rPr>
          <w:rFonts w:cs="Arial"/>
        </w:rPr>
        <w:t xml:space="preserve"> students have completed the program since 2009. Challenge also supported key national awareness campaigns by hosting activities in support of Safer Internet Day 2014, National Day of Action Against Bullying and Violence, Day for Daniel and National Child Protection Week.</w:t>
      </w:r>
    </w:p>
    <w:p w14:paraId="5E65ED23" w14:textId="77777777" w:rsidR="0018267B" w:rsidRPr="001E2783" w:rsidRDefault="0018267B" w:rsidP="0018267B">
      <w:pPr>
        <w:rPr>
          <w:rFonts w:cs="Arial"/>
        </w:rPr>
      </w:pPr>
    </w:p>
    <w:p w14:paraId="07474C3B" w14:textId="77777777" w:rsidR="0018267B" w:rsidRPr="001E2783" w:rsidRDefault="0018267B" w:rsidP="0018267B">
      <w:pPr>
        <w:pStyle w:val="BodysubheaderH4"/>
        <w:rPr>
          <w:rFonts w:cs="Arial"/>
        </w:rPr>
      </w:pPr>
      <w:r w:rsidRPr="001E2783">
        <w:rPr>
          <w:rFonts w:cs="Arial"/>
        </w:rPr>
        <w:t>Cybersafety education resources in development</w:t>
      </w:r>
    </w:p>
    <w:p w14:paraId="55443837" w14:textId="77777777" w:rsidR="0018267B" w:rsidRPr="001E2783" w:rsidRDefault="0018267B" w:rsidP="0018267B">
      <w:pPr>
        <w:rPr>
          <w:rFonts w:cs="Arial"/>
        </w:rPr>
      </w:pPr>
      <w:r w:rsidRPr="001E2783">
        <w:rPr>
          <w:rFonts w:cs="Arial"/>
        </w:rPr>
        <w:t>In 2013–14, Cybersmart commenced production of a new video resource for primary students aged 10</w:t>
      </w:r>
      <w:r w:rsidR="0086644C" w:rsidRPr="001E2783">
        <w:rPr>
          <w:rFonts w:cs="Arial"/>
        </w:rPr>
        <w:t>–</w:t>
      </w:r>
      <w:r w:rsidRPr="001E2783">
        <w:rPr>
          <w:rFonts w:cs="Arial"/>
        </w:rPr>
        <w:t>12.</w:t>
      </w:r>
      <w:r w:rsidRPr="001E2783">
        <w:rPr>
          <w:rFonts w:cs="Arial"/>
          <w:i/>
        </w:rPr>
        <w:t xml:space="preserve"> </w:t>
      </w:r>
      <w:r w:rsidRPr="001E2783">
        <w:rPr>
          <w:rFonts w:cs="Arial"/>
        </w:rPr>
        <w:t xml:space="preserve">Titled </w:t>
      </w:r>
      <w:r w:rsidRPr="001E2783">
        <w:rPr>
          <w:rFonts w:cs="Arial"/>
          <w:i/>
        </w:rPr>
        <w:t>#gameon</w:t>
      </w:r>
      <w:r w:rsidRPr="001E2783">
        <w:rPr>
          <w:rFonts w:cs="Arial"/>
        </w:rPr>
        <w:t xml:space="preserve">, this episodic drama and </w:t>
      </w:r>
      <w:r w:rsidR="003C1A35" w:rsidRPr="001E2783">
        <w:rPr>
          <w:rFonts w:cs="Arial"/>
        </w:rPr>
        <w:t xml:space="preserve">the </w:t>
      </w:r>
      <w:r w:rsidRPr="001E2783">
        <w:rPr>
          <w:rFonts w:cs="Arial"/>
        </w:rPr>
        <w:t xml:space="preserve">accompanying classroom resources explore the social consequences of online behaviour </w:t>
      </w:r>
      <w:r w:rsidR="0086644C" w:rsidRPr="001E2783">
        <w:rPr>
          <w:rFonts w:cs="Arial"/>
        </w:rPr>
        <w:t xml:space="preserve">such as </w:t>
      </w:r>
      <w:r w:rsidRPr="001E2783">
        <w:rPr>
          <w:rFonts w:cs="Arial"/>
        </w:rPr>
        <w:t>cyberbullying, excessive gaming, screen time overload and misus</w:t>
      </w:r>
      <w:r w:rsidR="0086644C" w:rsidRPr="001E2783">
        <w:rPr>
          <w:rFonts w:cs="Arial"/>
        </w:rPr>
        <w:t>ing</w:t>
      </w:r>
      <w:r w:rsidRPr="001E2783">
        <w:rPr>
          <w:rFonts w:cs="Arial"/>
        </w:rPr>
        <w:t xml:space="preserve"> personal information. </w:t>
      </w:r>
    </w:p>
    <w:p w14:paraId="352D8C71" w14:textId="77777777" w:rsidR="0018267B" w:rsidRPr="001E2783" w:rsidRDefault="0018267B" w:rsidP="0018267B">
      <w:pPr>
        <w:rPr>
          <w:rFonts w:cs="Arial"/>
        </w:rPr>
      </w:pPr>
    </w:p>
    <w:p w14:paraId="2F71AB8F" w14:textId="77777777" w:rsidR="0018267B" w:rsidRPr="001E2783" w:rsidRDefault="0018267B" w:rsidP="0018267B">
      <w:pPr>
        <w:rPr>
          <w:rFonts w:cs="Arial"/>
        </w:rPr>
      </w:pPr>
      <w:r w:rsidRPr="001E2783">
        <w:rPr>
          <w:rFonts w:cs="Arial"/>
        </w:rPr>
        <w:t xml:space="preserve">Cybersmart is also developing a series of online videos for parents </w:t>
      </w:r>
      <w:r w:rsidR="0086644C" w:rsidRPr="001E2783">
        <w:rPr>
          <w:rFonts w:cs="Arial"/>
        </w:rPr>
        <w:t>that answer</w:t>
      </w:r>
      <w:r w:rsidRPr="001E2783">
        <w:rPr>
          <w:rFonts w:cs="Arial"/>
        </w:rPr>
        <w:t xml:space="preserve"> their most pressing cybersafety questions about children’s use of digital technologies and social networking platforms. These videos will feature advice from cybers</w:t>
      </w:r>
      <w:r w:rsidR="003C1A35" w:rsidRPr="001E2783">
        <w:rPr>
          <w:rFonts w:cs="Arial"/>
        </w:rPr>
        <w:t>afety and mental health experts</w:t>
      </w:r>
      <w:r w:rsidRPr="001E2783">
        <w:rPr>
          <w:rFonts w:cs="Arial"/>
        </w:rPr>
        <w:t>.</w:t>
      </w:r>
    </w:p>
    <w:p w14:paraId="36CF64FE" w14:textId="77777777" w:rsidR="0018267B" w:rsidRPr="001E2783" w:rsidRDefault="0018267B" w:rsidP="0018267B">
      <w:pPr>
        <w:rPr>
          <w:rFonts w:cs="Arial"/>
        </w:rPr>
      </w:pPr>
    </w:p>
    <w:tbl>
      <w:tblPr>
        <w:tblW w:w="9645" w:type="dxa"/>
        <w:shd w:val="clear" w:color="auto" w:fill="F2F2F2" w:themeFill="background1" w:themeFillShade="F2"/>
        <w:tblLayout w:type="fixed"/>
        <w:tblCellMar>
          <w:left w:w="0" w:type="dxa"/>
          <w:right w:w="0" w:type="dxa"/>
        </w:tblCellMar>
        <w:tblLook w:val="01E0" w:firstRow="1" w:lastRow="1" w:firstColumn="1" w:lastColumn="1" w:noHBand="0" w:noVBand="0"/>
      </w:tblPr>
      <w:tblGrid>
        <w:gridCol w:w="9645"/>
      </w:tblGrid>
      <w:tr w:rsidR="001E2783" w:rsidRPr="001E2783" w14:paraId="51DE88AE" w14:textId="77777777" w:rsidTr="0018267B">
        <w:trPr>
          <w:trHeight w:val="570"/>
        </w:trPr>
        <w:tc>
          <w:tcPr>
            <w:tcW w:w="9645" w:type="dxa"/>
            <w:tcBorders>
              <w:top w:val="single" w:sz="2" w:space="0" w:color="505050"/>
            </w:tcBorders>
            <w:shd w:val="clear" w:color="auto" w:fill="F2F2F2" w:themeFill="background1" w:themeFillShade="F2"/>
            <w:vAlign w:val="center"/>
          </w:tcPr>
          <w:p w14:paraId="4D622828" w14:textId="77777777" w:rsidR="0018267B" w:rsidRPr="001E2783" w:rsidRDefault="0018267B" w:rsidP="00BF30ED">
            <w:pPr>
              <w:pStyle w:val="Caption"/>
              <w:keepNext/>
              <w:keepLines/>
              <w:rPr>
                <w:rFonts w:ascii="Arial" w:hAnsi="Arial" w:cs="Arial"/>
                <w:color w:val="auto"/>
              </w:rPr>
            </w:pPr>
            <w:r w:rsidRPr="001E2783">
              <w:rPr>
                <w:rFonts w:ascii="Arial" w:hAnsi="Arial" w:cs="Arial"/>
                <w:color w:val="auto"/>
              </w:rPr>
              <w:t>Case study</w:t>
            </w:r>
          </w:p>
          <w:p w14:paraId="49AB7619" w14:textId="77777777" w:rsidR="0018267B" w:rsidRPr="001E2783" w:rsidRDefault="0018267B" w:rsidP="00BF30ED">
            <w:pPr>
              <w:pStyle w:val="Caption"/>
              <w:keepNext/>
              <w:keepLines/>
              <w:rPr>
                <w:rFonts w:ascii="Arial" w:hAnsi="Arial" w:cs="Arial"/>
                <w:color w:val="auto"/>
              </w:rPr>
            </w:pPr>
            <w:r w:rsidRPr="001E2783">
              <w:rPr>
                <w:rFonts w:ascii="Arial" w:hAnsi="Arial" w:cs="Arial"/>
                <w:i/>
                <w:color w:val="auto"/>
              </w:rPr>
              <w:t>Be Deadly Online</w:t>
            </w:r>
            <w:r w:rsidR="0086644C" w:rsidRPr="001E2783">
              <w:rPr>
                <w:rFonts w:ascii="Arial" w:hAnsi="Arial" w:cs="Arial"/>
                <w:color w:val="auto"/>
              </w:rPr>
              <w:t>—r</w:t>
            </w:r>
            <w:r w:rsidRPr="001E2783">
              <w:rPr>
                <w:rFonts w:ascii="Arial" w:hAnsi="Arial" w:cs="Arial"/>
                <w:color w:val="auto"/>
              </w:rPr>
              <w:t>esources for Indigenous Australians</w:t>
            </w:r>
          </w:p>
        </w:tc>
      </w:tr>
      <w:tr w:rsidR="001E2783" w:rsidRPr="001E2783" w14:paraId="22D78E99" w14:textId="77777777" w:rsidTr="0018267B">
        <w:trPr>
          <w:trHeight w:val="432"/>
        </w:trPr>
        <w:tc>
          <w:tcPr>
            <w:tcW w:w="9645" w:type="dxa"/>
            <w:shd w:val="clear" w:color="auto" w:fill="F2F2F2" w:themeFill="background1" w:themeFillShade="F2"/>
            <w:tcMar>
              <w:left w:w="28" w:type="dxa"/>
            </w:tcMar>
          </w:tcPr>
          <w:tbl>
            <w:tblPr>
              <w:tblW w:w="9645" w:type="dxa"/>
              <w:shd w:val="clear" w:color="auto" w:fill="F2F2F2" w:themeFill="background1" w:themeFillShade="F2"/>
              <w:tblLayout w:type="fixed"/>
              <w:tblCellMar>
                <w:left w:w="0" w:type="dxa"/>
                <w:right w:w="0" w:type="dxa"/>
              </w:tblCellMar>
              <w:tblLook w:val="01E0" w:firstRow="1" w:lastRow="1" w:firstColumn="1" w:lastColumn="1" w:noHBand="0" w:noVBand="0"/>
            </w:tblPr>
            <w:tblGrid>
              <w:gridCol w:w="9645"/>
            </w:tblGrid>
            <w:tr w:rsidR="001E2783" w:rsidRPr="001E2783" w14:paraId="213E4FA8" w14:textId="77777777" w:rsidTr="0018267B">
              <w:trPr>
                <w:trHeight w:val="291"/>
              </w:trPr>
              <w:tc>
                <w:tcPr>
                  <w:tcW w:w="9645" w:type="dxa"/>
                  <w:tcBorders>
                    <w:bottom w:val="single" w:sz="2" w:space="0" w:color="505050"/>
                  </w:tcBorders>
                  <w:shd w:val="clear" w:color="auto" w:fill="F2F2F2" w:themeFill="background1" w:themeFillShade="F2"/>
                </w:tcPr>
                <w:p w14:paraId="612E4EC1" w14:textId="77777777" w:rsidR="00851338" w:rsidRPr="001E2783" w:rsidRDefault="00851338" w:rsidP="00BF30ED">
                  <w:pPr>
                    <w:keepNext/>
                    <w:keepLines/>
                    <w:rPr>
                      <w:rFonts w:cs="Arial"/>
                    </w:rPr>
                  </w:pPr>
                  <w:r w:rsidRPr="001E2783">
                    <w:rPr>
                      <w:rFonts w:cs="Arial"/>
                    </w:rPr>
                    <w:t>On 11</w:t>
                  </w:r>
                  <w:r w:rsidRPr="001E2783">
                    <w:rPr>
                      <w:rFonts w:cs="Arial"/>
                      <w:vertAlign w:val="superscript"/>
                    </w:rPr>
                    <w:t xml:space="preserve"> </w:t>
                  </w:r>
                  <w:r w:rsidRPr="001E2783">
                    <w:rPr>
                      <w:rFonts w:cs="Arial"/>
                    </w:rPr>
                    <w:t>April 2014</w:t>
                  </w:r>
                  <w:r w:rsidR="0086644C" w:rsidRPr="001E2783">
                    <w:rPr>
                      <w:rFonts w:cs="Arial"/>
                    </w:rPr>
                    <w:t>,</w:t>
                  </w:r>
                  <w:r w:rsidRPr="001E2783">
                    <w:rPr>
                      <w:rFonts w:cs="Arial"/>
                    </w:rPr>
                    <w:t xml:space="preserve"> Cybersmart launched its newest educational resource, </w:t>
                  </w:r>
                  <w:r w:rsidRPr="001E2783">
                    <w:rPr>
                      <w:rFonts w:cs="Arial"/>
                      <w:i/>
                    </w:rPr>
                    <w:t xml:space="preserve">Be Deadly Online, </w:t>
                  </w:r>
                  <w:r w:rsidRPr="001E2783">
                    <w:rPr>
                      <w:rFonts w:cs="Arial"/>
                    </w:rPr>
                    <w:t xml:space="preserve">developed specifically to meet the cybersafety needs of Indigenous Australians. Cybersmart worked in close collaboration with Indigenous communities throughout the country to develop the </w:t>
                  </w:r>
                  <w:r w:rsidRPr="001E2783">
                    <w:rPr>
                      <w:rFonts w:cs="Arial"/>
                      <w:i/>
                    </w:rPr>
                    <w:t>Be Deadly Online</w:t>
                  </w:r>
                  <w:r w:rsidRPr="001E2783">
                    <w:rPr>
                      <w:rFonts w:cs="Arial"/>
                    </w:rPr>
                    <w:t xml:space="preserve"> materials</w:t>
                  </w:r>
                  <w:r w:rsidR="0086644C" w:rsidRPr="001E2783">
                    <w:rPr>
                      <w:rFonts w:cs="Arial"/>
                    </w:rPr>
                    <w:t>,</w:t>
                  </w:r>
                  <w:r w:rsidRPr="001E2783">
                    <w:rPr>
                      <w:rFonts w:cs="Arial"/>
                    </w:rPr>
                    <w:t xml:space="preserve"> which include a dedicated web portal, animation series and posters add</w:t>
                  </w:r>
                  <w:r w:rsidR="0086644C" w:rsidRPr="001E2783">
                    <w:rPr>
                      <w:rFonts w:cs="Arial"/>
                    </w:rPr>
                    <w:t>ressing key cybersafety issues.</w:t>
                  </w:r>
                  <w:r w:rsidRPr="001E2783">
                    <w:rPr>
                      <w:rFonts w:cs="Arial"/>
                    </w:rPr>
                    <w:t xml:space="preserve"> It is a resource developed in conjunction with Indigenous communities, for Indigenous communities.</w:t>
                  </w:r>
                </w:p>
                <w:p w14:paraId="48903042" w14:textId="77777777" w:rsidR="00851338" w:rsidRPr="001E2783" w:rsidRDefault="00851338" w:rsidP="00BF30ED">
                  <w:pPr>
                    <w:keepNext/>
                    <w:keepLines/>
                    <w:rPr>
                      <w:rFonts w:cs="Arial"/>
                    </w:rPr>
                  </w:pPr>
                </w:p>
                <w:p w14:paraId="5E982E43" w14:textId="6185F14A" w:rsidR="00851338" w:rsidRPr="001E2783" w:rsidRDefault="00851338" w:rsidP="00BF30ED">
                  <w:pPr>
                    <w:keepNext/>
                    <w:keepLines/>
                    <w:rPr>
                      <w:rFonts w:cs="Arial"/>
                    </w:rPr>
                  </w:pPr>
                  <w:r w:rsidRPr="001E2783">
                    <w:rPr>
                      <w:rFonts w:cs="Arial"/>
                      <w:i/>
                    </w:rPr>
                    <w:t>Be Deadly Online</w:t>
                  </w:r>
                  <w:r w:rsidRPr="001E2783">
                    <w:rPr>
                      <w:rFonts w:cs="Arial"/>
                    </w:rPr>
                    <w:t xml:space="preserve"> is a </w:t>
                  </w:r>
                  <w:r w:rsidR="003C1A35" w:rsidRPr="001E2783">
                    <w:rPr>
                      <w:rFonts w:cs="Arial"/>
                    </w:rPr>
                    <w:t>set of resources including a website portal; three animations; and a series of posters, pre</w:t>
                  </w:r>
                  <w:r w:rsidR="008951B6" w:rsidRPr="001E2783">
                    <w:rPr>
                      <w:rFonts w:cs="Arial"/>
                    </w:rPr>
                    <w:t>sentations</w:t>
                  </w:r>
                  <w:r w:rsidR="003C1A35" w:rsidRPr="001E2783">
                    <w:rPr>
                      <w:rFonts w:cs="Arial"/>
                    </w:rPr>
                    <w:t xml:space="preserve"> and lesson plans</w:t>
                  </w:r>
                  <w:r w:rsidRPr="001E2783">
                    <w:rPr>
                      <w:rFonts w:cs="Arial"/>
                    </w:rPr>
                    <w:t xml:space="preserve"> that tackle issues </w:t>
                  </w:r>
                  <w:r w:rsidR="0086644C" w:rsidRPr="001E2783">
                    <w:rPr>
                      <w:rFonts w:cs="Arial"/>
                    </w:rPr>
                    <w:t>of</w:t>
                  </w:r>
                  <w:r w:rsidRPr="001E2783">
                    <w:rPr>
                      <w:rFonts w:cs="Arial"/>
                    </w:rPr>
                    <w:t xml:space="preserve"> </w:t>
                  </w:r>
                  <w:r w:rsidR="0086644C" w:rsidRPr="001E2783">
                    <w:rPr>
                      <w:rFonts w:cs="Arial"/>
                    </w:rPr>
                    <w:t xml:space="preserve">cyberbullying, </w:t>
                  </w:r>
                  <w:r w:rsidRPr="001E2783">
                    <w:rPr>
                      <w:rFonts w:cs="Arial"/>
                    </w:rPr>
                    <w:t xml:space="preserve">sexting, digital reputation, </w:t>
                  </w:r>
                  <w:r w:rsidR="0086644C" w:rsidRPr="001E2783">
                    <w:rPr>
                      <w:rFonts w:cs="Arial"/>
                    </w:rPr>
                    <w:t xml:space="preserve">and </w:t>
                  </w:r>
                  <w:r w:rsidRPr="001E2783">
                    <w:rPr>
                      <w:rFonts w:cs="Arial"/>
                    </w:rPr>
                    <w:t xml:space="preserve">social media interactions and relationships. </w:t>
                  </w:r>
                  <w:r w:rsidR="0086644C" w:rsidRPr="001E2783">
                    <w:rPr>
                      <w:rFonts w:cs="Arial"/>
                    </w:rPr>
                    <w:t>It</w:t>
                  </w:r>
                  <w:r w:rsidRPr="001E2783">
                    <w:rPr>
                      <w:rFonts w:cs="Arial"/>
                    </w:rPr>
                    <w:t xml:space="preserve"> has been widely recogni</w:t>
                  </w:r>
                  <w:r w:rsidR="0086644C" w:rsidRPr="001E2783">
                    <w:rPr>
                      <w:rFonts w:cs="Arial"/>
                    </w:rPr>
                    <w:t>sed as an innovative, community-</w:t>
                  </w:r>
                  <w:r w:rsidRPr="001E2783">
                    <w:rPr>
                      <w:rFonts w:cs="Arial"/>
                    </w:rPr>
                    <w:t xml:space="preserve">led education program that is paving the way for </w:t>
                  </w:r>
                  <w:r w:rsidR="0086644C" w:rsidRPr="001E2783">
                    <w:rPr>
                      <w:rFonts w:cs="Arial"/>
                    </w:rPr>
                    <w:t>social groups</w:t>
                  </w:r>
                  <w:r w:rsidRPr="001E2783">
                    <w:rPr>
                      <w:rFonts w:cs="Arial"/>
                    </w:rPr>
                    <w:t xml:space="preserve"> to take control of their online activities and demonstrate positive online behaviour. In May</w:t>
                  </w:r>
                  <w:r w:rsidR="0086644C" w:rsidRPr="001E2783">
                    <w:rPr>
                      <w:rFonts w:cs="Arial"/>
                    </w:rPr>
                    <w:t>,</w:t>
                  </w:r>
                  <w:r w:rsidRPr="001E2783">
                    <w:rPr>
                      <w:rFonts w:cs="Arial"/>
                    </w:rPr>
                    <w:t xml:space="preserve"> the resource was awarded a prestigious Gold Medal in the General Education category at the 2014 World Media Festival in Hamburg, Germany.</w:t>
                  </w:r>
                </w:p>
                <w:p w14:paraId="0F33BBD3" w14:textId="77777777" w:rsidR="00851338" w:rsidRPr="001E2783" w:rsidRDefault="00851338" w:rsidP="00BF30ED">
                  <w:pPr>
                    <w:keepLines/>
                    <w:rPr>
                      <w:rFonts w:cs="Arial"/>
                    </w:rPr>
                  </w:pPr>
                </w:p>
                <w:p w14:paraId="4EB94E51" w14:textId="77777777" w:rsidR="00851338" w:rsidRPr="001E2783" w:rsidRDefault="003C1A35" w:rsidP="00BF30ED">
                  <w:pPr>
                    <w:keepLines/>
                    <w:rPr>
                      <w:rFonts w:cs="Arial"/>
                    </w:rPr>
                  </w:pPr>
                  <w:r w:rsidRPr="001E2783">
                    <w:rPr>
                      <w:rFonts w:cs="Arial"/>
                    </w:rPr>
                    <w:t>A</w:t>
                  </w:r>
                  <w:r w:rsidR="00851338" w:rsidRPr="001E2783">
                    <w:rPr>
                      <w:rFonts w:cs="Arial"/>
                    </w:rPr>
                    <w:t xml:space="preserve"> Cybersmart Community Champions program</w:t>
                  </w:r>
                  <w:r w:rsidRPr="001E2783">
                    <w:rPr>
                      <w:rFonts w:cs="Arial"/>
                    </w:rPr>
                    <w:t xml:space="preserve"> has been conducted</w:t>
                  </w:r>
                  <w:r w:rsidR="00851338" w:rsidRPr="001E2783">
                    <w:rPr>
                      <w:rFonts w:cs="Arial"/>
                    </w:rPr>
                    <w:t xml:space="preserve"> in conjunction with the </w:t>
                  </w:r>
                  <w:r w:rsidR="00851338" w:rsidRPr="001E2783">
                    <w:rPr>
                      <w:rFonts w:cs="Arial"/>
                      <w:i/>
                    </w:rPr>
                    <w:t>Be Deadly Online</w:t>
                  </w:r>
                  <w:r w:rsidR="00851338" w:rsidRPr="001E2783">
                    <w:rPr>
                      <w:rFonts w:cs="Arial"/>
                    </w:rPr>
                    <w:t xml:space="preserve"> resources. At the request of several Indigenous communities, Cybersmart conducted a series of workshops with Indigenous community members and service providers (for example, health care workers and police officers) about cybersafety issues</w:t>
                  </w:r>
                  <w:r w:rsidR="00055877" w:rsidRPr="001E2783">
                    <w:rPr>
                      <w:rFonts w:cs="Arial"/>
                    </w:rPr>
                    <w:t>, to</w:t>
                  </w:r>
                  <w:r w:rsidR="00851338" w:rsidRPr="001E2783">
                    <w:rPr>
                      <w:rFonts w:cs="Arial"/>
                    </w:rPr>
                    <w:t xml:space="preserve"> equip them with knowledge and resources to become Cybersmart Community Champions. Over 200 community members have attended workshops in Western Australia, Queensland and Victoria.</w:t>
                  </w:r>
                </w:p>
                <w:p w14:paraId="35FE49E6" w14:textId="77777777" w:rsidR="00851338" w:rsidRPr="001E2783" w:rsidRDefault="00851338" w:rsidP="00BF30ED">
                  <w:pPr>
                    <w:keepLines/>
                    <w:rPr>
                      <w:rFonts w:cs="Arial"/>
                    </w:rPr>
                  </w:pPr>
                </w:p>
                <w:p w14:paraId="7765D98A" w14:textId="77777777" w:rsidR="00851338" w:rsidRPr="001E2783" w:rsidRDefault="00851338" w:rsidP="00BF30ED">
                  <w:pPr>
                    <w:keepLines/>
                    <w:rPr>
                      <w:rFonts w:cs="Arial"/>
                    </w:rPr>
                  </w:pPr>
                  <w:r w:rsidRPr="001E2783">
                    <w:rPr>
                      <w:rFonts w:cs="Arial"/>
                    </w:rPr>
                    <w:t xml:space="preserve">The workshops covered a series of cybersafety issues, including social media interactions, the importance of keeping a person’s digital reputation intact and the relationship between social media abuse and lateral violence. Community Champions are able to use the </w:t>
                  </w:r>
                  <w:r w:rsidRPr="001E2783">
                    <w:rPr>
                      <w:rFonts w:cs="Arial"/>
                      <w:i/>
                    </w:rPr>
                    <w:t>Be Deadly Online</w:t>
                  </w:r>
                  <w:r w:rsidRPr="001E2783">
                    <w:rPr>
                      <w:rFonts w:cs="Arial"/>
                    </w:rPr>
                    <w:t xml:space="preserve"> resources to take positive cybersafety messages to the wider community. </w:t>
                  </w:r>
                </w:p>
                <w:p w14:paraId="19576CEF" w14:textId="77777777" w:rsidR="00851338" w:rsidRPr="001E2783" w:rsidRDefault="00851338" w:rsidP="00BF30ED">
                  <w:pPr>
                    <w:keepLines/>
                    <w:rPr>
                      <w:rFonts w:cs="Arial"/>
                    </w:rPr>
                  </w:pPr>
                </w:p>
                <w:p w14:paraId="49FAD295" w14:textId="77777777" w:rsidR="00851338" w:rsidRPr="001E2783" w:rsidRDefault="00851338" w:rsidP="00BF30ED">
                  <w:pPr>
                    <w:keepLines/>
                    <w:rPr>
                      <w:rFonts w:cs="Arial"/>
                    </w:rPr>
                  </w:pPr>
                  <w:r w:rsidRPr="001E2783">
                    <w:rPr>
                      <w:rFonts w:cs="Arial"/>
                    </w:rPr>
                    <w:t>Feedback for the program has been positive. A Yarrabah teacher commented:</w:t>
                  </w:r>
                  <w:r w:rsidR="00055877" w:rsidRPr="001E2783">
                    <w:rPr>
                      <w:rFonts w:cs="Arial"/>
                    </w:rPr>
                    <w:t xml:space="preserve"> ‘</w:t>
                  </w:r>
                  <w:r w:rsidRPr="001E2783">
                    <w:rPr>
                      <w:rFonts w:cs="Arial"/>
                    </w:rPr>
                    <w:t>I’m really pleased to see the way the ACMA team has actually taken on board things presented to them</w:t>
                  </w:r>
                  <w:r w:rsidR="00055877" w:rsidRPr="001E2783">
                    <w:rPr>
                      <w:rFonts w:cs="Arial"/>
                    </w:rPr>
                    <w:t xml:space="preserve"> </w:t>
                  </w:r>
                  <w:r w:rsidRPr="001E2783">
                    <w:rPr>
                      <w:rFonts w:cs="Arial"/>
                    </w:rPr>
                    <w:t xml:space="preserve">… </w:t>
                  </w:r>
                  <w:r w:rsidR="00654907" w:rsidRPr="001E2783">
                    <w:rPr>
                      <w:rFonts w:cs="Arial"/>
                    </w:rPr>
                    <w:t>there’s been times in the past where we have given input [to other provider’s projects] and we don’t see the input reflected back in other projects, but with this one … I would say it’s been about 100</w:t>
                  </w:r>
                  <w:r w:rsidR="00B820A2" w:rsidRPr="001E2783">
                    <w:rPr>
                      <w:rFonts w:cs="Arial"/>
                    </w:rPr>
                    <w:t> </w:t>
                  </w:r>
                  <w:r w:rsidR="00654907" w:rsidRPr="001E2783">
                    <w:rPr>
                      <w:rFonts w:cs="Arial"/>
                    </w:rPr>
                    <w:t xml:space="preserve">per cent … Well done to the ACMA team for listening to the input from the </w:t>
                  </w:r>
                  <w:r w:rsidR="00BF30ED" w:rsidRPr="001E2783">
                    <w:rPr>
                      <w:rFonts w:cs="Arial"/>
                    </w:rPr>
                    <w:t>I</w:t>
                  </w:r>
                  <w:r w:rsidR="00654907" w:rsidRPr="001E2783">
                    <w:rPr>
                      <w:rFonts w:cs="Arial"/>
                    </w:rPr>
                    <w:t>ndigenous communities …</w:t>
                  </w:r>
                  <w:r w:rsidR="00055877" w:rsidRPr="001E2783">
                    <w:rPr>
                      <w:rFonts w:cs="Arial"/>
                    </w:rPr>
                    <w:t>’</w:t>
                  </w:r>
                </w:p>
                <w:p w14:paraId="366D7C17" w14:textId="77777777" w:rsidR="00566160" w:rsidRPr="001E2783" w:rsidRDefault="00566160" w:rsidP="00BF30ED">
                  <w:pPr>
                    <w:pStyle w:val="Imagecaption"/>
                    <w:keepLines/>
                  </w:pPr>
                </w:p>
              </w:tc>
            </w:tr>
          </w:tbl>
          <w:p w14:paraId="6E829694" w14:textId="77777777" w:rsidR="0018267B" w:rsidRPr="001E2783" w:rsidRDefault="0018267B" w:rsidP="00BF30ED">
            <w:pPr>
              <w:keepLines/>
              <w:rPr>
                <w:rFonts w:cs="Arial"/>
              </w:rPr>
            </w:pPr>
          </w:p>
        </w:tc>
      </w:tr>
    </w:tbl>
    <w:p w14:paraId="42864D89" w14:textId="77777777" w:rsidR="004142AF" w:rsidRPr="001E2783" w:rsidRDefault="004142AF" w:rsidP="004142AF">
      <w:pPr>
        <w:rPr>
          <w:rFonts w:cs="Arial"/>
          <w:szCs w:val="20"/>
        </w:rPr>
      </w:pPr>
    </w:p>
    <w:p w14:paraId="35596553" w14:textId="77777777" w:rsidR="0018267B" w:rsidRPr="001E2783" w:rsidRDefault="0018267B" w:rsidP="0018267B">
      <w:pPr>
        <w:rPr>
          <w:rFonts w:cs="Arial"/>
          <w:b/>
          <w:i/>
        </w:rPr>
      </w:pPr>
      <w:r w:rsidRPr="001E2783">
        <w:rPr>
          <w:rFonts w:cs="Arial"/>
          <w:b/>
          <w:i/>
        </w:rPr>
        <w:t>Cybersmart Outreach program</w:t>
      </w:r>
    </w:p>
    <w:p w14:paraId="4190F1DA" w14:textId="77777777" w:rsidR="0018267B" w:rsidRPr="001E2783" w:rsidRDefault="0018267B" w:rsidP="00D25B98">
      <w:pPr>
        <w:spacing w:after="80"/>
        <w:rPr>
          <w:rFonts w:cs="Arial"/>
        </w:rPr>
      </w:pPr>
      <w:r w:rsidRPr="001E2783">
        <w:rPr>
          <w:rFonts w:cs="Arial"/>
        </w:rPr>
        <w:t>The ACMA support</w:t>
      </w:r>
      <w:r w:rsidR="00D25B98" w:rsidRPr="001E2783">
        <w:rPr>
          <w:rFonts w:cs="Arial"/>
        </w:rPr>
        <w:t>s</w:t>
      </w:r>
      <w:r w:rsidRPr="001E2783">
        <w:rPr>
          <w:rFonts w:cs="Arial"/>
        </w:rPr>
        <w:t xml:space="preserve"> an extensive Cybersmart Outreach education program for school students, teachers and parents.</w:t>
      </w:r>
      <w:r w:rsidR="00D25B98" w:rsidRPr="001E2783">
        <w:rPr>
          <w:rFonts w:cs="Arial"/>
        </w:rPr>
        <w:t xml:space="preserve"> </w:t>
      </w:r>
      <w:r w:rsidRPr="001E2783">
        <w:rPr>
          <w:rFonts w:cs="Arial"/>
        </w:rPr>
        <w:t>In 2013</w:t>
      </w:r>
      <w:r w:rsidR="00D25B98" w:rsidRPr="001E2783">
        <w:rPr>
          <w:rFonts w:cs="Arial"/>
        </w:rPr>
        <w:t>–</w:t>
      </w:r>
      <w:r w:rsidRPr="001E2783">
        <w:rPr>
          <w:rFonts w:cs="Arial"/>
        </w:rPr>
        <w:t>14:</w:t>
      </w:r>
    </w:p>
    <w:p w14:paraId="709B03B8" w14:textId="77777777" w:rsidR="0018267B" w:rsidRPr="001E2783" w:rsidRDefault="00654907" w:rsidP="0018267B">
      <w:pPr>
        <w:pStyle w:val="ListBullet"/>
        <w:rPr>
          <w:rFonts w:cs="Arial"/>
        </w:rPr>
      </w:pPr>
      <w:r w:rsidRPr="001E2783">
        <w:rPr>
          <w:rFonts w:cs="Arial"/>
        </w:rPr>
        <w:t xml:space="preserve">201,590 </w:t>
      </w:r>
      <w:r w:rsidR="0018267B" w:rsidRPr="001E2783">
        <w:rPr>
          <w:rFonts w:cs="Arial"/>
        </w:rPr>
        <w:t>students, teachers and parents participated in our popular Internet</w:t>
      </w:r>
      <w:r w:rsidR="00D25B98" w:rsidRPr="001E2783">
        <w:rPr>
          <w:rFonts w:cs="Arial"/>
        </w:rPr>
        <w:t xml:space="preserve"> Safety Awareness Presentations</w:t>
      </w:r>
    </w:p>
    <w:p w14:paraId="05EAADA6" w14:textId="77777777" w:rsidR="0018267B" w:rsidRPr="001E2783" w:rsidRDefault="00654907" w:rsidP="0018267B">
      <w:pPr>
        <w:pStyle w:val="ListBullet"/>
        <w:rPr>
          <w:rFonts w:cs="Arial"/>
        </w:rPr>
      </w:pPr>
      <w:r w:rsidRPr="001E2783">
        <w:rPr>
          <w:rFonts w:cs="Arial"/>
        </w:rPr>
        <w:t xml:space="preserve">1,369 </w:t>
      </w:r>
      <w:r w:rsidR="0018267B" w:rsidRPr="001E2783">
        <w:rPr>
          <w:rFonts w:cs="Arial"/>
        </w:rPr>
        <w:t>teachers attended Professional Development for Educators workshops he</w:t>
      </w:r>
      <w:r w:rsidR="00D25B98" w:rsidRPr="001E2783">
        <w:rPr>
          <w:rFonts w:cs="Arial"/>
        </w:rPr>
        <w:t>ld in schools and at Cybersmart-hosted events</w:t>
      </w:r>
    </w:p>
    <w:p w14:paraId="171459E7" w14:textId="77777777" w:rsidR="0018267B" w:rsidRPr="001E2783" w:rsidRDefault="00654907" w:rsidP="0018267B">
      <w:pPr>
        <w:pStyle w:val="ListBullet"/>
        <w:rPr>
          <w:rFonts w:cs="Arial"/>
        </w:rPr>
      </w:pPr>
      <w:r w:rsidRPr="001E2783">
        <w:rPr>
          <w:rFonts w:cs="Arial"/>
        </w:rPr>
        <w:t xml:space="preserve">6,426 </w:t>
      </w:r>
      <w:r w:rsidR="00D25B98" w:rsidRPr="001E2783">
        <w:rPr>
          <w:rFonts w:cs="Arial"/>
        </w:rPr>
        <w:t>final-</w:t>
      </w:r>
      <w:r w:rsidR="0018267B" w:rsidRPr="001E2783">
        <w:rPr>
          <w:rFonts w:cs="Arial"/>
        </w:rPr>
        <w:t>year teaching students participated in ou</w:t>
      </w:r>
      <w:r w:rsidR="00D25B98" w:rsidRPr="001E2783">
        <w:rPr>
          <w:rFonts w:cs="Arial"/>
        </w:rPr>
        <w:t>r Pre-Service Teacher Program</w:t>
      </w:r>
    </w:p>
    <w:p w14:paraId="02C9A6EC" w14:textId="77777777" w:rsidR="0018267B" w:rsidRPr="001E2783" w:rsidRDefault="00654907" w:rsidP="0018267B">
      <w:pPr>
        <w:pStyle w:val="ListBullet"/>
        <w:spacing w:after="240"/>
        <w:rPr>
          <w:rFonts w:cs="Arial"/>
        </w:rPr>
      </w:pPr>
      <w:r w:rsidRPr="001E2783">
        <w:rPr>
          <w:rFonts w:cs="Arial"/>
        </w:rPr>
        <w:t xml:space="preserve">1,429 </w:t>
      </w:r>
      <w:r w:rsidR="0018267B" w:rsidRPr="001E2783">
        <w:rPr>
          <w:rFonts w:cs="Arial"/>
        </w:rPr>
        <w:t>teachers completed Connect.</w:t>
      </w:r>
      <w:r w:rsidR="0018267B" w:rsidRPr="001E2783">
        <w:rPr>
          <w:rFonts w:cs="Arial"/>
          <w:i/>
        </w:rPr>
        <w:t>ed</w:t>
      </w:r>
      <w:r w:rsidR="0018267B" w:rsidRPr="001E2783">
        <w:rPr>
          <w:rFonts w:cs="Arial"/>
        </w:rPr>
        <w:t>, our online interactive professional development program.</w:t>
      </w:r>
    </w:p>
    <w:p w14:paraId="0D156176" w14:textId="77777777" w:rsidR="0018267B" w:rsidRPr="001E2783" w:rsidRDefault="0018267B" w:rsidP="0018267B">
      <w:pPr>
        <w:spacing w:after="80"/>
        <w:rPr>
          <w:rFonts w:cs="Arial"/>
        </w:rPr>
      </w:pPr>
      <w:r w:rsidRPr="001E2783">
        <w:rPr>
          <w:rFonts w:cs="Arial"/>
        </w:rPr>
        <w:t>Several new programs were introduced:</w:t>
      </w:r>
    </w:p>
    <w:p w14:paraId="0848A86A" w14:textId="77777777" w:rsidR="0018267B" w:rsidRPr="001E2783" w:rsidRDefault="00D25B98" w:rsidP="0018267B">
      <w:pPr>
        <w:pStyle w:val="ListBullet"/>
        <w:rPr>
          <w:rFonts w:cs="Arial"/>
        </w:rPr>
      </w:pPr>
      <w:r w:rsidRPr="001E2783">
        <w:rPr>
          <w:rFonts w:cs="Arial"/>
        </w:rPr>
        <w:t>Get Cyberstarted—</w:t>
      </w:r>
      <w:r w:rsidR="0018267B" w:rsidRPr="001E2783">
        <w:rPr>
          <w:rFonts w:cs="Arial"/>
        </w:rPr>
        <w:t xml:space="preserve">a package of resources for </w:t>
      </w:r>
      <w:r w:rsidRPr="001E2783">
        <w:rPr>
          <w:rFonts w:cs="Arial"/>
        </w:rPr>
        <w:t>schools awaiting a presentation.</w:t>
      </w:r>
    </w:p>
    <w:p w14:paraId="6671ABFC" w14:textId="77777777" w:rsidR="0018267B" w:rsidRPr="001E2783" w:rsidRDefault="0018267B" w:rsidP="0018267B">
      <w:pPr>
        <w:pStyle w:val="ListBullet"/>
        <w:rPr>
          <w:rFonts w:cs="Arial"/>
        </w:rPr>
      </w:pPr>
      <w:r w:rsidRPr="001E2783">
        <w:rPr>
          <w:rFonts w:cs="Arial"/>
        </w:rPr>
        <w:t>Virtual Classroo</w:t>
      </w:r>
      <w:r w:rsidR="00D25B98" w:rsidRPr="001E2783">
        <w:rPr>
          <w:rFonts w:cs="Arial"/>
        </w:rPr>
        <w:t>ms—bringing trainer-</w:t>
      </w:r>
      <w:r w:rsidRPr="001E2783">
        <w:rPr>
          <w:rFonts w:cs="Arial"/>
        </w:rPr>
        <w:t xml:space="preserve">led online presentations into classrooms. </w:t>
      </w:r>
      <w:r w:rsidR="00654907" w:rsidRPr="001E2783">
        <w:rPr>
          <w:rFonts w:cs="Arial"/>
        </w:rPr>
        <w:t>In 2013–14, 10 e</w:t>
      </w:r>
      <w:r w:rsidRPr="001E2783">
        <w:rPr>
          <w:rFonts w:cs="Arial"/>
        </w:rPr>
        <w:t>vents were held a</w:t>
      </w:r>
      <w:r w:rsidR="00654907" w:rsidRPr="001E2783">
        <w:rPr>
          <w:rFonts w:cs="Arial"/>
        </w:rPr>
        <w:t>cross Australia and attended by 22,670</w:t>
      </w:r>
      <w:r w:rsidR="00D25B98" w:rsidRPr="001E2783">
        <w:rPr>
          <w:rFonts w:cs="Arial"/>
        </w:rPr>
        <w:t xml:space="preserve"> students.</w:t>
      </w:r>
    </w:p>
    <w:p w14:paraId="31DFCA0D" w14:textId="77777777" w:rsidR="00CC119D" w:rsidRPr="001E2783" w:rsidRDefault="00D25B98" w:rsidP="0018267B">
      <w:pPr>
        <w:pStyle w:val="ListBullet"/>
        <w:rPr>
          <w:rFonts w:cs="Arial"/>
        </w:rPr>
      </w:pPr>
      <w:r w:rsidRPr="001E2783">
        <w:rPr>
          <w:rFonts w:cs="Arial"/>
        </w:rPr>
        <w:t>Chatterbox—</w:t>
      </w:r>
      <w:r w:rsidR="0018267B" w:rsidRPr="001E2783">
        <w:rPr>
          <w:rFonts w:cs="Arial"/>
        </w:rPr>
        <w:t xml:space="preserve">an interactive online conversation for parents. </w:t>
      </w:r>
      <w:r w:rsidR="00654907" w:rsidRPr="001E2783">
        <w:rPr>
          <w:rFonts w:cs="Arial"/>
        </w:rPr>
        <w:t>In 2013–14, five</w:t>
      </w:r>
      <w:r w:rsidR="0018267B" w:rsidRPr="001E2783">
        <w:rPr>
          <w:rFonts w:cs="Arial"/>
        </w:rPr>
        <w:t xml:space="preserve"> episodes were produced</w:t>
      </w:r>
      <w:r w:rsidRPr="001E2783">
        <w:rPr>
          <w:rFonts w:cs="Arial"/>
        </w:rPr>
        <w:t>,</w:t>
      </w:r>
      <w:r w:rsidR="0018267B" w:rsidRPr="001E2783">
        <w:rPr>
          <w:rFonts w:cs="Arial"/>
        </w:rPr>
        <w:t xml:space="preserve"> including topics on ‘Selfies’, ‘Trolling’ and ‘Inappropriate contact’.</w:t>
      </w: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38DB9966" w14:textId="77777777" w:rsidTr="00C902FF">
        <w:trPr>
          <w:trHeight w:val="570"/>
        </w:trPr>
        <w:tc>
          <w:tcPr>
            <w:tcW w:w="9645" w:type="dxa"/>
            <w:tcBorders>
              <w:top w:val="single" w:sz="2" w:space="0" w:color="505050"/>
            </w:tcBorders>
            <w:shd w:val="clear" w:color="auto" w:fill="auto"/>
            <w:vAlign w:val="center"/>
          </w:tcPr>
          <w:p w14:paraId="7157300F" w14:textId="77777777" w:rsidR="00CC119D" w:rsidRPr="001E2783" w:rsidRDefault="00CC119D" w:rsidP="00BF30ED">
            <w:pPr>
              <w:pStyle w:val="Caption"/>
              <w:keepNext/>
              <w:keepLines/>
              <w:rPr>
                <w:rFonts w:ascii="Arial" w:hAnsi="Arial" w:cs="Arial"/>
                <w:color w:val="auto"/>
              </w:rPr>
            </w:pPr>
            <w:r w:rsidRPr="00D3485F">
              <w:rPr>
                <w:rFonts w:ascii="Arial" w:hAnsi="Arial" w:cs="Arial"/>
              </w:rPr>
              <w:t xml:space="preserve">Table </w:t>
            </w:r>
            <w:r w:rsidR="001C3685" w:rsidRPr="00D3485F">
              <w:rPr>
                <w:rFonts w:ascii="Arial" w:hAnsi="Arial" w:cs="Arial"/>
              </w:rPr>
              <w:t>3</w:t>
            </w:r>
            <w:r w:rsidR="00856140" w:rsidRPr="00D3485F">
              <w:rPr>
                <w:rFonts w:ascii="Arial" w:hAnsi="Arial" w:cs="Arial"/>
              </w:rPr>
              <w:t>6</w:t>
            </w:r>
            <w:r w:rsidRPr="00D3485F">
              <w:rPr>
                <w:rFonts w:ascii="Arial" w:hAnsi="Arial" w:cs="Arial"/>
              </w:rPr>
              <w:t>: ACMA cybersafety initiatives</w:t>
            </w:r>
          </w:p>
        </w:tc>
      </w:tr>
      <w:tr w:rsidR="001E2783" w:rsidRPr="001E2783" w14:paraId="2A73391F" w14:textId="77777777" w:rsidTr="00B71C24">
        <w:trPr>
          <w:trHeight w:val="1274"/>
        </w:trPr>
        <w:tc>
          <w:tcPr>
            <w:tcW w:w="9645" w:type="dxa"/>
            <w:shd w:val="clear" w:color="auto" w:fill="auto"/>
            <w:tcMar>
              <w:left w:w="28" w:type="dxa"/>
            </w:tcMa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0"/>
              <w:gridCol w:w="4394"/>
              <w:gridCol w:w="2268"/>
              <w:gridCol w:w="1843"/>
            </w:tblGrid>
            <w:tr w:rsidR="001E2783" w:rsidRPr="001E2783" w14:paraId="35B9AADA" w14:textId="77777777" w:rsidTr="00BF30ED">
              <w:trPr>
                <w:cantSplit/>
              </w:trPr>
              <w:tc>
                <w:tcPr>
                  <w:tcW w:w="5354" w:type="dxa"/>
                  <w:gridSpan w:val="2"/>
                  <w:tcBorders>
                    <w:bottom w:val="single" w:sz="4" w:space="0" w:color="auto"/>
                  </w:tcBorders>
                  <w:shd w:val="clear" w:color="auto" w:fill="404040" w:themeFill="text1" w:themeFillTint="BF"/>
                  <w:tcMar>
                    <w:top w:w="28" w:type="dxa"/>
                    <w:bottom w:w="28" w:type="dxa"/>
                  </w:tcMar>
                </w:tcPr>
                <w:p w14:paraId="5B98B1E6" w14:textId="77777777" w:rsidR="009B5FB2" w:rsidRPr="007F3FB8" w:rsidRDefault="009B5FB2" w:rsidP="00FE5E66">
                  <w:pPr>
                    <w:pStyle w:val="TableHeading"/>
                    <w:keepNext/>
                    <w:keepLines/>
                    <w:ind w:left="1"/>
                    <w:rPr>
                      <w:rFonts w:ascii="Arial" w:hAnsi="Arial" w:cs="Arial"/>
                      <w:color w:val="FFFFFF" w:themeColor="background1"/>
                    </w:rPr>
                  </w:pPr>
                  <w:r w:rsidRPr="007F3FB8">
                    <w:rPr>
                      <w:rFonts w:ascii="Arial" w:hAnsi="Arial" w:cs="Arial"/>
                      <w:color w:val="FFFFFF" w:themeColor="background1"/>
                    </w:rPr>
                    <w:t>Type of initiative</w:t>
                  </w:r>
                </w:p>
              </w:tc>
              <w:tc>
                <w:tcPr>
                  <w:tcW w:w="2268" w:type="dxa"/>
                  <w:tcBorders>
                    <w:bottom w:val="single" w:sz="4" w:space="0" w:color="auto"/>
                  </w:tcBorders>
                  <w:shd w:val="clear" w:color="auto" w:fill="404040" w:themeFill="text1" w:themeFillTint="BF"/>
                  <w:tcMar>
                    <w:top w:w="28" w:type="dxa"/>
                    <w:bottom w:w="28" w:type="dxa"/>
                  </w:tcMar>
                </w:tcPr>
                <w:p w14:paraId="0BEDA836" w14:textId="77777777" w:rsidR="009B5FB2" w:rsidRPr="007F3FB8" w:rsidRDefault="0018267B" w:rsidP="00FE5E66">
                  <w:pPr>
                    <w:pStyle w:val="TableHeading"/>
                    <w:keepNext/>
                    <w:keepLines/>
                    <w:jc w:val="right"/>
                    <w:rPr>
                      <w:rFonts w:ascii="Arial" w:hAnsi="Arial" w:cs="Arial"/>
                      <w:color w:val="FFFFFF" w:themeColor="background1"/>
                    </w:rPr>
                  </w:pPr>
                  <w:r w:rsidRPr="007F3FB8">
                    <w:rPr>
                      <w:rFonts w:ascii="Arial" w:hAnsi="Arial" w:cs="Arial"/>
                      <w:color w:val="FFFFFF" w:themeColor="background1"/>
                    </w:rPr>
                    <w:t>2013–14</w:t>
                  </w:r>
                </w:p>
              </w:tc>
              <w:tc>
                <w:tcPr>
                  <w:tcW w:w="1843" w:type="dxa"/>
                  <w:tcBorders>
                    <w:bottom w:val="single" w:sz="4" w:space="0" w:color="auto"/>
                  </w:tcBorders>
                  <w:shd w:val="clear" w:color="auto" w:fill="404040" w:themeFill="text1" w:themeFillTint="BF"/>
                  <w:tcMar>
                    <w:top w:w="28" w:type="dxa"/>
                    <w:bottom w:w="28" w:type="dxa"/>
                  </w:tcMar>
                </w:tcPr>
                <w:p w14:paraId="375AE96C" w14:textId="77777777" w:rsidR="009B5FB2" w:rsidRPr="007F3FB8" w:rsidRDefault="009B5FB2" w:rsidP="00FE5E66">
                  <w:pPr>
                    <w:pStyle w:val="TableHeading"/>
                    <w:keepNext/>
                    <w:keepLines/>
                    <w:jc w:val="right"/>
                    <w:rPr>
                      <w:rFonts w:ascii="Arial" w:hAnsi="Arial" w:cs="Arial"/>
                      <w:color w:val="FFFFFF" w:themeColor="background1"/>
                    </w:rPr>
                  </w:pPr>
                  <w:r w:rsidRPr="007F3FB8">
                    <w:rPr>
                      <w:rFonts w:ascii="Arial" w:hAnsi="Arial" w:cs="Arial"/>
                      <w:color w:val="FFFFFF" w:themeColor="background1"/>
                    </w:rPr>
                    <w:t>Total to date</w:t>
                  </w:r>
                </w:p>
              </w:tc>
            </w:tr>
            <w:tr w:rsidR="001E2783" w:rsidRPr="001E2783" w14:paraId="537B777E" w14:textId="77777777" w:rsidTr="00BF30ED">
              <w:trPr>
                <w:cantSplit/>
              </w:trPr>
              <w:tc>
                <w:tcPr>
                  <w:tcW w:w="9465" w:type="dxa"/>
                  <w:gridSpan w:val="4"/>
                  <w:tcBorders>
                    <w:top w:val="single" w:sz="4" w:space="0" w:color="auto"/>
                  </w:tcBorders>
                  <w:tcMar>
                    <w:top w:w="28" w:type="dxa"/>
                    <w:bottom w:w="28" w:type="dxa"/>
                  </w:tcMar>
                </w:tcPr>
                <w:p w14:paraId="2EDC4623" w14:textId="77777777" w:rsidR="009B5FB2" w:rsidRPr="001E2783" w:rsidRDefault="009B5FB2" w:rsidP="00DD4A57">
                  <w:pPr>
                    <w:keepNext/>
                    <w:keepLines/>
                    <w:ind w:left="1"/>
                    <w:rPr>
                      <w:rFonts w:cs="Arial"/>
                    </w:rPr>
                  </w:pPr>
                  <w:r w:rsidRPr="001E2783">
                    <w:rPr>
                      <w:rFonts w:cs="Arial"/>
                    </w:rPr>
                    <w:t>Internet Safety Awareness presentations</w:t>
                  </w:r>
                  <w:r w:rsidR="00DD4A57" w:rsidRPr="001E2783">
                    <w:rPr>
                      <w:rFonts w:cs="Arial"/>
                    </w:rPr>
                    <w:br/>
                  </w:r>
                  <w:r w:rsidR="00B950BA" w:rsidRPr="001E2783">
                    <w:rPr>
                      <w:rFonts w:cs="Arial"/>
                      <w:sz w:val="16"/>
                      <w:szCs w:val="16"/>
                    </w:rPr>
                    <w:t>(a</w:t>
                  </w:r>
                  <w:r w:rsidR="00DD4A57" w:rsidRPr="001E2783">
                    <w:rPr>
                      <w:rFonts w:cs="Arial"/>
                      <w:sz w:val="16"/>
                      <w:szCs w:val="16"/>
                    </w:rPr>
                    <w:t>vailable since January 2009)</w:t>
                  </w:r>
                </w:p>
              </w:tc>
            </w:tr>
            <w:tr w:rsidR="001E2783" w:rsidRPr="001E2783" w14:paraId="07C1466D" w14:textId="77777777" w:rsidTr="000D6C05">
              <w:trPr>
                <w:cantSplit/>
              </w:trPr>
              <w:tc>
                <w:tcPr>
                  <w:tcW w:w="960" w:type="dxa"/>
                  <w:tcBorders>
                    <w:right w:val="nil"/>
                  </w:tcBorders>
                  <w:tcMar>
                    <w:top w:w="28" w:type="dxa"/>
                    <w:bottom w:w="28" w:type="dxa"/>
                  </w:tcMar>
                </w:tcPr>
                <w:p w14:paraId="42A40141" w14:textId="77777777" w:rsidR="00540EC9" w:rsidRPr="001E2783" w:rsidRDefault="00540EC9" w:rsidP="00FE5E66">
                  <w:pPr>
                    <w:keepNext/>
                    <w:keepLines/>
                    <w:ind w:left="720"/>
                    <w:rPr>
                      <w:rFonts w:cs="Arial"/>
                    </w:rPr>
                  </w:pPr>
                </w:p>
              </w:tc>
              <w:tc>
                <w:tcPr>
                  <w:tcW w:w="4394" w:type="dxa"/>
                  <w:tcBorders>
                    <w:left w:val="nil"/>
                  </w:tcBorders>
                  <w:tcMar>
                    <w:top w:w="28" w:type="dxa"/>
                    <w:bottom w:w="28" w:type="dxa"/>
                  </w:tcMar>
                </w:tcPr>
                <w:p w14:paraId="28D0E458" w14:textId="77777777" w:rsidR="00540EC9" w:rsidRPr="001E2783" w:rsidRDefault="00540EC9" w:rsidP="00FE5E66">
                  <w:pPr>
                    <w:keepNext/>
                    <w:keepLines/>
                    <w:ind w:left="33"/>
                    <w:rPr>
                      <w:rFonts w:cs="Arial"/>
                    </w:rPr>
                  </w:pPr>
                  <w:r w:rsidRPr="001E2783">
                    <w:rPr>
                      <w:rFonts w:cs="Arial"/>
                    </w:rPr>
                    <w:t>Events</w:t>
                  </w:r>
                </w:p>
              </w:tc>
              <w:tc>
                <w:tcPr>
                  <w:tcW w:w="2268" w:type="dxa"/>
                  <w:tcMar>
                    <w:top w:w="28" w:type="dxa"/>
                    <w:bottom w:w="28" w:type="dxa"/>
                  </w:tcMar>
                </w:tcPr>
                <w:p w14:paraId="70D4D39D" w14:textId="77777777" w:rsidR="00540EC9" w:rsidRPr="001E2783" w:rsidRDefault="00540EC9" w:rsidP="00540EC9">
                  <w:pPr>
                    <w:keepNext/>
                    <w:keepLines/>
                    <w:ind w:left="34"/>
                    <w:jc w:val="right"/>
                    <w:rPr>
                      <w:rFonts w:cs="Arial"/>
                    </w:rPr>
                  </w:pPr>
                  <w:r w:rsidRPr="001E2783">
                    <w:rPr>
                      <w:rFonts w:cs="Arial"/>
                    </w:rPr>
                    <w:t>1,875</w:t>
                  </w:r>
                </w:p>
              </w:tc>
              <w:tc>
                <w:tcPr>
                  <w:tcW w:w="1843" w:type="dxa"/>
                  <w:tcMar>
                    <w:top w:w="28" w:type="dxa"/>
                    <w:bottom w:w="28" w:type="dxa"/>
                  </w:tcMar>
                </w:tcPr>
                <w:p w14:paraId="2FC73176" w14:textId="77777777" w:rsidR="00540EC9" w:rsidRPr="001E2783" w:rsidRDefault="00540EC9" w:rsidP="00540EC9">
                  <w:pPr>
                    <w:keepNext/>
                    <w:keepLines/>
                    <w:ind w:left="33"/>
                    <w:jc w:val="right"/>
                    <w:rPr>
                      <w:rFonts w:cs="Arial"/>
                    </w:rPr>
                  </w:pPr>
                  <w:r w:rsidRPr="001E2783">
                    <w:rPr>
                      <w:rFonts w:cs="Arial"/>
                    </w:rPr>
                    <w:t>9,059</w:t>
                  </w:r>
                </w:p>
              </w:tc>
            </w:tr>
            <w:tr w:rsidR="001E2783" w:rsidRPr="001E2783" w14:paraId="0AD1E8A9" w14:textId="77777777" w:rsidTr="000D6C05">
              <w:trPr>
                <w:cantSplit/>
              </w:trPr>
              <w:tc>
                <w:tcPr>
                  <w:tcW w:w="960" w:type="dxa"/>
                  <w:tcBorders>
                    <w:right w:val="nil"/>
                  </w:tcBorders>
                  <w:tcMar>
                    <w:top w:w="28" w:type="dxa"/>
                    <w:bottom w:w="28" w:type="dxa"/>
                  </w:tcMar>
                </w:tcPr>
                <w:p w14:paraId="1CB76CD0" w14:textId="77777777" w:rsidR="00540EC9" w:rsidRPr="001E2783" w:rsidRDefault="00540EC9" w:rsidP="00FE5E66">
                  <w:pPr>
                    <w:keepNext/>
                    <w:keepLines/>
                    <w:ind w:left="720"/>
                    <w:rPr>
                      <w:rFonts w:cs="Arial"/>
                    </w:rPr>
                  </w:pPr>
                </w:p>
              </w:tc>
              <w:tc>
                <w:tcPr>
                  <w:tcW w:w="4394" w:type="dxa"/>
                  <w:tcBorders>
                    <w:left w:val="nil"/>
                  </w:tcBorders>
                  <w:tcMar>
                    <w:top w:w="28" w:type="dxa"/>
                    <w:bottom w:w="28" w:type="dxa"/>
                  </w:tcMar>
                </w:tcPr>
                <w:p w14:paraId="43D6174B" w14:textId="77777777" w:rsidR="00540EC9" w:rsidRPr="001E2783" w:rsidRDefault="00540EC9" w:rsidP="00FE5E66">
                  <w:pPr>
                    <w:keepNext/>
                    <w:keepLines/>
                    <w:ind w:left="33"/>
                    <w:rPr>
                      <w:rFonts w:cs="Arial"/>
                    </w:rPr>
                  </w:pPr>
                  <w:r w:rsidRPr="001E2783">
                    <w:rPr>
                      <w:rFonts w:cs="Arial"/>
                    </w:rPr>
                    <w:t>Attendees</w:t>
                  </w:r>
                </w:p>
              </w:tc>
              <w:tc>
                <w:tcPr>
                  <w:tcW w:w="2268" w:type="dxa"/>
                  <w:tcMar>
                    <w:top w:w="28" w:type="dxa"/>
                    <w:bottom w:w="28" w:type="dxa"/>
                  </w:tcMar>
                </w:tcPr>
                <w:p w14:paraId="074866C6" w14:textId="77777777" w:rsidR="00540EC9" w:rsidRPr="001E2783" w:rsidRDefault="00540EC9" w:rsidP="00540EC9">
                  <w:pPr>
                    <w:jc w:val="right"/>
                    <w:rPr>
                      <w:rFonts w:cs="Arial"/>
                    </w:rPr>
                  </w:pPr>
                  <w:r w:rsidRPr="001E2783">
                    <w:rPr>
                      <w:rFonts w:cs="Arial"/>
                    </w:rPr>
                    <w:t>201,590</w:t>
                  </w:r>
                </w:p>
              </w:tc>
              <w:tc>
                <w:tcPr>
                  <w:tcW w:w="1843" w:type="dxa"/>
                  <w:tcMar>
                    <w:top w:w="28" w:type="dxa"/>
                    <w:bottom w:w="28" w:type="dxa"/>
                  </w:tcMar>
                </w:tcPr>
                <w:p w14:paraId="7F9B7B30" w14:textId="77777777" w:rsidR="00540EC9" w:rsidRPr="001E2783" w:rsidRDefault="00540EC9" w:rsidP="00540EC9">
                  <w:pPr>
                    <w:jc w:val="right"/>
                    <w:rPr>
                      <w:rFonts w:cs="Arial"/>
                    </w:rPr>
                  </w:pPr>
                  <w:r w:rsidRPr="001E2783">
                    <w:rPr>
                      <w:rFonts w:cs="Arial"/>
                    </w:rPr>
                    <w:t>956,677</w:t>
                  </w:r>
                </w:p>
              </w:tc>
            </w:tr>
            <w:tr w:rsidR="001E2783" w:rsidRPr="001E2783" w14:paraId="2D4703AF" w14:textId="77777777" w:rsidTr="000D6C05">
              <w:trPr>
                <w:cantSplit/>
              </w:trPr>
              <w:tc>
                <w:tcPr>
                  <w:tcW w:w="9465" w:type="dxa"/>
                  <w:gridSpan w:val="4"/>
                  <w:tcMar>
                    <w:top w:w="28" w:type="dxa"/>
                    <w:bottom w:w="28" w:type="dxa"/>
                  </w:tcMar>
                </w:tcPr>
                <w:p w14:paraId="31D75790" w14:textId="77777777" w:rsidR="009B5FB2" w:rsidRPr="001E2783" w:rsidRDefault="009B5FB2" w:rsidP="00DD4A57">
                  <w:pPr>
                    <w:keepNext/>
                    <w:keepLines/>
                    <w:ind w:left="1"/>
                    <w:rPr>
                      <w:rFonts w:cs="Arial"/>
                    </w:rPr>
                  </w:pPr>
                  <w:r w:rsidRPr="001E2783">
                    <w:rPr>
                      <w:rFonts w:cs="Arial"/>
                    </w:rPr>
                    <w:t>Professional Development workshops</w:t>
                  </w:r>
                  <w:r w:rsidR="00DD4A57" w:rsidRPr="001E2783">
                    <w:rPr>
                      <w:rFonts w:cs="Arial"/>
                    </w:rPr>
                    <w:br/>
                  </w:r>
                  <w:r w:rsidR="00DD4A57" w:rsidRPr="001E2783">
                    <w:rPr>
                      <w:rFonts w:cs="Arial"/>
                      <w:sz w:val="16"/>
                      <w:szCs w:val="16"/>
                    </w:rPr>
                    <w:t>(</w:t>
                  </w:r>
                  <w:r w:rsidR="00B950BA" w:rsidRPr="001E2783">
                    <w:rPr>
                      <w:rFonts w:cs="Arial"/>
                      <w:sz w:val="16"/>
                      <w:szCs w:val="16"/>
                    </w:rPr>
                    <w:t>a</w:t>
                  </w:r>
                  <w:r w:rsidR="00DD4A57" w:rsidRPr="001E2783">
                    <w:rPr>
                      <w:rFonts w:cs="Arial"/>
                      <w:sz w:val="16"/>
                      <w:szCs w:val="16"/>
                    </w:rPr>
                    <w:t>vailable since January 2009)</w:t>
                  </w:r>
                </w:p>
              </w:tc>
            </w:tr>
            <w:tr w:rsidR="001E2783" w:rsidRPr="001E2783" w14:paraId="6D33DDCF" w14:textId="77777777" w:rsidTr="000D6C05">
              <w:trPr>
                <w:cantSplit/>
              </w:trPr>
              <w:tc>
                <w:tcPr>
                  <w:tcW w:w="960" w:type="dxa"/>
                  <w:tcBorders>
                    <w:right w:val="nil"/>
                  </w:tcBorders>
                  <w:tcMar>
                    <w:top w:w="28" w:type="dxa"/>
                    <w:bottom w:w="28" w:type="dxa"/>
                  </w:tcMar>
                </w:tcPr>
                <w:p w14:paraId="18651849" w14:textId="77777777" w:rsidR="00540EC9" w:rsidRPr="001E2783" w:rsidRDefault="00540EC9" w:rsidP="00FE5E66">
                  <w:pPr>
                    <w:keepNext/>
                    <w:keepLines/>
                    <w:ind w:left="720"/>
                    <w:rPr>
                      <w:rFonts w:cs="Arial"/>
                    </w:rPr>
                  </w:pPr>
                </w:p>
              </w:tc>
              <w:tc>
                <w:tcPr>
                  <w:tcW w:w="4394" w:type="dxa"/>
                  <w:tcBorders>
                    <w:left w:val="nil"/>
                  </w:tcBorders>
                  <w:tcMar>
                    <w:top w:w="28" w:type="dxa"/>
                    <w:bottom w:w="28" w:type="dxa"/>
                  </w:tcMar>
                </w:tcPr>
                <w:p w14:paraId="79615579" w14:textId="77777777" w:rsidR="00540EC9" w:rsidRPr="001E2783" w:rsidRDefault="00540EC9" w:rsidP="00FE5E66">
                  <w:pPr>
                    <w:keepNext/>
                    <w:keepLines/>
                    <w:rPr>
                      <w:rFonts w:cs="Arial"/>
                    </w:rPr>
                  </w:pPr>
                  <w:r w:rsidRPr="001E2783">
                    <w:rPr>
                      <w:rFonts w:cs="Arial"/>
                    </w:rPr>
                    <w:t>Events</w:t>
                  </w:r>
                </w:p>
              </w:tc>
              <w:tc>
                <w:tcPr>
                  <w:tcW w:w="2268" w:type="dxa"/>
                  <w:tcMar>
                    <w:top w:w="28" w:type="dxa"/>
                    <w:bottom w:w="28" w:type="dxa"/>
                  </w:tcMar>
                </w:tcPr>
                <w:p w14:paraId="26190290" w14:textId="77777777" w:rsidR="00540EC9" w:rsidRPr="001E2783" w:rsidRDefault="00540EC9" w:rsidP="00540EC9">
                  <w:pPr>
                    <w:jc w:val="right"/>
                    <w:rPr>
                      <w:rFonts w:cs="Arial"/>
                    </w:rPr>
                  </w:pPr>
                  <w:r w:rsidRPr="001E2783">
                    <w:rPr>
                      <w:rFonts w:cs="Arial"/>
                    </w:rPr>
                    <w:t>51</w:t>
                  </w:r>
                </w:p>
              </w:tc>
              <w:tc>
                <w:tcPr>
                  <w:tcW w:w="1843" w:type="dxa"/>
                  <w:tcMar>
                    <w:top w:w="28" w:type="dxa"/>
                    <w:bottom w:w="28" w:type="dxa"/>
                  </w:tcMar>
                </w:tcPr>
                <w:p w14:paraId="28840EAD" w14:textId="77777777" w:rsidR="00540EC9" w:rsidRPr="001E2783" w:rsidRDefault="00540EC9" w:rsidP="00540EC9">
                  <w:pPr>
                    <w:jc w:val="right"/>
                    <w:rPr>
                      <w:rFonts w:cs="Arial"/>
                    </w:rPr>
                  </w:pPr>
                  <w:r w:rsidRPr="001E2783">
                    <w:rPr>
                      <w:rFonts w:cs="Arial"/>
                    </w:rPr>
                    <w:t>581</w:t>
                  </w:r>
                </w:p>
              </w:tc>
            </w:tr>
            <w:tr w:rsidR="001E2783" w:rsidRPr="001E2783" w14:paraId="6BA40980" w14:textId="77777777" w:rsidTr="000D6C05">
              <w:trPr>
                <w:cantSplit/>
              </w:trPr>
              <w:tc>
                <w:tcPr>
                  <w:tcW w:w="960" w:type="dxa"/>
                  <w:tcBorders>
                    <w:right w:val="nil"/>
                  </w:tcBorders>
                  <w:tcMar>
                    <w:top w:w="28" w:type="dxa"/>
                    <w:bottom w:w="28" w:type="dxa"/>
                  </w:tcMar>
                </w:tcPr>
                <w:p w14:paraId="79D13BAB" w14:textId="77777777" w:rsidR="00540EC9" w:rsidRPr="001E2783" w:rsidRDefault="00540EC9" w:rsidP="00FE5E66">
                  <w:pPr>
                    <w:keepNext/>
                    <w:keepLines/>
                    <w:ind w:left="720"/>
                    <w:rPr>
                      <w:rFonts w:cs="Arial"/>
                    </w:rPr>
                  </w:pPr>
                </w:p>
              </w:tc>
              <w:tc>
                <w:tcPr>
                  <w:tcW w:w="4394" w:type="dxa"/>
                  <w:tcBorders>
                    <w:left w:val="nil"/>
                  </w:tcBorders>
                  <w:tcMar>
                    <w:top w:w="28" w:type="dxa"/>
                    <w:bottom w:w="28" w:type="dxa"/>
                  </w:tcMar>
                </w:tcPr>
                <w:p w14:paraId="6AEAF77E" w14:textId="77777777" w:rsidR="00540EC9" w:rsidRPr="001E2783" w:rsidRDefault="00540EC9" w:rsidP="00FE5E66">
                  <w:pPr>
                    <w:keepNext/>
                    <w:keepLines/>
                    <w:rPr>
                      <w:rFonts w:cs="Arial"/>
                    </w:rPr>
                  </w:pPr>
                  <w:r w:rsidRPr="001E2783">
                    <w:rPr>
                      <w:rFonts w:cs="Arial"/>
                    </w:rPr>
                    <w:t>Attendees</w:t>
                  </w:r>
                </w:p>
              </w:tc>
              <w:tc>
                <w:tcPr>
                  <w:tcW w:w="2268" w:type="dxa"/>
                  <w:tcMar>
                    <w:top w:w="28" w:type="dxa"/>
                    <w:bottom w:w="28" w:type="dxa"/>
                  </w:tcMar>
                </w:tcPr>
                <w:p w14:paraId="53259E06" w14:textId="77777777" w:rsidR="00540EC9" w:rsidRPr="001E2783" w:rsidRDefault="00540EC9" w:rsidP="00540EC9">
                  <w:pPr>
                    <w:jc w:val="right"/>
                    <w:rPr>
                      <w:rFonts w:cs="Arial"/>
                    </w:rPr>
                  </w:pPr>
                  <w:r w:rsidRPr="001E2783">
                    <w:rPr>
                      <w:rFonts w:cs="Arial"/>
                    </w:rPr>
                    <w:t>1,369</w:t>
                  </w:r>
                </w:p>
              </w:tc>
              <w:tc>
                <w:tcPr>
                  <w:tcW w:w="1843" w:type="dxa"/>
                  <w:tcMar>
                    <w:top w:w="28" w:type="dxa"/>
                    <w:bottom w:w="28" w:type="dxa"/>
                  </w:tcMar>
                </w:tcPr>
                <w:p w14:paraId="652C32C1" w14:textId="77777777" w:rsidR="00540EC9" w:rsidRPr="001E2783" w:rsidRDefault="00540EC9" w:rsidP="00540EC9">
                  <w:pPr>
                    <w:jc w:val="right"/>
                    <w:rPr>
                      <w:rFonts w:cs="Arial"/>
                    </w:rPr>
                  </w:pPr>
                  <w:r w:rsidRPr="001E2783">
                    <w:rPr>
                      <w:rFonts w:cs="Arial"/>
                    </w:rPr>
                    <w:t>14,369</w:t>
                  </w:r>
                </w:p>
              </w:tc>
            </w:tr>
            <w:tr w:rsidR="001E2783" w:rsidRPr="001E2783" w14:paraId="108A243F" w14:textId="77777777" w:rsidTr="000D6C05">
              <w:trPr>
                <w:cantSplit/>
              </w:trPr>
              <w:tc>
                <w:tcPr>
                  <w:tcW w:w="9465" w:type="dxa"/>
                  <w:gridSpan w:val="4"/>
                  <w:tcMar>
                    <w:top w:w="28" w:type="dxa"/>
                    <w:bottom w:w="28" w:type="dxa"/>
                  </w:tcMar>
                </w:tcPr>
                <w:p w14:paraId="0F0D6937" w14:textId="77777777" w:rsidR="009B5FB2" w:rsidRPr="001E2783" w:rsidRDefault="009B5FB2" w:rsidP="00DD4A57">
                  <w:pPr>
                    <w:keepNext/>
                    <w:keepLines/>
                    <w:ind w:left="1"/>
                    <w:rPr>
                      <w:rFonts w:cs="Arial"/>
                    </w:rPr>
                  </w:pPr>
                  <w:r w:rsidRPr="001E2783">
                    <w:rPr>
                      <w:rFonts w:cs="Arial"/>
                    </w:rPr>
                    <w:t>Pre-Service Teacher Program</w:t>
                  </w:r>
                  <w:r w:rsidR="00DD4A57" w:rsidRPr="001E2783">
                    <w:rPr>
                      <w:rFonts w:cs="Arial"/>
                    </w:rPr>
                    <w:br/>
                  </w:r>
                  <w:r w:rsidR="00B950BA" w:rsidRPr="001E2783">
                    <w:rPr>
                      <w:rFonts w:cs="Arial"/>
                      <w:sz w:val="16"/>
                      <w:szCs w:val="16"/>
                    </w:rPr>
                    <w:t>(a</w:t>
                  </w:r>
                  <w:r w:rsidR="00DD4A57" w:rsidRPr="001E2783">
                    <w:rPr>
                      <w:rFonts w:cs="Arial"/>
                      <w:sz w:val="16"/>
                      <w:szCs w:val="16"/>
                    </w:rPr>
                    <w:t>vailable since October 2009)</w:t>
                  </w:r>
                  <w:r w:rsidRPr="001E2783">
                    <w:rPr>
                      <w:rFonts w:cs="Arial"/>
                    </w:rPr>
                    <w:t xml:space="preserve"> </w:t>
                  </w:r>
                </w:p>
              </w:tc>
            </w:tr>
            <w:tr w:rsidR="001E2783" w:rsidRPr="001E2783" w14:paraId="17B6C21C" w14:textId="77777777" w:rsidTr="000D6C05">
              <w:trPr>
                <w:cantSplit/>
              </w:trPr>
              <w:tc>
                <w:tcPr>
                  <w:tcW w:w="960" w:type="dxa"/>
                  <w:tcBorders>
                    <w:right w:val="nil"/>
                  </w:tcBorders>
                  <w:tcMar>
                    <w:top w:w="28" w:type="dxa"/>
                    <w:bottom w:w="28" w:type="dxa"/>
                  </w:tcMar>
                </w:tcPr>
                <w:p w14:paraId="1E9D4062" w14:textId="77777777" w:rsidR="00540EC9" w:rsidRPr="001E2783" w:rsidRDefault="00540EC9" w:rsidP="00FE5E66">
                  <w:pPr>
                    <w:keepNext/>
                    <w:keepLines/>
                    <w:ind w:left="720"/>
                    <w:rPr>
                      <w:rFonts w:cs="Arial"/>
                    </w:rPr>
                  </w:pPr>
                </w:p>
              </w:tc>
              <w:tc>
                <w:tcPr>
                  <w:tcW w:w="4394" w:type="dxa"/>
                  <w:tcBorders>
                    <w:left w:val="nil"/>
                  </w:tcBorders>
                  <w:tcMar>
                    <w:top w:w="28" w:type="dxa"/>
                    <w:bottom w:w="28" w:type="dxa"/>
                  </w:tcMar>
                </w:tcPr>
                <w:p w14:paraId="11BBAB9F" w14:textId="77777777" w:rsidR="00540EC9" w:rsidRPr="001E2783" w:rsidRDefault="00540EC9" w:rsidP="00FE5E66">
                  <w:pPr>
                    <w:keepNext/>
                    <w:keepLines/>
                    <w:ind w:left="33"/>
                    <w:rPr>
                      <w:rFonts w:cs="Arial"/>
                    </w:rPr>
                  </w:pPr>
                  <w:r w:rsidRPr="001E2783">
                    <w:rPr>
                      <w:rFonts w:cs="Arial"/>
                    </w:rPr>
                    <w:t>Events</w:t>
                  </w:r>
                </w:p>
              </w:tc>
              <w:tc>
                <w:tcPr>
                  <w:tcW w:w="2268" w:type="dxa"/>
                  <w:tcMar>
                    <w:top w:w="28" w:type="dxa"/>
                    <w:bottom w:w="28" w:type="dxa"/>
                  </w:tcMar>
                </w:tcPr>
                <w:p w14:paraId="67B3B931" w14:textId="77777777" w:rsidR="00540EC9" w:rsidRPr="001E2783" w:rsidRDefault="00540EC9" w:rsidP="00540EC9">
                  <w:pPr>
                    <w:jc w:val="right"/>
                    <w:rPr>
                      <w:rFonts w:cs="Arial"/>
                    </w:rPr>
                  </w:pPr>
                  <w:r w:rsidRPr="001E2783">
                    <w:rPr>
                      <w:rFonts w:cs="Arial"/>
                    </w:rPr>
                    <w:t>55</w:t>
                  </w:r>
                </w:p>
              </w:tc>
              <w:tc>
                <w:tcPr>
                  <w:tcW w:w="1843" w:type="dxa"/>
                  <w:tcMar>
                    <w:top w:w="28" w:type="dxa"/>
                    <w:bottom w:w="28" w:type="dxa"/>
                  </w:tcMar>
                </w:tcPr>
                <w:p w14:paraId="74D4831C" w14:textId="77777777" w:rsidR="00540EC9" w:rsidRPr="001E2783" w:rsidRDefault="00540EC9" w:rsidP="00540EC9">
                  <w:pPr>
                    <w:jc w:val="right"/>
                    <w:rPr>
                      <w:rFonts w:cs="Arial"/>
                    </w:rPr>
                  </w:pPr>
                  <w:r w:rsidRPr="001E2783">
                    <w:rPr>
                      <w:rFonts w:cs="Arial"/>
                    </w:rPr>
                    <w:t>191</w:t>
                  </w:r>
                </w:p>
              </w:tc>
            </w:tr>
            <w:tr w:rsidR="001E2783" w:rsidRPr="001E2783" w14:paraId="6B3937B1" w14:textId="77777777" w:rsidTr="000D6C05">
              <w:trPr>
                <w:cantSplit/>
              </w:trPr>
              <w:tc>
                <w:tcPr>
                  <w:tcW w:w="960" w:type="dxa"/>
                  <w:tcBorders>
                    <w:right w:val="nil"/>
                  </w:tcBorders>
                  <w:tcMar>
                    <w:top w:w="28" w:type="dxa"/>
                    <w:bottom w:w="28" w:type="dxa"/>
                  </w:tcMar>
                </w:tcPr>
                <w:p w14:paraId="5941663D" w14:textId="77777777" w:rsidR="00540EC9" w:rsidRPr="001E2783" w:rsidRDefault="00540EC9" w:rsidP="00FE5E66">
                  <w:pPr>
                    <w:keepNext/>
                    <w:keepLines/>
                    <w:ind w:left="720"/>
                    <w:rPr>
                      <w:rFonts w:cs="Arial"/>
                    </w:rPr>
                  </w:pPr>
                </w:p>
              </w:tc>
              <w:tc>
                <w:tcPr>
                  <w:tcW w:w="4394" w:type="dxa"/>
                  <w:tcBorders>
                    <w:left w:val="nil"/>
                  </w:tcBorders>
                  <w:tcMar>
                    <w:top w:w="28" w:type="dxa"/>
                    <w:bottom w:w="28" w:type="dxa"/>
                  </w:tcMar>
                </w:tcPr>
                <w:p w14:paraId="3CFC2999" w14:textId="77777777" w:rsidR="00540EC9" w:rsidRPr="001E2783" w:rsidRDefault="00540EC9" w:rsidP="00FE5E66">
                  <w:pPr>
                    <w:keepNext/>
                    <w:keepLines/>
                    <w:ind w:left="33"/>
                    <w:rPr>
                      <w:rFonts w:cs="Arial"/>
                    </w:rPr>
                  </w:pPr>
                  <w:r w:rsidRPr="001E2783">
                    <w:rPr>
                      <w:rFonts w:cs="Arial"/>
                    </w:rPr>
                    <w:t>Attendees</w:t>
                  </w:r>
                </w:p>
              </w:tc>
              <w:tc>
                <w:tcPr>
                  <w:tcW w:w="2268" w:type="dxa"/>
                  <w:tcMar>
                    <w:top w:w="28" w:type="dxa"/>
                    <w:bottom w:w="28" w:type="dxa"/>
                  </w:tcMar>
                </w:tcPr>
                <w:p w14:paraId="30D49A97" w14:textId="77777777" w:rsidR="00540EC9" w:rsidRPr="001E2783" w:rsidRDefault="00540EC9" w:rsidP="00540EC9">
                  <w:pPr>
                    <w:jc w:val="right"/>
                    <w:rPr>
                      <w:rFonts w:cs="Arial"/>
                    </w:rPr>
                  </w:pPr>
                  <w:r w:rsidRPr="001E2783">
                    <w:rPr>
                      <w:rFonts w:cs="Arial"/>
                    </w:rPr>
                    <w:t>6,426</w:t>
                  </w:r>
                </w:p>
              </w:tc>
              <w:tc>
                <w:tcPr>
                  <w:tcW w:w="1843" w:type="dxa"/>
                  <w:tcMar>
                    <w:top w:w="28" w:type="dxa"/>
                    <w:bottom w:w="28" w:type="dxa"/>
                  </w:tcMar>
                </w:tcPr>
                <w:p w14:paraId="673B5BAF" w14:textId="77777777" w:rsidR="00540EC9" w:rsidRPr="001E2783" w:rsidRDefault="00540EC9" w:rsidP="00540EC9">
                  <w:pPr>
                    <w:jc w:val="right"/>
                    <w:rPr>
                      <w:rFonts w:cs="Arial"/>
                    </w:rPr>
                  </w:pPr>
                  <w:r w:rsidRPr="001E2783">
                    <w:rPr>
                      <w:rFonts w:cs="Arial"/>
                    </w:rPr>
                    <w:t>19,836</w:t>
                  </w:r>
                </w:p>
              </w:tc>
            </w:tr>
            <w:tr w:rsidR="001E2783" w:rsidRPr="001E2783" w14:paraId="500DCDD0" w14:textId="77777777" w:rsidTr="000D6C05">
              <w:trPr>
                <w:cantSplit/>
              </w:trPr>
              <w:tc>
                <w:tcPr>
                  <w:tcW w:w="5354" w:type="dxa"/>
                  <w:gridSpan w:val="2"/>
                  <w:tcBorders>
                    <w:bottom w:val="single" w:sz="4" w:space="0" w:color="auto"/>
                  </w:tcBorders>
                  <w:tcMar>
                    <w:top w:w="28" w:type="dxa"/>
                    <w:bottom w:w="28" w:type="dxa"/>
                  </w:tcMar>
                </w:tcPr>
                <w:p w14:paraId="0D1A6974" w14:textId="77777777" w:rsidR="00540EC9" w:rsidRPr="001E2783" w:rsidRDefault="00540EC9" w:rsidP="00FE5E66">
                  <w:pPr>
                    <w:keepNext/>
                    <w:keepLines/>
                    <w:ind w:left="1"/>
                    <w:rPr>
                      <w:rFonts w:cs="Arial"/>
                      <w:b/>
                    </w:rPr>
                  </w:pPr>
                  <w:r w:rsidRPr="001E2783">
                    <w:rPr>
                      <w:rFonts w:cs="Arial"/>
                      <w:b/>
                    </w:rPr>
                    <w:t>Total events</w:t>
                  </w:r>
                </w:p>
              </w:tc>
              <w:tc>
                <w:tcPr>
                  <w:tcW w:w="2268" w:type="dxa"/>
                  <w:tcBorders>
                    <w:bottom w:val="single" w:sz="4" w:space="0" w:color="auto"/>
                  </w:tcBorders>
                  <w:tcMar>
                    <w:top w:w="28" w:type="dxa"/>
                    <w:bottom w:w="28" w:type="dxa"/>
                  </w:tcMar>
                </w:tcPr>
                <w:p w14:paraId="494C4D33" w14:textId="77777777" w:rsidR="00540EC9" w:rsidRPr="001E2783" w:rsidRDefault="00540EC9" w:rsidP="00540EC9">
                  <w:pPr>
                    <w:jc w:val="right"/>
                    <w:rPr>
                      <w:rFonts w:cs="Arial"/>
                      <w:b/>
                    </w:rPr>
                  </w:pPr>
                  <w:r w:rsidRPr="001E2783">
                    <w:rPr>
                      <w:rFonts w:cs="Arial"/>
                      <w:b/>
                    </w:rPr>
                    <w:t>1,981</w:t>
                  </w:r>
                </w:p>
              </w:tc>
              <w:tc>
                <w:tcPr>
                  <w:tcW w:w="1843" w:type="dxa"/>
                  <w:tcBorders>
                    <w:bottom w:val="single" w:sz="4" w:space="0" w:color="auto"/>
                  </w:tcBorders>
                  <w:tcMar>
                    <w:top w:w="28" w:type="dxa"/>
                    <w:bottom w:w="28" w:type="dxa"/>
                  </w:tcMar>
                </w:tcPr>
                <w:p w14:paraId="0F3A7100" w14:textId="77777777" w:rsidR="00540EC9" w:rsidRPr="001E2783" w:rsidRDefault="00540EC9" w:rsidP="00540EC9">
                  <w:pPr>
                    <w:jc w:val="right"/>
                    <w:rPr>
                      <w:rFonts w:cs="Arial"/>
                      <w:b/>
                    </w:rPr>
                  </w:pPr>
                  <w:r w:rsidRPr="001E2783">
                    <w:rPr>
                      <w:rFonts w:cs="Arial"/>
                      <w:b/>
                    </w:rPr>
                    <w:t>9,831</w:t>
                  </w:r>
                </w:p>
              </w:tc>
            </w:tr>
            <w:tr w:rsidR="001E2783" w:rsidRPr="001E2783" w14:paraId="5C1547FB" w14:textId="77777777" w:rsidTr="000D6C05">
              <w:trPr>
                <w:cantSplit/>
              </w:trPr>
              <w:tc>
                <w:tcPr>
                  <w:tcW w:w="5354" w:type="dxa"/>
                  <w:gridSpan w:val="2"/>
                  <w:tcBorders>
                    <w:bottom w:val="single" w:sz="12" w:space="0" w:color="auto"/>
                  </w:tcBorders>
                  <w:tcMar>
                    <w:top w:w="28" w:type="dxa"/>
                    <w:bottom w:w="28" w:type="dxa"/>
                  </w:tcMar>
                </w:tcPr>
                <w:p w14:paraId="3C9D82F9" w14:textId="77777777" w:rsidR="00540EC9" w:rsidRPr="001E2783" w:rsidRDefault="00540EC9" w:rsidP="00FE5E66">
                  <w:pPr>
                    <w:keepNext/>
                    <w:keepLines/>
                    <w:ind w:left="1"/>
                    <w:rPr>
                      <w:rFonts w:cs="Arial"/>
                      <w:b/>
                    </w:rPr>
                  </w:pPr>
                  <w:r w:rsidRPr="001E2783">
                    <w:rPr>
                      <w:rFonts w:cs="Arial"/>
                      <w:b/>
                    </w:rPr>
                    <w:t>Total attendees</w:t>
                  </w:r>
                </w:p>
              </w:tc>
              <w:tc>
                <w:tcPr>
                  <w:tcW w:w="2268" w:type="dxa"/>
                  <w:tcBorders>
                    <w:bottom w:val="single" w:sz="12" w:space="0" w:color="auto"/>
                  </w:tcBorders>
                  <w:tcMar>
                    <w:top w:w="28" w:type="dxa"/>
                    <w:bottom w:w="28" w:type="dxa"/>
                  </w:tcMar>
                </w:tcPr>
                <w:p w14:paraId="01B65F34" w14:textId="77777777" w:rsidR="00540EC9" w:rsidRPr="001E2783" w:rsidRDefault="00540EC9" w:rsidP="00540EC9">
                  <w:pPr>
                    <w:jc w:val="right"/>
                    <w:rPr>
                      <w:rFonts w:cs="Arial"/>
                      <w:b/>
                    </w:rPr>
                  </w:pPr>
                  <w:r w:rsidRPr="001E2783">
                    <w:rPr>
                      <w:rFonts w:cs="Arial"/>
                      <w:b/>
                    </w:rPr>
                    <w:t>209,385</w:t>
                  </w:r>
                </w:p>
              </w:tc>
              <w:tc>
                <w:tcPr>
                  <w:tcW w:w="1843" w:type="dxa"/>
                  <w:tcBorders>
                    <w:bottom w:val="single" w:sz="12" w:space="0" w:color="auto"/>
                  </w:tcBorders>
                  <w:tcMar>
                    <w:top w:w="28" w:type="dxa"/>
                    <w:bottom w:w="28" w:type="dxa"/>
                  </w:tcMar>
                </w:tcPr>
                <w:p w14:paraId="4C6F1213" w14:textId="77777777" w:rsidR="00540EC9" w:rsidRPr="001E2783" w:rsidRDefault="00540EC9" w:rsidP="00540EC9">
                  <w:pPr>
                    <w:jc w:val="right"/>
                    <w:rPr>
                      <w:rFonts w:cs="Arial"/>
                      <w:b/>
                    </w:rPr>
                  </w:pPr>
                  <w:r w:rsidRPr="001E2783">
                    <w:rPr>
                      <w:rFonts w:cs="Arial"/>
                      <w:b/>
                    </w:rPr>
                    <w:t>990,882</w:t>
                  </w:r>
                </w:p>
              </w:tc>
            </w:tr>
            <w:tr w:rsidR="001E2783" w:rsidRPr="001E2783" w14:paraId="78D007F2" w14:textId="77777777" w:rsidTr="000D6C05">
              <w:trPr>
                <w:cantSplit/>
              </w:trPr>
              <w:tc>
                <w:tcPr>
                  <w:tcW w:w="9465" w:type="dxa"/>
                  <w:gridSpan w:val="4"/>
                  <w:tcBorders>
                    <w:top w:val="single" w:sz="12" w:space="0" w:color="auto"/>
                  </w:tcBorders>
                  <w:tcMar>
                    <w:top w:w="28" w:type="dxa"/>
                    <w:bottom w:w="28" w:type="dxa"/>
                  </w:tcMar>
                </w:tcPr>
                <w:p w14:paraId="37775A4D" w14:textId="77777777" w:rsidR="009B5FB2" w:rsidRPr="001E2783" w:rsidRDefault="009B5FB2" w:rsidP="00B950BA">
                  <w:pPr>
                    <w:keepNext/>
                    <w:keepLines/>
                    <w:ind w:left="1"/>
                    <w:rPr>
                      <w:rFonts w:cs="Arial"/>
                    </w:rPr>
                  </w:pPr>
                  <w:r w:rsidRPr="001E2783">
                    <w:rPr>
                      <w:rFonts w:cs="Arial"/>
                    </w:rPr>
                    <w:t>Connect.</w:t>
                  </w:r>
                  <w:r w:rsidRPr="001E2783">
                    <w:rPr>
                      <w:rFonts w:cs="Arial"/>
                      <w:i/>
                    </w:rPr>
                    <w:t>ed</w:t>
                  </w:r>
                  <w:r w:rsidRPr="001E2783">
                    <w:rPr>
                      <w:rFonts w:cs="Arial"/>
                    </w:rPr>
                    <w:t xml:space="preserve"> Online PD Program</w:t>
                  </w:r>
                  <w:r w:rsidR="00DD4A57" w:rsidRPr="001E2783">
                    <w:rPr>
                      <w:rFonts w:cs="Arial"/>
                    </w:rPr>
                    <w:br/>
                  </w:r>
                  <w:r w:rsidR="00B950BA" w:rsidRPr="001E2783">
                    <w:rPr>
                      <w:rFonts w:cs="Arial"/>
                      <w:sz w:val="16"/>
                      <w:szCs w:val="16"/>
                    </w:rPr>
                    <w:t>(a</w:t>
                  </w:r>
                  <w:r w:rsidR="00DD4A57" w:rsidRPr="001E2783">
                    <w:rPr>
                      <w:rFonts w:cs="Arial"/>
                      <w:sz w:val="16"/>
                      <w:szCs w:val="16"/>
                    </w:rPr>
                    <w:t>vailable since April 2011</w:t>
                  </w:r>
                  <w:r w:rsidR="00B950BA" w:rsidRPr="001E2783">
                    <w:rPr>
                      <w:rFonts w:cs="Arial"/>
                      <w:sz w:val="16"/>
                      <w:szCs w:val="16"/>
                    </w:rPr>
                    <w:t>)</w:t>
                  </w:r>
                  <w:r w:rsidRPr="001E2783">
                    <w:rPr>
                      <w:rFonts w:cs="Arial"/>
                    </w:rPr>
                    <w:t xml:space="preserve"> </w:t>
                  </w:r>
                </w:p>
              </w:tc>
            </w:tr>
            <w:tr w:rsidR="001E2783" w:rsidRPr="001E2783" w14:paraId="5ACADD14" w14:textId="77777777" w:rsidTr="000D6C05">
              <w:trPr>
                <w:cantSplit/>
              </w:trPr>
              <w:tc>
                <w:tcPr>
                  <w:tcW w:w="960" w:type="dxa"/>
                  <w:tcBorders>
                    <w:bottom w:val="single" w:sz="4" w:space="0" w:color="auto"/>
                    <w:right w:val="nil"/>
                  </w:tcBorders>
                  <w:tcMar>
                    <w:top w:w="28" w:type="dxa"/>
                    <w:bottom w:w="28" w:type="dxa"/>
                  </w:tcMar>
                </w:tcPr>
                <w:p w14:paraId="5FCDD628" w14:textId="77777777" w:rsidR="00540EC9" w:rsidRPr="001E2783" w:rsidRDefault="00540EC9" w:rsidP="00FE5E66">
                  <w:pPr>
                    <w:keepNext/>
                    <w:keepLines/>
                    <w:ind w:left="720"/>
                    <w:rPr>
                      <w:rFonts w:cs="Arial"/>
                    </w:rPr>
                  </w:pPr>
                </w:p>
              </w:tc>
              <w:tc>
                <w:tcPr>
                  <w:tcW w:w="4394" w:type="dxa"/>
                  <w:tcBorders>
                    <w:left w:val="nil"/>
                    <w:bottom w:val="single" w:sz="4" w:space="0" w:color="auto"/>
                  </w:tcBorders>
                  <w:tcMar>
                    <w:top w:w="28" w:type="dxa"/>
                    <w:bottom w:w="28" w:type="dxa"/>
                  </w:tcMar>
                </w:tcPr>
                <w:p w14:paraId="769DB77C" w14:textId="77777777" w:rsidR="00540EC9" w:rsidRPr="001E2783" w:rsidRDefault="00540EC9" w:rsidP="00FE5E66">
                  <w:pPr>
                    <w:keepNext/>
                    <w:keepLines/>
                    <w:ind w:left="33"/>
                    <w:rPr>
                      <w:rFonts w:cs="Arial"/>
                    </w:rPr>
                  </w:pPr>
                  <w:r w:rsidRPr="001E2783">
                    <w:rPr>
                      <w:rFonts w:cs="Arial"/>
                    </w:rPr>
                    <w:t>Registered</w:t>
                  </w:r>
                </w:p>
              </w:tc>
              <w:tc>
                <w:tcPr>
                  <w:tcW w:w="2268" w:type="dxa"/>
                  <w:tcBorders>
                    <w:bottom w:val="single" w:sz="4" w:space="0" w:color="auto"/>
                  </w:tcBorders>
                  <w:tcMar>
                    <w:top w:w="28" w:type="dxa"/>
                    <w:bottom w:w="28" w:type="dxa"/>
                  </w:tcMar>
                </w:tcPr>
                <w:p w14:paraId="1B951306" w14:textId="77777777" w:rsidR="00540EC9" w:rsidRPr="001E2783" w:rsidRDefault="00540EC9" w:rsidP="00540EC9">
                  <w:pPr>
                    <w:jc w:val="right"/>
                    <w:rPr>
                      <w:rFonts w:cs="Arial"/>
                    </w:rPr>
                  </w:pPr>
                  <w:r w:rsidRPr="001E2783">
                    <w:rPr>
                      <w:rFonts w:cs="Arial"/>
                    </w:rPr>
                    <w:t>3,689</w:t>
                  </w:r>
                </w:p>
              </w:tc>
              <w:tc>
                <w:tcPr>
                  <w:tcW w:w="1843" w:type="dxa"/>
                  <w:tcBorders>
                    <w:bottom w:val="single" w:sz="4" w:space="0" w:color="auto"/>
                  </w:tcBorders>
                  <w:tcMar>
                    <w:top w:w="28" w:type="dxa"/>
                    <w:bottom w:w="28" w:type="dxa"/>
                  </w:tcMar>
                </w:tcPr>
                <w:p w14:paraId="41079423" w14:textId="77777777" w:rsidR="00540EC9" w:rsidRPr="001E2783" w:rsidRDefault="00540EC9" w:rsidP="00540EC9">
                  <w:pPr>
                    <w:jc w:val="right"/>
                    <w:rPr>
                      <w:rFonts w:cs="Arial"/>
                    </w:rPr>
                  </w:pPr>
                  <w:r w:rsidRPr="001E2783">
                    <w:rPr>
                      <w:rFonts w:cs="Arial"/>
                    </w:rPr>
                    <w:t>13,317</w:t>
                  </w:r>
                </w:p>
              </w:tc>
            </w:tr>
            <w:tr w:rsidR="001E2783" w:rsidRPr="001E2783" w14:paraId="567240CF" w14:textId="77777777" w:rsidTr="000D6C05">
              <w:trPr>
                <w:cantSplit/>
              </w:trPr>
              <w:tc>
                <w:tcPr>
                  <w:tcW w:w="960" w:type="dxa"/>
                  <w:tcBorders>
                    <w:bottom w:val="single" w:sz="12" w:space="0" w:color="auto"/>
                    <w:right w:val="nil"/>
                  </w:tcBorders>
                  <w:tcMar>
                    <w:top w:w="28" w:type="dxa"/>
                    <w:bottom w:w="28" w:type="dxa"/>
                  </w:tcMar>
                </w:tcPr>
                <w:p w14:paraId="3390245B" w14:textId="77777777" w:rsidR="00540EC9" w:rsidRPr="001E2783" w:rsidRDefault="00540EC9" w:rsidP="00FE5E66">
                  <w:pPr>
                    <w:keepNext/>
                    <w:keepLines/>
                    <w:ind w:left="720"/>
                    <w:rPr>
                      <w:rFonts w:cs="Arial"/>
                    </w:rPr>
                  </w:pPr>
                </w:p>
              </w:tc>
              <w:tc>
                <w:tcPr>
                  <w:tcW w:w="4394" w:type="dxa"/>
                  <w:tcBorders>
                    <w:left w:val="nil"/>
                    <w:bottom w:val="single" w:sz="12" w:space="0" w:color="auto"/>
                  </w:tcBorders>
                  <w:tcMar>
                    <w:top w:w="28" w:type="dxa"/>
                    <w:bottom w:w="28" w:type="dxa"/>
                  </w:tcMar>
                </w:tcPr>
                <w:p w14:paraId="3BCF739A" w14:textId="77777777" w:rsidR="00540EC9" w:rsidRPr="001E2783" w:rsidRDefault="00540EC9" w:rsidP="00FE5E66">
                  <w:pPr>
                    <w:keepNext/>
                    <w:keepLines/>
                    <w:ind w:left="33"/>
                    <w:rPr>
                      <w:rFonts w:cs="Arial"/>
                    </w:rPr>
                  </w:pPr>
                  <w:r w:rsidRPr="001E2783">
                    <w:rPr>
                      <w:rFonts w:cs="Arial"/>
                    </w:rPr>
                    <w:t>Completed</w:t>
                  </w:r>
                </w:p>
              </w:tc>
              <w:tc>
                <w:tcPr>
                  <w:tcW w:w="2268" w:type="dxa"/>
                  <w:tcBorders>
                    <w:bottom w:val="single" w:sz="12" w:space="0" w:color="auto"/>
                  </w:tcBorders>
                  <w:tcMar>
                    <w:top w:w="28" w:type="dxa"/>
                    <w:bottom w:w="28" w:type="dxa"/>
                  </w:tcMar>
                </w:tcPr>
                <w:p w14:paraId="2092ABCC" w14:textId="77777777" w:rsidR="00540EC9" w:rsidRPr="001E2783" w:rsidRDefault="00540EC9" w:rsidP="00540EC9">
                  <w:pPr>
                    <w:jc w:val="right"/>
                    <w:rPr>
                      <w:rFonts w:cs="Arial"/>
                    </w:rPr>
                  </w:pPr>
                  <w:r w:rsidRPr="001E2783">
                    <w:rPr>
                      <w:rFonts w:cs="Arial"/>
                    </w:rPr>
                    <w:t>1,429</w:t>
                  </w:r>
                </w:p>
              </w:tc>
              <w:tc>
                <w:tcPr>
                  <w:tcW w:w="1843" w:type="dxa"/>
                  <w:tcBorders>
                    <w:bottom w:val="single" w:sz="12" w:space="0" w:color="auto"/>
                  </w:tcBorders>
                  <w:tcMar>
                    <w:top w:w="28" w:type="dxa"/>
                    <w:bottom w:w="28" w:type="dxa"/>
                  </w:tcMar>
                </w:tcPr>
                <w:p w14:paraId="35D56436" w14:textId="77777777" w:rsidR="00540EC9" w:rsidRPr="001E2783" w:rsidRDefault="00540EC9" w:rsidP="00540EC9">
                  <w:pPr>
                    <w:jc w:val="right"/>
                    <w:rPr>
                      <w:rFonts w:cs="Arial"/>
                    </w:rPr>
                  </w:pPr>
                  <w:r w:rsidRPr="001E2783">
                    <w:rPr>
                      <w:rFonts w:cs="Arial"/>
                    </w:rPr>
                    <w:t>3,992</w:t>
                  </w:r>
                </w:p>
              </w:tc>
            </w:tr>
            <w:tr w:rsidR="001E2783" w:rsidRPr="001E2783" w14:paraId="7911D183" w14:textId="77777777" w:rsidTr="000D6C05">
              <w:trPr>
                <w:cantSplit/>
              </w:trPr>
              <w:tc>
                <w:tcPr>
                  <w:tcW w:w="9465" w:type="dxa"/>
                  <w:gridSpan w:val="4"/>
                  <w:tcBorders>
                    <w:top w:val="single" w:sz="12" w:space="0" w:color="auto"/>
                    <w:right w:val="nil"/>
                  </w:tcBorders>
                  <w:tcMar>
                    <w:top w:w="28" w:type="dxa"/>
                    <w:bottom w:w="28" w:type="dxa"/>
                  </w:tcMar>
                </w:tcPr>
                <w:p w14:paraId="782D3331" w14:textId="77777777" w:rsidR="009B5FB2" w:rsidRPr="001E2783" w:rsidRDefault="009B5FB2" w:rsidP="00B950BA">
                  <w:pPr>
                    <w:keepNext/>
                    <w:keepLines/>
                    <w:rPr>
                      <w:rFonts w:cs="Arial"/>
                    </w:rPr>
                  </w:pPr>
                  <w:r w:rsidRPr="001E2783">
                    <w:rPr>
                      <w:rFonts w:cs="Arial"/>
                    </w:rPr>
                    <w:t>Interactive shared learning—Cybersmart Detectives</w:t>
                  </w:r>
                  <w:r w:rsidR="00B950BA" w:rsidRPr="001E2783">
                    <w:rPr>
                      <w:rFonts w:cs="Arial"/>
                    </w:rPr>
                    <w:br/>
                  </w:r>
                  <w:r w:rsidR="00B950BA" w:rsidRPr="001E2783">
                    <w:rPr>
                      <w:rFonts w:cs="Arial"/>
                      <w:sz w:val="16"/>
                      <w:szCs w:val="16"/>
                    </w:rPr>
                    <w:t>(available since January 2008)</w:t>
                  </w:r>
                </w:p>
              </w:tc>
            </w:tr>
            <w:tr w:rsidR="001E2783" w:rsidRPr="001E2783" w14:paraId="08660117" w14:textId="77777777" w:rsidTr="000D6C05">
              <w:trPr>
                <w:cantSplit/>
              </w:trPr>
              <w:tc>
                <w:tcPr>
                  <w:tcW w:w="960" w:type="dxa"/>
                  <w:tcBorders>
                    <w:right w:val="nil"/>
                  </w:tcBorders>
                  <w:tcMar>
                    <w:top w:w="28" w:type="dxa"/>
                    <w:bottom w:w="28" w:type="dxa"/>
                  </w:tcMar>
                </w:tcPr>
                <w:p w14:paraId="3B9F9264" w14:textId="77777777" w:rsidR="00540EC9" w:rsidRPr="001E2783" w:rsidRDefault="00540EC9" w:rsidP="00FE5E66">
                  <w:pPr>
                    <w:keepNext/>
                    <w:keepLines/>
                    <w:ind w:left="720"/>
                    <w:rPr>
                      <w:rFonts w:cs="Arial"/>
                    </w:rPr>
                  </w:pPr>
                </w:p>
              </w:tc>
              <w:tc>
                <w:tcPr>
                  <w:tcW w:w="4394" w:type="dxa"/>
                  <w:tcBorders>
                    <w:left w:val="nil"/>
                  </w:tcBorders>
                  <w:tcMar>
                    <w:top w:w="28" w:type="dxa"/>
                    <w:bottom w:w="28" w:type="dxa"/>
                  </w:tcMar>
                </w:tcPr>
                <w:p w14:paraId="73BFCD48" w14:textId="77777777" w:rsidR="00540EC9" w:rsidRPr="001E2783" w:rsidRDefault="00540EC9" w:rsidP="00FE5E66">
                  <w:pPr>
                    <w:keepNext/>
                    <w:keepLines/>
                    <w:rPr>
                      <w:rFonts w:cs="Arial"/>
                    </w:rPr>
                  </w:pPr>
                  <w:r w:rsidRPr="001E2783">
                    <w:rPr>
                      <w:rFonts w:cs="Arial"/>
                    </w:rPr>
                    <w:t>Schools</w:t>
                  </w:r>
                </w:p>
              </w:tc>
              <w:tc>
                <w:tcPr>
                  <w:tcW w:w="2268" w:type="dxa"/>
                  <w:tcMar>
                    <w:top w:w="28" w:type="dxa"/>
                    <w:bottom w:w="28" w:type="dxa"/>
                  </w:tcMar>
                </w:tcPr>
                <w:p w14:paraId="203343E3" w14:textId="77777777" w:rsidR="00540EC9" w:rsidRPr="001E2783" w:rsidRDefault="00540EC9" w:rsidP="00540EC9">
                  <w:pPr>
                    <w:jc w:val="right"/>
                    <w:rPr>
                      <w:rFonts w:cs="Arial"/>
                    </w:rPr>
                  </w:pPr>
                  <w:r w:rsidRPr="001E2783">
                    <w:rPr>
                      <w:rFonts w:cs="Arial"/>
                    </w:rPr>
                    <w:t>139</w:t>
                  </w:r>
                </w:p>
              </w:tc>
              <w:tc>
                <w:tcPr>
                  <w:tcW w:w="1843" w:type="dxa"/>
                  <w:tcMar>
                    <w:top w:w="28" w:type="dxa"/>
                    <w:bottom w:w="28" w:type="dxa"/>
                  </w:tcMar>
                </w:tcPr>
                <w:p w14:paraId="69C01156" w14:textId="77777777" w:rsidR="00540EC9" w:rsidRPr="001E2783" w:rsidRDefault="00540EC9" w:rsidP="00540EC9">
                  <w:pPr>
                    <w:jc w:val="right"/>
                    <w:rPr>
                      <w:rFonts w:cs="Arial"/>
                    </w:rPr>
                  </w:pPr>
                  <w:r w:rsidRPr="001E2783">
                    <w:rPr>
                      <w:rFonts w:cs="Arial"/>
                    </w:rPr>
                    <w:t>1,002</w:t>
                  </w:r>
                </w:p>
              </w:tc>
            </w:tr>
            <w:tr w:rsidR="001E2783" w:rsidRPr="001E2783" w14:paraId="3D8832AB" w14:textId="77777777" w:rsidTr="000D6C05">
              <w:trPr>
                <w:cantSplit/>
              </w:trPr>
              <w:tc>
                <w:tcPr>
                  <w:tcW w:w="960" w:type="dxa"/>
                  <w:tcBorders>
                    <w:right w:val="nil"/>
                  </w:tcBorders>
                  <w:tcMar>
                    <w:top w:w="28" w:type="dxa"/>
                    <w:bottom w:w="28" w:type="dxa"/>
                  </w:tcMar>
                </w:tcPr>
                <w:p w14:paraId="4C447199" w14:textId="77777777" w:rsidR="00540EC9" w:rsidRPr="001E2783" w:rsidRDefault="00540EC9" w:rsidP="00FE5E66">
                  <w:pPr>
                    <w:keepNext/>
                    <w:keepLines/>
                    <w:ind w:left="720"/>
                    <w:rPr>
                      <w:rFonts w:cs="Arial"/>
                    </w:rPr>
                  </w:pPr>
                </w:p>
              </w:tc>
              <w:tc>
                <w:tcPr>
                  <w:tcW w:w="4394" w:type="dxa"/>
                  <w:tcBorders>
                    <w:left w:val="nil"/>
                  </w:tcBorders>
                  <w:tcMar>
                    <w:top w:w="28" w:type="dxa"/>
                    <w:bottom w:w="28" w:type="dxa"/>
                  </w:tcMar>
                </w:tcPr>
                <w:p w14:paraId="78C6D4CB" w14:textId="77777777" w:rsidR="00540EC9" w:rsidRPr="001E2783" w:rsidRDefault="00540EC9" w:rsidP="00FE5E66">
                  <w:pPr>
                    <w:keepNext/>
                    <w:keepLines/>
                    <w:rPr>
                      <w:rFonts w:cs="Arial"/>
                    </w:rPr>
                  </w:pPr>
                  <w:r w:rsidRPr="001E2783">
                    <w:rPr>
                      <w:rFonts w:cs="Arial"/>
                    </w:rPr>
                    <w:t>Students</w:t>
                  </w:r>
                </w:p>
              </w:tc>
              <w:tc>
                <w:tcPr>
                  <w:tcW w:w="2268" w:type="dxa"/>
                  <w:tcMar>
                    <w:top w:w="28" w:type="dxa"/>
                    <w:bottom w:w="28" w:type="dxa"/>
                  </w:tcMar>
                </w:tcPr>
                <w:p w14:paraId="7EDE6442" w14:textId="77777777" w:rsidR="00540EC9" w:rsidRPr="001E2783" w:rsidRDefault="00540EC9" w:rsidP="00540EC9">
                  <w:pPr>
                    <w:jc w:val="right"/>
                    <w:rPr>
                      <w:rFonts w:cs="Arial"/>
                    </w:rPr>
                  </w:pPr>
                  <w:r w:rsidRPr="001E2783">
                    <w:rPr>
                      <w:rFonts w:cs="Arial"/>
                    </w:rPr>
                    <w:t>5,562</w:t>
                  </w:r>
                </w:p>
              </w:tc>
              <w:tc>
                <w:tcPr>
                  <w:tcW w:w="1843" w:type="dxa"/>
                  <w:tcMar>
                    <w:top w:w="28" w:type="dxa"/>
                    <w:bottom w:w="28" w:type="dxa"/>
                  </w:tcMar>
                </w:tcPr>
                <w:p w14:paraId="34B92333" w14:textId="77777777" w:rsidR="00540EC9" w:rsidRPr="001E2783" w:rsidRDefault="00540EC9" w:rsidP="00540EC9">
                  <w:pPr>
                    <w:jc w:val="right"/>
                    <w:rPr>
                      <w:rFonts w:cs="Arial"/>
                    </w:rPr>
                  </w:pPr>
                  <w:r w:rsidRPr="001E2783">
                    <w:rPr>
                      <w:rFonts w:cs="Arial"/>
                    </w:rPr>
                    <w:t>39,136</w:t>
                  </w:r>
                </w:p>
              </w:tc>
            </w:tr>
            <w:tr w:rsidR="001E2783" w:rsidRPr="001E2783" w14:paraId="5A67F59D" w14:textId="77777777" w:rsidTr="000D6C05">
              <w:trPr>
                <w:cantSplit/>
              </w:trPr>
              <w:tc>
                <w:tcPr>
                  <w:tcW w:w="9465" w:type="dxa"/>
                  <w:gridSpan w:val="4"/>
                  <w:tcBorders>
                    <w:right w:val="nil"/>
                  </w:tcBorders>
                  <w:tcMar>
                    <w:top w:w="28" w:type="dxa"/>
                    <w:bottom w:w="28" w:type="dxa"/>
                  </w:tcMar>
                </w:tcPr>
                <w:p w14:paraId="2D0CAD7A" w14:textId="77777777" w:rsidR="009B5FB2" w:rsidRPr="001E2783" w:rsidRDefault="009B5FB2" w:rsidP="00B950BA">
                  <w:pPr>
                    <w:keepNext/>
                    <w:keepLines/>
                    <w:rPr>
                      <w:rFonts w:cs="Arial"/>
                    </w:rPr>
                  </w:pPr>
                  <w:r w:rsidRPr="001E2783">
                    <w:rPr>
                      <w:rFonts w:cs="Arial"/>
                    </w:rPr>
                    <w:t>Interactive shared learning—Cybersmart Hero</w:t>
                  </w:r>
                  <w:r w:rsidR="00B950BA" w:rsidRPr="001E2783">
                    <w:rPr>
                      <w:rFonts w:cs="Arial"/>
                    </w:rPr>
                    <w:br/>
                  </w:r>
                  <w:r w:rsidR="00B950BA" w:rsidRPr="001E2783">
                    <w:rPr>
                      <w:rFonts w:cs="Arial"/>
                      <w:sz w:val="16"/>
                      <w:szCs w:val="16"/>
                    </w:rPr>
                    <w:t>(available since June 2010)</w:t>
                  </w:r>
                </w:p>
              </w:tc>
            </w:tr>
            <w:tr w:rsidR="001E2783" w:rsidRPr="001E2783" w14:paraId="1D603EE3" w14:textId="77777777" w:rsidTr="000D6C05">
              <w:trPr>
                <w:cantSplit/>
              </w:trPr>
              <w:tc>
                <w:tcPr>
                  <w:tcW w:w="960" w:type="dxa"/>
                  <w:tcBorders>
                    <w:right w:val="nil"/>
                  </w:tcBorders>
                  <w:tcMar>
                    <w:top w:w="28" w:type="dxa"/>
                    <w:bottom w:w="28" w:type="dxa"/>
                  </w:tcMar>
                </w:tcPr>
                <w:p w14:paraId="61466F23" w14:textId="77777777" w:rsidR="00E52852" w:rsidRPr="001E2783" w:rsidRDefault="00E52852" w:rsidP="00FE5E66">
                  <w:pPr>
                    <w:keepNext/>
                    <w:keepLines/>
                    <w:ind w:left="720"/>
                    <w:rPr>
                      <w:rFonts w:cs="Arial"/>
                    </w:rPr>
                  </w:pPr>
                </w:p>
              </w:tc>
              <w:tc>
                <w:tcPr>
                  <w:tcW w:w="4394" w:type="dxa"/>
                  <w:tcBorders>
                    <w:left w:val="nil"/>
                  </w:tcBorders>
                  <w:tcMar>
                    <w:top w:w="28" w:type="dxa"/>
                    <w:bottom w:w="28" w:type="dxa"/>
                  </w:tcMar>
                </w:tcPr>
                <w:p w14:paraId="66226927" w14:textId="77777777" w:rsidR="00E52852" w:rsidRPr="001E2783" w:rsidRDefault="00E52852" w:rsidP="00FE5E66">
                  <w:pPr>
                    <w:keepNext/>
                    <w:keepLines/>
                    <w:rPr>
                      <w:rFonts w:cs="Arial"/>
                    </w:rPr>
                  </w:pPr>
                  <w:r w:rsidRPr="001E2783">
                    <w:rPr>
                      <w:rFonts w:cs="Arial"/>
                    </w:rPr>
                    <w:t>Schools</w:t>
                  </w:r>
                </w:p>
              </w:tc>
              <w:tc>
                <w:tcPr>
                  <w:tcW w:w="2268" w:type="dxa"/>
                  <w:tcMar>
                    <w:top w:w="28" w:type="dxa"/>
                    <w:bottom w:w="28" w:type="dxa"/>
                  </w:tcMar>
                </w:tcPr>
                <w:p w14:paraId="5128FC65" w14:textId="77777777" w:rsidR="00E52852" w:rsidRPr="001E2783" w:rsidRDefault="00E52852" w:rsidP="00E52852">
                  <w:pPr>
                    <w:jc w:val="right"/>
                    <w:rPr>
                      <w:rFonts w:cs="Arial"/>
                    </w:rPr>
                  </w:pPr>
                  <w:r w:rsidRPr="001E2783">
                    <w:rPr>
                      <w:rFonts w:cs="Arial"/>
                    </w:rPr>
                    <w:t>60</w:t>
                  </w:r>
                </w:p>
              </w:tc>
              <w:tc>
                <w:tcPr>
                  <w:tcW w:w="1843" w:type="dxa"/>
                  <w:tcMar>
                    <w:top w:w="28" w:type="dxa"/>
                    <w:bottom w:w="28" w:type="dxa"/>
                  </w:tcMar>
                </w:tcPr>
                <w:p w14:paraId="2C6798DE" w14:textId="77777777" w:rsidR="00E52852" w:rsidRPr="001E2783" w:rsidRDefault="00E52852" w:rsidP="00E52852">
                  <w:pPr>
                    <w:jc w:val="right"/>
                    <w:rPr>
                      <w:rFonts w:cs="Arial"/>
                    </w:rPr>
                  </w:pPr>
                  <w:r w:rsidRPr="001E2783">
                    <w:rPr>
                      <w:rFonts w:cs="Arial"/>
                    </w:rPr>
                    <w:t>306</w:t>
                  </w:r>
                </w:p>
              </w:tc>
            </w:tr>
            <w:tr w:rsidR="001E2783" w:rsidRPr="001E2783" w14:paraId="3F317F33" w14:textId="77777777" w:rsidTr="000D6C05">
              <w:trPr>
                <w:cantSplit/>
              </w:trPr>
              <w:tc>
                <w:tcPr>
                  <w:tcW w:w="960" w:type="dxa"/>
                  <w:tcBorders>
                    <w:right w:val="nil"/>
                  </w:tcBorders>
                  <w:tcMar>
                    <w:top w:w="28" w:type="dxa"/>
                    <w:bottom w:w="28" w:type="dxa"/>
                  </w:tcMar>
                </w:tcPr>
                <w:p w14:paraId="105953D3" w14:textId="77777777" w:rsidR="00E52852" w:rsidRPr="001E2783" w:rsidRDefault="00E52852" w:rsidP="00FE5E66">
                  <w:pPr>
                    <w:keepNext/>
                    <w:keepLines/>
                    <w:ind w:left="720"/>
                    <w:rPr>
                      <w:rFonts w:cs="Arial"/>
                    </w:rPr>
                  </w:pPr>
                </w:p>
              </w:tc>
              <w:tc>
                <w:tcPr>
                  <w:tcW w:w="4394" w:type="dxa"/>
                  <w:tcBorders>
                    <w:left w:val="nil"/>
                  </w:tcBorders>
                  <w:tcMar>
                    <w:top w:w="28" w:type="dxa"/>
                    <w:bottom w:w="28" w:type="dxa"/>
                  </w:tcMar>
                </w:tcPr>
                <w:p w14:paraId="4DF17275" w14:textId="77777777" w:rsidR="00E52852" w:rsidRPr="001E2783" w:rsidRDefault="00E52852" w:rsidP="00FE5E66">
                  <w:pPr>
                    <w:keepNext/>
                    <w:keepLines/>
                    <w:rPr>
                      <w:rFonts w:cs="Arial"/>
                    </w:rPr>
                  </w:pPr>
                  <w:r w:rsidRPr="001E2783">
                    <w:rPr>
                      <w:rFonts w:cs="Arial"/>
                    </w:rPr>
                    <w:t>Students</w:t>
                  </w:r>
                </w:p>
              </w:tc>
              <w:tc>
                <w:tcPr>
                  <w:tcW w:w="2268" w:type="dxa"/>
                  <w:tcMar>
                    <w:top w:w="28" w:type="dxa"/>
                    <w:bottom w:w="28" w:type="dxa"/>
                  </w:tcMar>
                </w:tcPr>
                <w:p w14:paraId="42C0E42C" w14:textId="77777777" w:rsidR="00E52852" w:rsidRPr="001E2783" w:rsidRDefault="00E52852" w:rsidP="00E52852">
                  <w:pPr>
                    <w:jc w:val="right"/>
                    <w:rPr>
                      <w:rFonts w:cs="Arial"/>
                    </w:rPr>
                  </w:pPr>
                  <w:r w:rsidRPr="001E2783">
                    <w:rPr>
                      <w:rFonts w:cs="Arial"/>
                    </w:rPr>
                    <w:t>1,770</w:t>
                  </w:r>
                </w:p>
              </w:tc>
              <w:tc>
                <w:tcPr>
                  <w:tcW w:w="1843" w:type="dxa"/>
                  <w:tcMar>
                    <w:top w:w="28" w:type="dxa"/>
                    <w:bottom w:w="28" w:type="dxa"/>
                  </w:tcMar>
                </w:tcPr>
                <w:p w14:paraId="7CFE3483" w14:textId="77777777" w:rsidR="00E52852" w:rsidRPr="001E2783" w:rsidRDefault="00E52852" w:rsidP="00E52852">
                  <w:pPr>
                    <w:jc w:val="right"/>
                    <w:rPr>
                      <w:rFonts w:cs="Arial"/>
                    </w:rPr>
                  </w:pPr>
                  <w:r w:rsidRPr="001E2783">
                    <w:rPr>
                      <w:rFonts w:cs="Arial"/>
                    </w:rPr>
                    <w:t>13,263</w:t>
                  </w:r>
                </w:p>
              </w:tc>
            </w:tr>
            <w:tr w:rsidR="001E2783" w:rsidRPr="001E2783" w14:paraId="64C0F1C0" w14:textId="77777777" w:rsidTr="000D6C05">
              <w:trPr>
                <w:cantSplit/>
              </w:trPr>
              <w:tc>
                <w:tcPr>
                  <w:tcW w:w="9465" w:type="dxa"/>
                  <w:gridSpan w:val="4"/>
                  <w:tcBorders>
                    <w:right w:val="nil"/>
                  </w:tcBorders>
                  <w:tcMar>
                    <w:top w:w="28" w:type="dxa"/>
                    <w:bottom w:w="28" w:type="dxa"/>
                  </w:tcMar>
                </w:tcPr>
                <w:p w14:paraId="68E999DF" w14:textId="77777777" w:rsidR="009B5FB2" w:rsidRPr="001E2783" w:rsidRDefault="009B5FB2" w:rsidP="00B950BA">
                  <w:pPr>
                    <w:keepNext/>
                    <w:keepLines/>
                    <w:rPr>
                      <w:rFonts w:cs="Arial"/>
                    </w:rPr>
                  </w:pPr>
                  <w:r w:rsidRPr="001E2783">
                    <w:rPr>
                      <w:rFonts w:cs="Arial"/>
                    </w:rPr>
                    <w:t>Interactive shared learning—Cybersmart Networking</w:t>
                  </w:r>
                  <w:r w:rsidR="00B950BA" w:rsidRPr="001E2783">
                    <w:rPr>
                      <w:rFonts w:cs="Arial"/>
                    </w:rPr>
                    <w:br/>
                  </w:r>
                  <w:r w:rsidR="00B950BA" w:rsidRPr="001E2783">
                    <w:rPr>
                      <w:rFonts w:cs="Arial"/>
                      <w:sz w:val="16"/>
                      <w:szCs w:val="16"/>
                    </w:rPr>
                    <w:t>(available since November 2011)</w:t>
                  </w:r>
                </w:p>
              </w:tc>
            </w:tr>
            <w:tr w:rsidR="001E2783" w:rsidRPr="001E2783" w14:paraId="677B1AFA" w14:textId="77777777" w:rsidTr="000D6C05">
              <w:trPr>
                <w:cantSplit/>
              </w:trPr>
              <w:tc>
                <w:tcPr>
                  <w:tcW w:w="960" w:type="dxa"/>
                  <w:tcBorders>
                    <w:bottom w:val="single" w:sz="4" w:space="0" w:color="auto"/>
                    <w:right w:val="nil"/>
                  </w:tcBorders>
                  <w:tcMar>
                    <w:top w:w="28" w:type="dxa"/>
                    <w:bottom w:w="28" w:type="dxa"/>
                  </w:tcMar>
                </w:tcPr>
                <w:p w14:paraId="5907489C" w14:textId="77777777" w:rsidR="00E52852" w:rsidRPr="001E2783" w:rsidRDefault="00E52852" w:rsidP="00FE5E66">
                  <w:pPr>
                    <w:keepNext/>
                    <w:keepLines/>
                    <w:rPr>
                      <w:rFonts w:cs="Arial"/>
                    </w:rPr>
                  </w:pPr>
                </w:p>
              </w:tc>
              <w:tc>
                <w:tcPr>
                  <w:tcW w:w="4394" w:type="dxa"/>
                  <w:tcBorders>
                    <w:left w:val="nil"/>
                    <w:bottom w:val="single" w:sz="4" w:space="0" w:color="auto"/>
                  </w:tcBorders>
                  <w:tcMar>
                    <w:top w:w="28" w:type="dxa"/>
                    <w:bottom w:w="28" w:type="dxa"/>
                  </w:tcMar>
                </w:tcPr>
                <w:p w14:paraId="07797E2A" w14:textId="77777777" w:rsidR="00E52852" w:rsidRPr="001E2783" w:rsidRDefault="00E52852" w:rsidP="00FE5E66">
                  <w:pPr>
                    <w:keepNext/>
                    <w:keepLines/>
                    <w:rPr>
                      <w:rFonts w:cs="Arial"/>
                    </w:rPr>
                  </w:pPr>
                  <w:r w:rsidRPr="001E2783">
                    <w:rPr>
                      <w:rFonts w:cs="Arial"/>
                    </w:rPr>
                    <w:t>Schools</w:t>
                  </w:r>
                </w:p>
              </w:tc>
              <w:tc>
                <w:tcPr>
                  <w:tcW w:w="2268" w:type="dxa"/>
                  <w:tcBorders>
                    <w:bottom w:val="single" w:sz="4" w:space="0" w:color="auto"/>
                  </w:tcBorders>
                  <w:tcMar>
                    <w:top w:w="28" w:type="dxa"/>
                    <w:bottom w:w="28" w:type="dxa"/>
                  </w:tcMar>
                </w:tcPr>
                <w:p w14:paraId="5AE9BD8A" w14:textId="77777777" w:rsidR="00E52852" w:rsidRPr="001E2783" w:rsidRDefault="00E52852" w:rsidP="00E52852">
                  <w:pPr>
                    <w:jc w:val="right"/>
                    <w:rPr>
                      <w:rFonts w:cs="Arial"/>
                    </w:rPr>
                  </w:pPr>
                  <w:r w:rsidRPr="001E2783">
                    <w:rPr>
                      <w:rFonts w:cs="Arial"/>
                    </w:rPr>
                    <w:t>33</w:t>
                  </w:r>
                </w:p>
              </w:tc>
              <w:tc>
                <w:tcPr>
                  <w:tcW w:w="1843" w:type="dxa"/>
                  <w:tcBorders>
                    <w:bottom w:val="single" w:sz="4" w:space="0" w:color="auto"/>
                  </w:tcBorders>
                  <w:tcMar>
                    <w:top w:w="28" w:type="dxa"/>
                    <w:bottom w:w="28" w:type="dxa"/>
                  </w:tcMar>
                </w:tcPr>
                <w:p w14:paraId="54193E62" w14:textId="77777777" w:rsidR="00E52852" w:rsidRPr="001E2783" w:rsidRDefault="00E52852" w:rsidP="00E52852">
                  <w:pPr>
                    <w:jc w:val="right"/>
                    <w:rPr>
                      <w:rFonts w:cs="Arial"/>
                    </w:rPr>
                  </w:pPr>
                  <w:r w:rsidRPr="001E2783">
                    <w:rPr>
                      <w:rFonts w:cs="Arial"/>
                    </w:rPr>
                    <w:t>100</w:t>
                  </w:r>
                </w:p>
              </w:tc>
            </w:tr>
            <w:tr w:rsidR="001E2783" w:rsidRPr="001E2783" w14:paraId="3538F19A" w14:textId="77777777" w:rsidTr="000D6C05">
              <w:trPr>
                <w:cantSplit/>
              </w:trPr>
              <w:tc>
                <w:tcPr>
                  <w:tcW w:w="960" w:type="dxa"/>
                  <w:tcBorders>
                    <w:bottom w:val="single" w:sz="12" w:space="0" w:color="auto"/>
                    <w:right w:val="nil"/>
                  </w:tcBorders>
                  <w:tcMar>
                    <w:top w:w="28" w:type="dxa"/>
                    <w:bottom w:w="28" w:type="dxa"/>
                  </w:tcMar>
                </w:tcPr>
                <w:p w14:paraId="78C6DFCE" w14:textId="77777777" w:rsidR="00E52852" w:rsidRPr="001E2783" w:rsidRDefault="00E52852" w:rsidP="00FE5E66">
                  <w:pPr>
                    <w:keepNext/>
                    <w:keepLines/>
                    <w:rPr>
                      <w:rFonts w:cs="Arial"/>
                    </w:rPr>
                  </w:pPr>
                </w:p>
              </w:tc>
              <w:tc>
                <w:tcPr>
                  <w:tcW w:w="4394" w:type="dxa"/>
                  <w:tcBorders>
                    <w:left w:val="nil"/>
                    <w:bottom w:val="single" w:sz="12" w:space="0" w:color="auto"/>
                  </w:tcBorders>
                  <w:tcMar>
                    <w:top w:w="28" w:type="dxa"/>
                    <w:bottom w:w="28" w:type="dxa"/>
                  </w:tcMar>
                </w:tcPr>
                <w:p w14:paraId="0084CCC3" w14:textId="77777777" w:rsidR="00E52852" w:rsidRPr="001E2783" w:rsidRDefault="00E52852" w:rsidP="00FE5E66">
                  <w:pPr>
                    <w:keepNext/>
                    <w:keepLines/>
                    <w:rPr>
                      <w:rFonts w:cs="Arial"/>
                    </w:rPr>
                  </w:pPr>
                  <w:r w:rsidRPr="001E2783">
                    <w:rPr>
                      <w:rFonts w:cs="Arial"/>
                    </w:rPr>
                    <w:t>Students</w:t>
                  </w:r>
                </w:p>
              </w:tc>
              <w:tc>
                <w:tcPr>
                  <w:tcW w:w="2268" w:type="dxa"/>
                  <w:tcBorders>
                    <w:bottom w:val="single" w:sz="12" w:space="0" w:color="auto"/>
                  </w:tcBorders>
                  <w:tcMar>
                    <w:top w:w="28" w:type="dxa"/>
                    <w:bottom w:w="28" w:type="dxa"/>
                  </w:tcMar>
                </w:tcPr>
                <w:p w14:paraId="01B0101D" w14:textId="77777777" w:rsidR="00E52852" w:rsidRPr="001E2783" w:rsidRDefault="00E52852" w:rsidP="00E52852">
                  <w:pPr>
                    <w:jc w:val="right"/>
                    <w:rPr>
                      <w:rFonts w:cs="Arial"/>
                    </w:rPr>
                  </w:pPr>
                  <w:r w:rsidRPr="001E2783">
                    <w:rPr>
                      <w:rFonts w:cs="Arial"/>
                    </w:rPr>
                    <w:t>1,702</w:t>
                  </w:r>
                </w:p>
              </w:tc>
              <w:tc>
                <w:tcPr>
                  <w:tcW w:w="1843" w:type="dxa"/>
                  <w:tcBorders>
                    <w:bottom w:val="single" w:sz="12" w:space="0" w:color="auto"/>
                  </w:tcBorders>
                  <w:tcMar>
                    <w:top w:w="28" w:type="dxa"/>
                    <w:bottom w:w="28" w:type="dxa"/>
                  </w:tcMar>
                </w:tcPr>
                <w:p w14:paraId="5A66CFA6" w14:textId="77777777" w:rsidR="00E52852" w:rsidRPr="001E2783" w:rsidRDefault="00E52852" w:rsidP="00E52852">
                  <w:pPr>
                    <w:jc w:val="right"/>
                    <w:rPr>
                      <w:rFonts w:cs="Arial"/>
                    </w:rPr>
                  </w:pPr>
                  <w:r w:rsidRPr="001E2783">
                    <w:rPr>
                      <w:rFonts w:cs="Arial"/>
                    </w:rPr>
                    <w:t>5,656</w:t>
                  </w:r>
                </w:p>
              </w:tc>
            </w:tr>
            <w:tr w:rsidR="001E2783" w:rsidRPr="001E2783" w14:paraId="01DBD54B" w14:textId="77777777" w:rsidTr="000D6C05">
              <w:trPr>
                <w:cantSplit/>
              </w:trPr>
              <w:tc>
                <w:tcPr>
                  <w:tcW w:w="5354" w:type="dxa"/>
                  <w:gridSpan w:val="2"/>
                  <w:tcMar>
                    <w:top w:w="28" w:type="dxa"/>
                    <w:bottom w:w="28" w:type="dxa"/>
                  </w:tcMar>
                </w:tcPr>
                <w:p w14:paraId="64996773" w14:textId="77777777" w:rsidR="00E52852" w:rsidRPr="001E2783" w:rsidRDefault="00E52852" w:rsidP="00B950BA">
                  <w:pPr>
                    <w:keepNext/>
                    <w:keepLines/>
                    <w:rPr>
                      <w:rFonts w:cs="Arial"/>
                      <w:b/>
                    </w:rPr>
                  </w:pPr>
                  <w:r w:rsidRPr="001E2783">
                    <w:rPr>
                      <w:rFonts w:cs="Arial"/>
                      <w:b/>
                    </w:rPr>
                    <w:t>Total hard-copy resources delivered</w:t>
                  </w:r>
                  <w:r w:rsidRPr="001E2783">
                    <w:rPr>
                      <w:rFonts w:cs="Arial"/>
                      <w:b/>
                    </w:rPr>
                    <w:br/>
                  </w:r>
                  <w:r w:rsidRPr="001E2783">
                    <w:rPr>
                      <w:rFonts w:cs="Arial"/>
                      <w:sz w:val="16"/>
                      <w:szCs w:val="16"/>
                    </w:rPr>
                    <w:t>(Cybersmart resources have been available since April 2008)</w:t>
                  </w:r>
                </w:p>
              </w:tc>
              <w:tc>
                <w:tcPr>
                  <w:tcW w:w="2268" w:type="dxa"/>
                  <w:tcMar>
                    <w:top w:w="28" w:type="dxa"/>
                    <w:bottom w:w="28" w:type="dxa"/>
                  </w:tcMar>
                </w:tcPr>
                <w:p w14:paraId="6C22A40E" w14:textId="77777777" w:rsidR="00E52852" w:rsidRPr="001E2783" w:rsidRDefault="00E52852" w:rsidP="0018267B">
                  <w:pPr>
                    <w:jc w:val="right"/>
                    <w:rPr>
                      <w:rFonts w:cs="Arial"/>
                      <w:b/>
                    </w:rPr>
                  </w:pPr>
                  <w:r w:rsidRPr="001E2783">
                    <w:rPr>
                      <w:rFonts w:cs="Arial"/>
                      <w:b/>
                      <w:szCs w:val="20"/>
                    </w:rPr>
                    <w:t>472,368</w:t>
                  </w:r>
                </w:p>
              </w:tc>
              <w:tc>
                <w:tcPr>
                  <w:tcW w:w="1843" w:type="dxa"/>
                  <w:tcMar>
                    <w:top w:w="28" w:type="dxa"/>
                    <w:bottom w:w="28" w:type="dxa"/>
                  </w:tcMar>
                </w:tcPr>
                <w:p w14:paraId="07FCA1E7" w14:textId="77777777" w:rsidR="00E52852" w:rsidRPr="001E2783" w:rsidRDefault="00E52852" w:rsidP="00E52852">
                  <w:pPr>
                    <w:jc w:val="right"/>
                    <w:rPr>
                      <w:rFonts w:cs="Arial"/>
                      <w:b/>
                    </w:rPr>
                  </w:pPr>
                  <w:r w:rsidRPr="001E2783">
                    <w:rPr>
                      <w:rFonts w:cs="Arial"/>
                      <w:b/>
                    </w:rPr>
                    <w:t>7,407,499</w:t>
                  </w:r>
                </w:p>
              </w:tc>
            </w:tr>
          </w:tbl>
          <w:p w14:paraId="69923E77" w14:textId="77777777" w:rsidR="00CC119D" w:rsidRPr="001E2783" w:rsidRDefault="00CC119D" w:rsidP="00C902FF">
            <w:pPr>
              <w:rPr>
                <w:rFonts w:cs="Arial"/>
              </w:rPr>
            </w:pPr>
          </w:p>
        </w:tc>
      </w:tr>
      <w:tr w:rsidR="00CC119D" w:rsidRPr="001E2783" w14:paraId="71325066" w14:textId="77777777" w:rsidTr="00C902FF">
        <w:trPr>
          <w:trHeight w:val="291"/>
        </w:trPr>
        <w:tc>
          <w:tcPr>
            <w:tcW w:w="9645" w:type="dxa"/>
            <w:tcBorders>
              <w:bottom w:val="single" w:sz="2" w:space="0" w:color="505050"/>
            </w:tcBorders>
            <w:shd w:val="clear" w:color="auto" w:fill="auto"/>
          </w:tcPr>
          <w:p w14:paraId="2163153C" w14:textId="77777777" w:rsidR="00CC119D" w:rsidRPr="001E2783" w:rsidRDefault="00CC119D" w:rsidP="00C902FF">
            <w:pPr>
              <w:rPr>
                <w:rFonts w:cs="Arial"/>
              </w:rPr>
            </w:pPr>
          </w:p>
        </w:tc>
      </w:tr>
    </w:tbl>
    <w:p w14:paraId="32433C56" w14:textId="77777777" w:rsidR="00CC119D" w:rsidRPr="001E2783" w:rsidRDefault="00CC119D" w:rsidP="00CC119D">
      <w:pPr>
        <w:rPr>
          <w:rFonts w:cs="Arial"/>
        </w:rPr>
      </w:pPr>
    </w:p>
    <w:p w14:paraId="586E7CA4" w14:textId="77777777" w:rsidR="003241A6" w:rsidRPr="001E2783" w:rsidRDefault="003241A6" w:rsidP="003241A6">
      <w:pPr>
        <w:pStyle w:val="BodysubheaderH4"/>
        <w:rPr>
          <w:rFonts w:cs="Arial"/>
        </w:rPr>
      </w:pPr>
      <w:r w:rsidRPr="001E2783">
        <w:rPr>
          <w:rFonts w:cs="Arial"/>
        </w:rPr>
        <w:t>Key partnerships</w:t>
      </w:r>
    </w:p>
    <w:p w14:paraId="21B091C5" w14:textId="77777777" w:rsidR="007E41F7" w:rsidRPr="001E2783" w:rsidRDefault="007E41F7" w:rsidP="007E41F7">
      <w:pPr>
        <w:rPr>
          <w:rFonts w:cs="Arial"/>
        </w:rPr>
      </w:pPr>
      <w:r w:rsidRPr="001E2783">
        <w:rPr>
          <w:rFonts w:cs="Arial"/>
        </w:rPr>
        <w:t xml:space="preserve">The ACMA works productively with other organisations, both in Australia and overseas, to increase education and awareness about online safety. Partners include government agencies, not-for-profit organisations, corporations and community-based groups, with work ranging from distributing </w:t>
      </w:r>
      <w:r w:rsidR="0014568C" w:rsidRPr="001E2783">
        <w:rPr>
          <w:rFonts w:cs="Arial"/>
        </w:rPr>
        <w:t>educational</w:t>
      </w:r>
      <w:r w:rsidRPr="001E2783">
        <w:rPr>
          <w:rFonts w:cs="Arial"/>
        </w:rPr>
        <w:t xml:space="preserve"> material, supporting events and community awareness-raising weeks to co-developing content.</w:t>
      </w:r>
    </w:p>
    <w:p w14:paraId="0DD50584" w14:textId="77777777" w:rsidR="007E41F7" w:rsidRPr="001E2783" w:rsidRDefault="007E41F7" w:rsidP="007E41F7">
      <w:pPr>
        <w:rPr>
          <w:rFonts w:cs="Arial"/>
        </w:rPr>
      </w:pPr>
    </w:p>
    <w:p w14:paraId="40414F5A" w14:textId="77777777" w:rsidR="007E41F7" w:rsidRPr="001E2783" w:rsidRDefault="0014568C" w:rsidP="007E41F7">
      <w:pPr>
        <w:rPr>
          <w:rFonts w:cs="Arial"/>
        </w:rPr>
      </w:pPr>
      <w:r w:rsidRPr="001E2783">
        <w:rPr>
          <w:rFonts w:cs="Arial"/>
        </w:rPr>
        <w:t>In 2013–</w:t>
      </w:r>
      <w:r w:rsidR="007E41F7" w:rsidRPr="001E2783">
        <w:rPr>
          <w:rFonts w:cs="Arial"/>
        </w:rPr>
        <w:t>14, the ACMA entered into a</w:t>
      </w:r>
      <w:r w:rsidRPr="001E2783">
        <w:rPr>
          <w:rFonts w:cs="Arial"/>
        </w:rPr>
        <w:t xml:space="preserve">n </w:t>
      </w:r>
      <w:r w:rsidR="007E41F7" w:rsidRPr="001E2783">
        <w:rPr>
          <w:rFonts w:cs="Arial"/>
        </w:rPr>
        <w:t>M</w:t>
      </w:r>
      <w:r w:rsidR="00BF30ED" w:rsidRPr="001E2783">
        <w:rPr>
          <w:rFonts w:cs="Arial"/>
        </w:rPr>
        <w:t>o</w:t>
      </w:r>
      <w:r w:rsidR="007E41F7" w:rsidRPr="001E2783">
        <w:rPr>
          <w:rFonts w:cs="Arial"/>
        </w:rPr>
        <w:t>U with The Alannah and Madeline Foundation (a national charity that protects Australian children from violence) to share information and collaborate on online safety matters. T</w:t>
      </w:r>
      <w:r w:rsidR="00BF30ED" w:rsidRPr="001E2783">
        <w:rPr>
          <w:rFonts w:cs="Arial"/>
        </w:rPr>
        <w:t>he ACMA also renewed existing Mo</w:t>
      </w:r>
      <w:r w:rsidR="007E41F7" w:rsidRPr="001E2783">
        <w:rPr>
          <w:rFonts w:cs="Arial"/>
        </w:rPr>
        <w:t>Us with NetSafe (New Zealand’s online safety advisory body) and Childnet International, a global chil</w:t>
      </w:r>
      <w:r w:rsidRPr="001E2783">
        <w:rPr>
          <w:rFonts w:cs="Arial"/>
        </w:rPr>
        <w:t>dren’s charity based in the UK.</w:t>
      </w:r>
      <w:r w:rsidR="007E41F7" w:rsidRPr="001E2783">
        <w:rPr>
          <w:rFonts w:cs="Arial"/>
        </w:rPr>
        <w:t xml:space="preserve"> Key partners include agencies involved in the government’s Consultative Working Group on Online Safety</w:t>
      </w:r>
      <w:r w:rsidRPr="001E2783">
        <w:rPr>
          <w:rFonts w:cs="Arial"/>
        </w:rPr>
        <w:t>,</w:t>
      </w:r>
      <w:r w:rsidR="007E41F7" w:rsidRPr="001E2783">
        <w:rPr>
          <w:rFonts w:cs="Arial"/>
        </w:rPr>
        <w:t xml:space="preserve"> as well as state and federal police forces and education departments.</w:t>
      </w:r>
    </w:p>
    <w:p w14:paraId="248E0497" w14:textId="77777777" w:rsidR="007E41F7" w:rsidRPr="001E2783" w:rsidRDefault="007E41F7" w:rsidP="007E41F7">
      <w:pPr>
        <w:rPr>
          <w:rFonts w:cs="Arial"/>
        </w:rPr>
      </w:pPr>
    </w:p>
    <w:p w14:paraId="7752E6F9" w14:textId="77777777" w:rsidR="00CC119D" w:rsidRPr="001E2783" w:rsidRDefault="007E41F7" w:rsidP="007E41F7">
      <w:pPr>
        <w:rPr>
          <w:rFonts w:cs="Arial"/>
        </w:rPr>
      </w:pPr>
      <w:r w:rsidRPr="001E2783">
        <w:rPr>
          <w:rFonts w:cs="Arial"/>
        </w:rPr>
        <w:t>Each year, the ACMA considers and grants a large number of requests to link to and use Cybersmart resources. Since December 2013, proposals to collaborate on significant online safety initiatives have been assessed under the Cybersmart Partnerships Guidelines. Over the past year, the ACMA joined with other organisations in raising online safety awarenes</w:t>
      </w:r>
      <w:r w:rsidR="00B820A2" w:rsidRPr="001E2783">
        <w:rPr>
          <w:rFonts w:cs="Arial"/>
        </w:rPr>
        <w:t>s during Safer Internet Day (11 </w:t>
      </w:r>
      <w:r w:rsidRPr="001E2783">
        <w:rPr>
          <w:rFonts w:cs="Arial"/>
        </w:rPr>
        <w:t>Feb</w:t>
      </w:r>
      <w:r w:rsidR="00B820A2" w:rsidRPr="001E2783">
        <w:rPr>
          <w:rFonts w:cs="Arial"/>
        </w:rPr>
        <w:t>ruary 2014), Day for Daniel (25 </w:t>
      </w:r>
      <w:r w:rsidRPr="001E2783">
        <w:rPr>
          <w:rFonts w:cs="Arial"/>
        </w:rPr>
        <w:t>October 2013), National Day of Action Against Bully</w:t>
      </w:r>
      <w:r w:rsidR="0014568C" w:rsidRPr="001E2783">
        <w:rPr>
          <w:rFonts w:cs="Arial"/>
        </w:rPr>
        <w:t>ing and Violence (23 </w:t>
      </w:r>
      <w:r w:rsidRPr="001E2783">
        <w:rPr>
          <w:rFonts w:cs="Arial"/>
        </w:rPr>
        <w:t>March 2</w:t>
      </w:r>
      <w:r w:rsidR="0014568C" w:rsidRPr="001E2783">
        <w:rPr>
          <w:rFonts w:cs="Arial"/>
        </w:rPr>
        <w:t>014), Privacy Awareness Week (4–</w:t>
      </w:r>
      <w:r w:rsidRPr="001E2783">
        <w:rPr>
          <w:rFonts w:cs="Arial"/>
        </w:rPr>
        <w:t>10 May 2014</w:t>
      </w:r>
      <w:r w:rsidR="0014568C" w:rsidRPr="001E2783">
        <w:rPr>
          <w:rFonts w:cs="Arial"/>
        </w:rPr>
        <w:t>) and Stay Smart Online Week (2–</w:t>
      </w:r>
      <w:r w:rsidRPr="001E2783">
        <w:rPr>
          <w:rFonts w:cs="Arial"/>
        </w:rPr>
        <w:t>6 June 2014). The ACMA also supported the Human Rights Commission’s 2013 BackMeUp Video Competition aimed at helping young people overcome cyberbullying.</w:t>
      </w:r>
    </w:p>
    <w:p w14:paraId="4273E1A8" w14:textId="77777777" w:rsidR="007E41F7" w:rsidRPr="001E2783" w:rsidRDefault="007E41F7" w:rsidP="007E41F7">
      <w:pPr>
        <w:rPr>
          <w:rFonts w:cs="Arial"/>
        </w:rPr>
      </w:pPr>
    </w:p>
    <w:p w14:paraId="72A4C5F7" w14:textId="77777777" w:rsidR="003241A6" w:rsidRPr="001E2783" w:rsidRDefault="00214D4F" w:rsidP="003241A6">
      <w:pPr>
        <w:pStyle w:val="Heading3"/>
        <w:rPr>
          <w:i/>
        </w:rPr>
      </w:pPr>
      <w:bookmarkStart w:id="259" w:name="_Toc400018605"/>
      <w:r w:rsidRPr="001E2783">
        <w:rPr>
          <w:i/>
        </w:rPr>
        <w:t>Digital c</w:t>
      </w:r>
      <w:r w:rsidR="003241A6" w:rsidRPr="001E2783">
        <w:rPr>
          <w:i/>
        </w:rPr>
        <w:t>itizen</w:t>
      </w:r>
      <w:r w:rsidRPr="001E2783">
        <w:rPr>
          <w:i/>
        </w:rPr>
        <w:t>s g</w:t>
      </w:r>
      <w:r w:rsidR="007E41F7" w:rsidRPr="001E2783">
        <w:rPr>
          <w:i/>
        </w:rPr>
        <w:t>uide</w:t>
      </w:r>
      <w:bookmarkEnd w:id="259"/>
    </w:p>
    <w:p w14:paraId="364B9010" w14:textId="77777777" w:rsidR="007E41F7" w:rsidRPr="001E2783" w:rsidRDefault="007E41F7" w:rsidP="003241A6">
      <w:pPr>
        <w:rPr>
          <w:rFonts w:cs="Arial"/>
          <w:szCs w:val="20"/>
        </w:rPr>
      </w:pPr>
      <w:r w:rsidRPr="001E2783">
        <w:rPr>
          <w:rFonts w:cs="Arial"/>
          <w:szCs w:val="20"/>
        </w:rPr>
        <w:t>On 25 July 201</w:t>
      </w:r>
      <w:r w:rsidR="00BF30ED" w:rsidRPr="001E2783">
        <w:rPr>
          <w:rFonts w:cs="Arial"/>
          <w:szCs w:val="20"/>
        </w:rPr>
        <w:t>3, the ACMA launched its</w:t>
      </w:r>
      <w:r w:rsidR="00214D4F" w:rsidRPr="001E2783">
        <w:rPr>
          <w:rFonts w:cs="Arial"/>
          <w:szCs w:val="20"/>
        </w:rPr>
        <w:t xml:space="preserve"> </w:t>
      </w:r>
      <w:r w:rsidR="00214D4F" w:rsidRPr="001E2783">
        <w:rPr>
          <w:rFonts w:cs="Arial"/>
          <w:i/>
          <w:szCs w:val="20"/>
        </w:rPr>
        <w:t>Digital c</w:t>
      </w:r>
      <w:r w:rsidRPr="001E2783">
        <w:rPr>
          <w:rFonts w:cs="Arial"/>
          <w:i/>
          <w:szCs w:val="20"/>
        </w:rPr>
        <w:t xml:space="preserve">itizens </w:t>
      </w:r>
      <w:r w:rsidR="00214D4F" w:rsidRPr="001E2783">
        <w:rPr>
          <w:rFonts w:cs="Arial"/>
          <w:i/>
          <w:szCs w:val="20"/>
        </w:rPr>
        <w:t>g</w:t>
      </w:r>
      <w:r w:rsidRPr="001E2783">
        <w:rPr>
          <w:rFonts w:cs="Arial"/>
          <w:i/>
          <w:szCs w:val="20"/>
        </w:rPr>
        <w:t>uide</w:t>
      </w:r>
      <w:r w:rsidRPr="001E2783">
        <w:rPr>
          <w:rFonts w:cs="Arial"/>
          <w:szCs w:val="20"/>
        </w:rPr>
        <w:t xml:space="preserve"> to help Australians stay safe and positive while participating in everyday online activities like socialising, shopping, banking and accessing information. The development of the guide was informed by research, community focus groups and in-depth interviews with a broad range of stakeholders. </w:t>
      </w:r>
    </w:p>
    <w:p w14:paraId="0BE28F0E" w14:textId="77777777" w:rsidR="007E41F7" w:rsidRPr="001E2783" w:rsidRDefault="007E41F7" w:rsidP="003241A6">
      <w:pPr>
        <w:rPr>
          <w:rFonts w:cs="Arial"/>
          <w:szCs w:val="20"/>
        </w:rPr>
      </w:pPr>
    </w:p>
    <w:p w14:paraId="0D96CC61" w14:textId="77777777" w:rsidR="003241A6" w:rsidRPr="001E2783" w:rsidRDefault="007E41F7" w:rsidP="003241A6">
      <w:pPr>
        <w:rPr>
          <w:rFonts w:cs="Arial"/>
          <w:szCs w:val="20"/>
        </w:rPr>
      </w:pPr>
      <w:r w:rsidRPr="001E2783">
        <w:rPr>
          <w:rFonts w:cs="Arial"/>
          <w:szCs w:val="20"/>
        </w:rPr>
        <w:t xml:space="preserve">The </w:t>
      </w:r>
      <w:r w:rsidR="007A6EDA" w:rsidRPr="001E2783">
        <w:rPr>
          <w:rFonts w:cs="Arial"/>
          <w:szCs w:val="20"/>
        </w:rPr>
        <w:t>guide</w:t>
      </w:r>
      <w:r w:rsidRPr="001E2783">
        <w:rPr>
          <w:rFonts w:cs="Arial"/>
          <w:szCs w:val="20"/>
        </w:rPr>
        <w:t xml:space="preserve"> identifies three guiding prin</w:t>
      </w:r>
      <w:r w:rsidR="00214D4F" w:rsidRPr="001E2783">
        <w:rPr>
          <w:rFonts w:cs="Arial"/>
          <w:szCs w:val="20"/>
        </w:rPr>
        <w:t>ciples for online interaction—‘engage positively’, ‘know your online world’ and ‘c</w:t>
      </w:r>
      <w:r w:rsidRPr="001E2783">
        <w:rPr>
          <w:rFonts w:cs="Arial"/>
          <w:szCs w:val="20"/>
        </w:rPr>
        <w:t>hoose consciously</w:t>
      </w:r>
      <w:r w:rsidR="00214D4F" w:rsidRPr="001E2783">
        <w:rPr>
          <w:rFonts w:cs="Arial"/>
          <w:szCs w:val="20"/>
        </w:rPr>
        <w:t xml:space="preserve">— and links them </w:t>
      </w:r>
      <w:r w:rsidRPr="001E2783">
        <w:rPr>
          <w:rFonts w:cs="Arial"/>
          <w:szCs w:val="20"/>
        </w:rPr>
        <w:t xml:space="preserve">to free online safety resources. </w:t>
      </w:r>
      <w:r w:rsidR="007A6EDA" w:rsidRPr="001E2783">
        <w:rPr>
          <w:rFonts w:cs="Arial"/>
          <w:szCs w:val="20"/>
        </w:rPr>
        <w:t>It</w:t>
      </w:r>
      <w:r w:rsidRPr="001E2783">
        <w:rPr>
          <w:rFonts w:cs="Arial"/>
          <w:szCs w:val="20"/>
        </w:rPr>
        <w:t xml:space="preserve"> is hosted on the Cybersmart website and has been welcomed and supported by industry and community partners including Google, Facebook, Telstra, Microsoft, the Commonwealth Bank, The Alannah and Madeline Foundation, Yahoo!7, the Interactive Games and Entertainment Association, the Internet Industry Association, the Australian Mobile Telecommunications Association, the Family Online Safety Institute, Bravehearts and the Centre for Internet Safety.</w:t>
      </w:r>
    </w:p>
    <w:p w14:paraId="6D2B52DE" w14:textId="77777777" w:rsidR="007E41F7" w:rsidRPr="001E2783" w:rsidRDefault="007E41F7" w:rsidP="003241A6">
      <w:pPr>
        <w:rPr>
          <w:rFonts w:cs="Arial"/>
          <w:szCs w:val="20"/>
        </w:rPr>
      </w:pPr>
    </w:p>
    <w:p w14:paraId="3217003E" w14:textId="77777777" w:rsidR="00CC119D" w:rsidRPr="001E2783" w:rsidRDefault="00CC119D" w:rsidP="00CC119D">
      <w:pPr>
        <w:pStyle w:val="Heading2"/>
      </w:pPr>
      <w:bookmarkStart w:id="260" w:name="_Toc337727636"/>
      <w:bookmarkStart w:id="261" w:name="_Toc400018606"/>
      <w:r w:rsidRPr="001E2783">
        <w:t>Research and reporting</w:t>
      </w:r>
      <w:bookmarkEnd w:id="260"/>
      <w:bookmarkEnd w:id="261"/>
    </w:p>
    <w:p w14:paraId="37710C16" w14:textId="77777777" w:rsidR="00851338" w:rsidRPr="001E2783" w:rsidRDefault="00851338" w:rsidP="00851338">
      <w:pPr>
        <w:spacing w:after="80"/>
        <w:rPr>
          <w:rFonts w:cs="Arial"/>
        </w:rPr>
      </w:pPr>
      <w:r w:rsidRPr="001E2783">
        <w:rPr>
          <w:rFonts w:cs="Arial"/>
        </w:rPr>
        <w:t>The</w:t>
      </w:r>
      <w:r w:rsidR="007A6EDA" w:rsidRPr="001E2783">
        <w:rPr>
          <w:rFonts w:cs="Arial"/>
        </w:rPr>
        <w:t xml:space="preserve"> research and reporting program</w:t>
      </w:r>
      <w:r w:rsidRPr="001E2783">
        <w:rPr>
          <w:rFonts w:cs="Arial"/>
        </w:rPr>
        <w:t>—research</w:t>
      </w:r>
      <w:r w:rsidRPr="001E2783">
        <w:rPr>
          <w:rFonts w:cs="Arial"/>
          <w:b/>
        </w:rPr>
        <w:t>acma</w:t>
      </w:r>
      <w:r w:rsidRPr="001E2783">
        <w:rPr>
          <w:rFonts w:cs="Arial"/>
        </w:rPr>
        <w:t>—underpins the ACMA’s work and decisions as an evidence-informed regulator. It contributes to the ACMA’s regulatory advice and informs reviews and investigations.</w:t>
      </w:r>
      <w:r w:rsidR="00BF30ED" w:rsidRPr="001E2783">
        <w:rPr>
          <w:rFonts w:cs="Arial"/>
        </w:rPr>
        <w:t xml:space="preserve"> The</w:t>
      </w:r>
      <w:r w:rsidRPr="001E2783">
        <w:rPr>
          <w:rFonts w:cs="Arial"/>
        </w:rPr>
        <w:t xml:space="preserve"> research</w:t>
      </w:r>
      <w:r w:rsidRPr="001E2783">
        <w:rPr>
          <w:rFonts w:cs="Arial"/>
          <w:b/>
        </w:rPr>
        <w:t>acma</w:t>
      </w:r>
      <w:r w:rsidRPr="001E2783">
        <w:rPr>
          <w:rFonts w:cs="Arial"/>
        </w:rPr>
        <w:t xml:space="preserve"> </w:t>
      </w:r>
      <w:r w:rsidR="00BF30ED" w:rsidRPr="001E2783">
        <w:rPr>
          <w:rFonts w:cs="Arial"/>
        </w:rPr>
        <w:t xml:space="preserve">program </w:t>
      </w:r>
      <w:r w:rsidRPr="001E2783">
        <w:rPr>
          <w:rFonts w:cs="Arial"/>
        </w:rPr>
        <w:t xml:space="preserve">has five broad areas of interest: </w:t>
      </w:r>
    </w:p>
    <w:p w14:paraId="06E97F5D" w14:textId="77777777" w:rsidR="007E41F7" w:rsidRPr="001E2783" w:rsidRDefault="007E41F7" w:rsidP="007E41F7">
      <w:pPr>
        <w:pStyle w:val="ListBullet"/>
        <w:rPr>
          <w:rFonts w:cs="Arial"/>
        </w:rPr>
      </w:pPr>
      <w:r w:rsidRPr="001E2783">
        <w:rPr>
          <w:rFonts w:cs="Arial"/>
        </w:rPr>
        <w:t xml:space="preserve">market developments </w:t>
      </w:r>
    </w:p>
    <w:p w14:paraId="46C7BE52" w14:textId="77777777" w:rsidR="007E41F7" w:rsidRPr="001E2783" w:rsidRDefault="007E41F7" w:rsidP="007E41F7">
      <w:pPr>
        <w:pStyle w:val="ListBullet"/>
        <w:rPr>
          <w:rFonts w:cs="Arial"/>
        </w:rPr>
      </w:pPr>
      <w:r w:rsidRPr="001E2783">
        <w:rPr>
          <w:rFonts w:cs="Arial"/>
        </w:rPr>
        <w:t xml:space="preserve">media content and culture </w:t>
      </w:r>
    </w:p>
    <w:p w14:paraId="77DD17B8" w14:textId="77777777" w:rsidR="00E52852" w:rsidRPr="001E2783" w:rsidRDefault="00E52852" w:rsidP="007E41F7">
      <w:pPr>
        <w:pStyle w:val="ListBullet"/>
        <w:rPr>
          <w:rFonts w:cs="Arial"/>
        </w:rPr>
      </w:pPr>
      <w:r w:rsidRPr="001E2783">
        <w:rPr>
          <w:rFonts w:cs="Arial"/>
        </w:rPr>
        <w:t>social and economic participation</w:t>
      </w:r>
    </w:p>
    <w:p w14:paraId="77E3D611" w14:textId="77777777" w:rsidR="007E41F7" w:rsidRPr="001E2783" w:rsidRDefault="007E41F7" w:rsidP="007E41F7">
      <w:pPr>
        <w:pStyle w:val="ListBullet"/>
        <w:rPr>
          <w:rFonts w:cs="Arial"/>
        </w:rPr>
      </w:pPr>
      <w:r w:rsidRPr="001E2783">
        <w:rPr>
          <w:rFonts w:cs="Arial"/>
        </w:rPr>
        <w:t xml:space="preserve">citizen and consumer safeguards </w:t>
      </w:r>
    </w:p>
    <w:p w14:paraId="7A983D7D" w14:textId="77777777" w:rsidR="007E41F7" w:rsidRPr="001E2783" w:rsidRDefault="007E41F7" w:rsidP="007E41F7">
      <w:pPr>
        <w:pStyle w:val="ListBullet"/>
        <w:spacing w:after="240"/>
        <w:rPr>
          <w:rFonts w:cs="Arial"/>
        </w:rPr>
      </w:pPr>
      <w:r w:rsidRPr="001E2783">
        <w:rPr>
          <w:rFonts w:cs="Arial"/>
        </w:rPr>
        <w:t>regulatory best practice and development.</w:t>
      </w:r>
    </w:p>
    <w:p w14:paraId="3D7BD33B" w14:textId="77777777" w:rsidR="007E41F7" w:rsidRPr="001E2783" w:rsidRDefault="00AA04D5" w:rsidP="00AA04D5">
      <w:pPr>
        <w:pStyle w:val="Heading3"/>
      </w:pPr>
      <w:bookmarkStart w:id="262" w:name="_Toc400018607"/>
      <w:r w:rsidRPr="001E2783">
        <w:t>Market d</w:t>
      </w:r>
      <w:r w:rsidR="007E41F7" w:rsidRPr="001E2783">
        <w:t>evelopments</w:t>
      </w:r>
      <w:bookmarkEnd w:id="262"/>
    </w:p>
    <w:p w14:paraId="52634AC9" w14:textId="77777777" w:rsidR="007E41F7" w:rsidRPr="001E2783" w:rsidRDefault="007E41F7" w:rsidP="007E41F7">
      <w:pPr>
        <w:rPr>
          <w:rFonts w:cs="Arial"/>
        </w:rPr>
      </w:pPr>
      <w:r w:rsidRPr="001E2783">
        <w:rPr>
          <w:rFonts w:cs="Arial"/>
        </w:rPr>
        <w:t>In the reporting period, the ACMA undertook a range of research on developments in communications and media markets, which included th</w:t>
      </w:r>
      <w:r w:rsidR="00FF7294" w:rsidRPr="001E2783">
        <w:rPr>
          <w:rFonts w:cs="Arial"/>
        </w:rPr>
        <w:t>e c</w:t>
      </w:r>
      <w:r w:rsidR="007A6EDA" w:rsidRPr="001E2783">
        <w:rPr>
          <w:rFonts w:cs="Arial"/>
        </w:rPr>
        <w:t>ommunications r</w:t>
      </w:r>
      <w:r w:rsidR="00AA04D5" w:rsidRPr="001E2783">
        <w:rPr>
          <w:rFonts w:cs="Arial"/>
        </w:rPr>
        <w:t>eport series.</w:t>
      </w:r>
    </w:p>
    <w:p w14:paraId="4638DE61" w14:textId="77777777" w:rsidR="007E41F7" w:rsidRPr="001E2783" w:rsidRDefault="007E41F7" w:rsidP="007E41F7">
      <w:pPr>
        <w:rPr>
          <w:rFonts w:cs="Arial"/>
        </w:rPr>
      </w:pPr>
    </w:p>
    <w:p w14:paraId="0EB81585" w14:textId="77777777" w:rsidR="007E41F7" w:rsidRPr="001E2783" w:rsidRDefault="007E41F7" w:rsidP="00AA04D5">
      <w:pPr>
        <w:pStyle w:val="BodysubheaderH4"/>
        <w:rPr>
          <w:rFonts w:cs="Arial"/>
        </w:rPr>
      </w:pPr>
      <w:r w:rsidRPr="001E2783">
        <w:rPr>
          <w:rFonts w:cs="Arial"/>
        </w:rPr>
        <w:t>Communications report series</w:t>
      </w:r>
    </w:p>
    <w:p w14:paraId="471E4078" w14:textId="77777777" w:rsidR="007E41F7" w:rsidRPr="001E2783" w:rsidRDefault="007E41F7" w:rsidP="007E41F7">
      <w:pPr>
        <w:rPr>
          <w:rFonts w:cs="Arial"/>
        </w:rPr>
      </w:pPr>
      <w:r w:rsidRPr="001E2783">
        <w:rPr>
          <w:rFonts w:cs="Arial"/>
        </w:rPr>
        <w:t xml:space="preserve">The </w:t>
      </w:r>
      <w:r w:rsidRPr="001E2783">
        <w:rPr>
          <w:rFonts w:cs="Arial"/>
          <w:i/>
        </w:rPr>
        <w:t xml:space="preserve">Communications report 2012–13 </w:t>
      </w:r>
      <w:r w:rsidRPr="001E2783">
        <w:rPr>
          <w:rFonts w:cs="Arial"/>
        </w:rPr>
        <w:t>was tabled in p</w:t>
      </w:r>
      <w:r w:rsidR="00B820A2" w:rsidRPr="001E2783">
        <w:rPr>
          <w:rFonts w:cs="Arial"/>
        </w:rPr>
        <w:t>arliament on 11 </w:t>
      </w:r>
      <w:r w:rsidR="007A6EDA" w:rsidRPr="001E2783">
        <w:rPr>
          <w:rFonts w:cs="Arial"/>
        </w:rPr>
        <w:t xml:space="preserve">December 2013. </w:t>
      </w:r>
      <w:r w:rsidRPr="001E2783">
        <w:rPr>
          <w:rFonts w:cs="Arial"/>
        </w:rPr>
        <w:t xml:space="preserve">The report presented the latest intelligence, trend data and commentary on the Australian communications and media market in the context of convergence and the emerging digital economy. </w:t>
      </w:r>
    </w:p>
    <w:p w14:paraId="6E9C1B6D" w14:textId="77777777" w:rsidR="007E41F7" w:rsidRPr="001E2783" w:rsidRDefault="007E41F7" w:rsidP="007E41F7">
      <w:pPr>
        <w:rPr>
          <w:rFonts w:cs="Arial"/>
          <w:b/>
        </w:rPr>
      </w:pPr>
    </w:p>
    <w:p w14:paraId="75D50AA6" w14:textId="77777777" w:rsidR="007E41F7" w:rsidRPr="001E2783" w:rsidRDefault="007E41F7" w:rsidP="007E41F7">
      <w:pPr>
        <w:rPr>
          <w:rFonts w:cs="Arial"/>
        </w:rPr>
      </w:pPr>
      <w:r w:rsidRPr="001E2783">
        <w:rPr>
          <w:rFonts w:cs="Arial"/>
        </w:rPr>
        <w:t xml:space="preserve">On 18 December </w:t>
      </w:r>
      <w:r w:rsidR="00FF7294" w:rsidRPr="001E2783">
        <w:rPr>
          <w:rFonts w:cs="Arial"/>
        </w:rPr>
        <w:t>2013, the ACMA held its c</w:t>
      </w:r>
      <w:r w:rsidRPr="001E2783">
        <w:rPr>
          <w:rFonts w:cs="Arial"/>
        </w:rPr>
        <w:t>ommunications report ‘</w:t>
      </w:r>
      <w:r w:rsidR="007A6EDA" w:rsidRPr="001E2783">
        <w:rPr>
          <w:rFonts w:cs="Arial"/>
          <w:i/>
        </w:rPr>
        <w:t>Our digital l</w:t>
      </w:r>
      <w:r w:rsidRPr="001E2783">
        <w:rPr>
          <w:rFonts w:cs="Arial"/>
          <w:i/>
        </w:rPr>
        <w:t xml:space="preserve">ife’ </w:t>
      </w:r>
      <w:r w:rsidRPr="001E2783">
        <w:rPr>
          <w:rFonts w:cs="Arial"/>
        </w:rPr>
        <w:t xml:space="preserve">seminar with </w:t>
      </w:r>
      <w:r w:rsidR="007A6EDA" w:rsidRPr="001E2783">
        <w:rPr>
          <w:rFonts w:cs="Arial"/>
        </w:rPr>
        <w:t>about</w:t>
      </w:r>
      <w:r w:rsidRPr="001E2783">
        <w:rPr>
          <w:rFonts w:cs="Arial"/>
        </w:rPr>
        <w:t xml:space="preserve"> 60 stakeholders from across the communications sector, industry in general, government and academia participating either in person or via live webcast.</w:t>
      </w:r>
    </w:p>
    <w:p w14:paraId="56542ECE" w14:textId="77777777" w:rsidR="007E41F7" w:rsidRPr="001E2783" w:rsidRDefault="00FF7294" w:rsidP="007E41F7">
      <w:pPr>
        <w:spacing w:after="80"/>
        <w:rPr>
          <w:rFonts w:cs="Arial"/>
        </w:rPr>
      </w:pPr>
      <w:r w:rsidRPr="001E2783">
        <w:rPr>
          <w:rFonts w:cs="Arial"/>
        </w:rPr>
        <w:t>As part of the c</w:t>
      </w:r>
      <w:r w:rsidR="007E41F7" w:rsidRPr="001E2783">
        <w:rPr>
          <w:rFonts w:cs="Arial"/>
        </w:rPr>
        <w:t xml:space="preserve">ommunications report work program, the ACMA also released two reports </w:t>
      </w:r>
      <w:r w:rsidR="007A6EDA" w:rsidRPr="001E2783">
        <w:rPr>
          <w:rFonts w:cs="Arial"/>
        </w:rPr>
        <w:t>that</w:t>
      </w:r>
      <w:r w:rsidR="007E41F7" w:rsidRPr="001E2783">
        <w:rPr>
          <w:rFonts w:cs="Arial"/>
        </w:rPr>
        <w:t xml:space="preserve"> focused on the themes of convergence and the developing digital economy in more detail</w:t>
      </w:r>
      <w:r w:rsidR="007A6EDA" w:rsidRPr="001E2783">
        <w:rPr>
          <w:rFonts w:cs="Arial"/>
        </w:rPr>
        <w:t>:</w:t>
      </w:r>
    </w:p>
    <w:p w14:paraId="7694787D" w14:textId="77777777" w:rsidR="007E41F7" w:rsidRPr="001E2783" w:rsidRDefault="007E41F7" w:rsidP="007E41F7">
      <w:pPr>
        <w:pStyle w:val="ListBullet"/>
        <w:rPr>
          <w:rFonts w:cs="Arial"/>
          <w:i/>
        </w:rPr>
      </w:pPr>
      <w:r w:rsidRPr="001E2783">
        <w:rPr>
          <w:rFonts w:cs="Arial"/>
          <w:i/>
        </w:rPr>
        <w:t>Report 1</w:t>
      </w:r>
      <w:r w:rsidRPr="001E2783">
        <w:rPr>
          <w:rFonts w:cs="Arial"/>
        </w:rPr>
        <w:t>—</w:t>
      </w:r>
      <w:r w:rsidR="00E52852" w:rsidRPr="001E2783">
        <w:rPr>
          <w:rFonts w:cs="Arial"/>
          <w:i/>
        </w:rPr>
        <w:t>Australian</w:t>
      </w:r>
      <w:r w:rsidR="00E52852" w:rsidRPr="001E2783">
        <w:rPr>
          <w:rFonts w:cs="Arial"/>
        </w:rPr>
        <w:t xml:space="preserve"> </w:t>
      </w:r>
      <w:r w:rsidRPr="001E2783">
        <w:rPr>
          <w:rFonts w:cs="Arial"/>
          <w:i/>
        </w:rPr>
        <w:t xml:space="preserve">SMEs in the digital economy. </w:t>
      </w:r>
      <w:r w:rsidRPr="001E2783">
        <w:rPr>
          <w:rFonts w:cs="Arial"/>
        </w:rPr>
        <w:t>Rele</w:t>
      </w:r>
      <w:r w:rsidR="00B820A2" w:rsidRPr="001E2783">
        <w:rPr>
          <w:rFonts w:cs="Arial"/>
        </w:rPr>
        <w:t>ased on 22 </w:t>
      </w:r>
      <w:r w:rsidRPr="001E2783">
        <w:rPr>
          <w:rFonts w:cs="Arial"/>
        </w:rPr>
        <w:t>January 2014, this report examined SMEs</w:t>
      </w:r>
      <w:r w:rsidR="007A6EDA" w:rsidRPr="001E2783">
        <w:rPr>
          <w:rFonts w:cs="Arial"/>
        </w:rPr>
        <w:t>’</w:t>
      </w:r>
      <w:r w:rsidRPr="001E2783">
        <w:rPr>
          <w:rFonts w:cs="Arial"/>
        </w:rPr>
        <w:t xml:space="preserve"> engagement in the digital economy as both users and suppliers of online services, and how </w:t>
      </w:r>
      <w:r w:rsidR="007A6EDA" w:rsidRPr="001E2783">
        <w:rPr>
          <w:rFonts w:cs="Arial"/>
        </w:rPr>
        <w:t>they</w:t>
      </w:r>
      <w:r w:rsidRPr="001E2783">
        <w:rPr>
          <w:rFonts w:cs="Arial"/>
        </w:rPr>
        <w:t xml:space="preserve"> apply digital communications to their business processes. </w:t>
      </w:r>
    </w:p>
    <w:p w14:paraId="38DF4394" w14:textId="77777777" w:rsidR="007E41F7" w:rsidRPr="001E2783" w:rsidRDefault="007E41F7" w:rsidP="00AA04D5">
      <w:pPr>
        <w:pStyle w:val="ListBullet"/>
        <w:spacing w:after="240"/>
        <w:rPr>
          <w:rFonts w:cs="Arial"/>
          <w:szCs w:val="20"/>
        </w:rPr>
      </w:pPr>
      <w:r w:rsidRPr="001E2783">
        <w:rPr>
          <w:rFonts w:cs="Arial"/>
          <w:i/>
          <w:szCs w:val="20"/>
        </w:rPr>
        <w:t>Report 2—</w:t>
      </w:r>
      <w:r w:rsidRPr="001E2783">
        <w:rPr>
          <w:rFonts w:cs="Arial"/>
          <w:i/>
        </w:rPr>
        <w:t xml:space="preserve">Cloud computing in Australia. </w:t>
      </w:r>
      <w:r w:rsidRPr="001E2783">
        <w:rPr>
          <w:rFonts w:cs="Arial"/>
        </w:rPr>
        <w:t>Released on</w:t>
      </w:r>
      <w:r w:rsidR="00B820A2" w:rsidRPr="001E2783">
        <w:rPr>
          <w:rFonts w:cs="Arial"/>
        </w:rPr>
        <w:t xml:space="preserve"> 24 </w:t>
      </w:r>
      <w:r w:rsidRPr="001E2783">
        <w:rPr>
          <w:rFonts w:cs="Arial"/>
        </w:rPr>
        <w:t>M</w:t>
      </w:r>
      <w:r w:rsidR="007A6EDA" w:rsidRPr="001E2783">
        <w:rPr>
          <w:rFonts w:cs="Arial"/>
        </w:rPr>
        <w:t>arch 2014, this report examined</w:t>
      </w:r>
      <w:r w:rsidRPr="001E2783">
        <w:rPr>
          <w:rFonts w:cs="Arial"/>
        </w:rPr>
        <w:t xml:space="preserve"> developments in the supply and demand for cloud computing services</w:t>
      </w:r>
      <w:r w:rsidR="007A6EDA" w:rsidRPr="001E2783">
        <w:rPr>
          <w:rFonts w:cs="Arial"/>
        </w:rPr>
        <w:t>,</w:t>
      </w:r>
      <w:r w:rsidRPr="001E2783">
        <w:rPr>
          <w:rFonts w:cs="Arial"/>
        </w:rPr>
        <w:t xml:space="preserve"> including consumer awareness and understanding of these services, related concerns and factors likely to impact on the future of cloud computing services in Australia</w:t>
      </w:r>
      <w:r w:rsidRPr="001E2783">
        <w:rPr>
          <w:rFonts w:cs="Arial"/>
          <w:szCs w:val="20"/>
        </w:rPr>
        <w:t>.</w:t>
      </w:r>
    </w:p>
    <w:p w14:paraId="68305B75" w14:textId="77777777" w:rsidR="007E41F7" w:rsidRPr="001E2783" w:rsidRDefault="007E41F7" w:rsidP="007E41F7">
      <w:pPr>
        <w:rPr>
          <w:rFonts w:cs="Arial"/>
        </w:rPr>
      </w:pPr>
      <w:r w:rsidRPr="001E2783">
        <w:rPr>
          <w:rFonts w:cs="Arial"/>
        </w:rPr>
        <w:t>The series collectively received extensive coverage in social media and news forums</w:t>
      </w:r>
      <w:r w:rsidR="00BC6E51" w:rsidRPr="001E2783">
        <w:rPr>
          <w:rFonts w:cs="Arial"/>
        </w:rPr>
        <w:t>,</w:t>
      </w:r>
      <w:r w:rsidRPr="001E2783">
        <w:rPr>
          <w:rFonts w:cs="Arial"/>
        </w:rPr>
        <w:t xml:space="preserve"> with thousands of views of related YouTube videos and ACMA blogs</w:t>
      </w:r>
      <w:r w:rsidR="00BC6E51" w:rsidRPr="001E2783">
        <w:rPr>
          <w:rFonts w:cs="Arial"/>
        </w:rPr>
        <w:t>,</w:t>
      </w:r>
      <w:r w:rsidRPr="001E2783">
        <w:rPr>
          <w:rFonts w:cs="Arial"/>
        </w:rPr>
        <w:t xml:space="preserve"> and retweets with a potential following in the hundreds of thousands. The reports continue to provide a critical source of information for decis</w:t>
      </w:r>
      <w:r w:rsidR="00BF30ED" w:rsidRPr="001E2783">
        <w:rPr>
          <w:rFonts w:cs="Arial"/>
        </w:rPr>
        <w:t>ion</w:t>
      </w:r>
      <w:r w:rsidR="00BC6E51" w:rsidRPr="001E2783">
        <w:rPr>
          <w:rFonts w:cs="Arial"/>
        </w:rPr>
        <w:t>-</w:t>
      </w:r>
      <w:r w:rsidRPr="001E2783">
        <w:rPr>
          <w:rFonts w:cs="Arial"/>
        </w:rPr>
        <w:t>makers across government and industry.</w:t>
      </w:r>
    </w:p>
    <w:p w14:paraId="2231776A" w14:textId="77777777" w:rsidR="007E41F7" w:rsidRPr="001E2783" w:rsidRDefault="007E41F7" w:rsidP="009078D7">
      <w:pPr>
        <w:rPr>
          <w:rFonts w:cs="Arial"/>
        </w:rPr>
      </w:pPr>
    </w:p>
    <w:p w14:paraId="5EBEE42A" w14:textId="77777777" w:rsidR="007E41F7" w:rsidRPr="001E2783" w:rsidRDefault="007E41F7" w:rsidP="00AA04D5">
      <w:pPr>
        <w:pStyle w:val="BodysubheaderH4"/>
        <w:rPr>
          <w:rFonts w:cs="Arial"/>
        </w:rPr>
      </w:pPr>
      <w:r w:rsidRPr="001E2783">
        <w:rPr>
          <w:rFonts w:cs="Arial"/>
        </w:rPr>
        <w:t>research</w:t>
      </w:r>
      <w:r w:rsidR="008E5B00" w:rsidRPr="001E2783">
        <w:rPr>
          <w:rFonts w:cs="Arial"/>
          <w:b w:val="0"/>
        </w:rPr>
        <w:t>acma</w:t>
      </w:r>
      <w:r w:rsidRPr="001E2783">
        <w:rPr>
          <w:rFonts w:cs="Arial"/>
        </w:rPr>
        <w:t xml:space="preserve"> snapshot series</w:t>
      </w:r>
    </w:p>
    <w:p w14:paraId="5C44041C" w14:textId="150F28FB" w:rsidR="0098666C" w:rsidRPr="001E2783" w:rsidRDefault="0098666C" w:rsidP="0098666C">
      <w:pPr>
        <w:rPr>
          <w:rFonts w:cs="Arial"/>
        </w:rPr>
      </w:pPr>
      <w:r w:rsidRPr="001E2783">
        <w:rPr>
          <w:rFonts w:cs="Arial"/>
          <w:szCs w:val="20"/>
        </w:rPr>
        <w:t>In July 2013, the</w:t>
      </w:r>
      <w:r w:rsidRPr="001E2783">
        <w:rPr>
          <w:rFonts w:cs="Arial"/>
        </w:rPr>
        <w:t xml:space="preserve"> ACMA introduced</w:t>
      </w:r>
      <w:r w:rsidR="00BC6E51" w:rsidRPr="001E2783">
        <w:rPr>
          <w:rFonts w:cs="Arial"/>
        </w:rPr>
        <w:t xml:space="preserve"> a series of research snapshots—</w:t>
      </w:r>
      <w:r w:rsidRPr="001E2783">
        <w:rPr>
          <w:rFonts w:cs="Arial"/>
        </w:rPr>
        <w:t>short, fit-for-purpose research pieces on topics of relevance to the ACMA and its broad stakeholder base. For an overview of snapshots released to date and related key findings</w:t>
      </w:r>
      <w:r w:rsidR="00BC6E51" w:rsidRPr="001E2783">
        <w:rPr>
          <w:rFonts w:cs="Arial"/>
        </w:rPr>
        <w:t>,</w:t>
      </w:r>
      <w:r w:rsidRPr="001E2783">
        <w:rPr>
          <w:rFonts w:cs="Arial"/>
        </w:rPr>
        <w:t xml:space="preserve"> see the </w:t>
      </w:r>
      <w:r w:rsidR="008E5B00" w:rsidRPr="001E2783">
        <w:rPr>
          <w:rFonts w:cs="Arial"/>
          <w:i/>
        </w:rPr>
        <w:t>r</w:t>
      </w:r>
      <w:r w:rsidR="00BC6E51" w:rsidRPr="001E2783">
        <w:rPr>
          <w:rFonts w:cs="Arial"/>
          <w:i/>
        </w:rPr>
        <w:t>esearch</w:t>
      </w:r>
      <w:r w:rsidR="008E5B00" w:rsidRPr="001E2783">
        <w:rPr>
          <w:rFonts w:cs="Arial"/>
          <w:b/>
          <w:i/>
        </w:rPr>
        <w:t>acma</w:t>
      </w:r>
      <w:r w:rsidR="00BC6E51" w:rsidRPr="001E2783">
        <w:rPr>
          <w:rFonts w:cs="Arial"/>
          <w:i/>
        </w:rPr>
        <w:t xml:space="preserve"> </w:t>
      </w:r>
      <w:r w:rsidRPr="001E2783">
        <w:rPr>
          <w:rFonts w:cs="Arial"/>
          <w:i/>
        </w:rPr>
        <w:t xml:space="preserve">snapshot </w:t>
      </w:r>
      <w:r w:rsidR="00BC6E51" w:rsidRPr="001E2783">
        <w:rPr>
          <w:rFonts w:cs="Arial"/>
          <w:i/>
        </w:rPr>
        <w:t>series</w:t>
      </w:r>
      <w:r w:rsidR="00BC6E51" w:rsidRPr="001E2783">
        <w:rPr>
          <w:rFonts w:cs="Arial"/>
        </w:rPr>
        <w:t xml:space="preserve"> </w:t>
      </w:r>
      <w:r w:rsidRPr="001E2783">
        <w:rPr>
          <w:rFonts w:cs="Arial"/>
        </w:rPr>
        <w:t>case study.</w:t>
      </w:r>
    </w:p>
    <w:p w14:paraId="385E92BE" w14:textId="77777777" w:rsidR="00441547" w:rsidRPr="001E2783" w:rsidRDefault="00441547" w:rsidP="0098666C">
      <w:pPr>
        <w:rPr>
          <w:rFonts w:cs="Arial"/>
        </w:rPr>
      </w:pPr>
    </w:p>
    <w:p w14:paraId="1F30646F" w14:textId="77777777" w:rsidR="00441547" w:rsidRPr="001E2783" w:rsidRDefault="00441547" w:rsidP="00BC6E51">
      <w:pPr>
        <w:pStyle w:val="BodysubheaderH4"/>
        <w:rPr>
          <w:rFonts w:cs="Arial"/>
        </w:rPr>
      </w:pPr>
      <w:r w:rsidRPr="001E2783">
        <w:rPr>
          <w:rFonts w:cs="Arial"/>
        </w:rPr>
        <w:t>Spectrum research program</w:t>
      </w:r>
    </w:p>
    <w:p w14:paraId="1E89AEE6" w14:textId="77777777" w:rsidR="00441547" w:rsidRPr="001E2783" w:rsidRDefault="00441547" w:rsidP="00441547">
      <w:pPr>
        <w:spacing w:after="80"/>
        <w:rPr>
          <w:rFonts w:cs="Arial"/>
        </w:rPr>
      </w:pPr>
      <w:r w:rsidRPr="001E2783">
        <w:rPr>
          <w:rFonts w:cs="Arial"/>
        </w:rPr>
        <w:t>In 2012–13, the ACMA commissioned two key spectrum research projects to better understand the mobile communications market and demand for wireless access services:</w:t>
      </w:r>
    </w:p>
    <w:p w14:paraId="2307665A" w14:textId="77777777" w:rsidR="00441547" w:rsidRPr="001E2783" w:rsidRDefault="00BF30ED" w:rsidP="00441547">
      <w:pPr>
        <w:pStyle w:val="ListBullet"/>
        <w:rPr>
          <w:rFonts w:cs="Arial"/>
        </w:rPr>
      </w:pPr>
      <w:r w:rsidRPr="001E2783">
        <w:rPr>
          <w:rFonts w:cs="Arial"/>
          <w:i/>
        </w:rPr>
        <w:t>The e</w:t>
      </w:r>
      <w:r w:rsidR="00441547" w:rsidRPr="001E2783">
        <w:rPr>
          <w:rFonts w:cs="Arial"/>
          <w:i/>
        </w:rPr>
        <w:t>conomic impacts of mobile broadband on the Australian economy, from 2006 to 2013</w:t>
      </w:r>
      <w:r w:rsidR="009E48BE" w:rsidRPr="001E2783">
        <w:rPr>
          <w:rFonts w:cs="Arial"/>
        </w:rPr>
        <w:t>, published on</w:t>
      </w:r>
      <w:r w:rsidR="009E48BE" w:rsidRPr="001E2783">
        <w:rPr>
          <w:rFonts w:cs="Arial"/>
          <w:i/>
        </w:rPr>
        <w:t xml:space="preserve"> </w:t>
      </w:r>
      <w:r w:rsidR="00B820A2" w:rsidRPr="001E2783">
        <w:rPr>
          <w:rFonts w:cs="Arial"/>
        </w:rPr>
        <w:t>3 </w:t>
      </w:r>
      <w:r w:rsidR="009E48BE" w:rsidRPr="001E2783">
        <w:rPr>
          <w:rFonts w:cs="Arial"/>
        </w:rPr>
        <w:t>April 2014</w:t>
      </w:r>
    </w:p>
    <w:p w14:paraId="6DEE5865" w14:textId="77777777" w:rsidR="00441547" w:rsidRPr="001E2783" w:rsidRDefault="00BF30ED" w:rsidP="00441547">
      <w:pPr>
        <w:pStyle w:val="ListBullet"/>
        <w:spacing w:after="240"/>
        <w:rPr>
          <w:rFonts w:cs="Arial"/>
        </w:rPr>
      </w:pPr>
      <w:r w:rsidRPr="001E2783">
        <w:rPr>
          <w:rFonts w:cs="Arial"/>
        </w:rPr>
        <w:t xml:space="preserve">a </w:t>
      </w:r>
      <w:r w:rsidR="006902E6" w:rsidRPr="001E2783">
        <w:rPr>
          <w:rFonts w:cs="Arial"/>
        </w:rPr>
        <w:t>m</w:t>
      </w:r>
      <w:r w:rsidR="00441547" w:rsidRPr="001E2783">
        <w:rPr>
          <w:rFonts w:cs="Arial"/>
        </w:rPr>
        <w:t xml:space="preserve">obile </w:t>
      </w:r>
      <w:r w:rsidR="006902E6" w:rsidRPr="001E2783">
        <w:rPr>
          <w:rFonts w:cs="Arial"/>
        </w:rPr>
        <w:t>n</w:t>
      </w:r>
      <w:r w:rsidR="00441547" w:rsidRPr="001E2783">
        <w:rPr>
          <w:rFonts w:cs="Arial"/>
        </w:rPr>
        <w:t xml:space="preserve">etwork </w:t>
      </w:r>
      <w:r w:rsidR="006902E6" w:rsidRPr="001E2783">
        <w:rPr>
          <w:rFonts w:cs="Arial"/>
        </w:rPr>
        <w:t>c</w:t>
      </w:r>
      <w:r w:rsidR="00441547" w:rsidRPr="001E2783">
        <w:rPr>
          <w:rFonts w:cs="Arial"/>
        </w:rPr>
        <w:t xml:space="preserve">apacity </w:t>
      </w:r>
      <w:r w:rsidR="006902E6" w:rsidRPr="001E2783">
        <w:rPr>
          <w:rFonts w:cs="Arial"/>
        </w:rPr>
        <w:t>f</w:t>
      </w:r>
      <w:r w:rsidR="00441547" w:rsidRPr="001E2783">
        <w:rPr>
          <w:rFonts w:cs="Arial"/>
        </w:rPr>
        <w:t xml:space="preserve">orecasting </w:t>
      </w:r>
      <w:r w:rsidR="006902E6" w:rsidRPr="001E2783">
        <w:rPr>
          <w:rFonts w:cs="Arial"/>
        </w:rPr>
        <w:t>m</w:t>
      </w:r>
      <w:r w:rsidR="00441547" w:rsidRPr="001E2783">
        <w:rPr>
          <w:rFonts w:cs="Arial"/>
        </w:rPr>
        <w:t>odel</w:t>
      </w:r>
      <w:r w:rsidR="009E48BE" w:rsidRPr="001E2783">
        <w:rPr>
          <w:rFonts w:cs="Arial"/>
        </w:rPr>
        <w:t>, released for public consultation in May 2014</w:t>
      </w:r>
      <w:r w:rsidR="00441547" w:rsidRPr="001E2783">
        <w:rPr>
          <w:rFonts w:cs="Arial"/>
        </w:rPr>
        <w:t>.</w:t>
      </w:r>
    </w:p>
    <w:p w14:paraId="6BC20264" w14:textId="77777777" w:rsidR="00441547" w:rsidRPr="001E2783" w:rsidRDefault="00441547" w:rsidP="00441547">
      <w:pPr>
        <w:spacing w:after="80"/>
        <w:rPr>
          <w:rFonts w:cs="Arial"/>
        </w:rPr>
      </w:pPr>
      <w:r w:rsidRPr="001E2783">
        <w:rPr>
          <w:rFonts w:cs="Arial"/>
          <w:i/>
        </w:rPr>
        <w:t>The</w:t>
      </w:r>
      <w:r w:rsidRPr="001E2783">
        <w:rPr>
          <w:rFonts w:cs="Arial"/>
        </w:rPr>
        <w:t xml:space="preserve"> </w:t>
      </w:r>
      <w:r w:rsidR="00BF30ED" w:rsidRPr="001E2783">
        <w:rPr>
          <w:rFonts w:cs="Arial"/>
          <w:i/>
        </w:rPr>
        <w:t>e</w:t>
      </w:r>
      <w:r w:rsidR="009E48BE" w:rsidRPr="001E2783">
        <w:rPr>
          <w:rFonts w:cs="Arial"/>
          <w:i/>
        </w:rPr>
        <w:t>conomic impacts of m</w:t>
      </w:r>
      <w:r w:rsidRPr="001E2783">
        <w:rPr>
          <w:rFonts w:cs="Arial"/>
          <w:i/>
        </w:rPr>
        <w:t>obile broadband</w:t>
      </w:r>
      <w:r w:rsidRPr="001E2783">
        <w:rPr>
          <w:rFonts w:cs="Arial"/>
        </w:rPr>
        <w:t xml:space="preserve"> report articulates the value </w:t>
      </w:r>
      <w:r w:rsidR="009E48BE" w:rsidRPr="001E2783">
        <w:rPr>
          <w:rFonts w:cs="Arial"/>
        </w:rPr>
        <w:t>of the</w:t>
      </w:r>
      <w:r w:rsidRPr="001E2783">
        <w:rPr>
          <w:rFonts w:cs="Arial"/>
        </w:rPr>
        <w:t xml:space="preserve"> growth of mobile broadband </w:t>
      </w:r>
      <w:r w:rsidR="009E48BE" w:rsidRPr="001E2783">
        <w:rPr>
          <w:rFonts w:cs="Arial"/>
        </w:rPr>
        <w:t>to</w:t>
      </w:r>
      <w:r w:rsidRPr="001E2783">
        <w:rPr>
          <w:rFonts w:cs="Arial"/>
        </w:rPr>
        <w:t xml:space="preserve"> businesses and the overall Australian economy between 2006 and 2013. </w:t>
      </w:r>
      <w:r w:rsidR="009E48BE" w:rsidRPr="001E2783">
        <w:rPr>
          <w:rFonts w:cs="Arial"/>
        </w:rPr>
        <w:t xml:space="preserve">It </w:t>
      </w:r>
      <w:r w:rsidRPr="001E2783">
        <w:rPr>
          <w:rFonts w:cs="Arial"/>
        </w:rPr>
        <w:t>found:</w:t>
      </w:r>
    </w:p>
    <w:p w14:paraId="0CE29F28" w14:textId="77777777" w:rsidR="00441547" w:rsidRPr="001E2783" w:rsidRDefault="00441547" w:rsidP="00441547">
      <w:pPr>
        <w:pStyle w:val="ListBullet"/>
        <w:rPr>
          <w:rFonts w:cs="Arial"/>
        </w:rPr>
      </w:pPr>
      <w:r w:rsidRPr="001E2783">
        <w:rPr>
          <w:rFonts w:cs="Arial"/>
        </w:rPr>
        <w:t>mobile broadband increased the growth rate of</w:t>
      </w:r>
      <w:r w:rsidR="00B820A2" w:rsidRPr="001E2783">
        <w:rPr>
          <w:rFonts w:cs="Arial"/>
        </w:rPr>
        <w:t xml:space="preserve"> the Australian economy by 0.28 </w:t>
      </w:r>
      <w:r w:rsidRPr="001E2783">
        <w:rPr>
          <w:rFonts w:cs="Arial"/>
        </w:rPr>
        <w:t>per cent each year from 2007 to 2013</w:t>
      </w:r>
    </w:p>
    <w:p w14:paraId="6D007980" w14:textId="77777777" w:rsidR="00441547" w:rsidRPr="001E2783" w:rsidRDefault="00441547" w:rsidP="00441547">
      <w:pPr>
        <w:pStyle w:val="ListBullet"/>
        <w:rPr>
          <w:rFonts w:cs="Arial"/>
        </w:rPr>
      </w:pPr>
      <w:r w:rsidRPr="001E2783">
        <w:rPr>
          <w:rFonts w:cs="Arial"/>
        </w:rPr>
        <w:t>in 2013, mobile broadband led to an estimated increase in Austral</w:t>
      </w:r>
      <w:r w:rsidR="00B820A2" w:rsidRPr="001E2783">
        <w:rPr>
          <w:rFonts w:cs="Arial"/>
        </w:rPr>
        <w:t>ia’s economic activity of $33.8 </w:t>
      </w:r>
      <w:r w:rsidRPr="001E2783">
        <w:rPr>
          <w:rFonts w:cs="Arial"/>
        </w:rPr>
        <w:t>billion</w:t>
      </w:r>
    </w:p>
    <w:p w14:paraId="464217A4" w14:textId="77777777" w:rsidR="00441547" w:rsidRPr="001E2783" w:rsidRDefault="00441547" w:rsidP="00441547">
      <w:pPr>
        <w:pStyle w:val="ListBullet"/>
        <w:spacing w:after="240"/>
        <w:rPr>
          <w:rFonts w:cs="Arial"/>
        </w:rPr>
      </w:pPr>
      <w:r w:rsidRPr="001E2783">
        <w:rPr>
          <w:rFonts w:cs="Arial"/>
        </w:rPr>
        <w:t>productivity of the mobile sector increa</w:t>
      </w:r>
      <w:r w:rsidR="00B820A2" w:rsidRPr="001E2783">
        <w:rPr>
          <w:rFonts w:cs="Arial"/>
        </w:rPr>
        <w:t>sed by 11.3 </w:t>
      </w:r>
      <w:r w:rsidRPr="001E2783">
        <w:rPr>
          <w:rFonts w:cs="Arial"/>
        </w:rPr>
        <w:t xml:space="preserve">per cent per year from 2006 to 2013. </w:t>
      </w:r>
    </w:p>
    <w:p w14:paraId="7091B708" w14:textId="77777777" w:rsidR="00441547" w:rsidRPr="001E2783" w:rsidRDefault="009E48BE" w:rsidP="00441547">
      <w:pPr>
        <w:rPr>
          <w:rFonts w:cs="Arial"/>
        </w:rPr>
      </w:pPr>
      <w:r w:rsidRPr="001E2783">
        <w:rPr>
          <w:rFonts w:cs="Arial"/>
        </w:rPr>
        <w:t>The m</w:t>
      </w:r>
      <w:r w:rsidR="00441547" w:rsidRPr="001E2783">
        <w:rPr>
          <w:rFonts w:cs="Arial"/>
        </w:rPr>
        <w:t xml:space="preserve">obile network model project forecasts future mobile network capacity requirements, which will be a key input into the ACMA’s mobile broadband strategy. </w:t>
      </w:r>
    </w:p>
    <w:p w14:paraId="2127A08C" w14:textId="77777777" w:rsidR="00441547" w:rsidRPr="001E2783" w:rsidRDefault="00441547" w:rsidP="00441547">
      <w:pPr>
        <w:rPr>
          <w:rFonts w:cs="Arial"/>
        </w:rPr>
      </w:pPr>
    </w:p>
    <w:p w14:paraId="0846F168" w14:textId="77777777" w:rsidR="00441547" w:rsidRPr="001E2783" w:rsidRDefault="00441547" w:rsidP="00441547">
      <w:pPr>
        <w:rPr>
          <w:rFonts w:cs="Arial"/>
        </w:rPr>
      </w:pPr>
      <w:r w:rsidRPr="001E2783">
        <w:rPr>
          <w:rFonts w:cs="Arial"/>
        </w:rPr>
        <w:t xml:space="preserve">These projects, when </w:t>
      </w:r>
      <w:r w:rsidR="006B3233" w:rsidRPr="001E2783">
        <w:rPr>
          <w:rFonts w:cs="Arial"/>
        </w:rPr>
        <w:t>considered</w:t>
      </w:r>
      <w:r w:rsidRPr="001E2783">
        <w:rPr>
          <w:rFonts w:cs="Arial"/>
        </w:rPr>
        <w:t xml:space="preserve"> in conjunction with ongoing spectrum planning activities, </w:t>
      </w:r>
      <w:r w:rsidR="009E48BE" w:rsidRPr="001E2783">
        <w:rPr>
          <w:rFonts w:cs="Arial"/>
        </w:rPr>
        <w:t>give</w:t>
      </w:r>
      <w:r w:rsidRPr="001E2783">
        <w:rPr>
          <w:rFonts w:cs="Arial"/>
        </w:rPr>
        <w:t xml:space="preserve"> the ACMA a greater understanding of current and emerging needs for spectrum, and how </w:t>
      </w:r>
      <w:r w:rsidR="009E48BE" w:rsidRPr="001E2783">
        <w:rPr>
          <w:rFonts w:cs="Arial"/>
        </w:rPr>
        <w:t>it</w:t>
      </w:r>
      <w:r w:rsidRPr="001E2783">
        <w:rPr>
          <w:rFonts w:cs="Arial"/>
        </w:rPr>
        <w:t xml:space="preserve"> can facilitate spectrum use to maximise public benefit. </w:t>
      </w:r>
    </w:p>
    <w:p w14:paraId="24A7CE64" w14:textId="77777777" w:rsidR="007E41F7" w:rsidRPr="001E2783" w:rsidRDefault="007E41F7" w:rsidP="00AA04D5">
      <w:pPr>
        <w:rPr>
          <w:rFonts w:cs="Arial"/>
        </w:rPr>
      </w:pPr>
    </w:p>
    <w:p w14:paraId="54A5A13A" w14:textId="77777777" w:rsidR="007E41F7" w:rsidRPr="001E2783" w:rsidRDefault="007E41F7" w:rsidP="00AA04D5">
      <w:pPr>
        <w:pStyle w:val="Heading3"/>
      </w:pPr>
      <w:bookmarkStart w:id="263" w:name="_Toc400018608"/>
      <w:r w:rsidRPr="001E2783">
        <w:t>Media content and culture</w:t>
      </w:r>
      <w:bookmarkEnd w:id="263"/>
    </w:p>
    <w:p w14:paraId="7127122C" w14:textId="77777777" w:rsidR="007E41F7" w:rsidRPr="001E2783" w:rsidRDefault="007E41F7" w:rsidP="007E41F7">
      <w:pPr>
        <w:rPr>
          <w:rFonts w:cs="Arial"/>
        </w:rPr>
      </w:pPr>
      <w:r w:rsidRPr="001E2783">
        <w:rPr>
          <w:rFonts w:cs="Arial"/>
        </w:rPr>
        <w:t xml:space="preserve">During the </w:t>
      </w:r>
      <w:r w:rsidR="009E48BE" w:rsidRPr="001E2783">
        <w:rPr>
          <w:rFonts w:cs="Arial"/>
        </w:rPr>
        <w:t>reporting period</w:t>
      </w:r>
      <w:r w:rsidRPr="001E2783">
        <w:rPr>
          <w:rFonts w:cs="Arial"/>
        </w:rPr>
        <w:t xml:space="preserve">, the ACMA undertook research </w:t>
      </w:r>
      <w:r w:rsidR="009E48BE" w:rsidRPr="001E2783">
        <w:rPr>
          <w:rFonts w:cs="Arial"/>
        </w:rPr>
        <w:t>to help inform its</w:t>
      </w:r>
      <w:r w:rsidRPr="001E2783">
        <w:rPr>
          <w:rFonts w:cs="Arial"/>
        </w:rPr>
        <w:t xml:space="preserve"> obligations to reflect community standards in the delivery of media and communications services.</w:t>
      </w:r>
    </w:p>
    <w:p w14:paraId="75D672E8" w14:textId="77777777" w:rsidR="007E41F7" w:rsidRPr="001E2783" w:rsidRDefault="007E41F7" w:rsidP="007E41F7">
      <w:pPr>
        <w:pStyle w:val="BodysubheaderH4"/>
        <w:spacing w:line="276" w:lineRule="auto"/>
        <w:rPr>
          <w:rFonts w:cs="Arial"/>
        </w:rPr>
      </w:pPr>
      <w:r w:rsidRPr="001E2783">
        <w:rPr>
          <w:rFonts w:cs="Arial"/>
        </w:rPr>
        <w:t>Community attitudes to gambling advertising in sports broadcasts</w:t>
      </w:r>
    </w:p>
    <w:p w14:paraId="3F0336CE" w14:textId="5EEA23AF" w:rsidR="007E41F7" w:rsidRPr="001E2783" w:rsidRDefault="007E41F7" w:rsidP="007E41F7">
      <w:pPr>
        <w:rPr>
          <w:rFonts w:cs="Arial"/>
          <w:szCs w:val="20"/>
        </w:rPr>
      </w:pPr>
      <w:r w:rsidRPr="001E2783">
        <w:rPr>
          <w:rFonts w:cs="Arial"/>
          <w:szCs w:val="20"/>
        </w:rPr>
        <w:t>In May 2013</w:t>
      </w:r>
      <w:r w:rsidR="009E48BE" w:rsidRPr="001E2783">
        <w:rPr>
          <w:rFonts w:cs="Arial"/>
          <w:szCs w:val="20"/>
        </w:rPr>
        <w:t>,</w:t>
      </w:r>
      <w:r w:rsidRPr="001E2783">
        <w:rPr>
          <w:rFonts w:cs="Arial"/>
          <w:szCs w:val="20"/>
        </w:rPr>
        <w:t xml:space="preserve"> the ACMA commissioned research to identify community attitudes to gambling advertising during sports broadcasts. Findings helped the Authority to register </w:t>
      </w:r>
      <w:r w:rsidR="008951B6" w:rsidRPr="001E2783">
        <w:rPr>
          <w:rFonts w:cs="Arial"/>
          <w:szCs w:val="20"/>
        </w:rPr>
        <w:t>five</w:t>
      </w:r>
      <w:r w:rsidRPr="001E2783">
        <w:rPr>
          <w:rFonts w:cs="Arial"/>
          <w:szCs w:val="20"/>
        </w:rPr>
        <w:t xml:space="preserve"> industry codes of practice covering the promotion of betting odds during live sports broadcasts. The research report was published in July 2013. </w:t>
      </w:r>
    </w:p>
    <w:p w14:paraId="795A4570" w14:textId="77777777" w:rsidR="007E41F7" w:rsidRPr="001E2783" w:rsidRDefault="007E41F7" w:rsidP="007E41F7">
      <w:pPr>
        <w:rPr>
          <w:rFonts w:cs="Arial"/>
          <w:szCs w:val="20"/>
        </w:rPr>
      </w:pPr>
    </w:p>
    <w:p w14:paraId="1726DA44" w14:textId="77777777" w:rsidR="007E41F7" w:rsidRPr="001E2783" w:rsidRDefault="007E41F7" w:rsidP="007E41F7">
      <w:pPr>
        <w:pStyle w:val="BodysubheaderH4"/>
        <w:spacing w:line="276" w:lineRule="auto"/>
        <w:rPr>
          <w:rFonts w:cs="Arial"/>
        </w:rPr>
      </w:pPr>
      <w:r w:rsidRPr="001E2783">
        <w:rPr>
          <w:rFonts w:cs="Arial"/>
        </w:rPr>
        <w:t>Community attitudes to local content in regional areas</w:t>
      </w:r>
    </w:p>
    <w:p w14:paraId="489030DA" w14:textId="77777777" w:rsidR="007E41F7" w:rsidRPr="001E2783" w:rsidRDefault="007E41F7" w:rsidP="007E41F7">
      <w:pPr>
        <w:rPr>
          <w:rFonts w:cs="Arial"/>
        </w:rPr>
      </w:pPr>
      <w:r w:rsidRPr="001E2783">
        <w:rPr>
          <w:rFonts w:cs="Arial"/>
        </w:rPr>
        <w:t>In May 2013</w:t>
      </w:r>
      <w:r w:rsidR="009E48BE" w:rsidRPr="001E2783">
        <w:rPr>
          <w:rFonts w:cs="Arial"/>
        </w:rPr>
        <w:t>,</w:t>
      </w:r>
      <w:r w:rsidRPr="001E2783">
        <w:rPr>
          <w:rFonts w:cs="Arial"/>
        </w:rPr>
        <w:t xml:space="preserve"> the ACMA commissioned research on regional Australians’ media preferences and attitudes to local content. The research was included in the ACMA’s </w:t>
      </w:r>
      <w:r w:rsidRPr="001E2783">
        <w:rPr>
          <w:rFonts w:cs="Arial"/>
          <w:i/>
        </w:rPr>
        <w:t>Regional</w:t>
      </w:r>
      <w:r w:rsidR="009E48BE" w:rsidRPr="001E2783">
        <w:rPr>
          <w:rFonts w:cs="Arial"/>
          <w:i/>
        </w:rPr>
        <w:t xml:space="preserve"> c</w:t>
      </w:r>
      <w:r w:rsidRPr="001E2783">
        <w:rPr>
          <w:rFonts w:cs="Arial"/>
          <w:i/>
        </w:rPr>
        <w:t xml:space="preserve">ommercial </w:t>
      </w:r>
      <w:r w:rsidR="009E48BE" w:rsidRPr="001E2783">
        <w:rPr>
          <w:rFonts w:cs="Arial"/>
          <w:i/>
        </w:rPr>
        <w:t>t</w:t>
      </w:r>
      <w:r w:rsidRPr="001E2783">
        <w:rPr>
          <w:rFonts w:cs="Arial"/>
          <w:i/>
        </w:rPr>
        <w:t xml:space="preserve">elevision </w:t>
      </w:r>
      <w:r w:rsidR="009E48BE" w:rsidRPr="001E2783">
        <w:rPr>
          <w:rFonts w:cs="Arial"/>
          <w:i/>
        </w:rPr>
        <w:t>l</w:t>
      </w:r>
      <w:r w:rsidRPr="001E2783">
        <w:rPr>
          <w:rFonts w:cs="Arial"/>
          <w:i/>
        </w:rPr>
        <w:t xml:space="preserve">ocal </w:t>
      </w:r>
      <w:r w:rsidR="009E48BE" w:rsidRPr="001E2783">
        <w:rPr>
          <w:rFonts w:cs="Arial"/>
          <w:i/>
        </w:rPr>
        <w:t>content i</w:t>
      </w:r>
      <w:r w:rsidRPr="001E2783">
        <w:rPr>
          <w:rFonts w:cs="Arial"/>
          <w:i/>
        </w:rPr>
        <w:t>nvestigation</w:t>
      </w:r>
      <w:r w:rsidRPr="001E2783">
        <w:rPr>
          <w:rFonts w:cs="Arial"/>
        </w:rPr>
        <w:t xml:space="preserve"> report, which was released by the </w:t>
      </w:r>
      <w:r w:rsidR="004133F6" w:rsidRPr="001E2783">
        <w:rPr>
          <w:rFonts w:cs="Arial"/>
        </w:rPr>
        <w:t>m</w:t>
      </w:r>
      <w:r w:rsidR="00B820A2" w:rsidRPr="001E2783">
        <w:rPr>
          <w:rFonts w:cs="Arial"/>
        </w:rPr>
        <w:t>inister on 13 </w:t>
      </w:r>
      <w:r w:rsidRPr="001E2783">
        <w:rPr>
          <w:rFonts w:cs="Arial"/>
        </w:rPr>
        <w:t>March 2014.</w:t>
      </w:r>
    </w:p>
    <w:p w14:paraId="5EAF0657" w14:textId="77777777" w:rsidR="007E41F7" w:rsidRPr="001E2783" w:rsidRDefault="007E41F7" w:rsidP="007E41F7">
      <w:pPr>
        <w:rPr>
          <w:rFonts w:cs="Arial"/>
        </w:rPr>
      </w:pPr>
    </w:p>
    <w:p w14:paraId="7B932E10" w14:textId="77777777" w:rsidR="007E41F7" w:rsidRPr="001E2783" w:rsidRDefault="007E41F7" w:rsidP="00AA04D5">
      <w:pPr>
        <w:pStyle w:val="BodysubheaderH4"/>
        <w:rPr>
          <w:rFonts w:cs="Arial"/>
        </w:rPr>
      </w:pPr>
      <w:r w:rsidRPr="001E2783">
        <w:rPr>
          <w:rFonts w:cs="Arial"/>
        </w:rPr>
        <w:t>Regio</w:t>
      </w:r>
      <w:r w:rsidR="004133F6" w:rsidRPr="001E2783">
        <w:rPr>
          <w:rFonts w:cs="Arial"/>
        </w:rPr>
        <w:t>nal Australian television news</w:t>
      </w:r>
    </w:p>
    <w:p w14:paraId="585B22AF" w14:textId="77777777" w:rsidR="007E41F7" w:rsidRPr="001E2783" w:rsidRDefault="007E41F7" w:rsidP="007E41F7">
      <w:pPr>
        <w:rPr>
          <w:rFonts w:cs="Arial"/>
        </w:rPr>
      </w:pPr>
      <w:r w:rsidRPr="001E2783">
        <w:rPr>
          <w:rFonts w:cs="Arial"/>
        </w:rPr>
        <w:t>Research analysing regional television audience ratings for evening news services between 2003 and 2013 was also released as part of th</w:t>
      </w:r>
      <w:r w:rsidR="004133F6" w:rsidRPr="001E2783">
        <w:rPr>
          <w:rFonts w:cs="Arial"/>
        </w:rPr>
        <w:t xml:space="preserve">e </w:t>
      </w:r>
      <w:r w:rsidR="004133F6" w:rsidRPr="001E2783">
        <w:rPr>
          <w:rFonts w:cs="Arial"/>
          <w:i/>
        </w:rPr>
        <w:t>Regional commercial t</w:t>
      </w:r>
      <w:r w:rsidRPr="001E2783">
        <w:rPr>
          <w:rFonts w:cs="Arial"/>
          <w:i/>
        </w:rPr>
        <w:t xml:space="preserve">elevision </w:t>
      </w:r>
      <w:r w:rsidR="004133F6" w:rsidRPr="001E2783">
        <w:rPr>
          <w:rFonts w:cs="Arial"/>
          <w:i/>
        </w:rPr>
        <w:t>l</w:t>
      </w:r>
      <w:r w:rsidRPr="001E2783">
        <w:rPr>
          <w:rFonts w:cs="Arial"/>
          <w:i/>
        </w:rPr>
        <w:t xml:space="preserve">ocal </w:t>
      </w:r>
      <w:r w:rsidR="004133F6" w:rsidRPr="001E2783">
        <w:rPr>
          <w:rFonts w:cs="Arial"/>
          <w:i/>
        </w:rPr>
        <w:t>c</w:t>
      </w:r>
      <w:r w:rsidRPr="001E2783">
        <w:rPr>
          <w:rFonts w:cs="Arial"/>
          <w:i/>
        </w:rPr>
        <w:t xml:space="preserve">ontent </w:t>
      </w:r>
      <w:r w:rsidR="004133F6" w:rsidRPr="001E2783">
        <w:rPr>
          <w:rFonts w:cs="Arial"/>
          <w:i/>
        </w:rPr>
        <w:t>i</w:t>
      </w:r>
      <w:r w:rsidRPr="001E2783">
        <w:rPr>
          <w:rFonts w:cs="Arial"/>
          <w:i/>
        </w:rPr>
        <w:t>nvestigation</w:t>
      </w:r>
      <w:r w:rsidRPr="001E2783">
        <w:rPr>
          <w:rFonts w:cs="Arial"/>
        </w:rPr>
        <w:t xml:space="preserve"> report.</w:t>
      </w:r>
    </w:p>
    <w:p w14:paraId="3B4E6B9E" w14:textId="77777777" w:rsidR="007E41F7" w:rsidRPr="001E2783" w:rsidRDefault="007E41F7" w:rsidP="007E41F7">
      <w:pPr>
        <w:rPr>
          <w:rFonts w:cs="Arial"/>
        </w:rPr>
      </w:pPr>
    </w:p>
    <w:p w14:paraId="4A835048" w14:textId="77777777" w:rsidR="007E41F7" w:rsidRPr="001E2783" w:rsidRDefault="007E41F7" w:rsidP="00AA04D5">
      <w:pPr>
        <w:pStyle w:val="BodysubheaderH4"/>
        <w:rPr>
          <w:rFonts w:cs="Arial"/>
        </w:rPr>
      </w:pPr>
      <w:r w:rsidRPr="001E2783">
        <w:rPr>
          <w:rFonts w:cs="Arial"/>
        </w:rPr>
        <w:t xml:space="preserve">Community research informing the </w:t>
      </w:r>
      <w:r w:rsidR="005F171E" w:rsidRPr="001E2783">
        <w:rPr>
          <w:rFonts w:cs="Arial"/>
        </w:rPr>
        <w:t>CCSi</w:t>
      </w:r>
      <w:r w:rsidRPr="001E2783">
        <w:rPr>
          <w:rFonts w:cs="Arial"/>
        </w:rPr>
        <w:t xml:space="preserve"> </w:t>
      </w:r>
    </w:p>
    <w:p w14:paraId="2AABC9BA" w14:textId="77777777" w:rsidR="007E41F7" w:rsidRPr="001E2783" w:rsidRDefault="007E41F7" w:rsidP="007E41F7">
      <w:pPr>
        <w:rPr>
          <w:rFonts w:cs="Arial"/>
        </w:rPr>
      </w:pPr>
      <w:r w:rsidRPr="001E2783">
        <w:rPr>
          <w:rFonts w:cs="Arial"/>
        </w:rPr>
        <w:t xml:space="preserve">Community research was commissioned in May 2013 on Australians’ attitudes to and expectations of community safeguards in broadcast codes of practice to inform the ACMA’s </w:t>
      </w:r>
      <w:r w:rsidRPr="001E2783">
        <w:rPr>
          <w:rFonts w:cs="Arial"/>
          <w:i/>
        </w:rPr>
        <w:t>Contemporary community safeguards inquiry</w:t>
      </w:r>
      <w:r w:rsidRPr="001E2783">
        <w:rPr>
          <w:rFonts w:cs="Arial"/>
        </w:rPr>
        <w:t>. The report of that inquiry was published in March 2014 and included the report of the community research.</w:t>
      </w:r>
    </w:p>
    <w:p w14:paraId="1B66A9CE" w14:textId="77777777" w:rsidR="007E41F7" w:rsidRPr="001E2783" w:rsidRDefault="007E41F7" w:rsidP="007E41F7">
      <w:pPr>
        <w:rPr>
          <w:rFonts w:cs="Arial"/>
        </w:rPr>
      </w:pPr>
    </w:p>
    <w:p w14:paraId="4C8D1761" w14:textId="77777777" w:rsidR="007E41F7" w:rsidRPr="001E2783" w:rsidRDefault="007E41F7" w:rsidP="00AA04D5">
      <w:pPr>
        <w:pStyle w:val="BodysubheaderH4"/>
        <w:rPr>
          <w:rFonts w:cs="Arial"/>
        </w:rPr>
      </w:pPr>
      <w:r w:rsidRPr="001E2783">
        <w:rPr>
          <w:rFonts w:cs="Arial"/>
        </w:rPr>
        <w:t>Children’s television</w:t>
      </w:r>
    </w:p>
    <w:p w14:paraId="5BC6D262" w14:textId="77777777" w:rsidR="007E41F7" w:rsidRPr="001E2783" w:rsidRDefault="007E41F7" w:rsidP="007E41F7">
      <w:pPr>
        <w:rPr>
          <w:rFonts w:cs="Arial"/>
          <w:i/>
        </w:rPr>
      </w:pPr>
      <w:r w:rsidRPr="001E2783">
        <w:rPr>
          <w:rFonts w:cs="Arial"/>
          <w:i/>
        </w:rPr>
        <w:t>Survey of parents and carers</w:t>
      </w:r>
    </w:p>
    <w:p w14:paraId="7581D3E3" w14:textId="77777777" w:rsidR="007E41F7" w:rsidRPr="001E2783" w:rsidRDefault="007E41F7" w:rsidP="007E41F7">
      <w:pPr>
        <w:rPr>
          <w:rFonts w:cs="Arial"/>
        </w:rPr>
      </w:pPr>
      <w:r w:rsidRPr="001E2783">
        <w:rPr>
          <w:rFonts w:cs="Arial"/>
        </w:rPr>
        <w:t>In April 2014</w:t>
      </w:r>
      <w:r w:rsidR="004133F6" w:rsidRPr="001E2783">
        <w:rPr>
          <w:rFonts w:cs="Arial"/>
        </w:rPr>
        <w:t>,</w:t>
      </w:r>
      <w:r w:rsidRPr="001E2783">
        <w:rPr>
          <w:rFonts w:cs="Arial"/>
        </w:rPr>
        <w:t xml:space="preserve"> the ACMA commissioned research to understand parental preferences and attitudes about children’s television, including how parents find out about</w:t>
      </w:r>
      <w:r w:rsidR="004133F6" w:rsidRPr="001E2783">
        <w:rPr>
          <w:rFonts w:cs="Arial"/>
        </w:rPr>
        <w:t xml:space="preserve"> children’s television programs</w:t>
      </w:r>
      <w:r w:rsidRPr="001E2783">
        <w:rPr>
          <w:rFonts w:cs="Arial"/>
        </w:rPr>
        <w:t xml:space="preserve"> and the rules governing children’s viewing. The research will be published in the next reporting period. </w:t>
      </w:r>
    </w:p>
    <w:p w14:paraId="10AAA6F3" w14:textId="77777777" w:rsidR="007E41F7" w:rsidRPr="001E2783" w:rsidRDefault="007E41F7" w:rsidP="007E41F7">
      <w:pPr>
        <w:rPr>
          <w:rFonts w:cs="Arial"/>
        </w:rPr>
      </w:pPr>
    </w:p>
    <w:p w14:paraId="7DD378F0" w14:textId="77777777" w:rsidR="007E41F7" w:rsidRPr="001E2783" w:rsidRDefault="007E41F7" w:rsidP="007E41F7">
      <w:pPr>
        <w:rPr>
          <w:rFonts w:cs="Arial"/>
          <w:i/>
        </w:rPr>
      </w:pPr>
      <w:r w:rsidRPr="001E2783">
        <w:rPr>
          <w:rFonts w:cs="Arial"/>
          <w:i/>
        </w:rPr>
        <w:t xml:space="preserve">Analysis of children’s television viewing </w:t>
      </w:r>
    </w:p>
    <w:p w14:paraId="34D38606" w14:textId="77777777" w:rsidR="007E41F7" w:rsidRPr="001E2783" w:rsidRDefault="004133F6" w:rsidP="007E41F7">
      <w:pPr>
        <w:rPr>
          <w:rFonts w:cs="Arial"/>
          <w:b/>
        </w:rPr>
      </w:pPr>
      <w:r w:rsidRPr="001E2783">
        <w:rPr>
          <w:rFonts w:cs="Arial"/>
        </w:rPr>
        <w:t>T</w:t>
      </w:r>
      <w:r w:rsidR="007E41F7" w:rsidRPr="001E2783">
        <w:rPr>
          <w:rFonts w:cs="Arial"/>
        </w:rPr>
        <w:t>he ACMA undertook an analysis of audience and ratings data to update its understanding of children’s viewing of free-to-air, commercial and subscription television. The research will be published in the next reporting period.</w:t>
      </w:r>
    </w:p>
    <w:p w14:paraId="31C97151" w14:textId="77777777" w:rsidR="007E41F7" w:rsidRPr="001E2783" w:rsidRDefault="007E41F7" w:rsidP="00AA04D5">
      <w:pPr>
        <w:rPr>
          <w:rFonts w:cs="Arial"/>
        </w:rPr>
      </w:pPr>
    </w:p>
    <w:p w14:paraId="180D01CD" w14:textId="77777777" w:rsidR="007E41F7" w:rsidRPr="001E2783" w:rsidRDefault="007E41F7" w:rsidP="00AA04D5">
      <w:pPr>
        <w:pStyle w:val="Heading3"/>
      </w:pPr>
      <w:bookmarkStart w:id="264" w:name="_Toc400018609"/>
      <w:r w:rsidRPr="001E2783">
        <w:t>Social and economic participation</w:t>
      </w:r>
      <w:bookmarkEnd w:id="264"/>
    </w:p>
    <w:p w14:paraId="460AD2FD" w14:textId="77777777" w:rsidR="007E41F7" w:rsidRPr="001E2783" w:rsidRDefault="007E41F7" w:rsidP="007E41F7">
      <w:pPr>
        <w:rPr>
          <w:rFonts w:cs="Arial"/>
        </w:rPr>
      </w:pPr>
      <w:r w:rsidRPr="001E2783">
        <w:rPr>
          <w:rFonts w:cs="Arial"/>
        </w:rPr>
        <w:t>The ACMA also undertake</w:t>
      </w:r>
      <w:r w:rsidR="00761D08" w:rsidRPr="001E2783">
        <w:rPr>
          <w:rFonts w:cs="Arial"/>
        </w:rPr>
        <w:t>s</w:t>
      </w:r>
      <w:r w:rsidRPr="001E2783">
        <w:rPr>
          <w:rFonts w:cs="Arial"/>
        </w:rPr>
        <w:t xml:space="preserve"> research to identify regulatory settings and interventions to </w:t>
      </w:r>
      <w:r w:rsidR="00761D08" w:rsidRPr="001E2783">
        <w:rPr>
          <w:rFonts w:cs="Arial"/>
        </w:rPr>
        <w:t>help</w:t>
      </w:r>
      <w:r w:rsidRPr="001E2783">
        <w:rPr>
          <w:rFonts w:cs="Arial"/>
        </w:rPr>
        <w:t xml:space="preserve"> citizens </w:t>
      </w:r>
      <w:r w:rsidR="00761D08" w:rsidRPr="001E2783">
        <w:rPr>
          <w:rFonts w:cs="Arial"/>
        </w:rPr>
        <w:t xml:space="preserve">participate </w:t>
      </w:r>
      <w:r w:rsidRPr="001E2783">
        <w:rPr>
          <w:rFonts w:cs="Arial"/>
        </w:rPr>
        <w:t>in the offline and online environment.</w:t>
      </w:r>
    </w:p>
    <w:p w14:paraId="284D129F" w14:textId="77777777" w:rsidR="007E41F7" w:rsidRPr="001E2783" w:rsidRDefault="007E41F7" w:rsidP="007E41F7">
      <w:pPr>
        <w:rPr>
          <w:rFonts w:cs="Arial"/>
        </w:rPr>
      </w:pPr>
    </w:p>
    <w:p w14:paraId="2FD02804" w14:textId="77777777" w:rsidR="007E41F7" w:rsidRPr="001E2783" w:rsidRDefault="00761D08" w:rsidP="00AA04D5">
      <w:pPr>
        <w:pStyle w:val="BodysubheaderH4"/>
        <w:rPr>
          <w:rFonts w:cs="Arial"/>
        </w:rPr>
      </w:pPr>
      <w:r w:rsidRPr="001E2783">
        <w:rPr>
          <w:rFonts w:cs="Arial"/>
        </w:rPr>
        <w:t>Malware and harmful software—c</w:t>
      </w:r>
      <w:r w:rsidR="007E41F7" w:rsidRPr="001E2783">
        <w:rPr>
          <w:rFonts w:cs="Arial"/>
        </w:rPr>
        <w:t xml:space="preserve">onsumer views </w:t>
      </w:r>
    </w:p>
    <w:p w14:paraId="5F9BFB84" w14:textId="77777777" w:rsidR="007E41F7" w:rsidRPr="001E2783" w:rsidRDefault="007E41F7" w:rsidP="007E41F7">
      <w:pPr>
        <w:rPr>
          <w:rFonts w:cs="Arial"/>
        </w:rPr>
      </w:pPr>
      <w:r w:rsidRPr="001E2783">
        <w:rPr>
          <w:rFonts w:cs="Arial"/>
        </w:rPr>
        <w:t>In the second half of 2012</w:t>
      </w:r>
      <w:r w:rsidR="00761D08" w:rsidRPr="001E2783">
        <w:rPr>
          <w:rFonts w:cs="Arial"/>
        </w:rPr>
        <w:t>,</w:t>
      </w:r>
      <w:r w:rsidRPr="001E2783">
        <w:rPr>
          <w:rFonts w:cs="Arial"/>
        </w:rPr>
        <w:t xml:space="preserve"> the ACMA commissioned research into Australians’ views on threats from malware and the use of protections against harmful software. Results were used to inform the AISI</w:t>
      </w:r>
      <w:r w:rsidR="005F171E" w:rsidRPr="001E2783">
        <w:rPr>
          <w:rFonts w:cs="Arial"/>
        </w:rPr>
        <w:t>,</w:t>
      </w:r>
      <w:r w:rsidRPr="001E2783">
        <w:rPr>
          <w:rFonts w:cs="Arial"/>
        </w:rPr>
        <w:t xml:space="preserve"> under which participating internet providers are notified of malware infections affecting their customers. The research was published in October 2013.</w:t>
      </w:r>
    </w:p>
    <w:p w14:paraId="7E0CDD87" w14:textId="77777777" w:rsidR="007E41F7" w:rsidRPr="001E2783" w:rsidRDefault="007E41F7" w:rsidP="007E41F7">
      <w:pPr>
        <w:rPr>
          <w:rFonts w:cs="Arial"/>
        </w:rPr>
      </w:pPr>
    </w:p>
    <w:p w14:paraId="4E9B776F" w14:textId="77777777" w:rsidR="007E41F7" w:rsidRPr="001E2783" w:rsidRDefault="007E41F7" w:rsidP="00AA04D5">
      <w:pPr>
        <w:pStyle w:val="BodysubheaderH4"/>
        <w:rPr>
          <w:rFonts w:cs="Arial"/>
        </w:rPr>
      </w:pPr>
      <w:r w:rsidRPr="001E2783">
        <w:rPr>
          <w:rFonts w:cs="Arial"/>
        </w:rPr>
        <w:t>Unsolicited telemarketing ca</w:t>
      </w:r>
      <w:r w:rsidR="005F171E" w:rsidRPr="001E2783">
        <w:rPr>
          <w:rFonts w:cs="Arial"/>
        </w:rPr>
        <w:t>lls and spam—c</w:t>
      </w:r>
      <w:r w:rsidRPr="001E2783">
        <w:rPr>
          <w:rFonts w:cs="Arial"/>
        </w:rPr>
        <w:t>onsumer experiences</w:t>
      </w:r>
    </w:p>
    <w:p w14:paraId="3D41ACAC" w14:textId="77777777" w:rsidR="007E41F7" w:rsidRPr="001E2783" w:rsidRDefault="007E41F7" w:rsidP="00157373">
      <w:pPr>
        <w:rPr>
          <w:rFonts w:cs="Arial"/>
        </w:rPr>
      </w:pPr>
      <w:r w:rsidRPr="001E2783">
        <w:rPr>
          <w:rFonts w:cs="Arial"/>
        </w:rPr>
        <w:t>This research was commissioned in 2012</w:t>
      </w:r>
      <w:r w:rsidR="005F171E" w:rsidRPr="001E2783">
        <w:rPr>
          <w:rFonts w:cs="Arial"/>
        </w:rPr>
        <w:t>,</w:t>
      </w:r>
      <w:r w:rsidRPr="001E2783">
        <w:rPr>
          <w:rFonts w:cs="Arial"/>
        </w:rPr>
        <w:t xml:space="preserve"> alongside</w:t>
      </w:r>
      <w:r w:rsidR="00BF30ED" w:rsidRPr="001E2783">
        <w:rPr>
          <w:rFonts w:cs="Arial"/>
        </w:rPr>
        <w:t xml:space="preserve"> the</w:t>
      </w:r>
      <w:r w:rsidRPr="001E2783">
        <w:rPr>
          <w:rFonts w:cs="Arial"/>
        </w:rPr>
        <w:t xml:space="preserve"> </w:t>
      </w:r>
      <w:r w:rsidRPr="001E2783">
        <w:rPr>
          <w:rFonts w:cs="Arial"/>
          <w:i/>
        </w:rPr>
        <w:t>Malware and harmful software</w:t>
      </w:r>
      <w:r w:rsidR="005F171E" w:rsidRPr="001E2783">
        <w:rPr>
          <w:rFonts w:cs="Arial"/>
          <w:i/>
        </w:rPr>
        <w:t xml:space="preserve"> </w:t>
      </w:r>
      <w:r w:rsidR="005F171E" w:rsidRPr="001E2783">
        <w:rPr>
          <w:rFonts w:cs="Arial"/>
        </w:rPr>
        <w:t>research</w:t>
      </w:r>
      <w:r w:rsidRPr="001E2783">
        <w:rPr>
          <w:rFonts w:cs="Arial"/>
        </w:rPr>
        <w:t>. Results identified consumer experiences with unsolicited telemarketing calls and spam (via email and SMS)</w:t>
      </w:r>
      <w:r w:rsidR="005F171E" w:rsidRPr="001E2783">
        <w:rPr>
          <w:rFonts w:cs="Arial"/>
        </w:rPr>
        <w:t>,</w:t>
      </w:r>
      <w:r w:rsidRPr="001E2783">
        <w:rPr>
          <w:rFonts w:cs="Arial"/>
        </w:rPr>
        <w:t xml:space="preserve"> and informed the ACMA’s compliance and enforcement activities </w:t>
      </w:r>
      <w:r w:rsidR="005F171E" w:rsidRPr="001E2783">
        <w:rPr>
          <w:rFonts w:cs="Arial"/>
        </w:rPr>
        <w:t>for</w:t>
      </w:r>
      <w:r w:rsidRPr="001E2783">
        <w:rPr>
          <w:rFonts w:cs="Arial"/>
        </w:rPr>
        <w:t xml:space="preserve"> unsolicited electronic communications. The findings were published in November 2013.</w:t>
      </w:r>
    </w:p>
    <w:p w14:paraId="1B8A2A0A" w14:textId="77777777" w:rsidR="007E41F7" w:rsidRPr="001E2783" w:rsidRDefault="007E41F7" w:rsidP="007E41F7">
      <w:pPr>
        <w:rPr>
          <w:rFonts w:cs="Arial"/>
        </w:rPr>
      </w:pPr>
    </w:p>
    <w:p w14:paraId="1E7B7629" w14:textId="77777777" w:rsidR="007E41F7" w:rsidRPr="001E2783" w:rsidRDefault="007E41F7" w:rsidP="00AA04D5">
      <w:pPr>
        <w:pStyle w:val="BodysubheaderH4"/>
        <w:rPr>
          <w:rFonts w:cs="Arial"/>
        </w:rPr>
      </w:pPr>
      <w:r w:rsidRPr="001E2783">
        <w:rPr>
          <w:rFonts w:cs="Arial"/>
        </w:rPr>
        <w:t>Digital footprints</w:t>
      </w:r>
      <w:r w:rsidR="00332607" w:rsidRPr="001E2783">
        <w:rPr>
          <w:rFonts w:cs="Arial"/>
        </w:rPr>
        <w:t xml:space="preserve"> and identities</w:t>
      </w:r>
    </w:p>
    <w:p w14:paraId="0170C30A" w14:textId="77777777" w:rsidR="007E41F7" w:rsidRPr="001E2783" w:rsidRDefault="007E41F7" w:rsidP="00B820A2">
      <w:pPr>
        <w:autoSpaceDE w:val="0"/>
        <w:autoSpaceDN w:val="0"/>
        <w:adjustRightInd w:val="0"/>
        <w:spacing w:line="240" w:lineRule="auto"/>
        <w:rPr>
          <w:rFonts w:cs="Arial"/>
          <w:szCs w:val="20"/>
        </w:rPr>
      </w:pPr>
      <w:r w:rsidRPr="001E2783">
        <w:rPr>
          <w:rFonts w:cs="Arial"/>
          <w:szCs w:val="20"/>
        </w:rPr>
        <w:t>The ACMA published</w:t>
      </w:r>
      <w:r w:rsidR="00332607" w:rsidRPr="001E2783">
        <w:rPr>
          <w:rFonts w:cs="Arial"/>
          <w:szCs w:val="20"/>
        </w:rPr>
        <w:t xml:space="preserve"> its</w:t>
      </w:r>
      <w:r w:rsidRPr="001E2783">
        <w:rPr>
          <w:rFonts w:cs="Arial"/>
          <w:szCs w:val="20"/>
        </w:rPr>
        <w:t xml:space="preserve"> </w:t>
      </w:r>
      <w:r w:rsidRPr="001E2783">
        <w:rPr>
          <w:rFonts w:cs="Arial"/>
          <w:i/>
          <w:szCs w:val="20"/>
        </w:rPr>
        <w:t>Digital footprints and identities</w:t>
      </w:r>
      <w:r w:rsidRPr="001E2783">
        <w:rPr>
          <w:rFonts w:cs="Arial"/>
          <w:szCs w:val="20"/>
        </w:rPr>
        <w:t xml:space="preserve"> research in Nov</w:t>
      </w:r>
      <w:r w:rsidR="005F171E" w:rsidRPr="001E2783">
        <w:rPr>
          <w:rFonts w:cs="Arial"/>
          <w:szCs w:val="20"/>
        </w:rPr>
        <w:t xml:space="preserve">ember 2013. </w:t>
      </w:r>
      <w:r w:rsidRPr="001E2783">
        <w:rPr>
          <w:rFonts w:cs="Arial"/>
          <w:szCs w:val="20"/>
        </w:rPr>
        <w:t xml:space="preserve">The findings show how Australians balance the risks and rewards of engaging in the online world and the steps they take to manage the use of their information online. </w:t>
      </w:r>
    </w:p>
    <w:p w14:paraId="6654C7FC" w14:textId="77777777" w:rsidR="007E41F7" w:rsidRPr="001E2783" w:rsidRDefault="005F171E" w:rsidP="007E41F7">
      <w:pPr>
        <w:pStyle w:val="BodysubheaderH4"/>
        <w:rPr>
          <w:rFonts w:cs="Arial"/>
        </w:rPr>
      </w:pPr>
      <w:r w:rsidRPr="001E2783">
        <w:rPr>
          <w:rFonts w:cs="Arial"/>
        </w:rPr>
        <w:t>Digital citizens guide—</w:t>
      </w:r>
      <w:r w:rsidR="007E41F7" w:rsidRPr="001E2783">
        <w:rPr>
          <w:rFonts w:cs="Arial"/>
        </w:rPr>
        <w:t>research</w:t>
      </w:r>
    </w:p>
    <w:p w14:paraId="5D890130" w14:textId="77777777" w:rsidR="007E41F7" w:rsidRPr="001E2783" w:rsidRDefault="00311E08" w:rsidP="00B820A2">
      <w:pPr>
        <w:rPr>
          <w:rFonts w:cs="Arial"/>
          <w:szCs w:val="20"/>
        </w:rPr>
      </w:pPr>
      <w:hyperlink r:id="rId41" w:history="1">
        <w:r w:rsidR="007E41F7" w:rsidRPr="001E2783">
          <w:rPr>
            <w:rFonts w:cs="Arial"/>
            <w:szCs w:val="20"/>
          </w:rPr>
          <w:t>C</w:t>
        </w:r>
        <w:r w:rsidR="007E41F7" w:rsidRPr="001E2783">
          <w:rPr>
            <w:rFonts w:cs="Arial"/>
          </w:rPr>
          <w:t>ommunity and stakeholder research</w:t>
        </w:r>
      </w:hyperlink>
      <w:r w:rsidR="007E41F7" w:rsidRPr="001E2783">
        <w:rPr>
          <w:rFonts w:cs="Arial"/>
          <w:szCs w:val="20"/>
        </w:rPr>
        <w:t xml:space="preserve"> was commissioned in 2013 to test and refine the formulation of the ACMA’s</w:t>
      </w:r>
      <w:r w:rsidR="005F171E" w:rsidRPr="001E2783">
        <w:rPr>
          <w:rFonts w:cs="Arial"/>
          <w:szCs w:val="20"/>
        </w:rPr>
        <w:t xml:space="preserve"> </w:t>
      </w:r>
      <w:hyperlink r:id="rId42" w:history="1">
        <w:r w:rsidR="005F171E" w:rsidRPr="001E2783">
          <w:rPr>
            <w:rFonts w:cs="Arial"/>
            <w:i/>
            <w:iCs/>
          </w:rPr>
          <w:t>Digital citizens g</w:t>
        </w:r>
        <w:r w:rsidR="007E41F7" w:rsidRPr="001E2783">
          <w:rPr>
            <w:rFonts w:cs="Arial"/>
            <w:i/>
            <w:iCs/>
          </w:rPr>
          <w:t>uide</w:t>
        </w:r>
        <w:r w:rsidR="007E41F7" w:rsidRPr="001E2783">
          <w:rPr>
            <w:rFonts w:cs="Arial"/>
          </w:rPr>
          <w:t>.</w:t>
        </w:r>
      </w:hyperlink>
      <w:r w:rsidR="007E41F7" w:rsidRPr="001E2783">
        <w:rPr>
          <w:rFonts w:cs="Arial"/>
          <w:szCs w:val="20"/>
        </w:rPr>
        <w:t xml:space="preserve"> The research was published in August 2013.</w:t>
      </w:r>
    </w:p>
    <w:p w14:paraId="6BFF64D4" w14:textId="77777777" w:rsidR="007E41F7" w:rsidRPr="001E2783" w:rsidRDefault="007E41F7" w:rsidP="007E41F7">
      <w:pPr>
        <w:jc w:val="both"/>
        <w:rPr>
          <w:rFonts w:cs="Arial"/>
        </w:rPr>
      </w:pPr>
    </w:p>
    <w:p w14:paraId="3FCC036A" w14:textId="77777777" w:rsidR="007E41F7" w:rsidRPr="001E2783" w:rsidRDefault="007E41F7" w:rsidP="007E41F7">
      <w:pPr>
        <w:pStyle w:val="BodysubheaderH4"/>
        <w:spacing w:line="276" w:lineRule="auto"/>
        <w:rPr>
          <w:rFonts w:cs="Arial"/>
        </w:rPr>
      </w:pPr>
      <w:r w:rsidRPr="001E2783">
        <w:rPr>
          <w:rFonts w:cs="Arial"/>
        </w:rPr>
        <w:t>Cybersafety and social networking services</w:t>
      </w:r>
    </w:p>
    <w:p w14:paraId="10ABD0A7" w14:textId="77777777" w:rsidR="007E41F7" w:rsidRPr="001E2783" w:rsidRDefault="007E41F7" w:rsidP="007E41F7">
      <w:pPr>
        <w:rPr>
          <w:rFonts w:cs="Arial"/>
          <w:szCs w:val="20"/>
        </w:rPr>
      </w:pPr>
      <w:r w:rsidRPr="001E2783">
        <w:rPr>
          <w:rFonts w:cs="Arial"/>
          <w:szCs w:val="20"/>
        </w:rPr>
        <w:t xml:space="preserve">The </w:t>
      </w:r>
      <w:r w:rsidRPr="001E2783">
        <w:rPr>
          <w:rFonts w:cs="Arial"/>
          <w:i/>
          <w:szCs w:val="20"/>
        </w:rPr>
        <w:t>Like, post, share—Young Australians’ experience of social media</w:t>
      </w:r>
      <w:r w:rsidRPr="001E2783">
        <w:rPr>
          <w:rFonts w:cs="Arial"/>
          <w:szCs w:val="20"/>
        </w:rPr>
        <w:t xml:space="preserve"> research explored the perceptions children, young people and parents have of online risks and opportunities, with an emphasis on what strategies young Australians use to protect themselves online. The qualitative and quantitative research was undertaken in 2011 and 2012</w:t>
      </w:r>
      <w:r w:rsidR="005F171E" w:rsidRPr="001E2783">
        <w:rPr>
          <w:rFonts w:cs="Arial"/>
          <w:szCs w:val="20"/>
        </w:rPr>
        <w:t>,</w:t>
      </w:r>
      <w:r w:rsidRPr="001E2783">
        <w:rPr>
          <w:rFonts w:cs="Arial"/>
          <w:szCs w:val="20"/>
        </w:rPr>
        <w:t xml:space="preserve"> respectively</w:t>
      </w:r>
      <w:r w:rsidR="005F171E" w:rsidRPr="001E2783">
        <w:rPr>
          <w:rFonts w:cs="Arial"/>
          <w:szCs w:val="20"/>
        </w:rPr>
        <w:t>,</w:t>
      </w:r>
      <w:r w:rsidRPr="001E2783">
        <w:rPr>
          <w:rFonts w:cs="Arial"/>
          <w:szCs w:val="20"/>
        </w:rPr>
        <w:t xml:space="preserve"> with the findings published in August 2013.</w:t>
      </w:r>
    </w:p>
    <w:p w14:paraId="2A7053A9" w14:textId="77777777" w:rsidR="007E41F7" w:rsidRPr="001E2783" w:rsidRDefault="007E41F7" w:rsidP="007E41F7">
      <w:pPr>
        <w:rPr>
          <w:rFonts w:cs="Arial"/>
          <w:szCs w:val="20"/>
        </w:rPr>
      </w:pPr>
    </w:p>
    <w:p w14:paraId="32464EB1" w14:textId="77777777" w:rsidR="0098666C" w:rsidRPr="001E2783" w:rsidRDefault="005F171E" w:rsidP="0098666C">
      <w:pPr>
        <w:pStyle w:val="BodysubheaderH4"/>
        <w:spacing w:line="276" w:lineRule="auto"/>
        <w:rPr>
          <w:rFonts w:cs="Arial"/>
          <w:szCs w:val="20"/>
        </w:rPr>
      </w:pPr>
      <w:r w:rsidRPr="001E2783">
        <w:rPr>
          <w:rFonts w:cs="Arial"/>
        </w:rPr>
        <w:t>Connected parents</w:t>
      </w:r>
    </w:p>
    <w:p w14:paraId="4E459D0A" w14:textId="77777777" w:rsidR="0098666C" w:rsidRPr="001E2783" w:rsidRDefault="0098666C" w:rsidP="0098666C">
      <w:pPr>
        <w:rPr>
          <w:rFonts w:cs="Arial"/>
        </w:rPr>
      </w:pPr>
      <w:r w:rsidRPr="001E2783">
        <w:rPr>
          <w:rFonts w:cs="Arial"/>
          <w:szCs w:val="20"/>
        </w:rPr>
        <w:t>In February 2014</w:t>
      </w:r>
      <w:r w:rsidR="005F171E" w:rsidRPr="001E2783">
        <w:rPr>
          <w:rFonts w:cs="Arial"/>
          <w:szCs w:val="20"/>
        </w:rPr>
        <w:t>,</w:t>
      </w:r>
      <w:r w:rsidRPr="001E2783">
        <w:rPr>
          <w:rFonts w:cs="Arial"/>
          <w:szCs w:val="20"/>
        </w:rPr>
        <w:t xml:space="preserve"> the ACMA published its study investigating </w:t>
      </w:r>
      <w:r w:rsidRPr="001E2783">
        <w:rPr>
          <w:rFonts w:cs="Arial"/>
        </w:rPr>
        <w:t xml:space="preserve">parents’ cybersafety education needs. </w:t>
      </w:r>
      <w:r w:rsidRPr="001E2783">
        <w:rPr>
          <w:rFonts w:cs="Arial"/>
          <w:i/>
        </w:rPr>
        <w:t>Connected parents in the cybersafety age</w:t>
      </w:r>
      <w:r w:rsidRPr="001E2783">
        <w:rPr>
          <w:rFonts w:cs="Arial"/>
        </w:rPr>
        <w:t xml:space="preserve"> identified the online safety concerns and information needs of caregivers of </w:t>
      </w:r>
      <w:r w:rsidR="005F171E" w:rsidRPr="001E2783">
        <w:rPr>
          <w:rFonts w:cs="Arial"/>
        </w:rPr>
        <w:t>children and young people aged eight</w:t>
      </w:r>
      <w:r w:rsidRPr="001E2783">
        <w:rPr>
          <w:rFonts w:cs="Arial"/>
        </w:rPr>
        <w:t xml:space="preserve"> to 17 years</w:t>
      </w:r>
      <w:r w:rsidRPr="001E2783">
        <w:rPr>
          <w:rFonts w:cs="Arial"/>
          <w:szCs w:val="20"/>
        </w:rPr>
        <w:t>.</w:t>
      </w:r>
    </w:p>
    <w:p w14:paraId="5FA66013" w14:textId="77777777" w:rsidR="0098666C" w:rsidRPr="001E2783" w:rsidRDefault="0098666C" w:rsidP="0098666C">
      <w:pPr>
        <w:rPr>
          <w:rFonts w:cs="Arial"/>
          <w:szCs w:val="20"/>
        </w:rPr>
      </w:pPr>
    </w:p>
    <w:p w14:paraId="0CC091C5" w14:textId="77777777" w:rsidR="0098666C" w:rsidRPr="001E2783" w:rsidRDefault="005F171E" w:rsidP="0098666C">
      <w:pPr>
        <w:rPr>
          <w:rFonts w:cs="Arial"/>
          <w:b/>
          <w:i/>
        </w:rPr>
      </w:pPr>
      <w:r w:rsidRPr="001E2783">
        <w:rPr>
          <w:rFonts w:cs="Arial"/>
          <w:b/>
          <w:i/>
        </w:rPr>
        <w:t>Cybersafety Indigenous program—c</w:t>
      </w:r>
      <w:r w:rsidR="0098666C" w:rsidRPr="001E2783">
        <w:rPr>
          <w:rFonts w:cs="Arial"/>
          <w:b/>
          <w:i/>
        </w:rPr>
        <w:t>ase studies and evaluation framework</w:t>
      </w:r>
    </w:p>
    <w:p w14:paraId="52A4F660" w14:textId="77777777" w:rsidR="0098666C" w:rsidRPr="001E2783" w:rsidRDefault="0098666C" w:rsidP="0098666C">
      <w:pPr>
        <w:rPr>
          <w:rFonts w:cs="Arial"/>
          <w:szCs w:val="20"/>
        </w:rPr>
      </w:pPr>
      <w:r w:rsidRPr="001E2783">
        <w:rPr>
          <w:rFonts w:cs="Arial"/>
          <w:szCs w:val="20"/>
        </w:rPr>
        <w:t>In April 2014</w:t>
      </w:r>
      <w:r w:rsidR="005F171E" w:rsidRPr="001E2783">
        <w:rPr>
          <w:rFonts w:cs="Arial"/>
          <w:szCs w:val="20"/>
        </w:rPr>
        <w:t>,</w:t>
      </w:r>
      <w:r w:rsidRPr="001E2783">
        <w:rPr>
          <w:rFonts w:cs="Arial"/>
          <w:szCs w:val="20"/>
        </w:rPr>
        <w:t xml:space="preserve"> the ACMA commissioned an evaluatio</w:t>
      </w:r>
      <w:r w:rsidR="00332607" w:rsidRPr="001E2783">
        <w:rPr>
          <w:rFonts w:cs="Arial"/>
          <w:szCs w:val="20"/>
        </w:rPr>
        <w:t>n of the Cybersmart Indigenous P</w:t>
      </w:r>
      <w:r w:rsidRPr="001E2783">
        <w:rPr>
          <w:rFonts w:cs="Arial"/>
          <w:szCs w:val="20"/>
        </w:rPr>
        <w:t xml:space="preserve">rogram (CIP). The research comprises the preparation of case studies to document and analyse the development and implementation of the CIP train-the-trainer workshops. </w:t>
      </w:r>
    </w:p>
    <w:p w14:paraId="1D8CA97A" w14:textId="77777777" w:rsidR="007E41F7" w:rsidRPr="001E2783" w:rsidRDefault="007E41F7" w:rsidP="007E41F7">
      <w:pPr>
        <w:pStyle w:val="BodysubheaderH4"/>
        <w:spacing w:line="276" w:lineRule="auto"/>
        <w:rPr>
          <w:rFonts w:cs="Arial"/>
        </w:rPr>
      </w:pPr>
    </w:p>
    <w:p w14:paraId="384E76AD" w14:textId="77777777" w:rsidR="007E41F7" w:rsidRPr="001E2783" w:rsidRDefault="007E41F7" w:rsidP="007E41F7">
      <w:pPr>
        <w:pStyle w:val="BodysubheaderH4"/>
        <w:spacing w:line="276" w:lineRule="auto"/>
        <w:rPr>
          <w:rFonts w:cs="Arial"/>
        </w:rPr>
      </w:pPr>
      <w:r w:rsidRPr="001E2783">
        <w:rPr>
          <w:rFonts w:cs="Arial"/>
        </w:rPr>
        <w:t>C</w:t>
      </w:r>
      <w:r w:rsidR="00C33C3D" w:rsidRPr="001E2783">
        <w:rPr>
          <w:rFonts w:cs="Arial"/>
        </w:rPr>
        <w:t>ybersmart kids educational film—qualitative research</w:t>
      </w:r>
    </w:p>
    <w:p w14:paraId="352B9E05" w14:textId="77777777" w:rsidR="007E41F7" w:rsidRPr="001E2783" w:rsidRDefault="007E41F7" w:rsidP="00AA04D5">
      <w:pPr>
        <w:rPr>
          <w:rFonts w:cs="Arial"/>
        </w:rPr>
      </w:pPr>
      <w:r w:rsidRPr="001E2783">
        <w:rPr>
          <w:rFonts w:cs="Arial"/>
        </w:rPr>
        <w:t>In May 2014</w:t>
      </w:r>
      <w:r w:rsidR="005F171E" w:rsidRPr="001E2783">
        <w:rPr>
          <w:rFonts w:cs="Arial"/>
        </w:rPr>
        <w:t>,</w:t>
      </w:r>
      <w:r w:rsidRPr="001E2783">
        <w:rPr>
          <w:rFonts w:cs="Arial"/>
        </w:rPr>
        <w:t xml:space="preserve"> the ACMA commissioned qualitative research with teachers and young people t</w:t>
      </w:r>
      <w:r w:rsidR="005F171E" w:rsidRPr="001E2783">
        <w:rPr>
          <w:rFonts w:cs="Arial"/>
        </w:rPr>
        <w:t>o pre-test a new Cybersmart kid</w:t>
      </w:r>
      <w:r w:rsidRPr="001E2783">
        <w:rPr>
          <w:rFonts w:cs="Arial"/>
        </w:rPr>
        <w:t xml:space="preserve">s educational film resource. Findings will help inform the development of teaching resources and lesson plans associated with the film. </w:t>
      </w:r>
    </w:p>
    <w:p w14:paraId="6559F11E" w14:textId="77777777" w:rsidR="007E41F7" w:rsidRPr="001E2783" w:rsidRDefault="007E41F7" w:rsidP="007E41F7">
      <w:pPr>
        <w:rPr>
          <w:rFonts w:cs="Arial"/>
          <w:sz w:val="18"/>
          <w:szCs w:val="18"/>
        </w:rPr>
      </w:pPr>
    </w:p>
    <w:p w14:paraId="4683FACB" w14:textId="77777777" w:rsidR="007E41F7" w:rsidRPr="001E2783" w:rsidRDefault="00EE0760" w:rsidP="00AA04D5">
      <w:pPr>
        <w:pStyle w:val="Heading3"/>
      </w:pPr>
      <w:bookmarkStart w:id="265" w:name="_Toc400018610"/>
      <w:r w:rsidRPr="001E2783">
        <w:t>Citizen</w:t>
      </w:r>
      <w:r w:rsidR="007E41F7" w:rsidRPr="001E2783">
        <w:t xml:space="preserve"> and </w:t>
      </w:r>
      <w:r w:rsidRPr="001E2783">
        <w:t>consumer</w:t>
      </w:r>
      <w:r w:rsidR="007E41F7" w:rsidRPr="001E2783">
        <w:t xml:space="preserve"> safeguards</w:t>
      </w:r>
      <w:bookmarkEnd w:id="265"/>
    </w:p>
    <w:p w14:paraId="503910FE" w14:textId="77777777" w:rsidR="007E41F7" w:rsidRPr="001E2783" w:rsidRDefault="007E41F7" w:rsidP="007E41F7">
      <w:pPr>
        <w:pStyle w:val="BodysubheaderH4"/>
        <w:spacing w:line="276" w:lineRule="auto"/>
        <w:rPr>
          <w:rFonts w:cs="Arial"/>
          <w:b w:val="0"/>
          <w:i w:val="0"/>
        </w:rPr>
      </w:pPr>
      <w:r w:rsidRPr="001E2783">
        <w:rPr>
          <w:rFonts w:cs="Arial"/>
          <w:b w:val="0"/>
          <w:i w:val="0"/>
        </w:rPr>
        <w:t xml:space="preserve">This research focus area continues the ACMA’s evidence-informed approach to </w:t>
      </w:r>
      <w:r w:rsidR="00C33C3D" w:rsidRPr="001E2783">
        <w:rPr>
          <w:rFonts w:cs="Arial"/>
          <w:b w:val="0"/>
          <w:i w:val="0"/>
        </w:rPr>
        <w:t>understanding</w:t>
      </w:r>
      <w:r w:rsidRPr="001E2783">
        <w:rPr>
          <w:rFonts w:cs="Arial"/>
          <w:b w:val="0"/>
          <w:i w:val="0"/>
        </w:rPr>
        <w:t xml:space="preserve"> Australians’ experiences in managing unsolicited communications and assessing the effectiveness of telecommunications safeguards.</w:t>
      </w:r>
    </w:p>
    <w:p w14:paraId="384DB28C" w14:textId="77777777" w:rsidR="00AA04D5" w:rsidRPr="001E2783" w:rsidRDefault="00AA04D5" w:rsidP="00AA04D5">
      <w:pPr>
        <w:rPr>
          <w:rFonts w:cs="Arial"/>
        </w:rPr>
      </w:pPr>
    </w:p>
    <w:p w14:paraId="17C76946" w14:textId="77777777" w:rsidR="007E41F7" w:rsidRPr="001E2783" w:rsidDel="00F8560C" w:rsidRDefault="007E41F7" w:rsidP="007E41F7">
      <w:pPr>
        <w:pStyle w:val="BodysubheaderH4"/>
        <w:spacing w:line="276" w:lineRule="auto"/>
        <w:rPr>
          <w:rFonts w:cs="Arial"/>
        </w:rPr>
      </w:pPr>
      <w:r w:rsidRPr="001E2783" w:rsidDel="00F8560C">
        <w:rPr>
          <w:rFonts w:cs="Arial"/>
          <w:i w:val="0"/>
        </w:rPr>
        <w:t>Reconn</w:t>
      </w:r>
      <w:r w:rsidR="00C33C3D" w:rsidRPr="001E2783">
        <w:rPr>
          <w:rFonts w:cs="Arial"/>
          <w:i w:val="0"/>
        </w:rPr>
        <w:t>ecting the Customer</w:t>
      </w:r>
      <w:r w:rsidR="00C33C3D" w:rsidRPr="001E2783">
        <w:rPr>
          <w:rFonts w:cs="Arial"/>
        </w:rPr>
        <w:t>—t</w:t>
      </w:r>
      <w:r w:rsidRPr="001E2783" w:rsidDel="00F8560C">
        <w:rPr>
          <w:rFonts w:cs="Arial"/>
        </w:rPr>
        <w:t xml:space="preserve">racking consumer outcomes </w:t>
      </w:r>
    </w:p>
    <w:p w14:paraId="581E4FAF" w14:textId="77777777" w:rsidR="007E41F7" w:rsidRPr="001E2783" w:rsidRDefault="007E41F7" w:rsidP="007E41F7">
      <w:pPr>
        <w:rPr>
          <w:rFonts w:cs="Arial"/>
        </w:rPr>
      </w:pPr>
      <w:r w:rsidRPr="001E2783" w:rsidDel="00F8560C">
        <w:rPr>
          <w:rFonts w:cs="Arial"/>
        </w:rPr>
        <w:t>In February 2013, the ACMA commissioned research to evaluate the effectiveness of the changes to the TCP Code and other outcomes of the RTC inquiry in the context of broader and ongoing changes in the telecommunica</w:t>
      </w:r>
      <w:r w:rsidR="00FF7294" w:rsidRPr="001E2783">
        <w:rPr>
          <w:rFonts w:cs="Arial"/>
        </w:rPr>
        <w:t xml:space="preserve">tions sector. </w:t>
      </w:r>
      <w:r w:rsidRPr="001E2783" w:rsidDel="00F8560C">
        <w:rPr>
          <w:rFonts w:cs="Arial"/>
        </w:rPr>
        <w:t>Quantitative and qualitative research was undertaken</w:t>
      </w:r>
      <w:r w:rsidR="00FF7294" w:rsidRPr="001E2783">
        <w:rPr>
          <w:rFonts w:cs="Arial"/>
        </w:rPr>
        <w:t>, and t</w:t>
      </w:r>
      <w:r w:rsidRPr="001E2783" w:rsidDel="00F8560C">
        <w:rPr>
          <w:rFonts w:cs="Arial"/>
        </w:rPr>
        <w:t xml:space="preserve">he report published in April 2014.  </w:t>
      </w:r>
    </w:p>
    <w:p w14:paraId="1DE3E1B1" w14:textId="77777777" w:rsidR="007E41F7" w:rsidRPr="001E2783" w:rsidDel="00F8560C" w:rsidRDefault="007E41F7" w:rsidP="007E41F7">
      <w:pPr>
        <w:rPr>
          <w:rFonts w:cs="Arial"/>
        </w:rPr>
      </w:pPr>
    </w:p>
    <w:p w14:paraId="4A55F31B" w14:textId="77777777" w:rsidR="007E41F7" w:rsidRPr="001E2783" w:rsidRDefault="00FF7294" w:rsidP="007E41F7">
      <w:pPr>
        <w:rPr>
          <w:rFonts w:cs="Arial"/>
          <w:b/>
          <w:i/>
        </w:rPr>
      </w:pPr>
      <w:r w:rsidRPr="001E2783">
        <w:rPr>
          <w:rFonts w:cs="Arial"/>
          <w:b/>
          <w:i/>
        </w:rPr>
        <w:t>Mobile calls to 13 numbers—c</w:t>
      </w:r>
      <w:r w:rsidR="007E41F7" w:rsidRPr="001E2783">
        <w:rPr>
          <w:rFonts w:cs="Arial"/>
          <w:b/>
          <w:i/>
        </w:rPr>
        <w:t>ommunity research</w:t>
      </w:r>
    </w:p>
    <w:p w14:paraId="5E5C284D" w14:textId="77777777" w:rsidR="007E41F7" w:rsidRPr="001E2783" w:rsidRDefault="007E41F7" w:rsidP="007E41F7">
      <w:pPr>
        <w:rPr>
          <w:rFonts w:cs="Arial"/>
        </w:rPr>
      </w:pPr>
      <w:r w:rsidRPr="001E2783">
        <w:rPr>
          <w:rFonts w:cs="Arial"/>
        </w:rPr>
        <w:t>In September 2013, the ACMA co</w:t>
      </w:r>
      <w:r w:rsidR="00FF7294" w:rsidRPr="001E2783">
        <w:rPr>
          <w:rFonts w:cs="Arial"/>
        </w:rPr>
        <w:t>mmissioned research on consumer</w:t>
      </w:r>
      <w:r w:rsidRPr="001E2783">
        <w:rPr>
          <w:rFonts w:cs="Arial"/>
        </w:rPr>
        <w:t>s</w:t>
      </w:r>
      <w:r w:rsidR="00FF7294" w:rsidRPr="001E2783">
        <w:rPr>
          <w:rFonts w:cs="Arial"/>
        </w:rPr>
        <w:t>’</w:t>
      </w:r>
      <w:r w:rsidRPr="001E2783">
        <w:rPr>
          <w:rFonts w:cs="Arial"/>
        </w:rPr>
        <w:t xml:space="preserve"> use of, and potential concerns </w:t>
      </w:r>
      <w:r w:rsidR="00FF7294" w:rsidRPr="001E2783">
        <w:rPr>
          <w:rFonts w:cs="Arial"/>
        </w:rPr>
        <w:t>with</w:t>
      </w:r>
      <w:r w:rsidRPr="001E2783">
        <w:rPr>
          <w:rFonts w:cs="Arial"/>
        </w:rPr>
        <w:t>, 13 numbers. The quantitative research was completed in November 2013</w:t>
      </w:r>
      <w:r w:rsidR="00FF7294" w:rsidRPr="001E2783">
        <w:rPr>
          <w:rFonts w:cs="Arial"/>
        </w:rPr>
        <w:t xml:space="preserve"> and t</w:t>
      </w:r>
      <w:r w:rsidRPr="001E2783">
        <w:rPr>
          <w:rFonts w:cs="Arial"/>
        </w:rPr>
        <w:t xml:space="preserve">he report </w:t>
      </w:r>
      <w:r w:rsidR="00FA3B8E" w:rsidRPr="001E2783">
        <w:rPr>
          <w:rFonts w:cs="Arial"/>
        </w:rPr>
        <w:t xml:space="preserve">will be </w:t>
      </w:r>
      <w:r w:rsidRPr="001E2783">
        <w:rPr>
          <w:rFonts w:cs="Arial"/>
        </w:rPr>
        <w:t xml:space="preserve">published </w:t>
      </w:r>
      <w:r w:rsidR="00FA3B8E" w:rsidRPr="001E2783">
        <w:rPr>
          <w:rFonts w:cs="Arial"/>
        </w:rPr>
        <w:t xml:space="preserve">early </w:t>
      </w:r>
      <w:r w:rsidRPr="001E2783">
        <w:rPr>
          <w:rFonts w:cs="Arial"/>
        </w:rPr>
        <w:t xml:space="preserve">in </w:t>
      </w:r>
      <w:r w:rsidR="00FA3B8E" w:rsidRPr="001E2783">
        <w:rPr>
          <w:rFonts w:cs="Arial"/>
        </w:rPr>
        <w:t>the next reporting period.</w:t>
      </w:r>
    </w:p>
    <w:p w14:paraId="1082F57B" w14:textId="77777777" w:rsidR="007E41F7" w:rsidRPr="001E2783" w:rsidRDefault="007E41F7" w:rsidP="007E41F7">
      <w:pPr>
        <w:rPr>
          <w:rFonts w:cs="Arial"/>
        </w:rPr>
      </w:pPr>
    </w:p>
    <w:p w14:paraId="0B102B8E" w14:textId="77777777" w:rsidR="007E41F7" w:rsidRPr="001E2783" w:rsidRDefault="007E41F7" w:rsidP="007E41F7">
      <w:pPr>
        <w:rPr>
          <w:rFonts w:cs="Arial"/>
          <w:b/>
          <w:i/>
        </w:rPr>
      </w:pPr>
      <w:r w:rsidRPr="001E2783">
        <w:rPr>
          <w:rFonts w:cs="Arial"/>
          <w:b/>
          <w:i/>
        </w:rPr>
        <w:t xml:space="preserve">SME and </w:t>
      </w:r>
      <w:r w:rsidR="00FF7294" w:rsidRPr="001E2783">
        <w:rPr>
          <w:rFonts w:cs="Arial"/>
          <w:b/>
          <w:i/>
        </w:rPr>
        <w:t>d</w:t>
      </w:r>
      <w:r w:rsidRPr="001E2783">
        <w:rPr>
          <w:rFonts w:cs="Arial"/>
          <w:b/>
          <w:i/>
        </w:rPr>
        <w:t xml:space="preserve">igital </w:t>
      </w:r>
      <w:r w:rsidR="00FF7294" w:rsidRPr="001E2783">
        <w:rPr>
          <w:rFonts w:cs="Arial"/>
          <w:b/>
          <w:i/>
        </w:rPr>
        <w:t>b</w:t>
      </w:r>
      <w:r w:rsidRPr="001E2783">
        <w:rPr>
          <w:rFonts w:cs="Arial"/>
          <w:b/>
          <w:i/>
        </w:rPr>
        <w:t xml:space="preserve">usiness </w:t>
      </w:r>
      <w:r w:rsidR="00FF7294" w:rsidRPr="001E2783">
        <w:rPr>
          <w:rFonts w:cs="Arial"/>
          <w:b/>
          <w:i/>
        </w:rPr>
        <w:t>r</w:t>
      </w:r>
      <w:r w:rsidRPr="001E2783">
        <w:rPr>
          <w:rFonts w:cs="Arial"/>
          <w:b/>
          <w:i/>
        </w:rPr>
        <w:t>esearch</w:t>
      </w:r>
    </w:p>
    <w:p w14:paraId="06639F16" w14:textId="77777777" w:rsidR="007E41F7" w:rsidRPr="001E2783" w:rsidRDefault="007E41F7" w:rsidP="007E41F7">
      <w:pPr>
        <w:rPr>
          <w:rFonts w:cs="Arial"/>
        </w:rPr>
      </w:pPr>
      <w:r w:rsidRPr="001E2783">
        <w:rPr>
          <w:rFonts w:cs="Arial"/>
        </w:rPr>
        <w:t>In March 2014, the ACMA commissioned research to understand the</w:t>
      </w:r>
      <w:r w:rsidRPr="001E2783">
        <w:rPr>
          <w:rFonts w:cs="Arial"/>
          <w:szCs w:val="20"/>
        </w:rPr>
        <w:t xml:space="preserve"> </w:t>
      </w:r>
      <w:r w:rsidRPr="001E2783">
        <w:rPr>
          <w:rFonts w:cs="Arial"/>
        </w:rPr>
        <w:t xml:space="preserve">knowledge, attitudes and behaviours that inform </w:t>
      </w:r>
      <w:r w:rsidR="00FF7294" w:rsidRPr="001E2783">
        <w:rPr>
          <w:rFonts w:cs="Arial"/>
        </w:rPr>
        <w:t>SME</w:t>
      </w:r>
      <w:r w:rsidRPr="001E2783">
        <w:rPr>
          <w:rFonts w:cs="Arial"/>
        </w:rPr>
        <w:t xml:space="preserve"> business decisions on the use of dig</w:t>
      </w:r>
      <w:r w:rsidR="00FF7294" w:rsidRPr="001E2783">
        <w:rPr>
          <w:rFonts w:cs="Arial"/>
        </w:rPr>
        <w:t>ital communication technologies</w:t>
      </w:r>
      <w:r w:rsidRPr="001E2783">
        <w:rPr>
          <w:rFonts w:cs="Arial"/>
        </w:rPr>
        <w:t>. The research will be published in the next reporting period.</w:t>
      </w:r>
    </w:p>
    <w:p w14:paraId="36DAC0D2" w14:textId="77777777" w:rsidR="007E41F7" w:rsidRPr="001E2783" w:rsidRDefault="007E41F7" w:rsidP="00AA04D5">
      <w:pPr>
        <w:rPr>
          <w:rFonts w:cs="Arial"/>
        </w:rPr>
      </w:pPr>
    </w:p>
    <w:p w14:paraId="01240A1D" w14:textId="77777777" w:rsidR="0098666C" w:rsidRPr="001E2783" w:rsidRDefault="0098666C" w:rsidP="0098666C">
      <w:pPr>
        <w:rPr>
          <w:rFonts w:cs="Arial"/>
          <w:b/>
          <w:i/>
        </w:rPr>
      </w:pPr>
      <w:r w:rsidRPr="001E2783">
        <w:rPr>
          <w:rFonts w:cs="Arial"/>
          <w:b/>
          <w:i/>
        </w:rPr>
        <w:t xml:space="preserve">Consumer use </w:t>
      </w:r>
      <w:r w:rsidR="00FF7294" w:rsidRPr="001E2783">
        <w:rPr>
          <w:rFonts w:cs="Arial"/>
          <w:b/>
          <w:i/>
        </w:rPr>
        <w:t xml:space="preserve">of, </w:t>
      </w:r>
      <w:r w:rsidRPr="001E2783">
        <w:rPr>
          <w:rFonts w:cs="Arial"/>
          <w:b/>
          <w:i/>
        </w:rPr>
        <w:t>and attitudes to</w:t>
      </w:r>
      <w:r w:rsidR="00FF7294" w:rsidRPr="001E2783">
        <w:rPr>
          <w:rFonts w:cs="Arial"/>
          <w:b/>
          <w:i/>
        </w:rPr>
        <w:t>,</w:t>
      </w:r>
      <w:r w:rsidRPr="001E2783">
        <w:rPr>
          <w:rFonts w:cs="Arial"/>
          <w:b/>
          <w:i/>
        </w:rPr>
        <w:t xml:space="preserve"> communications and online participation</w:t>
      </w:r>
    </w:p>
    <w:p w14:paraId="5EA4BB7F" w14:textId="77777777" w:rsidR="0098666C" w:rsidRPr="001E2783" w:rsidRDefault="0098666C" w:rsidP="0098666C">
      <w:pPr>
        <w:rPr>
          <w:rFonts w:cs="Arial"/>
        </w:rPr>
      </w:pPr>
      <w:r w:rsidRPr="001E2783">
        <w:rPr>
          <w:rFonts w:cs="Arial"/>
        </w:rPr>
        <w:t>In March 2014, the ACMA commissioned a survey of household consumers</w:t>
      </w:r>
      <w:r w:rsidR="00FF7294" w:rsidRPr="001E2783">
        <w:rPr>
          <w:rFonts w:cs="Arial"/>
        </w:rPr>
        <w:t xml:space="preserve"> covering</w:t>
      </w:r>
      <w:r w:rsidRPr="001E2783">
        <w:rPr>
          <w:rFonts w:cs="Arial"/>
        </w:rPr>
        <w:t xml:space="preserve"> attitudes to</w:t>
      </w:r>
      <w:r w:rsidR="00FF7294" w:rsidRPr="001E2783">
        <w:rPr>
          <w:rFonts w:cs="Arial"/>
        </w:rPr>
        <w:t>,</w:t>
      </w:r>
      <w:r w:rsidRPr="001E2783">
        <w:rPr>
          <w:rFonts w:cs="Arial"/>
        </w:rPr>
        <w:t xml:space="preserve"> and take-up of</w:t>
      </w:r>
      <w:r w:rsidR="00FF7294" w:rsidRPr="001E2783">
        <w:rPr>
          <w:rFonts w:cs="Arial"/>
        </w:rPr>
        <w:t>,</w:t>
      </w:r>
      <w:r w:rsidRPr="001E2783">
        <w:rPr>
          <w:rFonts w:cs="Arial"/>
        </w:rPr>
        <w:t xml:space="preserve"> communications and online services. Survey results will be </w:t>
      </w:r>
      <w:r w:rsidR="00332607" w:rsidRPr="001E2783">
        <w:rPr>
          <w:rFonts w:cs="Arial"/>
        </w:rPr>
        <w:t>released</w:t>
      </w:r>
      <w:r w:rsidRPr="001E2783">
        <w:rPr>
          <w:rFonts w:cs="Arial"/>
        </w:rPr>
        <w:t xml:space="preserve"> in the next r</w:t>
      </w:r>
      <w:r w:rsidR="00FF7294" w:rsidRPr="001E2783">
        <w:rPr>
          <w:rFonts w:cs="Arial"/>
        </w:rPr>
        <w:t>eporting period as part of the c</w:t>
      </w:r>
      <w:r w:rsidRPr="001E2783">
        <w:rPr>
          <w:rFonts w:cs="Arial"/>
        </w:rPr>
        <w:t xml:space="preserve">ommunications report work program.  </w:t>
      </w:r>
    </w:p>
    <w:p w14:paraId="2658E404" w14:textId="77777777" w:rsidR="007E41F7" w:rsidRPr="001E2783" w:rsidRDefault="007E41F7" w:rsidP="00AA04D5">
      <w:pPr>
        <w:pStyle w:val="Heading3"/>
      </w:pPr>
      <w:bookmarkStart w:id="266" w:name="_Toc400018611"/>
      <w:r w:rsidRPr="001E2783">
        <w:t>Regulatory best practice and development</w:t>
      </w:r>
      <w:bookmarkEnd w:id="266"/>
    </w:p>
    <w:p w14:paraId="3B302A85" w14:textId="77777777" w:rsidR="007E41F7" w:rsidRPr="001E2783" w:rsidRDefault="007E41F7" w:rsidP="007E41F7">
      <w:pPr>
        <w:spacing w:line="240" w:lineRule="auto"/>
        <w:rPr>
          <w:rFonts w:cs="Arial"/>
          <w:bCs/>
          <w:szCs w:val="26"/>
        </w:rPr>
      </w:pPr>
      <w:r w:rsidRPr="001E2783">
        <w:rPr>
          <w:rFonts w:cs="Arial"/>
          <w:bCs/>
          <w:szCs w:val="26"/>
        </w:rPr>
        <w:t>In this research focus area</w:t>
      </w:r>
      <w:r w:rsidR="00FF7294" w:rsidRPr="001E2783">
        <w:rPr>
          <w:rFonts w:cs="Arial"/>
          <w:bCs/>
          <w:szCs w:val="26"/>
        </w:rPr>
        <w:t>,</w:t>
      </w:r>
      <w:r w:rsidRPr="001E2783">
        <w:rPr>
          <w:rFonts w:cs="Arial"/>
          <w:bCs/>
          <w:szCs w:val="26"/>
        </w:rPr>
        <w:t xml:space="preserve"> the ACMA continues its analysis of the effectiveness and costs </w:t>
      </w:r>
      <w:r w:rsidR="00E52852" w:rsidRPr="001E2783">
        <w:rPr>
          <w:rFonts w:cs="Arial"/>
          <w:bCs/>
          <w:szCs w:val="26"/>
        </w:rPr>
        <w:t>and</w:t>
      </w:r>
      <w:r w:rsidRPr="001E2783">
        <w:rPr>
          <w:rFonts w:cs="Arial"/>
          <w:bCs/>
          <w:szCs w:val="26"/>
        </w:rPr>
        <w:t xml:space="preserve"> benefits of current regulation, and identifi</w:t>
      </w:r>
      <w:r w:rsidR="00FF7294" w:rsidRPr="001E2783">
        <w:rPr>
          <w:rFonts w:cs="Arial"/>
          <w:bCs/>
          <w:szCs w:val="26"/>
        </w:rPr>
        <w:t>es</w:t>
      </w:r>
      <w:r w:rsidRPr="001E2783">
        <w:rPr>
          <w:rFonts w:cs="Arial"/>
          <w:bCs/>
          <w:szCs w:val="26"/>
        </w:rPr>
        <w:t xml:space="preserve"> emerging issues that may require regulatory or non-regulatory solutions.</w:t>
      </w:r>
    </w:p>
    <w:p w14:paraId="41DC0B94" w14:textId="77777777" w:rsidR="007E41F7" w:rsidRPr="001E2783" w:rsidRDefault="007E41F7" w:rsidP="007E41F7">
      <w:pPr>
        <w:spacing w:line="240" w:lineRule="auto"/>
        <w:rPr>
          <w:rFonts w:cs="Arial"/>
          <w:b/>
          <w:bCs/>
          <w:szCs w:val="26"/>
        </w:rPr>
      </w:pPr>
    </w:p>
    <w:p w14:paraId="31B50FBF" w14:textId="77777777" w:rsidR="007E41F7" w:rsidRPr="001E2783" w:rsidRDefault="00125752" w:rsidP="00AA04D5">
      <w:pPr>
        <w:pStyle w:val="BodysubheaderH4"/>
        <w:rPr>
          <w:rFonts w:cs="Arial"/>
        </w:rPr>
      </w:pPr>
      <w:r w:rsidRPr="001E2783">
        <w:rPr>
          <w:rFonts w:cs="Arial"/>
        </w:rPr>
        <w:t>Cross-border regulatory strategies</w:t>
      </w:r>
      <w:r w:rsidR="007E41F7" w:rsidRPr="001E2783">
        <w:rPr>
          <w:rFonts w:cs="Arial"/>
        </w:rPr>
        <w:t xml:space="preserve"> </w:t>
      </w:r>
    </w:p>
    <w:p w14:paraId="0A29EA35" w14:textId="77777777" w:rsidR="00125752" w:rsidRPr="001E2783" w:rsidRDefault="00125752" w:rsidP="007E41F7">
      <w:pPr>
        <w:pStyle w:val="ListBullet"/>
        <w:numPr>
          <w:ilvl w:val="0"/>
          <w:numId w:val="0"/>
        </w:numPr>
        <w:rPr>
          <w:rFonts w:cs="Arial"/>
          <w:szCs w:val="20"/>
        </w:rPr>
      </w:pPr>
      <w:r w:rsidRPr="001E2783">
        <w:rPr>
          <w:rFonts w:cs="Arial"/>
          <w:i/>
          <w:szCs w:val="20"/>
        </w:rPr>
        <w:t>Cross-border regulatory strategies—case studies and regulatory practice for a networked economy and society</w:t>
      </w:r>
      <w:r w:rsidRPr="001E2783">
        <w:rPr>
          <w:rFonts w:cs="Arial"/>
          <w:szCs w:val="20"/>
        </w:rPr>
        <w:t xml:space="preserve"> was</w:t>
      </w:r>
      <w:r w:rsidR="007E41F7" w:rsidRPr="001E2783">
        <w:rPr>
          <w:rFonts w:cs="Arial"/>
          <w:szCs w:val="20"/>
        </w:rPr>
        <w:t xml:space="preserve"> released in October 2013</w:t>
      </w:r>
      <w:r w:rsidRPr="001E2783">
        <w:rPr>
          <w:rFonts w:cs="Arial"/>
          <w:szCs w:val="20"/>
        </w:rPr>
        <w:t>.</w:t>
      </w:r>
      <w:r w:rsidR="007E41F7" w:rsidRPr="001E2783">
        <w:rPr>
          <w:rFonts w:cs="Arial"/>
          <w:szCs w:val="20"/>
        </w:rPr>
        <w:t xml:space="preserve"> </w:t>
      </w:r>
      <w:r w:rsidRPr="001E2783">
        <w:rPr>
          <w:rFonts w:cs="Arial"/>
          <w:szCs w:val="20"/>
        </w:rPr>
        <w:t xml:space="preserve">The study explored </w:t>
      </w:r>
      <w:r w:rsidR="007E41F7" w:rsidRPr="001E2783">
        <w:rPr>
          <w:rFonts w:cs="Arial"/>
          <w:szCs w:val="20"/>
        </w:rPr>
        <w:t>deployment of IP networks</w:t>
      </w:r>
      <w:r w:rsidR="00332607" w:rsidRPr="001E2783">
        <w:rPr>
          <w:rFonts w:cs="Arial"/>
          <w:szCs w:val="20"/>
        </w:rPr>
        <w:t>,</w:t>
      </w:r>
      <w:r w:rsidR="007E41F7" w:rsidRPr="001E2783">
        <w:rPr>
          <w:rFonts w:cs="Arial"/>
          <w:szCs w:val="20"/>
        </w:rPr>
        <w:t xml:space="preserve"> and the digitisation of content and communications that have implications for </w:t>
      </w:r>
      <w:r w:rsidRPr="001E2783">
        <w:rPr>
          <w:rFonts w:cs="Arial"/>
          <w:szCs w:val="20"/>
        </w:rPr>
        <w:t xml:space="preserve">how </w:t>
      </w:r>
      <w:r w:rsidR="007E41F7" w:rsidRPr="001E2783">
        <w:rPr>
          <w:rFonts w:cs="Arial"/>
          <w:szCs w:val="20"/>
        </w:rPr>
        <w:t>communications is regulated in Australia and internationally. Increasingly</w:t>
      </w:r>
      <w:r w:rsidRPr="001E2783">
        <w:rPr>
          <w:rFonts w:cs="Arial"/>
          <w:szCs w:val="20"/>
        </w:rPr>
        <w:t>, the cross-</w:t>
      </w:r>
      <w:r w:rsidR="007E41F7" w:rsidRPr="001E2783">
        <w:rPr>
          <w:rFonts w:cs="Arial"/>
          <w:szCs w:val="20"/>
        </w:rPr>
        <w:t>border nature of online activity requires that regulatory tools in place at the national level be linked to multi-level, international regulatory strategies</w:t>
      </w:r>
      <w:r w:rsidRPr="001E2783">
        <w:rPr>
          <w:rFonts w:cs="Arial"/>
          <w:szCs w:val="20"/>
        </w:rPr>
        <w:t>. The paper discusses</w:t>
      </w:r>
      <w:r w:rsidR="007E41F7" w:rsidRPr="001E2783">
        <w:rPr>
          <w:rFonts w:cs="Arial"/>
          <w:szCs w:val="20"/>
        </w:rPr>
        <w:t xml:space="preserve"> the use of these strategies in three areas of regulatory activity: </w:t>
      </w:r>
    </w:p>
    <w:p w14:paraId="050AA23D" w14:textId="77777777" w:rsidR="00125752" w:rsidRPr="001E2783" w:rsidRDefault="007E41F7" w:rsidP="00125752">
      <w:pPr>
        <w:pStyle w:val="ListBullet"/>
        <w:rPr>
          <w:rFonts w:cs="Arial"/>
        </w:rPr>
      </w:pPr>
      <w:r w:rsidRPr="001E2783">
        <w:rPr>
          <w:rFonts w:cs="Arial"/>
        </w:rPr>
        <w:t>digital information management</w:t>
      </w:r>
    </w:p>
    <w:p w14:paraId="03FEAD5E" w14:textId="77777777" w:rsidR="00125752" w:rsidRPr="001E2783" w:rsidRDefault="007E41F7" w:rsidP="00125752">
      <w:pPr>
        <w:pStyle w:val="ListBullet"/>
        <w:rPr>
          <w:rFonts w:cs="Arial"/>
        </w:rPr>
      </w:pPr>
      <w:r w:rsidRPr="001E2783">
        <w:rPr>
          <w:rFonts w:cs="Arial"/>
        </w:rPr>
        <w:t>unsolicited communications</w:t>
      </w:r>
    </w:p>
    <w:p w14:paraId="5C4DB342" w14:textId="77777777" w:rsidR="00AA04D5" w:rsidRPr="001E2783" w:rsidRDefault="007E41F7" w:rsidP="00125752">
      <w:pPr>
        <w:pStyle w:val="ListBullet"/>
        <w:spacing w:after="240"/>
        <w:rPr>
          <w:rFonts w:cs="Arial"/>
        </w:rPr>
      </w:pPr>
      <w:r w:rsidRPr="001E2783">
        <w:rPr>
          <w:rFonts w:cs="Arial"/>
        </w:rPr>
        <w:t>investigation of online child sexual abuse material</w:t>
      </w:r>
      <w:r w:rsidR="00125752" w:rsidRPr="001E2783">
        <w:rPr>
          <w:rFonts w:cs="Arial"/>
        </w:rPr>
        <w:t>.</w:t>
      </w:r>
    </w:p>
    <w:tbl>
      <w:tblPr>
        <w:tblW w:w="9645" w:type="dxa"/>
        <w:shd w:val="clear" w:color="auto" w:fill="F2F2F2" w:themeFill="background1" w:themeFillShade="F2"/>
        <w:tblLayout w:type="fixed"/>
        <w:tblCellMar>
          <w:left w:w="0" w:type="dxa"/>
          <w:right w:w="0" w:type="dxa"/>
        </w:tblCellMar>
        <w:tblLook w:val="01E0" w:firstRow="1" w:lastRow="1" w:firstColumn="1" w:lastColumn="1" w:noHBand="0" w:noVBand="0"/>
      </w:tblPr>
      <w:tblGrid>
        <w:gridCol w:w="9645"/>
      </w:tblGrid>
      <w:tr w:rsidR="001E2783" w:rsidRPr="001E2783" w14:paraId="30CBF5BE" w14:textId="77777777" w:rsidTr="00AA04D5">
        <w:trPr>
          <w:trHeight w:val="570"/>
        </w:trPr>
        <w:tc>
          <w:tcPr>
            <w:tcW w:w="9645" w:type="dxa"/>
            <w:tcBorders>
              <w:top w:val="single" w:sz="2" w:space="0" w:color="505050"/>
            </w:tcBorders>
            <w:shd w:val="clear" w:color="auto" w:fill="F2F2F2" w:themeFill="background1" w:themeFillShade="F2"/>
            <w:vAlign w:val="center"/>
          </w:tcPr>
          <w:p w14:paraId="2BE2C917" w14:textId="77777777" w:rsidR="00AA04D5" w:rsidRPr="001E2783" w:rsidRDefault="00AA04D5" w:rsidP="00AA04D5">
            <w:pPr>
              <w:pStyle w:val="Caption"/>
              <w:keepNext/>
              <w:keepLines/>
              <w:rPr>
                <w:rFonts w:ascii="Arial" w:hAnsi="Arial" w:cs="Arial"/>
                <w:color w:val="auto"/>
              </w:rPr>
            </w:pPr>
            <w:r w:rsidRPr="001E2783">
              <w:rPr>
                <w:rFonts w:ascii="Arial" w:hAnsi="Arial" w:cs="Arial"/>
                <w:color w:val="auto"/>
              </w:rPr>
              <w:t>Case study</w:t>
            </w:r>
          </w:p>
          <w:p w14:paraId="3649303A" w14:textId="77777777" w:rsidR="00AA04D5" w:rsidRPr="001E2783" w:rsidRDefault="008E5B00" w:rsidP="00AA04D5">
            <w:pPr>
              <w:pStyle w:val="Caption"/>
              <w:keepNext/>
              <w:keepLines/>
              <w:rPr>
                <w:rFonts w:ascii="Arial" w:hAnsi="Arial" w:cs="Arial"/>
                <w:color w:val="auto"/>
              </w:rPr>
            </w:pPr>
            <w:r w:rsidRPr="001E2783">
              <w:rPr>
                <w:rFonts w:ascii="Arial" w:hAnsi="Arial" w:cs="Arial"/>
                <w:color w:val="auto"/>
              </w:rPr>
              <w:t>research</w:t>
            </w:r>
            <w:r w:rsidRPr="001E2783">
              <w:rPr>
                <w:rFonts w:ascii="Arial" w:hAnsi="Arial" w:cs="Arial"/>
                <w:b w:val="0"/>
                <w:color w:val="auto"/>
              </w:rPr>
              <w:t>acma</w:t>
            </w:r>
            <w:r w:rsidR="00AA04D5" w:rsidRPr="001E2783">
              <w:rPr>
                <w:rFonts w:ascii="Arial" w:hAnsi="Arial" w:cs="Arial"/>
                <w:color w:val="auto"/>
              </w:rPr>
              <w:t xml:space="preserve"> snapshot series</w:t>
            </w:r>
          </w:p>
        </w:tc>
      </w:tr>
      <w:tr w:rsidR="001E2783" w:rsidRPr="001E2783" w14:paraId="58AADB08" w14:textId="77777777" w:rsidTr="00EC3D98">
        <w:trPr>
          <w:trHeight w:val="9486"/>
        </w:trPr>
        <w:tc>
          <w:tcPr>
            <w:tcW w:w="9645" w:type="dxa"/>
            <w:shd w:val="clear" w:color="auto" w:fill="F2F2F2" w:themeFill="background1" w:themeFillShade="F2"/>
            <w:tcMar>
              <w:left w:w="28" w:type="dxa"/>
            </w:tcMar>
          </w:tcPr>
          <w:p w14:paraId="1B9F373E" w14:textId="77777777" w:rsidR="0067486B" w:rsidRPr="001E2783" w:rsidRDefault="0067486B" w:rsidP="0067486B">
            <w:pPr>
              <w:keepNext/>
              <w:keepLines/>
              <w:rPr>
                <w:rFonts w:cs="Arial"/>
              </w:rPr>
            </w:pPr>
            <w:r w:rsidRPr="001E2783">
              <w:rPr>
                <w:rFonts w:cs="Arial"/>
              </w:rPr>
              <w:t>In July 2013</w:t>
            </w:r>
            <w:r w:rsidR="00125752" w:rsidRPr="001E2783">
              <w:rPr>
                <w:rFonts w:cs="Arial"/>
              </w:rPr>
              <w:t>,</w:t>
            </w:r>
            <w:r w:rsidRPr="001E2783">
              <w:rPr>
                <w:rFonts w:cs="Arial"/>
              </w:rPr>
              <w:t xml:space="preserve"> the ACMA launched its research</w:t>
            </w:r>
            <w:r w:rsidR="00125752" w:rsidRPr="001E2783">
              <w:rPr>
                <w:rFonts w:cs="Arial"/>
                <w:b/>
              </w:rPr>
              <w:t>acma</w:t>
            </w:r>
            <w:r w:rsidRPr="001E2783">
              <w:rPr>
                <w:rFonts w:cs="Arial"/>
              </w:rPr>
              <w:t xml:space="preserve"> snapshot series</w:t>
            </w:r>
            <w:r w:rsidR="00125752" w:rsidRPr="001E2783">
              <w:rPr>
                <w:rFonts w:cs="Arial"/>
              </w:rPr>
              <w:t>—</w:t>
            </w:r>
            <w:r w:rsidRPr="001E2783">
              <w:rPr>
                <w:rFonts w:cs="Arial"/>
              </w:rPr>
              <w:t>short, fit-for-purpose research updates on key issues of relevance to the ACMA and its stakeholders.</w:t>
            </w:r>
          </w:p>
          <w:p w14:paraId="4617085C" w14:textId="77777777" w:rsidR="0067486B" w:rsidRPr="001E2783" w:rsidRDefault="0067486B" w:rsidP="0067486B">
            <w:pPr>
              <w:keepNext/>
              <w:keepLines/>
              <w:rPr>
                <w:rFonts w:cs="Arial"/>
                <w:i/>
              </w:rPr>
            </w:pPr>
          </w:p>
          <w:p w14:paraId="7CA88C28" w14:textId="77777777" w:rsidR="0067486B" w:rsidRPr="001E2783" w:rsidRDefault="0067486B" w:rsidP="0067486B">
            <w:pPr>
              <w:keepNext/>
              <w:keepLines/>
              <w:rPr>
                <w:rFonts w:cs="Arial"/>
              </w:rPr>
            </w:pPr>
            <w:r w:rsidRPr="001E2783">
              <w:rPr>
                <w:rFonts w:cs="Arial"/>
              </w:rPr>
              <w:t>The snapshot format target</w:t>
            </w:r>
            <w:r w:rsidR="00125752" w:rsidRPr="001E2783">
              <w:rPr>
                <w:rFonts w:cs="Arial"/>
              </w:rPr>
              <w:t>s</w:t>
            </w:r>
            <w:r w:rsidRPr="001E2783">
              <w:rPr>
                <w:rFonts w:cs="Arial"/>
              </w:rPr>
              <w:t xml:space="preserve"> research outputs to meet the preferences of different audiences and distribution channels. This new style of reporting allows for a more dynamic representation of ACMA research in </w:t>
            </w:r>
            <w:hyperlink r:id="rId43" w:tgtFrame="_blank" w:history="1">
              <w:r w:rsidRPr="001E2783">
                <w:rPr>
                  <w:rFonts w:cs="Arial"/>
                </w:rPr>
                <w:t>blog</w:t>
              </w:r>
            </w:hyperlink>
            <w:r w:rsidRPr="001E2783">
              <w:rPr>
                <w:rFonts w:cs="Arial"/>
              </w:rPr>
              <w:t xml:space="preserve">, </w:t>
            </w:r>
            <w:hyperlink r:id="rId44" w:tgtFrame="_blank" w:history="1">
              <w:r w:rsidRPr="001E2783">
                <w:rPr>
                  <w:rFonts w:cs="Arial"/>
                </w:rPr>
                <w:t>video</w:t>
              </w:r>
            </w:hyperlink>
            <w:r w:rsidRPr="001E2783">
              <w:rPr>
                <w:rFonts w:cs="Arial"/>
              </w:rPr>
              <w:t xml:space="preserve"> and</w:t>
            </w:r>
            <w:r w:rsidR="002D0670" w:rsidRPr="001E2783">
              <w:rPr>
                <w:rFonts w:cs="Arial"/>
              </w:rPr>
              <w:t xml:space="preserve"> </w:t>
            </w:r>
            <w:hyperlink r:id="rId45" w:tgtFrame="_blank" w:history="1">
              <w:r w:rsidRPr="001E2783">
                <w:rPr>
                  <w:rFonts w:cs="Arial"/>
                </w:rPr>
                <w:t>infographic</w:t>
              </w:r>
            </w:hyperlink>
            <w:r w:rsidRPr="001E2783">
              <w:rPr>
                <w:rFonts w:cs="Arial"/>
              </w:rPr>
              <w:t xml:space="preserve"> format</w:t>
            </w:r>
            <w:r w:rsidR="00125752" w:rsidRPr="001E2783">
              <w:rPr>
                <w:rFonts w:cs="Arial"/>
              </w:rPr>
              <w:t>,</w:t>
            </w:r>
            <w:r w:rsidRPr="001E2783">
              <w:rPr>
                <w:rFonts w:cs="Arial"/>
              </w:rPr>
              <w:t xml:space="preserve"> and use</w:t>
            </w:r>
            <w:r w:rsidR="00125752" w:rsidRPr="001E2783">
              <w:rPr>
                <w:rFonts w:cs="Arial"/>
              </w:rPr>
              <w:t>s more visually appealing charts and figures</w:t>
            </w:r>
            <w:r w:rsidRPr="001E2783">
              <w:rPr>
                <w:rFonts w:cs="Arial"/>
              </w:rPr>
              <w:t>.</w:t>
            </w:r>
          </w:p>
          <w:p w14:paraId="6915D975" w14:textId="77777777" w:rsidR="0067486B" w:rsidRPr="001E2783" w:rsidRDefault="0067486B" w:rsidP="0067486B">
            <w:pPr>
              <w:keepNext/>
              <w:keepLines/>
              <w:rPr>
                <w:rFonts w:cs="Arial"/>
                <w:b/>
                <w:highlight w:val="lightGray"/>
              </w:rPr>
            </w:pPr>
          </w:p>
          <w:p w14:paraId="06445252" w14:textId="77777777" w:rsidR="0067486B" w:rsidRPr="001E2783" w:rsidRDefault="0067486B" w:rsidP="00125752">
            <w:pPr>
              <w:keepNext/>
              <w:keepLines/>
              <w:spacing w:after="80"/>
              <w:rPr>
                <w:rFonts w:cs="Arial"/>
              </w:rPr>
            </w:pPr>
            <w:r w:rsidRPr="001E2783">
              <w:rPr>
                <w:rFonts w:cs="Arial"/>
                <w:szCs w:val="20"/>
              </w:rPr>
              <w:t xml:space="preserve">Snapshots released </w:t>
            </w:r>
            <w:r w:rsidR="00BB4019" w:rsidRPr="001E2783">
              <w:rPr>
                <w:rFonts w:cs="Arial"/>
                <w:szCs w:val="20"/>
              </w:rPr>
              <w:t xml:space="preserve">during </w:t>
            </w:r>
            <w:r w:rsidRPr="001E2783">
              <w:rPr>
                <w:rFonts w:cs="Arial"/>
                <w:szCs w:val="20"/>
              </w:rPr>
              <w:t>2013</w:t>
            </w:r>
            <w:r w:rsidR="00BB4019" w:rsidRPr="001E2783">
              <w:rPr>
                <w:rFonts w:cs="Arial"/>
                <w:szCs w:val="20"/>
              </w:rPr>
              <w:t>–14</w:t>
            </w:r>
            <w:r w:rsidRPr="001E2783">
              <w:rPr>
                <w:rFonts w:cs="Arial"/>
                <w:szCs w:val="20"/>
              </w:rPr>
              <w:t xml:space="preserve"> included:</w:t>
            </w:r>
          </w:p>
          <w:p w14:paraId="0616CE16" w14:textId="77777777" w:rsidR="0067486B" w:rsidRPr="001E2783" w:rsidRDefault="0067486B" w:rsidP="0067486B">
            <w:pPr>
              <w:pStyle w:val="ListBullet"/>
              <w:rPr>
                <w:rFonts w:cs="Arial"/>
              </w:rPr>
            </w:pPr>
            <w:r w:rsidRPr="001E2783">
              <w:rPr>
                <w:rFonts w:cs="Arial"/>
                <w:i/>
              </w:rPr>
              <w:t>Australians cut the cord</w:t>
            </w:r>
            <w:r w:rsidR="00912008" w:rsidRPr="001E2783">
              <w:rPr>
                <w:rFonts w:cs="Arial"/>
                <w:i/>
              </w:rPr>
              <w:t xml:space="preserve">, </w:t>
            </w:r>
            <w:r w:rsidR="00B820A2" w:rsidRPr="001E2783">
              <w:rPr>
                <w:rFonts w:cs="Arial"/>
              </w:rPr>
              <w:t>released 5 </w:t>
            </w:r>
            <w:r w:rsidRPr="001E2783">
              <w:rPr>
                <w:rFonts w:cs="Arial"/>
              </w:rPr>
              <w:t>July 2013. Highlights include:</w:t>
            </w:r>
          </w:p>
          <w:p w14:paraId="33ECE19B" w14:textId="77777777" w:rsidR="0067486B" w:rsidRPr="001E2783" w:rsidRDefault="00B820A2" w:rsidP="0067486B">
            <w:pPr>
              <w:pStyle w:val="ListBullet"/>
              <w:ind w:left="590"/>
              <w:rPr>
                <w:rFonts w:cs="Arial"/>
              </w:rPr>
            </w:pPr>
            <w:r w:rsidRPr="001E2783">
              <w:rPr>
                <w:rFonts w:cs="Arial"/>
              </w:rPr>
              <w:t>close to 3.3 </w:t>
            </w:r>
            <w:r w:rsidR="0067486B" w:rsidRPr="001E2783">
              <w:rPr>
                <w:rFonts w:cs="Arial"/>
              </w:rPr>
              <w:t>million Australians aged 18 and over were mobile phone-only users at December 2012</w:t>
            </w:r>
          </w:p>
          <w:p w14:paraId="2197D951" w14:textId="77777777" w:rsidR="0067486B" w:rsidRPr="001E2783" w:rsidRDefault="0067486B" w:rsidP="00912008">
            <w:pPr>
              <w:pStyle w:val="ListBullet"/>
              <w:spacing w:after="120"/>
              <w:ind w:left="590"/>
              <w:rPr>
                <w:rFonts w:cs="Arial"/>
              </w:rPr>
            </w:pPr>
            <w:r w:rsidRPr="001E2783">
              <w:rPr>
                <w:rFonts w:cs="Arial"/>
              </w:rPr>
              <w:t>the number of mobile p</w:t>
            </w:r>
            <w:r w:rsidR="00B820A2" w:rsidRPr="001E2783">
              <w:rPr>
                <w:rFonts w:cs="Arial"/>
              </w:rPr>
              <w:t>hone-only users has grown by 20 </w:t>
            </w:r>
            <w:r w:rsidRPr="001E2783">
              <w:rPr>
                <w:rFonts w:cs="Arial"/>
              </w:rPr>
              <w:t>per cent since December 2011.</w:t>
            </w:r>
          </w:p>
          <w:p w14:paraId="5978C261" w14:textId="77777777" w:rsidR="0067486B" w:rsidRPr="001E2783" w:rsidRDefault="0067486B" w:rsidP="0067486B">
            <w:pPr>
              <w:pStyle w:val="ListBullet"/>
              <w:rPr>
                <w:rFonts w:cs="Arial"/>
                <w:i/>
              </w:rPr>
            </w:pPr>
            <w:r w:rsidRPr="001E2783">
              <w:rPr>
                <w:rFonts w:cs="Arial"/>
                <w:i/>
              </w:rPr>
              <w:t>The connected business</w:t>
            </w:r>
            <w:r w:rsidR="00912008" w:rsidRPr="001E2783">
              <w:rPr>
                <w:rFonts w:cs="Arial"/>
                <w:i/>
              </w:rPr>
              <w:t xml:space="preserve">, </w:t>
            </w:r>
            <w:r w:rsidR="00B820A2" w:rsidRPr="001E2783">
              <w:rPr>
                <w:rFonts w:cs="Arial"/>
              </w:rPr>
              <w:t>released 15 </w:t>
            </w:r>
            <w:r w:rsidRPr="001E2783">
              <w:rPr>
                <w:rFonts w:cs="Arial"/>
              </w:rPr>
              <w:t>October 2013. Highlights include:</w:t>
            </w:r>
          </w:p>
          <w:p w14:paraId="08C5E7CC" w14:textId="77777777" w:rsidR="0067486B" w:rsidRPr="001E2783" w:rsidRDefault="0067486B" w:rsidP="0067486B">
            <w:pPr>
              <w:pStyle w:val="ListBullet"/>
              <w:ind w:left="590"/>
              <w:rPr>
                <w:rFonts w:cs="Arial"/>
                <w:i/>
              </w:rPr>
            </w:pPr>
            <w:r w:rsidRPr="001E2783">
              <w:rPr>
                <w:rFonts w:cs="Arial"/>
              </w:rPr>
              <w:t>70 per cent of Australian businesses paid for employee access to mobile broadband devices at June 2013</w:t>
            </w:r>
          </w:p>
          <w:p w14:paraId="2B5A2772" w14:textId="77777777" w:rsidR="0067486B" w:rsidRPr="001E2783" w:rsidRDefault="0067486B" w:rsidP="002D0670">
            <w:pPr>
              <w:pStyle w:val="ListBullet"/>
              <w:spacing w:after="120"/>
              <w:ind w:left="590"/>
              <w:rPr>
                <w:rFonts w:cs="Arial"/>
                <w:i/>
              </w:rPr>
            </w:pPr>
            <w:r w:rsidRPr="001E2783">
              <w:rPr>
                <w:rFonts w:cs="Arial"/>
              </w:rPr>
              <w:t>92 per cent of Australian businesses use mobile broadb</w:t>
            </w:r>
            <w:r w:rsidR="00B820A2" w:rsidRPr="001E2783">
              <w:rPr>
                <w:rFonts w:cs="Arial"/>
              </w:rPr>
              <w:t>and devices for phone calls, 86 per cent for emails and 82 </w:t>
            </w:r>
            <w:r w:rsidRPr="001E2783">
              <w:rPr>
                <w:rFonts w:cs="Arial"/>
              </w:rPr>
              <w:t>per cent for general internet</w:t>
            </w:r>
            <w:r w:rsidR="00912008" w:rsidRPr="001E2783">
              <w:rPr>
                <w:rFonts w:cs="Arial"/>
              </w:rPr>
              <w:t>.</w:t>
            </w:r>
          </w:p>
          <w:p w14:paraId="3CA80BF1" w14:textId="77777777" w:rsidR="0067486B" w:rsidRPr="001E2783" w:rsidRDefault="0067486B" w:rsidP="0067486B">
            <w:pPr>
              <w:pStyle w:val="ListBullet"/>
              <w:rPr>
                <w:rFonts w:cs="Arial"/>
              </w:rPr>
            </w:pPr>
            <w:r w:rsidRPr="001E2783">
              <w:rPr>
                <w:rFonts w:cs="Arial"/>
                <w:i/>
              </w:rPr>
              <w:t xml:space="preserve">Home is where the work is—the digital worker, </w:t>
            </w:r>
            <w:r w:rsidR="00B820A2" w:rsidRPr="001E2783">
              <w:rPr>
                <w:rFonts w:cs="Arial"/>
              </w:rPr>
              <w:t>released 16 </w:t>
            </w:r>
            <w:r w:rsidRPr="001E2783">
              <w:rPr>
                <w:rFonts w:cs="Arial"/>
              </w:rPr>
              <w:t>October 2013. Highlights include:</w:t>
            </w:r>
          </w:p>
          <w:p w14:paraId="15DEF9FD" w14:textId="77777777" w:rsidR="0067486B" w:rsidRPr="001E2783" w:rsidRDefault="00B820A2" w:rsidP="0067486B">
            <w:pPr>
              <w:pStyle w:val="ListBullet"/>
              <w:ind w:left="590"/>
              <w:rPr>
                <w:rFonts w:cs="Arial"/>
              </w:rPr>
            </w:pPr>
            <w:r w:rsidRPr="001E2783">
              <w:rPr>
                <w:rFonts w:cs="Arial"/>
              </w:rPr>
              <w:t>5.6 </w:t>
            </w:r>
            <w:r w:rsidR="0067486B" w:rsidRPr="001E2783">
              <w:rPr>
                <w:rFonts w:cs="Arial"/>
              </w:rPr>
              <w:t>million A</w:t>
            </w:r>
            <w:r w:rsidR="00912008" w:rsidRPr="001E2783">
              <w:rPr>
                <w:rFonts w:cs="Arial"/>
              </w:rPr>
              <w:t>ustralians aged 18 and over use</w:t>
            </w:r>
            <w:r w:rsidR="0067486B" w:rsidRPr="001E2783">
              <w:rPr>
                <w:rFonts w:cs="Arial"/>
              </w:rPr>
              <w:t xml:space="preserve"> the internet to work away from the office</w:t>
            </w:r>
          </w:p>
          <w:p w14:paraId="262925CB" w14:textId="77777777" w:rsidR="0067486B" w:rsidRPr="001E2783" w:rsidRDefault="00B820A2" w:rsidP="002D0670">
            <w:pPr>
              <w:pStyle w:val="ListBullet"/>
              <w:spacing w:after="120"/>
              <w:ind w:left="590"/>
              <w:rPr>
                <w:rFonts w:cs="Arial"/>
              </w:rPr>
            </w:pPr>
            <w:r w:rsidRPr="001E2783">
              <w:rPr>
                <w:rFonts w:cs="Arial"/>
              </w:rPr>
              <w:t>2.8 </w:t>
            </w:r>
            <w:r w:rsidR="0067486B" w:rsidRPr="001E2783">
              <w:rPr>
                <w:rFonts w:cs="Arial"/>
              </w:rPr>
              <w:t>million Aus</w:t>
            </w:r>
            <w:r w:rsidR="00912008" w:rsidRPr="001E2783">
              <w:rPr>
                <w:rFonts w:cs="Arial"/>
              </w:rPr>
              <w:t>tralians aged 18 and over work</w:t>
            </w:r>
            <w:r w:rsidR="0067486B" w:rsidRPr="001E2783">
              <w:rPr>
                <w:rFonts w:cs="Arial"/>
              </w:rPr>
              <w:t xml:space="preserve"> away from the office at least two days a week</w:t>
            </w:r>
            <w:r w:rsidR="00912008" w:rsidRPr="001E2783">
              <w:rPr>
                <w:rFonts w:cs="Arial"/>
              </w:rPr>
              <w:t>.</w:t>
            </w:r>
          </w:p>
          <w:p w14:paraId="139BB025" w14:textId="77777777" w:rsidR="0067486B" w:rsidRPr="001E2783" w:rsidRDefault="00912008" w:rsidP="0067486B">
            <w:pPr>
              <w:pStyle w:val="ListBullet"/>
              <w:rPr>
                <w:rFonts w:cs="Arial"/>
              </w:rPr>
            </w:pPr>
            <w:r w:rsidRPr="001E2783">
              <w:rPr>
                <w:rFonts w:cs="Arial"/>
                <w:i/>
              </w:rPr>
              <w:t>Mobile apps—</w:t>
            </w:r>
            <w:r w:rsidR="0067486B" w:rsidRPr="001E2783">
              <w:rPr>
                <w:rFonts w:cs="Arial"/>
                <w:i/>
              </w:rPr>
              <w:t>putting the ‘smart’ in smartphones</w:t>
            </w:r>
            <w:r w:rsidR="00B820A2" w:rsidRPr="001E2783">
              <w:rPr>
                <w:rFonts w:cs="Arial"/>
              </w:rPr>
              <w:t>, released 20 </w:t>
            </w:r>
            <w:r w:rsidR="0067486B" w:rsidRPr="001E2783">
              <w:rPr>
                <w:rFonts w:cs="Arial"/>
              </w:rPr>
              <w:t>November 2013</w:t>
            </w:r>
            <w:r w:rsidRPr="001E2783">
              <w:rPr>
                <w:rFonts w:cs="Arial"/>
              </w:rPr>
              <w:t>. Highlights include:</w:t>
            </w:r>
          </w:p>
          <w:p w14:paraId="56C13549" w14:textId="77777777" w:rsidR="0067486B" w:rsidRPr="001E2783" w:rsidRDefault="0067486B" w:rsidP="0067486B">
            <w:pPr>
              <w:pStyle w:val="ListBullet"/>
              <w:ind w:left="590"/>
              <w:rPr>
                <w:rFonts w:cs="Arial"/>
              </w:rPr>
            </w:pPr>
            <w:r w:rsidRPr="001E2783">
              <w:rPr>
                <w:rFonts w:cs="Arial"/>
              </w:rPr>
              <w:t xml:space="preserve">11.2 million Australians aged 18 and over had a smartphone </w:t>
            </w:r>
            <w:r w:rsidR="00B820A2" w:rsidRPr="001E2783">
              <w:rPr>
                <w:rFonts w:cs="Arial"/>
              </w:rPr>
              <w:t>at June 2013, an increase of 29 </w:t>
            </w:r>
            <w:r w:rsidR="00912008" w:rsidRPr="001E2783">
              <w:rPr>
                <w:rFonts w:cs="Arial"/>
              </w:rPr>
              <w:t>per cent from the previous year</w:t>
            </w:r>
          </w:p>
          <w:p w14:paraId="4D26140D" w14:textId="77777777" w:rsidR="0067486B" w:rsidRPr="001E2783" w:rsidRDefault="0067486B" w:rsidP="00E52852">
            <w:pPr>
              <w:pStyle w:val="ListBullet"/>
              <w:spacing w:after="120"/>
              <w:ind w:left="590"/>
              <w:rPr>
                <w:rFonts w:cs="Arial"/>
              </w:rPr>
            </w:pPr>
            <w:r w:rsidRPr="001E2783">
              <w:rPr>
                <w:rFonts w:cs="Arial"/>
              </w:rPr>
              <w:t>8.9 million Australians aged 18 and over downloaded mobile apps in the six months to May 2013.</w:t>
            </w:r>
          </w:p>
          <w:p w14:paraId="48DC0B17" w14:textId="77777777" w:rsidR="00BB4019" w:rsidRPr="001E2783" w:rsidRDefault="00E52852" w:rsidP="00BB4019">
            <w:pPr>
              <w:pStyle w:val="ListBullet"/>
              <w:rPr>
                <w:rFonts w:cs="Arial"/>
                <w:i/>
                <w:iCs/>
              </w:rPr>
            </w:pPr>
            <w:r w:rsidRPr="001E2783">
              <w:rPr>
                <w:rFonts w:cs="Arial"/>
                <w:i/>
                <w:iCs/>
              </w:rPr>
              <w:t>m-Commerce—m</w:t>
            </w:r>
            <w:r w:rsidR="00BB4019" w:rsidRPr="001E2783">
              <w:rPr>
                <w:rFonts w:cs="Arial"/>
                <w:i/>
                <w:iCs/>
              </w:rPr>
              <w:t>obile transactions in Australia</w:t>
            </w:r>
            <w:r w:rsidR="00B820A2" w:rsidRPr="001E2783">
              <w:rPr>
                <w:rFonts w:cs="Arial"/>
                <w:iCs/>
              </w:rPr>
              <w:t>, released 24 </w:t>
            </w:r>
            <w:r w:rsidR="00BB4019" w:rsidRPr="001E2783">
              <w:rPr>
                <w:rFonts w:cs="Arial"/>
                <w:iCs/>
              </w:rPr>
              <w:t xml:space="preserve">June 2014. </w:t>
            </w:r>
            <w:r w:rsidR="00BB4019" w:rsidRPr="001E2783">
              <w:rPr>
                <w:rFonts w:cs="Arial"/>
              </w:rPr>
              <w:t>Highlights include</w:t>
            </w:r>
            <w:r w:rsidR="00BB4019" w:rsidRPr="001E2783">
              <w:rPr>
                <w:rFonts w:cs="Arial"/>
                <w:i/>
                <w:iCs/>
              </w:rPr>
              <w:t>:</w:t>
            </w:r>
          </w:p>
          <w:p w14:paraId="3CA25F6D" w14:textId="77777777" w:rsidR="00BB4019" w:rsidRPr="001E2783" w:rsidRDefault="00BB4019" w:rsidP="00BB4019">
            <w:pPr>
              <w:pStyle w:val="ListBullet"/>
              <w:ind w:left="590"/>
              <w:rPr>
                <w:rFonts w:cs="Arial"/>
              </w:rPr>
            </w:pPr>
            <w:r w:rsidRPr="001E2783">
              <w:rPr>
                <w:rFonts w:cs="Arial"/>
              </w:rPr>
              <w:t>3.4 million Australians aged 18 years and over used an m-commerce service during De</w:t>
            </w:r>
            <w:r w:rsidR="00B820A2" w:rsidRPr="001E2783">
              <w:rPr>
                <w:rFonts w:cs="Arial"/>
              </w:rPr>
              <w:t>cember 2013, an increase of 448 </w:t>
            </w:r>
            <w:r w:rsidRPr="001E2783">
              <w:rPr>
                <w:rFonts w:cs="Arial"/>
              </w:rPr>
              <w:t>per cent compared</w:t>
            </w:r>
            <w:r w:rsidR="003E243A" w:rsidRPr="001E2783">
              <w:rPr>
                <w:rFonts w:cs="Arial"/>
              </w:rPr>
              <w:t xml:space="preserve"> to December 2010</w:t>
            </w:r>
          </w:p>
          <w:p w14:paraId="3C33ABEB" w14:textId="77777777" w:rsidR="00BB4019" w:rsidRPr="001E2783" w:rsidRDefault="00E52852" w:rsidP="00430C5B">
            <w:pPr>
              <w:pStyle w:val="ListBullet"/>
              <w:spacing w:after="240"/>
              <w:ind w:left="590"/>
              <w:rPr>
                <w:rFonts w:cs="Arial"/>
              </w:rPr>
            </w:pPr>
            <w:r w:rsidRPr="001E2783">
              <w:rPr>
                <w:rFonts w:cs="Arial"/>
              </w:rPr>
              <w:t>t</w:t>
            </w:r>
            <w:r w:rsidR="00BB4019" w:rsidRPr="001E2783">
              <w:rPr>
                <w:rFonts w:cs="Arial"/>
              </w:rPr>
              <w:t>ransferring funds was the most common transactional m-comm</w:t>
            </w:r>
            <w:r w:rsidR="00B820A2" w:rsidRPr="001E2783">
              <w:rPr>
                <w:rFonts w:cs="Arial"/>
              </w:rPr>
              <w:t>erce activity, undertaken by 77 </w:t>
            </w:r>
            <w:r w:rsidR="00BB4019" w:rsidRPr="001E2783">
              <w:rPr>
                <w:rFonts w:cs="Arial"/>
              </w:rPr>
              <w:t>per cent of m-commerce users during December 2013.</w:t>
            </w:r>
          </w:p>
          <w:p w14:paraId="25572F9D" w14:textId="77777777" w:rsidR="0067486B" w:rsidRPr="001E2783" w:rsidRDefault="0067486B" w:rsidP="0067486B">
            <w:pPr>
              <w:rPr>
                <w:rFonts w:cs="Arial"/>
              </w:rPr>
            </w:pPr>
            <w:r w:rsidRPr="001E2783">
              <w:rPr>
                <w:rFonts w:cs="Arial"/>
              </w:rPr>
              <w:t>The snapshot series format has had great success externally, collectively receiving 230 social media mentions, 3,000 Facebook views, over 900 views of YouTube videos, nearly 5,000 views of related ACMA blogs and 230 retweet</w:t>
            </w:r>
            <w:r w:rsidR="00912008" w:rsidRPr="001E2783">
              <w:rPr>
                <w:rFonts w:cs="Arial"/>
              </w:rPr>
              <w:t>s</w:t>
            </w:r>
            <w:r w:rsidRPr="001E2783">
              <w:rPr>
                <w:rFonts w:cs="Arial"/>
              </w:rPr>
              <w:t xml:space="preserve">. </w:t>
            </w:r>
          </w:p>
          <w:p w14:paraId="1CCA5A53" w14:textId="77777777" w:rsidR="0067486B" w:rsidRPr="001E2783" w:rsidRDefault="0067486B" w:rsidP="0067486B">
            <w:pPr>
              <w:pStyle w:val="ListBullet"/>
              <w:numPr>
                <w:ilvl w:val="0"/>
                <w:numId w:val="0"/>
              </w:numPr>
              <w:ind w:left="295" w:hanging="295"/>
              <w:rPr>
                <w:rFonts w:cs="Arial"/>
                <w:i/>
                <w:highlight w:val="yellow"/>
              </w:rPr>
            </w:pPr>
          </w:p>
          <w:p w14:paraId="19F7F626" w14:textId="77777777" w:rsidR="006B7EBD" w:rsidRPr="001E2783" w:rsidRDefault="008A6B26" w:rsidP="00332607">
            <w:pPr>
              <w:pStyle w:val="ListBullet"/>
              <w:numPr>
                <w:ilvl w:val="0"/>
                <w:numId w:val="0"/>
              </w:numPr>
              <w:ind w:left="295" w:hanging="295"/>
              <w:rPr>
                <w:rFonts w:cs="Arial"/>
              </w:rPr>
            </w:pPr>
            <w:r w:rsidRPr="001E2783">
              <w:rPr>
                <w:rFonts w:cs="Arial"/>
              </w:rPr>
              <w:t>The r</w:t>
            </w:r>
            <w:r w:rsidR="0067486B" w:rsidRPr="001E2783">
              <w:rPr>
                <w:rFonts w:cs="Arial"/>
              </w:rPr>
              <w:t>esearch</w:t>
            </w:r>
            <w:r w:rsidRPr="001E2783">
              <w:rPr>
                <w:rFonts w:cs="Arial"/>
                <w:b/>
              </w:rPr>
              <w:t>acma</w:t>
            </w:r>
            <w:r w:rsidR="0067486B" w:rsidRPr="001E2783">
              <w:rPr>
                <w:rFonts w:cs="Arial"/>
              </w:rPr>
              <w:t xml:space="preserve"> snapshots are available on the ACMA website.</w:t>
            </w:r>
          </w:p>
        </w:tc>
      </w:tr>
      <w:tr w:rsidR="001E2783" w:rsidRPr="001E2783" w14:paraId="2DFD27BF" w14:textId="77777777" w:rsidTr="00EC3D98">
        <w:trPr>
          <w:trHeight w:val="97"/>
        </w:trPr>
        <w:tc>
          <w:tcPr>
            <w:tcW w:w="9645" w:type="dxa"/>
            <w:tcBorders>
              <w:bottom w:val="single" w:sz="2" w:space="0" w:color="505050"/>
            </w:tcBorders>
            <w:shd w:val="clear" w:color="auto" w:fill="F2F2F2" w:themeFill="background1" w:themeFillShade="F2"/>
          </w:tcPr>
          <w:p w14:paraId="2DA1A9D5" w14:textId="77777777" w:rsidR="00AA04D5" w:rsidRPr="001E2783" w:rsidRDefault="00AA04D5" w:rsidP="00B07ED8">
            <w:pPr>
              <w:pStyle w:val="Imagecaption"/>
            </w:pPr>
          </w:p>
        </w:tc>
      </w:tr>
    </w:tbl>
    <w:p w14:paraId="63EA9C48" w14:textId="77777777" w:rsidR="00AA04D5" w:rsidRPr="001E2783" w:rsidRDefault="00AA04D5" w:rsidP="00AA04D5">
      <w:pPr>
        <w:rPr>
          <w:rFonts w:cs="Arial"/>
        </w:rPr>
      </w:pPr>
      <w:bookmarkStart w:id="267" w:name="_Toc264884806"/>
    </w:p>
    <w:p w14:paraId="3A7A6474" w14:textId="77777777" w:rsidR="00CC119D" w:rsidRPr="007F3FB8" w:rsidRDefault="00CC119D" w:rsidP="007F3FB8">
      <w:pPr>
        <w:pStyle w:val="Heading1"/>
      </w:pPr>
      <w:bookmarkStart w:id="268" w:name="_Toc297623576"/>
      <w:bookmarkStart w:id="269" w:name="_Toc337727645"/>
      <w:bookmarkStart w:id="270" w:name="_Toc400018612"/>
      <w:bookmarkEnd w:id="267"/>
      <w:r w:rsidRPr="007F3FB8">
        <w:t>Chapter 4: Managing and developing our resources</w:t>
      </w:r>
      <w:bookmarkEnd w:id="268"/>
      <w:bookmarkEnd w:id="269"/>
      <w:bookmarkEnd w:id="270"/>
    </w:p>
    <w:p w14:paraId="046C7802" w14:textId="77777777" w:rsidR="007D4A64" w:rsidRPr="001E2783" w:rsidRDefault="007D4A64" w:rsidP="007D4A64">
      <w:pPr>
        <w:rPr>
          <w:rFonts w:cs="Arial"/>
        </w:rPr>
      </w:pPr>
      <w:r w:rsidRPr="001E2783">
        <w:rPr>
          <w:rFonts w:cs="Arial"/>
        </w:rPr>
        <w:t xml:space="preserve">Chapter 4 details the ACMA’s </w:t>
      </w:r>
      <w:r w:rsidR="0015160A" w:rsidRPr="001E2783">
        <w:rPr>
          <w:rFonts w:cs="Arial"/>
        </w:rPr>
        <w:t xml:space="preserve">staffing arrangements, </w:t>
      </w:r>
      <w:r w:rsidR="00612EDF" w:rsidRPr="001E2783">
        <w:rPr>
          <w:rFonts w:cs="Arial"/>
        </w:rPr>
        <w:t xml:space="preserve">governance, </w:t>
      </w:r>
      <w:r w:rsidRPr="001E2783">
        <w:rPr>
          <w:rFonts w:cs="Arial"/>
        </w:rPr>
        <w:t xml:space="preserve">information management, communications and engagement, and financial and property management. </w:t>
      </w:r>
    </w:p>
    <w:p w14:paraId="50448B3D" w14:textId="77777777" w:rsidR="007D4A64" w:rsidRPr="001E2783" w:rsidRDefault="007D4A64" w:rsidP="007D4A64">
      <w:pPr>
        <w:rPr>
          <w:rFonts w:cs="Arial"/>
        </w:rPr>
      </w:pPr>
    </w:p>
    <w:p w14:paraId="709E8AEF" w14:textId="77777777" w:rsidR="00CC119D" w:rsidRPr="001E2783" w:rsidRDefault="007D4A64" w:rsidP="007D4A64">
      <w:pPr>
        <w:rPr>
          <w:rFonts w:cs="Arial"/>
        </w:rPr>
      </w:pPr>
      <w:r w:rsidRPr="001E2783">
        <w:rPr>
          <w:rFonts w:cs="Arial"/>
        </w:rPr>
        <w:t>The ACMA continues to focus on strengthening its planning and resource management frameworks.</w:t>
      </w:r>
    </w:p>
    <w:p w14:paraId="0D44E29F" w14:textId="77777777" w:rsidR="007D4A64" w:rsidRPr="001E2783" w:rsidRDefault="007D4A64" w:rsidP="007D4A64">
      <w:pPr>
        <w:rPr>
          <w:rFonts w:cs="Arial"/>
        </w:rPr>
      </w:pPr>
    </w:p>
    <w:p w14:paraId="26B6A18A" w14:textId="77777777" w:rsidR="007D4A64" w:rsidRPr="001E2783" w:rsidRDefault="007D4A64" w:rsidP="007D4A64">
      <w:pPr>
        <w:pStyle w:val="Heading2"/>
      </w:pPr>
      <w:bookmarkStart w:id="271" w:name="_Toc400018613"/>
      <w:r w:rsidRPr="001E2783">
        <w:t>Governance</w:t>
      </w:r>
      <w:bookmarkEnd w:id="271"/>
    </w:p>
    <w:p w14:paraId="475FF251" w14:textId="77777777" w:rsidR="007D4A64" w:rsidRPr="001E2783" w:rsidRDefault="007D4A64" w:rsidP="007D4A64">
      <w:pPr>
        <w:rPr>
          <w:rFonts w:cs="Arial"/>
        </w:rPr>
      </w:pPr>
      <w:r w:rsidRPr="001E2783">
        <w:rPr>
          <w:rFonts w:cs="Arial"/>
        </w:rPr>
        <w:t xml:space="preserve">The ACMA operates under the </w:t>
      </w:r>
      <w:r w:rsidRPr="001E2783">
        <w:rPr>
          <w:rFonts w:cs="Arial"/>
          <w:i/>
        </w:rPr>
        <w:t>Financial Ma</w:t>
      </w:r>
      <w:r w:rsidR="007B6A49" w:rsidRPr="001E2783">
        <w:rPr>
          <w:rFonts w:cs="Arial"/>
          <w:i/>
        </w:rPr>
        <w:t>nagement and Accountability Act </w:t>
      </w:r>
      <w:r w:rsidRPr="001E2783">
        <w:rPr>
          <w:rFonts w:cs="Arial"/>
          <w:i/>
        </w:rPr>
        <w:t>1997</w:t>
      </w:r>
      <w:r w:rsidR="0015160A" w:rsidRPr="001E2783">
        <w:rPr>
          <w:rFonts w:cs="Arial"/>
        </w:rPr>
        <w:t xml:space="preserve"> (</w:t>
      </w:r>
      <w:r w:rsidRPr="001E2783">
        <w:rPr>
          <w:rFonts w:cs="Arial"/>
        </w:rPr>
        <w:t xml:space="preserve">FMA Act), where responsibility for governance and management of the ACMA resides with the Chairman as the Chief Executive Officer. The ACMA Chairman is also the head of the ACMA for the purposes of the </w:t>
      </w:r>
      <w:r w:rsidRPr="001E2783">
        <w:rPr>
          <w:rFonts w:cs="Arial"/>
          <w:i/>
        </w:rPr>
        <w:t>Public Service Act 1999</w:t>
      </w:r>
      <w:r w:rsidRPr="001E2783">
        <w:rPr>
          <w:rFonts w:cs="Arial"/>
        </w:rPr>
        <w:t xml:space="preserve"> and has the rights, duties and powers of an employer for Australian Public Service employees in the ACMA.</w:t>
      </w:r>
    </w:p>
    <w:p w14:paraId="46DFD655" w14:textId="77777777" w:rsidR="007D4A64" w:rsidRPr="001E2783" w:rsidRDefault="007D4A64" w:rsidP="007D4A64">
      <w:pPr>
        <w:rPr>
          <w:rFonts w:cs="Arial"/>
        </w:rPr>
      </w:pPr>
    </w:p>
    <w:p w14:paraId="142E4A9B" w14:textId="77777777" w:rsidR="007D4A64" w:rsidRPr="001E2783" w:rsidRDefault="007D4A64" w:rsidP="007D4A64">
      <w:pPr>
        <w:rPr>
          <w:rFonts w:cs="Arial"/>
        </w:rPr>
      </w:pPr>
      <w:r w:rsidRPr="001E2783">
        <w:rPr>
          <w:rFonts w:cs="Arial"/>
        </w:rPr>
        <w:t>Throughout 2013</w:t>
      </w:r>
      <w:r w:rsidR="0015160A" w:rsidRPr="001E2783">
        <w:rPr>
          <w:rFonts w:cs="Arial"/>
        </w:rPr>
        <w:t>–</w:t>
      </w:r>
      <w:r w:rsidRPr="001E2783">
        <w:rPr>
          <w:rFonts w:cs="Arial"/>
        </w:rPr>
        <w:t xml:space="preserve">14, the ACMA’s Executive Group assisted the Chairman in his role as the Chief Executive Officer of the ACMA by </w:t>
      </w:r>
      <w:r w:rsidR="0015160A" w:rsidRPr="001E2783">
        <w:rPr>
          <w:rFonts w:cs="Arial"/>
        </w:rPr>
        <w:t>advising</w:t>
      </w:r>
      <w:r w:rsidRPr="001E2783">
        <w:rPr>
          <w:rFonts w:cs="Arial"/>
        </w:rPr>
        <w:t xml:space="preserve"> on issues of high-level corporate or strategic significanc</w:t>
      </w:r>
      <w:r w:rsidR="0015160A" w:rsidRPr="001E2783">
        <w:rPr>
          <w:rFonts w:cs="Arial"/>
        </w:rPr>
        <w:t>e. The Executive Group comprises</w:t>
      </w:r>
      <w:r w:rsidRPr="001E2783">
        <w:rPr>
          <w:rFonts w:cs="Arial"/>
        </w:rPr>
        <w:t xml:space="preserve"> the Chairman, Deputy Chairman, full-time Member and the five Senior Executive Service </w:t>
      </w:r>
      <w:r w:rsidR="00890707" w:rsidRPr="001E2783">
        <w:rPr>
          <w:rFonts w:cs="Arial"/>
        </w:rPr>
        <w:t>(SES) Band </w:t>
      </w:r>
      <w:r w:rsidRPr="001E2783">
        <w:rPr>
          <w:rFonts w:cs="Arial"/>
        </w:rPr>
        <w:t>2 General Managers. The ACMA also has a number of other high-level committees overseeing finance and resource management, compliance and enforcement</w:t>
      </w:r>
      <w:r w:rsidR="0015160A" w:rsidRPr="001E2783">
        <w:rPr>
          <w:rFonts w:cs="Arial"/>
        </w:rPr>
        <w:t>,</w:t>
      </w:r>
      <w:r w:rsidRPr="001E2783">
        <w:rPr>
          <w:rFonts w:cs="Arial"/>
        </w:rPr>
        <w:t xml:space="preserve"> and information technology. </w:t>
      </w:r>
    </w:p>
    <w:p w14:paraId="4EF0D9F9" w14:textId="77777777" w:rsidR="007D4A64" w:rsidRPr="001E2783" w:rsidRDefault="007D4A64" w:rsidP="007D4A64">
      <w:pPr>
        <w:rPr>
          <w:rFonts w:cs="Arial"/>
        </w:rPr>
      </w:pPr>
    </w:p>
    <w:p w14:paraId="08E7121B" w14:textId="77777777" w:rsidR="007D4A64" w:rsidRPr="001E2783" w:rsidRDefault="007D4A64" w:rsidP="007D4A64">
      <w:pPr>
        <w:pStyle w:val="Heading3"/>
      </w:pPr>
      <w:bookmarkStart w:id="272" w:name="_Toc400018614"/>
      <w:r w:rsidRPr="001E2783">
        <w:t>Corporate planning</w:t>
      </w:r>
      <w:bookmarkEnd w:id="272"/>
      <w:r w:rsidRPr="001E2783">
        <w:t xml:space="preserve"> </w:t>
      </w:r>
    </w:p>
    <w:p w14:paraId="23AE57D3" w14:textId="77777777" w:rsidR="007D4A64" w:rsidRPr="001E2783" w:rsidRDefault="007D4A64" w:rsidP="007D4A64">
      <w:pPr>
        <w:spacing w:after="80"/>
        <w:rPr>
          <w:rFonts w:cs="Arial"/>
        </w:rPr>
      </w:pPr>
      <w:r w:rsidRPr="001E2783">
        <w:rPr>
          <w:rFonts w:cs="Arial"/>
        </w:rPr>
        <w:t>The ACMA</w:t>
      </w:r>
      <w:r w:rsidR="0015160A" w:rsidRPr="001E2783">
        <w:rPr>
          <w:rFonts w:cs="Arial"/>
        </w:rPr>
        <w:t xml:space="preserve"> c</w:t>
      </w:r>
      <w:r w:rsidRPr="001E2783">
        <w:rPr>
          <w:rFonts w:cs="Arial"/>
        </w:rPr>
        <w:t xml:space="preserve">orporate </w:t>
      </w:r>
      <w:r w:rsidR="0015160A" w:rsidRPr="001E2783">
        <w:rPr>
          <w:rFonts w:cs="Arial"/>
        </w:rPr>
        <w:t>p</w:t>
      </w:r>
      <w:r w:rsidRPr="001E2783">
        <w:rPr>
          <w:rFonts w:cs="Arial"/>
        </w:rPr>
        <w:t xml:space="preserve">lan is a high-level document that the agency must prepare and submit to the </w:t>
      </w:r>
      <w:r w:rsidR="004C1FA8" w:rsidRPr="001E2783">
        <w:rPr>
          <w:rFonts w:cs="Arial"/>
        </w:rPr>
        <w:t>m</w:t>
      </w:r>
      <w:r w:rsidR="007B6A49" w:rsidRPr="001E2783">
        <w:rPr>
          <w:rFonts w:cs="Arial"/>
        </w:rPr>
        <w:t>inister each year under section </w:t>
      </w:r>
      <w:r w:rsidRPr="001E2783">
        <w:rPr>
          <w:rFonts w:cs="Arial"/>
        </w:rPr>
        <w:t xml:space="preserve">56 of the ACMA Act. The plan covers a three-year period and identifies the ACMA’s objectives and priorities, as well as the necessary strategies to achieve them. It is also reflected at an individual level in performance management plans agreed between </w:t>
      </w:r>
      <w:r w:rsidR="004C1FA8" w:rsidRPr="001E2783">
        <w:rPr>
          <w:rFonts w:cs="Arial"/>
        </w:rPr>
        <w:t>staff members and supervisors. In 2013–</w:t>
      </w:r>
      <w:r w:rsidRPr="001E2783">
        <w:rPr>
          <w:rFonts w:cs="Arial"/>
        </w:rPr>
        <w:t>14, the ACMA undertook a major review of its strategic priorities and began implement</w:t>
      </w:r>
      <w:r w:rsidR="004C1FA8" w:rsidRPr="001E2783">
        <w:rPr>
          <w:rFonts w:cs="Arial"/>
        </w:rPr>
        <w:t>ing</w:t>
      </w:r>
      <w:r w:rsidRPr="001E2783">
        <w:rPr>
          <w:rFonts w:cs="Arial"/>
        </w:rPr>
        <w:t xml:space="preserve"> a new integrated planning and reporting framework. A key element of this framework is </w:t>
      </w:r>
      <w:r w:rsidR="004C1FA8" w:rsidRPr="001E2783">
        <w:rPr>
          <w:rFonts w:cs="Arial"/>
        </w:rPr>
        <w:t>the ACMA’s outcomes-focus</w:t>
      </w:r>
      <w:r w:rsidRPr="001E2783">
        <w:rPr>
          <w:rFonts w:cs="Arial"/>
        </w:rPr>
        <w:t>ed corporate plan</w:t>
      </w:r>
      <w:r w:rsidR="004C1FA8" w:rsidRPr="001E2783">
        <w:rPr>
          <w:rFonts w:cs="Arial"/>
        </w:rPr>
        <w:t>,</w:t>
      </w:r>
      <w:r w:rsidRPr="001E2783">
        <w:rPr>
          <w:rFonts w:cs="Arial"/>
        </w:rPr>
        <w:t xml:space="preserve"> which seeks to: </w:t>
      </w:r>
    </w:p>
    <w:p w14:paraId="726BEE19" w14:textId="77777777" w:rsidR="007D4A64" w:rsidRPr="001E2783" w:rsidRDefault="007D4A64" w:rsidP="007D4A64">
      <w:pPr>
        <w:pStyle w:val="ListBullet"/>
        <w:rPr>
          <w:rFonts w:cs="Arial"/>
        </w:rPr>
      </w:pPr>
      <w:r w:rsidRPr="001E2783">
        <w:rPr>
          <w:rFonts w:cs="Arial"/>
        </w:rPr>
        <w:t xml:space="preserve">drive effectiveness by focusing on and measuring the outcomes that are important to the ACMA and its stakeholders </w:t>
      </w:r>
    </w:p>
    <w:p w14:paraId="319A3AFB" w14:textId="77777777" w:rsidR="007D4A64" w:rsidRPr="001E2783" w:rsidRDefault="007D4A64" w:rsidP="007D4A64">
      <w:pPr>
        <w:pStyle w:val="ListBullet"/>
        <w:rPr>
          <w:rFonts w:cs="Arial"/>
        </w:rPr>
      </w:pPr>
      <w:r w:rsidRPr="001E2783">
        <w:rPr>
          <w:rFonts w:cs="Arial"/>
        </w:rPr>
        <w:t xml:space="preserve">communicate the value that the ACMA delivers to the community by defining KPIs for each outcome and reporting these to the public </w:t>
      </w:r>
    </w:p>
    <w:p w14:paraId="04D57971" w14:textId="77777777" w:rsidR="007D4A64" w:rsidRPr="001E2783" w:rsidRDefault="007D4A64" w:rsidP="007D4A64">
      <w:pPr>
        <w:pStyle w:val="ListBullet"/>
        <w:spacing w:after="240"/>
        <w:rPr>
          <w:rFonts w:cs="Arial"/>
        </w:rPr>
      </w:pPr>
      <w:r w:rsidRPr="001E2783">
        <w:rPr>
          <w:rFonts w:cs="Arial"/>
        </w:rPr>
        <w:t xml:space="preserve">drive internal alignment, performance and accountability by </w:t>
      </w:r>
      <w:r w:rsidR="004C1FA8" w:rsidRPr="001E2783">
        <w:rPr>
          <w:rFonts w:cs="Arial"/>
        </w:rPr>
        <w:t>appropriately reflecting</w:t>
      </w:r>
      <w:r w:rsidRPr="001E2783">
        <w:rPr>
          <w:rFonts w:cs="Arial"/>
        </w:rPr>
        <w:t xml:space="preserve"> ou</w:t>
      </w:r>
      <w:r w:rsidR="00694B76" w:rsidRPr="001E2783">
        <w:rPr>
          <w:rFonts w:cs="Arial"/>
        </w:rPr>
        <w:t>tcomes and KPIs defined in the c</w:t>
      </w:r>
      <w:r w:rsidRPr="001E2783">
        <w:rPr>
          <w:rFonts w:cs="Arial"/>
        </w:rPr>
        <w:t xml:space="preserve">orporate </w:t>
      </w:r>
      <w:r w:rsidR="00694B76" w:rsidRPr="001E2783">
        <w:rPr>
          <w:rFonts w:cs="Arial"/>
        </w:rPr>
        <w:t>p</w:t>
      </w:r>
      <w:r w:rsidRPr="001E2783">
        <w:rPr>
          <w:rFonts w:cs="Arial"/>
        </w:rPr>
        <w:t xml:space="preserve">lan </w:t>
      </w:r>
      <w:r w:rsidR="004C1FA8" w:rsidRPr="001E2783">
        <w:rPr>
          <w:rFonts w:cs="Arial"/>
        </w:rPr>
        <w:t>in the internal business plans</w:t>
      </w:r>
      <w:r w:rsidRPr="001E2783">
        <w:rPr>
          <w:rFonts w:cs="Arial"/>
        </w:rPr>
        <w:t xml:space="preserve"> and staff performance agreements.</w:t>
      </w:r>
    </w:p>
    <w:p w14:paraId="0CA097C1" w14:textId="77777777" w:rsidR="007D4A64" w:rsidRPr="001E2783" w:rsidRDefault="007D4A64" w:rsidP="007D4A64">
      <w:pPr>
        <w:rPr>
          <w:rFonts w:cs="Arial"/>
        </w:rPr>
      </w:pPr>
      <w:r w:rsidRPr="001E2783">
        <w:rPr>
          <w:rFonts w:cs="Arial"/>
        </w:rPr>
        <w:t xml:space="preserve">Implementation of this integrated </w:t>
      </w:r>
      <w:r w:rsidR="00E93279" w:rsidRPr="001E2783">
        <w:rPr>
          <w:rFonts w:cs="Arial"/>
        </w:rPr>
        <w:t xml:space="preserve">framework will continue in 2014–15 and beyond. </w:t>
      </w:r>
      <w:r w:rsidRPr="001E2783">
        <w:rPr>
          <w:rFonts w:cs="Arial"/>
        </w:rPr>
        <w:t>The current corporate plan covers 2013</w:t>
      </w:r>
      <w:r w:rsidR="00E93279" w:rsidRPr="001E2783">
        <w:rPr>
          <w:rFonts w:cs="Arial"/>
        </w:rPr>
        <w:t>–</w:t>
      </w:r>
      <w:r w:rsidRPr="001E2783">
        <w:rPr>
          <w:rFonts w:cs="Arial"/>
        </w:rPr>
        <w:t xml:space="preserve">16 and is available on the ACMA website. </w:t>
      </w:r>
    </w:p>
    <w:p w14:paraId="07EA8755" w14:textId="77777777" w:rsidR="007D4A64" w:rsidRPr="001E2783" w:rsidRDefault="007D4A64" w:rsidP="007D4A64">
      <w:pPr>
        <w:rPr>
          <w:rFonts w:cs="Arial"/>
        </w:rPr>
      </w:pPr>
    </w:p>
    <w:p w14:paraId="4B566E8B" w14:textId="77777777" w:rsidR="007D4A64" w:rsidRPr="001E2783" w:rsidRDefault="007D4A64" w:rsidP="007D4A64">
      <w:pPr>
        <w:pStyle w:val="Heading3"/>
      </w:pPr>
      <w:bookmarkStart w:id="273" w:name="_Toc400018615"/>
      <w:r w:rsidRPr="001E2783">
        <w:t>Risk management</w:t>
      </w:r>
      <w:bookmarkEnd w:id="273"/>
    </w:p>
    <w:p w14:paraId="4DDB99D8" w14:textId="77777777" w:rsidR="007D4A64" w:rsidRPr="001E2783" w:rsidRDefault="007D4A64" w:rsidP="007D4A64">
      <w:pPr>
        <w:rPr>
          <w:rFonts w:cs="Arial"/>
        </w:rPr>
      </w:pPr>
      <w:r w:rsidRPr="001E2783">
        <w:rPr>
          <w:rFonts w:cs="Arial"/>
        </w:rPr>
        <w:t xml:space="preserve">The ACMA is committed to promoting a culture that is risk-aware, </w:t>
      </w:r>
      <w:r w:rsidR="00E93279" w:rsidRPr="001E2783">
        <w:rPr>
          <w:rFonts w:cs="Arial"/>
        </w:rPr>
        <w:t xml:space="preserve">makes decisions based </w:t>
      </w:r>
      <w:r w:rsidRPr="001E2783">
        <w:rPr>
          <w:rFonts w:cs="Arial"/>
        </w:rPr>
        <w:t xml:space="preserve">on a structured and rigorous approach to risk management and </w:t>
      </w:r>
      <w:r w:rsidR="00E93279" w:rsidRPr="001E2783">
        <w:rPr>
          <w:rFonts w:cs="Arial"/>
        </w:rPr>
        <w:t>encourages informed risk-</w:t>
      </w:r>
      <w:r w:rsidRPr="001E2783">
        <w:rPr>
          <w:rFonts w:cs="Arial"/>
        </w:rPr>
        <w:t>taking</w:t>
      </w:r>
      <w:r w:rsidR="00E93279" w:rsidRPr="001E2783">
        <w:rPr>
          <w:rFonts w:cs="Arial"/>
        </w:rPr>
        <w:t>,</w:t>
      </w:r>
      <w:r w:rsidRPr="001E2783">
        <w:rPr>
          <w:rFonts w:cs="Arial"/>
        </w:rPr>
        <w:t xml:space="preserve"> including by anticipating potential barriers to achieving agency outcomes. </w:t>
      </w:r>
    </w:p>
    <w:p w14:paraId="7CA9DB04" w14:textId="77777777" w:rsidR="007D4A64" w:rsidRPr="001E2783" w:rsidRDefault="007D4A64" w:rsidP="007D4A64">
      <w:pPr>
        <w:rPr>
          <w:rFonts w:cs="Arial"/>
        </w:rPr>
      </w:pPr>
    </w:p>
    <w:p w14:paraId="1B4429B5" w14:textId="77777777" w:rsidR="007D4A64" w:rsidRPr="001E2783" w:rsidRDefault="007D4A64" w:rsidP="007D4A64">
      <w:pPr>
        <w:rPr>
          <w:rFonts w:cs="Arial"/>
        </w:rPr>
      </w:pPr>
      <w:r w:rsidRPr="001E2783">
        <w:rPr>
          <w:rFonts w:cs="Arial"/>
        </w:rPr>
        <w:t>The Executive Group focuses on managing and review</w:t>
      </w:r>
      <w:r w:rsidR="00E93279" w:rsidRPr="001E2783">
        <w:rPr>
          <w:rFonts w:cs="Arial"/>
        </w:rPr>
        <w:t>ing key business risks. In 2013–</w:t>
      </w:r>
      <w:r w:rsidRPr="001E2783">
        <w:rPr>
          <w:rFonts w:cs="Arial"/>
        </w:rPr>
        <w:t>14, the ACMA undertook an intensive process of reviewing and updating these risks</w:t>
      </w:r>
      <w:r w:rsidR="00E93279" w:rsidRPr="001E2783">
        <w:rPr>
          <w:rFonts w:cs="Arial"/>
        </w:rPr>
        <w:t>,</w:t>
      </w:r>
      <w:r w:rsidRPr="001E2783">
        <w:rPr>
          <w:rFonts w:cs="Arial"/>
        </w:rPr>
        <w:t xml:space="preserve"> and enhancing the alignment between identified key business</w:t>
      </w:r>
      <w:r w:rsidR="008A6B26" w:rsidRPr="001E2783">
        <w:rPr>
          <w:rFonts w:cs="Arial"/>
        </w:rPr>
        <w:t>-</w:t>
      </w:r>
      <w:r w:rsidRPr="001E2783">
        <w:rPr>
          <w:rFonts w:cs="Arial"/>
        </w:rPr>
        <w:t xml:space="preserve"> and </w:t>
      </w:r>
      <w:r w:rsidR="008A6B26" w:rsidRPr="001E2783">
        <w:rPr>
          <w:rFonts w:cs="Arial"/>
        </w:rPr>
        <w:t>division-</w:t>
      </w:r>
      <w:r w:rsidRPr="001E2783">
        <w:rPr>
          <w:rFonts w:cs="Arial"/>
        </w:rPr>
        <w:t xml:space="preserve">level risks and </w:t>
      </w:r>
      <w:r w:rsidR="00E93279" w:rsidRPr="001E2783">
        <w:rPr>
          <w:rFonts w:cs="Arial"/>
        </w:rPr>
        <w:t>the</w:t>
      </w:r>
      <w:r w:rsidRPr="001E2783">
        <w:rPr>
          <w:rFonts w:cs="Arial"/>
        </w:rPr>
        <w:t xml:space="preserve"> internal audit program. The Audit Committee plays an active role in providing assurance around identified key business</w:t>
      </w:r>
      <w:r w:rsidR="008A6B26" w:rsidRPr="001E2783">
        <w:rPr>
          <w:rFonts w:cs="Arial"/>
        </w:rPr>
        <w:t>- and division-</w:t>
      </w:r>
      <w:r w:rsidRPr="001E2783">
        <w:rPr>
          <w:rFonts w:cs="Arial"/>
        </w:rPr>
        <w:t>level risks and the operation of the broader Risk Management Framework. The ACMA also actively participates in Comcover’s Benchmarking Risk Management Program.</w:t>
      </w:r>
    </w:p>
    <w:p w14:paraId="2100C4F8" w14:textId="77777777" w:rsidR="007D4A64" w:rsidRPr="001E2783" w:rsidRDefault="007D4A64" w:rsidP="007D4A64">
      <w:pPr>
        <w:rPr>
          <w:rFonts w:cs="Arial"/>
        </w:rPr>
      </w:pPr>
    </w:p>
    <w:p w14:paraId="35912B1F" w14:textId="77777777" w:rsidR="007D4A64" w:rsidRPr="001E2783" w:rsidRDefault="007D4A64" w:rsidP="007D4A64">
      <w:pPr>
        <w:rPr>
          <w:rFonts w:cs="Arial"/>
        </w:rPr>
      </w:pPr>
      <w:r w:rsidRPr="001E2783">
        <w:rPr>
          <w:rFonts w:cs="Arial"/>
        </w:rPr>
        <w:t xml:space="preserve">The ACMA’s fraud control arrangements form part of its Risk Management Framework and are an important component of maintaining a risk management culture. The ACMA has appropriate fraud prevention, detection, investigation, reporting, and data collection procedures </w:t>
      </w:r>
      <w:r w:rsidR="00E93279" w:rsidRPr="001E2783">
        <w:rPr>
          <w:rFonts w:cs="Arial"/>
        </w:rPr>
        <w:t>and processes in place. In 2013–</w:t>
      </w:r>
      <w:r w:rsidRPr="001E2783">
        <w:rPr>
          <w:rFonts w:cs="Arial"/>
        </w:rPr>
        <w:t xml:space="preserve">14, the ACMA updated its Fraud Control Plan, which complies with the Commonwealth Fraud Control Guidelines 2011. </w:t>
      </w:r>
    </w:p>
    <w:p w14:paraId="1D30139D" w14:textId="77777777" w:rsidR="007D4A64" w:rsidRPr="001E2783" w:rsidRDefault="007D4A64" w:rsidP="007D4A64">
      <w:pPr>
        <w:rPr>
          <w:rFonts w:cs="Arial"/>
        </w:rPr>
      </w:pPr>
    </w:p>
    <w:p w14:paraId="586D2F39" w14:textId="77777777" w:rsidR="007D4A64" w:rsidRPr="001E2783" w:rsidRDefault="007D4A64" w:rsidP="007D4A64">
      <w:pPr>
        <w:pStyle w:val="Heading3"/>
      </w:pPr>
      <w:bookmarkStart w:id="274" w:name="_Toc400018616"/>
      <w:r w:rsidRPr="001E2783">
        <w:t>Audit</w:t>
      </w:r>
      <w:bookmarkEnd w:id="274"/>
    </w:p>
    <w:p w14:paraId="6FB97898" w14:textId="77777777" w:rsidR="007D4A64" w:rsidRPr="001E2783" w:rsidRDefault="007D4A64" w:rsidP="007D4A64">
      <w:pPr>
        <w:rPr>
          <w:rFonts w:cs="Arial"/>
        </w:rPr>
      </w:pPr>
      <w:r w:rsidRPr="001E2783">
        <w:rPr>
          <w:rFonts w:cs="Arial"/>
        </w:rPr>
        <w:t>The ACMA Audit Committee provides independent advice to the Chairman on the ACMA’s risk, control and compliance framework, as well as its external accountabilit</w:t>
      </w:r>
      <w:r w:rsidR="00E93279" w:rsidRPr="001E2783">
        <w:rPr>
          <w:rFonts w:cs="Arial"/>
        </w:rPr>
        <w:t>y responsibilities. During 2013–</w:t>
      </w:r>
      <w:r w:rsidRPr="001E2783">
        <w:rPr>
          <w:rFonts w:cs="Arial"/>
        </w:rPr>
        <w:t>14, the Audit Committee continued to look at key corporate and regulatory processes.</w:t>
      </w:r>
    </w:p>
    <w:p w14:paraId="395445B9" w14:textId="77777777" w:rsidR="007D4A64" w:rsidRPr="001E2783" w:rsidRDefault="007D4A64" w:rsidP="007D4A64">
      <w:pPr>
        <w:rPr>
          <w:rFonts w:cs="Arial"/>
        </w:rPr>
      </w:pPr>
    </w:p>
    <w:p w14:paraId="71039043" w14:textId="77777777" w:rsidR="007D4A64" w:rsidRPr="001E2783" w:rsidRDefault="007D4A64" w:rsidP="007D4A64">
      <w:pPr>
        <w:rPr>
          <w:rFonts w:cs="Arial"/>
        </w:rPr>
      </w:pPr>
      <w:r w:rsidRPr="001E2783">
        <w:rPr>
          <w:rFonts w:cs="Arial"/>
        </w:rPr>
        <w:t>The ACMA’s internal audit services are provided by Protiviti and overseen by the Audit Committee. The 2013</w:t>
      </w:r>
      <w:r w:rsidR="00890707" w:rsidRPr="001E2783">
        <w:rPr>
          <w:rFonts w:cs="Arial"/>
        </w:rPr>
        <w:t>–</w:t>
      </w:r>
      <w:r w:rsidRPr="001E2783">
        <w:rPr>
          <w:rFonts w:cs="Arial"/>
        </w:rPr>
        <w:t>14 Internal Audit Plan was developed by taking into account key business risks as well as si</w:t>
      </w:r>
      <w:r w:rsidR="00890707" w:rsidRPr="001E2783">
        <w:rPr>
          <w:rFonts w:cs="Arial"/>
        </w:rPr>
        <w:t>gnificant emerging risks. The pl</w:t>
      </w:r>
      <w:r w:rsidRPr="001E2783">
        <w:rPr>
          <w:rFonts w:cs="Arial"/>
        </w:rPr>
        <w:t xml:space="preserve">an was developed in consultation with senior management and the Audit Committee, and all internal audit reports were reviewed by the Audit Committee. </w:t>
      </w:r>
    </w:p>
    <w:p w14:paraId="30C2542D" w14:textId="77777777" w:rsidR="00E93279" w:rsidRPr="001E2783" w:rsidRDefault="00E93279" w:rsidP="007D4A64">
      <w:pPr>
        <w:rPr>
          <w:rFonts w:cs="Arial"/>
        </w:rPr>
      </w:pPr>
    </w:p>
    <w:p w14:paraId="2A240350" w14:textId="77777777" w:rsidR="007D4A64" w:rsidRPr="001E2783" w:rsidRDefault="007D4A64" w:rsidP="007D4A64">
      <w:pPr>
        <w:rPr>
          <w:rFonts w:cs="Arial"/>
        </w:rPr>
      </w:pPr>
      <w:r w:rsidRPr="001E2783">
        <w:rPr>
          <w:rFonts w:cs="Arial"/>
        </w:rPr>
        <w:t xml:space="preserve">During the reporting period, </w:t>
      </w:r>
      <w:r w:rsidR="00890707" w:rsidRPr="001E2783">
        <w:rPr>
          <w:rFonts w:cs="Arial"/>
        </w:rPr>
        <w:t>10</w:t>
      </w:r>
      <w:r w:rsidRPr="001E2783">
        <w:rPr>
          <w:rFonts w:cs="Arial"/>
        </w:rPr>
        <w:t xml:space="preserve"> audits were completed. The implementation of recommendations was monitored, with progress reports provided to the Audit Committee. </w:t>
      </w:r>
    </w:p>
    <w:p w14:paraId="429FDA0C" w14:textId="77777777" w:rsidR="007D4A64" w:rsidRPr="001E2783" w:rsidRDefault="007D4A64" w:rsidP="007D4A64">
      <w:pPr>
        <w:rPr>
          <w:rFonts w:cs="Arial"/>
        </w:rPr>
      </w:pPr>
    </w:p>
    <w:p w14:paraId="097CCADD" w14:textId="77777777" w:rsidR="007D4A64" w:rsidRPr="001E2783" w:rsidRDefault="007D4A64" w:rsidP="007D4A64">
      <w:pPr>
        <w:rPr>
          <w:rFonts w:cs="Arial"/>
        </w:rPr>
      </w:pPr>
      <w:r w:rsidRPr="001E2783">
        <w:rPr>
          <w:rFonts w:cs="Arial"/>
        </w:rPr>
        <w:t>For</w:t>
      </w:r>
      <w:r w:rsidR="00890707" w:rsidRPr="001E2783">
        <w:rPr>
          <w:rFonts w:cs="Arial"/>
        </w:rPr>
        <w:t xml:space="preserve"> more</w:t>
      </w:r>
      <w:r w:rsidRPr="001E2783">
        <w:rPr>
          <w:rFonts w:cs="Arial"/>
        </w:rPr>
        <w:t xml:space="preserve"> information about the ACMA’s Audit Committee, see </w:t>
      </w:r>
      <w:r w:rsidR="007B6A49" w:rsidRPr="001E2783">
        <w:rPr>
          <w:rFonts w:cs="Arial"/>
        </w:rPr>
        <w:t>Appendix </w:t>
      </w:r>
      <w:r w:rsidRPr="001E2783">
        <w:rPr>
          <w:rFonts w:cs="Arial"/>
        </w:rPr>
        <w:t>2.</w:t>
      </w:r>
    </w:p>
    <w:p w14:paraId="137F4539" w14:textId="77777777" w:rsidR="007D4A64" w:rsidRPr="001E2783" w:rsidRDefault="007D4A64" w:rsidP="007D4A64">
      <w:pPr>
        <w:rPr>
          <w:rFonts w:cs="Arial"/>
        </w:rPr>
      </w:pPr>
    </w:p>
    <w:p w14:paraId="148F5362" w14:textId="77777777" w:rsidR="007D4A64" w:rsidRPr="001E2783" w:rsidRDefault="007D4A64" w:rsidP="007D4A64">
      <w:pPr>
        <w:pStyle w:val="Heading3"/>
      </w:pPr>
      <w:bookmarkStart w:id="275" w:name="_Toc400018617"/>
      <w:r w:rsidRPr="001E2783">
        <w:t>Security</w:t>
      </w:r>
      <w:bookmarkEnd w:id="275"/>
    </w:p>
    <w:p w14:paraId="597E8881" w14:textId="77777777" w:rsidR="007D4A64" w:rsidRPr="001E2783" w:rsidRDefault="007D4A64" w:rsidP="007D4A64">
      <w:pPr>
        <w:rPr>
          <w:rFonts w:cs="Arial"/>
        </w:rPr>
      </w:pPr>
      <w:r w:rsidRPr="001E2783">
        <w:rPr>
          <w:rFonts w:cs="Arial"/>
        </w:rPr>
        <w:t>The ACMA continued strengthening its protective security functions in line with the requirements of the Protective Security Policy Framework and Information Security Manual. The Security Advisory Committee oversees</w:t>
      </w:r>
      <w:r w:rsidR="00890707" w:rsidRPr="001E2783">
        <w:rPr>
          <w:rFonts w:cs="Arial"/>
        </w:rPr>
        <w:t xml:space="preserve"> protective security activities</w:t>
      </w:r>
      <w:r w:rsidRPr="001E2783">
        <w:rPr>
          <w:rFonts w:cs="Arial"/>
        </w:rPr>
        <w:t xml:space="preserve"> </w:t>
      </w:r>
      <w:r w:rsidR="00890707" w:rsidRPr="001E2783">
        <w:rPr>
          <w:rFonts w:cs="Arial"/>
        </w:rPr>
        <w:t>so</w:t>
      </w:r>
      <w:r w:rsidRPr="001E2783">
        <w:rPr>
          <w:rFonts w:cs="Arial"/>
        </w:rPr>
        <w:t xml:space="preserve"> the ACMA balances business and protective security requirements within the agency’s security risk profile and operating environment.</w:t>
      </w:r>
    </w:p>
    <w:p w14:paraId="664795A7" w14:textId="77777777" w:rsidR="007D4A64" w:rsidRPr="001E2783" w:rsidRDefault="007D4A64" w:rsidP="007D4A64">
      <w:pPr>
        <w:rPr>
          <w:rFonts w:cs="Arial"/>
        </w:rPr>
      </w:pPr>
    </w:p>
    <w:p w14:paraId="63450ADF" w14:textId="77777777" w:rsidR="007D4A64" w:rsidRPr="001E2783" w:rsidRDefault="007D4A64" w:rsidP="007D4A64">
      <w:pPr>
        <w:rPr>
          <w:rFonts w:cs="Arial"/>
        </w:rPr>
      </w:pPr>
      <w:r w:rsidRPr="001E2783">
        <w:rPr>
          <w:rFonts w:cs="Arial"/>
        </w:rPr>
        <w:t xml:space="preserve">The ACMA has updated </w:t>
      </w:r>
      <w:r w:rsidR="00890707" w:rsidRPr="001E2783">
        <w:rPr>
          <w:rFonts w:cs="Arial"/>
        </w:rPr>
        <w:t>its</w:t>
      </w:r>
      <w:r w:rsidRPr="001E2783">
        <w:rPr>
          <w:rFonts w:cs="Arial"/>
        </w:rPr>
        <w:t xml:space="preserve"> internal risk management framework based on </w:t>
      </w:r>
      <w:r w:rsidR="00890707" w:rsidRPr="001E2783">
        <w:rPr>
          <w:rFonts w:cs="Arial"/>
        </w:rPr>
        <w:t>AS/NZS </w:t>
      </w:r>
      <w:r w:rsidRPr="001E2783">
        <w:rPr>
          <w:rFonts w:cs="Arial"/>
        </w:rPr>
        <w:t xml:space="preserve">ISO 31000:2009 </w:t>
      </w:r>
      <w:r w:rsidRPr="001E2783">
        <w:rPr>
          <w:rFonts w:cs="Arial"/>
          <w:i/>
        </w:rPr>
        <w:t>Risk Management: Principles and Guidelines</w:t>
      </w:r>
      <w:r w:rsidR="00890707" w:rsidRPr="001E2783">
        <w:rPr>
          <w:rFonts w:cs="Arial"/>
        </w:rPr>
        <w:t>,</w:t>
      </w:r>
      <w:r w:rsidRPr="001E2783">
        <w:rPr>
          <w:rFonts w:cs="Arial"/>
        </w:rPr>
        <w:t xml:space="preserve"> including the protecti</w:t>
      </w:r>
      <w:r w:rsidR="00890707" w:rsidRPr="001E2783">
        <w:rPr>
          <w:rFonts w:cs="Arial"/>
        </w:rPr>
        <w:t>ve security risk documentation.</w:t>
      </w:r>
      <w:r w:rsidRPr="001E2783">
        <w:rPr>
          <w:rFonts w:cs="Arial"/>
        </w:rPr>
        <w:t xml:space="preserve"> At an operational level</w:t>
      </w:r>
      <w:r w:rsidR="00890707" w:rsidRPr="001E2783">
        <w:rPr>
          <w:rFonts w:cs="Arial"/>
        </w:rPr>
        <w:t>,</w:t>
      </w:r>
      <w:r w:rsidRPr="001E2783">
        <w:rPr>
          <w:rFonts w:cs="Arial"/>
        </w:rPr>
        <w:t xml:space="preserve"> the </w:t>
      </w:r>
      <w:r w:rsidR="00890707" w:rsidRPr="001E2783">
        <w:rPr>
          <w:rFonts w:cs="Arial"/>
        </w:rPr>
        <w:t>ongoing improvement of security-</w:t>
      </w:r>
      <w:r w:rsidRPr="001E2783">
        <w:rPr>
          <w:rFonts w:cs="Arial"/>
        </w:rPr>
        <w:t>related documentation, processes and controls included implement</w:t>
      </w:r>
      <w:r w:rsidR="00890707" w:rsidRPr="001E2783">
        <w:rPr>
          <w:rFonts w:cs="Arial"/>
        </w:rPr>
        <w:t>ing</w:t>
      </w:r>
      <w:r w:rsidRPr="001E2783">
        <w:rPr>
          <w:rFonts w:cs="Arial"/>
        </w:rPr>
        <w:t xml:space="preserve"> the Australian Signals Directorate’s ‘Top Four’ as part of the desktop refresh project. </w:t>
      </w:r>
    </w:p>
    <w:p w14:paraId="6ABEF9BB" w14:textId="77777777" w:rsidR="007D4A64" w:rsidRPr="001E2783" w:rsidRDefault="007D4A64" w:rsidP="007D4A64">
      <w:pPr>
        <w:rPr>
          <w:rFonts w:cs="Arial"/>
        </w:rPr>
      </w:pPr>
    </w:p>
    <w:p w14:paraId="3B7F6A47" w14:textId="77777777" w:rsidR="007D4A64" w:rsidRPr="001E2783" w:rsidRDefault="007D4A64" w:rsidP="007D4A64">
      <w:pPr>
        <w:rPr>
          <w:rFonts w:cs="Arial"/>
        </w:rPr>
      </w:pPr>
      <w:r w:rsidRPr="001E2783">
        <w:rPr>
          <w:rFonts w:cs="Arial"/>
        </w:rPr>
        <w:t>All statutory reporting requirements were met in 2013–14</w:t>
      </w:r>
      <w:r w:rsidR="00890707" w:rsidRPr="001E2783">
        <w:rPr>
          <w:rFonts w:cs="Arial"/>
        </w:rPr>
        <w:t>,</w:t>
      </w:r>
      <w:r w:rsidRPr="001E2783">
        <w:rPr>
          <w:rFonts w:cs="Arial"/>
        </w:rPr>
        <w:t xml:space="preserve"> including participation in the Protective Security Policy Framework compliance repo</w:t>
      </w:r>
      <w:r w:rsidR="008A6B26" w:rsidRPr="001E2783">
        <w:rPr>
          <w:rFonts w:cs="Arial"/>
        </w:rPr>
        <w:t>rting conducted by the Attorney-</w:t>
      </w:r>
      <w:r w:rsidRPr="001E2783">
        <w:rPr>
          <w:rFonts w:cs="Arial"/>
        </w:rPr>
        <w:t>General’s Department.</w:t>
      </w:r>
    </w:p>
    <w:p w14:paraId="221CFC7D" w14:textId="77777777" w:rsidR="007D4A64" w:rsidRPr="001E2783" w:rsidRDefault="007D4A64" w:rsidP="007D4A64">
      <w:pPr>
        <w:rPr>
          <w:rFonts w:cs="Arial"/>
        </w:rPr>
      </w:pPr>
    </w:p>
    <w:p w14:paraId="4D0F00F4" w14:textId="77777777" w:rsidR="00CC119D" w:rsidRPr="001E2783" w:rsidRDefault="00CC119D" w:rsidP="009078D7">
      <w:pPr>
        <w:pStyle w:val="Heading2"/>
      </w:pPr>
      <w:bookmarkStart w:id="276" w:name="_Toc264884807"/>
      <w:bookmarkStart w:id="277" w:name="_Toc297623577"/>
      <w:bookmarkStart w:id="278" w:name="_Toc337727646"/>
      <w:bookmarkStart w:id="279" w:name="_Toc400018618"/>
      <w:r w:rsidRPr="001E2783">
        <w:t>Our people</w:t>
      </w:r>
      <w:bookmarkEnd w:id="276"/>
      <w:bookmarkEnd w:id="277"/>
      <w:bookmarkEnd w:id="278"/>
      <w:bookmarkEnd w:id="279"/>
    </w:p>
    <w:p w14:paraId="53A47DA9" w14:textId="77777777" w:rsidR="007D4A64" w:rsidRPr="001E2783" w:rsidRDefault="007D4A64" w:rsidP="009078D7">
      <w:pPr>
        <w:keepNext/>
        <w:rPr>
          <w:rFonts w:cs="Arial"/>
        </w:rPr>
      </w:pPr>
      <w:r w:rsidRPr="001E2783">
        <w:rPr>
          <w:rFonts w:cs="Arial"/>
        </w:rPr>
        <w:t xml:space="preserve">The ACMA employed </w:t>
      </w:r>
      <w:r w:rsidR="00D305AE" w:rsidRPr="001E2783">
        <w:rPr>
          <w:rFonts w:cs="Arial"/>
        </w:rPr>
        <w:t>517</w:t>
      </w:r>
      <w:r w:rsidRPr="001E2783">
        <w:rPr>
          <w:rFonts w:cs="Arial"/>
        </w:rPr>
        <w:t xml:space="preserve"> staff at 30 June 2014, compared with 580 at 30 June 2013. Comparative staffing details are given in </w:t>
      </w:r>
      <w:r w:rsidR="007B6A49" w:rsidRPr="001E2783">
        <w:rPr>
          <w:rFonts w:cs="Arial"/>
        </w:rPr>
        <w:t>Appendix </w:t>
      </w:r>
      <w:r w:rsidRPr="001E2783">
        <w:rPr>
          <w:rFonts w:cs="Arial"/>
        </w:rPr>
        <w:t>3.</w:t>
      </w:r>
    </w:p>
    <w:p w14:paraId="6875A13F" w14:textId="77777777" w:rsidR="007D4A64" w:rsidRPr="001E2783" w:rsidRDefault="007D4A64" w:rsidP="009078D7">
      <w:pPr>
        <w:keepNext/>
        <w:rPr>
          <w:rFonts w:cs="Arial"/>
          <w:highlight w:val="yellow"/>
        </w:rPr>
      </w:pPr>
    </w:p>
    <w:p w14:paraId="03B7DA76" w14:textId="77777777" w:rsidR="007D4A64" w:rsidRPr="001E2783" w:rsidRDefault="007D4A64" w:rsidP="007D4A64">
      <w:pPr>
        <w:rPr>
          <w:rFonts w:cs="Arial"/>
        </w:rPr>
      </w:pPr>
      <w:r w:rsidRPr="001E2783">
        <w:rPr>
          <w:rFonts w:cs="Arial"/>
        </w:rPr>
        <w:t xml:space="preserve">Employment arrangements and conditions of work for all non-SES employees of the ACMA are determined by the </w:t>
      </w:r>
      <w:r w:rsidRPr="001E2783">
        <w:rPr>
          <w:rFonts w:cs="Arial"/>
          <w:i/>
        </w:rPr>
        <w:t>ACMA Enterprise Agreement 2011–2014</w:t>
      </w:r>
      <w:r w:rsidRPr="001E2783">
        <w:rPr>
          <w:rFonts w:cs="Arial"/>
        </w:rPr>
        <w:t xml:space="preserve"> (the ACMA Agreement). Salary ranges available under the ACMA Agreement are in </w:t>
      </w:r>
      <w:r w:rsidR="007B6A49" w:rsidRPr="001E2783">
        <w:rPr>
          <w:rFonts w:cs="Arial"/>
        </w:rPr>
        <w:t>Appendix </w:t>
      </w:r>
      <w:r w:rsidRPr="001E2783">
        <w:rPr>
          <w:rFonts w:cs="Arial"/>
        </w:rPr>
        <w:t>3.</w:t>
      </w:r>
    </w:p>
    <w:p w14:paraId="3F449BE9" w14:textId="77777777" w:rsidR="007D4A64" w:rsidRPr="001E2783" w:rsidRDefault="007D4A64" w:rsidP="007D4A64">
      <w:pPr>
        <w:rPr>
          <w:rFonts w:cs="Arial"/>
          <w:highlight w:val="yellow"/>
        </w:rPr>
      </w:pPr>
    </w:p>
    <w:p w14:paraId="461E1894" w14:textId="77777777" w:rsidR="007D4A64" w:rsidRPr="001E2783" w:rsidRDefault="007D4A64" w:rsidP="007D4A64">
      <w:pPr>
        <w:rPr>
          <w:rFonts w:cs="Arial"/>
        </w:rPr>
      </w:pPr>
      <w:r w:rsidRPr="001E2783">
        <w:rPr>
          <w:rFonts w:cs="Arial"/>
        </w:rPr>
        <w:t xml:space="preserve">Terms and conditions for the ACMA’s </w:t>
      </w:r>
      <w:r w:rsidR="00D305AE" w:rsidRPr="001E2783">
        <w:rPr>
          <w:rFonts w:cs="Arial"/>
        </w:rPr>
        <w:t>17</w:t>
      </w:r>
      <w:r w:rsidRPr="001E2783">
        <w:rPr>
          <w:rFonts w:cs="Arial"/>
        </w:rPr>
        <w:t xml:space="preserve"> substantive</w:t>
      </w:r>
      <w:r w:rsidR="00890707" w:rsidRPr="001E2783">
        <w:rPr>
          <w:rFonts w:cs="Arial"/>
        </w:rPr>
        <w:t xml:space="preserve"> SES</w:t>
      </w:r>
      <w:r w:rsidRPr="001E2783">
        <w:rPr>
          <w:rFonts w:cs="Arial"/>
        </w:rPr>
        <w:t xml:space="preserve"> employees are contained in common law contracts.</w:t>
      </w:r>
    </w:p>
    <w:p w14:paraId="0BA1C4EE" w14:textId="77777777" w:rsidR="007D4A64" w:rsidRPr="001E2783" w:rsidRDefault="007D4A64" w:rsidP="007D4A64">
      <w:pPr>
        <w:rPr>
          <w:rFonts w:cs="Arial"/>
          <w:highlight w:val="yellow"/>
        </w:rPr>
      </w:pPr>
    </w:p>
    <w:p w14:paraId="580C85CC" w14:textId="77777777" w:rsidR="007D4A64" w:rsidRPr="001E2783" w:rsidRDefault="007D4A64" w:rsidP="007D4A64">
      <w:pPr>
        <w:spacing w:after="80"/>
        <w:rPr>
          <w:rFonts w:cs="Arial"/>
        </w:rPr>
      </w:pPr>
      <w:r w:rsidRPr="001E2783">
        <w:rPr>
          <w:rFonts w:cs="Arial"/>
        </w:rPr>
        <w:t>At 30 June 2014, the salary ranges for employees on common law contracts were:</w:t>
      </w:r>
    </w:p>
    <w:p w14:paraId="7375CACF" w14:textId="77777777" w:rsidR="007D4A64" w:rsidRPr="001E2783" w:rsidRDefault="007D4A64" w:rsidP="007D4A64">
      <w:pPr>
        <w:pStyle w:val="ListBullet"/>
        <w:ind w:left="284"/>
        <w:rPr>
          <w:rFonts w:cs="Arial"/>
        </w:rPr>
      </w:pPr>
      <w:r w:rsidRPr="001E2783">
        <w:rPr>
          <w:rFonts w:cs="Arial"/>
        </w:rPr>
        <w:t>SES1—$</w:t>
      </w:r>
      <w:r w:rsidR="00D305AE" w:rsidRPr="001E2783">
        <w:rPr>
          <w:rFonts w:cs="Arial"/>
        </w:rPr>
        <w:t>153,157 to $181,259</w:t>
      </w:r>
    </w:p>
    <w:p w14:paraId="08F25007" w14:textId="77777777" w:rsidR="007D4A64" w:rsidRPr="001E2783" w:rsidRDefault="007D4A64" w:rsidP="007D4A64">
      <w:pPr>
        <w:pStyle w:val="ListBullet"/>
        <w:spacing w:after="240"/>
        <w:ind w:left="284"/>
        <w:rPr>
          <w:rFonts w:cs="Arial"/>
        </w:rPr>
      </w:pPr>
      <w:r w:rsidRPr="001E2783">
        <w:rPr>
          <w:rFonts w:cs="Arial"/>
        </w:rPr>
        <w:t>SES2—$</w:t>
      </w:r>
      <w:r w:rsidR="00D305AE" w:rsidRPr="001E2783">
        <w:rPr>
          <w:rFonts w:cs="Arial"/>
        </w:rPr>
        <w:t>194,693 to $214,162</w:t>
      </w:r>
      <w:r w:rsidRPr="001E2783">
        <w:rPr>
          <w:rFonts w:cs="Arial"/>
        </w:rPr>
        <w:t>.</w:t>
      </w:r>
    </w:p>
    <w:p w14:paraId="52F4D483" w14:textId="77777777" w:rsidR="007D4A64" w:rsidRPr="001E2783" w:rsidRDefault="007D4A64" w:rsidP="007D4A64">
      <w:pPr>
        <w:spacing w:after="80"/>
        <w:rPr>
          <w:rFonts w:cs="Arial"/>
        </w:rPr>
      </w:pPr>
      <w:r w:rsidRPr="001E2783">
        <w:rPr>
          <w:rFonts w:cs="Arial"/>
        </w:rPr>
        <w:t>Non-salary benefits provided to employees on common law arrangements may include:</w:t>
      </w:r>
    </w:p>
    <w:p w14:paraId="158999BB" w14:textId="77777777" w:rsidR="007D4A64" w:rsidRPr="001E2783" w:rsidRDefault="007D4A64" w:rsidP="007D4A64">
      <w:pPr>
        <w:pStyle w:val="ListBullet"/>
        <w:ind w:left="284"/>
        <w:rPr>
          <w:rFonts w:cs="Arial"/>
        </w:rPr>
      </w:pPr>
      <w:r w:rsidRPr="001E2783">
        <w:rPr>
          <w:rFonts w:cs="Arial"/>
        </w:rPr>
        <w:t>performance bonus</w:t>
      </w:r>
    </w:p>
    <w:p w14:paraId="5ADB633D" w14:textId="77777777" w:rsidR="007D4A64" w:rsidRPr="001E2783" w:rsidRDefault="007D4A64" w:rsidP="007D4A64">
      <w:pPr>
        <w:pStyle w:val="ListBullet"/>
        <w:ind w:left="284"/>
        <w:rPr>
          <w:rFonts w:cs="Arial"/>
        </w:rPr>
      </w:pPr>
      <w:r w:rsidRPr="001E2783">
        <w:rPr>
          <w:rFonts w:cs="Arial"/>
        </w:rPr>
        <w:t>retention bonus</w:t>
      </w:r>
    </w:p>
    <w:p w14:paraId="2D7AFFDE" w14:textId="77777777" w:rsidR="007D4A64" w:rsidRPr="001E2783" w:rsidRDefault="007D4A64" w:rsidP="007D4A64">
      <w:pPr>
        <w:pStyle w:val="ListBullet"/>
        <w:ind w:left="284"/>
        <w:rPr>
          <w:rFonts w:cs="Arial"/>
        </w:rPr>
      </w:pPr>
      <w:r w:rsidRPr="001E2783">
        <w:rPr>
          <w:rFonts w:cs="Arial"/>
        </w:rPr>
        <w:t>mobile telephone</w:t>
      </w:r>
    </w:p>
    <w:p w14:paraId="62B69FEB" w14:textId="77777777" w:rsidR="007D4A64" w:rsidRPr="001E2783" w:rsidRDefault="007D4A64" w:rsidP="007D4A64">
      <w:pPr>
        <w:pStyle w:val="ListBullet"/>
        <w:ind w:left="284"/>
        <w:rPr>
          <w:rFonts w:cs="Arial"/>
        </w:rPr>
      </w:pPr>
      <w:r w:rsidRPr="001E2783">
        <w:rPr>
          <w:rFonts w:cs="Arial"/>
        </w:rPr>
        <w:t>airline club membership</w:t>
      </w:r>
    </w:p>
    <w:p w14:paraId="1321E406" w14:textId="77777777" w:rsidR="007D4A64" w:rsidRPr="001E2783" w:rsidRDefault="007D4A64" w:rsidP="007D4A64">
      <w:pPr>
        <w:pStyle w:val="ListBullet"/>
        <w:ind w:left="284"/>
        <w:rPr>
          <w:rFonts w:cs="Arial"/>
        </w:rPr>
      </w:pPr>
      <w:r w:rsidRPr="001E2783">
        <w:rPr>
          <w:rFonts w:cs="Arial"/>
        </w:rPr>
        <w:t>residential broadband service</w:t>
      </w:r>
    </w:p>
    <w:p w14:paraId="16357201" w14:textId="77777777" w:rsidR="007D4A64" w:rsidRPr="001E2783" w:rsidRDefault="007D4A64" w:rsidP="007D4A64">
      <w:pPr>
        <w:pStyle w:val="ListBullet"/>
        <w:ind w:left="284"/>
        <w:rPr>
          <w:rFonts w:cs="Arial"/>
        </w:rPr>
      </w:pPr>
      <w:r w:rsidRPr="001E2783">
        <w:rPr>
          <w:rFonts w:cs="Arial"/>
        </w:rPr>
        <w:t>car allowance</w:t>
      </w:r>
    </w:p>
    <w:p w14:paraId="1B635034" w14:textId="77777777" w:rsidR="007D4A64" w:rsidRPr="001E2783" w:rsidRDefault="007D4A64" w:rsidP="007D4A64">
      <w:pPr>
        <w:pStyle w:val="ListBullet"/>
        <w:ind w:left="284"/>
        <w:rPr>
          <w:rFonts w:cs="Arial"/>
        </w:rPr>
      </w:pPr>
      <w:r w:rsidRPr="001E2783">
        <w:rPr>
          <w:rFonts w:cs="Arial"/>
        </w:rPr>
        <w:t>parking</w:t>
      </w:r>
    </w:p>
    <w:p w14:paraId="4C08AB70" w14:textId="77777777" w:rsidR="007D4A64" w:rsidRPr="001E2783" w:rsidRDefault="007D4A64" w:rsidP="007D4A64">
      <w:pPr>
        <w:pStyle w:val="ListBullet"/>
        <w:ind w:left="284"/>
        <w:rPr>
          <w:rFonts w:cs="Arial"/>
        </w:rPr>
      </w:pPr>
      <w:r w:rsidRPr="001E2783">
        <w:rPr>
          <w:rFonts w:cs="Arial"/>
        </w:rPr>
        <w:t>laptop or allowance and printer for use at home</w:t>
      </w:r>
    </w:p>
    <w:p w14:paraId="03A5CBA5" w14:textId="77777777" w:rsidR="007D4A64" w:rsidRPr="001E2783" w:rsidRDefault="007D4A64" w:rsidP="007D4A64">
      <w:pPr>
        <w:pStyle w:val="ListBullet"/>
        <w:spacing w:after="240"/>
        <w:ind w:left="284"/>
        <w:rPr>
          <w:rFonts w:cs="Arial"/>
        </w:rPr>
      </w:pPr>
      <w:r w:rsidRPr="001E2783">
        <w:rPr>
          <w:rFonts w:cs="Arial"/>
        </w:rPr>
        <w:t>outplacement assistance/financial counselling if deemed excess.</w:t>
      </w:r>
    </w:p>
    <w:p w14:paraId="0A823842" w14:textId="77777777" w:rsidR="007D4A64" w:rsidRPr="001E2783" w:rsidRDefault="007D4A64" w:rsidP="007D4A64">
      <w:pPr>
        <w:spacing w:line="276" w:lineRule="auto"/>
        <w:rPr>
          <w:rFonts w:cs="Arial"/>
        </w:rPr>
      </w:pPr>
      <w:r w:rsidRPr="001E2783">
        <w:rPr>
          <w:rFonts w:cs="Arial"/>
        </w:rPr>
        <w:t xml:space="preserve">At 30 June 2014, </w:t>
      </w:r>
      <w:r w:rsidR="00D305AE" w:rsidRPr="001E2783">
        <w:rPr>
          <w:rFonts w:cs="Arial"/>
        </w:rPr>
        <w:t>22</w:t>
      </w:r>
      <w:r w:rsidR="007B6A49" w:rsidRPr="001E2783">
        <w:rPr>
          <w:rFonts w:cs="Arial"/>
        </w:rPr>
        <w:t xml:space="preserve"> employees at ACMA Level </w:t>
      </w:r>
      <w:r w:rsidR="00D305AE" w:rsidRPr="001E2783">
        <w:rPr>
          <w:rFonts w:cs="Arial"/>
        </w:rPr>
        <w:t>4</w:t>
      </w:r>
      <w:r w:rsidR="007B6A49" w:rsidRPr="001E2783">
        <w:rPr>
          <w:rFonts w:cs="Arial"/>
        </w:rPr>
        <w:t>, ACMA Level 6, Executive Level </w:t>
      </w:r>
      <w:r w:rsidRPr="001E2783">
        <w:rPr>
          <w:rFonts w:cs="Arial"/>
        </w:rPr>
        <w:t xml:space="preserve">1 (EL1) or </w:t>
      </w:r>
      <w:r w:rsidR="007B6A49" w:rsidRPr="001E2783">
        <w:rPr>
          <w:rFonts w:cs="Arial"/>
        </w:rPr>
        <w:t>Executive Level </w:t>
      </w:r>
      <w:r w:rsidRPr="001E2783">
        <w:rPr>
          <w:rFonts w:cs="Arial"/>
        </w:rPr>
        <w:t>2 (EL2) had individual flexibility arrangements (IFAs) for additional salary or retention bonuses. The highest additional salary increases the EL2 maximum to $</w:t>
      </w:r>
      <w:r w:rsidR="00A0460C" w:rsidRPr="001E2783">
        <w:rPr>
          <w:rFonts w:cs="Arial"/>
        </w:rPr>
        <w:t>146,898</w:t>
      </w:r>
      <w:r w:rsidRPr="001E2783">
        <w:rPr>
          <w:rFonts w:cs="Arial"/>
        </w:rPr>
        <w:t xml:space="preserve"> per annum and the EL1 maximum to $</w:t>
      </w:r>
      <w:r w:rsidR="00A0460C" w:rsidRPr="001E2783">
        <w:rPr>
          <w:rFonts w:cs="Arial"/>
        </w:rPr>
        <w:t>128,147</w:t>
      </w:r>
      <w:r w:rsidRPr="001E2783">
        <w:rPr>
          <w:rFonts w:cs="Arial"/>
        </w:rPr>
        <w:t xml:space="preserve"> per annum. The maximum retention bonus was $</w:t>
      </w:r>
      <w:r w:rsidR="00A0460C" w:rsidRPr="001E2783">
        <w:rPr>
          <w:rFonts w:cs="Arial"/>
        </w:rPr>
        <w:t>10,000</w:t>
      </w:r>
      <w:r w:rsidRPr="001E2783">
        <w:rPr>
          <w:rFonts w:cs="Arial"/>
        </w:rPr>
        <w:t xml:space="preserve"> per annum.</w:t>
      </w:r>
    </w:p>
    <w:p w14:paraId="40B5021C" w14:textId="77777777" w:rsidR="002228F4" w:rsidRPr="001E2783" w:rsidRDefault="002228F4" w:rsidP="002228F4">
      <w:pPr>
        <w:spacing w:line="276" w:lineRule="auto"/>
        <w:rPr>
          <w:rFonts w:cs="Arial"/>
        </w:rPr>
      </w:pPr>
    </w:p>
    <w:p w14:paraId="7B1EC69B" w14:textId="77777777" w:rsidR="002228F4" w:rsidRPr="001E2783" w:rsidRDefault="002228F4" w:rsidP="002228F4">
      <w:pPr>
        <w:pStyle w:val="Heading3"/>
        <w:spacing w:line="276" w:lineRule="auto"/>
      </w:pPr>
      <w:bookmarkStart w:id="280" w:name="_Toc329600267"/>
      <w:bookmarkStart w:id="281" w:name="_Toc400018619"/>
      <w:r w:rsidRPr="001E2783">
        <w:t>Performance payments</w:t>
      </w:r>
      <w:bookmarkEnd w:id="280"/>
      <w:bookmarkEnd w:id="281"/>
    </w:p>
    <w:p w14:paraId="66B631BA" w14:textId="77777777" w:rsidR="007D4A64" w:rsidRPr="001E2783" w:rsidRDefault="007D4A64" w:rsidP="007D4A64">
      <w:pPr>
        <w:spacing w:line="276" w:lineRule="auto"/>
        <w:rPr>
          <w:rFonts w:cs="Arial"/>
        </w:rPr>
      </w:pPr>
      <w:r w:rsidRPr="001E2783">
        <w:rPr>
          <w:rFonts w:cs="Arial"/>
        </w:rPr>
        <w:t>Performance pay is available to employees at EL2 level under the ACMA Agreement and to SES employees under common law contracts. Total performance pay paid for 2013–14 for EL2 and SES employees is set o</w:t>
      </w:r>
      <w:r w:rsidR="007B6A49" w:rsidRPr="001E2783">
        <w:rPr>
          <w:rFonts w:cs="Arial"/>
        </w:rPr>
        <w:t>ut in Table </w:t>
      </w:r>
      <w:r w:rsidRPr="001E2783">
        <w:rPr>
          <w:rFonts w:cs="Arial"/>
        </w:rPr>
        <w:t>3</w:t>
      </w:r>
      <w:r w:rsidR="00856140" w:rsidRPr="001E2783">
        <w:rPr>
          <w:rFonts w:cs="Arial"/>
        </w:rPr>
        <w:t>7</w:t>
      </w:r>
      <w:r w:rsidRPr="001E2783">
        <w:rPr>
          <w:rFonts w:cs="Arial"/>
        </w:rPr>
        <w:t>.</w:t>
      </w:r>
    </w:p>
    <w:p w14:paraId="769E8B80" w14:textId="77777777" w:rsidR="00CC119D" w:rsidRPr="001E2783" w:rsidRDefault="00CC119D" w:rsidP="000D6C05">
      <w:pPr>
        <w:spacing w:line="276" w:lineRule="auto"/>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2192BB08" w14:textId="77777777" w:rsidTr="009078D7">
        <w:trPr>
          <w:trHeight w:val="384"/>
        </w:trPr>
        <w:tc>
          <w:tcPr>
            <w:tcW w:w="9645" w:type="dxa"/>
            <w:tcBorders>
              <w:top w:val="single" w:sz="2" w:space="0" w:color="505050"/>
            </w:tcBorders>
            <w:shd w:val="clear" w:color="auto" w:fill="auto"/>
            <w:vAlign w:val="center"/>
          </w:tcPr>
          <w:p w14:paraId="3B5AB306" w14:textId="77777777" w:rsidR="00CC119D" w:rsidRPr="001E2783" w:rsidRDefault="00CC119D" w:rsidP="00D70D5B">
            <w:pPr>
              <w:pStyle w:val="Caption"/>
              <w:keepNext/>
              <w:keepLines/>
              <w:rPr>
                <w:rFonts w:ascii="Arial" w:hAnsi="Arial" w:cs="Arial"/>
                <w:color w:val="auto"/>
              </w:rPr>
            </w:pPr>
            <w:r w:rsidRPr="00D3485F">
              <w:rPr>
                <w:rFonts w:ascii="Arial" w:hAnsi="Arial" w:cs="Arial"/>
              </w:rPr>
              <w:t>Tab</w:t>
            </w:r>
            <w:r w:rsidR="002228F4" w:rsidRPr="00D3485F">
              <w:rPr>
                <w:rFonts w:ascii="Arial" w:hAnsi="Arial" w:cs="Arial"/>
              </w:rPr>
              <w:t xml:space="preserve">le </w:t>
            </w:r>
            <w:r w:rsidR="00EA410D" w:rsidRPr="00D3485F">
              <w:rPr>
                <w:rFonts w:ascii="Arial" w:hAnsi="Arial" w:cs="Arial"/>
              </w:rPr>
              <w:t>3</w:t>
            </w:r>
            <w:r w:rsidR="00856140" w:rsidRPr="00D3485F">
              <w:rPr>
                <w:rFonts w:ascii="Arial" w:hAnsi="Arial" w:cs="Arial"/>
              </w:rPr>
              <w:t>7</w:t>
            </w:r>
            <w:r w:rsidR="007D4A64" w:rsidRPr="00D3485F">
              <w:rPr>
                <w:rFonts w:ascii="Arial" w:hAnsi="Arial" w:cs="Arial"/>
              </w:rPr>
              <w:t>: Performance payments 2013</w:t>
            </w:r>
            <w:r w:rsidRPr="00D3485F">
              <w:rPr>
                <w:rFonts w:ascii="Arial" w:hAnsi="Arial" w:cs="Arial"/>
              </w:rPr>
              <w:t>–</w:t>
            </w:r>
            <w:r w:rsidR="00E87DB6" w:rsidRPr="00D3485F">
              <w:rPr>
                <w:rFonts w:ascii="Arial" w:hAnsi="Arial" w:cs="Arial"/>
              </w:rPr>
              <w:t>1</w:t>
            </w:r>
            <w:r w:rsidR="007D4A64" w:rsidRPr="00D3485F">
              <w:rPr>
                <w:rFonts w:ascii="Arial" w:hAnsi="Arial" w:cs="Arial"/>
              </w:rPr>
              <w:t>4</w:t>
            </w:r>
          </w:p>
        </w:tc>
      </w:tr>
      <w:tr w:rsidR="001E2783" w:rsidRPr="001E2783" w14:paraId="0D55E9F8" w14:textId="77777777" w:rsidTr="00C902FF">
        <w:trPr>
          <w:trHeight w:val="871"/>
        </w:trPr>
        <w:tc>
          <w:tcPr>
            <w:tcW w:w="9645" w:type="dxa"/>
            <w:shd w:val="clear" w:color="auto" w:fill="auto"/>
            <w:tcMar>
              <w:left w:w="28" w:type="dxa"/>
            </w:tcMar>
          </w:tcPr>
          <w:tbl>
            <w:tblPr>
              <w:tblW w:w="9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85"/>
              <w:gridCol w:w="1559"/>
              <w:gridCol w:w="1560"/>
              <w:gridCol w:w="1630"/>
              <w:gridCol w:w="1665"/>
              <w:gridCol w:w="1666"/>
            </w:tblGrid>
            <w:tr w:rsidR="001E2783" w:rsidRPr="001E2783" w14:paraId="4C18F81E" w14:textId="77777777" w:rsidTr="007B6A49">
              <w:trPr>
                <w:trHeight w:val="490"/>
              </w:trPr>
              <w:tc>
                <w:tcPr>
                  <w:tcW w:w="1385" w:type="dxa"/>
                  <w:shd w:val="clear" w:color="auto" w:fill="404040" w:themeFill="text1" w:themeFillTint="BF"/>
                  <w:tcMar>
                    <w:top w:w="57" w:type="dxa"/>
                    <w:left w:w="57" w:type="dxa"/>
                    <w:bottom w:w="57" w:type="dxa"/>
                    <w:right w:w="57" w:type="dxa"/>
                  </w:tcMar>
                </w:tcPr>
                <w:p w14:paraId="151DF12F" w14:textId="77777777" w:rsidR="006B131E" w:rsidRPr="007F3FB8" w:rsidRDefault="006B131E" w:rsidP="00C902FF">
                  <w:pPr>
                    <w:pStyle w:val="TableHeading"/>
                    <w:ind w:left="1"/>
                    <w:rPr>
                      <w:rFonts w:ascii="Arial" w:hAnsi="Arial" w:cs="Arial"/>
                      <w:color w:val="FFFFFF" w:themeColor="background1"/>
                    </w:rPr>
                  </w:pPr>
                  <w:r w:rsidRPr="007F3FB8">
                    <w:rPr>
                      <w:rFonts w:ascii="Arial" w:hAnsi="Arial" w:cs="Arial"/>
                      <w:color w:val="FFFFFF" w:themeColor="background1"/>
                    </w:rPr>
                    <w:t xml:space="preserve">Employee level </w:t>
                  </w:r>
                </w:p>
              </w:tc>
              <w:tc>
                <w:tcPr>
                  <w:tcW w:w="1559" w:type="dxa"/>
                  <w:shd w:val="clear" w:color="auto" w:fill="404040" w:themeFill="text1" w:themeFillTint="BF"/>
                  <w:tcMar>
                    <w:top w:w="57" w:type="dxa"/>
                    <w:left w:w="57" w:type="dxa"/>
                    <w:bottom w:w="57" w:type="dxa"/>
                    <w:right w:w="57" w:type="dxa"/>
                  </w:tcMar>
                </w:tcPr>
                <w:p w14:paraId="38BA524B" w14:textId="77777777" w:rsidR="006B131E" w:rsidRPr="007F3FB8" w:rsidRDefault="006B131E" w:rsidP="007B6A49">
                  <w:pPr>
                    <w:pStyle w:val="TableHeading"/>
                    <w:ind w:left="33"/>
                    <w:jc w:val="right"/>
                    <w:rPr>
                      <w:rFonts w:ascii="Arial" w:hAnsi="Arial" w:cs="Arial"/>
                      <w:color w:val="FFFFFF" w:themeColor="background1"/>
                    </w:rPr>
                  </w:pPr>
                  <w:r w:rsidRPr="007F3FB8">
                    <w:rPr>
                      <w:rFonts w:ascii="Arial" w:hAnsi="Arial" w:cs="Arial"/>
                      <w:color w:val="FFFFFF" w:themeColor="background1"/>
                    </w:rPr>
                    <w:t>Employees paid</w:t>
                  </w:r>
                </w:p>
              </w:tc>
              <w:tc>
                <w:tcPr>
                  <w:tcW w:w="1560" w:type="dxa"/>
                  <w:shd w:val="clear" w:color="auto" w:fill="404040" w:themeFill="text1" w:themeFillTint="BF"/>
                  <w:tcMar>
                    <w:top w:w="57" w:type="dxa"/>
                    <w:left w:w="57" w:type="dxa"/>
                    <w:bottom w:w="57" w:type="dxa"/>
                    <w:right w:w="57" w:type="dxa"/>
                  </w:tcMar>
                </w:tcPr>
                <w:p w14:paraId="5EF3E641" w14:textId="77777777" w:rsidR="006B131E" w:rsidRPr="007F3FB8" w:rsidRDefault="006B131E" w:rsidP="007B6A49">
                  <w:pPr>
                    <w:pStyle w:val="TableHeading"/>
                    <w:ind w:left="34"/>
                    <w:jc w:val="right"/>
                    <w:rPr>
                      <w:rFonts w:ascii="Arial" w:hAnsi="Arial" w:cs="Arial"/>
                      <w:color w:val="FFFFFF" w:themeColor="background1"/>
                    </w:rPr>
                  </w:pPr>
                  <w:r w:rsidRPr="007F3FB8">
                    <w:rPr>
                      <w:rFonts w:ascii="Arial" w:hAnsi="Arial" w:cs="Arial"/>
                      <w:color w:val="FFFFFF" w:themeColor="background1"/>
                    </w:rPr>
                    <w:t>Total performance pay ($)</w:t>
                  </w:r>
                </w:p>
              </w:tc>
              <w:tc>
                <w:tcPr>
                  <w:tcW w:w="1630" w:type="dxa"/>
                  <w:shd w:val="clear" w:color="auto" w:fill="404040" w:themeFill="text1" w:themeFillTint="BF"/>
                  <w:tcMar>
                    <w:top w:w="57" w:type="dxa"/>
                    <w:left w:w="57" w:type="dxa"/>
                    <w:bottom w:w="57" w:type="dxa"/>
                    <w:right w:w="57" w:type="dxa"/>
                  </w:tcMar>
                </w:tcPr>
                <w:p w14:paraId="4DD531BD" w14:textId="77777777" w:rsidR="006B131E" w:rsidRPr="007F3FB8" w:rsidRDefault="006B131E" w:rsidP="007B6A49">
                  <w:pPr>
                    <w:pStyle w:val="TableHeading"/>
                    <w:ind w:left="34"/>
                    <w:jc w:val="right"/>
                    <w:rPr>
                      <w:rFonts w:ascii="Arial" w:hAnsi="Arial" w:cs="Arial"/>
                      <w:color w:val="FFFFFF" w:themeColor="background1"/>
                    </w:rPr>
                  </w:pPr>
                  <w:r w:rsidRPr="007F3FB8">
                    <w:rPr>
                      <w:rFonts w:ascii="Arial" w:hAnsi="Arial" w:cs="Arial"/>
                      <w:color w:val="FFFFFF" w:themeColor="background1"/>
                    </w:rPr>
                    <w:t>Minimum bonus ($)</w:t>
                  </w:r>
                </w:p>
              </w:tc>
              <w:tc>
                <w:tcPr>
                  <w:tcW w:w="1665" w:type="dxa"/>
                  <w:shd w:val="clear" w:color="auto" w:fill="404040" w:themeFill="text1" w:themeFillTint="BF"/>
                  <w:tcMar>
                    <w:top w:w="57" w:type="dxa"/>
                    <w:left w:w="57" w:type="dxa"/>
                    <w:bottom w:w="57" w:type="dxa"/>
                    <w:right w:w="57" w:type="dxa"/>
                  </w:tcMar>
                </w:tcPr>
                <w:p w14:paraId="06E20F9B" w14:textId="77777777" w:rsidR="006B131E" w:rsidRPr="007F3FB8" w:rsidRDefault="006B131E" w:rsidP="007B6A49">
                  <w:pPr>
                    <w:pStyle w:val="TableHeading"/>
                    <w:ind w:left="34"/>
                    <w:jc w:val="right"/>
                    <w:rPr>
                      <w:rFonts w:ascii="Arial" w:hAnsi="Arial" w:cs="Arial"/>
                      <w:color w:val="FFFFFF" w:themeColor="background1"/>
                    </w:rPr>
                  </w:pPr>
                  <w:r w:rsidRPr="007F3FB8">
                    <w:rPr>
                      <w:rFonts w:ascii="Arial" w:hAnsi="Arial" w:cs="Arial"/>
                      <w:color w:val="FFFFFF" w:themeColor="background1"/>
                    </w:rPr>
                    <w:t>Maximum bonus ($)</w:t>
                  </w:r>
                </w:p>
              </w:tc>
              <w:tc>
                <w:tcPr>
                  <w:tcW w:w="1666" w:type="dxa"/>
                  <w:shd w:val="clear" w:color="auto" w:fill="404040" w:themeFill="text1" w:themeFillTint="BF"/>
                  <w:tcMar>
                    <w:top w:w="57" w:type="dxa"/>
                    <w:left w:w="57" w:type="dxa"/>
                    <w:bottom w:w="57" w:type="dxa"/>
                    <w:right w:w="57" w:type="dxa"/>
                  </w:tcMar>
                </w:tcPr>
                <w:p w14:paraId="297D6F06" w14:textId="77564DED" w:rsidR="006B131E" w:rsidRPr="007F3FB8" w:rsidRDefault="006B131E" w:rsidP="007B6A49">
                  <w:pPr>
                    <w:pStyle w:val="TableHeading"/>
                    <w:ind w:left="34"/>
                    <w:jc w:val="right"/>
                    <w:rPr>
                      <w:rFonts w:ascii="Arial" w:hAnsi="Arial" w:cs="Arial"/>
                      <w:color w:val="FFFFFF" w:themeColor="background1"/>
                    </w:rPr>
                  </w:pPr>
                  <w:r w:rsidRPr="007F3FB8">
                    <w:rPr>
                      <w:rFonts w:ascii="Arial" w:hAnsi="Arial" w:cs="Arial"/>
                      <w:color w:val="FFFFFF" w:themeColor="background1"/>
                    </w:rPr>
                    <w:t xml:space="preserve">Average </w:t>
                  </w:r>
                  <w:r w:rsidR="00B91F99" w:rsidRPr="007F3FB8">
                    <w:rPr>
                      <w:rFonts w:ascii="Arial" w:hAnsi="Arial" w:cs="Arial"/>
                      <w:color w:val="FFFFFF" w:themeColor="background1"/>
                    </w:rPr>
                    <w:br/>
                  </w:r>
                  <w:r w:rsidRPr="007F3FB8">
                    <w:rPr>
                      <w:rFonts w:ascii="Arial" w:hAnsi="Arial" w:cs="Arial"/>
                      <w:color w:val="FFFFFF" w:themeColor="background1"/>
                    </w:rPr>
                    <w:t>bonus ($)</w:t>
                  </w:r>
                </w:p>
              </w:tc>
            </w:tr>
            <w:tr w:rsidR="001E2783" w:rsidRPr="001E2783" w14:paraId="6EA37728" w14:textId="77777777" w:rsidTr="007B6A49">
              <w:trPr>
                <w:trHeight w:val="241"/>
              </w:trPr>
              <w:tc>
                <w:tcPr>
                  <w:tcW w:w="1385" w:type="dxa"/>
                  <w:tcMar>
                    <w:top w:w="57" w:type="dxa"/>
                    <w:left w:w="57" w:type="dxa"/>
                    <w:bottom w:w="57" w:type="dxa"/>
                    <w:right w:w="57" w:type="dxa"/>
                  </w:tcMar>
                </w:tcPr>
                <w:p w14:paraId="74F386EA" w14:textId="77777777" w:rsidR="00D70D5B" w:rsidRPr="001E2783" w:rsidRDefault="00D70D5B" w:rsidP="00D70D5B">
                  <w:pPr>
                    <w:pStyle w:val="TableTextLeft"/>
                    <w:rPr>
                      <w:rFonts w:cs="Arial"/>
                      <w:sz w:val="20"/>
                    </w:rPr>
                  </w:pPr>
                  <w:r w:rsidRPr="001E2783">
                    <w:rPr>
                      <w:rFonts w:cs="Arial"/>
                      <w:sz w:val="20"/>
                    </w:rPr>
                    <w:t>EL2</w:t>
                  </w:r>
                </w:p>
              </w:tc>
              <w:tc>
                <w:tcPr>
                  <w:tcW w:w="1559" w:type="dxa"/>
                  <w:tcMar>
                    <w:top w:w="57" w:type="dxa"/>
                    <w:left w:w="57" w:type="dxa"/>
                    <w:bottom w:w="57" w:type="dxa"/>
                    <w:right w:w="57" w:type="dxa"/>
                  </w:tcMar>
                </w:tcPr>
                <w:p w14:paraId="3D8BAE0D" w14:textId="2ADA9AA1" w:rsidR="00D70D5B" w:rsidRPr="001E2783" w:rsidRDefault="00D70D5B" w:rsidP="00D70D5B">
                  <w:pPr>
                    <w:pStyle w:val="TableTextLeft"/>
                    <w:jc w:val="right"/>
                    <w:rPr>
                      <w:rFonts w:cs="Arial"/>
                      <w:sz w:val="20"/>
                      <w:highlight w:val="yellow"/>
                    </w:rPr>
                  </w:pPr>
                  <w:r w:rsidRPr="001E2783">
                    <w:rPr>
                      <w:rFonts w:cs="Arial"/>
                      <w:sz w:val="20"/>
                    </w:rPr>
                    <w:t>78</w:t>
                  </w:r>
                </w:p>
              </w:tc>
              <w:tc>
                <w:tcPr>
                  <w:tcW w:w="1560" w:type="dxa"/>
                  <w:tcMar>
                    <w:top w:w="57" w:type="dxa"/>
                    <w:left w:w="57" w:type="dxa"/>
                    <w:bottom w:w="57" w:type="dxa"/>
                    <w:right w:w="57" w:type="dxa"/>
                  </w:tcMar>
                </w:tcPr>
                <w:p w14:paraId="32A10A0E" w14:textId="62E250BB" w:rsidR="00D70D5B" w:rsidRPr="001E2783" w:rsidRDefault="00D70D5B" w:rsidP="00D70D5B">
                  <w:pPr>
                    <w:pStyle w:val="TableTextLeft"/>
                    <w:jc w:val="right"/>
                    <w:rPr>
                      <w:rFonts w:cs="Arial"/>
                      <w:sz w:val="20"/>
                      <w:highlight w:val="yellow"/>
                    </w:rPr>
                  </w:pPr>
                  <w:r w:rsidRPr="001E2783">
                    <w:rPr>
                      <w:rFonts w:cs="Arial"/>
                      <w:sz w:val="20"/>
                    </w:rPr>
                    <w:t xml:space="preserve">669,367.01 </w:t>
                  </w:r>
                </w:p>
              </w:tc>
              <w:tc>
                <w:tcPr>
                  <w:tcW w:w="1630" w:type="dxa"/>
                  <w:tcMar>
                    <w:top w:w="57" w:type="dxa"/>
                    <w:left w:w="57" w:type="dxa"/>
                    <w:bottom w:w="57" w:type="dxa"/>
                    <w:right w:w="57" w:type="dxa"/>
                  </w:tcMar>
                </w:tcPr>
                <w:p w14:paraId="670B930D" w14:textId="75371592" w:rsidR="00D70D5B" w:rsidRPr="001E2783" w:rsidRDefault="00D70D5B" w:rsidP="00D70D5B">
                  <w:pPr>
                    <w:pStyle w:val="TableTextLeft"/>
                    <w:jc w:val="right"/>
                    <w:rPr>
                      <w:rFonts w:cs="Arial"/>
                      <w:sz w:val="20"/>
                      <w:highlight w:val="yellow"/>
                    </w:rPr>
                  </w:pPr>
                  <w:r w:rsidRPr="001E2783">
                    <w:rPr>
                      <w:rFonts w:cs="Arial"/>
                      <w:sz w:val="20"/>
                    </w:rPr>
                    <w:t>1,438.93</w:t>
                  </w:r>
                </w:p>
              </w:tc>
              <w:tc>
                <w:tcPr>
                  <w:tcW w:w="1665" w:type="dxa"/>
                  <w:tcMar>
                    <w:top w:w="57" w:type="dxa"/>
                    <w:left w:w="57" w:type="dxa"/>
                    <w:bottom w:w="57" w:type="dxa"/>
                    <w:right w:w="57" w:type="dxa"/>
                  </w:tcMar>
                </w:tcPr>
                <w:p w14:paraId="42153D01" w14:textId="7F3F14FE" w:rsidR="00D70D5B" w:rsidRPr="001E2783" w:rsidRDefault="00D70D5B" w:rsidP="00D70D5B">
                  <w:pPr>
                    <w:pStyle w:val="TableTextLeft"/>
                    <w:jc w:val="right"/>
                    <w:rPr>
                      <w:rFonts w:cs="Arial"/>
                      <w:sz w:val="20"/>
                      <w:highlight w:val="yellow"/>
                    </w:rPr>
                  </w:pPr>
                  <w:r w:rsidRPr="001E2783">
                    <w:rPr>
                      <w:rFonts w:cs="Arial"/>
                      <w:sz w:val="20"/>
                    </w:rPr>
                    <w:t>15,536.52</w:t>
                  </w:r>
                </w:p>
              </w:tc>
              <w:tc>
                <w:tcPr>
                  <w:tcW w:w="1666" w:type="dxa"/>
                  <w:tcMar>
                    <w:top w:w="57" w:type="dxa"/>
                    <w:left w:w="57" w:type="dxa"/>
                    <w:bottom w:w="57" w:type="dxa"/>
                    <w:right w:w="57" w:type="dxa"/>
                  </w:tcMar>
                </w:tcPr>
                <w:p w14:paraId="43D21CB0" w14:textId="763FCAAF" w:rsidR="00D70D5B" w:rsidRPr="001E2783" w:rsidRDefault="00D70D5B" w:rsidP="00D70D5B">
                  <w:pPr>
                    <w:pStyle w:val="TableTextLeft"/>
                    <w:jc w:val="right"/>
                    <w:rPr>
                      <w:rFonts w:cs="Arial"/>
                      <w:sz w:val="20"/>
                      <w:highlight w:val="yellow"/>
                    </w:rPr>
                  </w:pPr>
                  <w:r w:rsidRPr="001E2783">
                    <w:rPr>
                      <w:rFonts w:cs="Arial"/>
                      <w:sz w:val="20"/>
                    </w:rPr>
                    <w:t>8,581.63</w:t>
                  </w:r>
                </w:p>
              </w:tc>
            </w:tr>
            <w:tr w:rsidR="001E2783" w:rsidRPr="001E2783" w14:paraId="33412BB4" w14:textId="77777777" w:rsidTr="007B6A49">
              <w:trPr>
                <w:trHeight w:val="241"/>
              </w:trPr>
              <w:tc>
                <w:tcPr>
                  <w:tcW w:w="1385" w:type="dxa"/>
                  <w:tcMar>
                    <w:top w:w="57" w:type="dxa"/>
                    <w:left w:w="57" w:type="dxa"/>
                    <w:bottom w:w="57" w:type="dxa"/>
                    <w:right w:w="57" w:type="dxa"/>
                  </w:tcMar>
                </w:tcPr>
                <w:p w14:paraId="101F36F7" w14:textId="77777777" w:rsidR="00D70D5B" w:rsidRPr="001E2783" w:rsidRDefault="00D70D5B" w:rsidP="00D70D5B">
                  <w:pPr>
                    <w:pStyle w:val="TableTextLeft"/>
                    <w:rPr>
                      <w:rFonts w:cs="Arial"/>
                      <w:sz w:val="20"/>
                    </w:rPr>
                  </w:pPr>
                  <w:r w:rsidRPr="001E2783">
                    <w:rPr>
                      <w:rFonts w:cs="Arial"/>
                      <w:sz w:val="20"/>
                    </w:rPr>
                    <w:t>SES Band 1</w:t>
                  </w:r>
                </w:p>
              </w:tc>
              <w:tc>
                <w:tcPr>
                  <w:tcW w:w="1559" w:type="dxa"/>
                  <w:tcMar>
                    <w:top w:w="57" w:type="dxa"/>
                    <w:left w:w="57" w:type="dxa"/>
                    <w:bottom w:w="57" w:type="dxa"/>
                    <w:right w:w="57" w:type="dxa"/>
                  </w:tcMar>
                </w:tcPr>
                <w:p w14:paraId="188C57E8" w14:textId="6FC7A23E" w:rsidR="00D70D5B" w:rsidRPr="001E2783" w:rsidRDefault="00D70D5B" w:rsidP="00D70D5B">
                  <w:pPr>
                    <w:pStyle w:val="TableTextLeft"/>
                    <w:jc w:val="right"/>
                    <w:rPr>
                      <w:rFonts w:cs="Arial"/>
                      <w:sz w:val="20"/>
                      <w:highlight w:val="yellow"/>
                    </w:rPr>
                  </w:pPr>
                  <w:r w:rsidRPr="001E2783">
                    <w:rPr>
                      <w:rFonts w:cs="Arial"/>
                      <w:sz w:val="20"/>
                    </w:rPr>
                    <w:t>12</w:t>
                  </w:r>
                </w:p>
              </w:tc>
              <w:tc>
                <w:tcPr>
                  <w:tcW w:w="1560" w:type="dxa"/>
                  <w:tcMar>
                    <w:top w:w="57" w:type="dxa"/>
                    <w:left w:w="57" w:type="dxa"/>
                    <w:bottom w:w="57" w:type="dxa"/>
                    <w:right w:w="57" w:type="dxa"/>
                  </w:tcMar>
                </w:tcPr>
                <w:p w14:paraId="5B151F45" w14:textId="451FEAB2" w:rsidR="00D70D5B" w:rsidRPr="001E2783" w:rsidRDefault="00D70D5B" w:rsidP="00D70D5B">
                  <w:pPr>
                    <w:pStyle w:val="TableTextLeft"/>
                    <w:jc w:val="right"/>
                    <w:rPr>
                      <w:rFonts w:cs="Arial"/>
                      <w:sz w:val="20"/>
                      <w:highlight w:val="yellow"/>
                    </w:rPr>
                  </w:pPr>
                  <w:r w:rsidRPr="001E2783">
                    <w:rPr>
                      <w:rFonts w:cs="Arial"/>
                      <w:sz w:val="20"/>
                    </w:rPr>
                    <w:t xml:space="preserve">149,930.74 </w:t>
                  </w:r>
                </w:p>
              </w:tc>
              <w:tc>
                <w:tcPr>
                  <w:tcW w:w="1630" w:type="dxa"/>
                  <w:tcMar>
                    <w:top w:w="57" w:type="dxa"/>
                    <w:left w:w="57" w:type="dxa"/>
                    <w:bottom w:w="57" w:type="dxa"/>
                    <w:right w:w="57" w:type="dxa"/>
                  </w:tcMar>
                </w:tcPr>
                <w:p w14:paraId="545D788D" w14:textId="40C93EB3" w:rsidR="00D70D5B" w:rsidRPr="001E2783" w:rsidRDefault="00D70D5B" w:rsidP="00D70D5B">
                  <w:pPr>
                    <w:pStyle w:val="TableTextLeft"/>
                    <w:jc w:val="right"/>
                    <w:rPr>
                      <w:rFonts w:cs="Arial"/>
                      <w:sz w:val="20"/>
                      <w:highlight w:val="yellow"/>
                    </w:rPr>
                  </w:pPr>
                  <w:r w:rsidRPr="001E2783">
                    <w:rPr>
                      <w:rFonts w:cs="Arial"/>
                      <w:sz w:val="20"/>
                    </w:rPr>
                    <w:t>8,294.09</w:t>
                  </w:r>
                </w:p>
              </w:tc>
              <w:tc>
                <w:tcPr>
                  <w:tcW w:w="1665" w:type="dxa"/>
                  <w:tcMar>
                    <w:top w:w="57" w:type="dxa"/>
                    <w:left w:w="57" w:type="dxa"/>
                    <w:bottom w:w="57" w:type="dxa"/>
                    <w:right w:w="57" w:type="dxa"/>
                  </w:tcMar>
                </w:tcPr>
                <w:p w14:paraId="20E694F0" w14:textId="114E64A6" w:rsidR="00D70D5B" w:rsidRPr="001E2783" w:rsidRDefault="00D70D5B" w:rsidP="00D70D5B">
                  <w:pPr>
                    <w:pStyle w:val="TableTextLeft"/>
                    <w:jc w:val="right"/>
                    <w:rPr>
                      <w:rFonts w:cs="Arial"/>
                      <w:sz w:val="20"/>
                      <w:highlight w:val="yellow"/>
                    </w:rPr>
                  </w:pPr>
                  <w:r w:rsidRPr="001E2783">
                    <w:rPr>
                      <w:rFonts w:cs="Arial"/>
                      <w:sz w:val="20"/>
                    </w:rPr>
                    <w:t>17,262.80</w:t>
                  </w:r>
                </w:p>
              </w:tc>
              <w:tc>
                <w:tcPr>
                  <w:tcW w:w="1666" w:type="dxa"/>
                  <w:tcMar>
                    <w:top w:w="57" w:type="dxa"/>
                    <w:left w:w="57" w:type="dxa"/>
                    <w:bottom w:w="57" w:type="dxa"/>
                    <w:right w:w="57" w:type="dxa"/>
                  </w:tcMar>
                </w:tcPr>
                <w:p w14:paraId="48EC7B40" w14:textId="1E03B555" w:rsidR="00D70D5B" w:rsidRPr="001E2783" w:rsidRDefault="00D70D5B" w:rsidP="00D70D5B">
                  <w:pPr>
                    <w:pStyle w:val="TableTextLeft"/>
                    <w:jc w:val="right"/>
                    <w:rPr>
                      <w:rFonts w:cs="Arial"/>
                      <w:sz w:val="20"/>
                      <w:highlight w:val="yellow"/>
                    </w:rPr>
                  </w:pPr>
                  <w:r w:rsidRPr="001E2783">
                    <w:rPr>
                      <w:rFonts w:cs="Arial"/>
                      <w:sz w:val="20"/>
                    </w:rPr>
                    <w:t>12,494.23</w:t>
                  </w:r>
                </w:p>
              </w:tc>
            </w:tr>
            <w:tr w:rsidR="001E2783" w:rsidRPr="001E2783" w14:paraId="542C9B5F" w14:textId="77777777" w:rsidTr="007B6A49">
              <w:trPr>
                <w:trHeight w:val="241"/>
              </w:trPr>
              <w:tc>
                <w:tcPr>
                  <w:tcW w:w="1385" w:type="dxa"/>
                  <w:tcMar>
                    <w:top w:w="57" w:type="dxa"/>
                    <w:left w:w="57" w:type="dxa"/>
                    <w:bottom w:w="57" w:type="dxa"/>
                    <w:right w:w="57" w:type="dxa"/>
                  </w:tcMar>
                </w:tcPr>
                <w:p w14:paraId="66366FFB" w14:textId="77777777" w:rsidR="00D70D5B" w:rsidRPr="001E2783" w:rsidRDefault="00D70D5B" w:rsidP="00D70D5B">
                  <w:pPr>
                    <w:pStyle w:val="TableTextLeft"/>
                    <w:rPr>
                      <w:rFonts w:cs="Arial"/>
                      <w:sz w:val="20"/>
                    </w:rPr>
                  </w:pPr>
                  <w:r w:rsidRPr="001E2783">
                    <w:rPr>
                      <w:rFonts w:cs="Arial"/>
                      <w:sz w:val="20"/>
                    </w:rPr>
                    <w:t>SES Band 2</w:t>
                  </w:r>
                </w:p>
              </w:tc>
              <w:tc>
                <w:tcPr>
                  <w:tcW w:w="1559" w:type="dxa"/>
                  <w:tcMar>
                    <w:top w:w="57" w:type="dxa"/>
                    <w:left w:w="57" w:type="dxa"/>
                    <w:bottom w:w="57" w:type="dxa"/>
                    <w:right w:w="57" w:type="dxa"/>
                  </w:tcMar>
                </w:tcPr>
                <w:p w14:paraId="5172D6FC" w14:textId="12710282" w:rsidR="00D70D5B" w:rsidRPr="001E2783" w:rsidRDefault="00D70D5B" w:rsidP="00D70D5B">
                  <w:pPr>
                    <w:pStyle w:val="TableTextLeft"/>
                    <w:jc w:val="right"/>
                    <w:rPr>
                      <w:rFonts w:cs="Arial"/>
                      <w:sz w:val="20"/>
                      <w:highlight w:val="yellow"/>
                    </w:rPr>
                  </w:pPr>
                  <w:r w:rsidRPr="001E2783">
                    <w:rPr>
                      <w:rFonts w:cs="Arial"/>
                      <w:sz w:val="20"/>
                    </w:rPr>
                    <w:t>5</w:t>
                  </w:r>
                </w:p>
              </w:tc>
              <w:tc>
                <w:tcPr>
                  <w:tcW w:w="1560" w:type="dxa"/>
                  <w:tcMar>
                    <w:top w:w="57" w:type="dxa"/>
                    <w:left w:w="57" w:type="dxa"/>
                    <w:bottom w:w="57" w:type="dxa"/>
                    <w:right w:w="57" w:type="dxa"/>
                  </w:tcMar>
                </w:tcPr>
                <w:p w14:paraId="3DAE637B" w14:textId="2784692A" w:rsidR="00D70D5B" w:rsidRPr="001E2783" w:rsidRDefault="00D70D5B" w:rsidP="00D70D5B">
                  <w:pPr>
                    <w:pStyle w:val="TableTextLeft"/>
                    <w:jc w:val="right"/>
                    <w:rPr>
                      <w:rFonts w:cs="Arial"/>
                      <w:sz w:val="20"/>
                      <w:highlight w:val="yellow"/>
                    </w:rPr>
                  </w:pPr>
                  <w:r w:rsidRPr="001E2783">
                    <w:rPr>
                      <w:rFonts w:cs="Arial"/>
                      <w:sz w:val="20"/>
                    </w:rPr>
                    <w:t>88,913.53</w:t>
                  </w:r>
                </w:p>
              </w:tc>
              <w:tc>
                <w:tcPr>
                  <w:tcW w:w="1630" w:type="dxa"/>
                  <w:tcMar>
                    <w:top w:w="57" w:type="dxa"/>
                    <w:left w:w="57" w:type="dxa"/>
                    <w:bottom w:w="57" w:type="dxa"/>
                    <w:right w:w="57" w:type="dxa"/>
                  </w:tcMar>
                </w:tcPr>
                <w:p w14:paraId="662B28AB" w14:textId="634CE8CF" w:rsidR="00D70D5B" w:rsidRPr="001E2783" w:rsidRDefault="00D70D5B" w:rsidP="00D70D5B">
                  <w:pPr>
                    <w:pStyle w:val="TableTextLeft"/>
                    <w:jc w:val="right"/>
                    <w:rPr>
                      <w:rFonts w:cs="Arial"/>
                      <w:sz w:val="20"/>
                      <w:highlight w:val="yellow"/>
                    </w:rPr>
                  </w:pPr>
                  <w:r w:rsidRPr="001E2783">
                    <w:rPr>
                      <w:rFonts w:cs="Arial"/>
                      <w:sz w:val="20"/>
                    </w:rPr>
                    <w:t>14,991.34</w:t>
                  </w:r>
                </w:p>
              </w:tc>
              <w:tc>
                <w:tcPr>
                  <w:tcW w:w="1665" w:type="dxa"/>
                  <w:tcMar>
                    <w:top w:w="57" w:type="dxa"/>
                    <w:left w:w="57" w:type="dxa"/>
                    <w:bottom w:w="57" w:type="dxa"/>
                    <w:right w:w="57" w:type="dxa"/>
                  </w:tcMar>
                </w:tcPr>
                <w:p w14:paraId="20C410CC" w14:textId="58E14155" w:rsidR="00D70D5B" w:rsidRPr="001E2783" w:rsidRDefault="00D70D5B" w:rsidP="00D70D5B">
                  <w:pPr>
                    <w:pStyle w:val="TableTextLeft"/>
                    <w:jc w:val="right"/>
                    <w:rPr>
                      <w:rFonts w:cs="Arial"/>
                      <w:sz w:val="20"/>
                      <w:highlight w:val="yellow"/>
                    </w:rPr>
                  </w:pPr>
                  <w:r w:rsidRPr="001E2783">
                    <w:rPr>
                      <w:rFonts w:cs="Arial"/>
                      <w:sz w:val="20"/>
                    </w:rPr>
                    <w:t>21,416.20</w:t>
                  </w:r>
                </w:p>
              </w:tc>
              <w:tc>
                <w:tcPr>
                  <w:tcW w:w="1666" w:type="dxa"/>
                  <w:tcMar>
                    <w:top w:w="57" w:type="dxa"/>
                    <w:left w:w="57" w:type="dxa"/>
                    <w:bottom w:w="57" w:type="dxa"/>
                    <w:right w:w="57" w:type="dxa"/>
                  </w:tcMar>
                </w:tcPr>
                <w:p w14:paraId="1CC5326F" w14:textId="5496AB42" w:rsidR="00D70D5B" w:rsidRPr="001E2783" w:rsidRDefault="00D70D5B" w:rsidP="00D70D5B">
                  <w:pPr>
                    <w:pStyle w:val="TableTextLeft"/>
                    <w:jc w:val="right"/>
                    <w:rPr>
                      <w:rFonts w:cs="Arial"/>
                      <w:sz w:val="20"/>
                      <w:highlight w:val="yellow"/>
                    </w:rPr>
                  </w:pPr>
                  <w:r w:rsidRPr="001E2783">
                    <w:rPr>
                      <w:rFonts w:cs="Arial"/>
                      <w:sz w:val="20"/>
                    </w:rPr>
                    <w:t>17,782.71</w:t>
                  </w:r>
                </w:p>
              </w:tc>
            </w:tr>
            <w:tr w:rsidR="001E2783" w:rsidRPr="001E2783" w14:paraId="75BEFF6F" w14:textId="77777777" w:rsidTr="008C2249">
              <w:trPr>
                <w:trHeight w:val="241"/>
              </w:trPr>
              <w:tc>
                <w:tcPr>
                  <w:tcW w:w="1385" w:type="dxa"/>
                  <w:tcMar>
                    <w:top w:w="57" w:type="dxa"/>
                    <w:left w:w="57" w:type="dxa"/>
                    <w:bottom w:w="57" w:type="dxa"/>
                    <w:right w:w="57" w:type="dxa"/>
                  </w:tcMar>
                </w:tcPr>
                <w:p w14:paraId="4E517D8D" w14:textId="77777777" w:rsidR="00D70D5B" w:rsidRPr="001E2783" w:rsidRDefault="00D70D5B" w:rsidP="00D70D5B">
                  <w:pPr>
                    <w:pStyle w:val="TableTextLeft"/>
                    <w:rPr>
                      <w:rFonts w:cs="Arial"/>
                      <w:b/>
                      <w:sz w:val="20"/>
                    </w:rPr>
                  </w:pPr>
                  <w:r w:rsidRPr="001E2783">
                    <w:rPr>
                      <w:rFonts w:cs="Arial"/>
                      <w:b/>
                      <w:sz w:val="20"/>
                    </w:rPr>
                    <w:t>Total</w:t>
                  </w:r>
                </w:p>
              </w:tc>
              <w:tc>
                <w:tcPr>
                  <w:tcW w:w="1559" w:type="dxa"/>
                  <w:tcMar>
                    <w:top w:w="57" w:type="dxa"/>
                    <w:left w:w="57" w:type="dxa"/>
                    <w:bottom w:w="57" w:type="dxa"/>
                    <w:right w:w="57" w:type="dxa"/>
                  </w:tcMar>
                  <w:vAlign w:val="bottom"/>
                </w:tcPr>
                <w:p w14:paraId="274A7599" w14:textId="497CEB43" w:rsidR="00D70D5B" w:rsidRPr="001E2783" w:rsidRDefault="00D70D5B" w:rsidP="00D70D5B">
                  <w:pPr>
                    <w:pStyle w:val="TableTextLeft"/>
                    <w:jc w:val="right"/>
                    <w:rPr>
                      <w:rFonts w:cs="Arial"/>
                      <w:b/>
                      <w:sz w:val="20"/>
                      <w:highlight w:val="yellow"/>
                    </w:rPr>
                  </w:pPr>
                  <w:r w:rsidRPr="001E2783">
                    <w:rPr>
                      <w:rFonts w:cs="Arial"/>
                      <w:sz w:val="20"/>
                    </w:rPr>
                    <w:t>95</w:t>
                  </w:r>
                </w:p>
              </w:tc>
              <w:tc>
                <w:tcPr>
                  <w:tcW w:w="1560" w:type="dxa"/>
                  <w:tcMar>
                    <w:top w:w="57" w:type="dxa"/>
                    <w:left w:w="57" w:type="dxa"/>
                    <w:bottom w:w="57" w:type="dxa"/>
                    <w:right w:w="57" w:type="dxa"/>
                  </w:tcMar>
                  <w:vAlign w:val="bottom"/>
                </w:tcPr>
                <w:p w14:paraId="6E8E2D38" w14:textId="19BECE29" w:rsidR="00D70D5B" w:rsidRPr="001E2783" w:rsidRDefault="00D70D5B" w:rsidP="00D70D5B">
                  <w:pPr>
                    <w:pStyle w:val="TableTextLeft"/>
                    <w:jc w:val="right"/>
                    <w:rPr>
                      <w:rFonts w:cs="Arial"/>
                      <w:b/>
                      <w:sz w:val="20"/>
                    </w:rPr>
                  </w:pPr>
                  <w:r w:rsidRPr="001E2783">
                    <w:rPr>
                      <w:rFonts w:cs="Arial"/>
                      <w:sz w:val="20"/>
                    </w:rPr>
                    <w:t>908,211.2</w:t>
                  </w:r>
                </w:p>
              </w:tc>
              <w:tc>
                <w:tcPr>
                  <w:tcW w:w="4961" w:type="dxa"/>
                  <w:gridSpan w:val="3"/>
                </w:tcPr>
                <w:p w14:paraId="5F69B7DA" w14:textId="77777777" w:rsidR="00D70D5B" w:rsidRPr="001E2783" w:rsidRDefault="00D70D5B" w:rsidP="00D70D5B">
                  <w:pPr>
                    <w:pStyle w:val="TableTextLeft"/>
                    <w:rPr>
                      <w:rFonts w:cs="Arial"/>
                      <w:b/>
                      <w:sz w:val="20"/>
                    </w:rPr>
                  </w:pPr>
                </w:p>
              </w:tc>
            </w:tr>
          </w:tbl>
          <w:p w14:paraId="3B5A2BFA" w14:textId="77777777" w:rsidR="00CC119D" w:rsidRPr="001E2783" w:rsidRDefault="00CC119D" w:rsidP="00C902FF">
            <w:pPr>
              <w:rPr>
                <w:rFonts w:cs="Arial"/>
              </w:rPr>
            </w:pPr>
          </w:p>
        </w:tc>
      </w:tr>
      <w:tr w:rsidR="001E2783" w:rsidRPr="001E2783" w14:paraId="1F6D0DE1" w14:textId="77777777" w:rsidTr="009078D7">
        <w:trPr>
          <w:trHeight w:val="66"/>
        </w:trPr>
        <w:tc>
          <w:tcPr>
            <w:tcW w:w="9645" w:type="dxa"/>
            <w:tcBorders>
              <w:bottom w:val="single" w:sz="2" w:space="0" w:color="505050"/>
            </w:tcBorders>
            <w:shd w:val="clear" w:color="auto" w:fill="auto"/>
          </w:tcPr>
          <w:p w14:paraId="33FD81E5" w14:textId="2830D1AD" w:rsidR="00CC119D" w:rsidRPr="001E2783" w:rsidRDefault="00D70D5B" w:rsidP="009078D7">
            <w:pPr>
              <w:spacing w:before="60"/>
              <w:rPr>
                <w:rFonts w:cs="Arial"/>
                <w:i/>
                <w:sz w:val="16"/>
                <w:szCs w:val="16"/>
              </w:rPr>
            </w:pPr>
            <w:r w:rsidRPr="001E2783">
              <w:rPr>
                <w:rFonts w:cs="Arial"/>
                <w:i/>
                <w:sz w:val="16"/>
                <w:szCs w:val="16"/>
              </w:rPr>
              <w:t>Note: Of the 101 eligible EL2-level staff, 78 were paid a bonus.</w:t>
            </w:r>
          </w:p>
        </w:tc>
      </w:tr>
    </w:tbl>
    <w:p w14:paraId="40CA06A1" w14:textId="77777777" w:rsidR="002228F4" w:rsidRPr="001E2783" w:rsidRDefault="002228F4" w:rsidP="002228F4">
      <w:pPr>
        <w:pStyle w:val="Heading3"/>
        <w:spacing w:line="276" w:lineRule="auto"/>
      </w:pPr>
      <w:bookmarkStart w:id="282" w:name="_Toc400018620"/>
      <w:r w:rsidRPr="001E2783">
        <w:t>Workplace Diversity Program</w:t>
      </w:r>
      <w:bookmarkEnd w:id="282"/>
      <w:r w:rsidRPr="001E2783">
        <w:t xml:space="preserve"> </w:t>
      </w:r>
    </w:p>
    <w:p w14:paraId="216D1393" w14:textId="77777777" w:rsidR="00694396" w:rsidRPr="001E2783" w:rsidRDefault="00694396" w:rsidP="00694396">
      <w:pPr>
        <w:spacing w:after="80"/>
        <w:rPr>
          <w:rFonts w:cs="Arial"/>
        </w:rPr>
      </w:pPr>
      <w:r w:rsidRPr="001E2783">
        <w:rPr>
          <w:rFonts w:cs="Arial"/>
        </w:rPr>
        <w:t>The ACMA Workplace Diversity Program seeks to promote understanding of diversity in the ACMA’s workforce, work environmen</w:t>
      </w:r>
      <w:r w:rsidR="00DC3988" w:rsidRPr="001E2783">
        <w:rPr>
          <w:rFonts w:cs="Arial"/>
        </w:rPr>
        <w:t xml:space="preserve">t, culture and work practices. </w:t>
      </w:r>
      <w:r w:rsidRPr="001E2783">
        <w:rPr>
          <w:rFonts w:cs="Arial"/>
        </w:rPr>
        <w:t>This includes:</w:t>
      </w:r>
    </w:p>
    <w:p w14:paraId="7094B402" w14:textId="77777777" w:rsidR="00694396" w:rsidRPr="001E2783" w:rsidRDefault="00694396" w:rsidP="00694396">
      <w:pPr>
        <w:pStyle w:val="ListBullet"/>
        <w:rPr>
          <w:rFonts w:cs="Arial"/>
        </w:rPr>
      </w:pPr>
      <w:r w:rsidRPr="001E2783">
        <w:rPr>
          <w:rFonts w:cs="Arial"/>
        </w:rPr>
        <w:t>attracting and retaining staff from diverse backgrounds</w:t>
      </w:r>
    </w:p>
    <w:p w14:paraId="13CAA71E" w14:textId="77777777" w:rsidR="00694396" w:rsidRPr="001E2783" w:rsidRDefault="00694396" w:rsidP="00694396">
      <w:pPr>
        <w:pStyle w:val="ListBullet"/>
        <w:rPr>
          <w:rFonts w:cs="Arial"/>
        </w:rPr>
      </w:pPr>
      <w:r w:rsidRPr="001E2783">
        <w:rPr>
          <w:rFonts w:cs="Arial"/>
        </w:rPr>
        <w:t>embedding diversity into workplace arrangements</w:t>
      </w:r>
    </w:p>
    <w:p w14:paraId="6079DD13" w14:textId="77777777" w:rsidR="00694396" w:rsidRPr="001E2783" w:rsidRDefault="00694396" w:rsidP="00DC3988">
      <w:pPr>
        <w:pStyle w:val="ListBullet"/>
        <w:spacing w:after="240"/>
        <w:rPr>
          <w:rFonts w:cs="Arial"/>
        </w:rPr>
      </w:pPr>
      <w:r w:rsidRPr="001E2783">
        <w:rPr>
          <w:rFonts w:cs="Arial"/>
        </w:rPr>
        <w:t>incorporating diversity into ACMA policies, programs and services.</w:t>
      </w:r>
    </w:p>
    <w:p w14:paraId="3E22FE11" w14:textId="77777777" w:rsidR="002228F4" w:rsidRPr="001E2783" w:rsidRDefault="00694396" w:rsidP="002228F4">
      <w:pPr>
        <w:spacing w:after="80"/>
        <w:rPr>
          <w:rFonts w:cs="Arial"/>
        </w:rPr>
      </w:pPr>
      <w:r w:rsidRPr="001E2783">
        <w:rPr>
          <w:rFonts w:cs="Arial"/>
        </w:rPr>
        <w:t>The ACMA recognises and values individual differences and aims to raise awareness of the importance of workplace diversity by</w:t>
      </w:r>
      <w:r w:rsidR="002228F4" w:rsidRPr="001E2783">
        <w:rPr>
          <w:rFonts w:cs="Arial"/>
        </w:rPr>
        <w:t>:</w:t>
      </w:r>
    </w:p>
    <w:p w14:paraId="5F7995AF" w14:textId="77777777" w:rsidR="002228F4" w:rsidRPr="001E2783" w:rsidRDefault="002228F4" w:rsidP="002228F4">
      <w:pPr>
        <w:pStyle w:val="ListBullet"/>
        <w:ind w:left="284"/>
        <w:rPr>
          <w:rFonts w:cs="Arial"/>
        </w:rPr>
      </w:pPr>
      <w:r w:rsidRPr="001E2783">
        <w:rPr>
          <w:rFonts w:cs="Arial"/>
        </w:rPr>
        <w:t>including the acknowledgment and acceptance/encouragement of diversity in organisational and individual performance plans</w:t>
      </w:r>
    </w:p>
    <w:p w14:paraId="56704DAA" w14:textId="77777777" w:rsidR="002228F4" w:rsidRPr="001E2783" w:rsidRDefault="000C1B33" w:rsidP="002228F4">
      <w:pPr>
        <w:pStyle w:val="ListBullet"/>
        <w:ind w:left="284"/>
        <w:rPr>
          <w:rFonts w:cs="Arial"/>
        </w:rPr>
      </w:pPr>
      <w:r w:rsidRPr="001E2783">
        <w:rPr>
          <w:rFonts w:cs="Arial"/>
        </w:rPr>
        <w:t xml:space="preserve">making </w:t>
      </w:r>
      <w:r w:rsidR="002228F4" w:rsidRPr="001E2783">
        <w:rPr>
          <w:rFonts w:cs="Arial"/>
        </w:rPr>
        <w:t>the ability to integrate workplace diversity principles into everyday management practice</w:t>
      </w:r>
      <w:r w:rsidRPr="001E2783">
        <w:rPr>
          <w:rFonts w:cs="Arial"/>
        </w:rPr>
        <w:t xml:space="preserve"> a key selection criteria for management positions</w:t>
      </w:r>
    </w:p>
    <w:p w14:paraId="2D604C99" w14:textId="77777777" w:rsidR="002228F4" w:rsidRPr="001E2783" w:rsidRDefault="002228F4" w:rsidP="000C1B33">
      <w:pPr>
        <w:pStyle w:val="ListBullet"/>
        <w:ind w:left="284"/>
        <w:rPr>
          <w:rFonts w:cs="Arial"/>
        </w:rPr>
      </w:pPr>
      <w:r w:rsidRPr="001E2783">
        <w:rPr>
          <w:rFonts w:cs="Arial"/>
        </w:rPr>
        <w:t>making information available to new employees in induction material</w:t>
      </w:r>
    </w:p>
    <w:p w14:paraId="62675B41" w14:textId="77777777" w:rsidR="002228F4" w:rsidRPr="001E2783" w:rsidRDefault="002228F4" w:rsidP="00694396">
      <w:pPr>
        <w:pStyle w:val="ListBullet"/>
        <w:spacing w:after="240"/>
        <w:ind w:left="284"/>
        <w:rPr>
          <w:rFonts w:cs="Arial"/>
        </w:rPr>
      </w:pPr>
      <w:r w:rsidRPr="001E2783">
        <w:rPr>
          <w:rFonts w:cs="Arial"/>
        </w:rPr>
        <w:t>providing information to all staff through the agency’s intranet.</w:t>
      </w:r>
    </w:p>
    <w:p w14:paraId="3224A601" w14:textId="77777777" w:rsidR="002228F4" w:rsidRPr="001E2783" w:rsidRDefault="00694396" w:rsidP="002228F4">
      <w:pPr>
        <w:spacing w:after="80"/>
        <w:rPr>
          <w:rFonts w:cs="Arial"/>
        </w:rPr>
      </w:pPr>
      <w:r w:rsidRPr="001E2783">
        <w:rPr>
          <w:rFonts w:cs="Arial"/>
        </w:rPr>
        <w:t>On 30 June 2014</w:t>
      </w:r>
      <w:r w:rsidR="002228F4" w:rsidRPr="001E2783">
        <w:rPr>
          <w:rFonts w:cs="Arial"/>
        </w:rPr>
        <w:t>, the ACMA’s employee profile was:</w:t>
      </w:r>
    </w:p>
    <w:p w14:paraId="43014297" w14:textId="77777777" w:rsidR="002228F4" w:rsidRPr="001E2783" w:rsidRDefault="002228F4" w:rsidP="002228F4">
      <w:pPr>
        <w:pStyle w:val="ListBullet"/>
        <w:ind w:left="284"/>
        <w:rPr>
          <w:rFonts w:cs="Arial"/>
        </w:rPr>
      </w:pPr>
      <w:r w:rsidRPr="001E2783">
        <w:rPr>
          <w:rFonts w:cs="Arial"/>
        </w:rPr>
        <w:t>total employees—</w:t>
      </w:r>
      <w:r w:rsidR="00A0460C" w:rsidRPr="001E2783">
        <w:rPr>
          <w:rFonts w:cs="Arial"/>
        </w:rPr>
        <w:t>517</w:t>
      </w:r>
    </w:p>
    <w:p w14:paraId="2264669C" w14:textId="77777777" w:rsidR="002228F4" w:rsidRPr="001E2783" w:rsidRDefault="002228F4" w:rsidP="002228F4">
      <w:pPr>
        <w:pStyle w:val="ListBullet"/>
        <w:ind w:left="284"/>
        <w:rPr>
          <w:rFonts w:cs="Arial"/>
        </w:rPr>
      </w:pPr>
      <w:r w:rsidRPr="001E2783">
        <w:rPr>
          <w:rFonts w:cs="Arial"/>
        </w:rPr>
        <w:t>number of women—</w:t>
      </w:r>
      <w:r w:rsidR="00A0460C" w:rsidRPr="001E2783">
        <w:rPr>
          <w:rFonts w:cs="Arial"/>
        </w:rPr>
        <w:t>277</w:t>
      </w:r>
    </w:p>
    <w:p w14:paraId="00C13AA7" w14:textId="77777777" w:rsidR="002228F4" w:rsidRPr="001E2783" w:rsidRDefault="002228F4" w:rsidP="002228F4">
      <w:pPr>
        <w:pStyle w:val="ListBullet"/>
        <w:ind w:left="284"/>
        <w:rPr>
          <w:rFonts w:cs="Arial"/>
        </w:rPr>
      </w:pPr>
      <w:r w:rsidRPr="001E2783">
        <w:rPr>
          <w:rFonts w:cs="Arial"/>
        </w:rPr>
        <w:t>number of staff from a non-English-speaking background—</w:t>
      </w:r>
      <w:r w:rsidR="00A0460C" w:rsidRPr="001E2783">
        <w:rPr>
          <w:rFonts w:cs="Arial"/>
        </w:rPr>
        <w:t>70</w:t>
      </w:r>
      <w:r w:rsidRPr="001E2783">
        <w:rPr>
          <w:rFonts w:cs="Arial"/>
        </w:rPr>
        <w:t xml:space="preserve"> </w:t>
      </w:r>
    </w:p>
    <w:p w14:paraId="0FF3D331" w14:textId="77777777" w:rsidR="002228F4" w:rsidRPr="001E2783" w:rsidRDefault="002228F4" w:rsidP="002228F4">
      <w:pPr>
        <w:pStyle w:val="ListBullet"/>
        <w:ind w:left="284"/>
        <w:rPr>
          <w:rFonts w:cs="Arial"/>
        </w:rPr>
      </w:pPr>
      <w:r w:rsidRPr="001E2783">
        <w:rPr>
          <w:rFonts w:cs="Arial"/>
        </w:rPr>
        <w:t>number of staff with a disability—</w:t>
      </w:r>
      <w:r w:rsidR="00E87DB6" w:rsidRPr="001E2783">
        <w:rPr>
          <w:rFonts w:cs="Arial"/>
        </w:rPr>
        <w:t>5</w:t>
      </w:r>
    </w:p>
    <w:p w14:paraId="17F9ACF6" w14:textId="77777777" w:rsidR="002228F4" w:rsidRPr="001E2783" w:rsidRDefault="002228F4" w:rsidP="002228F4">
      <w:pPr>
        <w:pStyle w:val="ListBullet"/>
        <w:spacing w:after="240"/>
        <w:ind w:left="284"/>
        <w:rPr>
          <w:rFonts w:cs="Arial"/>
        </w:rPr>
      </w:pPr>
      <w:r w:rsidRPr="001E2783">
        <w:rPr>
          <w:rFonts w:cs="Arial"/>
        </w:rPr>
        <w:t>number of Indigenous staff—</w:t>
      </w:r>
      <w:r w:rsidR="00A0460C" w:rsidRPr="001E2783">
        <w:rPr>
          <w:rFonts w:cs="Arial"/>
        </w:rPr>
        <w:t>2</w:t>
      </w:r>
      <w:r w:rsidRPr="001E2783">
        <w:rPr>
          <w:rFonts w:cs="Arial"/>
        </w:rPr>
        <w:t>.</w:t>
      </w:r>
    </w:p>
    <w:p w14:paraId="606D1426" w14:textId="77777777" w:rsidR="002228F4" w:rsidRPr="001E2783" w:rsidRDefault="002228F4" w:rsidP="002228F4">
      <w:pPr>
        <w:pStyle w:val="Heading3"/>
        <w:spacing w:line="276" w:lineRule="auto"/>
      </w:pPr>
      <w:bookmarkStart w:id="283" w:name="_Toc400018621"/>
      <w:r w:rsidRPr="001E2783">
        <w:t>Changes to disability reporting in annual reports</w:t>
      </w:r>
      <w:bookmarkEnd w:id="283"/>
      <w:r w:rsidRPr="001E2783">
        <w:t xml:space="preserve"> </w:t>
      </w:r>
    </w:p>
    <w:p w14:paraId="53AACF88" w14:textId="77777777" w:rsidR="00E87DB6" w:rsidRPr="001E2783" w:rsidRDefault="00E87DB6" w:rsidP="00E87DB6">
      <w:pPr>
        <w:rPr>
          <w:rFonts w:cs="Arial"/>
        </w:rPr>
      </w:pPr>
      <w:r w:rsidRPr="001E2783">
        <w:rPr>
          <w:rFonts w:cs="Arial"/>
        </w:rPr>
        <w:t xml:space="preserve">The Commonwealth Disability Strategy has been overtaken by a new National Disability Strategy 2010–2020, which sets out a 10-year national policy framework to improve the lives of people with disability, promote participation and create a more inclusive society. A high-level two-yearly report will track progress against each of the six outcome areas of the strategy and show how people with disability are faring. The first of these reports will be available in 2014 at </w:t>
      </w:r>
      <w:r w:rsidRPr="001E2783">
        <w:rPr>
          <w:rFonts w:cs="Arial"/>
          <w:szCs w:val="20"/>
        </w:rPr>
        <w:t>fahcsia.gov.au</w:t>
      </w:r>
      <w:r w:rsidR="000D6C05" w:rsidRPr="001E2783">
        <w:rPr>
          <w:rFonts w:cs="Arial"/>
        </w:rPr>
        <w:t>.</w:t>
      </w:r>
    </w:p>
    <w:p w14:paraId="5AE86EC5" w14:textId="77777777" w:rsidR="00E87DB6" w:rsidRPr="001E2783" w:rsidRDefault="00E87DB6" w:rsidP="00E87DB6">
      <w:pPr>
        <w:rPr>
          <w:rFonts w:cs="Arial"/>
        </w:rPr>
      </w:pPr>
    </w:p>
    <w:p w14:paraId="21EE57A8" w14:textId="77777777" w:rsidR="000E2B33" w:rsidRPr="001E2783" w:rsidRDefault="000E2B33" w:rsidP="000E2B33">
      <w:pPr>
        <w:pStyle w:val="Heading3"/>
      </w:pPr>
      <w:bookmarkStart w:id="284" w:name="_Toc400018622"/>
      <w:r w:rsidRPr="001E2783">
        <w:t>The ACMA Agency Multicultural Plan (AMP)</w:t>
      </w:r>
      <w:bookmarkEnd w:id="284"/>
    </w:p>
    <w:p w14:paraId="4FA58493" w14:textId="77777777" w:rsidR="008112FB" w:rsidRPr="001E2783" w:rsidRDefault="000E2B33" w:rsidP="008112FB">
      <w:pPr>
        <w:spacing w:after="80"/>
        <w:rPr>
          <w:rFonts w:cs="Arial"/>
        </w:rPr>
      </w:pPr>
      <w:r w:rsidRPr="001E2783">
        <w:rPr>
          <w:rFonts w:cs="Arial"/>
        </w:rPr>
        <w:t xml:space="preserve">The ACMA AMP identifies a range of actions to </w:t>
      </w:r>
      <w:r w:rsidR="008112FB" w:rsidRPr="001E2783">
        <w:rPr>
          <w:rFonts w:cs="Arial"/>
        </w:rPr>
        <w:t>help it</w:t>
      </w:r>
      <w:r w:rsidRPr="001E2783">
        <w:rPr>
          <w:rFonts w:cs="Arial"/>
        </w:rPr>
        <w:t xml:space="preserve"> make communications and media work for all Australians by</w:t>
      </w:r>
      <w:r w:rsidR="008112FB" w:rsidRPr="001E2783">
        <w:rPr>
          <w:rFonts w:cs="Arial"/>
        </w:rPr>
        <w:t>:</w:t>
      </w:r>
    </w:p>
    <w:p w14:paraId="1BDBCC41" w14:textId="77777777" w:rsidR="008112FB" w:rsidRPr="001E2783" w:rsidRDefault="000E2B33" w:rsidP="008112FB">
      <w:pPr>
        <w:pStyle w:val="ListBullet"/>
        <w:rPr>
          <w:rFonts w:cs="Arial"/>
        </w:rPr>
      </w:pPr>
      <w:r w:rsidRPr="001E2783">
        <w:rPr>
          <w:rFonts w:cs="Arial"/>
        </w:rPr>
        <w:t>delivering on its mandated outcomes</w:t>
      </w:r>
    </w:p>
    <w:p w14:paraId="5A378CB7" w14:textId="77777777" w:rsidR="008112FB" w:rsidRPr="001E2783" w:rsidRDefault="000E2B33" w:rsidP="008112FB">
      <w:pPr>
        <w:pStyle w:val="ListBullet"/>
        <w:rPr>
          <w:rFonts w:cs="Arial"/>
        </w:rPr>
      </w:pPr>
      <w:r w:rsidRPr="001E2783">
        <w:rPr>
          <w:rFonts w:cs="Arial"/>
        </w:rPr>
        <w:t>discharging its statutory obligations</w:t>
      </w:r>
    </w:p>
    <w:p w14:paraId="201E1DAD" w14:textId="77777777" w:rsidR="000E2B33" w:rsidRPr="001E2783" w:rsidRDefault="000E2B33" w:rsidP="008112FB">
      <w:pPr>
        <w:pStyle w:val="ListBullet"/>
        <w:spacing w:after="240"/>
        <w:rPr>
          <w:rFonts w:cs="Arial"/>
        </w:rPr>
      </w:pPr>
      <w:r w:rsidRPr="001E2783">
        <w:rPr>
          <w:rFonts w:cs="Arial"/>
        </w:rPr>
        <w:t>transforming itself into a resilient, learning organisation that is responsive to the numerous pressures for change.</w:t>
      </w:r>
    </w:p>
    <w:p w14:paraId="3E653D7B" w14:textId="77777777" w:rsidR="000E2B33" w:rsidRPr="001E2783" w:rsidRDefault="000E2B33" w:rsidP="000E2B33">
      <w:pPr>
        <w:rPr>
          <w:rFonts w:cs="Arial"/>
        </w:rPr>
      </w:pPr>
      <w:r w:rsidRPr="001E2783">
        <w:rPr>
          <w:rFonts w:cs="Arial"/>
        </w:rPr>
        <w:t>In 2013</w:t>
      </w:r>
      <w:r w:rsidR="008112FB" w:rsidRPr="001E2783">
        <w:rPr>
          <w:rFonts w:cs="Arial"/>
        </w:rPr>
        <w:t>–</w:t>
      </w:r>
      <w:r w:rsidRPr="001E2783">
        <w:rPr>
          <w:rFonts w:cs="Arial"/>
        </w:rPr>
        <w:t>14, the ACMA addressed each of the six core dimensions of the Multicultural Access and Equity Policy for leadership, engagements, performance, capability, responsiveness and openness.</w:t>
      </w:r>
    </w:p>
    <w:p w14:paraId="4CF46409" w14:textId="77777777" w:rsidR="000E2B33" w:rsidRPr="001E2783" w:rsidRDefault="000E2B33" w:rsidP="000E2B33">
      <w:pPr>
        <w:rPr>
          <w:rFonts w:cs="Arial"/>
        </w:rPr>
      </w:pPr>
    </w:p>
    <w:p w14:paraId="56AE8AA1" w14:textId="77777777" w:rsidR="000E2B33" w:rsidRPr="001E2783" w:rsidRDefault="000E2B33" w:rsidP="000E2B33">
      <w:pPr>
        <w:rPr>
          <w:rFonts w:cs="Arial"/>
        </w:rPr>
      </w:pPr>
      <w:r w:rsidRPr="001E2783">
        <w:rPr>
          <w:rFonts w:cs="Arial"/>
        </w:rPr>
        <w:t xml:space="preserve">The ACMA will continue to use its AMP to inform its policy development, program delivery and regulatory decision-making in areas where multicultural access and equity is a necessary consideration. The AMP will also be used to set out a range of objectives to make ACMA staff aware of the needs of </w:t>
      </w:r>
      <w:r w:rsidR="008112FB" w:rsidRPr="001E2783">
        <w:rPr>
          <w:rFonts w:cs="Arial"/>
        </w:rPr>
        <w:t>culturally and linguistically diverse (CALD)</w:t>
      </w:r>
      <w:r w:rsidRPr="001E2783">
        <w:rPr>
          <w:rFonts w:cs="Arial"/>
        </w:rPr>
        <w:t xml:space="preserve"> citizens and consumers.</w:t>
      </w:r>
    </w:p>
    <w:p w14:paraId="010928C5" w14:textId="77777777" w:rsidR="000E2B33" w:rsidRPr="001E2783" w:rsidRDefault="000E2B33" w:rsidP="000E2B33">
      <w:pPr>
        <w:rPr>
          <w:rFonts w:cs="Arial"/>
        </w:rPr>
      </w:pPr>
    </w:p>
    <w:p w14:paraId="576DBEB8" w14:textId="77777777" w:rsidR="000E2B33" w:rsidRPr="001E2783" w:rsidRDefault="000E2B33" w:rsidP="000E2B33">
      <w:pPr>
        <w:rPr>
          <w:rFonts w:cs="Arial"/>
        </w:rPr>
      </w:pPr>
      <w:r w:rsidRPr="001E2783">
        <w:rPr>
          <w:rFonts w:cs="Arial"/>
        </w:rPr>
        <w:t xml:space="preserve">Further information on the ACMA AMP </w:t>
      </w:r>
      <w:r w:rsidR="008112FB" w:rsidRPr="001E2783">
        <w:rPr>
          <w:rFonts w:cs="Arial"/>
        </w:rPr>
        <w:t>is on</w:t>
      </w:r>
      <w:r w:rsidRPr="001E2783">
        <w:rPr>
          <w:rFonts w:cs="Arial"/>
        </w:rPr>
        <w:t xml:space="preserve"> the ACMA website.</w:t>
      </w:r>
    </w:p>
    <w:p w14:paraId="283A78AE" w14:textId="77777777" w:rsidR="000E2B33" w:rsidRPr="001E2783" w:rsidRDefault="000E2B33" w:rsidP="000E2B33">
      <w:pPr>
        <w:rPr>
          <w:rFonts w:cs="Arial"/>
        </w:rPr>
      </w:pPr>
    </w:p>
    <w:p w14:paraId="6634765D" w14:textId="77777777" w:rsidR="002228F4" w:rsidRPr="001E2783" w:rsidRDefault="002228F4" w:rsidP="002228F4">
      <w:pPr>
        <w:pStyle w:val="Heading3"/>
        <w:spacing w:line="276" w:lineRule="auto"/>
      </w:pPr>
      <w:bookmarkStart w:id="285" w:name="_Toc329600270"/>
      <w:bookmarkStart w:id="286" w:name="_Toc400018623"/>
      <w:r w:rsidRPr="001E2783">
        <w:t>Ethical standards</w:t>
      </w:r>
      <w:bookmarkEnd w:id="285"/>
      <w:bookmarkEnd w:id="286"/>
      <w:r w:rsidRPr="001E2783">
        <w:t xml:space="preserve"> </w:t>
      </w:r>
    </w:p>
    <w:p w14:paraId="05ADAEBF" w14:textId="77777777" w:rsidR="00694396" w:rsidRPr="001E2783" w:rsidRDefault="00694396" w:rsidP="00694396">
      <w:pPr>
        <w:rPr>
          <w:rFonts w:cs="Arial"/>
        </w:rPr>
      </w:pPr>
      <w:r w:rsidRPr="001E2783">
        <w:rPr>
          <w:rFonts w:cs="Arial"/>
        </w:rPr>
        <w:t xml:space="preserve">The ACMA continued to promote the importance of ethical standards through its Chief Executive Instructions (CEIs), People Management Instructions (PMIs) and training programs. In particular, the ACMA promotes ethical standards and </w:t>
      </w:r>
      <w:r w:rsidR="008112FB" w:rsidRPr="001E2783">
        <w:rPr>
          <w:rFonts w:cs="Arial"/>
        </w:rPr>
        <w:t>makes</w:t>
      </w:r>
      <w:r w:rsidRPr="001E2783">
        <w:rPr>
          <w:rFonts w:cs="Arial"/>
        </w:rPr>
        <w:t xml:space="preserve"> staff </w:t>
      </w:r>
      <w:r w:rsidR="008112FB" w:rsidRPr="001E2783">
        <w:rPr>
          <w:rFonts w:cs="Arial"/>
        </w:rPr>
        <w:t>aware of</w:t>
      </w:r>
      <w:r w:rsidRPr="001E2783">
        <w:rPr>
          <w:rFonts w:cs="Arial"/>
        </w:rPr>
        <w:t xml:space="preserve"> their obligations through its CEI on gifts, benefits and hospitality</w:t>
      </w:r>
      <w:r w:rsidR="008112FB" w:rsidRPr="001E2783">
        <w:rPr>
          <w:rFonts w:cs="Arial"/>
        </w:rPr>
        <w:t>;</w:t>
      </w:r>
      <w:r w:rsidRPr="001E2783">
        <w:rPr>
          <w:rFonts w:cs="Arial"/>
        </w:rPr>
        <w:t xml:space="preserve"> and its PMIs and associated training on Public Interests Disclosure and Identifying and Managing Conflicts of Interest.</w:t>
      </w:r>
    </w:p>
    <w:p w14:paraId="73158A82" w14:textId="77777777" w:rsidR="00694396" w:rsidRPr="001E2783" w:rsidRDefault="00694396" w:rsidP="00694396">
      <w:pPr>
        <w:rPr>
          <w:rFonts w:cs="Arial"/>
        </w:rPr>
      </w:pPr>
    </w:p>
    <w:p w14:paraId="1C6F951D" w14:textId="77777777" w:rsidR="00CC119D" w:rsidRPr="001E2783" w:rsidRDefault="00694396" w:rsidP="00694396">
      <w:pPr>
        <w:rPr>
          <w:rFonts w:cs="Arial"/>
        </w:rPr>
      </w:pPr>
      <w:r w:rsidRPr="001E2783">
        <w:rPr>
          <w:rFonts w:cs="Arial"/>
        </w:rPr>
        <w:t xml:space="preserve">Staff continued to be advised and reminded of their individual obligations under the APS Values and Code of Conduct through an online induction training program, an online managers’ handbook and selection criteria for all ACMA position descriptions. Adherence to the ACMA and APS Values and APS Code of Conduct </w:t>
      </w:r>
      <w:r w:rsidR="00044675" w:rsidRPr="001E2783">
        <w:rPr>
          <w:rFonts w:cs="Arial"/>
        </w:rPr>
        <w:t>is</w:t>
      </w:r>
      <w:r w:rsidRPr="001E2783">
        <w:rPr>
          <w:rFonts w:cs="Arial"/>
        </w:rPr>
        <w:t xml:space="preserve"> a mandatory expectation in all performance agreements. Staff awareness of the APS Values and Code of Conduct is monitored through staff surveys.</w:t>
      </w:r>
    </w:p>
    <w:p w14:paraId="7FB844FC" w14:textId="77777777" w:rsidR="00694396" w:rsidRPr="001E2783" w:rsidRDefault="00694396" w:rsidP="00694396">
      <w:pPr>
        <w:rPr>
          <w:rFonts w:cs="Arial"/>
        </w:rPr>
      </w:pPr>
    </w:p>
    <w:p w14:paraId="5B3B7460" w14:textId="77777777" w:rsidR="002228F4" w:rsidRPr="001E2783" w:rsidRDefault="002228F4" w:rsidP="002228F4">
      <w:pPr>
        <w:pStyle w:val="Heading3"/>
        <w:spacing w:line="276" w:lineRule="auto"/>
      </w:pPr>
      <w:bookmarkStart w:id="287" w:name="_Toc329600271"/>
      <w:bookmarkStart w:id="288" w:name="_Toc400018624"/>
      <w:r w:rsidRPr="001E2783">
        <w:t>Health and safety</w:t>
      </w:r>
      <w:bookmarkEnd w:id="287"/>
      <w:bookmarkEnd w:id="288"/>
    </w:p>
    <w:p w14:paraId="12EC7865" w14:textId="77777777" w:rsidR="00694396" w:rsidRPr="001E2783" w:rsidRDefault="00694396" w:rsidP="00694396">
      <w:pPr>
        <w:rPr>
          <w:rFonts w:cs="Arial"/>
          <w:szCs w:val="20"/>
        </w:rPr>
      </w:pPr>
      <w:r w:rsidRPr="001E2783">
        <w:rPr>
          <w:rFonts w:cs="Arial"/>
          <w:szCs w:val="20"/>
        </w:rPr>
        <w:t>The ACMA is committed to providing its workers with a healthy and safe w</w:t>
      </w:r>
      <w:r w:rsidR="008112FB" w:rsidRPr="001E2783">
        <w:rPr>
          <w:rFonts w:cs="Arial"/>
          <w:szCs w:val="20"/>
        </w:rPr>
        <w:t>orking environment. During 2013–</w:t>
      </w:r>
      <w:r w:rsidRPr="001E2783">
        <w:rPr>
          <w:rFonts w:cs="Arial"/>
          <w:szCs w:val="20"/>
        </w:rPr>
        <w:t>14, the ACMA continued to review and update policies and practices to reflect governing legislation and applicable codes of practice</w:t>
      </w:r>
      <w:r w:rsidR="008112FB" w:rsidRPr="001E2783">
        <w:rPr>
          <w:rFonts w:cs="Arial"/>
          <w:szCs w:val="20"/>
        </w:rPr>
        <w:t>,</w:t>
      </w:r>
      <w:r w:rsidRPr="001E2783">
        <w:rPr>
          <w:rFonts w:cs="Arial"/>
          <w:szCs w:val="20"/>
        </w:rPr>
        <w:t xml:space="preserve"> and to make this information more accessible to its workers.</w:t>
      </w:r>
    </w:p>
    <w:p w14:paraId="14D3754A" w14:textId="77777777" w:rsidR="00694396" w:rsidRPr="001E2783" w:rsidRDefault="00694396" w:rsidP="00694396">
      <w:pPr>
        <w:rPr>
          <w:rFonts w:cs="Arial"/>
          <w:szCs w:val="20"/>
        </w:rPr>
      </w:pPr>
    </w:p>
    <w:p w14:paraId="0F474D03" w14:textId="77777777" w:rsidR="00694396" w:rsidRPr="001E2783" w:rsidRDefault="00694396" w:rsidP="00694396">
      <w:pPr>
        <w:rPr>
          <w:rFonts w:cs="Arial"/>
          <w:szCs w:val="20"/>
        </w:rPr>
      </w:pPr>
      <w:r w:rsidRPr="001E2783">
        <w:rPr>
          <w:rFonts w:cs="Arial"/>
          <w:szCs w:val="20"/>
        </w:rPr>
        <w:t>The ACMA actively supports the safe and timely return to work of injured or ill employees, whether or not the injury or illness is work-related</w:t>
      </w:r>
      <w:r w:rsidR="008112FB" w:rsidRPr="001E2783">
        <w:rPr>
          <w:rFonts w:cs="Arial"/>
          <w:szCs w:val="20"/>
        </w:rPr>
        <w:t xml:space="preserve">. This includes implementing </w:t>
      </w:r>
      <w:r w:rsidRPr="001E2783">
        <w:rPr>
          <w:rFonts w:cs="Arial"/>
          <w:szCs w:val="20"/>
        </w:rPr>
        <w:t>early intervention strategies and engag</w:t>
      </w:r>
      <w:r w:rsidR="008112FB" w:rsidRPr="001E2783">
        <w:rPr>
          <w:rFonts w:cs="Arial"/>
          <w:szCs w:val="20"/>
        </w:rPr>
        <w:t>ing</w:t>
      </w:r>
      <w:r w:rsidRPr="001E2783">
        <w:rPr>
          <w:rFonts w:cs="Arial"/>
          <w:szCs w:val="20"/>
        </w:rPr>
        <w:t xml:space="preserve"> rehabilitation pro</w:t>
      </w:r>
      <w:r w:rsidR="008112FB" w:rsidRPr="001E2783">
        <w:rPr>
          <w:rFonts w:cs="Arial"/>
          <w:szCs w:val="20"/>
        </w:rPr>
        <w:t>viders to facilitate the return-to-</w:t>
      </w:r>
      <w:r w:rsidRPr="001E2783">
        <w:rPr>
          <w:rFonts w:cs="Arial"/>
          <w:szCs w:val="20"/>
        </w:rPr>
        <w:t xml:space="preserve">work process. </w:t>
      </w:r>
    </w:p>
    <w:p w14:paraId="3D621740" w14:textId="77777777" w:rsidR="00694396" w:rsidRPr="001E2783" w:rsidRDefault="00694396" w:rsidP="00694396">
      <w:pPr>
        <w:rPr>
          <w:rFonts w:cs="Arial"/>
          <w:szCs w:val="20"/>
        </w:rPr>
      </w:pPr>
    </w:p>
    <w:p w14:paraId="7722BDB3" w14:textId="77777777" w:rsidR="00694396" w:rsidRPr="001E2783" w:rsidRDefault="00694396" w:rsidP="00694396">
      <w:pPr>
        <w:rPr>
          <w:rFonts w:cs="Arial"/>
          <w:szCs w:val="20"/>
        </w:rPr>
      </w:pPr>
      <w:r w:rsidRPr="001E2783">
        <w:rPr>
          <w:rFonts w:cs="Arial"/>
          <w:szCs w:val="20"/>
        </w:rPr>
        <w:t>A Health and Safety Representative Forum and a Harassment C</w:t>
      </w:r>
      <w:r w:rsidR="00044675" w:rsidRPr="001E2783">
        <w:rPr>
          <w:rFonts w:cs="Arial"/>
          <w:szCs w:val="20"/>
        </w:rPr>
        <w:t>ontact Officer Network continue</w:t>
      </w:r>
      <w:r w:rsidRPr="001E2783">
        <w:rPr>
          <w:rFonts w:cs="Arial"/>
          <w:szCs w:val="20"/>
        </w:rPr>
        <w:t xml:space="preserve"> to oper</w:t>
      </w:r>
      <w:r w:rsidR="00044675" w:rsidRPr="001E2783">
        <w:rPr>
          <w:rFonts w:cs="Arial"/>
          <w:szCs w:val="20"/>
        </w:rPr>
        <w:t>ate within the ACMA and provide</w:t>
      </w:r>
      <w:r w:rsidRPr="001E2783">
        <w:rPr>
          <w:rFonts w:cs="Arial"/>
          <w:szCs w:val="20"/>
        </w:rPr>
        <w:t xml:space="preserve"> effective avenues to consult and consider new ideas </w:t>
      </w:r>
      <w:r w:rsidR="008112FB" w:rsidRPr="001E2783">
        <w:rPr>
          <w:rFonts w:cs="Arial"/>
          <w:szCs w:val="20"/>
        </w:rPr>
        <w:t>about</w:t>
      </w:r>
      <w:r w:rsidRPr="001E2783">
        <w:rPr>
          <w:rFonts w:cs="Arial"/>
          <w:szCs w:val="20"/>
        </w:rPr>
        <w:t xml:space="preserve"> work health and safety. A number of EL2 employees are Work Health and Safety Champions</w:t>
      </w:r>
      <w:r w:rsidR="00C43507" w:rsidRPr="001E2783">
        <w:rPr>
          <w:rFonts w:cs="Arial"/>
          <w:szCs w:val="20"/>
        </w:rPr>
        <w:t>,</w:t>
      </w:r>
      <w:r w:rsidRPr="001E2783">
        <w:rPr>
          <w:rFonts w:cs="Arial"/>
          <w:szCs w:val="20"/>
        </w:rPr>
        <w:t xml:space="preserve"> and actively promote health and wellbeing initiatives. The National Work Health and Safety Committee met on four occasions during the reporting period.</w:t>
      </w:r>
    </w:p>
    <w:p w14:paraId="0AD478DD" w14:textId="77777777" w:rsidR="00694396" w:rsidRPr="001E2783" w:rsidRDefault="00694396" w:rsidP="00694396">
      <w:pPr>
        <w:rPr>
          <w:rFonts w:cs="Arial"/>
          <w:szCs w:val="20"/>
        </w:rPr>
      </w:pPr>
    </w:p>
    <w:p w14:paraId="142D5B14" w14:textId="77777777" w:rsidR="00694396" w:rsidRPr="001E2783" w:rsidRDefault="00694396" w:rsidP="00694396">
      <w:pPr>
        <w:rPr>
          <w:rFonts w:cs="Arial"/>
          <w:szCs w:val="20"/>
        </w:rPr>
      </w:pPr>
      <w:r w:rsidRPr="001E2783">
        <w:rPr>
          <w:rFonts w:cs="Arial"/>
          <w:szCs w:val="20"/>
        </w:rPr>
        <w:t>During the second half of 2013, both the Canberra and Melbourne offices relocated to new premises. Workstation assessments were undertaken for all relocating staff. A number of sit/stand workstations were provided throughout both offices and staff were trained in their use.</w:t>
      </w:r>
    </w:p>
    <w:p w14:paraId="2B0BC8DC" w14:textId="77777777" w:rsidR="00694396" w:rsidRPr="001E2783" w:rsidRDefault="00694396" w:rsidP="00694396">
      <w:pPr>
        <w:rPr>
          <w:rFonts w:cs="Arial"/>
          <w:szCs w:val="20"/>
        </w:rPr>
      </w:pPr>
    </w:p>
    <w:p w14:paraId="7E257B68" w14:textId="77777777" w:rsidR="00694396" w:rsidRPr="001E2783" w:rsidRDefault="00694396" w:rsidP="00694396">
      <w:pPr>
        <w:rPr>
          <w:rFonts w:cs="Arial"/>
          <w:szCs w:val="20"/>
        </w:rPr>
      </w:pPr>
      <w:r w:rsidRPr="001E2783">
        <w:rPr>
          <w:rFonts w:cs="Arial"/>
          <w:szCs w:val="20"/>
        </w:rPr>
        <w:t>Regular workplace inspections were undertaken in all ACMA workplaces to identify hazards and potential hazards, and to review current hazard control measures. These inspections were undertaken by Health and Safety Representatives</w:t>
      </w:r>
      <w:r w:rsidR="00C43507" w:rsidRPr="001E2783">
        <w:rPr>
          <w:rFonts w:cs="Arial"/>
          <w:szCs w:val="20"/>
        </w:rPr>
        <w:t>,</w:t>
      </w:r>
      <w:r w:rsidRPr="001E2783">
        <w:rPr>
          <w:rFonts w:cs="Arial"/>
          <w:szCs w:val="20"/>
        </w:rPr>
        <w:t xml:space="preserve"> and Work Health and Safety Champions. </w:t>
      </w:r>
    </w:p>
    <w:p w14:paraId="7EFC3CAA" w14:textId="77777777" w:rsidR="00694396" w:rsidRPr="001E2783" w:rsidRDefault="00694396" w:rsidP="00694396">
      <w:pPr>
        <w:rPr>
          <w:rFonts w:cs="Arial"/>
          <w:szCs w:val="20"/>
        </w:rPr>
      </w:pPr>
    </w:p>
    <w:p w14:paraId="2DB03793" w14:textId="77777777" w:rsidR="00694396" w:rsidRPr="001E2783" w:rsidRDefault="00694396" w:rsidP="00694396">
      <w:pPr>
        <w:spacing w:after="80"/>
        <w:rPr>
          <w:rFonts w:cs="Arial"/>
          <w:szCs w:val="20"/>
        </w:rPr>
      </w:pPr>
      <w:r w:rsidRPr="001E2783">
        <w:rPr>
          <w:rFonts w:cs="Arial"/>
          <w:szCs w:val="20"/>
        </w:rPr>
        <w:t xml:space="preserve">Health and safety information is provided to all new employees through the ACMA’s </w:t>
      </w:r>
      <w:r w:rsidR="00C43507" w:rsidRPr="001E2783">
        <w:rPr>
          <w:rFonts w:cs="Arial"/>
          <w:szCs w:val="20"/>
        </w:rPr>
        <w:br/>
      </w:r>
      <w:r w:rsidRPr="001E2783">
        <w:rPr>
          <w:rFonts w:cs="Arial"/>
          <w:szCs w:val="20"/>
        </w:rPr>
        <w:t xml:space="preserve">e-learning induction program. In addition, the ACMA provided the following initiatives during the reporting period: </w:t>
      </w:r>
    </w:p>
    <w:p w14:paraId="5C50D8F1" w14:textId="77777777" w:rsidR="00694396" w:rsidRPr="001E2783" w:rsidRDefault="00694396" w:rsidP="00694396">
      <w:pPr>
        <w:pStyle w:val="ListBullet"/>
        <w:rPr>
          <w:rFonts w:cs="Arial"/>
        </w:rPr>
      </w:pPr>
      <w:r w:rsidRPr="001E2783">
        <w:rPr>
          <w:rFonts w:cs="Arial"/>
        </w:rPr>
        <w:t>Health Week, incorporating seminars, health assessments and work-based activities</w:t>
      </w:r>
    </w:p>
    <w:p w14:paraId="249F8DE3" w14:textId="77777777" w:rsidR="00694396" w:rsidRPr="001E2783" w:rsidRDefault="00694396" w:rsidP="00694396">
      <w:pPr>
        <w:pStyle w:val="ListBullet"/>
        <w:rPr>
          <w:rFonts w:cs="Arial"/>
        </w:rPr>
      </w:pPr>
      <w:r w:rsidRPr="001E2783">
        <w:rPr>
          <w:rFonts w:cs="Arial"/>
        </w:rPr>
        <w:t>flu vaccinations</w:t>
      </w:r>
    </w:p>
    <w:p w14:paraId="18130C5E" w14:textId="77777777" w:rsidR="00694396" w:rsidRPr="001E2783" w:rsidRDefault="00694396" w:rsidP="00694396">
      <w:pPr>
        <w:pStyle w:val="ListBullet"/>
        <w:rPr>
          <w:rFonts w:cs="Arial"/>
        </w:rPr>
      </w:pPr>
      <w:r w:rsidRPr="001E2783">
        <w:rPr>
          <w:rFonts w:cs="Arial"/>
        </w:rPr>
        <w:t>assistance</w:t>
      </w:r>
      <w:r w:rsidR="00C43507" w:rsidRPr="001E2783">
        <w:rPr>
          <w:rFonts w:cs="Arial"/>
        </w:rPr>
        <w:t xml:space="preserve"> with costs associated with eye-</w:t>
      </w:r>
      <w:r w:rsidRPr="001E2783">
        <w:rPr>
          <w:rFonts w:cs="Arial"/>
        </w:rPr>
        <w:t>testing and purchase of glasses for screen-based use</w:t>
      </w:r>
    </w:p>
    <w:p w14:paraId="2DCE2FE4" w14:textId="77777777" w:rsidR="00694396" w:rsidRPr="001E2783" w:rsidRDefault="00694396" w:rsidP="00694396">
      <w:pPr>
        <w:pStyle w:val="ListBullet"/>
        <w:rPr>
          <w:rFonts w:cs="Arial"/>
        </w:rPr>
      </w:pPr>
      <w:r w:rsidRPr="001E2783">
        <w:rPr>
          <w:rFonts w:cs="Arial"/>
        </w:rPr>
        <w:t>Employee Assistance Program</w:t>
      </w:r>
    </w:p>
    <w:p w14:paraId="5A100B14" w14:textId="77777777" w:rsidR="00694396" w:rsidRPr="001E2783" w:rsidRDefault="00694396" w:rsidP="00694396">
      <w:pPr>
        <w:pStyle w:val="ListBullet"/>
        <w:rPr>
          <w:rFonts w:cs="Arial"/>
        </w:rPr>
      </w:pPr>
      <w:r w:rsidRPr="001E2783">
        <w:rPr>
          <w:rFonts w:cs="Arial"/>
        </w:rPr>
        <w:t>e-learning health and safety modules as induction tools and ongoing resources</w:t>
      </w:r>
    </w:p>
    <w:p w14:paraId="3485E285" w14:textId="77777777" w:rsidR="00694396" w:rsidRPr="001E2783" w:rsidRDefault="00694396" w:rsidP="00694396">
      <w:pPr>
        <w:pStyle w:val="ListBullet"/>
        <w:rPr>
          <w:rFonts w:cs="Arial"/>
        </w:rPr>
      </w:pPr>
      <w:r w:rsidRPr="001E2783">
        <w:rPr>
          <w:rFonts w:cs="Arial"/>
        </w:rPr>
        <w:t>mental health awareness seminars</w:t>
      </w:r>
    </w:p>
    <w:p w14:paraId="0F4FE382" w14:textId="77777777" w:rsidR="00694396" w:rsidRPr="001E2783" w:rsidRDefault="00694396" w:rsidP="00694396">
      <w:pPr>
        <w:pStyle w:val="ListBullet"/>
        <w:spacing w:after="240"/>
        <w:rPr>
          <w:rFonts w:cs="Arial"/>
        </w:rPr>
      </w:pPr>
      <w:r w:rsidRPr="001E2783">
        <w:rPr>
          <w:rFonts w:cs="Arial"/>
        </w:rPr>
        <w:t>a monthly newsletter.</w:t>
      </w: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1A501851" w14:textId="77777777" w:rsidTr="00694396">
        <w:trPr>
          <w:trHeight w:val="570"/>
        </w:trPr>
        <w:tc>
          <w:tcPr>
            <w:tcW w:w="9645" w:type="dxa"/>
            <w:tcBorders>
              <w:top w:val="single" w:sz="2" w:space="0" w:color="505050"/>
            </w:tcBorders>
            <w:shd w:val="clear" w:color="auto" w:fill="auto"/>
            <w:vAlign w:val="center"/>
          </w:tcPr>
          <w:p w14:paraId="06D7A7E1" w14:textId="743C560E" w:rsidR="00694396" w:rsidRPr="001E2783" w:rsidRDefault="00694396" w:rsidP="00044675">
            <w:pPr>
              <w:pStyle w:val="Caption"/>
              <w:keepNext/>
              <w:keepLines/>
              <w:rPr>
                <w:rFonts w:ascii="Arial" w:hAnsi="Arial" w:cs="Arial"/>
                <w:color w:val="auto"/>
              </w:rPr>
            </w:pPr>
            <w:r w:rsidRPr="00D3485F">
              <w:rPr>
                <w:rFonts w:ascii="Arial" w:hAnsi="Arial" w:cs="Arial"/>
              </w:rPr>
              <w:t xml:space="preserve">Table </w:t>
            </w:r>
            <w:r w:rsidR="00C25992" w:rsidRPr="00D3485F">
              <w:rPr>
                <w:rFonts w:ascii="Arial" w:hAnsi="Arial" w:cs="Arial"/>
              </w:rPr>
              <w:t>38</w:t>
            </w:r>
            <w:r w:rsidRPr="00D3485F">
              <w:rPr>
                <w:rFonts w:ascii="Arial" w:hAnsi="Arial" w:cs="Arial"/>
              </w:rPr>
              <w:t xml:space="preserve">: </w:t>
            </w:r>
            <w:r w:rsidR="00C43507" w:rsidRPr="00D3485F">
              <w:rPr>
                <w:rFonts w:ascii="Arial" w:hAnsi="Arial" w:cs="Arial"/>
              </w:rPr>
              <w:t>H</w:t>
            </w:r>
            <w:r w:rsidRPr="00D3485F">
              <w:rPr>
                <w:rFonts w:ascii="Arial" w:hAnsi="Arial" w:cs="Arial"/>
              </w:rPr>
              <w:t>ealth and wellbeing initiatives</w:t>
            </w:r>
            <w:r w:rsidR="00E00F7B" w:rsidRPr="00D3485F">
              <w:rPr>
                <w:rFonts w:ascii="Arial" w:hAnsi="Arial" w:cs="Arial"/>
              </w:rPr>
              <w:t>, 2013–14</w:t>
            </w:r>
          </w:p>
        </w:tc>
      </w:tr>
      <w:tr w:rsidR="001E2783" w:rsidRPr="001E2783" w14:paraId="033CFC3A" w14:textId="77777777" w:rsidTr="00694396">
        <w:trPr>
          <w:trHeight w:val="1137"/>
        </w:trPr>
        <w:tc>
          <w:tcPr>
            <w:tcW w:w="9645" w:type="dxa"/>
            <w:shd w:val="clear" w:color="auto" w:fill="auto"/>
            <w:tcMar>
              <w:left w:w="28" w:type="dxa"/>
            </w:tcMa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22"/>
              <w:gridCol w:w="2623"/>
            </w:tblGrid>
            <w:tr w:rsidR="001E2783" w:rsidRPr="007F3FB8" w14:paraId="2AC6685A" w14:textId="77777777" w:rsidTr="00694396">
              <w:tc>
                <w:tcPr>
                  <w:tcW w:w="2622" w:type="dxa"/>
                  <w:shd w:val="clear" w:color="auto" w:fill="404040" w:themeFill="text1" w:themeFillTint="BF"/>
                  <w:tcMar>
                    <w:top w:w="57" w:type="dxa"/>
                    <w:left w:w="57" w:type="dxa"/>
                    <w:bottom w:w="57" w:type="dxa"/>
                    <w:right w:w="57" w:type="dxa"/>
                  </w:tcMar>
                </w:tcPr>
                <w:p w14:paraId="0DC18A09" w14:textId="77777777" w:rsidR="00A9183E" w:rsidRPr="007F3FB8" w:rsidRDefault="00A9183E" w:rsidP="00A9183E">
                  <w:pPr>
                    <w:pStyle w:val="TableHeading"/>
                    <w:rPr>
                      <w:rFonts w:ascii="Arial" w:hAnsi="Arial" w:cs="Arial"/>
                      <w:color w:val="FFFFFF" w:themeColor="background1"/>
                    </w:rPr>
                  </w:pPr>
                  <w:r w:rsidRPr="007F3FB8">
                    <w:rPr>
                      <w:rFonts w:ascii="Arial" w:hAnsi="Arial" w:cs="Arial"/>
                      <w:color w:val="FFFFFF" w:themeColor="background1"/>
                    </w:rPr>
                    <w:t>Initiative</w:t>
                  </w:r>
                </w:p>
              </w:tc>
              <w:tc>
                <w:tcPr>
                  <w:tcW w:w="2623" w:type="dxa"/>
                  <w:shd w:val="clear" w:color="auto" w:fill="404040" w:themeFill="text1" w:themeFillTint="BF"/>
                  <w:tcMar>
                    <w:top w:w="57" w:type="dxa"/>
                    <w:left w:w="57" w:type="dxa"/>
                    <w:bottom w:w="57" w:type="dxa"/>
                    <w:right w:w="57" w:type="dxa"/>
                  </w:tcMar>
                </w:tcPr>
                <w:p w14:paraId="54D92DFF" w14:textId="25360E7F" w:rsidR="00A9183E" w:rsidRPr="007F3FB8" w:rsidRDefault="00E00F7B" w:rsidP="00E00F7B">
                  <w:pPr>
                    <w:pStyle w:val="TableHeading"/>
                    <w:jc w:val="right"/>
                    <w:rPr>
                      <w:rFonts w:ascii="Arial" w:hAnsi="Arial" w:cs="Arial"/>
                      <w:color w:val="FFFFFF" w:themeColor="background1"/>
                    </w:rPr>
                  </w:pPr>
                  <w:r w:rsidRPr="007F3FB8">
                    <w:rPr>
                      <w:rFonts w:ascii="Arial" w:hAnsi="Arial" w:cs="Arial"/>
                      <w:color w:val="FFFFFF" w:themeColor="background1"/>
                    </w:rPr>
                    <w:t>Utilisation rate</w:t>
                  </w:r>
                </w:p>
              </w:tc>
            </w:tr>
            <w:tr w:rsidR="001E2783" w:rsidRPr="001E2783" w14:paraId="2489E7F2" w14:textId="77777777" w:rsidTr="00694396">
              <w:tc>
                <w:tcPr>
                  <w:tcW w:w="2622" w:type="dxa"/>
                  <w:tcMar>
                    <w:top w:w="57" w:type="dxa"/>
                    <w:left w:w="57" w:type="dxa"/>
                    <w:bottom w:w="57" w:type="dxa"/>
                    <w:right w:w="57" w:type="dxa"/>
                  </w:tcMar>
                </w:tcPr>
                <w:p w14:paraId="189E20EF" w14:textId="77777777" w:rsidR="00A9183E" w:rsidRPr="001E2783" w:rsidRDefault="00A9183E" w:rsidP="00A9183E">
                  <w:pPr>
                    <w:pStyle w:val="TableTextLeft"/>
                    <w:rPr>
                      <w:rFonts w:cs="Arial"/>
                      <w:sz w:val="20"/>
                    </w:rPr>
                  </w:pPr>
                  <w:r w:rsidRPr="001E2783">
                    <w:rPr>
                      <w:rFonts w:cs="Arial"/>
                      <w:sz w:val="20"/>
                    </w:rPr>
                    <w:t xml:space="preserve">Influenza vaccination </w:t>
                  </w:r>
                </w:p>
              </w:tc>
              <w:tc>
                <w:tcPr>
                  <w:tcW w:w="2623" w:type="dxa"/>
                  <w:tcMar>
                    <w:top w:w="57" w:type="dxa"/>
                    <w:left w:w="57" w:type="dxa"/>
                    <w:bottom w:w="57" w:type="dxa"/>
                    <w:right w:w="57" w:type="dxa"/>
                  </w:tcMar>
                </w:tcPr>
                <w:p w14:paraId="05623B4F" w14:textId="77777777" w:rsidR="00A9183E" w:rsidRPr="001E2783" w:rsidRDefault="00A0460C" w:rsidP="00A9183E">
                  <w:pPr>
                    <w:pStyle w:val="TableTextCentred"/>
                    <w:jc w:val="right"/>
                    <w:rPr>
                      <w:rFonts w:cs="Arial"/>
                      <w:sz w:val="20"/>
                    </w:rPr>
                  </w:pPr>
                  <w:r w:rsidRPr="001E2783">
                    <w:rPr>
                      <w:rFonts w:cs="Arial"/>
                      <w:sz w:val="20"/>
                    </w:rPr>
                    <w:t>47%</w:t>
                  </w:r>
                </w:p>
              </w:tc>
            </w:tr>
            <w:tr w:rsidR="001E2783" w:rsidRPr="001E2783" w14:paraId="5D1132D7" w14:textId="77777777" w:rsidTr="00694396">
              <w:tc>
                <w:tcPr>
                  <w:tcW w:w="2622" w:type="dxa"/>
                  <w:tcMar>
                    <w:top w:w="57" w:type="dxa"/>
                    <w:left w:w="57" w:type="dxa"/>
                    <w:bottom w:w="57" w:type="dxa"/>
                    <w:right w:w="57" w:type="dxa"/>
                  </w:tcMar>
                </w:tcPr>
                <w:p w14:paraId="5993E2C3" w14:textId="77777777" w:rsidR="00A9183E" w:rsidRPr="001E2783" w:rsidRDefault="00A9183E" w:rsidP="00A9183E">
                  <w:pPr>
                    <w:pStyle w:val="TableTextLeft"/>
                    <w:rPr>
                      <w:rFonts w:cs="Arial"/>
                      <w:sz w:val="20"/>
                    </w:rPr>
                  </w:pPr>
                  <w:r w:rsidRPr="001E2783">
                    <w:rPr>
                      <w:rFonts w:cs="Arial"/>
                      <w:sz w:val="20"/>
                    </w:rPr>
                    <w:t>Health check</w:t>
                  </w:r>
                </w:p>
              </w:tc>
              <w:tc>
                <w:tcPr>
                  <w:tcW w:w="2623" w:type="dxa"/>
                  <w:tcMar>
                    <w:top w:w="57" w:type="dxa"/>
                    <w:left w:w="57" w:type="dxa"/>
                    <w:bottom w:w="57" w:type="dxa"/>
                    <w:right w:w="57" w:type="dxa"/>
                  </w:tcMar>
                </w:tcPr>
                <w:p w14:paraId="196F475B" w14:textId="77777777" w:rsidR="00A9183E" w:rsidRPr="001E2783" w:rsidRDefault="00A0460C" w:rsidP="00A9183E">
                  <w:pPr>
                    <w:pStyle w:val="TableTextCentred"/>
                    <w:jc w:val="right"/>
                    <w:rPr>
                      <w:rFonts w:cs="Arial"/>
                      <w:sz w:val="20"/>
                    </w:rPr>
                  </w:pPr>
                  <w:r w:rsidRPr="001E2783">
                    <w:rPr>
                      <w:rFonts w:cs="Arial"/>
                      <w:sz w:val="20"/>
                    </w:rPr>
                    <w:t>25</w:t>
                  </w:r>
                  <w:r w:rsidR="00A9183E" w:rsidRPr="001E2783">
                    <w:rPr>
                      <w:rFonts w:cs="Arial"/>
                      <w:sz w:val="20"/>
                    </w:rPr>
                    <w:t>%</w:t>
                  </w:r>
                </w:p>
              </w:tc>
            </w:tr>
            <w:tr w:rsidR="001E2783" w:rsidRPr="001E2783" w14:paraId="137D4A1E" w14:textId="77777777" w:rsidTr="00694396">
              <w:tc>
                <w:tcPr>
                  <w:tcW w:w="2622" w:type="dxa"/>
                  <w:tcMar>
                    <w:top w:w="57" w:type="dxa"/>
                    <w:left w:w="57" w:type="dxa"/>
                    <w:bottom w:w="57" w:type="dxa"/>
                    <w:right w:w="57" w:type="dxa"/>
                  </w:tcMar>
                </w:tcPr>
                <w:p w14:paraId="77D85890" w14:textId="77777777" w:rsidR="00A9183E" w:rsidRPr="001E2783" w:rsidRDefault="00A9183E" w:rsidP="00A9183E">
                  <w:pPr>
                    <w:pStyle w:val="TableTextLeft"/>
                    <w:rPr>
                      <w:rFonts w:cs="Arial"/>
                      <w:sz w:val="20"/>
                    </w:rPr>
                  </w:pPr>
                  <w:r w:rsidRPr="001E2783">
                    <w:rPr>
                      <w:rFonts w:cs="Arial"/>
                      <w:sz w:val="20"/>
                    </w:rPr>
                    <w:t xml:space="preserve">Employee assistance </w:t>
                  </w:r>
                </w:p>
              </w:tc>
              <w:tc>
                <w:tcPr>
                  <w:tcW w:w="2623" w:type="dxa"/>
                  <w:tcMar>
                    <w:top w:w="57" w:type="dxa"/>
                    <w:left w:w="57" w:type="dxa"/>
                    <w:bottom w:w="57" w:type="dxa"/>
                    <w:right w:w="57" w:type="dxa"/>
                  </w:tcMar>
                </w:tcPr>
                <w:p w14:paraId="41CA932F" w14:textId="77777777" w:rsidR="00A9183E" w:rsidRPr="001E2783" w:rsidRDefault="00A9183E" w:rsidP="00A9183E">
                  <w:pPr>
                    <w:pStyle w:val="TableTextCentred"/>
                    <w:jc w:val="right"/>
                    <w:rPr>
                      <w:rFonts w:cs="Arial"/>
                      <w:sz w:val="20"/>
                    </w:rPr>
                  </w:pPr>
                  <w:r w:rsidRPr="001E2783">
                    <w:rPr>
                      <w:rFonts w:cs="Arial"/>
                      <w:sz w:val="20"/>
                    </w:rPr>
                    <w:t>9.26%</w:t>
                  </w:r>
                </w:p>
              </w:tc>
            </w:tr>
          </w:tbl>
          <w:p w14:paraId="489124C9" w14:textId="77777777" w:rsidR="00694396" w:rsidRPr="001E2783" w:rsidRDefault="00694396" w:rsidP="00694396">
            <w:pPr>
              <w:rPr>
                <w:rFonts w:cs="Arial"/>
              </w:rPr>
            </w:pPr>
          </w:p>
        </w:tc>
      </w:tr>
      <w:tr w:rsidR="00694396" w:rsidRPr="001E2783" w14:paraId="36563DE2" w14:textId="77777777" w:rsidTr="00694396">
        <w:trPr>
          <w:trHeight w:val="70"/>
        </w:trPr>
        <w:tc>
          <w:tcPr>
            <w:tcW w:w="9645" w:type="dxa"/>
            <w:tcBorders>
              <w:bottom w:val="single" w:sz="2" w:space="0" w:color="505050"/>
            </w:tcBorders>
            <w:shd w:val="clear" w:color="auto" w:fill="auto"/>
          </w:tcPr>
          <w:p w14:paraId="55A5024E" w14:textId="77777777" w:rsidR="00694396" w:rsidRPr="001E2783" w:rsidRDefault="00694396" w:rsidP="00694396">
            <w:pPr>
              <w:rPr>
                <w:rFonts w:cs="Arial"/>
                <w:sz w:val="16"/>
                <w:szCs w:val="16"/>
              </w:rPr>
            </w:pPr>
          </w:p>
        </w:tc>
      </w:tr>
    </w:tbl>
    <w:p w14:paraId="2590E5E3" w14:textId="77777777" w:rsidR="00694396" w:rsidRPr="001E2783" w:rsidRDefault="00694396" w:rsidP="00694396">
      <w:pPr>
        <w:rPr>
          <w:rFonts w:cs="Arial"/>
          <w:szCs w:val="20"/>
        </w:rPr>
      </w:pPr>
    </w:p>
    <w:p w14:paraId="42D006B0" w14:textId="77777777" w:rsidR="00694396" w:rsidRPr="001E2783" w:rsidRDefault="00694396" w:rsidP="000C22F2">
      <w:pPr>
        <w:rPr>
          <w:rFonts w:cs="Arial"/>
        </w:rPr>
      </w:pPr>
      <w:r w:rsidRPr="001E2783">
        <w:rPr>
          <w:rFonts w:cs="Arial"/>
        </w:rPr>
        <w:t>The ACMA strongly encourages the reporting of workplace incidents and identified workplace hazards. During the reporting period</w:t>
      </w:r>
      <w:r w:rsidR="00C43507" w:rsidRPr="001E2783">
        <w:rPr>
          <w:rFonts w:cs="Arial"/>
        </w:rPr>
        <w:t>,</w:t>
      </w:r>
      <w:r w:rsidRPr="001E2783">
        <w:rPr>
          <w:rFonts w:cs="Arial"/>
        </w:rPr>
        <w:t xml:space="preserve"> there were </w:t>
      </w:r>
      <w:r w:rsidR="00A0460C" w:rsidRPr="001E2783">
        <w:rPr>
          <w:rFonts w:cs="Arial"/>
        </w:rPr>
        <w:t>45</w:t>
      </w:r>
      <w:r w:rsidRPr="001E2783">
        <w:rPr>
          <w:rFonts w:cs="Arial"/>
        </w:rPr>
        <w:t xml:space="preserve"> incident reports submitted by employees</w:t>
      </w:r>
      <w:r w:rsidR="00C43507" w:rsidRPr="001E2783">
        <w:rPr>
          <w:rFonts w:cs="Arial"/>
        </w:rPr>
        <w:t>,</w:t>
      </w:r>
      <w:r w:rsidRPr="001E2783">
        <w:rPr>
          <w:rFonts w:cs="Arial"/>
        </w:rPr>
        <w:t xml:space="preserve"> which was an increase </w:t>
      </w:r>
      <w:r w:rsidR="00C43507" w:rsidRPr="001E2783">
        <w:rPr>
          <w:rFonts w:cs="Arial"/>
        </w:rPr>
        <w:t>on</w:t>
      </w:r>
      <w:r w:rsidRPr="001E2783">
        <w:rPr>
          <w:rFonts w:cs="Arial"/>
        </w:rPr>
        <w:t xml:space="preserve"> the previous reporting period.</w:t>
      </w:r>
    </w:p>
    <w:p w14:paraId="419D63E1" w14:textId="77777777" w:rsidR="000C22F2" w:rsidRPr="001E2783" w:rsidRDefault="000C22F2" w:rsidP="000C22F2">
      <w:pPr>
        <w:rPr>
          <w:rFonts w:cs="Arial"/>
        </w:rPr>
      </w:pPr>
    </w:p>
    <w:p w14:paraId="4E0D95B0" w14:textId="77777777" w:rsidR="00CC119D" w:rsidRPr="001E2783" w:rsidRDefault="00C43507" w:rsidP="000A4DFF">
      <w:pPr>
        <w:rPr>
          <w:rFonts w:cs="Arial"/>
        </w:rPr>
      </w:pPr>
      <w:r w:rsidRPr="001E2783">
        <w:rPr>
          <w:rFonts w:cs="Arial"/>
        </w:rPr>
        <w:t>N</w:t>
      </w:r>
      <w:r w:rsidR="00694396" w:rsidRPr="001E2783">
        <w:rPr>
          <w:rFonts w:cs="Arial"/>
        </w:rPr>
        <w:t>o notifiable incidents were reported to Comcare</w:t>
      </w:r>
      <w:r w:rsidRPr="001E2783">
        <w:rPr>
          <w:rFonts w:cs="Arial"/>
        </w:rPr>
        <w:t>, n</w:t>
      </w:r>
      <w:r w:rsidR="00694396" w:rsidRPr="001E2783">
        <w:rPr>
          <w:rFonts w:cs="Arial"/>
        </w:rPr>
        <w:t>o work health and safety investigations were conducted</w:t>
      </w:r>
      <w:r w:rsidRPr="001E2783">
        <w:rPr>
          <w:rFonts w:cs="Arial"/>
        </w:rPr>
        <w:t>,</w:t>
      </w:r>
      <w:r w:rsidR="00694396" w:rsidRPr="001E2783">
        <w:rPr>
          <w:rFonts w:cs="Arial"/>
        </w:rPr>
        <w:t xml:space="preserve"> and no notices we</w:t>
      </w:r>
      <w:r w:rsidR="000A4DFF" w:rsidRPr="001E2783">
        <w:rPr>
          <w:rFonts w:cs="Arial"/>
        </w:rPr>
        <w:t>re given to the ACMA under Part </w:t>
      </w:r>
      <w:r w:rsidR="00694396" w:rsidRPr="001E2783">
        <w:rPr>
          <w:rFonts w:cs="Arial"/>
        </w:rPr>
        <w:t xml:space="preserve">10 of the </w:t>
      </w:r>
      <w:r w:rsidR="00694396" w:rsidRPr="001E2783">
        <w:rPr>
          <w:rFonts w:cs="Arial"/>
          <w:i/>
        </w:rPr>
        <w:t>Work Health and Safety Act 2011</w:t>
      </w:r>
      <w:r w:rsidR="00694396" w:rsidRPr="001E2783">
        <w:rPr>
          <w:rFonts w:cs="Arial"/>
        </w:rPr>
        <w:t>.</w:t>
      </w:r>
    </w:p>
    <w:p w14:paraId="7A3470CD" w14:textId="77777777" w:rsidR="00694396" w:rsidRPr="001E2783" w:rsidRDefault="00694396" w:rsidP="00694396">
      <w:pPr>
        <w:rPr>
          <w:rFonts w:cs="Arial"/>
        </w:rPr>
      </w:pPr>
    </w:p>
    <w:p w14:paraId="48D86FF1" w14:textId="77777777" w:rsidR="002228F4" w:rsidRPr="001E2783" w:rsidRDefault="002228F4" w:rsidP="002228F4">
      <w:pPr>
        <w:pStyle w:val="Heading3"/>
        <w:spacing w:line="276" w:lineRule="auto"/>
      </w:pPr>
      <w:bookmarkStart w:id="289" w:name="_Toc329600272"/>
      <w:bookmarkStart w:id="290" w:name="_Toc400018625"/>
      <w:r w:rsidRPr="001E2783">
        <w:t>Consultation and workplace relations</w:t>
      </w:r>
      <w:bookmarkEnd w:id="289"/>
      <w:bookmarkEnd w:id="290"/>
    </w:p>
    <w:p w14:paraId="324B59FA" w14:textId="77777777" w:rsidR="000C22F2" w:rsidRPr="001E2783" w:rsidRDefault="000C22F2" w:rsidP="000A4DFF">
      <w:pPr>
        <w:rPr>
          <w:rFonts w:cs="Arial"/>
        </w:rPr>
      </w:pPr>
      <w:r w:rsidRPr="001E2783">
        <w:rPr>
          <w:rFonts w:cs="Arial"/>
        </w:rPr>
        <w:t xml:space="preserve">Staff consultative bodies </w:t>
      </w:r>
      <w:r w:rsidR="00A9183E" w:rsidRPr="001E2783">
        <w:rPr>
          <w:rFonts w:cs="Arial"/>
        </w:rPr>
        <w:t>are established under the ACMA</w:t>
      </w:r>
      <w:r w:rsidRPr="001E2783">
        <w:rPr>
          <w:rFonts w:cs="Arial"/>
        </w:rPr>
        <w:t xml:space="preserve"> Agreement.</w:t>
      </w:r>
    </w:p>
    <w:p w14:paraId="0FC7951A" w14:textId="77777777" w:rsidR="000C22F2" w:rsidRPr="001E2783" w:rsidRDefault="000C22F2" w:rsidP="000A4DFF">
      <w:pPr>
        <w:rPr>
          <w:rFonts w:cs="Arial"/>
        </w:rPr>
      </w:pPr>
    </w:p>
    <w:p w14:paraId="76AFD2A5" w14:textId="77777777" w:rsidR="000C22F2" w:rsidRPr="001E2783" w:rsidRDefault="000C22F2" w:rsidP="000A4DFF">
      <w:pPr>
        <w:rPr>
          <w:rFonts w:cs="Arial"/>
        </w:rPr>
      </w:pPr>
      <w:r w:rsidRPr="001E2783">
        <w:rPr>
          <w:rFonts w:cs="Arial"/>
        </w:rPr>
        <w:t>The National Consultative Forum deals primarily with the key strategic and change issues that affect the ACMA. Convened by the ACMA Deputy Chairman, it comprises management, union and employee representatives. The National Consultation Forum met three times in the reporting period to discuss a number of important issues, including strategic and workforce planning, accommodation changes, imple</w:t>
      </w:r>
      <w:r w:rsidR="00FE5DB5" w:rsidRPr="001E2783">
        <w:rPr>
          <w:rFonts w:cs="Arial"/>
        </w:rPr>
        <w:t>mentation of outcomes from the e</w:t>
      </w:r>
      <w:r w:rsidRPr="001E2783">
        <w:rPr>
          <w:rFonts w:cs="Arial"/>
        </w:rPr>
        <w:t xml:space="preserve">xamination of </w:t>
      </w:r>
      <w:r w:rsidR="00FE5DB5" w:rsidRPr="001E2783">
        <w:rPr>
          <w:rFonts w:cs="Arial"/>
        </w:rPr>
        <w:t>p</w:t>
      </w:r>
      <w:r w:rsidRPr="001E2783">
        <w:rPr>
          <w:rFonts w:cs="Arial"/>
        </w:rPr>
        <w:t xml:space="preserve">rofessional </w:t>
      </w:r>
      <w:r w:rsidR="00FE5DB5" w:rsidRPr="001E2783">
        <w:rPr>
          <w:rFonts w:cs="Arial"/>
        </w:rPr>
        <w:t>s</w:t>
      </w:r>
      <w:r w:rsidRPr="001E2783">
        <w:rPr>
          <w:rFonts w:cs="Arial"/>
        </w:rPr>
        <w:t>treams, the ACMA organisational restructure and the 2014 enterprise agreement process.</w:t>
      </w:r>
    </w:p>
    <w:p w14:paraId="5230F9BA" w14:textId="77777777" w:rsidR="000C22F2" w:rsidRPr="001E2783" w:rsidRDefault="000C22F2" w:rsidP="000A4DFF">
      <w:pPr>
        <w:rPr>
          <w:rFonts w:cs="Arial"/>
        </w:rPr>
      </w:pPr>
    </w:p>
    <w:p w14:paraId="3BE94317" w14:textId="77777777" w:rsidR="000C22F2" w:rsidRPr="001E2783" w:rsidRDefault="000C22F2" w:rsidP="000A4DFF">
      <w:pPr>
        <w:rPr>
          <w:rFonts w:cs="Arial"/>
        </w:rPr>
      </w:pPr>
      <w:r w:rsidRPr="001E2783">
        <w:rPr>
          <w:rFonts w:cs="Arial"/>
        </w:rPr>
        <w:t>Local consultative forums, comprising management, union and employee representatives, and chaired by a senior manager, are established in each o</w:t>
      </w:r>
      <w:r w:rsidR="00A9183E" w:rsidRPr="001E2783">
        <w:rPr>
          <w:rFonts w:cs="Arial"/>
        </w:rPr>
        <w:t>f the three principal offices—</w:t>
      </w:r>
      <w:r w:rsidRPr="001E2783">
        <w:rPr>
          <w:rFonts w:cs="Arial"/>
        </w:rPr>
        <w:t>C</w:t>
      </w:r>
      <w:r w:rsidR="00A9183E" w:rsidRPr="001E2783">
        <w:rPr>
          <w:rFonts w:cs="Arial"/>
        </w:rPr>
        <w:t>anberra, Melbourne and Sydney—</w:t>
      </w:r>
      <w:r w:rsidRPr="001E2783">
        <w:rPr>
          <w:rFonts w:cs="Arial"/>
        </w:rPr>
        <w:t>as well as for the agency’s Operations function. Each of the forums met at least once during the reporting period, with the frequency of meetings determined by the number of issues being considered. Local consultative forums can refer matters with organisation-wide implications to the National Consultative Forum.</w:t>
      </w:r>
    </w:p>
    <w:p w14:paraId="7EBFA01E" w14:textId="77777777" w:rsidR="000C22F2" w:rsidRPr="001E2783" w:rsidRDefault="000C22F2" w:rsidP="000A4DFF">
      <w:pPr>
        <w:rPr>
          <w:rFonts w:cs="Arial"/>
        </w:rPr>
      </w:pPr>
    </w:p>
    <w:p w14:paraId="186EAC24" w14:textId="77777777" w:rsidR="000C22F2" w:rsidRPr="001E2783" w:rsidRDefault="000C22F2" w:rsidP="000A4DFF">
      <w:pPr>
        <w:rPr>
          <w:rFonts w:cs="Arial"/>
        </w:rPr>
      </w:pPr>
      <w:r w:rsidRPr="001E2783">
        <w:rPr>
          <w:rFonts w:cs="Arial"/>
        </w:rPr>
        <w:t>Approaches used to involve employees in decision-making and information-sharing include all-staff meetings, planning sessions, branch and section meetings, focus groups and the use of the ACMA intranet to disseminate information.</w:t>
      </w:r>
    </w:p>
    <w:p w14:paraId="68CEA3B0" w14:textId="77777777" w:rsidR="000C22F2" w:rsidRPr="001E2783" w:rsidRDefault="000C22F2" w:rsidP="000A4DFF">
      <w:pPr>
        <w:rPr>
          <w:rFonts w:cs="Arial"/>
        </w:rPr>
      </w:pPr>
    </w:p>
    <w:p w14:paraId="5A6A8322" w14:textId="77777777" w:rsidR="00CC119D" w:rsidRPr="001E2783" w:rsidRDefault="000C22F2" w:rsidP="000A4DFF">
      <w:pPr>
        <w:rPr>
          <w:rFonts w:cs="Arial"/>
        </w:rPr>
      </w:pPr>
      <w:r w:rsidRPr="001E2783">
        <w:rPr>
          <w:rFonts w:cs="Arial"/>
        </w:rPr>
        <w:t xml:space="preserve">The ACMA participates in the Australian Public Service Commission’s (APSC) State of the Service employee census, which enables the ACMA to collect employee feedback to help develop strategies to address specific workforce issues. </w:t>
      </w:r>
      <w:r w:rsidR="00A9183E" w:rsidRPr="001E2783">
        <w:rPr>
          <w:rFonts w:cs="Arial"/>
        </w:rPr>
        <w:t>About</w:t>
      </w:r>
      <w:r w:rsidRPr="001E2783">
        <w:rPr>
          <w:rFonts w:cs="Arial"/>
        </w:rPr>
        <w:t xml:space="preserve"> 67</w:t>
      </w:r>
      <w:r w:rsidR="000A4DFF" w:rsidRPr="001E2783">
        <w:rPr>
          <w:rFonts w:cs="Arial"/>
        </w:rPr>
        <w:t> </w:t>
      </w:r>
      <w:r w:rsidR="00A9183E" w:rsidRPr="001E2783">
        <w:rPr>
          <w:rFonts w:cs="Arial"/>
        </w:rPr>
        <w:t>per cent</w:t>
      </w:r>
      <w:r w:rsidRPr="001E2783">
        <w:rPr>
          <w:rFonts w:cs="Arial"/>
        </w:rPr>
        <w:t xml:space="preserve"> of ACMA staff participated in the 2013 census.</w:t>
      </w:r>
    </w:p>
    <w:p w14:paraId="43359448" w14:textId="77777777" w:rsidR="000C22F2" w:rsidRPr="001E2783" w:rsidRDefault="000C22F2" w:rsidP="000C22F2">
      <w:pPr>
        <w:rPr>
          <w:rFonts w:cs="Arial"/>
          <w:b/>
          <w:i/>
          <w:szCs w:val="20"/>
        </w:rPr>
      </w:pPr>
      <w:bookmarkStart w:id="291" w:name="_Toc329600273"/>
    </w:p>
    <w:p w14:paraId="79865B54" w14:textId="77777777" w:rsidR="000C22F2" w:rsidRPr="001E2783" w:rsidRDefault="000C22F2" w:rsidP="000C22F2">
      <w:pPr>
        <w:pStyle w:val="Heading3"/>
      </w:pPr>
      <w:bookmarkStart w:id="292" w:name="_Toc400018626"/>
      <w:r w:rsidRPr="001E2783">
        <w:t>Workforce planning</w:t>
      </w:r>
      <w:bookmarkEnd w:id="292"/>
    </w:p>
    <w:p w14:paraId="326AA92A" w14:textId="77777777" w:rsidR="000C22F2" w:rsidRPr="001E2783" w:rsidRDefault="00A9183E" w:rsidP="000A4DFF">
      <w:pPr>
        <w:rPr>
          <w:rFonts w:cs="Arial"/>
        </w:rPr>
      </w:pPr>
      <w:r w:rsidRPr="001E2783">
        <w:rPr>
          <w:rFonts w:cs="Arial"/>
        </w:rPr>
        <w:t>During 2013–</w:t>
      </w:r>
      <w:r w:rsidR="000C22F2" w:rsidRPr="001E2783">
        <w:rPr>
          <w:rFonts w:cs="Arial"/>
        </w:rPr>
        <w:t>14, the ACMA continued to enhance its workforce planning capabilities. Key activities included further refining the agency’s job family and capabilities frameworks</w:t>
      </w:r>
      <w:r w:rsidRPr="001E2783">
        <w:rPr>
          <w:rFonts w:cs="Arial"/>
        </w:rPr>
        <w:t>,</w:t>
      </w:r>
      <w:r w:rsidR="000C22F2" w:rsidRPr="001E2783">
        <w:rPr>
          <w:rFonts w:cs="Arial"/>
        </w:rPr>
        <w:t xml:space="preserve"> as well as develop</w:t>
      </w:r>
      <w:r w:rsidRPr="001E2783">
        <w:rPr>
          <w:rFonts w:cs="Arial"/>
        </w:rPr>
        <w:t>ing</w:t>
      </w:r>
      <w:r w:rsidR="000C22F2" w:rsidRPr="001E2783">
        <w:rPr>
          <w:rFonts w:cs="Arial"/>
        </w:rPr>
        <w:t xml:space="preserve"> specific leadership expectations and capabilities </w:t>
      </w:r>
      <w:r w:rsidRPr="001E2783">
        <w:rPr>
          <w:rFonts w:cs="Arial"/>
        </w:rPr>
        <w:t>to include</w:t>
      </w:r>
      <w:r w:rsidR="000C22F2" w:rsidRPr="001E2783">
        <w:rPr>
          <w:rFonts w:cs="Arial"/>
        </w:rPr>
        <w:t xml:space="preserve"> in these frameworks. </w:t>
      </w:r>
    </w:p>
    <w:p w14:paraId="40E88FA4" w14:textId="77777777" w:rsidR="000C22F2" w:rsidRPr="001E2783" w:rsidRDefault="000C22F2" w:rsidP="000A4DFF">
      <w:pPr>
        <w:rPr>
          <w:rFonts w:cs="Arial"/>
        </w:rPr>
      </w:pPr>
    </w:p>
    <w:p w14:paraId="34DB692F" w14:textId="77777777" w:rsidR="000C22F2" w:rsidRPr="001E2783" w:rsidRDefault="000C22F2" w:rsidP="000A4DFF">
      <w:pPr>
        <w:spacing w:after="80"/>
        <w:rPr>
          <w:rFonts w:cs="Arial"/>
        </w:rPr>
      </w:pPr>
      <w:r w:rsidRPr="001E2783">
        <w:rPr>
          <w:rFonts w:cs="Arial"/>
        </w:rPr>
        <w:t>The agency’s workforce plan was updated to reflect key changes in the ACMA workforce and broader environment</w:t>
      </w:r>
      <w:r w:rsidR="00A9183E" w:rsidRPr="001E2783">
        <w:rPr>
          <w:rFonts w:cs="Arial"/>
        </w:rPr>
        <w:t>,</w:t>
      </w:r>
      <w:r w:rsidRPr="001E2783">
        <w:rPr>
          <w:rFonts w:cs="Arial"/>
        </w:rPr>
        <w:t xml:space="preserve"> and to identify and address the agency’s key workforce challenges. The ACMA’s workforce plan aims to </w:t>
      </w:r>
      <w:r w:rsidR="00A9183E" w:rsidRPr="001E2783">
        <w:rPr>
          <w:rFonts w:cs="Arial"/>
        </w:rPr>
        <w:t>guarantee</w:t>
      </w:r>
      <w:r w:rsidRPr="001E2783">
        <w:rPr>
          <w:rFonts w:cs="Arial"/>
        </w:rPr>
        <w:t xml:space="preserve"> timely access to strategically critical capabilities and create a more agile, engaged and high-performin</w:t>
      </w:r>
      <w:r w:rsidR="00A9183E" w:rsidRPr="001E2783">
        <w:rPr>
          <w:rFonts w:cs="Arial"/>
        </w:rPr>
        <w:t>g workforce. Specific workforce-</w:t>
      </w:r>
      <w:r w:rsidRPr="001E2783">
        <w:rPr>
          <w:rFonts w:cs="Arial"/>
        </w:rPr>
        <w:t>planning goals include:</w:t>
      </w:r>
    </w:p>
    <w:p w14:paraId="605F0B69" w14:textId="77777777" w:rsidR="000C22F2" w:rsidRPr="001E2783" w:rsidRDefault="000C22F2" w:rsidP="000A4DFF">
      <w:pPr>
        <w:pStyle w:val="ListBullet"/>
        <w:rPr>
          <w:rFonts w:cs="Arial"/>
        </w:rPr>
      </w:pPr>
      <w:r w:rsidRPr="001E2783">
        <w:rPr>
          <w:rFonts w:cs="Arial"/>
        </w:rPr>
        <w:t>attracting and retaining staff with exp</w:t>
      </w:r>
      <w:r w:rsidR="00A9183E" w:rsidRPr="001E2783">
        <w:rPr>
          <w:rFonts w:cs="Arial"/>
        </w:rPr>
        <w:t>erience, expertise and business-</w:t>
      </w:r>
      <w:r w:rsidRPr="001E2783">
        <w:rPr>
          <w:rFonts w:cs="Arial"/>
        </w:rPr>
        <w:t>critical skills</w:t>
      </w:r>
    </w:p>
    <w:p w14:paraId="3945A518" w14:textId="77777777" w:rsidR="000C22F2" w:rsidRPr="001E2783" w:rsidRDefault="000C22F2" w:rsidP="000A4DFF">
      <w:pPr>
        <w:pStyle w:val="ListBullet"/>
        <w:rPr>
          <w:rFonts w:cs="Arial"/>
        </w:rPr>
      </w:pPr>
      <w:r w:rsidRPr="001E2783">
        <w:rPr>
          <w:rFonts w:cs="Arial"/>
        </w:rPr>
        <w:t>developing workforce agility to maximise the capability of existing staff by moving them with the agency to priority areas and to manage workload functions</w:t>
      </w:r>
    </w:p>
    <w:p w14:paraId="3FDB5D6A" w14:textId="77777777" w:rsidR="000C22F2" w:rsidRPr="001E2783" w:rsidRDefault="000C22F2" w:rsidP="000A4DFF">
      <w:pPr>
        <w:pStyle w:val="ListBullet"/>
        <w:rPr>
          <w:rFonts w:cs="Arial"/>
        </w:rPr>
      </w:pPr>
      <w:r w:rsidRPr="001E2783">
        <w:rPr>
          <w:rFonts w:cs="Arial"/>
        </w:rPr>
        <w:t>continuing to develop and broaden the capabilities of our employees</w:t>
      </w:r>
    </w:p>
    <w:p w14:paraId="5D9B8139" w14:textId="77777777" w:rsidR="000C22F2" w:rsidRPr="001E2783" w:rsidRDefault="000C22F2" w:rsidP="000A4DFF">
      <w:pPr>
        <w:pStyle w:val="ListBullet"/>
        <w:spacing w:after="240"/>
        <w:rPr>
          <w:rFonts w:cs="Arial"/>
        </w:rPr>
      </w:pPr>
      <w:r w:rsidRPr="001E2783">
        <w:rPr>
          <w:rFonts w:cs="Arial"/>
        </w:rPr>
        <w:t>achieving this workforce retention and agility in the context of meeting our affordable staffing profile.</w:t>
      </w:r>
    </w:p>
    <w:p w14:paraId="31B9601E" w14:textId="77777777" w:rsidR="000C22F2" w:rsidRPr="001E2783" w:rsidRDefault="000C22F2" w:rsidP="000A4DFF">
      <w:pPr>
        <w:rPr>
          <w:rFonts w:cs="Arial"/>
        </w:rPr>
      </w:pPr>
      <w:r w:rsidRPr="001E2783">
        <w:rPr>
          <w:rFonts w:cs="Arial"/>
        </w:rPr>
        <w:t>The current workfo</w:t>
      </w:r>
      <w:r w:rsidR="00A9183E" w:rsidRPr="001E2783">
        <w:rPr>
          <w:rFonts w:cs="Arial"/>
        </w:rPr>
        <w:t>rce plan covers the period 2012–</w:t>
      </w:r>
      <w:r w:rsidRPr="001E2783">
        <w:rPr>
          <w:rFonts w:cs="Arial"/>
        </w:rPr>
        <w:t>15 and is available on the ACMA intranet.</w:t>
      </w:r>
    </w:p>
    <w:p w14:paraId="2FA934C5" w14:textId="77777777" w:rsidR="000C22F2" w:rsidRPr="001E2783" w:rsidRDefault="000C22F2" w:rsidP="000C22F2">
      <w:pPr>
        <w:rPr>
          <w:rFonts w:cs="Arial"/>
        </w:rPr>
      </w:pPr>
    </w:p>
    <w:p w14:paraId="095A2331" w14:textId="77777777" w:rsidR="002228F4" w:rsidRPr="001E2783" w:rsidRDefault="002228F4" w:rsidP="002228F4">
      <w:pPr>
        <w:pStyle w:val="Heading3"/>
        <w:spacing w:line="276" w:lineRule="auto"/>
      </w:pPr>
      <w:bookmarkStart w:id="293" w:name="_Toc400018627"/>
      <w:r w:rsidRPr="001E2783">
        <w:t>People and capability development</w:t>
      </w:r>
      <w:bookmarkEnd w:id="291"/>
      <w:bookmarkEnd w:id="293"/>
      <w:r w:rsidRPr="001E2783">
        <w:t xml:space="preserve"> </w:t>
      </w:r>
    </w:p>
    <w:p w14:paraId="6204B610" w14:textId="77777777" w:rsidR="007B1EFB" w:rsidRPr="001E2783" w:rsidRDefault="000C22F2" w:rsidP="007B1EFB">
      <w:pPr>
        <w:spacing w:after="80"/>
        <w:rPr>
          <w:rFonts w:cs="Arial"/>
          <w:szCs w:val="20"/>
        </w:rPr>
      </w:pPr>
      <w:r w:rsidRPr="001E2783">
        <w:rPr>
          <w:rFonts w:cs="Arial"/>
          <w:szCs w:val="20"/>
        </w:rPr>
        <w:t xml:space="preserve">The ACMA is committed to </w:t>
      </w:r>
      <w:r w:rsidR="007B1EFB" w:rsidRPr="001E2783">
        <w:rPr>
          <w:rFonts w:cs="Arial"/>
          <w:szCs w:val="20"/>
        </w:rPr>
        <w:t>maintaining</w:t>
      </w:r>
      <w:r w:rsidRPr="001E2783">
        <w:rPr>
          <w:rFonts w:cs="Arial"/>
          <w:szCs w:val="20"/>
        </w:rPr>
        <w:t xml:space="preserve"> access to the capabilities it needs to deliver on its outcomes. It does this by</w:t>
      </w:r>
      <w:r w:rsidR="007B1EFB" w:rsidRPr="001E2783">
        <w:rPr>
          <w:rFonts w:cs="Arial"/>
          <w:szCs w:val="20"/>
        </w:rPr>
        <w:t>:</w:t>
      </w:r>
    </w:p>
    <w:p w14:paraId="69C9648B" w14:textId="77777777" w:rsidR="007B1EFB" w:rsidRPr="001E2783" w:rsidRDefault="000C22F2" w:rsidP="007B1EFB">
      <w:pPr>
        <w:pStyle w:val="ListBullet"/>
        <w:rPr>
          <w:rFonts w:cs="Arial"/>
        </w:rPr>
      </w:pPr>
      <w:r w:rsidRPr="001E2783">
        <w:rPr>
          <w:rFonts w:cs="Arial"/>
        </w:rPr>
        <w:t>identifying its critical people and agency capabilities</w:t>
      </w:r>
    </w:p>
    <w:p w14:paraId="6E231570" w14:textId="77777777" w:rsidR="007B1EFB" w:rsidRPr="001E2783" w:rsidRDefault="007B1EFB" w:rsidP="007B1EFB">
      <w:pPr>
        <w:pStyle w:val="ListBullet"/>
        <w:rPr>
          <w:rFonts w:cs="Arial"/>
        </w:rPr>
      </w:pPr>
      <w:r w:rsidRPr="001E2783">
        <w:rPr>
          <w:rFonts w:cs="Arial"/>
        </w:rPr>
        <w:t>developing individual staff</w:t>
      </w:r>
    </w:p>
    <w:p w14:paraId="52FA6DEF" w14:textId="77777777" w:rsidR="007B1EFB" w:rsidRPr="001E2783" w:rsidRDefault="00FE5DB5" w:rsidP="007B1EFB">
      <w:pPr>
        <w:pStyle w:val="ListBullet"/>
        <w:spacing w:after="240"/>
        <w:rPr>
          <w:rFonts w:cs="Arial"/>
        </w:rPr>
      </w:pPr>
      <w:r w:rsidRPr="001E2783">
        <w:rPr>
          <w:rFonts w:cs="Arial"/>
        </w:rPr>
        <w:t>making sure</w:t>
      </w:r>
      <w:r w:rsidR="000C22F2" w:rsidRPr="001E2783">
        <w:rPr>
          <w:rFonts w:cs="Arial"/>
        </w:rPr>
        <w:t xml:space="preserve"> that individual and agency skills and knowledge transfer is understood and supported</w:t>
      </w:r>
      <w:r w:rsidRPr="001E2783">
        <w:rPr>
          <w:rFonts w:cs="Arial"/>
        </w:rPr>
        <w:t>,</w:t>
      </w:r>
      <w:r w:rsidR="000C22F2" w:rsidRPr="001E2783">
        <w:rPr>
          <w:rFonts w:cs="Arial"/>
        </w:rPr>
        <w:t xml:space="preserve"> along with individual staff professional and career development interests. </w:t>
      </w:r>
    </w:p>
    <w:p w14:paraId="6C585A97" w14:textId="77777777" w:rsidR="000C22F2" w:rsidRPr="001E2783" w:rsidRDefault="000C22F2" w:rsidP="007B1EFB">
      <w:pPr>
        <w:rPr>
          <w:rFonts w:cs="Arial"/>
        </w:rPr>
      </w:pPr>
      <w:r w:rsidRPr="001E2783">
        <w:rPr>
          <w:rFonts w:cs="Arial"/>
        </w:rPr>
        <w:t>This commitment is further supported through the goals and strategies outlined in the agency’s workforce plan.</w:t>
      </w:r>
    </w:p>
    <w:p w14:paraId="14983ADC" w14:textId="77777777" w:rsidR="000C22F2" w:rsidRPr="001E2783" w:rsidRDefault="000C22F2" w:rsidP="000C22F2">
      <w:pPr>
        <w:rPr>
          <w:rFonts w:cs="Arial"/>
          <w:szCs w:val="20"/>
        </w:rPr>
      </w:pPr>
    </w:p>
    <w:p w14:paraId="2F16C1E5" w14:textId="77777777" w:rsidR="000C22F2" w:rsidRPr="001E2783" w:rsidRDefault="000C22F2" w:rsidP="000C22F2">
      <w:pPr>
        <w:rPr>
          <w:rFonts w:cs="Arial"/>
          <w:szCs w:val="20"/>
        </w:rPr>
      </w:pPr>
      <w:r w:rsidRPr="001E2783">
        <w:rPr>
          <w:rFonts w:cs="Arial"/>
          <w:szCs w:val="20"/>
        </w:rPr>
        <w:t>The ACMA’s net expenditure in 2013–14 for employee learning and development was $</w:t>
      </w:r>
      <w:r w:rsidR="00A0460C" w:rsidRPr="001E2783">
        <w:rPr>
          <w:rFonts w:cs="Arial"/>
          <w:szCs w:val="20"/>
        </w:rPr>
        <w:t>437,664</w:t>
      </w:r>
      <w:r w:rsidRPr="001E2783">
        <w:rPr>
          <w:rFonts w:cs="Arial"/>
          <w:szCs w:val="20"/>
        </w:rPr>
        <w:t>. This figure includes staff attendance at general training, conferences and seminars, and studies assistance. Staff attended a range of learning and development activities</w:t>
      </w:r>
      <w:r w:rsidR="00FE5DB5" w:rsidRPr="001E2783">
        <w:rPr>
          <w:rFonts w:cs="Arial"/>
          <w:szCs w:val="20"/>
        </w:rPr>
        <w:t>,</w:t>
      </w:r>
      <w:r w:rsidRPr="001E2783">
        <w:rPr>
          <w:rFonts w:cs="Arial"/>
          <w:szCs w:val="20"/>
        </w:rPr>
        <w:t xml:space="preserve"> from public service writing courses to industry-related conferences.</w:t>
      </w:r>
    </w:p>
    <w:p w14:paraId="17193BF8" w14:textId="77777777" w:rsidR="000C22F2" w:rsidRPr="001E2783" w:rsidRDefault="000C22F2" w:rsidP="000C22F2">
      <w:pPr>
        <w:rPr>
          <w:rFonts w:cs="Arial"/>
          <w:szCs w:val="20"/>
        </w:rPr>
      </w:pPr>
    </w:p>
    <w:p w14:paraId="3E1E6166" w14:textId="74733366" w:rsidR="00045E95" w:rsidRPr="001E2783" w:rsidRDefault="000C22F2" w:rsidP="000C22F2">
      <w:pPr>
        <w:rPr>
          <w:rFonts w:cs="Arial"/>
          <w:szCs w:val="20"/>
        </w:rPr>
      </w:pPr>
      <w:r w:rsidRPr="00441258">
        <w:rPr>
          <w:rFonts w:cs="Arial"/>
          <w:szCs w:val="20"/>
        </w:rPr>
        <w:t xml:space="preserve">During the year, </w:t>
      </w:r>
      <w:r w:rsidR="00A0460C" w:rsidRPr="00441258">
        <w:rPr>
          <w:rFonts w:cs="Arial"/>
          <w:szCs w:val="20"/>
        </w:rPr>
        <w:t>4</w:t>
      </w:r>
      <w:r w:rsidR="007B2506" w:rsidRPr="00441258">
        <w:rPr>
          <w:rFonts w:cs="Arial"/>
          <w:szCs w:val="20"/>
        </w:rPr>
        <w:t>1</w:t>
      </w:r>
      <w:r w:rsidRPr="00441258">
        <w:rPr>
          <w:rFonts w:cs="Arial"/>
          <w:szCs w:val="20"/>
        </w:rPr>
        <w:t xml:space="preserve"> employees</w:t>
      </w:r>
      <w:r w:rsidRPr="001E2783">
        <w:rPr>
          <w:rFonts w:cs="Arial"/>
          <w:szCs w:val="20"/>
        </w:rPr>
        <w:t xml:space="preserve"> were supported under the ACMA’s Studies Assistance Guidelines. Employees undertook tertiary qualifications in specialised fields such as accounting, law, management, public policy and economics.</w:t>
      </w:r>
    </w:p>
    <w:p w14:paraId="2E8B6AC2" w14:textId="77777777" w:rsidR="000C22F2" w:rsidRPr="001E2783" w:rsidRDefault="000C22F2" w:rsidP="000C22F2">
      <w:pPr>
        <w:rPr>
          <w:rFonts w:cs="Arial"/>
          <w:szCs w:val="20"/>
        </w:rPr>
      </w:pPr>
    </w:p>
    <w:p w14:paraId="358B731D" w14:textId="77777777" w:rsidR="000C22F2" w:rsidRPr="001E2783" w:rsidRDefault="00044675" w:rsidP="000C22F2">
      <w:pPr>
        <w:rPr>
          <w:rFonts w:cs="Arial"/>
          <w:b/>
          <w:szCs w:val="20"/>
        </w:rPr>
      </w:pPr>
      <w:r w:rsidRPr="001E2783">
        <w:rPr>
          <w:rFonts w:cs="Arial"/>
          <w:b/>
          <w:szCs w:val="20"/>
        </w:rPr>
        <w:t>The ACMA M</w:t>
      </w:r>
      <w:r w:rsidR="000C22F2" w:rsidRPr="001E2783">
        <w:rPr>
          <w:rFonts w:cs="Arial"/>
          <w:b/>
          <w:szCs w:val="20"/>
        </w:rPr>
        <w:t xml:space="preserve">entoring </w:t>
      </w:r>
      <w:r w:rsidRPr="001E2783">
        <w:rPr>
          <w:rFonts w:cs="Arial"/>
          <w:b/>
          <w:szCs w:val="20"/>
        </w:rPr>
        <w:t>P</w:t>
      </w:r>
      <w:r w:rsidR="000C22F2" w:rsidRPr="001E2783">
        <w:rPr>
          <w:rFonts w:cs="Arial"/>
          <w:b/>
          <w:szCs w:val="20"/>
        </w:rPr>
        <w:t>rogram</w:t>
      </w:r>
    </w:p>
    <w:p w14:paraId="41CBE2D2" w14:textId="77777777" w:rsidR="000C22F2" w:rsidRPr="001E2783" w:rsidRDefault="000C22F2" w:rsidP="000A4DFF">
      <w:pPr>
        <w:rPr>
          <w:rFonts w:cs="Arial"/>
        </w:rPr>
      </w:pPr>
      <w:r w:rsidRPr="001E2783">
        <w:rPr>
          <w:rFonts w:cs="Arial"/>
        </w:rPr>
        <w:t>The ACMA Mentoring Program was launched in 2011 and 75 mentoring partnerships have</w:t>
      </w:r>
      <w:r w:rsidR="00FE5DB5" w:rsidRPr="001E2783">
        <w:rPr>
          <w:rFonts w:cs="Arial"/>
        </w:rPr>
        <w:t xml:space="preserve"> since</w:t>
      </w:r>
      <w:r w:rsidRPr="001E2783">
        <w:rPr>
          <w:rFonts w:cs="Arial"/>
        </w:rPr>
        <w:t xml:space="preserve"> been formed. Feedback from program participants and senior ACMA managers is very positive.</w:t>
      </w:r>
    </w:p>
    <w:p w14:paraId="45C97079" w14:textId="77777777" w:rsidR="000C22F2" w:rsidRPr="001E2783" w:rsidRDefault="000C22F2" w:rsidP="000A4DFF">
      <w:pPr>
        <w:rPr>
          <w:rFonts w:cs="Arial"/>
        </w:rPr>
      </w:pPr>
    </w:p>
    <w:p w14:paraId="5BECB828" w14:textId="77777777" w:rsidR="000C22F2" w:rsidRPr="001E2783" w:rsidRDefault="000C22F2" w:rsidP="000A4DFF">
      <w:pPr>
        <w:rPr>
          <w:rFonts w:cs="Arial"/>
        </w:rPr>
      </w:pPr>
      <w:r w:rsidRPr="001E2783">
        <w:rPr>
          <w:rFonts w:cs="Arial"/>
        </w:rPr>
        <w:t xml:space="preserve">The program provides opportunities for staff to make connections and form relationships across the agency, taking advantage of the diversity and experience </w:t>
      </w:r>
      <w:r w:rsidR="00FE5DB5" w:rsidRPr="001E2783">
        <w:rPr>
          <w:rFonts w:cs="Arial"/>
        </w:rPr>
        <w:t xml:space="preserve">on </w:t>
      </w:r>
      <w:r w:rsidRPr="001E2783">
        <w:rPr>
          <w:rFonts w:cs="Arial"/>
        </w:rPr>
        <w:t xml:space="preserve">offer. Interest and involvement in the program covers a diverse range of classifications and positions within the agency with strong support </w:t>
      </w:r>
      <w:r w:rsidR="00FE5DB5" w:rsidRPr="001E2783">
        <w:rPr>
          <w:rFonts w:cs="Arial"/>
        </w:rPr>
        <w:t>from the leadership group.</w:t>
      </w:r>
    </w:p>
    <w:p w14:paraId="2361CD72" w14:textId="77777777" w:rsidR="000C22F2" w:rsidRPr="001E2783" w:rsidRDefault="000C22F2" w:rsidP="000A4DFF">
      <w:pPr>
        <w:rPr>
          <w:rFonts w:cs="Arial"/>
        </w:rPr>
      </w:pPr>
    </w:p>
    <w:p w14:paraId="7A134C00" w14:textId="77777777" w:rsidR="000C22F2" w:rsidRPr="001E2783" w:rsidRDefault="000C22F2" w:rsidP="000A4DFF">
      <w:pPr>
        <w:rPr>
          <w:rFonts w:cs="Arial"/>
        </w:rPr>
      </w:pPr>
      <w:r w:rsidRPr="001E2783">
        <w:rPr>
          <w:rFonts w:cs="Arial"/>
        </w:rPr>
        <w:t>In 2014, the program was expanded to include external mentors</w:t>
      </w:r>
      <w:r w:rsidR="00FE5DB5" w:rsidRPr="001E2783">
        <w:rPr>
          <w:rFonts w:cs="Arial"/>
        </w:rPr>
        <w:t>,</w:t>
      </w:r>
      <w:r w:rsidRPr="001E2783">
        <w:rPr>
          <w:rFonts w:cs="Arial"/>
        </w:rPr>
        <w:t xml:space="preserve"> with five mentors from the ACCC matched with ACMA mentees</w:t>
      </w:r>
      <w:r w:rsidR="00FE5DB5" w:rsidRPr="001E2783">
        <w:rPr>
          <w:rFonts w:cs="Arial"/>
        </w:rPr>
        <w:t>,</w:t>
      </w:r>
      <w:r w:rsidRPr="001E2783">
        <w:rPr>
          <w:rFonts w:cs="Arial"/>
        </w:rPr>
        <w:t xml:space="preserve"> making a total of 11 mentoring partnerships for the year. The external mentor initiative is designed to gain exposure to broader perspectives and challenges</w:t>
      </w:r>
      <w:r w:rsidR="00044675" w:rsidRPr="001E2783">
        <w:rPr>
          <w:rFonts w:cs="Arial"/>
        </w:rPr>
        <w:t>,</w:t>
      </w:r>
      <w:r w:rsidRPr="001E2783">
        <w:rPr>
          <w:rFonts w:cs="Arial"/>
        </w:rPr>
        <w:t xml:space="preserve"> and ultimately to enhance </w:t>
      </w:r>
      <w:r w:rsidR="00FE5DB5" w:rsidRPr="001E2783">
        <w:rPr>
          <w:rFonts w:cs="Arial"/>
        </w:rPr>
        <w:t>participants’</w:t>
      </w:r>
      <w:r w:rsidRPr="001E2783">
        <w:rPr>
          <w:rFonts w:cs="Arial"/>
        </w:rPr>
        <w:t xml:space="preserve"> capacity to manage the challenges and opportunities that exist within the wider APS environment. Feedback from both agencies on this expansion initiative has been very positive.</w:t>
      </w:r>
    </w:p>
    <w:p w14:paraId="5157A80A" w14:textId="77777777" w:rsidR="000C22F2" w:rsidRPr="001E2783" w:rsidRDefault="000C22F2" w:rsidP="000C22F2">
      <w:pPr>
        <w:rPr>
          <w:rFonts w:cs="Arial"/>
        </w:rPr>
      </w:pPr>
    </w:p>
    <w:p w14:paraId="2AD67435" w14:textId="77777777" w:rsidR="000C22F2" w:rsidRPr="001E2783" w:rsidRDefault="000C22F2" w:rsidP="000C22F2">
      <w:pPr>
        <w:pStyle w:val="Heading3"/>
      </w:pPr>
      <w:bookmarkStart w:id="294" w:name="_Toc400018628"/>
      <w:r w:rsidRPr="001E2783">
        <w:t>Outcomes of the examination of ACMA professional streams</w:t>
      </w:r>
      <w:bookmarkEnd w:id="294"/>
    </w:p>
    <w:p w14:paraId="0034D04D" w14:textId="77777777" w:rsidR="000C22F2" w:rsidRPr="001E2783" w:rsidRDefault="000C22F2" w:rsidP="000C22F2">
      <w:pPr>
        <w:rPr>
          <w:rFonts w:cs="Arial"/>
        </w:rPr>
      </w:pPr>
      <w:r w:rsidRPr="001E2783">
        <w:rPr>
          <w:rFonts w:cs="Arial"/>
        </w:rPr>
        <w:t>The ACMA is committed to attract</w:t>
      </w:r>
      <w:r w:rsidR="00FE5DB5" w:rsidRPr="001E2783">
        <w:rPr>
          <w:rFonts w:cs="Arial"/>
        </w:rPr>
        <w:t>ing</w:t>
      </w:r>
      <w:r w:rsidRPr="001E2783">
        <w:rPr>
          <w:rFonts w:cs="Arial"/>
        </w:rPr>
        <w:t xml:space="preserve"> and retain</w:t>
      </w:r>
      <w:r w:rsidR="00FE5DB5" w:rsidRPr="001E2783">
        <w:rPr>
          <w:rFonts w:cs="Arial"/>
        </w:rPr>
        <w:t>ing</w:t>
      </w:r>
      <w:r w:rsidRPr="001E2783">
        <w:rPr>
          <w:rFonts w:cs="Arial"/>
        </w:rPr>
        <w:t xml:space="preserve"> the professional capabilities it needs to undertake its work. In 2012, the agency undertook an examination of its professional streams</w:t>
      </w:r>
      <w:r w:rsidR="008270D8" w:rsidRPr="001E2783">
        <w:rPr>
          <w:rFonts w:cs="Arial"/>
        </w:rPr>
        <w:t xml:space="preserve"> to confirm</w:t>
      </w:r>
      <w:r w:rsidRPr="001E2783">
        <w:rPr>
          <w:rFonts w:cs="Arial"/>
        </w:rPr>
        <w:t xml:space="preserve"> that strategies were in place (or being implemented) to </w:t>
      </w:r>
      <w:r w:rsidR="008270D8" w:rsidRPr="001E2783">
        <w:rPr>
          <w:rFonts w:cs="Arial"/>
        </w:rPr>
        <w:t>guarantee</w:t>
      </w:r>
      <w:r w:rsidRPr="001E2783">
        <w:rPr>
          <w:rFonts w:cs="Arial"/>
        </w:rPr>
        <w:t xml:space="preserve"> current and future access to critical capabilities. As a result of that examination</w:t>
      </w:r>
      <w:r w:rsidR="008270D8" w:rsidRPr="001E2783">
        <w:rPr>
          <w:rFonts w:cs="Arial"/>
        </w:rPr>
        <w:t>, the Chairman approved</w:t>
      </w:r>
      <w:r w:rsidRPr="001E2783">
        <w:rPr>
          <w:rFonts w:cs="Arial"/>
        </w:rPr>
        <w:t xml:space="preserve"> a number of outcomes </w:t>
      </w:r>
      <w:r w:rsidR="008270D8" w:rsidRPr="001E2783">
        <w:rPr>
          <w:rFonts w:cs="Arial"/>
        </w:rPr>
        <w:t>to implement for</w:t>
      </w:r>
      <w:r w:rsidRPr="001E2783">
        <w:rPr>
          <w:rFonts w:cs="Arial"/>
        </w:rPr>
        <w:t xml:space="preserve"> staff occupying roles in the ICT and engineering and technical job families.</w:t>
      </w:r>
    </w:p>
    <w:p w14:paraId="0527D28C" w14:textId="77777777" w:rsidR="000C22F2" w:rsidRPr="001E2783" w:rsidRDefault="000C22F2" w:rsidP="000C22F2">
      <w:pPr>
        <w:rPr>
          <w:rFonts w:cs="Arial"/>
        </w:rPr>
      </w:pPr>
    </w:p>
    <w:p w14:paraId="63C4FDA8" w14:textId="77777777" w:rsidR="000C22F2" w:rsidRPr="001E2783" w:rsidRDefault="000C22F2" w:rsidP="000C22F2">
      <w:pPr>
        <w:rPr>
          <w:rFonts w:cs="Arial"/>
        </w:rPr>
      </w:pPr>
      <w:r w:rsidRPr="001E2783">
        <w:rPr>
          <w:rFonts w:cs="Arial"/>
        </w:rPr>
        <w:t>Implementation of these outc</w:t>
      </w:r>
      <w:r w:rsidR="008270D8" w:rsidRPr="001E2783">
        <w:rPr>
          <w:rFonts w:cs="Arial"/>
        </w:rPr>
        <w:t>omes was undertaken during 2013–</w:t>
      </w:r>
      <w:r w:rsidRPr="001E2783">
        <w:rPr>
          <w:rFonts w:cs="Arial"/>
        </w:rPr>
        <w:t>14</w:t>
      </w:r>
      <w:r w:rsidR="008270D8" w:rsidRPr="001E2783">
        <w:rPr>
          <w:rFonts w:cs="Arial"/>
        </w:rPr>
        <w:t>,</w:t>
      </w:r>
      <w:r w:rsidRPr="001E2783">
        <w:rPr>
          <w:rFonts w:cs="Arial"/>
        </w:rPr>
        <w:t xml:space="preserve"> including by establishing separate professional streams, expanded broadband facilities</w:t>
      </w:r>
      <w:r w:rsidR="008270D8" w:rsidRPr="001E2783">
        <w:rPr>
          <w:rFonts w:cs="Arial"/>
        </w:rPr>
        <w:t>,</w:t>
      </w:r>
      <w:r w:rsidRPr="001E2783">
        <w:rPr>
          <w:rFonts w:cs="Arial"/>
        </w:rPr>
        <w:t xml:space="preserve"> and more structured learning and development arrangements for staff in these job families.</w:t>
      </w:r>
    </w:p>
    <w:p w14:paraId="1743F21B" w14:textId="77777777" w:rsidR="00CC119D" w:rsidRPr="001E2783" w:rsidRDefault="00CC119D" w:rsidP="00CC119D">
      <w:pPr>
        <w:rPr>
          <w:rFonts w:cs="Arial"/>
          <w:highlight w:val="red"/>
        </w:rPr>
      </w:pPr>
    </w:p>
    <w:p w14:paraId="24ABC1DD" w14:textId="77777777" w:rsidR="0088769E" w:rsidRPr="001E2783" w:rsidRDefault="0088769E" w:rsidP="0088769E">
      <w:pPr>
        <w:pStyle w:val="Heading3"/>
        <w:spacing w:line="276" w:lineRule="auto"/>
      </w:pPr>
      <w:bookmarkStart w:id="295" w:name="_Toc400018629"/>
      <w:r w:rsidRPr="001E2783">
        <w:t>Performance management</w:t>
      </w:r>
      <w:bookmarkEnd w:id="295"/>
    </w:p>
    <w:p w14:paraId="6C38FCC5" w14:textId="77777777" w:rsidR="000C22F2" w:rsidRPr="001E2783" w:rsidRDefault="000C22F2" w:rsidP="000C22F2">
      <w:pPr>
        <w:rPr>
          <w:rFonts w:cs="Arial"/>
        </w:rPr>
      </w:pPr>
      <w:r w:rsidRPr="001E2783">
        <w:rPr>
          <w:rFonts w:cs="Arial"/>
        </w:rPr>
        <w:t>The ACMA’s performance management framework is designed to help it achieve organisational outcomes and outputs by managing employee performance, supporting employees in the workplace, and maintaining healthy and sustainable work practices. The framework specifically benefits employees by clarifying expectations, enabling improved individual work performance, increasing skills and knowledge, and enhancing career opportunities.</w:t>
      </w:r>
    </w:p>
    <w:p w14:paraId="61460853" w14:textId="77777777" w:rsidR="000C22F2" w:rsidRPr="001E2783" w:rsidRDefault="000C22F2" w:rsidP="000C22F2">
      <w:pPr>
        <w:rPr>
          <w:rFonts w:cs="Arial"/>
        </w:rPr>
      </w:pPr>
    </w:p>
    <w:p w14:paraId="56BA549B" w14:textId="77777777" w:rsidR="00CC119D" w:rsidRPr="001E2783" w:rsidRDefault="000C22F2" w:rsidP="000C22F2">
      <w:pPr>
        <w:rPr>
          <w:rFonts w:cs="Arial"/>
        </w:rPr>
      </w:pPr>
      <w:r w:rsidRPr="001E2783">
        <w:rPr>
          <w:rFonts w:cs="Arial"/>
        </w:rPr>
        <w:t>Individual performance and development plans identify the key targets and performance expectations needed to achieve the objectives of both area business plans and the ACMA corporate plan. Time</w:t>
      </w:r>
      <w:r w:rsidR="008270D8" w:rsidRPr="001E2783">
        <w:rPr>
          <w:rFonts w:cs="Arial"/>
        </w:rPr>
        <w:t xml:space="preserve"> </w:t>
      </w:r>
      <w:r w:rsidRPr="001E2783">
        <w:rPr>
          <w:rFonts w:cs="Arial"/>
        </w:rPr>
        <w:t>frames within the framework align with the ACMA’s annual planning cycle and allow for effective communication and formal feedback at regular intervals.</w:t>
      </w:r>
    </w:p>
    <w:p w14:paraId="454CB332" w14:textId="77777777" w:rsidR="000C22F2" w:rsidRPr="001E2783" w:rsidRDefault="000C22F2" w:rsidP="000C22F2">
      <w:pPr>
        <w:rPr>
          <w:rFonts w:cs="Arial"/>
          <w:szCs w:val="20"/>
        </w:rPr>
      </w:pPr>
    </w:p>
    <w:p w14:paraId="2A836CCB" w14:textId="77777777" w:rsidR="0088769E" w:rsidRPr="001E2783" w:rsidRDefault="0088769E" w:rsidP="0088769E">
      <w:pPr>
        <w:pStyle w:val="Heading3"/>
        <w:spacing w:line="276" w:lineRule="auto"/>
      </w:pPr>
      <w:bookmarkStart w:id="296" w:name="_Toc400018630"/>
      <w:r w:rsidRPr="001E2783">
        <w:t>Creating Knowledge program</w:t>
      </w:r>
      <w:bookmarkEnd w:id="296"/>
    </w:p>
    <w:p w14:paraId="0EF1633E" w14:textId="77777777" w:rsidR="000C22F2" w:rsidRPr="001E2783" w:rsidRDefault="000C22F2" w:rsidP="000C22F2">
      <w:pPr>
        <w:rPr>
          <w:rFonts w:cs="Arial"/>
        </w:rPr>
      </w:pPr>
      <w:r w:rsidRPr="001E2783">
        <w:rPr>
          <w:rFonts w:cs="Arial"/>
        </w:rPr>
        <w:t xml:space="preserve">Established in 2007, </w:t>
      </w:r>
      <w:r w:rsidR="008270D8" w:rsidRPr="001E2783">
        <w:rPr>
          <w:rFonts w:cs="Arial"/>
        </w:rPr>
        <w:t>C</w:t>
      </w:r>
      <w:r w:rsidRPr="001E2783">
        <w:rPr>
          <w:rFonts w:cs="Arial"/>
        </w:rPr>
        <w:t xml:space="preserve">reating </w:t>
      </w:r>
      <w:r w:rsidR="008270D8" w:rsidRPr="001E2783">
        <w:rPr>
          <w:rFonts w:cs="Arial"/>
        </w:rPr>
        <w:t>K</w:t>
      </w:r>
      <w:r w:rsidRPr="001E2783">
        <w:rPr>
          <w:rFonts w:cs="Arial"/>
        </w:rPr>
        <w:t>nowledge is a strategic learning program designed to facilitate the sharing of knowledge and expertise across the organisation</w:t>
      </w:r>
      <w:r w:rsidR="008270D8" w:rsidRPr="001E2783">
        <w:rPr>
          <w:rFonts w:cs="Arial"/>
        </w:rPr>
        <w:t>,</w:t>
      </w:r>
      <w:r w:rsidRPr="001E2783">
        <w:rPr>
          <w:rFonts w:cs="Arial"/>
        </w:rPr>
        <w:t xml:space="preserve"> and build knowledge of the external environment. </w:t>
      </w:r>
    </w:p>
    <w:p w14:paraId="5D78FD8A" w14:textId="77777777" w:rsidR="000C22F2" w:rsidRPr="001E2783" w:rsidRDefault="000C22F2" w:rsidP="000C22F2">
      <w:pPr>
        <w:rPr>
          <w:rFonts w:cs="Arial"/>
        </w:rPr>
      </w:pPr>
    </w:p>
    <w:p w14:paraId="05A383EF" w14:textId="77777777" w:rsidR="000C22F2" w:rsidRPr="001E2783" w:rsidRDefault="000C22F2" w:rsidP="000C22F2">
      <w:pPr>
        <w:rPr>
          <w:rFonts w:cs="Arial"/>
        </w:rPr>
      </w:pPr>
      <w:r w:rsidRPr="001E2783">
        <w:rPr>
          <w:rFonts w:cs="Arial"/>
        </w:rPr>
        <w:t>The program brings interesting and relevant speakers from varying backgrounds to speak on a range</w:t>
      </w:r>
      <w:r w:rsidR="008270D8" w:rsidRPr="001E2783">
        <w:rPr>
          <w:rFonts w:cs="Arial"/>
        </w:rPr>
        <w:t xml:space="preserve"> of topics from health and well</w:t>
      </w:r>
      <w:r w:rsidRPr="001E2783">
        <w:rPr>
          <w:rFonts w:cs="Arial"/>
        </w:rPr>
        <w:t>bein</w:t>
      </w:r>
      <w:r w:rsidR="008270D8" w:rsidRPr="001E2783">
        <w:rPr>
          <w:rFonts w:cs="Arial"/>
        </w:rPr>
        <w:t>g</w:t>
      </w:r>
      <w:r w:rsidRPr="001E2783">
        <w:rPr>
          <w:rFonts w:cs="Arial"/>
        </w:rPr>
        <w:t xml:space="preserve"> to public </w:t>
      </w:r>
      <w:r w:rsidR="008270D8" w:rsidRPr="001E2783">
        <w:rPr>
          <w:rFonts w:cs="Arial"/>
        </w:rPr>
        <w:t>policy and leadership. The 2013–</w:t>
      </w:r>
      <w:r w:rsidRPr="001E2783">
        <w:rPr>
          <w:rFonts w:cs="Arial"/>
        </w:rPr>
        <w:t>14 program was well attended</w:t>
      </w:r>
      <w:r w:rsidR="008270D8" w:rsidRPr="001E2783">
        <w:rPr>
          <w:rFonts w:cs="Arial"/>
        </w:rPr>
        <w:t>,</w:t>
      </w:r>
      <w:r w:rsidRPr="001E2783">
        <w:rPr>
          <w:rFonts w:cs="Arial"/>
        </w:rPr>
        <w:t xml:space="preserve"> and included Jeff Kennett speaking about the work of </w:t>
      </w:r>
      <w:r w:rsidRPr="001E2783">
        <w:rPr>
          <w:rFonts w:cs="Arial"/>
          <w:i/>
        </w:rPr>
        <w:t xml:space="preserve">beyondblue </w:t>
      </w:r>
      <w:r w:rsidRPr="001E2783">
        <w:rPr>
          <w:rFonts w:cs="Arial"/>
        </w:rPr>
        <w:t>and</w:t>
      </w:r>
      <w:r w:rsidRPr="001E2783">
        <w:rPr>
          <w:rFonts w:cs="Arial"/>
          <w:i/>
        </w:rPr>
        <w:t xml:space="preserve"> </w:t>
      </w:r>
      <w:r w:rsidRPr="001E2783">
        <w:rPr>
          <w:rFonts w:cs="Arial"/>
        </w:rPr>
        <w:t xml:space="preserve">Professor Jeff Brand </w:t>
      </w:r>
      <w:r w:rsidR="008270D8" w:rsidRPr="001E2783">
        <w:rPr>
          <w:rFonts w:cs="Arial"/>
        </w:rPr>
        <w:t xml:space="preserve">discussing </w:t>
      </w:r>
      <w:r w:rsidRPr="001E2783">
        <w:rPr>
          <w:rFonts w:cs="Arial"/>
        </w:rPr>
        <w:t xml:space="preserve">the latest research on the modern gamer. </w:t>
      </w:r>
    </w:p>
    <w:p w14:paraId="6D091168" w14:textId="77777777" w:rsidR="000C22F2" w:rsidRPr="001E2783" w:rsidRDefault="000C22F2" w:rsidP="000C22F2">
      <w:pPr>
        <w:rPr>
          <w:rFonts w:cs="Arial"/>
        </w:rPr>
      </w:pPr>
    </w:p>
    <w:p w14:paraId="0FEDBBB8" w14:textId="77777777" w:rsidR="000C22F2" w:rsidRPr="001E2783" w:rsidRDefault="000C22F2" w:rsidP="000C22F2">
      <w:pPr>
        <w:rPr>
          <w:rFonts w:cs="Arial"/>
          <w:szCs w:val="20"/>
        </w:rPr>
      </w:pPr>
      <w:r w:rsidRPr="001E2783">
        <w:rPr>
          <w:rFonts w:cs="Arial"/>
          <w:szCs w:val="20"/>
        </w:rPr>
        <w:t>During the reporting period, six Creating Knowledge events were held, with an average of 77 ACMA staff attending each event.</w:t>
      </w:r>
    </w:p>
    <w:p w14:paraId="2E473BEA" w14:textId="77777777" w:rsidR="00CC119D" w:rsidRPr="001E2783" w:rsidRDefault="00CC119D" w:rsidP="00CC119D">
      <w:pPr>
        <w:rPr>
          <w:rFonts w:cs="Arial"/>
          <w:szCs w:val="20"/>
        </w:rPr>
      </w:pPr>
    </w:p>
    <w:p w14:paraId="7DD25114" w14:textId="77777777" w:rsidR="0088769E" w:rsidRPr="001E2783" w:rsidRDefault="0088769E" w:rsidP="0088769E">
      <w:pPr>
        <w:pStyle w:val="Heading3"/>
        <w:spacing w:line="276" w:lineRule="auto"/>
      </w:pPr>
      <w:bookmarkStart w:id="297" w:name="_Toc329600279"/>
      <w:bookmarkStart w:id="298" w:name="_Toc400018631"/>
      <w:r w:rsidRPr="001E2783">
        <w:t>Client Service Charter</w:t>
      </w:r>
      <w:bookmarkEnd w:id="297"/>
      <w:bookmarkEnd w:id="298"/>
    </w:p>
    <w:p w14:paraId="087D5AA4" w14:textId="77777777" w:rsidR="0088769E" w:rsidRPr="001E2783" w:rsidRDefault="0088769E" w:rsidP="00CE29C2">
      <w:pPr>
        <w:rPr>
          <w:rFonts w:cs="Arial"/>
          <w:szCs w:val="20"/>
        </w:rPr>
      </w:pPr>
      <w:r w:rsidRPr="001E2783">
        <w:rPr>
          <w:rFonts w:cs="Arial"/>
          <w:szCs w:val="20"/>
        </w:rPr>
        <w:t>The Client Service Charter outlines the ACMA’s goals and the broad range of services it provides. The charter provides advice on how clients can contact the ACMA, service standards and complaints procedures. It also reflects the ACMA’s commitment to providing efficient, effective and relevant services delivered in an environme</w:t>
      </w:r>
      <w:r w:rsidR="000A4DFF" w:rsidRPr="001E2783">
        <w:rPr>
          <w:rFonts w:cs="Arial"/>
          <w:szCs w:val="20"/>
        </w:rPr>
        <w:t>nt of mutual respect. See Table </w:t>
      </w:r>
      <w:r w:rsidR="00CA43A9" w:rsidRPr="001E2783">
        <w:rPr>
          <w:rFonts w:cs="Arial"/>
          <w:szCs w:val="20"/>
        </w:rPr>
        <w:t>39</w:t>
      </w:r>
      <w:r w:rsidRPr="001E2783">
        <w:rPr>
          <w:rFonts w:cs="Arial"/>
          <w:szCs w:val="20"/>
        </w:rPr>
        <w:t xml:space="preserve"> for a summary of client service complai</w:t>
      </w:r>
      <w:r w:rsidR="000C22F2" w:rsidRPr="001E2783">
        <w:rPr>
          <w:rFonts w:cs="Arial"/>
          <w:szCs w:val="20"/>
        </w:rPr>
        <w:t>nts and compliments in 2013–14</w:t>
      </w:r>
      <w:r w:rsidRPr="001E2783">
        <w:rPr>
          <w:rFonts w:cs="Arial"/>
          <w:szCs w:val="20"/>
        </w:rPr>
        <w:t>.</w:t>
      </w:r>
    </w:p>
    <w:p w14:paraId="4C0AE81F" w14:textId="77777777" w:rsidR="00CC119D" w:rsidRPr="001E2783" w:rsidRDefault="00CC119D" w:rsidP="00CC119D">
      <w:pPr>
        <w:rPr>
          <w:rFonts w:cs="Arial"/>
          <w:szCs w:val="20"/>
        </w:rPr>
      </w:pPr>
    </w:p>
    <w:tbl>
      <w:tblPr>
        <w:tblW w:w="9645" w:type="dxa"/>
        <w:tblLayout w:type="fixed"/>
        <w:tblCellMar>
          <w:left w:w="0" w:type="dxa"/>
          <w:right w:w="0" w:type="dxa"/>
        </w:tblCellMar>
        <w:tblLook w:val="01E0" w:firstRow="1" w:lastRow="1" w:firstColumn="1" w:lastColumn="1" w:noHBand="0" w:noVBand="0"/>
      </w:tblPr>
      <w:tblGrid>
        <w:gridCol w:w="9645"/>
      </w:tblGrid>
      <w:tr w:rsidR="001E2783" w:rsidRPr="001E2783" w14:paraId="6199F393" w14:textId="77777777" w:rsidTr="009078D7">
        <w:trPr>
          <w:trHeight w:val="347"/>
        </w:trPr>
        <w:tc>
          <w:tcPr>
            <w:tcW w:w="9645" w:type="dxa"/>
            <w:tcBorders>
              <w:top w:val="single" w:sz="2" w:space="0" w:color="505050"/>
            </w:tcBorders>
            <w:shd w:val="clear" w:color="auto" w:fill="auto"/>
            <w:vAlign w:val="center"/>
          </w:tcPr>
          <w:p w14:paraId="5977BCFC" w14:textId="77777777" w:rsidR="00CC119D" w:rsidRPr="001E2783" w:rsidRDefault="00CC119D" w:rsidP="00044675">
            <w:pPr>
              <w:pStyle w:val="Caption"/>
              <w:keepNext/>
              <w:keepLines/>
              <w:rPr>
                <w:rFonts w:ascii="Arial" w:hAnsi="Arial" w:cs="Arial"/>
                <w:color w:val="auto"/>
              </w:rPr>
            </w:pPr>
            <w:r w:rsidRPr="00D3485F">
              <w:rPr>
                <w:rFonts w:ascii="Arial" w:hAnsi="Arial" w:cs="Arial"/>
              </w:rPr>
              <w:t xml:space="preserve">Table </w:t>
            </w:r>
            <w:r w:rsidR="00CA43A9" w:rsidRPr="00D3485F">
              <w:rPr>
                <w:rFonts w:ascii="Arial" w:hAnsi="Arial" w:cs="Arial"/>
              </w:rPr>
              <w:t>39</w:t>
            </w:r>
            <w:r w:rsidRPr="00D3485F">
              <w:rPr>
                <w:rFonts w:ascii="Arial" w:hAnsi="Arial" w:cs="Arial"/>
              </w:rPr>
              <w:t xml:space="preserve">: Summary of client service </w:t>
            </w:r>
            <w:r w:rsidR="008D2BB5" w:rsidRPr="00D3485F">
              <w:rPr>
                <w:rFonts w:ascii="Arial" w:hAnsi="Arial" w:cs="Arial"/>
              </w:rPr>
              <w:t>complaints and compliments, 2013</w:t>
            </w:r>
            <w:r w:rsidR="0088769E" w:rsidRPr="00D3485F">
              <w:rPr>
                <w:rFonts w:ascii="Arial" w:hAnsi="Arial" w:cs="Arial"/>
              </w:rPr>
              <w:t>–1</w:t>
            </w:r>
            <w:r w:rsidR="008D2BB5" w:rsidRPr="00D3485F">
              <w:rPr>
                <w:rFonts w:ascii="Arial" w:hAnsi="Arial" w:cs="Arial"/>
              </w:rPr>
              <w:t>4</w:t>
            </w:r>
          </w:p>
        </w:tc>
      </w:tr>
      <w:tr w:rsidR="001E2783" w:rsidRPr="001E2783" w14:paraId="76C1CAB8" w14:textId="77777777" w:rsidTr="008270D8">
        <w:trPr>
          <w:trHeight w:val="278"/>
        </w:trPr>
        <w:tc>
          <w:tcPr>
            <w:tcW w:w="9645" w:type="dxa"/>
            <w:shd w:val="clear" w:color="auto" w:fill="auto"/>
            <w:tcMar>
              <w:left w:w="28" w:type="dxa"/>
            </w:tcMa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20"/>
              <w:gridCol w:w="2622"/>
              <w:gridCol w:w="2623"/>
            </w:tblGrid>
            <w:tr w:rsidR="001E2783" w:rsidRPr="001E2783" w14:paraId="673517B4" w14:textId="77777777" w:rsidTr="00AC511E">
              <w:tc>
                <w:tcPr>
                  <w:tcW w:w="4220" w:type="dxa"/>
                  <w:shd w:val="clear" w:color="auto" w:fill="404040" w:themeFill="text1" w:themeFillTint="BF"/>
                  <w:tcMar>
                    <w:top w:w="57" w:type="dxa"/>
                    <w:left w:w="57" w:type="dxa"/>
                    <w:bottom w:w="57" w:type="dxa"/>
                    <w:right w:w="57" w:type="dxa"/>
                  </w:tcMar>
                </w:tcPr>
                <w:p w14:paraId="6A223B0C" w14:textId="77777777" w:rsidR="00CC119D" w:rsidRPr="007F3FB8" w:rsidRDefault="00CC119D" w:rsidP="008270D8">
                  <w:pPr>
                    <w:pStyle w:val="TableHeading"/>
                    <w:rPr>
                      <w:rFonts w:ascii="Arial" w:hAnsi="Arial" w:cs="Arial"/>
                      <w:color w:val="FFFFFF" w:themeColor="background1"/>
                    </w:rPr>
                  </w:pPr>
                  <w:r w:rsidRPr="007F3FB8">
                    <w:rPr>
                      <w:rFonts w:ascii="Arial" w:hAnsi="Arial" w:cs="Arial"/>
                      <w:color w:val="FFFFFF" w:themeColor="background1"/>
                    </w:rPr>
                    <w:t>Description</w:t>
                  </w:r>
                </w:p>
              </w:tc>
              <w:tc>
                <w:tcPr>
                  <w:tcW w:w="2622" w:type="dxa"/>
                  <w:shd w:val="clear" w:color="auto" w:fill="404040" w:themeFill="text1" w:themeFillTint="BF"/>
                  <w:tcMar>
                    <w:top w:w="57" w:type="dxa"/>
                    <w:left w:w="57" w:type="dxa"/>
                    <w:bottom w:w="57" w:type="dxa"/>
                    <w:right w:w="57" w:type="dxa"/>
                  </w:tcMar>
                </w:tcPr>
                <w:p w14:paraId="3E4023BC" w14:textId="77777777" w:rsidR="00CC119D" w:rsidRPr="007F3FB8" w:rsidRDefault="00CC119D" w:rsidP="008270D8">
                  <w:pPr>
                    <w:pStyle w:val="TableHeading"/>
                    <w:rPr>
                      <w:rFonts w:ascii="Arial" w:hAnsi="Arial" w:cs="Arial"/>
                      <w:color w:val="FFFFFF" w:themeColor="background1"/>
                    </w:rPr>
                  </w:pPr>
                  <w:r w:rsidRPr="007F3FB8">
                    <w:rPr>
                      <w:rFonts w:ascii="Arial" w:hAnsi="Arial" w:cs="Arial"/>
                      <w:color w:val="FFFFFF" w:themeColor="background1"/>
                    </w:rPr>
                    <w:t>Total no. of complaints*</w:t>
                  </w:r>
                </w:p>
              </w:tc>
              <w:tc>
                <w:tcPr>
                  <w:tcW w:w="2623" w:type="dxa"/>
                  <w:shd w:val="clear" w:color="auto" w:fill="404040" w:themeFill="text1" w:themeFillTint="BF"/>
                  <w:tcMar>
                    <w:top w:w="57" w:type="dxa"/>
                    <w:left w:w="57" w:type="dxa"/>
                    <w:bottom w:w="57" w:type="dxa"/>
                    <w:right w:w="57" w:type="dxa"/>
                  </w:tcMar>
                </w:tcPr>
                <w:p w14:paraId="3DA7BE1C" w14:textId="77777777" w:rsidR="00CC119D" w:rsidRPr="007F3FB8" w:rsidRDefault="00CC119D" w:rsidP="008270D8">
                  <w:pPr>
                    <w:pStyle w:val="TableHeading"/>
                    <w:rPr>
                      <w:rFonts w:ascii="Arial" w:hAnsi="Arial" w:cs="Arial"/>
                      <w:color w:val="FFFFFF" w:themeColor="background1"/>
                    </w:rPr>
                  </w:pPr>
                  <w:r w:rsidRPr="007F3FB8">
                    <w:rPr>
                      <w:rFonts w:ascii="Arial" w:hAnsi="Arial" w:cs="Arial"/>
                      <w:color w:val="FFFFFF" w:themeColor="background1"/>
                    </w:rPr>
                    <w:t>Total no. of compliments</w:t>
                  </w:r>
                </w:p>
              </w:tc>
            </w:tr>
            <w:tr w:rsidR="001E2783" w:rsidRPr="001E2783" w14:paraId="3E8A0810" w14:textId="77777777" w:rsidTr="00AC511E">
              <w:tc>
                <w:tcPr>
                  <w:tcW w:w="4220" w:type="dxa"/>
                  <w:tcMar>
                    <w:top w:w="57" w:type="dxa"/>
                    <w:left w:w="57" w:type="dxa"/>
                    <w:bottom w:w="57" w:type="dxa"/>
                    <w:right w:w="57" w:type="dxa"/>
                  </w:tcMar>
                </w:tcPr>
                <w:p w14:paraId="7ADB44EE" w14:textId="77777777" w:rsidR="008D2BB5" w:rsidRPr="001E2783" w:rsidRDefault="008D2BB5" w:rsidP="008270D8">
                  <w:pPr>
                    <w:pStyle w:val="TableTextLeft"/>
                    <w:rPr>
                      <w:rFonts w:cs="Arial"/>
                      <w:sz w:val="20"/>
                    </w:rPr>
                  </w:pPr>
                  <w:r w:rsidRPr="001E2783">
                    <w:rPr>
                      <w:rFonts w:cs="Arial"/>
                      <w:sz w:val="20"/>
                    </w:rPr>
                    <w:t>Courtesy and respect</w:t>
                  </w:r>
                </w:p>
              </w:tc>
              <w:tc>
                <w:tcPr>
                  <w:tcW w:w="2622" w:type="dxa"/>
                  <w:tcMar>
                    <w:top w:w="57" w:type="dxa"/>
                    <w:left w:w="57" w:type="dxa"/>
                    <w:bottom w:w="57" w:type="dxa"/>
                    <w:right w:w="57" w:type="dxa"/>
                  </w:tcMar>
                </w:tcPr>
                <w:p w14:paraId="48F057EB" w14:textId="77777777" w:rsidR="008D2BB5" w:rsidRPr="001E2783" w:rsidRDefault="008D2BB5" w:rsidP="00C25992">
                  <w:pPr>
                    <w:pStyle w:val="TableTextLeft"/>
                    <w:tabs>
                      <w:tab w:val="left" w:pos="537"/>
                    </w:tabs>
                    <w:jc w:val="right"/>
                    <w:rPr>
                      <w:rFonts w:cs="Arial"/>
                      <w:sz w:val="20"/>
                    </w:rPr>
                  </w:pPr>
                  <w:r w:rsidRPr="001E2783">
                    <w:rPr>
                      <w:rFonts w:cs="Arial"/>
                      <w:sz w:val="20"/>
                    </w:rPr>
                    <w:t>1</w:t>
                  </w:r>
                </w:p>
              </w:tc>
              <w:tc>
                <w:tcPr>
                  <w:tcW w:w="2623" w:type="dxa"/>
                  <w:tcMar>
                    <w:top w:w="57" w:type="dxa"/>
                    <w:left w:w="57" w:type="dxa"/>
                    <w:bottom w:w="57" w:type="dxa"/>
                    <w:right w:w="57" w:type="dxa"/>
                  </w:tcMar>
                </w:tcPr>
                <w:p w14:paraId="4769BD25" w14:textId="77777777" w:rsidR="008D2BB5" w:rsidRPr="001E2783" w:rsidRDefault="008D2BB5" w:rsidP="00C25992">
                  <w:pPr>
                    <w:pStyle w:val="TableTextLeft"/>
                    <w:jc w:val="right"/>
                    <w:rPr>
                      <w:rFonts w:cs="Arial"/>
                      <w:sz w:val="20"/>
                    </w:rPr>
                  </w:pPr>
                  <w:r w:rsidRPr="001E2783">
                    <w:rPr>
                      <w:rFonts w:cs="Arial"/>
                      <w:sz w:val="20"/>
                    </w:rPr>
                    <w:t>–</w:t>
                  </w:r>
                </w:p>
              </w:tc>
            </w:tr>
            <w:tr w:rsidR="001E2783" w:rsidRPr="001E2783" w14:paraId="41A31BDA" w14:textId="77777777" w:rsidTr="00AC511E">
              <w:tc>
                <w:tcPr>
                  <w:tcW w:w="4220" w:type="dxa"/>
                  <w:tcMar>
                    <w:top w:w="57" w:type="dxa"/>
                    <w:left w:w="57" w:type="dxa"/>
                    <w:bottom w:w="57" w:type="dxa"/>
                    <w:right w:w="57" w:type="dxa"/>
                  </w:tcMar>
                </w:tcPr>
                <w:p w14:paraId="50641C90" w14:textId="77777777" w:rsidR="008D2BB5" w:rsidRPr="001E2783" w:rsidRDefault="008D2BB5" w:rsidP="008270D8">
                  <w:pPr>
                    <w:pStyle w:val="TableTextLeft"/>
                    <w:rPr>
                      <w:rFonts w:cs="Arial"/>
                      <w:sz w:val="20"/>
                    </w:rPr>
                  </w:pPr>
                  <w:r w:rsidRPr="001E2783">
                    <w:rPr>
                      <w:rFonts w:cs="Arial"/>
                      <w:sz w:val="20"/>
                    </w:rPr>
                    <w:t>Service delivery of individual staff members</w:t>
                  </w:r>
                </w:p>
              </w:tc>
              <w:tc>
                <w:tcPr>
                  <w:tcW w:w="2622" w:type="dxa"/>
                  <w:tcMar>
                    <w:top w:w="57" w:type="dxa"/>
                    <w:left w:w="57" w:type="dxa"/>
                    <w:bottom w:w="57" w:type="dxa"/>
                    <w:right w:w="57" w:type="dxa"/>
                  </w:tcMar>
                </w:tcPr>
                <w:p w14:paraId="2BA8967B" w14:textId="77777777" w:rsidR="008D2BB5" w:rsidRPr="001E2783" w:rsidRDefault="008D2BB5" w:rsidP="00C25992">
                  <w:pPr>
                    <w:pStyle w:val="TableTextLeft"/>
                    <w:jc w:val="right"/>
                    <w:rPr>
                      <w:rFonts w:cs="Arial"/>
                      <w:sz w:val="20"/>
                    </w:rPr>
                  </w:pPr>
                  <w:r w:rsidRPr="001E2783">
                    <w:rPr>
                      <w:rFonts w:cs="Arial"/>
                      <w:sz w:val="20"/>
                    </w:rPr>
                    <w:t>1</w:t>
                  </w:r>
                </w:p>
              </w:tc>
              <w:tc>
                <w:tcPr>
                  <w:tcW w:w="2623" w:type="dxa"/>
                  <w:tcMar>
                    <w:top w:w="57" w:type="dxa"/>
                    <w:left w:w="57" w:type="dxa"/>
                    <w:bottom w:w="57" w:type="dxa"/>
                    <w:right w:w="57" w:type="dxa"/>
                  </w:tcMar>
                </w:tcPr>
                <w:p w14:paraId="7DA1C22C" w14:textId="77777777" w:rsidR="008D2BB5" w:rsidRPr="001E2783" w:rsidRDefault="008D2BB5" w:rsidP="00C25992">
                  <w:pPr>
                    <w:pStyle w:val="TableTextLeft"/>
                    <w:jc w:val="right"/>
                    <w:rPr>
                      <w:rFonts w:cs="Arial"/>
                      <w:sz w:val="20"/>
                    </w:rPr>
                  </w:pPr>
                  <w:r w:rsidRPr="001E2783">
                    <w:rPr>
                      <w:rFonts w:cs="Arial"/>
                      <w:sz w:val="20"/>
                    </w:rPr>
                    <w:t>1</w:t>
                  </w:r>
                </w:p>
              </w:tc>
            </w:tr>
            <w:tr w:rsidR="001E2783" w:rsidRPr="001E2783" w14:paraId="07D3FE7D" w14:textId="77777777" w:rsidTr="00AC511E">
              <w:tc>
                <w:tcPr>
                  <w:tcW w:w="4220" w:type="dxa"/>
                  <w:tcMar>
                    <w:top w:w="57" w:type="dxa"/>
                    <w:left w:w="57" w:type="dxa"/>
                    <w:bottom w:w="57" w:type="dxa"/>
                    <w:right w:w="57" w:type="dxa"/>
                  </w:tcMar>
                </w:tcPr>
                <w:p w14:paraId="29705C6E" w14:textId="77777777" w:rsidR="008D2BB5" w:rsidRPr="001E2783" w:rsidRDefault="008D2BB5" w:rsidP="008270D8">
                  <w:pPr>
                    <w:pStyle w:val="TableTextLeft"/>
                    <w:rPr>
                      <w:rFonts w:cs="Arial"/>
                      <w:sz w:val="20"/>
                    </w:rPr>
                  </w:pPr>
                  <w:r w:rsidRPr="001E2783">
                    <w:rPr>
                      <w:rFonts w:cs="Arial"/>
                      <w:sz w:val="20"/>
                    </w:rPr>
                    <w:t>Response time to complaint</w:t>
                  </w:r>
                </w:p>
              </w:tc>
              <w:tc>
                <w:tcPr>
                  <w:tcW w:w="2622" w:type="dxa"/>
                  <w:tcMar>
                    <w:top w:w="57" w:type="dxa"/>
                    <w:left w:w="57" w:type="dxa"/>
                    <w:bottom w:w="57" w:type="dxa"/>
                    <w:right w:w="57" w:type="dxa"/>
                  </w:tcMar>
                </w:tcPr>
                <w:p w14:paraId="5696A075" w14:textId="77777777" w:rsidR="008D2BB5" w:rsidRPr="001E2783" w:rsidRDefault="008D2BB5" w:rsidP="00C25992">
                  <w:pPr>
                    <w:pStyle w:val="TableTextLeft"/>
                    <w:jc w:val="right"/>
                    <w:rPr>
                      <w:rFonts w:cs="Arial"/>
                      <w:sz w:val="20"/>
                    </w:rPr>
                  </w:pPr>
                  <w:r w:rsidRPr="001E2783">
                    <w:rPr>
                      <w:rFonts w:cs="Arial"/>
                      <w:sz w:val="20"/>
                    </w:rPr>
                    <w:t>–</w:t>
                  </w:r>
                </w:p>
              </w:tc>
              <w:tc>
                <w:tcPr>
                  <w:tcW w:w="2623" w:type="dxa"/>
                  <w:tcMar>
                    <w:top w:w="57" w:type="dxa"/>
                    <w:left w:w="57" w:type="dxa"/>
                    <w:bottom w:w="57" w:type="dxa"/>
                    <w:right w:w="57" w:type="dxa"/>
                  </w:tcMar>
                </w:tcPr>
                <w:p w14:paraId="6B9680B1" w14:textId="77777777" w:rsidR="008D2BB5" w:rsidRPr="001E2783" w:rsidRDefault="008D2BB5" w:rsidP="00C25992">
                  <w:pPr>
                    <w:pStyle w:val="TableTextLeft"/>
                    <w:jc w:val="right"/>
                    <w:rPr>
                      <w:rFonts w:cs="Arial"/>
                      <w:sz w:val="20"/>
                    </w:rPr>
                  </w:pPr>
                  <w:r w:rsidRPr="001E2783">
                    <w:rPr>
                      <w:rFonts w:cs="Arial"/>
                      <w:sz w:val="20"/>
                    </w:rPr>
                    <w:t>–</w:t>
                  </w:r>
                </w:p>
              </w:tc>
            </w:tr>
            <w:tr w:rsidR="001E2783" w:rsidRPr="001E2783" w14:paraId="36774046" w14:textId="77777777" w:rsidTr="00AC511E">
              <w:tc>
                <w:tcPr>
                  <w:tcW w:w="4220" w:type="dxa"/>
                  <w:tcMar>
                    <w:top w:w="57" w:type="dxa"/>
                    <w:left w:w="57" w:type="dxa"/>
                    <w:bottom w:w="57" w:type="dxa"/>
                    <w:right w:w="57" w:type="dxa"/>
                  </w:tcMar>
                </w:tcPr>
                <w:p w14:paraId="6AD6C25F" w14:textId="77777777" w:rsidR="008D2BB5" w:rsidRPr="001E2783" w:rsidRDefault="008D2BB5" w:rsidP="008270D8">
                  <w:pPr>
                    <w:pStyle w:val="TableTextLeft"/>
                    <w:rPr>
                      <w:rFonts w:cs="Arial"/>
                      <w:sz w:val="20"/>
                    </w:rPr>
                  </w:pPr>
                  <w:r w:rsidRPr="001E2783">
                    <w:rPr>
                      <w:rFonts w:cs="Arial"/>
                      <w:sz w:val="20"/>
                    </w:rPr>
                    <w:t>Accessible information</w:t>
                  </w:r>
                </w:p>
              </w:tc>
              <w:tc>
                <w:tcPr>
                  <w:tcW w:w="2622" w:type="dxa"/>
                  <w:tcMar>
                    <w:top w:w="57" w:type="dxa"/>
                    <w:left w:w="57" w:type="dxa"/>
                    <w:bottom w:w="57" w:type="dxa"/>
                    <w:right w:w="57" w:type="dxa"/>
                  </w:tcMar>
                </w:tcPr>
                <w:p w14:paraId="4BEBA2DC" w14:textId="77777777" w:rsidR="008D2BB5" w:rsidRPr="001E2783" w:rsidRDefault="008D2BB5" w:rsidP="00C25992">
                  <w:pPr>
                    <w:pStyle w:val="TableTextLeft"/>
                    <w:jc w:val="right"/>
                    <w:rPr>
                      <w:rFonts w:cs="Arial"/>
                      <w:sz w:val="20"/>
                    </w:rPr>
                  </w:pPr>
                  <w:r w:rsidRPr="001E2783">
                    <w:rPr>
                      <w:rFonts w:cs="Arial"/>
                      <w:sz w:val="20"/>
                    </w:rPr>
                    <w:t>5</w:t>
                  </w:r>
                </w:p>
              </w:tc>
              <w:tc>
                <w:tcPr>
                  <w:tcW w:w="2623" w:type="dxa"/>
                  <w:tcMar>
                    <w:top w:w="57" w:type="dxa"/>
                    <w:left w:w="57" w:type="dxa"/>
                    <w:bottom w:w="57" w:type="dxa"/>
                    <w:right w:w="57" w:type="dxa"/>
                  </w:tcMar>
                </w:tcPr>
                <w:p w14:paraId="29D39E93" w14:textId="77777777" w:rsidR="008D2BB5" w:rsidRPr="001E2783" w:rsidRDefault="008D2BB5" w:rsidP="00C25992">
                  <w:pPr>
                    <w:pStyle w:val="TableTextLeft"/>
                    <w:jc w:val="right"/>
                    <w:rPr>
                      <w:rFonts w:cs="Arial"/>
                      <w:sz w:val="20"/>
                    </w:rPr>
                  </w:pPr>
                  <w:r w:rsidRPr="001E2783">
                    <w:rPr>
                      <w:rFonts w:cs="Arial"/>
                      <w:sz w:val="20"/>
                    </w:rPr>
                    <w:t>–</w:t>
                  </w:r>
                </w:p>
              </w:tc>
            </w:tr>
          </w:tbl>
          <w:p w14:paraId="17E9933A" w14:textId="77777777" w:rsidR="00CC119D" w:rsidRPr="001E2783" w:rsidRDefault="00CC119D" w:rsidP="00C902FF">
            <w:pPr>
              <w:rPr>
                <w:rFonts w:cs="Arial"/>
              </w:rPr>
            </w:pPr>
          </w:p>
        </w:tc>
      </w:tr>
      <w:tr w:rsidR="001E2783" w:rsidRPr="001E2783" w14:paraId="03B12D14" w14:textId="77777777" w:rsidTr="009078D7">
        <w:trPr>
          <w:trHeight w:val="140"/>
        </w:trPr>
        <w:tc>
          <w:tcPr>
            <w:tcW w:w="9645" w:type="dxa"/>
            <w:tcBorders>
              <w:bottom w:val="single" w:sz="2" w:space="0" w:color="505050"/>
            </w:tcBorders>
            <w:shd w:val="clear" w:color="auto" w:fill="auto"/>
          </w:tcPr>
          <w:p w14:paraId="038AECF5" w14:textId="77777777" w:rsidR="00CC119D" w:rsidRPr="001E2783" w:rsidRDefault="00CC119D" w:rsidP="009078D7">
            <w:pPr>
              <w:spacing w:before="60"/>
              <w:rPr>
                <w:rFonts w:cs="Arial"/>
                <w:sz w:val="16"/>
                <w:szCs w:val="16"/>
              </w:rPr>
            </w:pPr>
            <w:r w:rsidRPr="001E2783">
              <w:rPr>
                <w:rFonts w:cs="Arial"/>
                <w:sz w:val="16"/>
                <w:szCs w:val="16"/>
              </w:rPr>
              <w:t>*</w:t>
            </w:r>
            <w:r w:rsidRPr="001E2783">
              <w:rPr>
                <w:rFonts w:cs="Arial"/>
                <w:bCs/>
                <w:i/>
                <w:iCs/>
                <w:sz w:val="16"/>
                <w:szCs w:val="16"/>
              </w:rPr>
              <w:t>Indicates total number of complaints received (not assessed against service commitments or standards in the Client Service Charter).</w:t>
            </w:r>
          </w:p>
        </w:tc>
      </w:tr>
    </w:tbl>
    <w:p w14:paraId="0A4DF8D4" w14:textId="77777777" w:rsidR="00CC119D" w:rsidRPr="001E2783" w:rsidRDefault="00CC119D" w:rsidP="00CC119D">
      <w:pPr>
        <w:pStyle w:val="Heading2"/>
      </w:pPr>
      <w:bookmarkStart w:id="299" w:name="_Toc264884816"/>
      <w:bookmarkStart w:id="300" w:name="_Toc297623587"/>
      <w:bookmarkStart w:id="301" w:name="_Toc337727658"/>
      <w:bookmarkStart w:id="302" w:name="_Toc400018632"/>
      <w:r w:rsidRPr="001E2783">
        <w:t>Information management</w:t>
      </w:r>
      <w:bookmarkEnd w:id="299"/>
      <w:bookmarkEnd w:id="300"/>
      <w:bookmarkEnd w:id="301"/>
      <w:bookmarkEnd w:id="302"/>
      <w:r w:rsidRPr="001E2783">
        <w:t xml:space="preserve"> </w:t>
      </w:r>
    </w:p>
    <w:p w14:paraId="6C4FA5D8" w14:textId="77777777" w:rsidR="00686DA1" w:rsidRPr="001E2783" w:rsidRDefault="00CC119D" w:rsidP="00686DA1">
      <w:pPr>
        <w:pStyle w:val="Heading3"/>
      </w:pPr>
      <w:bookmarkStart w:id="303" w:name="_Toc264884817"/>
      <w:bookmarkStart w:id="304" w:name="_Toc297623588"/>
      <w:bookmarkStart w:id="305" w:name="_Toc337727659"/>
      <w:bookmarkStart w:id="306" w:name="_Toc400018633"/>
      <w:bookmarkStart w:id="307" w:name="_Toc264884821"/>
      <w:r w:rsidRPr="001E2783">
        <w:t>Transformation agenda</w:t>
      </w:r>
      <w:bookmarkEnd w:id="303"/>
      <w:bookmarkEnd w:id="304"/>
      <w:bookmarkEnd w:id="305"/>
      <w:bookmarkEnd w:id="306"/>
    </w:p>
    <w:p w14:paraId="469A3E96" w14:textId="77777777" w:rsidR="008270D8" w:rsidRPr="001E2783" w:rsidRDefault="008270D8" w:rsidP="00D633C1">
      <w:pPr>
        <w:spacing w:after="80"/>
        <w:rPr>
          <w:rFonts w:cs="Arial"/>
        </w:rPr>
      </w:pPr>
      <w:r w:rsidRPr="001E2783">
        <w:rPr>
          <w:rFonts w:cs="Arial"/>
        </w:rPr>
        <w:t xml:space="preserve">The reporting period saw the continued rollout of major transformation projects, focusing on rationalising and enhancing business systems. A series of </w:t>
      </w:r>
      <w:r w:rsidR="00A0460C" w:rsidRPr="001E2783">
        <w:rPr>
          <w:rFonts w:cs="Arial"/>
        </w:rPr>
        <w:t>business systems w</w:t>
      </w:r>
      <w:r w:rsidR="00044675" w:rsidRPr="001E2783">
        <w:rPr>
          <w:rFonts w:cs="Arial"/>
        </w:rPr>
        <w:t>as</w:t>
      </w:r>
      <w:r w:rsidR="00A0460C" w:rsidRPr="001E2783">
        <w:rPr>
          <w:rFonts w:cs="Arial"/>
        </w:rPr>
        <w:t xml:space="preserve"> delivered during the year</w:t>
      </w:r>
      <w:r w:rsidR="00044675" w:rsidRPr="001E2783">
        <w:rPr>
          <w:rFonts w:cs="Arial"/>
        </w:rPr>
        <w:t>, including</w:t>
      </w:r>
      <w:r w:rsidRPr="001E2783">
        <w:rPr>
          <w:rFonts w:cs="Arial"/>
        </w:rPr>
        <w:t>:</w:t>
      </w:r>
    </w:p>
    <w:p w14:paraId="265FE8B8" w14:textId="77777777" w:rsidR="008D2BB5" w:rsidRPr="001E2783" w:rsidRDefault="008D2BB5" w:rsidP="008D2BB5">
      <w:pPr>
        <w:pStyle w:val="ListBullet"/>
        <w:rPr>
          <w:rFonts w:cs="Arial"/>
        </w:rPr>
      </w:pPr>
      <w:r w:rsidRPr="001E2783">
        <w:rPr>
          <w:rFonts w:cs="Arial"/>
        </w:rPr>
        <w:t>enabling external spectrum ass</w:t>
      </w:r>
      <w:r w:rsidR="00044675" w:rsidRPr="001E2783">
        <w:rPr>
          <w:rFonts w:cs="Arial"/>
        </w:rPr>
        <w:t>igners to manage spectrum licenc</w:t>
      </w:r>
      <w:r w:rsidRPr="001E2783">
        <w:rPr>
          <w:rFonts w:cs="Arial"/>
        </w:rPr>
        <w:t xml:space="preserve">es online </w:t>
      </w:r>
    </w:p>
    <w:p w14:paraId="486FA7B8" w14:textId="77777777" w:rsidR="008D2BB5" w:rsidRPr="001E2783" w:rsidRDefault="008D2BB5" w:rsidP="008D2BB5">
      <w:pPr>
        <w:pStyle w:val="ListBullet"/>
        <w:rPr>
          <w:rFonts w:cs="Arial"/>
        </w:rPr>
      </w:pPr>
      <w:r w:rsidRPr="001E2783">
        <w:rPr>
          <w:rFonts w:cs="Arial"/>
        </w:rPr>
        <w:t>delivering a significantly enhanced website with a modern look and feel</w:t>
      </w:r>
    </w:p>
    <w:p w14:paraId="7E82259E" w14:textId="67259694" w:rsidR="008D2BB5" w:rsidRPr="001E2783" w:rsidRDefault="008D2BB5" w:rsidP="008D2BB5">
      <w:pPr>
        <w:pStyle w:val="ListBullet"/>
        <w:rPr>
          <w:rFonts w:cs="Arial"/>
        </w:rPr>
      </w:pPr>
      <w:r w:rsidRPr="001E2783">
        <w:rPr>
          <w:rFonts w:cs="Arial"/>
        </w:rPr>
        <w:t>providing the Customer Relationship Management platform and communications technology for the new Customer Service Centre</w:t>
      </w:r>
      <w:r w:rsidR="0098728A" w:rsidRPr="001E2783">
        <w:rPr>
          <w:rFonts w:cs="Arial"/>
        </w:rPr>
        <w:t xml:space="preserve"> (see </w:t>
      </w:r>
      <w:r w:rsidR="009B749A" w:rsidRPr="009B749A">
        <w:rPr>
          <w:rFonts w:cs="Arial"/>
          <w:i/>
        </w:rPr>
        <w:t>Customer Service Centre</w:t>
      </w:r>
      <w:r w:rsidR="009B749A" w:rsidRPr="001E2783">
        <w:rPr>
          <w:rFonts w:cs="Arial"/>
        </w:rPr>
        <w:t xml:space="preserve"> </w:t>
      </w:r>
      <w:r w:rsidR="0098728A" w:rsidRPr="001E2783">
        <w:rPr>
          <w:rFonts w:cs="Arial"/>
        </w:rPr>
        <w:t>case study)</w:t>
      </w:r>
    </w:p>
    <w:p w14:paraId="61EA0E31" w14:textId="77777777" w:rsidR="008D2BB5" w:rsidRPr="001E2783" w:rsidRDefault="008D2BB5" w:rsidP="00A0460C">
      <w:pPr>
        <w:pStyle w:val="ListBullet"/>
        <w:spacing w:after="240"/>
        <w:rPr>
          <w:rFonts w:cs="Arial"/>
        </w:rPr>
      </w:pPr>
      <w:r w:rsidRPr="001E2783">
        <w:rPr>
          <w:rFonts w:cs="Arial"/>
        </w:rPr>
        <w:t xml:space="preserve">extending the Customer Relationship Management platform and integrating with new external </w:t>
      </w:r>
      <w:r w:rsidR="00A0460C" w:rsidRPr="001E2783">
        <w:rPr>
          <w:rFonts w:cs="Arial"/>
        </w:rPr>
        <w:t>forms technology</w:t>
      </w:r>
      <w:r w:rsidR="002C15C8" w:rsidRPr="001E2783">
        <w:rPr>
          <w:rFonts w:cs="Arial"/>
        </w:rPr>
        <w:t xml:space="preserve"> to allow licens</w:t>
      </w:r>
      <w:r w:rsidRPr="001E2783">
        <w:rPr>
          <w:rFonts w:cs="Arial"/>
        </w:rPr>
        <w:t>ees to engage online with the ACMA when</w:t>
      </w:r>
      <w:r w:rsidR="00A0460C" w:rsidRPr="001E2783">
        <w:rPr>
          <w:rFonts w:cs="Arial"/>
        </w:rPr>
        <w:t xml:space="preserve"> lodging compliance information.</w:t>
      </w:r>
    </w:p>
    <w:p w14:paraId="6B2F47F0" w14:textId="77777777" w:rsidR="00DA54CE" w:rsidRPr="001E2783" w:rsidRDefault="00DA54CE" w:rsidP="00DA54CE">
      <w:pPr>
        <w:spacing w:after="80"/>
        <w:rPr>
          <w:rFonts w:cs="Arial"/>
        </w:rPr>
      </w:pPr>
      <w:r w:rsidRPr="001E2783">
        <w:rPr>
          <w:rFonts w:cs="Arial"/>
        </w:rPr>
        <w:t xml:space="preserve">The ICT transformation has also significantly improved the productivity and efficiency of the agency’s ICT platform. The ACMA’s results from the Australian Government Information Management Office (AGIMO) annual ICT benchmark of all federal government entities reinforced the benefits of </w:t>
      </w:r>
      <w:r w:rsidR="00044675" w:rsidRPr="001E2783">
        <w:rPr>
          <w:rFonts w:cs="Arial"/>
        </w:rPr>
        <w:t>this</w:t>
      </w:r>
      <w:r w:rsidRPr="001E2783">
        <w:rPr>
          <w:rFonts w:cs="Arial"/>
        </w:rPr>
        <w:t xml:space="preserve"> transformation agenda.</w:t>
      </w:r>
    </w:p>
    <w:p w14:paraId="0FE7AFBC" w14:textId="77777777" w:rsidR="008D2BB5" w:rsidRPr="001E2783" w:rsidRDefault="008D2BB5" w:rsidP="009078D7">
      <w:pPr>
        <w:spacing w:after="80"/>
        <w:rPr>
          <w:rFonts w:cs="Arial"/>
        </w:rPr>
      </w:pPr>
    </w:p>
    <w:p w14:paraId="464D885A" w14:textId="77777777" w:rsidR="00686DA1" w:rsidRPr="001E2783" w:rsidRDefault="00686DA1" w:rsidP="00971257">
      <w:pPr>
        <w:pStyle w:val="Heading3"/>
      </w:pPr>
      <w:bookmarkStart w:id="308" w:name="_Toc400018634"/>
      <w:r w:rsidRPr="001E2783">
        <w:t>Highlights</w:t>
      </w:r>
      <w:bookmarkEnd w:id="308"/>
    </w:p>
    <w:p w14:paraId="2774C25C" w14:textId="77777777" w:rsidR="00686DA1" w:rsidRPr="001E2783" w:rsidRDefault="00686DA1" w:rsidP="00971257">
      <w:pPr>
        <w:pStyle w:val="BodysubheaderH4"/>
        <w:rPr>
          <w:rFonts w:cs="Arial"/>
        </w:rPr>
      </w:pPr>
      <w:r w:rsidRPr="001E2783">
        <w:rPr>
          <w:rFonts w:cs="Arial"/>
        </w:rPr>
        <w:t xml:space="preserve">Spectrum </w:t>
      </w:r>
      <w:r w:rsidR="00971257" w:rsidRPr="001E2783">
        <w:rPr>
          <w:rFonts w:cs="Arial"/>
        </w:rPr>
        <w:t>m</w:t>
      </w:r>
      <w:r w:rsidRPr="001E2783">
        <w:rPr>
          <w:rFonts w:cs="Arial"/>
        </w:rPr>
        <w:t>anagement</w:t>
      </w:r>
    </w:p>
    <w:p w14:paraId="4550F8D9" w14:textId="77777777" w:rsidR="008D2BB5" w:rsidRPr="001E2783" w:rsidRDefault="008D2BB5" w:rsidP="000A4DFF">
      <w:pPr>
        <w:keepNext/>
        <w:spacing w:after="80"/>
        <w:rPr>
          <w:rFonts w:cs="Arial"/>
        </w:rPr>
      </w:pPr>
      <w:r w:rsidRPr="001E2783">
        <w:rPr>
          <w:rFonts w:cs="Arial"/>
        </w:rPr>
        <w:t>Work has continued on the development of the new spectrum management system</w:t>
      </w:r>
      <w:r w:rsidR="00D633C1" w:rsidRPr="001E2783">
        <w:rPr>
          <w:rFonts w:cs="Arial"/>
        </w:rPr>
        <w:t>, including the</w:t>
      </w:r>
      <w:r w:rsidRPr="001E2783">
        <w:rPr>
          <w:rFonts w:cs="Arial"/>
        </w:rPr>
        <w:t>:</w:t>
      </w:r>
    </w:p>
    <w:p w14:paraId="4E6763DD" w14:textId="77777777" w:rsidR="008D2BB5" w:rsidRPr="001E2783" w:rsidRDefault="008D2BB5" w:rsidP="008D2BB5">
      <w:pPr>
        <w:pStyle w:val="ListBullet"/>
        <w:rPr>
          <w:rFonts w:cs="Arial"/>
        </w:rPr>
      </w:pPr>
      <w:r w:rsidRPr="001E2783">
        <w:rPr>
          <w:rFonts w:cs="Arial"/>
        </w:rPr>
        <w:t>successful reissue of spectrum licences in the 1800 MHz band</w:t>
      </w:r>
    </w:p>
    <w:p w14:paraId="6F6EF69D" w14:textId="77777777" w:rsidR="008D2BB5" w:rsidRPr="001E2783" w:rsidRDefault="008D2BB5" w:rsidP="008D2BB5">
      <w:pPr>
        <w:pStyle w:val="ListBullet"/>
        <w:rPr>
          <w:rFonts w:cs="Arial"/>
        </w:rPr>
      </w:pPr>
      <w:r w:rsidRPr="001E2783">
        <w:rPr>
          <w:rFonts w:cs="Arial"/>
        </w:rPr>
        <w:t xml:space="preserve">successful trading of licences in the 1800 MHz and 2.3 GHz bands </w:t>
      </w:r>
    </w:p>
    <w:p w14:paraId="0EF7E35E" w14:textId="77777777" w:rsidR="008D2BB5" w:rsidRPr="001E2783" w:rsidRDefault="00D633C1" w:rsidP="008D2BB5">
      <w:pPr>
        <w:pStyle w:val="ListBullet"/>
        <w:rPr>
          <w:rFonts w:cs="Arial"/>
        </w:rPr>
      </w:pPr>
      <w:r w:rsidRPr="001E2783">
        <w:rPr>
          <w:rFonts w:cs="Arial"/>
        </w:rPr>
        <w:t xml:space="preserve">use of </w:t>
      </w:r>
      <w:r w:rsidR="008D2BB5" w:rsidRPr="001E2783">
        <w:rPr>
          <w:rFonts w:cs="Arial"/>
        </w:rPr>
        <w:t>B2G connectivity to enable automated upload of device re-registrations for the 800 and 1800 MHz bands</w:t>
      </w:r>
    </w:p>
    <w:p w14:paraId="56DA4A37" w14:textId="77777777" w:rsidR="008D2BB5" w:rsidRPr="001E2783" w:rsidRDefault="008D2BB5" w:rsidP="008D2BB5">
      <w:pPr>
        <w:pStyle w:val="ListBullet"/>
        <w:spacing w:after="240"/>
        <w:rPr>
          <w:rFonts w:cs="Arial"/>
        </w:rPr>
      </w:pPr>
      <w:r w:rsidRPr="001E2783">
        <w:rPr>
          <w:rFonts w:cs="Arial"/>
        </w:rPr>
        <w:t>complet</w:t>
      </w:r>
      <w:r w:rsidR="00DA54CE" w:rsidRPr="001E2783">
        <w:rPr>
          <w:rFonts w:cs="Arial"/>
        </w:rPr>
        <w:t xml:space="preserve">ion of </w:t>
      </w:r>
      <w:r w:rsidRPr="001E2783">
        <w:rPr>
          <w:rFonts w:cs="Arial"/>
        </w:rPr>
        <w:t xml:space="preserve">requirements and design for the apparatus licensing system functionality. </w:t>
      </w:r>
    </w:p>
    <w:p w14:paraId="0F5DFB3F" w14:textId="77777777" w:rsidR="00686DA1" w:rsidRPr="001E2783" w:rsidRDefault="00686DA1" w:rsidP="00971257">
      <w:pPr>
        <w:pStyle w:val="BodysubheaderH4"/>
        <w:rPr>
          <w:rFonts w:cs="Arial"/>
        </w:rPr>
      </w:pPr>
      <w:r w:rsidRPr="001E2783">
        <w:rPr>
          <w:rFonts w:cs="Arial"/>
        </w:rPr>
        <w:t xml:space="preserve">Managing </w:t>
      </w:r>
      <w:r w:rsidR="00971257" w:rsidRPr="001E2783">
        <w:rPr>
          <w:rFonts w:cs="Arial"/>
        </w:rPr>
        <w:t>c</w:t>
      </w:r>
      <w:r w:rsidRPr="001E2783">
        <w:rPr>
          <w:rFonts w:cs="Arial"/>
        </w:rPr>
        <w:t xml:space="preserve">ases and </w:t>
      </w:r>
      <w:r w:rsidR="00971257" w:rsidRPr="001E2783">
        <w:rPr>
          <w:rFonts w:cs="Arial"/>
        </w:rPr>
        <w:t>c</w:t>
      </w:r>
      <w:r w:rsidRPr="001E2783">
        <w:rPr>
          <w:rFonts w:cs="Arial"/>
        </w:rPr>
        <w:t>omplaints</w:t>
      </w:r>
    </w:p>
    <w:p w14:paraId="237C5C81" w14:textId="77777777" w:rsidR="008D2BB5" w:rsidRPr="001E2783" w:rsidRDefault="008D2BB5" w:rsidP="008D2BB5">
      <w:pPr>
        <w:spacing w:after="80"/>
        <w:rPr>
          <w:rFonts w:cs="Arial"/>
        </w:rPr>
      </w:pPr>
      <w:r w:rsidRPr="001E2783">
        <w:rPr>
          <w:rFonts w:cs="Arial"/>
        </w:rPr>
        <w:t>The ACMA has now established the basis for standardised case management tools across the agency. This includes:</w:t>
      </w:r>
    </w:p>
    <w:p w14:paraId="74F598AD" w14:textId="77777777" w:rsidR="008D2BB5" w:rsidRPr="001E2783" w:rsidRDefault="008D2BB5" w:rsidP="008D2BB5">
      <w:pPr>
        <w:pStyle w:val="ListBullet"/>
        <w:rPr>
          <w:rFonts w:cs="Arial"/>
        </w:rPr>
      </w:pPr>
      <w:r w:rsidRPr="001E2783">
        <w:rPr>
          <w:rFonts w:cs="Arial"/>
        </w:rPr>
        <w:t xml:space="preserve">implementing the infrastructure, architecture and build of the ACMA’s new generation eBusiness portal </w:t>
      </w:r>
    </w:p>
    <w:p w14:paraId="0CEF208F" w14:textId="77777777" w:rsidR="008D2BB5" w:rsidRPr="001E2783" w:rsidRDefault="008D2BB5" w:rsidP="008D2BB5">
      <w:pPr>
        <w:pStyle w:val="ListBullet"/>
        <w:rPr>
          <w:rFonts w:cs="Arial"/>
        </w:rPr>
      </w:pPr>
      <w:r w:rsidRPr="001E2783">
        <w:rPr>
          <w:rFonts w:cs="Arial"/>
        </w:rPr>
        <w:t xml:space="preserve">extending the eBusiness solution to deliver compliance reporting and monitoring systems for regional radio and broadcaster captioning compliance </w:t>
      </w:r>
    </w:p>
    <w:p w14:paraId="4CC0BD3B" w14:textId="77777777" w:rsidR="008D2BB5" w:rsidRPr="001E2783" w:rsidRDefault="008D2BB5" w:rsidP="008D2BB5">
      <w:pPr>
        <w:pStyle w:val="ListBullet"/>
        <w:rPr>
          <w:rFonts w:cs="Arial"/>
        </w:rPr>
      </w:pPr>
      <w:r w:rsidRPr="001E2783">
        <w:rPr>
          <w:rFonts w:cs="Arial"/>
        </w:rPr>
        <w:t>extending the end-to-end case management and CRM system to facilitate the creation and operational support of an ACMA Customer Service Centre</w:t>
      </w:r>
    </w:p>
    <w:p w14:paraId="19284B84" w14:textId="77777777" w:rsidR="008D2BB5" w:rsidRPr="001E2783" w:rsidRDefault="008D2BB5" w:rsidP="008D2BB5">
      <w:pPr>
        <w:pStyle w:val="ListBullet"/>
        <w:rPr>
          <w:rFonts w:cs="Arial"/>
        </w:rPr>
      </w:pPr>
      <w:r w:rsidRPr="001E2783">
        <w:rPr>
          <w:rFonts w:cs="Arial"/>
        </w:rPr>
        <w:t>deliver</w:t>
      </w:r>
      <w:r w:rsidR="00B82BA0" w:rsidRPr="001E2783">
        <w:rPr>
          <w:rFonts w:cs="Arial"/>
        </w:rPr>
        <w:t>ing</w:t>
      </w:r>
      <w:r w:rsidRPr="001E2783">
        <w:rPr>
          <w:rFonts w:cs="Arial"/>
        </w:rPr>
        <w:t xml:space="preserve"> a new e</w:t>
      </w:r>
      <w:r w:rsidR="00B82BA0" w:rsidRPr="001E2783">
        <w:rPr>
          <w:rFonts w:cs="Arial"/>
        </w:rPr>
        <w:t>-</w:t>
      </w:r>
      <w:r w:rsidRPr="001E2783">
        <w:rPr>
          <w:rFonts w:cs="Arial"/>
        </w:rPr>
        <w:t>Forms solution that facilitates the capture, analysis and submission of electronic data from customers, industry and citizen</w:t>
      </w:r>
      <w:r w:rsidR="00DA54CE" w:rsidRPr="001E2783">
        <w:rPr>
          <w:rFonts w:cs="Arial"/>
        </w:rPr>
        <w:t>s</w:t>
      </w:r>
      <w:r w:rsidRPr="001E2783">
        <w:rPr>
          <w:rFonts w:cs="Arial"/>
        </w:rPr>
        <w:t xml:space="preserve"> alike</w:t>
      </w:r>
    </w:p>
    <w:p w14:paraId="39E5BA94" w14:textId="77777777" w:rsidR="008D2BB5" w:rsidRPr="001E2783" w:rsidRDefault="008D2BB5" w:rsidP="008D2BB5">
      <w:pPr>
        <w:pStyle w:val="ListBullet"/>
        <w:rPr>
          <w:rFonts w:cs="Arial"/>
        </w:rPr>
      </w:pPr>
      <w:r w:rsidRPr="001E2783">
        <w:rPr>
          <w:rFonts w:cs="Arial"/>
        </w:rPr>
        <w:t>delivering an integrated end-to-end case management system for anti-spam complaints and investigations</w:t>
      </w:r>
    </w:p>
    <w:p w14:paraId="3D339F60" w14:textId="77777777" w:rsidR="008D2BB5" w:rsidRPr="001E2783" w:rsidRDefault="008D2BB5" w:rsidP="008D2BB5">
      <w:pPr>
        <w:pStyle w:val="ListBullet"/>
        <w:rPr>
          <w:rFonts w:cs="Arial"/>
        </w:rPr>
      </w:pPr>
      <w:r w:rsidRPr="001E2783">
        <w:rPr>
          <w:rFonts w:cs="Arial"/>
        </w:rPr>
        <w:t xml:space="preserve">preparing for a replacement </w:t>
      </w:r>
      <w:r w:rsidR="00B82BA0" w:rsidRPr="001E2783">
        <w:rPr>
          <w:rFonts w:cs="Arial"/>
        </w:rPr>
        <w:t>compliance and field operations investigation system</w:t>
      </w:r>
    </w:p>
    <w:p w14:paraId="0075F707" w14:textId="77777777" w:rsidR="008D2BB5" w:rsidRPr="001E2783" w:rsidRDefault="008D2BB5" w:rsidP="008D2BB5">
      <w:pPr>
        <w:pStyle w:val="ListBullet"/>
        <w:spacing w:after="240"/>
        <w:rPr>
          <w:rFonts w:cs="Arial"/>
        </w:rPr>
      </w:pPr>
      <w:r w:rsidRPr="001E2783">
        <w:rPr>
          <w:rFonts w:cs="Arial"/>
        </w:rPr>
        <w:t>realising the full benefits of the standardised case management platform for internet and gambling complaints, enabling the equivalent of what was previously a year’s worth of work to be undertaken every month.</w:t>
      </w:r>
    </w:p>
    <w:p w14:paraId="48927027" w14:textId="77777777" w:rsidR="00686DA1" w:rsidRPr="001E2783" w:rsidRDefault="00971257" w:rsidP="00971257">
      <w:pPr>
        <w:pStyle w:val="BodysubheaderH4"/>
        <w:rPr>
          <w:rFonts w:cs="Arial"/>
        </w:rPr>
      </w:pPr>
      <w:r w:rsidRPr="001E2783">
        <w:rPr>
          <w:rFonts w:cs="Arial"/>
        </w:rPr>
        <w:t>eBusiness and Gov 2.0 e</w:t>
      </w:r>
      <w:r w:rsidR="00686DA1" w:rsidRPr="001E2783">
        <w:rPr>
          <w:rFonts w:cs="Arial"/>
        </w:rPr>
        <w:t>ngagement</w:t>
      </w:r>
    </w:p>
    <w:p w14:paraId="34E5733E" w14:textId="77777777" w:rsidR="008D2BB5" w:rsidRPr="001E2783" w:rsidRDefault="008D2BB5" w:rsidP="009078D7">
      <w:pPr>
        <w:keepNext/>
        <w:spacing w:after="80"/>
        <w:rPr>
          <w:rFonts w:cs="Arial"/>
        </w:rPr>
      </w:pPr>
      <w:r w:rsidRPr="001E2783">
        <w:rPr>
          <w:rFonts w:cs="Arial"/>
        </w:rPr>
        <w:t>The ACMA has made advances in systems designed to facilitate interaction with external audiences, particularly consumers and industry. This includes:</w:t>
      </w:r>
    </w:p>
    <w:p w14:paraId="6182E61E" w14:textId="77777777" w:rsidR="008D2BB5" w:rsidRPr="001E2783" w:rsidRDefault="008D2BB5" w:rsidP="008D2BB5">
      <w:pPr>
        <w:pStyle w:val="ListBullet"/>
        <w:rPr>
          <w:rFonts w:cs="Arial"/>
        </w:rPr>
      </w:pPr>
      <w:r w:rsidRPr="001E2783">
        <w:rPr>
          <w:rFonts w:cs="Arial"/>
        </w:rPr>
        <w:t>expanded use of eBusiness user authentication</w:t>
      </w:r>
      <w:r w:rsidR="001869AE" w:rsidRPr="001E2783">
        <w:rPr>
          <w:rFonts w:cs="Arial"/>
        </w:rPr>
        <w:t>,</w:t>
      </w:r>
      <w:r w:rsidRPr="001E2783">
        <w:rPr>
          <w:rFonts w:cs="Arial"/>
        </w:rPr>
        <w:t xml:space="preserve"> with a two-fold increase of eBusiness systems provided by the ACMA that use the standard government AUSkey solution.</w:t>
      </w:r>
    </w:p>
    <w:p w14:paraId="75C2E982" w14:textId="77777777" w:rsidR="008D2BB5" w:rsidRPr="001E2783" w:rsidRDefault="008D2BB5" w:rsidP="008D2BB5">
      <w:pPr>
        <w:pStyle w:val="ListBullet"/>
        <w:spacing w:after="240"/>
        <w:rPr>
          <w:rFonts w:cs="Arial"/>
        </w:rPr>
      </w:pPr>
      <w:r w:rsidRPr="001E2783">
        <w:rPr>
          <w:rFonts w:cs="Arial"/>
        </w:rPr>
        <w:t>continued evolution of the ACMA website</w:t>
      </w:r>
      <w:r w:rsidR="001869AE" w:rsidRPr="001E2783">
        <w:rPr>
          <w:rFonts w:cs="Arial"/>
        </w:rPr>
        <w:t>,</w:t>
      </w:r>
      <w:r w:rsidRPr="001E2783">
        <w:rPr>
          <w:rFonts w:cs="Arial"/>
        </w:rPr>
        <w:t xml:space="preserve"> with a new homepage design and trial use of an interactive online tool to facilitate G2B</w:t>
      </w:r>
      <w:r w:rsidR="00DA54CE" w:rsidRPr="001E2783">
        <w:rPr>
          <w:rFonts w:cs="Arial"/>
        </w:rPr>
        <w:t xml:space="preserve"> (government to business)</w:t>
      </w:r>
      <w:r w:rsidRPr="001E2783">
        <w:rPr>
          <w:rFonts w:cs="Arial"/>
        </w:rPr>
        <w:t xml:space="preserve"> and G2C </w:t>
      </w:r>
      <w:r w:rsidR="00DA54CE" w:rsidRPr="001E2783">
        <w:rPr>
          <w:rFonts w:cs="Arial"/>
        </w:rPr>
        <w:t xml:space="preserve">(government to consumer) </w:t>
      </w:r>
      <w:r w:rsidRPr="001E2783">
        <w:rPr>
          <w:rFonts w:cs="Arial"/>
        </w:rPr>
        <w:t>consultations.</w:t>
      </w:r>
    </w:p>
    <w:p w14:paraId="51850D8C" w14:textId="77777777" w:rsidR="00686DA1" w:rsidRPr="001E2783" w:rsidRDefault="00686DA1" w:rsidP="00971257">
      <w:pPr>
        <w:pStyle w:val="BodysubheaderH4"/>
        <w:rPr>
          <w:rFonts w:cs="Arial"/>
        </w:rPr>
      </w:pPr>
      <w:r w:rsidRPr="001E2783">
        <w:rPr>
          <w:rFonts w:cs="Arial"/>
        </w:rPr>
        <w:t xml:space="preserve">Information </w:t>
      </w:r>
      <w:r w:rsidR="00971257" w:rsidRPr="001E2783">
        <w:rPr>
          <w:rFonts w:cs="Arial"/>
        </w:rPr>
        <w:t>m</w:t>
      </w:r>
      <w:r w:rsidRPr="001E2783">
        <w:rPr>
          <w:rFonts w:cs="Arial"/>
        </w:rPr>
        <w:t xml:space="preserve">anagement and </w:t>
      </w:r>
      <w:r w:rsidR="00971257" w:rsidRPr="001E2783">
        <w:rPr>
          <w:rFonts w:cs="Arial"/>
        </w:rPr>
        <w:t>s</w:t>
      </w:r>
      <w:r w:rsidRPr="001E2783">
        <w:rPr>
          <w:rFonts w:cs="Arial"/>
        </w:rPr>
        <w:t xml:space="preserve">taff </w:t>
      </w:r>
      <w:r w:rsidR="00971257" w:rsidRPr="001E2783">
        <w:rPr>
          <w:rFonts w:cs="Arial"/>
        </w:rPr>
        <w:t>p</w:t>
      </w:r>
      <w:r w:rsidRPr="001E2783">
        <w:rPr>
          <w:rFonts w:cs="Arial"/>
        </w:rPr>
        <w:t>roductivity</w:t>
      </w:r>
    </w:p>
    <w:p w14:paraId="78658E4B" w14:textId="77777777" w:rsidR="008D2BB5" w:rsidRPr="001E2783" w:rsidRDefault="008D2BB5" w:rsidP="008D2BB5">
      <w:pPr>
        <w:spacing w:after="80"/>
        <w:rPr>
          <w:rFonts w:cs="Arial"/>
        </w:rPr>
      </w:pPr>
      <w:r w:rsidRPr="001E2783">
        <w:rPr>
          <w:rFonts w:cs="Arial"/>
        </w:rPr>
        <w:t xml:space="preserve">During the reporting period, the ACMA continued to modernise and improve the way it handles information. This included: </w:t>
      </w:r>
    </w:p>
    <w:p w14:paraId="6B10DCAA" w14:textId="77777777" w:rsidR="008D2BB5" w:rsidRPr="001E2783" w:rsidRDefault="008D2BB5" w:rsidP="008D2BB5">
      <w:pPr>
        <w:pStyle w:val="ListBullet"/>
        <w:rPr>
          <w:rFonts w:cs="Arial"/>
        </w:rPr>
      </w:pPr>
      <w:r w:rsidRPr="001E2783">
        <w:rPr>
          <w:rFonts w:cs="Arial"/>
        </w:rPr>
        <w:t>improved records compliance and the transition to a new single records management platform</w:t>
      </w:r>
    </w:p>
    <w:p w14:paraId="00EE44B2" w14:textId="77777777" w:rsidR="008D2BB5" w:rsidRPr="001E2783" w:rsidRDefault="008D2BB5" w:rsidP="008D2BB5">
      <w:pPr>
        <w:pStyle w:val="ListBullet"/>
        <w:rPr>
          <w:rFonts w:cs="Arial"/>
        </w:rPr>
      </w:pPr>
      <w:r w:rsidRPr="001E2783">
        <w:rPr>
          <w:rFonts w:cs="Arial"/>
        </w:rPr>
        <w:t>incremental advances in user-managed intranet collaboration tools</w:t>
      </w:r>
    </w:p>
    <w:p w14:paraId="4FCE1989" w14:textId="77777777" w:rsidR="008D2BB5" w:rsidRPr="001E2783" w:rsidRDefault="008D2BB5" w:rsidP="001869AE">
      <w:pPr>
        <w:pStyle w:val="ListBullet"/>
        <w:spacing w:after="240"/>
        <w:rPr>
          <w:rFonts w:cs="Arial"/>
        </w:rPr>
      </w:pPr>
      <w:r w:rsidRPr="001E2783">
        <w:rPr>
          <w:rFonts w:cs="Arial"/>
        </w:rPr>
        <w:t>the integration of records management with case management systems</w:t>
      </w:r>
      <w:r w:rsidR="001869AE" w:rsidRPr="001E2783">
        <w:rPr>
          <w:rFonts w:cs="Arial"/>
        </w:rPr>
        <w:t>.</w:t>
      </w:r>
    </w:p>
    <w:p w14:paraId="30B67171" w14:textId="77777777" w:rsidR="00686DA1" w:rsidRPr="001E2783" w:rsidRDefault="00686DA1" w:rsidP="00971257">
      <w:pPr>
        <w:pStyle w:val="BodysubheaderH4"/>
        <w:rPr>
          <w:rFonts w:cs="Arial"/>
        </w:rPr>
      </w:pPr>
      <w:r w:rsidRPr="001E2783">
        <w:rPr>
          <w:rFonts w:cs="Arial"/>
        </w:rPr>
        <w:t xml:space="preserve">Technology, </w:t>
      </w:r>
      <w:r w:rsidR="00971257" w:rsidRPr="001E2783">
        <w:rPr>
          <w:rFonts w:cs="Arial"/>
        </w:rPr>
        <w:t>p</w:t>
      </w:r>
      <w:r w:rsidRPr="001E2783">
        <w:rPr>
          <w:rFonts w:cs="Arial"/>
        </w:rPr>
        <w:t xml:space="preserve">ractices and </w:t>
      </w:r>
      <w:r w:rsidR="00971257" w:rsidRPr="001E2783">
        <w:rPr>
          <w:rFonts w:cs="Arial"/>
        </w:rPr>
        <w:t>a</w:t>
      </w:r>
      <w:r w:rsidRPr="001E2783">
        <w:rPr>
          <w:rFonts w:cs="Arial"/>
        </w:rPr>
        <w:t>rchitecture</w:t>
      </w:r>
    </w:p>
    <w:p w14:paraId="622AC4BB" w14:textId="77777777" w:rsidR="008D2BB5" w:rsidRPr="001E2783" w:rsidRDefault="008D2BB5" w:rsidP="008D2BB5">
      <w:pPr>
        <w:spacing w:after="80"/>
        <w:rPr>
          <w:rFonts w:cs="Arial"/>
        </w:rPr>
      </w:pPr>
      <w:bookmarkStart w:id="309" w:name="_Toc264884820"/>
      <w:bookmarkStart w:id="310" w:name="_Toc297623591"/>
      <w:bookmarkStart w:id="311" w:name="_Toc337727663"/>
      <w:r w:rsidRPr="001E2783">
        <w:rPr>
          <w:rFonts w:cs="Arial"/>
        </w:rPr>
        <w:t>Achievements during 2013–14 included the ongoing development of infrastructure and architecture to improve the cost, reliability and agility of ACMA systems. For example:</w:t>
      </w:r>
    </w:p>
    <w:p w14:paraId="1DCA1B1E" w14:textId="77777777" w:rsidR="008D2BB5" w:rsidRPr="001E2783" w:rsidRDefault="008D2BB5" w:rsidP="008D2BB5">
      <w:pPr>
        <w:pStyle w:val="ListBullet"/>
        <w:rPr>
          <w:rFonts w:cs="Arial"/>
        </w:rPr>
      </w:pPr>
      <w:r w:rsidRPr="001E2783">
        <w:rPr>
          <w:rFonts w:cs="Arial"/>
        </w:rPr>
        <w:t>successfully managing the relocation of phones and desktops as part of the Canberra and Melbourne office moves</w:t>
      </w:r>
    </w:p>
    <w:p w14:paraId="6D7F17ED" w14:textId="77777777" w:rsidR="008D2BB5" w:rsidRPr="001E2783" w:rsidRDefault="008D2BB5" w:rsidP="008D2BB5">
      <w:pPr>
        <w:pStyle w:val="ListBullet"/>
        <w:rPr>
          <w:rFonts w:cs="Arial"/>
        </w:rPr>
      </w:pPr>
      <w:r w:rsidRPr="001E2783">
        <w:rPr>
          <w:rFonts w:cs="Arial"/>
        </w:rPr>
        <w:t>relocating the ACMA’s server and communications infrastructure to the new Canberra premises</w:t>
      </w:r>
    </w:p>
    <w:p w14:paraId="3FC5CA9F" w14:textId="77777777" w:rsidR="008D2BB5" w:rsidRPr="001E2783" w:rsidRDefault="008D2BB5" w:rsidP="008D2BB5">
      <w:pPr>
        <w:pStyle w:val="ListBullet"/>
        <w:rPr>
          <w:rFonts w:cs="Arial"/>
        </w:rPr>
      </w:pPr>
      <w:r w:rsidRPr="001E2783">
        <w:rPr>
          <w:rFonts w:cs="Arial"/>
        </w:rPr>
        <w:t>deploying new PCs to all staff</w:t>
      </w:r>
      <w:r w:rsidR="00DA54CE" w:rsidRPr="001E2783">
        <w:rPr>
          <w:rFonts w:cs="Arial"/>
        </w:rPr>
        <w:t xml:space="preserve"> that comply with the ASD Top Four Mitigation Strategies and align with the Whole-of-Government Common Operating Environment (COE) standards. </w:t>
      </w:r>
      <w:r w:rsidRPr="001E2783">
        <w:rPr>
          <w:rFonts w:cs="Arial"/>
        </w:rPr>
        <w:t>The new PCs are also significantly faster, quieter and compl</w:t>
      </w:r>
      <w:r w:rsidR="001869AE" w:rsidRPr="001E2783">
        <w:rPr>
          <w:rFonts w:cs="Arial"/>
        </w:rPr>
        <w:t>y</w:t>
      </w:r>
      <w:r w:rsidRPr="001E2783">
        <w:rPr>
          <w:rFonts w:cs="Arial"/>
        </w:rPr>
        <w:t xml:space="preserve"> with green initiatives to reduce the cost and environmental impact of IT</w:t>
      </w:r>
    </w:p>
    <w:p w14:paraId="21FB026A" w14:textId="77777777" w:rsidR="008D2BB5" w:rsidRPr="001E2783" w:rsidRDefault="008D2BB5" w:rsidP="008D2BB5">
      <w:pPr>
        <w:pStyle w:val="ListBullet"/>
        <w:rPr>
          <w:rFonts w:cs="Arial"/>
        </w:rPr>
      </w:pPr>
      <w:r w:rsidRPr="001E2783">
        <w:rPr>
          <w:rFonts w:cs="Arial"/>
        </w:rPr>
        <w:t>upgrading communications links between ACMA offices</w:t>
      </w:r>
      <w:r w:rsidR="003A6894" w:rsidRPr="001E2783">
        <w:rPr>
          <w:rFonts w:cs="Arial"/>
        </w:rPr>
        <w:t xml:space="preserve"> to enable greater use of video</w:t>
      </w:r>
      <w:r w:rsidRPr="001E2783">
        <w:rPr>
          <w:rFonts w:cs="Arial"/>
        </w:rPr>
        <w:t xml:space="preserve">conferencing and other collaboration tools </w:t>
      </w:r>
    </w:p>
    <w:p w14:paraId="35986F61" w14:textId="77777777" w:rsidR="008D2BB5" w:rsidRPr="001E2783" w:rsidRDefault="008D2BB5" w:rsidP="001869AE">
      <w:pPr>
        <w:pStyle w:val="ListBullet"/>
        <w:spacing w:after="240"/>
        <w:rPr>
          <w:rFonts w:cs="Arial"/>
        </w:rPr>
      </w:pPr>
      <w:r w:rsidRPr="001E2783">
        <w:rPr>
          <w:rFonts w:cs="Arial"/>
        </w:rPr>
        <w:t>evolving service-oriented applications architecture to integrate processes and data across enterprise systems.</w:t>
      </w:r>
    </w:p>
    <w:tbl>
      <w:tblPr>
        <w:tblW w:w="9645" w:type="dxa"/>
        <w:tblInd w:w="28" w:type="dxa"/>
        <w:shd w:val="clear" w:color="auto" w:fill="F2F2F2" w:themeFill="background1" w:themeFillShade="F2"/>
        <w:tblLayout w:type="fixed"/>
        <w:tblCellMar>
          <w:left w:w="0" w:type="dxa"/>
          <w:right w:w="0" w:type="dxa"/>
        </w:tblCellMar>
        <w:tblLook w:val="01E0" w:firstRow="1" w:lastRow="1" w:firstColumn="1" w:lastColumn="1" w:noHBand="0" w:noVBand="0"/>
      </w:tblPr>
      <w:tblGrid>
        <w:gridCol w:w="9645"/>
      </w:tblGrid>
      <w:tr w:rsidR="001E2783" w:rsidRPr="001E2783" w14:paraId="2C9190F0" w14:textId="77777777" w:rsidTr="006F4EBA">
        <w:trPr>
          <w:trHeight w:val="3086"/>
        </w:trPr>
        <w:tc>
          <w:tcPr>
            <w:tcW w:w="9645" w:type="dxa"/>
            <w:shd w:val="clear" w:color="auto" w:fill="F2F2F2" w:themeFill="background1" w:themeFillShade="F2"/>
            <w:tcMar>
              <w:left w:w="28" w:type="dxa"/>
            </w:tcMar>
          </w:tcPr>
          <w:p w14:paraId="33F5B208" w14:textId="77777777" w:rsidR="006F4EBA" w:rsidRPr="001E2783" w:rsidRDefault="006F4EBA" w:rsidP="006F4EBA">
            <w:pPr>
              <w:pStyle w:val="Caption"/>
              <w:keepNext/>
              <w:pBdr>
                <w:top w:val="single" w:sz="4" w:space="1" w:color="auto"/>
              </w:pBdr>
              <w:rPr>
                <w:rFonts w:ascii="Arial" w:hAnsi="Arial" w:cs="Arial"/>
                <w:color w:val="auto"/>
              </w:rPr>
            </w:pPr>
            <w:r w:rsidRPr="001E2783">
              <w:rPr>
                <w:rFonts w:ascii="Arial" w:hAnsi="Arial" w:cs="Arial"/>
                <w:color w:val="auto"/>
              </w:rPr>
              <w:t>Case study</w:t>
            </w:r>
          </w:p>
          <w:p w14:paraId="73BBB5EB" w14:textId="77777777" w:rsidR="006F4EBA" w:rsidRPr="001E2783" w:rsidRDefault="006F4EBA" w:rsidP="006F4EBA">
            <w:pPr>
              <w:pStyle w:val="Caption"/>
              <w:keepNext/>
              <w:spacing w:after="120"/>
              <w:rPr>
                <w:rFonts w:ascii="Arial" w:hAnsi="Arial" w:cs="Arial"/>
                <w:color w:val="auto"/>
              </w:rPr>
            </w:pPr>
            <w:r w:rsidRPr="001E2783">
              <w:rPr>
                <w:rFonts w:ascii="Arial" w:hAnsi="Arial" w:cs="Arial"/>
                <w:color w:val="auto"/>
              </w:rPr>
              <w:t>Customer Service Centre</w:t>
            </w:r>
          </w:p>
          <w:p w14:paraId="4E0BFFBD" w14:textId="77777777" w:rsidR="00E00F7B" w:rsidRPr="001E2783" w:rsidRDefault="006F4EBA" w:rsidP="006F4EBA">
            <w:pPr>
              <w:rPr>
                <w:rFonts w:cs="Arial"/>
                <w:szCs w:val="20"/>
              </w:rPr>
            </w:pPr>
            <w:r w:rsidRPr="001E2783">
              <w:rPr>
                <w:rFonts w:cs="Arial"/>
                <w:szCs w:val="20"/>
              </w:rPr>
              <w:t>In 2013–14, the ACMA set out to transform the way it interacts with its customers</w:t>
            </w:r>
            <w:r w:rsidR="00167696" w:rsidRPr="001E2783">
              <w:rPr>
                <w:rFonts w:cs="Arial"/>
                <w:szCs w:val="20"/>
              </w:rPr>
              <w:t xml:space="preserve">. In a new approach to customer service and client management, it created </w:t>
            </w:r>
            <w:r w:rsidRPr="001E2783">
              <w:rPr>
                <w:rFonts w:cs="Arial"/>
                <w:szCs w:val="20"/>
              </w:rPr>
              <w:t xml:space="preserve">a Customer Service Centre within its Communications Infrastructure Division (CID). </w:t>
            </w:r>
          </w:p>
          <w:p w14:paraId="7C6D2F16" w14:textId="77777777" w:rsidR="00E00F7B" w:rsidRPr="001E2783" w:rsidRDefault="00E00F7B" w:rsidP="006F4EBA">
            <w:pPr>
              <w:rPr>
                <w:rFonts w:cs="Arial"/>
                <w:szCs w:val="20"/>
              </w:rPr>
            </w:pPr>
          </w:p>
          <w:p w14:paraId="033EF07C" w14:textId="3D5EE468" w:rsidR="006F4EBA" w:rsidRPr="001E2783" w:rsidRDefault="006F4EBA" w:rsidP="006F4EBA">
            <w:pPr>
              <w:rPr>
                <w:rFonts w:cs="Arial"/>
                <w:szCs w:val="20"/>
              </w:rPr>
            </w:pPr>
            <w:r w:rsidRPr="001E2783">
              <w:rPr>
                <w:rFonts w:cs="Arial"/>
                <w:szCs w:val="20"/>
              </w:rPr>
              <w:t xml:space="preserve">CID is the largest division in the ACMA—it provides a wide range of products and services, and has a significant customer service focus. </w:t>
            </w:r>
          </w:p>
          <w:p w14:paraId="209C7F1E" w14:textId="77777777" w:rsidR="006F4EBA" w:rsidRPr="001E2783" w:rsidRDefault="006F4EBA" w:rsidP="006F4EBA">
            <w:pPr>
              <w:rPr>
                <w:rFonts w:cs="Arial"/>
                <w:szCs w:val="20"/>
              </w:rPr>
            </w:pPr>
          </w:p>
          <w:p w14:paraId="2EC572F9" w14:textId="77777777" w:rsidR="006F4EBA" w:rsidRPr="001E2783" w:rsidRDefault="006F4EBA" w:rsidP="006F4EBA">
            <w:pPr>
              <w:rPr>
                <w:rFonts w:cs="Arial"/>
                <w:szCs w:val="20"/>
              </w:rPr>
            </w:pPr>
            <w:r w:rsidRPr="001E2783">
              <w:rPr>
                <w:rFonts w:cs="Arial"/>
                <w:szCs w:val="20"/>
              </w:rPr>
              <w:t xml:space="preserve">Previously, customers had more than 100 options for contacting the ACMA. Feedback and experience confirmed that having such a wide choice made it more difficult for a customer to find the right person the first time. These pathways were consolidated into the Customer Service Centre. </w:t>
            </w:r>
          </w:p>
          <w:p w14:paraId="67D89977" w14:textId="77777777" w:rsidR="006F4EBA" w:rsidRPr="001E2783" w:rsidRDefault="006F4EBA" w:rsidP="006F4EBA">
            <w:pPr>
              <w:rPr>
                <w:rFonts w:cs="Arial"/>
                <w:szCs w:val="20"/>
              </w:rPr>
            </w:pPr>
          </w:p>
          <w:p w14:paraId="25D6D908" w14:textId="77777777" w:rsidR="00E00F7B" w:rsidRPr="001E2783" w:rsidRDefault="006F4EBA" w:rsidP="00E00F7B">
            <w:pPr>
              <w:rPr>
                <w:rFonts w:cs="Arial"/>
                <w:szCs w:val="20"/>
              </w:rPr>
            </w:pPr>
            <w:r w:rsidRPr="001E2783">
              <w:rPr>
                <w:rFonts w:cs="Arial"/>
                <w:szCs w:val="20"/>
              </w:rPr>
              <w:t>The centre began operating</w:t>
            </w:r>
            <w:r w:rsidR="000A4DFF" w:rsidRPr="001E2783">
              <w:rPr>
                <w:rFonts w:cs="Arial"/>
                <w:szCs w:val="20"/>
              </w:rPr>
              <w:t xml:space="preserve"> on 3 </w:t>
            </w:r>
            <w:r w:rsidRPr="001E2783">
              <w:rPr>
                <w:rFonts w:cs="Arial"/>
                <w:szCs w:val="20"/>
              </w:rPr>
              <w:t>March 2014, offering a single phone number—</w:t>
            </w:r>
            <w:r w:rsidR="000A4DFF" w:rsidRPr="001E2783">
              <w:rPr>
                <w:rFonts w:cs="Arial"/>
                <w:szCs w:val="20"/>
              </w:rPr>
              <w:t>1300 850 </w:t>
            </w:r>
            <w:r w:rsidRPr="001E2783">
              <w:rPr>
                <w:rFonts w:cs="Arial"/>
                <w:szCs w:val="20"/>
              </w:rPr>
              <w:t xml:space="preserve">115—and email address—info@acma.gov.au. </w:t>
            </w:r>
          </w:p>
          <w:p w14:paraId="3E9DFD52" w14:textId="77777777" w:rsidR="00E00F7B" w:rsidRPr="001E2783" w:rsidRDefault="00E00F7B" w:rsidP="00E00F7B">
            <w:pPr>
              <w:rPr>
                <w:rFonts w:cs="Arial"/>
                <w:szCs w:val="20"/>
              </w:rPr>
            </w:pPr>
          </w:p>
          <w:p w14:paraId="7B84505B" w14:textId="3E50D8E7" w:rsidR="00B82BA0" w:rsidRPr="001E2783" w:rsidRDefault="006F4EBA" w:rsidP="00B82BA0">
            <w:pPr>
              <w:spacing w:after="80"/>
              <w:rPr>
                <w:rFonts w:cs="Arial"/>
                <w:szCs w:val="20"/>
              </w:rPr>
            </w:pPr>
            <w:r w:rsidRPr="001E2783">
              <w:rPr>
                <w:rFonts w:cs="Arial"/>
                <w:szCs w:val="20"/>
              </w:rPr>
              <w:t>It provides a seamless single point of contact for customers seeking information, advice or services from CID. This can include</w:t>
            </w:r>
            <w:r w:rsidR="00B82BA0" w:rsidRPr="001E2783">
              <w:rPr>
                <w:rFonts w:cs="Arial"/>
                <w:szCs w:val="20"/>
              </w:rPr>
              <w:t>:</w:t>
            </w:r>
          </w:p>
          <w:p w14:paraId="1E0BA301" w14:textId="77777777" w:rsidR="00B82BA0" w:rsidRPr="001E2783" w:rsidRDefault="006F4EBA" w:rsidP="00B82BA0">
            <w:pPr>
              <w:pStyle w:val="ListBullet"/>
              <w:rPr>
                <w:rFonts w:cs="Arial"/>
                <w:lang w:val="en-US"/>
              </w:rPr>
            </w:pPr>
            <w:r w:rsidRPr="001E2783">
              <w:rPr>
                <w:rFonts w:cs="Arial"/>
              </w:rPr>
              <w:t xml:space="preserve">applying for </w:t>
            </w:r>
            <w:r w:rsidRPr="001E2783">
              <w:rPr>
                <w:rFonts w:cs="Arial"/>
                <w:lang w:val="en-US"/>
              </w:rPr>
              <w:t>a licence</w:t>
            </w:r>
          </w:p>
          <w:p w14:paraId="3F791F3A" w14:textId="77777777" w:rsidR="00B82BA0" w:rsidRPr="001E2783" w:rsidRDefault="006F4EBA" w:rsidP="00B82BA0">
            <w:pPr>
              <w:pStyle w:val="ListBullet"/>
              <w:rPr>
                <w:rFonts w:cs="Arial"/>
                <w:lang w:val="en-US"/>
              </w:rPr>
            </w:pPr>
            <w:r w:rsidRPr="001E2783">
              <w:rPr>
                <w:rFonts w:cs="Arial"/>
                <w:lang w:val="en-US"/>
              </w:rPr>
              <w:t>reporting interference to radiocommunications services or television or radio reception</w:t>
            </w:r>
          </w:p>
          <w:p w14:paraId="24AFC0F3" w14:textId="77777777" w:rsidR="00B82BA0" w:rsidRPr="001E2783" w:rsidRDefault="006F4EBA" w:rsidP="00B82BA0">
            <w:pPr>
              <w:pStyle w:val="ListBullet"/>
              <w:rPr>
                <w:rFonts w:cs="Arial"/>
                <w:lang w:val="en-US"/>
              </w:rPr>
            </w:pPr>
            <w:r w:rsidRPr="001E2783">
              <w:rPr>
                <w:rFonts w:cs="Arial"/>
                <w:lang w:val="en-US"/>
              </w:rPr>
              <w:t>buying a smartnumber</w:t>
            </w:r>
          </w:p>
          <w:p w14:paraId="0589EBB2" w14:textId="77777777" w:rsidR="006F4EBA" w:rsidRPr="001E2783" w:rsidRDefault="006F4EBA" w:rsidP="00B82BA0">
            <w:pPr>
              <w:pStyle w:val="ListBullet"/>
              <w:spacing w:after="240"/>
              <w:rPr>
                <w:rFonts w:cs="Arial"/>
                <w:lang w:val="en-US"/>
              </w:rPr>
            </w:pPr>
            <w:r w:rsidRPr="001E2783">
              <w:rPr>
                <w:rFonts w:cs="Arial"/>
                <w:lang w:val="en-US"/>
              </w:rPr>
              <w:t xml:space="preserve">enquiring about cabling. </w:t>
            </w:r>
          </w:p>
          <w:p w14:paraId="1723AEBC" w14:textId="77777777" w:rsidR="006F4EBA" w:rsidRPr="001E2783" w:rsidRDefault="006F4EBA" w:rsidP="006F4EBA">
            <w:pPr>
              <w:spacing w:line="240" w:lineRule="auto"/>
              <w:rPr>
                <w:rFonts w:cs="Arial"/>
                <w:szCs w:val="20"/>
                <w:lang w:val="en-US"/>
              </w:rPr>
            </w:pPr>
            <w:r w:rsidRPr="001E2783">
              <w:rPr>
                <w:rFonts w:cs="Arial"/>
                <w:szCs w:val="20"/>
                <w:lang w:val="en-US"/>
              </w:rPr>
              <w:t>Strengthening the ACMA’s knowledge base, the centre brings together staff with a strong understanding of CID’s products and services. Creating a considerable repository of the ACMA’s products and services means customers can expect an even higher quality of service.</w:t>
            </w:r>
          </w:p>
          <w:p w14:paraId="4EF31612" w14:textId="77777777" w:rsidR="006F4EBA" w:rsidRPr="001E2783" w:rsidRDefault="006F4EBA" w:rsidP="006F4EBA">
            <w:pPr>
              <w:spacing w:line="240" w:lineRule="auto"/>
              <w:rPr>
                <w:rFonts w:cs="Arial"/>
                <w:szCs w:val="20"/>
                <w:lang w:val="en-US"/>
              </w:rPr>
            </w:pPr>
          </w:p>
          <w:p w14:paraId="5EA29E15" w14:textId="77777777" w:rsidR="006F4EBA" w:rsidRPr="001E2783" w:rsidRDefault="006F4EBA" w:rsidP="006F4EBA">
            <w:pPr>
              <w:spacing w:line="240" w:lineRule="auto"/>
              <w:rPr>
                <w:rFonts w:cs="Arial"/>
                <w:szCs w:val="20"/>
              </w:rPr>
            </w:pPr>
            <w:r w:rsidRPr="001E2783">
              <w:rPr>
                <w:rFonts w:cs="Arial"/>
                <w:szCs w:val="20"/>
                <w:lang w:val="en-US"/>
              </w:rPr>
              <w:t xml:space="preserve">In the next reporting period, the ACMA will expand the scope of the centre across the organisation, creating a single point of contact for customers seeking any product or service. </w:t>
            </w:r>
          </w:p>
          <w:p w14:paraId="1F977AE6" w14:textId="77777777" w:rsidR="006F4EBA" w:rsidRPr="001E2783" w:rsidRDefault="006F4EBA" w:rsidP="006F4EBA">
            <w:pPr>
              <w:rPr>
                <w:rFonts w:cs="Arial"/>
                <w:b/>
                <w:bCs/>
              </w:rPr>
            </w:pPr>
          </w:p>
          <w:p w14:paraId="11529948" w14:textId="77777777" w:rsidR="006F4EBA" w:rsidRPr="001E2783" w:rsidRDefault="006F4EBA" w:rsidP="00B82BA0">
            <w:pPr>
              <w:spacing w:after="120"/>
              <w:rPr>
                <w:rFonts w:cs="Arial"/>
                <w:b/>
                <w:bCs/>
              </w:rPr>
            </w:pPr>
            <w:r w:rsidRPr="001E2783">
              <w:rPr>
                <w:rFonts w:cs="Arial"/>
                <w:b/>
                <w:bCs/>
              </w:rPr>
              <w:t>Centralised customer contact model</w:t>
            </w:r>
          </w:p>
          <w:p w14:paraId="28CF1CD3" w14:textId="77777777" w:rsidR="006F4EBA" w:rsidRPr="001E2783" w:rsidRDefault="007E0CEF" w:rsidP="006F4EBA">
            <w:pPr>
              <w:rPr>
                <w:rFonts w:cs="Arial"/>
              </w:rPr>
            </w:pPr>
            <w:r w:rsidRPr="001E2783">
              <w:rPr>
                <w:rFonts w:cs="Arial"/>
                <w:noProof/>
              </w:rPr>
              <w:drawing>
                <wp:inline distT="0" distB="0" distL="0" distR="0" wp14:anchorId="1F083DBC" wp14:editId="770DB64B">
                  <wp:extent cx="5890044" cy="2530474"/>
                  <wp:effectExtent l="0" t="0" r="0" b="3810"/>
                  <wp:docPr id="8" name="Picture 8" descr="Customer contact points of phone, email, web, fax, mail and other digital channels are all handled by the information centre. It is a single point of contact. Trained staff use set procedures to deal with matters as agreed by business areas. Info centre staff escalate agreed matters in line with procedures developed by the business centres." title="Centralised customer contact mod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46" cstate="print"/>
                          <a:srcRect l="896" t="4082" r="1547" b="3741"/>
                          <a:stretch>
                            <a:fillRect/>
                          </a:stretch>
                        </pic:blipFill>
                        <pic:spPr bwMode="auto">
                          <a:xfrm>
                            <a:off x="0" y="0"/>
                            <a:ext cx="5890044" cy="2530474"/>
                          </a:xfrm>
                          <a:prstGeom prst="rect">
                            <a:avLst/>
                          </a:prstGeom>
                          <a:noFill/>
                          <a:ln w="9525">
                            <a:noFill/>
                            <a:miter lim="800000"/>
                            <a:headEnd/>
                            <a:tailEnd/>
                          </a:ln>
                        </pic:spPr>
                      </pic:pic>
                    </a:graphicData>
                  </a:graphic>
                </wp:inline>
              </w:drawing>
            </w:r>
          </w:p>
        </w:tc>
      </w:tr>
      <w:tr w:rsidR="001E2783" w:rsidRPr="001E2783" w14:paraId="1CD7C458" w14:textId="77777777" w:rsidTr="006F4EBA">
        <w:trPr>
          <w:trHeight w:val="291"/>
        </w:trPr>
        <w:tc>
          <w:tcPr>
            <w:tcW w:w="9645" w:type="dxa"/>
            <w:tcBorders>
              <w:bottom w:val="single" w:sz="2" w:space="0" w:color="505050"/>
            </w:tcBorders>
            <w:shd w:val="clear" w:color="auto" w:fill="F2F2F2" w:themeFill="background1" w:themeFillShade="F2"/>
          </w:tcPr>
          <w:p w14:paraId="67720932" w14:textId="77777777" w:rsidR="006F4EBA" w:rsidRPr="001E2783" w:rsidRDefault="006F4EBA" w:rsidP="006F4EBA">
            <w:pPr>
              <w:rPr>
                <w:rFonts w:cs="Arial"/>
              </w:rPr>
            </w:pPr>
          </w:p>
        </w:tc>
      </w:tr>
    </w:tbl>
    <w:p w14:paraId="1C941D24" w14:textId="77777777" w:rsidR="006F4EBA" w:rsidRPr="001E2783" w:rsidRDefault="006F4EBA" w:rsidP="006F4EBA">
      <w:pPr>
        <w:rPr>
          <w:rFonts w:cs="Arial"/>
        </w:rPr>
      </w:pPr>
    </w:p>
    <w:p w14:paraId="792EB841" w14:textId="77777777" w:rsidR="008D2BB5" w:rsidRPr="001E2783" w:rsidRDefault="00CC119D" w:rsidP="009078D7">
      <w:pPr>
        <w:pStyle w:val="Heading2"/>
      </w:pPr>
      <w:bookmarkStart w:id="312" w:name="_Toc264884826"/>
      <w:bookmarkStart w:id="313" w:name="_Toc297623595"/>
      <w:bookmarkStart w:id="314" w:name="_Toc337727667"/>
      <w:bookmarkStart w:id="315" w:name="_Toc400018635"/>
      <w:bookmarkEnd w:id="307"/>
      <w:bookmarkEnd w:id="309"/>
      <w:bookmarkEnd w:id="310"/>
      <w:bookmarkEnd w:id="311"/>
      <w:r w:rsidRPr="001E2783">
        <w:t>Communications</w:t>
      </w:r>
      <w:bookmarkEnd w:id="312"/>
      <w:r w:rsidRPr="001E2783">
        <w:t xml:space="preserve"> and engagement</w:t>
      </w:r>
      <w:bookmarkEnd w:id="313"/>
      <w:bookmarkEnd w:id="314"/>
      <w:bookmarkEnd w:id="315"/>
    </w:p>
    <w:p w14:paraId="105F8F13" w14:textId="77777777" w:rsidR="008D2BB5" w:rsidRPr="001E2783" w:rsidRDefault="008D2BB5" w:rsidP="009078D7">
      <w:pPr>
        <w:keepNext/>
        <w:rPr>
          <w:rFonts w:cs="Arial"/>
          <w:lang w:val="en-US"/>
        </w:rPr>
      </w:pPr>
      <w:r w:rsidRPr="001E2783">
        <w:rPr>
          <w:rFonts w:cs="Arial"/>
          <w:lang w:val="en-US"/>
        </w:rPr>
        <w:t xml:space="preserve">Major engagement campaigns undertaken during the reporting period included </w:t>
      </w:r>
      <w:r w:rsidR="00A168C5" w:rsidRPr="001E2783">
        <w:rPr>
          <w:rFonts w:cs="Arial"/>
          <w:lang w:val="en-US"/>
        </w:rPr>
        <w:t xml:space="preserve">the IMR </w:t>
      </w:r>
      <w:r w:rsidRPr="001E2783">
        <w:rPr>
          <w:rFonts w:cs="Arial"/>
          <w:lang w:val="en-US"/>
        </w:rPr>
        <w:t>Standard, Mobile Network Performance Fo</w:t>
      </w:r>
      <w:r w:rsidR="00A168C5" w:rsidRPr="001E2783">
        <w:rPr>
          <w:rFonts w:cs="Arial"/>
          <w:lang w:val="en-US"/>
        </w:rPr>
        <w:t>rum, Regulatory Compliance Mark,</w:t>
      </w:r>
      <w:r w:rsidRPr="001E2783">
        <w:rPr>
          <w:rFonts w:cs="Arial"/>
          <w:lang w:val="en-US"/>
        </w:rPr>
        <w:t xml:space="preserve"> TCP Code, new frequency arrangements for wireless microphones, jamming devices and mobile broadband research. </w:t>
      </w:r>
    </w:p>
    <w:p w14:paraId="3D009050" w14:textId="77777777" w:rsidR="008D2BB5" w:rsidRPr="001E2783" w:rsidRDefault="008D2BB5" w:rsidP="008D2BB5">
      <w:pPr>
        <w:rPr>
          <w:rFonts w:cs="Arial"/>
          <w:lang w:val="en-US"/>
        </w:rPr>
      </w:pPr>
    </w:p>
    <w:p w14:paraId="59AD20AE" w14:textId="77777777" w:rsidR="008D2BB5" w:rsidRPr="001E2783" w:rsidRDefault="008D2BB5" w:rsidP="008D2BB5">
      <w:pPr>
        <w:rPr>
          <w:rFonts w:cs="Arial"/>
        </w:rPr>
      </w:pPr>
      <w:r w:rsidRPr="001E2783">
        <w:rPr>
          <w:rFonts w:cs="Arial"/>
          <w:lang w:val="en-US"/>
        </w:rPr>
        <w:t xml:space="preserve">Many of the campaign activities were run through the new ACMA website launched in May 2013. The new site has made it possible for the agency to run well-planned, low-cost engagements with rich, vibrant content targeted at relevant users in a way that was not previously </w:t>
      </w:r>
      <w:r w:rsidR="009C74D6" w:rsidRPr="001E2783">
        <w:rPr>
          <w:rFonts w:cs="Arial"/>
          <w:lang w:val="en-US"/>
        </w:rPr>
        <w:t>achievable</w:t>
      </w:r>
      <w:r w:rsidRPr="001E2783">
        <w:rPr>
          <w:rFonts w:cs="Arial"/>
          <w:lang w:val="en-US"/>
        </w:rPr>
        <w:t>.</w:t>
      </w:r>
      <w:r w:rsidR="009C74D6" w:rsidRPr="001E2783">
        <w:rPr>
          <w:rFonts w:cs="Arial"/>
          <w:lang w:val="en-US"/>
        </w:rPr>
        <w:t xml:space="preserve"> </w:t>
      </w:r>
      <w:r w:rsidRPr="001E2783">
        <w:rPr>
          <w:rFonts w:cs="Arial"/>
        </w:rPr>
        <w:t xml:space="preserve">Content and services </w:t>
      </w:r>
      <w:r w:rsidR="00A168C5" w:rsidRPr="001E2783">
        <w:rPr>
          <w:rFonts w:cs="Arial"/>
        </w:rPr>
        <w:t>are</w:t>
      </w:r>
      <w:r w:rsidRPr="001E2783">
        <w:rPr>
          <w:rFonts w:cs="Arial"/>
        </w:rPr>
        <w:t xml:space="preserve"> delivered on any device at any time, using a variety of formats from blogs, tweets and infographics to video, webcasts, we</w:t>
      </w:r>
      <w:r w:rsidR="00A168C5" w:rsidRPr="001E2783">
        <w:rPr>
          <w:rFonts w:cs="Arial"/>
        </w:rPr>
        <w:t>binars and other rich-</w:t>
      </w:r>
      <w:r w:rsidRPr="001E2783">
        <w:rPr>
          <w:rFonts w:cs="Arial"/>
        </w:rPr>
        <w:t>media presentations.</w:t>
      </w:r>
    </w:p>
    <w:p w14:paraId="61CBA852" w14:textId="77777777" w:rsidR="008D2BB5" w:rsidRPr="001E2783" w:rsidRDefault="008D2BB5" w:rsidP="008D2BB5">
      <w:pPr>
        <w:rPr>
          <w:rFonts w:cs="Arial"/>
        </w:rPr>
      </w:pPr>
    </w:p>
    <w:p w14:paraId="5D054E52" w14:textId="77777777" w:rsidR="008D2BB5" w:rsidRPr="001E2783" w:rsidRDefault="008D2BB5" w:rsidP="008D2BB5">
      <w:pPr>
        <w:pStyle w:val="Heading3"/>
      </w:pPr>
      <w:bookmarkStart w:id="316" w:name="_Toc400018636"/>
      <w:r w:rsidRPr="001E2783">
        <w:t>Social media</w:t>
      </w:r>
      <w:bookmarkEnd w:id="316"/>
    </w:p>
    <w:p w14:paraId="2F9A7549" w14:textId="77777777" w:rsidR="008D2BB5" w:rsidRPr="001E2783" w:rsidRDefault="008D2BB5" w:rsidP="008D2BB5">
      <w:pPr>
        <w:rPr>
          <w:rFonts w:cs="Arial"/>
        </w:rPr>
      </w:pPr>
      <w:r w:rsidRPr="001E2783">
        <w:rPr>
          <w:rFonts w:cs="Arial"/>
        </w:rPr>
        <w:t>In 2013–14</w:t>
      </w:r>
      <w:r w:rsidR="00A168C5" w:rsidRPr="001E2783">
        <w:rPr>
          <w:rFonts w:cs="Arial"/>
        </w:rPr>
        <w:t>,</w:t>
      </w:r>
      <w:r w:rsidRPr="001E2783">
        <w:rPr>
          <w:rFonts w:cs="Arial"/>
        </w:rPr>
        <w:t xml:space="preserve"> the ACMA’s </w:t>
      </w:r>
      <w:r w:rsidR="00A168C5" w:rsidRPr="001E2783">
        <w:rPr>
          <w:rFonts w:cs="Arial"/>
        </w:rPr>
        <w:t xml:space="preserve">social media </w:t>
      </w:r>
      <w:r w:rsidRPr="001E2783">
        <w:rPr>
          <w:rFonts w:cs="Arial"/>
        </w:rPr>
        <w:t xml:space="preserve">use became more sophisticated, increasing audiences and reach across the major </w:t>
      </w:r>
      <w:r w:rsidR="00A168C5" w:rsidRPr="001E2783">
        <w:rPr>
          <w:rFonts w:cs="Arial"/>
        </w:rPr>
        <w:t>channels—</w:t>
      </w:r>
      <w:r w:rsidRPr="001E2783">
        <w:rPr>
          <w:rFonts w:cs="Arial"/>
        </w:rPr>
        <w:t>Facebook, Twitter, YouTube, LinkedIn, Pinterest, Instagram and Tumblr. The growth and development of the ACM</w:t>
      </w:r>
      <w:r w:rsidR="00A168C5" w:rsidRPr="001E2783">
        <w:rPr>
          <w:rFonts w:cs="Arial"/>
        </w:rPr>
        <w:t>A’s social media offering allowed</w:t>
      </w:r>
      <w:r w:rsidRPr="001E2783">
        <w:rPr>
          <w:rFonts w:cs="Arial"/>
        </w:rPr>
        <w:t xml:space="preserve"> it to target specific audiences, speak directly with the public and create a multi-channel approach to its campaigns.</w:t>
      </w:r>
    </w:p>
    <w:p w14:paraId="53922EA9" w14:textId="77777777" w:rsidR="008D2BB5" w:rsidRPr="001E2783" w:rsidRDefault="008D2BB5" w:rsidP="008D2BB5">
      <w:pPr>
        <w:rPr>
          <w:rFonts w:cs="Arial"/>
        </w:rPr>
      </w:pPr>
    </w:p>
    <w:p w14:paraId="2A14EBA1" w14:textId="77777777" w:rsidR="008D2BB5" w:rsidRPr="001E2783" w:rsidRDefault="008D2BB5" w:rsidP="008D2BB5">
      <w:pPr>
        <w:rPr>
          <w:rFonts w:cs="Arial"/>
        </w:rPr>
      </w:pPr>
      <w:r w:rsidRPr="001E2783">
        <w:rPr>
          <w:rFonts w:cs="Arial"/>
        </w:rPr>
        <w:t xml:space="preserve">Social media has become crucial to the </w:t>
      </w:r>
      <w:r w:rsidR="00A168C5" w:rsidRPr="001E2783">
        <w:rPr>
          <w:rFonts w:cs="Arial"/>
        </w:rPr>
        <w:t xml:space="preserve">ACMA’s </w:t>
      </w:r>
      <w:r w:rsidRPr="001E2783">
        <w:rPr>
          <w:rFonts w:cs="Arial"/>
        </w:rPr>
        <w:t>business objectives. It plays a vital role in a number of strategies to engage industry and consumer stakeholders to deliver outcomes that are transparent, coherent and consistent.</w:t>
      </w:r>
    </w:p>
    <w:p w14:paraId="7FA037FB" w14:textId="77777777" w:rsidR="008D2BB5" w:rsidRPr="001E2783" w:rsidRDefault="008D2BB5" w:rsidP="008D2BB5">
      <w:pPr>
        <w:rPr>
          <w:rFonts w:cs="Arial"/>
        </w:rPr>
      </w:pPr>
    </w:p>
    <w:p w14:paraId="409096BD" w14:textId="77777777" w:rsidR="008D2BB5" w:rsidRPr="001E2783" w:rsidRDefault="008D2BB5" w:rsidP="008D2BB5">
      <w:pPr>
        <w:pStyle w:val="Heading3"/>
      </w:pPr>
      <w:bookmarkStart w:id="317" w:name="_Toc400018637"/>
      <w:r w:rsidRPr="001E2783">
        <w:t>Email outreach</w:t>
      </w:r>
      <w:bookmarkEnd w:id="317"/>
    </w:p>
    <w:p w14:paraId="05F3A290" w14:textId="77777777" w:rsidR="008D2BB5" w:rsidRPr="001E2783" w:rsidRDefault="008D2BB5" w:rsidP="008D2BB5">
      <w:pPr>
        <w:rPr>
          <w:rFonts w:cs="Arial"/>
        </w:rPr>
      </w:pPr>
      <w:r w:rsidRPr="001E2783">
        <w:rPr>
          <w:rFonts w:cs="Arial"/>
        </w:rPr>
        <w:t>During the year</w:t>
      </w:r>
      <w:r w:rsidR="00A168C5" w:rsidRPr="001E2783">
        <w:rPr>
          <w:rFonts w:cs="Arial"/>
        </w:rPr>
        <w:t>,</w:t>
      </w:r>
      <w:r w:rsidRPr="001E2783">
        <w:rPr>
          <w:rFonts w:cs="Arial"/>
        </w:rPr>
        <w:t xml:space="preserve"> the ACMA continued to use tailored email outreach campaigns to meet specific needs of stakeholders. </w:t>
      </w:r>
      <w:r w:rsidR="00A168C5" w:rsidRPr="001E2783">
        <w:rPr>
          <w:rFonts w:cs="Arial"/>
        </w:rPr>
        <w:t>The</w:t>
      </w:r>
      <w:r w:rsidRPr="001E2783">
        <w:rPr>
          <w:rFonts w:cs="Arial"/>
        </w:rPr>
        <w:t xml:space="preserve"> email outreach portfolio includes </w:t>
      </w:r>
      <w:r w:rsidR="009C74D6" w:rsidRPr="001E2783">
        <w:rPr>
          <w:rFonts w:cs="Arial"/>
          <w:i/>
        </w:rPr>
        <w:t>engage</w:t>
      </w:r>
      <w:r w:rsidR="00DE4359" w:rsidRPr="001E2783">
        <w:rPr>
          <w:rFonts w:cs="Arial"/>
        </w:rPr>
        <w:t>—</w:t>
      </w:r>
      <w:r w:rsidRPr="001E2783">
        <w:rPr>
          <w:rFonts w:cs="Arial"/>
        </w:rPr>
        <w:t xml:space="preserve">a monthly </w:t>
      </w:r>
      <w:r w:rsidR="00DE4359" w:rsidRPr="001E2783">
        <w:rPr>
          <w:rFonts w:cs="Arial"/>
        </w:rPr>
        <w:t>e-bulletin of general interest—</w:t>
      </w:r>
      <w:r w:rsidRPr="001E2783">
        <w:rPr>
          <w:rFonts w:cs="Arial"/>
        </w:rPr>
        <w:t xml:space="preserve">as well as campaign-based e-bulletins on issues such as new arrangements for wireless microphones, marine radio, 400 MHz band changes and international regulatory news. </w:t>
      </w:r>
    </w:p>
    <w:p w14:paraId="6EB00FE1" w14:textId="77777777" w:rsidR="008D2BB5" w:rsidRPr="001E2783" w:rsidRDefault="008D2BB5" w:rsidP="008D2BB5">
      <w:pPr>
        <w:rPr>
          <w:rFonts w:cs="Arial"/>
        </w:rPr>
      </w:pPr>
    </w:p>
    <w:p w14:paraId="735E12F6" w14:textId="77777777" w:rsidR="008D2BB5" w:rsidRPr="001E2783" w:rsidRDefault="008D2BB5" w:rsidP="008D2BB5">
      <w:pPr>
        <w:pStyle w:val="Heading3"/>
      </w:pPr>
      <w:bookmarkStart w:id="318" w:name="_Toc400018638"/>
      <w:r w:rsidRPr="001E2783">
        <w:t>Media engagement</w:t>
      </w:r>
      <w:bookmarkEnd w:id="318"/>
    </w:p>
    <w:p w14:paraId="7B0A5AAE" w14:textId="77777777" w:rsidR="008D2BB5" w:rsidRPr="001E2783" w:rsidRDefault="00A168C5" w:rsidP="008D2BB5">
      <w:pPr>
        <w:rPr>
          <w:rFonts w:cs="Arial"/>
          <w:lang w:val="en-US"/>
        </w:rPr>
      </w:pPr>
      <w:r w:rsidRPr="001E2783">
        <w:rPr>
          <w:rFonts w:cs="Arial"/>
          <w:lang w:eastAsia="en-US"/>
        </w:rPr>
        <w:t>In 2013–</w:t>
      </w:r>
      <w:r w:rsidR="008D2BB5" w:rsidRPr="001E2783">
        <w:rPr>
          <w:rFonts w:cs="Arial"/>
          <w:lang w:eastAsia="en-US"/>
        </w:rPr>
        <w:t>14</w:t>
      </w:r>
      <w:r w:rsidRPr="001E2783">
        <w:rPr>
          <w:rFonts w:cs="Arial"/>
          <w:lang w:eastAsia="en-US"/>
        </w:rPr>
        <w:t>,</w:t>
      </w:r>
      <w:r w:rsidR="008D2BB5" w:rsidRPr="001E2783">
        <w:rPr>
          <w:rFonts w:cs="Arial"/>
          <w:lang w:eastAsia="en-US"/>
        </w:rPr>
        <w:t xml:space="preserve"> the ACMA issued </w:t>
      </w:r>
      <w:r w:rsidR="00DA54CE" w:rsidRPr="001E2783">
        <w:rPr>
          <w:rFonts w:cs="Arial"/>
          <w:lang w:eastAsia="en-US"/>
        </w:rPr>
        <w:t>80</w:t>
      </w:r>
      <w:r w:rsidR="008D2BB5" w:rsidRPr="001E2783">
        <w:rPr>
          <w:rFonts w:cs="Arial"/>
          <w:lang w:eastAsia="en-US"/>
        </w:rPr>
        <w:t xml:space="preserve"> media releases.</w:t>
      </w:r>
      <w:r w:rsidR="008D2BB5" w:rsidRPr="001E2783">
        <w:rPr>
          <w:rFonts w:cs="Arial"/>
        </w:rPr>
        <w:t xml:space="preserve"> </w:t>
      </w:r>
      <w:r w:rsidRPr="001E2783">
        <w:rPr>
          <w:rFonts w:cs="Arial"/>
          <w:lang w:val="en-US"/>
        </w:rPr>
        <w:t>It</w:t>
      </w:r>
      <w:r w:rsidR="008D2BB5" w:rsidRPr="001E2783">
        <w:rPr>
          <w:rFonts w:cs="Arial"/>
          <w:lang w:val="en-US"/>
        </w:rPr>
        <w:t xml:space="preserve"> also conducted joint media activities with other agencies and organisations, including the </w:t>
      </w:r>
      <w:r w:rsidRPr="001E2783">
        <w:rPr>
          <w:rFonts w:cs="Arial"/>
          <w:lang w:val="en-US"/>
        </w:rPr>
        <w:t>AFP</w:t>
      </w:r>
      <w:r w:rsidR="008D2BB5" w:rsidRPr="001E2783">
        <w:rPr>
          <w:rFonts w:cs="Arial"/>
          <w:lang w:val="en-US"/>
        </w:rPr>
        <w:t xml:space="preserve">, the </w:t>
      </w:r>
      <w:r w:rsidRPr="001E2783">
        <w:rPr>
          <w:rFonts w:cs="Arial"/>
          <w:lang w:val="en-US"/>
        </w:rPr>
        <w:t>ACCC</w:t>
      </w:r>
      <w:r w:rsidR="008D2BB5" w:rsidRPr="001E2783">
        <w:rPr>
          <w:rFonts w:cs="Arial"/>
          <w:lang w:val="en-US"/>
        </w:rPr>
        <w:t>, the Office of the Australian Privacy Commissioner and Microsoft.</w:t>
      </w:r>
    </w:p>
    <w:p w14:paraId="5745B407" w14:textId="77777777" w:rsidR="008D2BB5" w:rsidRPr="001E2783" w:rsidRDefault="008D2BB5" w:rsidP="008D2BB5">
      <w:pPr>
        <w:rPr>
          <w:rFonts w:cs="Arial"/>
          <w:lang w:val="en-US"/>
        </w:rPr>
      </w:pPr>
    </w:p>
    <w:p w14:paraId="28186343" w14:textId="77777777" w:rsidR="008D2BB5" w:rsidRPr="001E2783" w:rsidRDefault="008D2BB5" w:rsidP="008D2BB5">
      <w:pPr>
        <w:rPr>
          <w:rFonts w:cs="Arial"/>
          <w:lang w:val="en-US"/>
        </w:rPr>
      </w:pPr>
      <w:r w:rsidRPr="001E2783">
        <w:rPr>
          <w:rFonts w:cs="Arial"/>
          <w:lang w:val="en-US"/>
        </w:rPr>
        <w:t>The ACMA actively focuses on building relationships with key media personnel. This has included informal catch-ups with journalists and communications professionals</w:t>
      </w:r>
      <w:r w:rsidR="000302C5" w:rsidRPr="001E2783">
        <w:rPr>
          <w:rFonts w:cs="Arial"/>
          <w:lang w:val="en-US"/>
        </w:rPr>
        <w:t>,</w:t>
      </w:r>
      <w:r w:rsidRPr="001E2783">
        <w:rPr>
          <w:rFonts w:cs="Arial"/>
          <w:lang w:val="en-US"/>
        </w:rPr>
        <w:t xml:space="preserve"> and backgrounder briefings. This program has contributed to the generally healthy relationships the ACMA enjoys with members of the media.</w:t>
      </w:r>
    </w:p>
    <w:p w14:paraId="4AA4B856" w14:textId="77777777" w:rsidR="008D2BB5" w:rsidRPr="001E2783" w:rsidRDefault="008D2BB5" w:rsidP="008D2BB5">
      <w:pPr>
        <w:rPr>
          <w:rFonts w:cs="Arial"/>
          <w:lang w:val="en-US"/>
        </w:rPr>
      </w:pPr>
    </w:p>
    <w:p w14:paraId="2C40A185" w14:textId="77777777" w:rsidR="008D2BB5" w:rsidRPr="001E2783" w:rsidRDefault="008D2BB5" w:rsidP="008D2BB5">
      <w:pPr>
        <w:pStyle w:val="Heading3"/>
      </w:pPr>
      <w:bookmarkStart w:id="319" w:name="_Toc400018639"/>
      <w:r w:rsidRPr="001E2783">
        <w:t>Award nominations</w:t>
      </w:r>
      <w:bookmarkEnd w:id="319"/>
    </w:p>
    <w:p w14:paraId="468142D5" w14:textId="77777777" w:rsidR="008D2BB5" w:rsidRPr="001E2783" w:rsidRDefault="008D2BB5" w:rsidP="008D2BB5">
      <w:pPr>
        <w:rPr>
          <w:rFonts w:cs="Arial"/>
          <w:shd w:val="clear" w:color="auto" w:fill="FFFFFF"/>
        </w:rPr>
      </w:pPr>
      <w:r w:rsidRPr="001E2783">
        <w:rPr>
          <w:rFonts w:cs="Arial"/>
        </w:rPr>
        <w:t xml:space="preserve">In March 2014, the ACMA received three nominations in </w:t>
      </w:r>
      <w:r w:rsidRPr="001E2783">
        <w:rPr>
          <w:rFonts w:cs="Arial"/>
          <w:shd w:val="clear" w:color="auto" w:fill="FFFFFF"/>
        </w:rPr>
        <w:t xml:space="preserve">the 2014 CommsCon Awards for PR and communications professionals. The awards are hosted by </w:t>
      </w:r>
      <w:r w:rsidRPr="001E2783">
        <w:rPr>
          <w:rFonts w:cs="Arial"/>
          <w:i/>
          <w:shd w:val="clear" w:color="auto" w:fill="FFFFFF"/>
        </w:rPr>
        <w:t>Mumbrella</w:t>
      </w:r>
      <w:r w:rsidRPr="001E2783">
        <w:rPr>
          <w:rFonts w:cs="Arial"/>
          <w:shd w:val="clear" w:color="auto" w:fill="FFFFFF"/>
        </w:rPr>
        <w:t xml:space="preserve">, a leading Australian online media and marketing publication. In announcing the shortlist for the awards, </w:t>
      </w:r>
      <w:r w:rsidRPr="001E2783">
        <w:rPr>
          <w:rFonts w:cs="Arial"/>
          <w:i/>
          <w:shd w:val="clear" w:color="auto" w:fill="FFFFFF"/>
        </w:rPr>
        <w:t>Mumbrella</w:t>
      </w:r>
      <w:r w:rsidRPr="001E2783">
        <w:rPr>
          <w:rFonts w:cs="Arial"/>
          <w:shd w:val="clear" w:color="auto" w:fill="FFFFFF"/>
        </w:rPr>
        <w:t xml:space="preserve"> noted its three nominations made the ACMA the ‘best r</w:t>
      </w:r>
      <w:r w:rsidR="000302C5" w:rsidRPr="001E2783">
        <w:rPr>
          <w:rFonts w:cs="Arial"/>
          <w:shd w:val="clear" w:color="auto" w:fill="FFFFFF"/>
        </w:rPr>
        <w:t>ecognised governmental body</w:t>
      </w:r>
      <w:r w:rsidRPr="001E2783">
        <w:rPr>
          <w:rFonts w:cs="Arial"/>
          <w:shd w:val="clear" w:color="auto" w:fill="FFFFFF"/>
        </w:rPr>
        <w:t>’</w:t>
      </w:r>
      <w:r w:rsidR="000302C5" w:rsidRPr="001E2783">
        <w:rPr>
          <w:rFonts w:cs="Arial"/>
          <w:shd w:val="clear" w:color="auto" w:fill="FFFFFF"/>
        </w:rPr>
        <w:t>.</w:t>
      </w:r>
    </w:p>
    <w:p w14:paraId="67EDC536" w14:textId="77777777" w:rsidR="008D2BB5" w:rsidRPr="001E2783" w:rsidRDefault="008D2BB5" w:rsidP="008D2BB5">
      <w:pPr>
        <w:rPr>
          <w:rFonts w:cs="Arial"/>
          <w:shd w:val="clear" w:color="auto" w:fill="FFFFFF"/>
        </w:rPr>
      </w:pPr>
    </w:p>
    <w:p w14:paraId="27B38EAC" w14:textId="77777777" w:rsidR="00CC119D" w:rsidRPr="001E2783" w:rsidRDefault="00CC119D" w:rsidP="009078D7">
      <w:pPr>
        <w:pStyle w:val="Heading2"/>
      </w:pPr>
      <w:bookmarkStart w:id="320" w:name="_Toc264884829"/>
      <w:bookmarkStart w:id="321" w:name="_Toc297623596"/>
      <w:bookmarkStart w:id="322" w:name="_Toc337727668"/>
      <w:bookmarkStart w:id="323" w:name="_Toc400018640"/>
      <w:r w:rsidRPr="001E2783">
        <w:t>Financial management</w:t>
      </w:r>
      <w:bookmarkEnd w:id="320"/>
      <w:bookmarkEnd w:id="321"/>
      <w:bookmarkEnd w:id="322"/>
      <w:bookmarkEnd w:id="323"/>
    </w:p>
    <w:p w14:paraId="2E751F19" w14:textId="77777777" w:rsidR="008D2BB5" w:rsidRPr="001E2783" w:rsidRDefault="008D2BB5" w:rsidP="009078D7">
      <w:pPr>
        <w:keepNext/>
        <w:rPr>
          <w:rFonts w:cs="Arial"/>
          <w:szCs w:val="20"/>
        </w:rPr>
      </w:pPr>
      <w:r w:rsidRPr="001E2783">
        <w:rPr>
          <w:rFonts w:cs="Arial"/>
          <w:szCs w:val="20"/>
        </w:rPr>
        <w:t>The ACMA continues to enhance its fi</w:t>
      </w:r>
      <w:r w:rsidR="000302C5" w:rsidRPr="001E2783">
        <w:rPr>
          <w:rFonts w:cs="Arial"/>
          <w:szCs w:val="20"/>
        </w:rPr>
        <w:t>nancial management. During 2013–</w:t>
      </w:r>
      <w:r w:rsidRPr="001E2783">
        <w:rPr>
          <w:rFonts w:cs="Arial"/>
          <w:szCs w:val="20"/>
        </w:rPr>
        <w:t>14</w:t>
      </w:r>
      <w:r w:rsidR="000302C5" w:rsidRPr="001E2783">
        <w:rPr>
          <w:rFonts w:cs="Arial"/>
          <w:szCs w:val="20"/>
        </w:rPr>
        <w:t>,</w:t>
      </w:r>
      <w:r w:rsidRPr="001E2783">
        <w:rPr>
          <w:rFonts w:cs="Arial"/>
          <w:szCs w:val="20"/>
        </w:rPr>
        <w:t xml:space="preserve"> further adjustments to reporting frameworks improved access to, and provision of, quality financial information for internal and external stakeholders. The ACMA continues to review key areas within the financial management remit </w:t>
      </w:r>
      <w:r w:rsidR="000302C5" w:rsidRPr="001E2783">
        <w:rPr>
          <w:rFonts w:cs="Arial"/>
          <w:szCs w:val="20"/>
        </w:rPr>
        <w:t xml:space="preserve">so </w:t>
      </w:r>
      <w:r w:rsidRPr="001E2783">
        <w:rPr>
          <w:rFonts w:cs="Arial"/>
          <w:szCs w:val="20"/>
        </w:rPr>
        <w:t>that all ACMA processes align with legislative changes and best practice.</w:t>
      </w:r>
    </w:p>
    <w:p w14:paraId="5E36C7EA" w14:textId="77777777" w:rsidR="008D2BB5" w:rsidRPr="001E2783" w:rsidRDefault="008D2BB5" w:rsidP="009078D7">
      <w:pPr>
        <w:keepNext/>
        <w:rPr>
          <w:rFonts w:cs="Arial"/>
          <w:szCs w:val="20"/>
        </w:rPr>
      </w:pPr>
    </w:p>
    <w:p w14:paraId="76A040EF" w14:textId="77777777" w:rsidR="008D2BB5" w:rsidRPr="001E2783" w:rsidRDefault="008D2BB5" w:rsidP="008D2BB5">
      <w:pPr>
        <w:rPr>
          <w:rFonts w:cs="Arial"/>
          <w:szCs w:val="20"/>
        </w:rPr>
      </w:pPr>
      <w:r w:rsidRPr="001E2783">
        <w:rPr>
          <w:rFonts w:cs="Arial"/>
          <w:szCs w:val="20"/>
        </w:rPr>
        <w:t>The ACMA met all of its statutory budgeting and reporting requirements and deadlines as set down by the Department of Finance and Deregulation and the Australian National Audit Office</w:t>
      </w:r>
      <w:r w:rsidR="00DE4359" w:rsidRPr="001E2783">
        <w:rPr>
          <w:rFonts w:cs="Arial"/>
          <w:szCs w:val="20"/>
        </w:rPr>
        <w:t xml:space="preserve"> (ANAO)</w:t>
      </w:r>
      <w:r w:rsidRPr="001E2783">
        <w:rPr>
          <w:rFonts w:cs="Arial"/>
          <w:szCs w:val="20"/>
        </w:rPr>
        <w:t xml:space="preserve">. </w:t>
      </w:r>
    </w:p>
    <w:p w14:paraId="7CE8045C" w14:textId="77777777" w:rsidR="008D2BB5" w:rsidRPr="001E2783" w:rsidRDefault="008D2BB5" w:rsidP="008D2BB5">
      <w:pPr>
        <w:spacing w:after="80"/>
        <w:rPr>
          <w:rFonts w:cs="Arial"/>
          <w:szCs w:val="20"/>
        </w:rPr>
      </w:pPr>
    </w:p>
    <w:p w14:paraId="6BFC4138" w14:textId="77777777" w:rsidR="008D2BB5" w:rsidRPr="001E2783" w:rsidRDefault="008D2BB5" w:rsidP="008D2BB5">
      <w:pPr>
        <w:spacing w:after="80"/>
        <w:rPr>
          <w:rFonts w:cs="Arial"/>
          <w:szCs w:val="20"/>
        </w:rPr>
      </w:pPr>
      <w:r w:rsidRPr="001E2783">
        <w:rPr>
          <w:rFonts w:cs="Arial"/>
          <w:szCs w:val="20"/>
        </w:rPr>
        <w:t>Key achievements during the year included:</w:t>
      </w:r>
    </w:p>
    <w:p w14:paraId="475EEEAA" w14:textId="77777777" w:rsidR="008D2BB5" w:rsidRPr="001E2783" w:rsidRDefault="008D2BB5" w:rsidP="008D2BB5">
      <w:pPr>
        <w:pStyle w:val="ListBullet"/>
        <w:ind w:left="284"/>
        <w:rPr>
          <w:rFonts w:cs="Arial"/>
          <w:szCs w:val="20"/>
        </w:rPr>
      </w:pPr>
      <w:r w:rsidRPr="001E2783">
        <w:rPr>
          <w:rFonts w:cs="Arial"/>
          <w:szCs w:val="20"/>
        </w:rPr>
        <w:t>fur</w:t>
      </w:r>
      <w:r w:rsidR="000302C5" w:rsidRPr="001E2783">
        <w:rPr>
          <w:rFonts w:cs="Arial"/>
          <w:szCs w:val="20"/>
        </w:rPr>
        <w:t>ther enhancing the forward-</w:t>
      </w:r>
      <w:r w:rsidRPr="001E2783">
        <w:rPr>
          <w:rFonts w:cs="Arial"/>
          <w:szCs w:val="20"/>
        </w:rPr>
        <w:t>year budget allocation process</w:t>
      </w:r>
    </w:p>
    <w:p w14:paraId="1FF6CA33" w14:textId="77777777" w:rsidR="008D2BB5" w:rsidRPr="001E2783" w:rsidRDefault="008D2BB5" w:rsidP="008D2BB5">
      <w:pPr>
        <w:pStyle w:val="ListBullet"/>
        <w:ind w:left="284"/>
        <w:rPr>
          <w:rFonts w:cs="Arial"/>
          <w:szCs w:val="20"/>
        </w:rPr>
      </w:pPr>
      <w:r w:rsidRPr="001E2783">
        <w:rPr>
          <w:rFonts w:cs="Arial"/>
          <w:szCs w:val="20"/>
        </w:rPr>
        <w:t>improv</w:t>
      </w:r>
      <w:r w:rsidR="000302C5" w:rsidRPr="001E2783">
        <w:rPr>
          <w:rFonts w:cs="Arial"/>
          <w:szCs w:val="20"/>
        </w:rPr>
        <w:t>ing</w:t>
      </w:r>
      <w:r w:rsidRPr="001E2783">
        <w:rPr>
          <w:rFonts w:cs="Arial"/>
          <w:szCs w:val="20"/>
        </w:rPr>
        <w:t xml:space="preserve"> accessibility to the Financial Management Information System</w:t>
      </w:r>
    </w:p>
    <w:p w14:paraId="59B7C338" w14:textId="77777777" w:rsidR="008D2BB5" w:rsidRPr="001E2783" w:rsidRDefault="008D2BB5" w:rsidP="008D2BB5">
      <w:pPr>
        <w:pStyle w:val="ListBullet"/>
        <w:ind w:left="284"/>
        <w:rPr>
          <w:rFonts w:cs="Arial"/>
          <w:szCs w:val="20"/>
        </w:rPr>
      </w:pPr>
      <w:r w:rsidRPr="001E2783">
        <w:rPr>
          <w:rFonts w:cs="Arial"/>
          <w:szCs w:val="20"/>
        </w:rPr>
        <w:t>further enhanc</w:t>
      </w:r>
      <w:r w:rsidR="000302C5" w:rsidRPr="001E2783">
        <w:rPr>
          <w:rFonts w:cs="Arial"/>
          <w:szCs w:val="20"/>
        </w:rPr>
        <w:t>ing</w:t>
      </w:r>
      <w:r w:rsidRPr="001E2783">
        <w:rPr>
          <w:rFonts w:cs="Arial"/>
          <w:szCs w:val="20"/>
        </w:rPr>
        <w:t xml:space="preserve"> the online Broadcast Licence Fee returns system, to improve ease of use</w:t>
      </w:r>
    </w:p>
    <w:p w14:paraId="79C91A20" w14:textId="77777777" w:rsidR="008D2BB5" w:rsidRPr="001E2783" w:rsidRDefault="008D2BB5" w:rsidP="008D2BB5">
      <w:pPr>
        <w:pStyle w:val="ListBullet"/>
        <w:spacing w:after="240"/>
        <w:ind w:left="284"/>
        <w:rPr>
          <w:rFonts w:cs="Arial"/>
          <w:szCs w:val="20"/>
        </w:rPr>
      </w:pPr>
      <w:r w:rsidRPr="001E2783">
        <w:rPr>
          <w:rFonts w:cs="Arial"/>
          <w:szCs w:val="20"/>
        </w:rPr>
        <w:t xml:space="preserve">implementing the new online Eligible Revenue Returns portal, enabling carriers to more easily meet their legislative obligations. </w:t>
      </w:r>
    </w:p>
    <w:p w14:paraId="1DCEA587" w14:textId="77777777" w:rsidR="008C2249" w:rsidRPr="001E2783" w:rsidRDefault="008C2249" w:rsidP="00BF14A9">
      <w:pPr>
        <w:rPr>
          <w:rStyle w:val="ACMHighlightMissingText"/>
          <w:rFonts w:cs="Arial"/>
          <w:color w:val="auto"/>
        </w:rPr>
      </w:pPr>
      <w:r w:rsidRPr="001E2783">
        <w:rPr>
          <w:rStyle w:val="ACMHighlightMissingText"/>
          <w:rFonts w:cs="Arial"/>
          <w:color w:val="auto"/>
        </w:rPr>
        <w:t xml:space="preserve">The ACMA achieved an operating surplus in 2013–14 as a result of supplier and employment cost savings, and other revenue increases. </w:t>
      </w:r>
    </w:p>
    <w:p w14:paraId="41AD82AC" w14:textId="77777777" w:rsidR="00BF14A9" w:rsidRPr="001E2783" w:rsidRDefault="00BF14A9" w:rsidP="00BF14A9">
      <w:pPr>
        <w:rPr>
          <w:rStyle w:val="ACMHighlightMissingText"/>
          <w:rFonts w:cs="Arial"/>
          <w:color w:val="auto"/>
        </w:rPr>
      </w:pPr>
    </w:p>
    <w:p w14:paraId="4FDC096C" w14:textId="1BB0EB49" w:rsidR="00CC119D" w:rsidRPr="001E2783" w:rsidRDefault="008C2249" w:rsidP="00BF14A9">
      <w:pPr>
        <w:rPr>
          <w:rFonts w:cs="Arial"/>
        </w:rPr>
      </w:pPr>
      <w:r w:rsidRPr="001E2783">
        <w:rPr>
          <w:rFonts w:cs="Arial"/>
        </w:rPr>
        <w:t xml:space="preserve">The ACMA’s financial statements for 2013–14 were prepared in accordance with section 57 of the FMA Act and the Finance Minister’s Orders. </w:t>
      </w:r>
      <w:r w:rsidRPr="001E2783">
        <w:rPr>
          <w:rStyle w:val="ACMHighlightMissingText"/>
          <w:rFonts w:cs="Arial"/>
          <w:color w:val="auto"/>
        </w:rPr>
        <w:t>The ANAO issued an unmodified audit opinion on the statements and notes (see Appendix 18)</w:t>
      </w:r>
      <w:r w:rsidRPr="001E2783">
        <w:rPr>
          <w:rFonts w:cs="Arial"/>
        </w:rPr>
        <w:t>.</w:t>
      </w:r>
    </w:p>
    <w:p w14:paraId="315E9AFE" w14:textId="77777777" w:rsidR="00BF14A9" w:rsidRPr="001E2783" w:rsidRDefault="00BF14A9" w:rsidP="00BF14A9">
      <w:pPr>
        <w:rPr>
          <w:rFonts w:cs="Arial"/>
        </w:rPr>
      </w:pPr>
    </w:p>
    <w:p w14:paraId="47625557" w14:textId="77777777" w:rsidR="00CC119D" w:rsidRPr="001E2783" w:rsidRDefault="00CC119D" w:rsidP="00CC119D">
      <w:pPr>
        <w:pStyle w:val="Heading3"/>
      </w:pPr>
      <w:bookmarkStart w:id="324" w:name="_Toc297623597"/>
      <w:bookmarkStart w:id="325" w:name="_Toc337727669"/>
      <w:bookmarkStart w:id="326" w:name="_Toc400018641"/>
      <w:r w:rsidRPr="001E2783">
        <w:t>Procurement and contract management</w:t>
      </w:r>
      <w:bookmarkEnd w:id="324"/>
      <w:bookmarkEnd w:id="325"/>
      <w:bookmarkEnd w:id="326"/>
    </w:p>
    <w:p w14:paraId="2270D408" w14:textId="77777777" w:rsidR="008D2BB5" w:rsidRPr="001E2783" w:rsidRDefault="008D2BB5" w:rsidP="008D2BB5">
      <w:pPr>
        <w:rPr>
          <w:rFonts w:cs="Arial"/>
          <w:szCs w:val="20"/>
        </w:rPr>
      </w:pPr>
      <w:r w:rsidRPr="001E2783">
        <w:rPr>
          <w:rFonts w:cs="Arial"/>
          <w:szCs w:val="20"/>
        </w:rPr>
        <w:t>During 2013–14</w:t>
      </w:r>
      <w:r w:rsidR="003A6894" w:rsidRPr="001E2783">
        <w:rPr>
          <w:rFonts w:cs="Arial"/>
          <w:szCs w:val="20"/>
        </w:rPr>
        <w:t>,</w:t>
      </w:r>
      <w:r w:rsidRPr="001E2783">
        <w:rPr>
          <w:rFonts w:cs="Arial"/>
          <w:szCs w:val="20"/>
        </w:rPr>
        <w:t xml:space="preserve"> the ACMA continued to strengthen its procurement and contract management capabilities, </w:t>
      </w:r>
      <w:r w:rsidR="003A6894" w:rsidRPr="001E2783">
        <w:rPr>
          <w:rFonts w:cs="Arial"/>
          <w:szCs w:val="20"/>
        </w:rPr>
        <w:t>putting</w:t>
      </w:r>
      <w:r w:rsidRPr="001E2783">
        <w:rPr>
          <w:rFonts w:cs="Arial"/>
          <w:szCs w:val="20"/>
        </w:rPr>
        <w:t xml:space="preserve"> appropriate controls in place to </w:t>
      </w:r>
      <w:r w:rsidR="003A6894" w:rsidRPr="001E2783">
        <w:rPr>
          <w:rFonts w:cs="Arial"/>
          <w:szCs w:val="20"/>
        </w:rPr>
        <w:t>comply</w:t>
      </w:r>
      <w:r w:rsidRPr="001E2783">
        <w:rPr>
          <w:rFonts w:cs="Arial"/>
          <w:szCs w:val="20"/>
        </w:rPr>
        <w:t xml:space="preserve"> with the </w:t>
      </w:r>
      <w:r w:rsidRPr="001E2783">
        <w:rPr>
          <w:rFonts w:cs="Arial"/>
          <w:iCs/>
          <w:szCs w:val="20"/>
        </w:rPr>
        <w:t>FMA Act</w:t>
      </w:r>
      <w:r w:rsidRPr="001E2783">
        <w:rPr>
          <w:rFonts w:cs="Arial"/>
          <w:szCs w:val="20"/>
        </w:rPr>
        <w:t xml:space="preserve"> and the </w:t>
      </w:r>
      <w:r w:rsidRPr="001E2783">
        <w:rPr>
          <w:rFonts w:cs="Arial"/>
          <w:i/>
          <w:iCs/>
          <w:szCs w:val="20"/>
        </w:rPr>
        <w:t>Commonwealth Procurement Rules</w:t>
      </w:r>
      <w:r w:rsidRPr="001E2783">
        <w:rPr>
          <w:rFonts w:cs="Arial"/>
          <w:szCs w:val="20"/>
        </w:rPr>
        <w:t>. The ACMA used a range of template documents to procure goods and services that, in alignment with internal policies, means it obtained value-for-money procurement.</w:t>
      </w:r>
    </w:p>
    <w:p w14:paraId="5D83002F" w14:textId="77777777" w:rsidR="008D2BB5" w:rsidRPr="001E2783" w:rsidRDefault="008D2BB5" w:rsidP="008D2BB5">
      <w:pPr>
        <w:tabs>
          <w:tab w:val="left" w:pos="3125"/>
        </w:tabs>
        <w:rPr>
          <w:rFonts w:cs="Arial"/>
          <w:szCs w:val="20"/>
        </w:rPr>
      </w:pPr>
    </w:p>
    <w:p w14:paraId="05AAFDA5" w14:textId="2EEC3513" w:rsidR="008D2BB5" w:rsidRPr="001E2783" w:rsidRDefault="008D2BB5" w:rsidP="008D2BB5">
      <w:pPr>
        <w:rPr>
          <w:rFonts w:cs="Arial"/>
          <w:szCs w:val="20"/>
        </w:rPr>
      </w:pPr>
      <w:r w:rsidRPr="001E2783">
        <w:rPr>
          <w:rFonts w:cs="Arial"/>
          <w:szCs w:val="20"/>
        </w:rPr>
        <w:t>The ACMA has updated its policies and procedures in preparation for the impleme</w:t>
      </w:r>
      <w:r w:rsidR="003A6894" w:rsidRPr="001E2783">
        <w:rPr>
          <w:rFonts w:cs="Arial"/>
          <w:szCs w:val="20"/>
        </w:rPr>
        <w:t xml:space="preserve">ntation of the </w:t>
      </w:r>
      <w:r w:rsidR="003A6894" w:rsidRPr="001E2783">
        <w:rPr>
          <w:rFonts w:cs="Arial"/>
          <w:i/>
          <w:szCs w:val="20"/>
        </w:rPr>
        <w:t>Public Governance, Performance and Accountability Act</w:t>
      </w:r>
      <w:r w:rsidR="003A6894" w:rsidRPr="001E2783">
        <w:rPr>
          <w:rFonts w:cs="Arial"/>
          <w:szCs w:val="20"/>
        </w:rPr>
        <w:t xml:space="preserve"> </w:t>
      </w:r>
      <w:r w:rsidR="0034290E" w:rsidRPr="001E2783">
        <w:rPr>
          <w:rFonts w:cs="Arial"/>
          <w:i/>
          <w:szCs w:val="20"/>
        </w:rPr>
        <w:t>2013</w:t>
      </w:r>
      <w:r w:rsidR="0034290E" w:rsidRPr="001E2783">
        <w:rPr>
          <w:rFonts w:cs="Arial"/>
          <w:szCs w:val="20"/>
        </w:rPr>
        <w:t xml:space="preserve"> </w:t>
      </w:r>
      <w:r w:rsidR="003A6894" w:rsidRPr="001E2783">
        <w:rPr>
          <w:rFonts w:cs="Arial"/>
          <w:szCs w:val="20"/>
        </w:rPr>
        <w:t>(PGPA Act) in 2014–</w:t>
      </w:r>
      <w:r w:rsidRPr="001E2783">
        <w:rPr>
          <w:rFonts w:cs="Arial"/>
          <w:szCs w:val="20"/>
        </w:rPr>
        <w:t>15.</w:t>
      </w:r>
    </w:p>
    <w:p w14:paraId="0BD14C01" w14:textId="77777777" w:rsidR="00CC119D" w:rsidRPr="001E2783" w:rsidRDefault="00CC119D" w:rsidP="00CC119D">
      <w:pPr>
        <w:rPr>
          <w:rFonts w:cs="Arial"/>
        </w:rPr>
      </w:pPr>
    </w:p>
    <w:p w14:paraId="775D8A84" w14:textId="77777777" w:rsidR="00CC119D" w:rsidRPr="001E2783" w:rsidRDefault="00CC119D" w:rsidP="00CC119D">
      <w:pPr>
        <w:pStyle w:val="Heading3"/>
      </w:pPr>
      <w:bookmarkStart w:id="327" w:name="_Toc264884831"/>
      <w:bookmarkStart w:id="328" w:name="_Toc297623598"/>
      <w:bookmarkStart w:id="329" w:name="_Toc337727670"/>
      <w:bookmarkStart w:id="330" w:name="_Toc400018642"/>
      <w:r w:rsidRPr="001E2783">
        <w:t>Grant programs</w:t>
      </w:r>
      <w:bookmarkEnd w:id="327"/>
      <w:bookmarkEnd w:id="328"/>
      <w:bookmarkEnd w:id="329"/>
      <w:bookmarkEnd w:id="330"/>
    </w:p>
    <w:p w14:paraId="5A97E715" w14:textId="77777777" w:rsidR="00CC119D" w:rsidRPr="001E2783" w:rsidRDefault="00CC119D" w:rsidP="00CC119D">
      <w:pPr>
        <w:rPr>
          <w:rFonts w:cs="Arial"/>
        </w:rPr>
      </w:pPr>
      <w:r w:rsidRPr="001E2783">
        <w:rPr>
          <w:rFonts w:cs="Arial"/>
        </w:rPr>
        <w:t>The ACMA does not administer any grant programs.</w:t>
      </w:r>
    </w:p>
    <w:p w14:paraId="1088F7A9" w14:textId="77777777" w:rsidR="008D2BB5" w:rsidRPr="001E2783" w:rsidRDefault="008D2BB5" w:rsidP="00CC119D">
      <w:pPr>
        <w:rPr>
          <w:rFonts w:cs="Arial"/>
        </w:rPr>
      </w:pPr>
    </w:p>
    <w:p w14:paraId="7191B880" w14:textId="77777777" w:rsidR="00915641" w:rsidRPr="001E2783" w:rsidRDefault="00915641" w:rsidP="00915641">
      <w:pPr>
        <w:pStyle w:val="Heading3"/>
      </w:pPr>
      <w:bookmarkStart w:id="331" w:name="_Toc264884832"/>
      <w:bookmarkStart w:id="332" w:name="_Toc297623599"/>
      <w:bookmarkStart w:id="333" w:name="_Toc337727671"/>
      <w:bookmarkStart w:id="334" w:name="_Toc400018643"/>
      <w:r w:rsidRPr="001E2783">
        <w:t>Asset management</w:t>
      </w:r>
      <w:bookmarkEnd w:id="331"/>
      <w:bookmarkEnd w:id="332"/>
      <w:bookmarkEnd w:id="333"/>
      <w:bookmarkEnd w:id="334"/>
    </w:p>
    <w:p w14:paraId="7E6009D9" w14:textId="77777777" w:rsidR="008D2BB5" w:rsidRPr="001E2783" w:rsidRDefault="008D2BB5" w:rsidP="008D2BB5">
      <w:pPr>
        <w:rPr>
          <w:rFonts w:cs="Arial"/>
        </w:rPr>
      </w:pPr>
      <w:r w:rsidRPr="001E2783">
        <w:rPr>
          <w:rFonts w:cs="Arial"/>
        </w:rPr>
        <w:t>The ACMA’s asset management procedures and policies reflect relevant legislation and best practice. Major asset categories include land, buildings, leasehold improvements, plant, equipment and intangibles such as software that is either developed in-house or purchased from third-party vendors. Assets are valued at fair value with their carrying values and useful lives being reviewed annually.</w:t>
      </w:r>
    </w:p>
    <w:p w14:paraId="4566B3B5" w14:textId="77777777" w:rsidR="008D2BB5" w:rsidRPr="001E2783" w:rsidRDefault="008D2BB5" w:rsidP="008D2BB5">
      <w:pPr>
        <w:rPr>
          <w:rFonts w:cs="Arial"/>
        </w:rPr>
      </w:pPr>
    </w:p>
    <w:p w14:paraId="1008F38F" w14:textId="41DCBBFA" w:rsidR="008D2BB5" w:rsidRPr="001E2783" w:rsidRDefault="008D2BB5" w:rsidP="008D2BB5">
      <w:pPr>
        <w:rPr>
          <w:rFonts w:cs="Arial"/>
        </w:rPr>
      </w:pPr>
      <w:r w:rsidRPr="001E2783">
        <w:rPr>
          <w:rFonts w:cs="Arial"/>
        </w:rPr>
        <w:t xml:space="preserve">At the end of 2013–14, the ACMA had a net total value of </w:t>
      </w:r>
      <w:r w:rsidR="000A4DFF" w:rsidRPr="001E2783">
        <w:rPr>
          <w:rFonts w:cs="Arial"/>
        </w:rPr>
        <w:t>$</w:t>
      </w:r>
      <w:r w:rsidR="007D51F3" w:rsidRPr="001E2783">
        <w:rPr>
          <w:rFonts w:cs="Arial"/>
        </w:rPr>
        <w:t>52.393 </w:t>
      </w:r>
      <w:r w:rsidRPr="001E2783">
        <w:rPr>
          <w:rFonts w:cs="Arial"/>
        </w:rPr>
        <w:t>million in net assets. During the year, the capital management plan was further developed to help the ACMA with its capital planning requirements.</w:t>
      </w:r>
    </w:p>
    <w:p w14:paraId="42746F65" w14:textId="77777777" w:rsidR="00CC119D" w:rsidRPr="001E2783" w:rsidRDefault="00CC119D" w:rsidP="00CC119D">
      <w:pPr>
        <w:rPr>
          <w:rFonts w:cs="Arial"/>
          <w:bCs/>
          <w:iCs/>
        </w:rPr>
      </w:pPr>
    </w:p>
    <w:p w14:paraId="07E2433F" w14:textId="77777777" w:rsidR="00CC119D" w:rsidRPr="001E2783" w:rsidRDefault="00CC119D" w:rsidP="00CC119D">
      <w:pPr>
        <w:pStyle w:val="Heading2"/>
      </w:pPr>
      <w:bookmarkStart w:id="335" w:name="_Toc264884833"/>
      <w:bookmarkStart w:id="336" w:name="_Toc297623600"/>
      <w:bookmarkStart w:id="337" w:name="_Toc337727672"/>
      <w:bookmarkStart w:id="338" w:name="_Toc400018644"/>
      <w:r w:rsidRPr="001E2783">
        <w:t>Property management</w:t>
      </w:r>
      <w:bookmarkEnd w:id="335"/>
      <w:bookmarkEnd w:id="336"/>
      <w:bookmarkEnd w:id="337"/>
      <w:bookmarkEnd w:id="338"/>
    </w:p>
    <w:p w14:paraId="0E3A7B4A" w14:textId="77777777" w:rsidR="008D2BB5" w:rsidRPr="001E2783" w:rsidRDefault="008D2BB5" w:rsidP="008D2BB5">
      <w:pPr>
        <w:rPr>
          <w:rFonts w:cs="Arial"/>
          <w:szCs w:val="20"/>
        </w:rPr>
      </w:pPr>
      <w:r w:rsidRPr="001E2783">
        <w:rPr>
          <w:rFonts w:cs="Arial"/>
          <w:szCs w:val="20"/>
        </w:rPr>
        <w:t xml:space="preserve">The ACMA property portfolio includes leased, licensed and Commonwealth-owned premises, ranging from office accommodation in the major capital cities to small radio monitoring sites at remote locations. The ACMA continues to review its office accommodation in accordance with the </w:t>
      </w:r>
      <w:r w:rsidRPr="001E2783">
        <w:rPr>
          <w:rFonts w:cs="Arial"/>
          <w:i/>
          <w:szCs w:val="20"/>
        </w:rPr>
        <w:t>Commonwealth Property Management Guidelines</w:t>
      </w:r>
      <w:r w:rsidRPr="001E2783">
        <w:rPr>
          <w:rFonts w:cs="Arial"/>
          <w:szCs w:val="20"/>
        </w:rPr>
        <w:t xml:space="preserve"> and operational requirements.</w:t>
      </w:r>
    </w:p>
    <w:p w14:paraId="74989095" w14:textId="77777777" w:rsidR="008D2BB5" w:rsidRPr="001E2783" w:rsidRDefault="008D2BB5" w:rsidP="008D2BB5">
      <w:pPr>
        <w:rPr>
          <w:rFonts w:cs="Arial"/>
          <w:szCs w:val="20"/>
        </w:rPr>
      </w:pPr>
    </w:p>
    <w:p w14:paraId="1BEFA801" w14:textId="77777777" w:rsidR="008D2BB5" w:rsidRPr="001E2783" w:rsidRDefault="008D2BB5" w:rsidP="008D2BB5">
      <w:pPr>
        <w:rPr>
          <w:rFonts w:cs="Arial"/>
          <w:szCs w:val="20"/>
        </w:rPr>
      </w:pPr>
      <w:r w:rsidRPr="001E2783">
        <w:rPr>
          <w:rFonts w:cs="Arial"/>
          <w:szCs w:val="20"/>
        </w:rPr>
        <w:t>The ACMA entered i</w:t>
      </w:r>
      <w:r w:rsidR="003A6894" w:rsidRPr="001E2783">
        <w:rPr>
          <w:rFonts w:cs="Arial"/>
          <w:szCs w:val="20"/>
        </w:rPr>
        <w:t>nto new 10-</w:t>
      </w:r>
      <w:r w:rsidRPr="001E2783">
        <w:rPr>
          <w:rFonts w:cs="Arial"/>
          <w:szCs w:val="20"/>
        </w:rPr>
        <w:t>year leases for both the Canberra and</w:t>
      </w:r>
      <w:r w:rsidR="003A6894" w:rsidRPr="001E2783">
        <w:rPr>
          <w:rFonts w:cs="Arial"/>
          <w:szCs w:val="20"/>
        </w:rPr>
        <w:t xml:space="preserve"> Melbourne premises during 2013–14 and undertook internal fit-</w:t>
      </w:r>
      <w:r w:rsidRPr="001E2783">
        <w:rPr>
          <w:rFonts w:cs="Arial"/>
          <w:szCs w:val="20"/>
        </w:rPr>
        <w:t>outs</w:t>
      </w:r>
      <w:r w:rsidR="003A6894" w:rsidRPr="001E2783">
        <w:rPr>
          <w:rFonts w:cs="Arial"/>
          <w:szCs w:val="20"/>
        </w:rPr>
        <w:t>,</w:t>
      </w:r>
      <w:r w:rsidRPr="001E2783">
        <w:rPr>
          <w:rFonts w:cs="Arial"/>
          <w:szCs w:val="20"/>
        </w:rPr>
        <w:t xml:space="preserve"> achieving new and efficient office environments. </w:t>
      </w:r>
    </w:p>
    <w:p w14:paraId="540CFC36" w14:textId="77777777" w:rsidR="008D2BB5" w:rsidRPr="001E2783" w:rsidRDefault="008D2BB5" w:rsidP="008D2BB5">
      <w:pPr>
        <w:rPr>
          <w:rFonts w:cs="Arial"/>
          <w:szCs w:val="20"/>
        </w:rPr>
      </w:pPr>
    </w:p>
    <w:p w14:paraId="11349942" w14:textId="77777777" w:rsidR="008D2BB5" w:rsidRPr="001E2783" w:rsidRDefault="003A6894" w:rsidP="008D2BB5">
      <w:pPr>
        <w:rPr>
          <w:rFonts w:cs="Arial"/>
          <w:sz w:val="22"/>
          <w:szCs w:val="22"/>
        </w:rPr>
      </w:pPr>
      <w:r w:rsidRPr="001E2783">
        <w:rPr>
          <w:rFonts w:cs="Arial"/>
          <w:szCs w:val="20"/>
        </w:rPr>
        <w:t>Both offices feature modern fit-</w:t>
      </w:r>
      <w:r w:rsidR="008D2BB5" w:rsidRPr="001E2783">
        <w:rPr>
          <w:rFonts w:cs="Arial"/>
          <w:szCs w:val="20"/>
        </w:rPr>
        <w:t>outs and have been designed with sustain</w:t>
      </w:r>
      <w:r w:rsidR="000A4DFF" w:rsidRPr="001E2783">
        <w:rPr>
          <w:rFonts w:cs="Arial"/>
          <w:szCs w:val="20"/>
        </w:rPr>
        <w:t>able solutions to achieve a 4.5 </w:t>
      </w:r>
      <w:r w:rsidR="008D2BB5" w:rsidRPr="001E2783">
        <w:rPr>
          <w:rFonts w:cs="Arial"/>
          <w:szCs w:val="20"/>
        </w:rPr>
        <w:t>star NABERS energy rating. This is in line with the green lease initiative issued by the Department of Climate Change and Energy Efficiency</w:t>
      </w:r>
      <w:r w:rsidR="008D2BB5" w:rsidRPr="001E2783">
        <w:rPr>
          <w:rFonts w:cs="Arial"/>
          <w:sz w:val="22"/>
          <w:szCs w:val="22"/>
        </w:rPr>
        <w:t xml:space="preserve">. </w:t>
      </w:r>
    </w:p>
    <w:p w14:paraId="29E83333" w14:textId="77777777" w:rsidR="008D2BB5" w:rsidRPr="001E2783" w:rsidRDefault="008D2BB5" w:rsidP="008D2BB5">
      <w:pPr>
        <w:rPr>
          <w:rFonts w:cs="Arial"/>
        </w:rPr>
      </w:pPr>
    </w:p>
    <w:p w14:paraId="4C00E42C" w14:textId="77777777" w:rsidR="008D2BB5" w:rsidRPr="001E2783" w:rsidRDefault="008D2BB5" w:rsidP="008D2BB5">
      <w:pPr>
        <w:pStyle w:val="Heading3"/>
      </w:pPr>
      <w:bookmarkStart w:id="339" w:name="_Toc264884834"/>
      <w:bookmarkStart w:id="340" w:name="_Toc295919863"/>
      <w:bookmarkStart w:id="341" w:name="_Toc337727673"/>
      <w:bookmarkStart w:id="342" w:name="_Toc400018645"/>
      <w:r w:rsidRPr="001E2783">
        <w:t>Ecologically sustainable development and environmental performance</w:t>
      </w:r>
      <w:bookmarkEnd w:id="339"/>
      <w:bookmarkEnd w:id="340"/>
      <w:bookmarkEnd w:id="341"/>
      <w:bookmarkEnd w:id="342"/>
    </w:p>
    <w:p w14:paraId="593E521C" w14:textId="77777777" w:rsidR="003A6894" w:rsidRPr="001E2783" w:rsidRDefault="008D2BB5" w:rsidP="003A6894">
      <w:pPr>
        <w:spacing w:after="80"/>
        <w:rPr>
          <w:rFonts w:cs="Arial"/>
          <w:szCs w:val="20"/>
        </w:rPr>
      </w:pPr>
      <w:r w:rsidRPr="001E2783">
        <w:rPr>
          <w:rFonts w:cs="Arial"/>
          <w:szCs w:val="20"/>
        </w:rPr>
        <w:t>The ACMA has an ongoing commitment to reduce the organisation’s impact on the environment through various measures, including procuring green power and reducing en</w:t>
      </w:r>
      <w:r w:rsidR="003A6894" w:rsidRPr="001E2783">
        <w:rPr>
          <w:rFonts w:cs="Arial"/>
          <w:szCs w:val="20"/>
        </w:rPr>
        <w:t>ergy consumption through energy-efficient office fit-</w:t>
      </w:r>
      <w:r w:rsidRPr="001E2783">
        <w:rPr>
          <w:rFonts w:cs="Arial"/>
          <w:szCs w:val="20"/>
        </w:rPr>
        <w:t>outs. Further measures include, but are not limited to</w:t>
      </w:r>
      <w:r w:rsidR="003A6894" w:rsidRPr="001E2783">
        <w:rPr>
          <w:rFonts w:cs="Arial"/>
          <w:szCs w:val="20"/>
        </w:rPr>
        <w:t>:</w:t>
      </w:r>
    </w:p>
    <w:p w14:paraId="46E0EC1D" w14:textId="77777777" w:rsidR="003A6894" w:rsidRPr="001E2783" w:rsidRDefault="008D2BB5" w:rsidP="003A6894">
      <w:pPr>
        <w:pStyle w:val="ListBullet"/>
        <w:ind w:left="284"/>
        <w:rPr>
          <w:rFonts w:cs="Arial"/>
          <w:szCs w:val="20"/>
        </w:rPr>
      </w:pPr>
      <w:r w:rsidRPr="001E2783">
        <w:rPr>
          <w:rFonts w:cs="Arial"/>
          <w:szCs w:val="20"/>
        </w:rPr>
        <w:t>extensive</w:t>
      </w:r>
      <w:r w:rsidR="003A6894" w:rsidRPr="001E2783">
        <w:rPr>
          <w:rFonts w:cs="Arial"/>
          <w:szCs w:val="20"/>
        </w:rPr>
        <w:t>ly</w:t>
      </w:r>
      <w:r w:rsidRPr="001E2783">
        <w:rPr>
          <w:rFonts w:cs="Arial"/>
          <w:szCs w:val="20"/>
        </w:rPr>
        <w:t xml:space="preserve"> us</w:t>
      </w:r>
      <w:r w:rsidR="003A6894" w:rsidRPr="001E2783">
        <w:rPr>
          <w:rFonts w:cs="Arial"/>
          <w:szCs w:val="20"/>
        </w:rPr>
        <w:t>ing video</w:t>
      </w:r>
      <w:r w:rsidRPr="001E2783">
        <w:rPr>
          <w:rFonts w:cs="Arial"/>
          <w:szCs w:val="20"/>
        </w:rPr>
        <w:t>conferencing facilities to reduce air travel</w:t>
      </w:r>
    </w:p>
    <w:p w14:paraId="3DCEFC9C" w14:textId="77777777" w:rsidR="003A6894" w:rsidRPr="001E2783" w:rsidRDefault="003A6894" w:rsidP="003A6894">
      <w:pPr>
        <w:pStyle w:val="ListBullet"/>
        <w:ind w:left="284"/>
        <w:rPr>
          <w:rFonts w:cs="Arial"/>
          <w:szCs w:val="20"/>
        </w:rPr>
      </w:pPr>
      <w:r w:rsidRPr="001E2783">
        <w:rPr>
          <w:rFonts w:cs="Arial"/>
          <w:szCs w:val="20"/>
        </w:rPr>
        <w:t xml:space="preserve">implementing </w:t>
      </w:r>
      <w:r w:rsidR="008D2BB5" w:rsidRPr="001E2783">
        <w:rPr>
          <w:rFonts w:cs="Arial"/>
          <w:szCs w:val="20"/>
        </w:rPr>
        <w:t>forced ‘out-of-hours’ computer terminal shutdown</w:t>
      </w:r>
    </w:p>
    <w:p w14:paraId="48BDD1FA" w14:textId="77777777" w:rsidR="003A6894" w:rsidRPr="001E2783" w:rsidRDefault="008D2BB5" w:rsidP="003A6894">
      <w:pPr>
        <w:pStyle w:val="ListBullet"/>
        <w:ind w:left="284"/>
        <w:rPr>
          <w:rFonts w:cs="Arial"/>
          <w:szCs w:val="20"/>
        </w:rPr>
      </w:pPr>
      <w:r w:rsidRPr="001E2783">
        <w:rPr>
          <w:rFonts w:cs="Arial"/>
          <w:szCs w:val="20"/>
        </w:rPr>
        <w:t>us</w:t>
      </w:r>
      <w:r w:rsidR="003A6894" w:rsidRPr="001E2783">
        <w:rPr>
          <w:rFonts w:cs="Arial"/>
          <w:szCs w:val="20"/>
        </w:rPr>
        <w:t>ing</w:t>
      </w:r>
      <w:r w:rsidRPr="001E2783">
        <w:rPr>
          <w:rFonts w:cs="Arial"/>
          <w:szCs w:val="20"/>
        </w:rPr>
        <w:t xml:space="preserve"> environmentally friendly cleaning products</w:t>
      </w:r>
    </w:p>
    <w:p w14:paraId="352D2D7A" w14:textId="77777777" w:rsidR="008D2BB5" w:rsidRPr="001E2783" w:rsidRDefault="008D2BB5" w:rsidP="003A6894">
      <w:pPr>
        <w:pStyle w:val="ListBullet"/>
        <w:spacing w:after="240"/>
        <w:ind w:left="284"/>
        <w:rPr>
          <w:rFonts w:cs="Arial"/>
          <w:szCs w:val="20"/>
        </w:rPr>
      </w:pPr>
      <w:r w:rsidRPr="001E2783">
        <w:rPr>
          <w:rFonts w:cs="Arial"/>
          <w:szCs w:val="20"/>
        </w:rPr>
        <w:t>separating office waste into recyclable and non-recyclable components.</w:t>
      </w:r>
    </w:p>
    <w:p w14:paraId="21366A01" w14:textId="77777777" w:rsidR="008D2BB5" w:rsidRPr="001E2783" w:rsidRDefault="008D2BB5" w:rsidP="008D2BB5">
      <w:pPr>
        <w:rPr>
          <w:rFonts w:cs="Arial"/>
          <w:szCs w:val="20"/>
        </w:rPr>
      </w:pPr>
      <w:r w:rsidRPr="001E2783">
        <w:rPr>
          <w:rFonts w:cs="Arial"/>
          <w:szCs w:val="20"/>
        </w:rPr>
        <w:t>The ACMA accords with relevant ecologically sustainable development and environmental requirements, and reports its performance annually though the Government Greenhouse Energy Reporting requests and the National Environment Protection Measures reporting requirements. It also provides information to the Energy and Environment Survey undertaken</w:t>
      </w:r>
      <w:bookmarkStart w:id="343" w:name="_GoBack"/>
      <w:bookmarkEnd w:id="343"/>
      <w:r w:rsidRPr="001E2783">
        <w:rPr>
          <w:rFonts w:cs="Arial"/>
          <w:szCs w:val="20"/>
        </w:rPr>
        <w:t xml:space="preserve"> by the Australian Bureau of Statistics.</w:t>
      </w:r>
    </w:p>
    <w:p w14:paraId="3F8D632F" w14:textId="77777777" w:rsidR="00FA6F37" w:rsidRPr="001E2783" w:rsidRDefault="00FA6F37" w:rsidP="00FA6F37">
      <w:pPr>
        <w:rPr>
          <w:rFonts w:cs="Arial"/>
        </w:rPr>
      </w:pPr>
    </w:p>
    <w:sectPr w:rsidR="00FA6F37" w:rsidRPr="001E2783" w:rsidSect="00AD5C37">
      <w:pgSz w:w="11906" w:h="16838" w:code="9"/>
      <w:pgMar w:top="1945" w:right="3101" w:bottom="868" w:left="1134" w:header="709" w:footer="11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A816D29" w14:textId="77777777" w:rsidR="00311E08" w:rsidRDefault="00311E08">
      <w:r>
        <w:separator/>
      </w:r>
    </w:p>
  </w:endnote>
  <w:endnote w:type="continuationSeparator" w:id="0">
    <w:p w14:paraId="6EAD8913" w14:textId="77777777" w:rsidR="00311E08" w:rsidRDefault="00311E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HelveticaNeueLT Std Lt">
    <w:panose1 w:val="00000000000000000000"/>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NeueLT Std Med">
    <w:altName w:val="Arial"/>
    <w:panose1 w:val="00000000000000000000"/>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Geogrotesque Lg">
    <w:charset w:val="00"/>
    <w:family w:val="auto"/>
    <w:pitch w:val="default"/>
  </w:font>
  <w:font w:name="ヒラギノ角ゴ Pro W3">
    <w:altName w:val="MS Mincho"/>
    <w:charset w:val="4E"/>
    <w:family w:val="auto"/>
    <w:pitch w:val="variable"/>
    <w:sig w:usb0="00000000" w:usb1="00000000" w:usb2="01000407" w:usb3="00000000" w:csb0="0002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8C0CCF" w14:textId="77777777" w:rsidR="0090048E" w:rsidRDefault="0090048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4559FE" w14:textId="398C5925" w:rsidR="00311E08" w:rsidRDefault="00311E08">
    <w:pPr>
      <w:pStyle w:val="Footer"/>
    </w:pPr>
    <w:r>
      <w:rPr>
        <w:noProof/>
      </w:rPr>
      <mc:AlternateContent>
        <mc:Choice Requires="wps">
          <w:drawing>
            <wp:anchor distT="0" distB="0" distL="114300" distR="114300" simplePos="0" relativeHeight="251659264" behindDoc="1" locked="1" layoutInCell="1" allowOverlap="1" wp14:anchorId="4256D9A1" wp14:editId="30A4B3A4">
              <wp:simplePos x="0" y="0"/>
              <wp:positionH relativeFrom="page">
                <wp:posOffset>726440</wp:posOffset>
              </wp:positionH>
              <wp:positionV relativeFrom="page">
                <wp:posOffset>10193020</wp:posOffset>
              </wp:positionV>
              <wp:extent cx="3504565" cy="184150"/>
              <wp:effectExtent l="2540" t="1270" r="7620" b="5080"/>
              <wp:wrapNone/>
              <wp:docPr id="2" name="Logo_ftr_grey_ing"/>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504565" cy="184150"/>
                      </a:xfrm>
                      <a:custGeom>
                        <a:avLst/>
                        <a:gdLst>
                          <a:gd name="T0" fmla="*/ 119 w 4417"/>
                          <a:gd name="T1" fmla="*/ 131 h 224"/>
                          <a:gd name="T2" fmla="*/ 118 w 4417"/>
                          <a:gd name="T3" fmla="*/ 103 h 224"/>
                          <a:gd name="T4" fmla="*/ 143 w 4417"/>
                          <a:gd name="T5" fmla="*/ 162 h 224"/>
                          <a:gd name="T6" fmla="*/ 176 w 4417"/>
                          <a:gd name="T7" fmla="*/ 89 h 224"/>
                          <a:gd name="T8" fmla="*/ 443 w 4417"/>
                          <a:gd name="T9" fmla="*/ 90 h 224"/>
                          <a:gd name="T10" fmla="*/ 305 w 4417"/>
                          <a:gd name="T11" fmla="*/ 95 h 224"/>
                          <a:gd name="T12" fmla="*/ 638 w 4417"/>
                          <a:gd name="T13" fmla="*/ 74 h 224"/>
                          <a:gd name="T14" fmla="*/ 521 w 4417"/>
                          <a:gd name="T15" fmla="*/ 88 h 224"/>
                          <a:gd name="T16" fmla="*/ 664 w 4417"/>
                          <a:gd name="T17" fmla="*/ 60 h 224"/>
                          <a:gd name="T18" fmla="*/ 843 w 4417"/>
                          <a:gd name="T19" fmla="*/ 68 h 224"/>
                          <a:gd name="T20" fmla="*/ 841 w 4417"/>
                          <a:gd name="T21" fmla="*/ 96 h 224"/>
                          <a:gd name="T22" fmla="*/ 1069 w 4417"/>
                          <a:gd name="T23" fmla="*/ 103 h 224"/>
                          <a:gd name="T24" fmla="*/ 1100 w 4417"/>
                          <a:gd name="T25" fmla="*/ 152 h 224"/>
                          <a:gd name="T26" fmla="*/ 1069 w 4417"/>
                          <a:gd name="T27" fmla="*/ 103 h 224"/>
                          <a:gd name="T28" fmla="*/ 1173 w 4417"/>
                          <a:gd name="T29" fmla="*/ 176 h 224"/>
                          <a:gd name="T30" fmla="*/ 1178 w 4417"/>
                          <a:gd name="T31" fmla="*/ 82 h 224"/>
                          <a:gd name="T32" fmla="*/ 1296 w 4417"/>
                          <a:gd name="T33" fmla="*/ 147 h 224"/>
                          <a:gd name="T34" fmla="*/ 1292 w 4417"/>
                          <a:gd name="T35" fmla="*/ 25 h 224"/>
                          <a:gd name="T36" fmla="*/ 1423 w 4417"/>
                          <a:gd name="T37" fmla="*/ 76 h 224"/>
                          <a:gd name="T38" fmla="*/ 1445 w 4417"/>
                          <a:gd name="T39" fmla="*/ 88 h 224"/>
                          <a:gd name="T40" fmla="*/ 1518 w 4417"/>
                          <a:gd name="T41" fmla="*/ 180 h 224"/>
                          <a:gd name="T42" fmla="*/ 1517 w 4417"/>
                          <a:gd name="T43" fmla="*/ 92 h 224"/>
                          <a:gd name="T44" fmla="*/ 1553 w 4417"/>
                          <a:gd name="T45" fmla="*/ 104 h 224"/>
                          <a:gd name="T46" fmla="*/ 1937 w 4417"/>
                          <a:gd name="T47" fmla="*/ 85 h 224"/>
                          <a:gd name="T48" fmla="*/ 1993 w 4417"/>
                          <a:gd name="T49" fmla="*/ 85 h 224"/>
                          <a:gd name="T50" fmla="*/ 2097 w 4417"/>
                          <a:gd name="T51" fmla="*/ 176 h 224"/>
                          <a:gd name="T52" fmla="*/ 2095 w 4417"/>
                          <a:gd name="T53" fmla="*/ 94 h 224"/>
                          <a:gd name="T54" fmla="*/ 2226 w 4417"/>
                          <a:gd name="T55" fmla="*/ 103 h 224"/>
                          <a:gd name="T56" fmla="*/ 2257 w 4417"/>
                          <a:gd name="T57" fmla="*/ 152 h 224"/>
                          <a:gd name="T58" fmla="*/ 2226 w 4417"/>
                          <a:gd name="T59" fmla="*/ 103 h 224"/>
                          <a:gd name="T60" fmla="*/ 2435 w 4417"/>
                          <a:gd name="T61" fmla="*/ 46 h 224"/>
                          <a:gd name="T62" fmla="*/ 2526 w 4417"/>
                          <a:gd name="T63" fmla="*/ 148 h 224"/>
                          <a:gd name="T64" fmla="*/ 2526 w 4417"/>
                          <a:gd name="T65" fmla="*/ 85 h 224"/>
                          <a:gd name="T66" fmla="*/ 2590 w 4417"/>
                          <a:gd name="T67" fmla="*/ 176 h 224"/>
                          <a:gd name="T68" fmla="*/ 2595 w 4417"/>
                          <a:gd name="T69" fmla="*/ 82 h 224"/>
                          <a:gd name="T70" fmla="*/ 2713 w 4417"/>
                          <a:gd name="T71" fmla="*/ 147 h 224"/>
                          <a:gd name="T72" fmla="*/ 2709 w 4417"/>
                          <a:gd name="T73" fmla="*/ 25 h 224"/>
                          <a:gd name="T74" fmla="*/ 2840 w 4417"/>
                          <a:gd name="T75" fmla="*/ 76 h 224"/>
                          <a:gd name="T76" fmla="*/ 2862 w 4417"/>
                          <a:gd name="T77" fmla="*/ 88 h 224"/>
                          <a:gd name="T78" fmla="*/ 2935 w 4417"/>
                          <a:gd name="T79" fmla="*/ 180 h 224"/>
                          <a:gd name="T80" fmla="*/ 2934 w 4417"/>
                          <a:gd name="T81" fmla="*/ 92 h 224"/>
                          <a:gd name="T82" fmla="*/ 2970 w 4417"/>
                          <a:gd name="T83" fmla="*/ 104 h 224"/>
                          <a:gd name="T84" fmla="*/ 3402 w 4417"/>
                          <a:gd name="T85" fmla="*/ 60 h 224"/>
                          <a:gd name="T86" fmla="*/ 3365 w 4417"/>
                          <a:gd name="T87" fmla="*/ 60 h 224"/>
                          <a:gd name="T88" fmla="*/ 3461 w 4417"/>
                          <a:gd name="T89" fmla="*/ 74 h 224"/>
                          <a:gd name="T90" fmla="*/ 3683 w 4417"/>
                          <a:gd name="T91" fmla="*/ 197 h 224"/>
                          <a:gd name="T92" fmla="*/ 3641 w 4417"/>
                          <a:gd name="T93" fmla="*/ 167 h 224"/>
                          <a:gd name="T94" fmla="*/ 3654 w 4417"/>
                          <a:gd name="T95" fmla="*/ 104 h 224"/>
                          <a:gd name="T96" fmla="*/ 3825 w 4417"/>
                          <a:gd name="T97" fmla="*/ 176 h 224"/>
                          <a:gd name="T98" fmla="*/ 3779 w 4417"/>
                          <a:gd name="T99" fmla="*/ 143 h 224"/>
                          <a:gd name="T100" fmla="*/ 3977 w 4417"/>
                          <a:gd name="T101" fmla="*/ 58 h 224"/>
                          <a:gd name="T102" fmla="*/ 3900 w 4417"/>
                          <a:gd name="T103" fmla="*/ 129 h 224"/>
                          <a:gd name="T104" fmla="*/ 3951 w 4417"/>
                          <a:gd name="T105" fmla="*/ 156 h 224"/>
                          <a:gd name="T106" fmla="*/ 4079 w 4417"/>
                          <a:gd name="T107" fmla="*/ 178 h 224"/>
                          <a:gd name="T108" fmla="*/ 4112 w 4417"/>
                          <a:gd name="T109" fmla="*/ 16 h 224"/>
                          <a:gd name="T110" fmla="*/ 4267 w 4417"/>
                          <a:gd name="T111" fmla="*/ 61 h 224"/>
                          <a:gd name="T112" fmla="*/ 4170 w 4417"/>
                          <a:gd name="T113" fmla="*/ 176 h 224"/>
                          <a:gd name="T114" fmla="*/ 4380 w 4417"/>
                          <a:gd name="T115" fmla="*/ 176 h 224"/>
                          <a:gd name="T116" fmla="*/ 4381 w 4417"/>
                          <a:gd name="T117" fmla="*/ 60 h 224"/>
                          <a:gd name="T118" fmla="*/ 4369 w 4417"/>
                          <a:gd name="T119" fmla="*/ 140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417" h="224">
                            <a:moveTo>
                              <a:pt x="81" y="103"/>
                            </a:moveTo>
                            <a:cubicBezTo>
                              <a:pt x="81" y="100"/>
                              <a:pt x="81" y="98"/>
                              <a:pt x="80" y="96"/>
                            </a:cubicBezTo>
                            <a:cubicBezTo>
                              <a:pt x="79" y="94"/>
                              <a:pt x="77" y="92"/>
                              <a:pt x="75" y="91"/>
                            </a:cubicBezTo>
                            <a:cubicBezTo>
                              <a:pt x="74" y="89"/>
                              <a:pt x="72" y="88"/>
                              <a:pt x="70" y="87"/>
                            </a:cubicBezTo>
                            <a:cubicBezTo>
                              <a:pt x="67" y="86"/>
                              <a:pt x="65" y="86"/>
                              <a:pt x="63" y="86"/>
                            </a:cubicBezTo>
                            <a:cubicBezTo>
                              <a:pt x="57" y="86"/>
                              <a:pt x="53" y="87"/>
                              <a:pt x="50" y="89"/>
                            </a:cubicBezTo>
                            <a:cubicBezTo>
                              <a:pt x="46" y="91"/>
                              <a:pt x="44" y="94"/>
                              <a:pt x="42" y="97"/>
                            </a:cubicBezTo>
                            <a:cubicBezTo>
                              <a:pt x="41" y="100"/>
                              <a:pt x="39" y="104"/>
                              <a:pt x="39" y="108"/>
                            </a:cubicBezTo>
                            <a:cubicBezTo>
                              <a:pt x="38" y="112"/>
                              <a:pt x="38" y="116"/>
                              <a:pt x="38" y="120"/>
                            </a:cubicBezTo>
                            <a:cubicBezTo>
                              <a:pt x="38" y="124"/>
                              <a:pt x="38" y="128"/>
                              <a:pt x="39" y="131"/>
                            </a:cubicBezTo>
                            <a:cubicBezTo>
                              <a:pt x="40" y="135"/>
                              <a:pt x="41" y="138"/>
                              <a:pt x="43" y="141"/>
                            </a:cubicBezTo>
                            <a:cubicBezTo>
                              <a:pt x="45" y="144"/>
                              <a:pt x="47" y="146"/>
                              <a:pt x="50" y="148"/>
                            </a:cubicBezTo>
                            <a:cubicBezTo>
                              <a:pt x="53" y="150"/>
                              <a:pt x="57" y="151"/>
                              <a:pt x="61" y="151"/>
                            </a:cubicBezTo>
                            <a:cubicBezTo>
                              <a:pt x="67" y="151"/>
                              <a:pt x="72" y="149"/>
                              <a:pt x="76" y="145"/>
                            </a:cubicBezTo>
                            <a:cubicBezTo>
                              <a:pt x="79" y="142"/>
                              <a:pt x="81" y="137"/>
                              <a:pt x="82" y="131"/>
                            </a:cubicBezTo>
                            <a:cubicBezTo>
                              <a:pt x="119" y="131"/>
                              <a:pt x="119" y="131"/>
                              <a:pt x="119" y="131"/>
                            </a:cubicBezTo>
                            <a:cubicBezTo>
                              <a:pt x="118" y="138"/>
                              <a:pt x="116" y="145"/>
                              <a:pt x="113" y="152"/>
                            </a:cubicBezTo>
                            <a:cubicBezTo>
                              <a:pt x="110" y="158"/>
                              <a:pt x="105" y="163"/>
                              <a:pt x="100" y="167"/>
                            </a:cubicBezTo>
                            <a:cubicBezTo>
                              <a:pt x="95" y="171"/>
                              <a:pt x="89" y="174"/>
                              <a:pt x="83" y="176"/>
                            </a:cubicBezTo>
                            <a:cubicBezTo>
                              <a:pt x="76" y="179"/>
                              <a:pt x="69" y="180"/>
                              <a:pt x="61" y="180"/>
                            </a:cubicBezTo>
                            <a:cubicBezTo>
                              <a:pt x="52" y="180"/>
                              <a:pt x="44" y="178"/>
                              <a:pt x="36" y="175"/>
                            </a:cubicBezTo>
                            <a:cubicBezTo>
                              <a:pt x="29" y="173"/>
                              <a:pt x="23" y="169"/>
                              <a:pt x="17" y="163"/>
                            </a:cubicBezTo>
                            <a:cubicBezTo>
                              <a:pt x="12" y="158"/>
                              <a:pt x="8" y="152"/>
                              <a:pt x="4" y="145"/>
                            </a:cubicBezTo>
                            <a:cubicBezTo>
                              <a:pt x="1" y="137"/>
                              <a:pt x="0" y="129"/>
                              <a:pt x="0" y="120"/>
                            </a:cubicBezTo>
                            <a:cubicBezTo>
                              <a:pt x="0" y="111"/>
                              <a:pt x="1" y="102"/>
                              <a:pt x="4" y="95"/>
                            </a:cubicBezTo>
                            <a:cubicBezTo>
                              <a:pt x="7" y="87"/>
                              <a:pt x="11" y="80"/>
                              <a:pt x="16" y="75"/>
                            </a:cubicBezTo>
                            <a:cubicBezTo>
                              <a:pt x="22" y="69"/>
                              <a:pt x="28" y="65"/>
                              <a:pt x="35" y="61"/>
                            </a:cubicBezTo>
                            <a:cubicBezTo>
                              <a:pt x="43" y="58"/>
                              <a:pt x="51" y="57"/>
                              <a:pt x="61" y="57"/>
                            </a:cubicBezTo>
                            <a:cubicBezTo>
                              <a:pt x="68" y="57"/>
                              <a:pt x="75" y="58"/>
                              <a:pt x="82" y="60"/>
                            </a:cubicBezTo>
                            <a:cubicBezTo>
                              <a:pt x="88" y="62"/>
                              <a:pt x="94" y="64"/>
                              <a:pt x="99" y="68"/>
                            </a:cubicBezTo>
                            <a:cubicBezTo>
                              <a:pt x="105" y="72"/>
                              <a:pt x="109" y="77"/>
                              <a:pt x="112" y="83"/>
                            </a:cubicBezTo>
                            <a:cubicBezTo>
                              <a:pt x="115" y="88"/>
                              <a:pt x="117" y="95"/>
                              <a:pt x="118" y="103"/>
                            </a:cubicBezTo>
                            <a:lnTo>
                              <a:pt x="81" y="103"/>
                            </a:lnTo>
                            <a:close/>
                            <a:moveTo>
                              <a:pt x="126" y="118"/>
                            </a:moveTo>
                            <a:cubicBezTo>
                              <a:pt x="126" y="110"/>
                              <a:pt x="128" y="102"/>
                              <a:pt x="131" y="94"/>
                            </a:cubicBezTo>
                            <a:cubicBezTo>
                              <a:pt x="134" y="87"/>
                              <a:pt x="138" y="80"/>
                              <a:pt x="143" y="74"/>
                            </a:cubicBezTo>
                            <a:cubicBezTo>
                              <a:pt x="149" y="69"/>
                              <a:pt x="155" y="65"/>
                              <a:pt x="163" y="61"/>
                            </a:cubicBezTo>
                            <a:cubicBezTo>
                              <a:pt x="170" y="58"/>
                              <a:pt x="178" y="57"/>
                              <a:pt x="187" y="57"/>
                            </a:cubicBezTo>
                            <a:cubicBezTo>
                              <a:pt x="196" y="57"/>
                              <a:pt x="205" y="58"/>
                              <a:pt x="212" y="61"/>
                            </a:cubicBezTo>
                            <a:cubicBezTo>
                              <a:pt x="220" y="65"/>
                              <a:pt x="226" y="69"/>
                              <a:pt x="232" y="74"/>
                            </a:cubicBezTo>
                            <a:cubicBezTo>
                              <a:pt x="237" y="80"/>
                              <a:pt x="241" y="87"/>
                              <a:pt x="244" y="94"/>
                            </a:cubicBezTo>
                            <a:cubicBezTo>
                              <a:pt x="247" y="102"/>
                              <a:pt x="249" y="110"/>
                              <a:pt x="249" y="118"/>
                            </a:cubicBezTo>
                            <a:cubicBezTo>
                              <a:pt x="249" y="127"/>
                              <a:pt x="247" y="135"/>
                              <a:pt x="244" y="143"/>
                            </a:cubicBezTo>
                            <a:cubicBezTo>
                              <a:pt x="241" y="150"/>
                              <a:pt x="237" y="157"/>
                              <a:pt x="232" y="162"/>
                            </a:cubicBezTo>
                            <a:cubicBezTo>
                              <a:pt x="226" y="168"/>
                              <a:pt x="220" y="172"/>
                              <a:pt x="212" y="175"/>
                            </a:cubicBezTo>
                            <a:cubicBezTo>
                              <a:pt x="205" y="178"/>
                              <a:pt x="196" y="180"/>
                              <a:pt x="187" y="180"/>
                            </a:cubicBezTo>
                            <a:cubicBezTo>
                              <a:pt x="178" y="180"/>
                              <a:pt x="170" y="178"/>
                              <a:pt x="163" y="175"/>
                            </a:cubicBezTo>
                            <a:cubicBezTo>
                              <a:pt x="155" y="172"/>
                              <a:pt x="149" y="168"/>
                              <a:pt x="143" y="162"/>
                            </a:cubicBezTo>
                            <a:cubicBezTo>
                              <a:pt x="138" y="157"/>
                              <a:pt x="134" y="150"/>
                              <a:pt x="131" y="143"/>
                            </a:cubicBezTo>
                            <a:cubicBezTo>
                              <a:pt x="128" y="135"/>
                              <a:pt x="126" y="127"/>
                              <a:pt x="126" y="118"/>
                            </a:cubicBezTo>
                            <a:close/>
                            <a:moveTo>
                              <a:pt x="164" y="118"/>
                            </a:moveTo>
                            <a:cubicBezTo>
                              <a:pt x="164" y="122"/>
                              <a:pt x="165" y="126"/>
                              <a:pt x="165" y="130"/>
                            </a:cubicBezTo>
                            <a:cubicBezTo>
                              <a:pt x="166" y="133"/>
                              <a:pt x="167" y="137"/>
                              <a:pt x="169" y="140"/>
                            </a:cubicBezTo>
                            <a:cubicBezTo>
                              <a:pt x="171" y="143"/>
                              <a:pt x="173" y="146"/>
                              <a:pt x="176" y="148"/>
                            </a:cubicBezTo>
                            <a:cubicBezTo>
                              <a:pt x="179" y="150"/>
                              <a:pt x="183" y="151"/>
                              <a:pt x="187" y="151"/>
                            </a:cubicBezTo>
                            <a:cubicBezTo>
                              <a:pt x="192" y="151"/>
                              <a:pt x="196" y="150"/>
                              <a:pt x="199" y="148"/>
                            </a:cubicBezTo>
                            <a:cubicBezTo>
                              <a:pt x="202" y="146"/>
                              <a:pt x="204" y="143"/>
                              <a:pt x="206" y="140"/>
                            </a:cubicBezTo>
                            <a:cubicBezTo>
                              <a:pt x="208" y="137"/>
                              <a:pt x="209" y="133"/>
                              <a:pt x="210" y="130"/>
                            </a:cubicBezTo>
                            <a:cubicBezTo>
                              <a:pt x="210" y="126"/>
                              <a:pt x="211" y="122"/>
                              <a:pt x="211" y="118"/>
                            </a:cubicBezTo>
                            <a:cubicBezTo>
                              <a:pt x="211" y="115"/>
                              <a:pt x="210" y="111"/>
                              <a:pt x="210" y="107"/>
                            </a:cubicBezTo>
                            <a:cubicBezTo>
                              <a:pt x="209" y="103"/>
                              <a:pt x="208" y="100"/>
                              <a:pt x="206" y="97"/>
                            </a:cubicBezTo>
                            <a:cubicBezTo>
                              <a:pt x="204" y="94"/>
                              <a:pt x="202" y="91"/>
                              <a:pt x="199" y="89"/>
                            </a:cubicBezTo>
                            <a:cubicBezTo>
                              <a:pt x="196" y="87"/>
                              <a:pt x="192" y="86"/>
                              <a:pt x="187" y="86"/>
                            </a:cubicBezTo>
                            <a:cubicBezTo>
                              <a:pt x="183" y="86"/>
                              <a:pt x="179" y="87"/>
                              <a:pt x="176" y="89"/>
                            </a:cubicBezTo>
                            <a:cubicBezTo>
                              <a:pt x="173" y="91"/>
                              <a:pt x="171" y="94"/>
                              <a:pt x="169" y="97"/>
                            </a:cubicBezTo>
                            <a:cubicBezTo>
                              <a:pt x="167" y="100"/>
                              <a:pt x="166" y="103"/>
                              <a:pt x="165" y="107"/>
                            </a:cubicBezTo>
                            <a:cubicBezTo>
                              <a:pt x="165" y="111"/>
                              <a:pt x="164" y="115"/>
                              <a:pt x="164" y="118"/>
                            </a:cubicBezTo>
                            <a:close/>
                            <a:moveTo>
                              <a:pt x="262" y="60"/>
                            </a:moveTo>
                            <a:cubicBezTo>
                              <a:pt x="299" y="60"/>
                              <a:pt x="299" y="60"/>
                              <a:pt x="299" y="60"/>
                            </a:cubicBezTo>
                            <a:cubicBezTo>
                              <a:pt x="299" y="76"/>
                              <a:pt x="299" y="76"/>
                              <a:pt x="299" y="76"/>
                            </a:cubicBezTo>
                            <a:cubicBezTo>
                              <a:pt x="300" y="76"/>
                              <a:pt x="300" y="76"/>
                              <a:pt x="300" y="76"/>
                            </a:cubicBezTo>
                            <a:cubicBezTo>
                              <a:pt x="303" y="70"/>
                              <a:pt x="308" y="66"/>
                              <a:pt x="313" y="62"/>
                            </a:cubicBezTo>
                            <a:cubicBezTo>
                              <a:pt x="319" y="59"/>
                              <a:pt x="326" y="57"/>
                              <a:pt x="333" y="57"/>
                            </a:cubicBezTo>
                            <a:cubicBezTo>
                              <a:pt x="340" y="57"/>
                              <a:pt x="347" y="58"/>
                              <a:pt x="353" y="61"/>
                            </a:cubicBezTo>
                            <a:cubicBezTo>
                              <a:pt x="359" y="64"/>
                              <a:pt x="364" y="69"/>
                              <a:pt x="367" y="76"/>
                            </a:cubicBezTo>
                            <a:cubicBezTo>
                              <a:pt x="371" y="69"/>
                              <a:pt x="377" y="65"/>
                              <a:pt x="382" y="61"/>
                            </a:cubicBezTo>
                            <a:cubicBezTo>
                              <a:pt x="388" y="58"/>
                              <a:pt x="395" y="57"/>
                              <a:pt x="403" y="57"/>
                            </a:cubicBezTo>
                            <a:cubicBezTo>
                              <a:pt x="412" y="57"/>
                              <a:pt x="420" y="58"/>
                              <a:pt x="425" y="61"/>
                            </a:cubicBezTo>
                            <a:cubicBezTo>
                              <a:pt x="431" y="65"/>
                              <a:pt x="435" y="69"/>
                              <a:pt x="437" y="74"/>
                            </a:cubicBezTo>
                            <a:cubicBezTo>
                              <a:pt x="440" y="78"/>
                              <a:pt x="442" y="84"/>
                              <a:pt x="443" y="90"/>
                            </a:cubicBezTo>
                            <a:cubicBezTo>
                              <a:pt x="444" y="96"/>
                              <a:pt x="444" y="101"/>
                              <a:pt x="444" y="107"/>
                            </a:cubicBezTo>
                            <a:cubicBezTo>
                              <a:pt x="444" y="176"/>
                              <a:pt x="444" y="176"/>
                              <a:pt x="444" y="176"/>
                            </a:cubicBezTo>
                            <a:cubicBezTo>
                              <a:pt x="406" y="176"/>
                              <a:pt x="406" y="176"/>
                              <a:pt x="406" y="176"/>
                            </a:cubicBezTo>
                            <a:cubicBezTo>
                              <a:pt x="406" y="108"/>
                              <a:pt x="406" y="108"/>
                              <a:pt x="406" y="108"/>
                            </a:cubicBezTo>
                            <a:cubicBezTo>
                              <a:pt x="406" y="102"/>
                              <a:pt x="405" y="97"/>
                              <a:pt x="402" y="93"/>
                            </a:cubicBezTo>
                            <a:cubicBezTo>
                              <a:pt x="399" y="90"/>
                              <a:pt x="395" y="88"/>
                              <a:pt x="390" y="88"/>
                            </a:cubicBezTo>
                            <a:cubicBezTo>
                              <a:pt x="386" y="88"/>
                              <a:pt x="383" y="89"/>
                              <a:pt x="380" y="90"/>
                            </a:cubicBezTo>
                            <a:cubicBezTo>
                              <a:pt x="378" y="92"/>
                              <a:pt x="376" y="94"/>
                              <a:pt x="375" y="97"/>
                            </a:cubicBezTo>
                            <a:cubicBezTo>
                              <a:pt x="374" y="100"/>
                              <a:pt x="373" y="103"/>
                              <a:pt x="373" y="107"/>
                            </a:cubicBezTo>
                            <a:cubicBezTo>
                              <a:pt x="372" y="111"/>
                              <a:pt x="372" y="115"/>
                              <a:pt x="372" y="119"/>
                            </a:cubicBezTo>
                            <a:cubicBezTo>
                              <a:pt x="372" y="176"/>
                              <a:pt x="372" y="176"/>
                              <a:pt x="372" y="176"/>
                            </a:cubicBezTo>
                            <a:cubicBezTo>
                              <a:pt x="334" y="176"/>
                              <a:pt x="334" y="176"/>
                              <a:pt x="334" y="176"/>
                            </a:cubicBezTo>
                            <a:cubicBezTo>
                              <a:pt x="334" y="110"/>
                              <a:pt x="334" y="110"/>
                              <a:pt x="334" y="110"/>
                            </a:cubicBezTo>
                            <a:cubicBezTo>
                              <a:pt x="334" y="103"/>
                              <a:pt x="333" y="98"/>
                              <a:pt x="331" y="94"/>
                            </a:cubicBezTo>
                            <a:cubicBezTo>
                              <a:pt x="329" y="90"/>
                              <a:pt x="325" y="88"/>
                              <a:pt x="320" y="88"/>
                            </a:cubicBezTo>
                            <a:cubicBezTo>
                              <a:pt x="313" y="88"/>
                              <a:pt x="308" y="90"/>
                              <a:pt x="305" y="95"/>
                            </a:cubicBezTo>
                            <a:cubicBezTo>
                              <a:pt x="302" y="100"/>
                              <a:pt x="300" y="108"/>
                              <a:pt x="300" y="120"/>
                            </a:cubicBezTo>
                            <a:cubicBezTo>
                              <a:pt x="300" y="176"/>
                              <a:pt x="300" y="176"/>
                              <a:pt x="300" y="176"/>
                            </a:cubicBezTo>
                            <a:cubicBezTo>
                              <a:pt x="262" y="176"/>
                              <a:pt x="262" y="176"/>
                              <a:pt x="262" y="176"/>
                            </a:cubicBezTo>
                            <a:lnTo>
                              <a:pt x="262" y="60"/>
                            </a:lnTo>
                            <a:close/>
                            <a:moveTo>
                              <a:pt x="463" y="60"/>
                            </a:moveTo>
                            <a:cubicBezTo>
                              <a:pt x="500" y="60"/>
                              <a:pt x="500" y="60"/>
                              <a:pt x="500" y="60"/>
                            </a:cubicBezTo>
                            <a:cubicBezTo>
                              <a:pt x="500" y="76"/>
                              <a:pt x="500" y="76"/>
                              <a:pt x="500" y="76"/>
                            </a:cubicBezTo>
                            <a:cubicBezTo>
                              <a:pt x="501" y="76"/>
                              <a:pt x="501" y="76"/>
                              <a:pt x="501" y="76"/>
                            </a:cubicBezTo>
                            <a:cubicBezTo>
                              <a:pt x="504" y="70"/>
                              <a:pt x="509" y="66"/>
                              <a:pt x="514" y="62"/>
                            </a:cubicBezTo>
                            <a:cubicBezTo>
                              <a:pt x="520" y="59"/>
                              <a:pt x="527" y="57"/>
                              <a:pt x="534" y="57"/>
                            </a:cubicBezTo>
                            <a:cubicBezTo>
                              <a:pt x="541" y="57"/>
                              <a:pt x="548" y="58"/>
                              <a:pt x="554" y="61"/>
                            </a:cubicBezTo>
                            <a:cubicBezTo>
                              <a:pt x="560" y="64"/>
                              <a:pt x="565" y="69"/>
                              <a:pt x="568" y="76"/>
                            </a:cubicBezTo>
                            <a:cubicBezTo>
                              <a:pt x="572" y="69"/>
                              <a:pt x="578" y="65"/>
                              <a:pt x="583" y="61"/>
                            </a:cubicBezTo>
                            <a:cubicBezTo>
                              <a:pt x="589" y="58"/>
                              <a:pt x="596" y="57"/>
                              <a:pt x="604" y="57"/>
                            </a:cubicBezTo>
                            <a:cubicBezTo>
                              <a:pt x="613" y="57"/>
                              <a:pt x="621" y="58"/>
                              <a:pt x="626" y="61"/>
                            </a:cubicBezTo>
                            <a:cubicBezTo>
                              <a:pt x="632" y="65"/>
                              <a:pt x="636" y="69"/>
                              <a:pt x="638" y="74"/>
                            </a:cubicBezTo>
                            <a:cubicBezTo>
                              <a:pt x="641" y="78"/>
                              <a:pt x="643" y="84"/>
                              <a:pt x="644" y="90"/>
                            </a:cubicBezTo>
                            <a:cubicBezTo>
                              <a:pt x="645" y="96"/>
                              <a:pt x="645" y="101"/>
                              <a:pt x="645" y="107"/>
                            </a:cubicBezTo>
                            <a:cubicBezTo>
                              <a:pt x="645" y="176"/>
                              <a:pt x="645" y="176"/>
                              <a:pt x="645" y="176"/>
                            </a:cubicBezTo>
                            <a:cubicBezTo>
                              <a:pt x="607" y="176"/>
                              <a:pt x="607" y="176"/>
                              <a:pt x="607" y="176"/>
                            </a:cubicBezTo>
                            <a:cubicBezTo>
                              <a:pt x="607" y="108"/>
                              <a:pt x="607" y="108"/>
                              <a:pt x="607" y="108"/>
                            </a:cubicBezTo>
                            <a:cubicBezTo>
                              <a:pt x="607" y="102"/>
                              <a:pt x="605" y="97"/>
                              <a:pt x="603" y="93"/>
                            </a:cubicBezTo>
                            <a:cubicBezTo>
                              <a:pt x="600" y="90"/>
                              <a:pt x="596" y="88"/>
                              <a:pt x="591" y="88"/>
                            </a:cubicBezTo>
                            <a:cubicBezTo>
                              <a:pt x="587" y="88"/>
                              <a:pt x="584" y="89"/>
                              <a:pt x="581" y="90"/>
                            </a:cubicBezTo>
                            <a:cubicBezTo>
                              <a:pt x="579" y="92"/>
                              <a:pt x="577" y="94"/>
                              <a:pt x="576" y="97"/>
                            </a:cubicBezTo>
                            <a:cubicBezTo>
                              <a:pt x="575" y="100"/>
                              <a:pt x="574" y="103"/>
                              <a:pt x="574" y="107"/>
                            </a:cubicBezTo>
                            <a:cubicBezTo>
                              <a:pt x="573" y="111"/>
                              <a:pt x="573" y="115"/>
                              <a:pt x="573" y="119"/>
                            </a:cubicBezTo>
                            <a:cubicBezTo>
                              <a:pt x="573" y="176"/>
                              <a:pt x="573" y="176"/>
                              <a:pt x="573" y="176"/>
                            </a:cubicBezTo>
                            <a:cubicBezTo>
                              <a:pt x="535" y="176"/>
                              <a:pt x="535" y="176"/>
                              <a:pt x="535" y="176"/>
                            </a:cubicBezTo>
                            <a:cubicBezTo>
                              <a:pt x="535" y="110"/>
                              <a:pt x="535" y="110"/>
                              <a:pt x="535" y="110"/>
                            </a:cubicBezTo>
                            <a:cubicBezTo>
                              <a:pt x="535" y="103"/>
                              <a:pt x="534" y="98"/>
                              <a:pt x="532" y="94"/>
                            </a:cubicBezTo>
                            <a:cubicBezTo>
                              <a:pt x="530" y="90"/>
                              <a:pt x="526" y="88"/>
                              <a:pt x="521" y="88"/>
                            </a:cubicBezTo>
                            <a:cubicBezTo>
                              <a:pt x="514" y="88"/>
                              <a:pt x="509" y="90"/>
                              <a:pt x="506" y="95"/>
                            </a:cubicBezTo>
                            <a:cubicBezTo>
                              <a:pt x="503" y="100"/>
                              <a:pt x="501" y="108"/>
                              <a:pt x="501" y="120"/>
                            </a:cubicBezTo>
                            <a:cubicBezTo>
                              <a:pt x="501" y="176"/>
                              <a:pt x="501" y="176"/>
                              <a:pt x="501" y="176"/>
                            </a:cubicBezTo>
                            <a:cubicBezTo>
                              <a:pt x="463" y="176"/>
                              <a:pt x="463" y="176"/>
                              <a:pt x="463" y="176"/>
                            </a:cubicBezTo>
                            <a:lnTo>
                              <a:pt x="463" y="60"/>
                            </a:lnTo>
                            <a:close/>
                            <a:moveTo>
                              <a:pt x="779" y="176"/>
                            </a:moveTo>
                            <a:cubicBezTo>
                              <a:pt x="742" y="176"/>
                              <a:pt x="742" y="176"/>
                              <a:pt x="742" y="176"/>
                            </a:cubicBezTo>
                            <a:cubicBezTo>
                              <a:pt x="742" y="160"/>
                              <a:pt x="742" y="160"/>
                              <a:pt x="742" y="160"/>
                            </a:cubicBezTo>
                            <a:cubicBezTo>
                              <a:pt x="742" y="160"/>
                              <a:pt x="742" y="160"/>
                              <a:pt x="742" y="160"/>
                            </a:cubicBezTo>
                            <a:cubicBezTo>
                              <a:pt x="738" y="166"/>
                              <a:pt x="733" y="171"/>
                              <a:pt x="727" y="175"/>
                            </a:cubicBezTo>
                            <a:cubicBezTo>
                              <a:pt x="720" y="178"/>
                              <a:pt x="713" y="180"/>
                              <a:pt x="707" y="180"/>
                            </a:cubicBezTo>
                            <a:cubicBezTo>
                              <a:pt x="698" y="180"/>
                              <a:pt x="691" y="179"/>
                              <a:pt x="686" y="176"/>
                            </a:cubicBezTo>
                            <a:cubicBezTo>
                              <a:pt x="680" y="174"/>
                              <a:pt x="676" y="171"/>
                              <a:pt x="673" y="166"/>
                            </a:cubicBezTo>
                            <a:cubicBezTo>
                              <a:pt x="669" y="162"/>
                              <a:pt x="667" y="157"/>
                              <a:pt x="666" y="151"/>
                            </a:cubicBezTo>
                            <a:cubicBezTo>
                              <a:pt x="664" y="145"/>
                              <a:pt x="664" y="138"/>
                              <a:pt x="664" y="130"/>
                            </a:cubicBezTo>
                            <a:cubicBezTo>
                              <a:pt x="664" y="60"/>
                              <a:pt x="664" y="60"/>
                              <a:pt x="664" y="60"/>
                            </a:cubicBezTo>
                            <a:cubicBezTo>
                              <a:pt x="702" y="60"/>
                              <a:pt x="702" y="60"/>
                              <a:pt x="702" y="60"/>
                            </a:cubicBezTo>
                            <a:cubicBezTo>
                              <a:pt x="702" y="128"/>
                              <a:pt x="702" y="128"/>
                              <a:pt x="702" y="128"/>
                            </a:cubicBezTo>
                            <a:cubicBezTo>
                              <a:pt x="702" y="135"/>
                              <a:pt x="703" y="141"/>
                              <a:pt x="706" y="144"/>
                            </a:cubicBezTo>
                            <a:cubicBezTo>
                              <a:pt x="710" y="147"/>
                              <a:pt x="714" y="148"/>
                              <a:pt x="720" y="148"/>
                            </a:cubicBezTo>
                            <a:cubicBezTo>
                              <a:pt x="723" y="148"/>
                              <a:pt x="725" y="148"/>
                              <a:pt x="727" y="147"/>
                            </a:cubicBezTo>
                            <a:cubicBezTo>
                              <a:pt x="730" y="147"/>
                              <a:pt x="732" y="145"/>
                              <a:pt x="734" y="143"/>
                            </a:cubicBezTo>
                            <a:cubicBezTo>
                              <a:pt x="736" y="141"/>
                              <a:pt x="738" y="138"/>
                              <a:pt x="739" y="135"/>
                            </a:cubicBezTo>
                            <a:cubicBezTo>
                              <a:pt x="741" y="132"/>
                              <a:pt x="741" y="128"/>
                              <a:pt x="741" y="122"/>
                            </a:cubicBezTo>
                            <a:cubicBezTo>
                              <a:pt x="741" y="60"/>
                              <a:pt x="741" y="60"/>
                              <a:pt x="741" y="60"/>
                            </a:cubicBezTo>
                            <a:cubicBezTo>
                              <a:pt x="779" y="60"/>
                              <a:pt x="779" y="60"/>
                              <a:pt x="779" y="60"/>
                            </a:cubicBezTo>
                            <a:lnTo>
                              <a:pt x="779" y="176"/>
                            </a:lnTo>
                            <a:close/>
                            <a:moveTo>
                              <a:pt x="798" y="60"/>
                            </a:moveTo>
                            <a:cubicBezTo>
                              <a:pt x="835" y="60"/>
                              <a:pt x="835" y="60"/>
                              <a:pt x="835" y="60"/>
                            </a:cubicBezTo>
                            <a:cubicBezTo>
                              <a:pt x="835" y="76"/>
                              <a:pt x="835" y="76"/>
                              <a:pt x="835" y="76"/>
                            </a:cubicBezTo>
                            <a:cubicBezTo>
                              <a:pt x="836" y="76"/>
                              <a:pt x="836" y="76"/>
                              <a:pt x="836" y="76"/>
                            </a:cubicBezTo>
                            <a:cubicBezTo>
                              <a:pt x="838" y="73"/>
                              <a:pt x="840" y="70"/>
                              <a:pt x="843" y="68"/>
                            </a:cubicBezTo>
                            <a:cubicBezTo>
                              <a:pt x="845" y="66"/>
                              <a:pt x="848" y="64"/>
                              <a:pt x="852" y="62"/>
                            </a:cubicBezTo>
                            <a:cubicBezTo>
                              <a:pt x="855" y="60"/>
                              <a:pt x="858" y="59"/>
                              <a:pt x="862" y="58"/>
                            </a:cubicBezTo>
                            <a:cubicBezTo>
                              <a:pt x="865" y="57"/>
                              <a:pt x="869" y="57"/>
                              <a:pt x="872" y="57"/>
                            </a:cubicBezTo>
                            <a:cubicBezTo>
                              <a:pt x="882" y="57"/>
                              <a:pt x="890" y="58"/>
                              <a:pt x="895" y="61"/>
                            </a:cubicBezTo>
                            <a:cubicBezTo>
                              <a:pt x="901" y="65"/>
                              <a:pt x="905" y="68"/>
                              <a:pt x="908" y="73"/>
                            </a:cubicBezTo>
                            <a:cubicBezTo>
                              <a:pt x="911" y="78"/>
                              <a:pt x="912" y="82"/>
                              <a:pt x="913" y="88"/>
                            </a:cubicBezTo>
                            <a:cubicBezTo>
                              <a:pt x="914" y="93"/>
                              <a:pt x="914" y="98"/>
                              <a:pt x="914" y="102"/>
                            </a:cubicBezTo>
                            <a:cubicBezTo>
                              <a:pt x="914" y="176"/>
                              <a:pt x="914" y="176"/>
                              <a:pt x="914" y="176"/>
                            </a:cubicBezTo>
                            <a:cubicBezTo>
                              <a:pt x="876" y="176"/>
                              <a:pt x="876" y="176"/>
                              <a:pt x="876" y="176"/>
                            </a:cubicBezTo>
                            <a:cubicBezTo>
                              <a:pt x="876" y="120"/>
                              <a:pt x="876" y="120"/>
                              <a:pt x="876" y="120"/>
                            </a:cubicBezTo>
                            <a:cubicBezTo>
                              <a:pt x="876" y="116"/>
                              <a:pt x="876" y="112"/>
                              <a:pt x="876" y="109"/>
                            </a:cubicBezTo>
                            <a:cubicBezTo>
                              <a:pt x="876" y="105"/>
                              <a:pt x="876" y="101"/>
                              <a:pt x="874" y="98"/>
                            </a:cubicBezTo>
                            <a:cubicBezTo>
                              <a:pt x="873" y="95"/>
                              <a:pt x="871" y="93"/>
                              <a:pt x="869" y="91"/>
                            </a:cubicBezTo>
                            <a:cubicBezTo>
                              <a:pt x="866" y="89"/>
                              <a:pt x="862" y="88"/>
                              <a:pt x="857" y="88"/>
                            </a:cubicBezTo>
                            <a:cubicBezTo>
                              <a:pt x="854" y="88"/>
                              <a:pt x="850" y="89"/>
                              <a:pt x="848" y="90"/>
                            </a:cubicBezTo>
                            <a:cubicBezTo>
                              <a:pt x="845" y="92"/>
                              <a:pt x="843" y="94"/>
                              <a:pt x="841" y="96"/>
                            </a:cubicBezTo>
                            <a:cubicBezTo>
                              <a:pt x="840" y="98"/>
                              <a:pt x="839" y="101"/>
                              <a:pt x="838" y="104"/>
                            </a:cubicBezTo>
                            <a:cubicBezTo>
                              <a:pt x="837" y="107"/>
                              <a:pt x="837" y="110"/>
                              <a:pt x="837" y="113"/>
                            </a:cubicBezTo>
                            <a:cubicBezTo>
                              <a:pt x="837" y="176"/>
                              <a:pt x="837" y="176"/>
                              <a:pt x="837" y="176"/>
                            </a:cubicBezTo>
                            <a:cubicBezTo>
                              <a:pt x="798" y="176"/>
                              <a:pt x="798" y="176"/>
                              <a:pt x="798" y="176"/>
                            </a:cubicBezTo>
                            <a:lnTo>
                              <a:pt x="798" y="60"/>
                            </a:lnTo>
                            <a:close/>
                            <a:moveTo>
                              <a:pt x="972" y="46"/>
                            </a:moveTo>
                            <a:cubicBezTo>
                              <a:pt x="934" y="46"/>
                              <a:pt x="934" y="46"/>
                              <a:pt x="934" y="46"/>
                            </a:cubicBezTo>
                            <a:cubicBezTo>
                              <a:pt x="934" y="16"/>
                              <a:pt x="934" y="16"/>
                              <a:pt x="934" y="16"/>
                            </a:cubicBezTo>
                            <a:cubicBezTo>
                              <a:pt x="972" y="16"/>
                              <a:pt x="972" y="16"/>
                              <a:pt x="972" y="16"/>
                            </a:cubicBezTo>
                            <a:lnTo>
                              <a:pt x="972" y="46"/>
                            </a:lnTo>
                            <a:close/>
                            <a:moveTo>
                              <a:pt x="934" y="60"/>
                            </a:moveTo>
                            <a:cubicBezTo>
                              <a:pt x="972" y="60"/>
                              <a:pt x="972" y="60"/>
                              <a:pt x="972" y="60"/>
                            </a:cubicBezTo>
                            <a:cubicBezTo>
                              <a:pt x="972" y="176"/>
                              <a:pt x="972" y="176"/>
                              <a:pt x="972" y="176"/>
                            </a:cubicBezTo>
                            <a:cubicBezTo>
                              <a:pt x="934" y="176"/>
                              <a:pt x="934" y="176"/>
                              <a:pt x="934" y="176"/>
                            </a:cubicBezTo>
                            <a:lnTo>
                              <a:pt x="934" y="60"/>
                            </a:lnTo>
                            <a:close/>
                            <a:moveTo>
                              <a:pt x="1069" y="103"/>
                            </a:moveTo>
                            <a:cubicBezTo>
                              <a:pt x="1069" y="100"/>
                              <a:pt x="1068" y="98"/>
                              <a:pt x="1067" y="96"/>
                            </a:cubicBezTo>
                            <a:cubicBezTo>
                              <a:pt x="1066" y="94"/>
                              <a:pt x="1065" y="92"/>
                              <a:pt x="1063" y="91"/>
                            </a:cubicBezTo>
                            <a:cubicBezTo>
                              <a:pt x="1061" y="89"/>
                              <a:pt x="1059" y="88"/>
                              <a:pt x="1057" y="87"/>
                            </a:cubicBezTo>
                            <a:cubicBezTo>
                              <a:pt x="1055" y="86"/>
                              <a:pt x="1052" y="86"/>
                              <a:pt x="1050" y="86"/>
                            </a:cubicBezTo>
                            <a:cubicBezTo>
                              <a:pt x="1045" y="86"/>
                              <a:pt x="1040" y="87"/>
                              <a:pt x="1037" y="89"/>
                            </a:cubicBezTo>
                            <a:cubicBezTo>
                              <a:pt x="1034" y="91"/>
                              <a:pt x="1031" y="94"/>
                              <a:pt x="1030" y="97"/>
                            </a:cubicBezTo>
                            <a:cubicBezTo>
                              <a:pt x="1028" y="100"/>
                              <a:pt x="1027" y="104"/>
                              <a:pt x="1026" y="108"/>
                            </a:cubicBezTo>
                            <a:cubicBezTo>
                              <a:pt x="1026" y="112"/>
                              <a:pt x="1025" y="116"/>
                              <a:pt x="1025" y="120"/>
                            </a:cubicBezTo>
                            <a:cubicBezTo>
                              <a:pt x="1025" y="124"/>
                              <a:pt x="1026" y="128"/>
                              <a:pt x="1027" y="131"/>
                            </a:cubicBezTo>
                            <a:cubicBezTo>
                              <a:pt x="1027" y="135"/>
                              <a:pt x="1029" y="138"/>
                              <a:pt x="1031" y="141"/>
                            </a:cubicBezTo>
                            <a:cubicBezTo>
                              <a:pt x="1032" y="144"/>
                              <a:pt x="1035" y="146"/>
                              <a:pt x="1038" y="148"/>
                            </a:cubicBezTo>
                            <a:cubicBezTo>
                              <a:pt x="1040" y="150"/>
                              <a:pt x="1044" y="151"/>
                              <a:pt x="1048" y="151"/>
                            </a:cubicBezTo>
                            <a:cubicBezTo>
                              <a:pt x="1055" y="151"/>
                              <a:pt x="1060" y="149"/>
                              <a:pt x="1063" y="145"/>
                            </a:cubicBezTo>
                            <a:cubicBezTo>
                              <a:pt x="1067" y="142"/>
                              <a:pt x="1069" y="137"/>
                              <a:pt x="1070" y="131"/>
                            </a:cubicBezTo>
                            <a:cubicBezTo>
                              <a:pt x="1107" y="131"/>
                              <a:pt x="1107" y="131"/>
                              <a:pt x="1107" y="131"/>
                            </a:cubicBezTo>
                            <a:cubicBezTo>
                              <a:pt x="1106" y="138"/>
                              <a:pt x="1104" y="145"/>
                              <a:pt x="1100" y="152"/>
                            </a:cubicBezTo>
                            <a:cubicBezTo>
                              <a:pt x="1097" y="158"/>
                              <a:pt x="1093" y="163"/>
                              <a:pt x="1088" y="167"/>
                            </a:cubicBezTo>
                            <a:cubicBezTo>
                              <a:pt x="1083" y="171"/>
                              <a:pt x="1077" y="174"/>
                              <a:pt x="1070" y="176"/>
                            </a:cubicBezTo>
                            <a:cubicBezTo>
                              <a:pt x="1063" y="179"/>
                              <a:pt x="1056" y="180"/>
                              <a:pt x="1048" y="180"/>
                            </a:cubicBezTo>
                            <a:cubicBezTo>
                              <a:pt x="1039" y="180"/>
                              <a:pt x="1031" y="178"/>
                              <a:pt x="1024" y="175"/>
                            </a:cubicBezTo>
                            <a:cubicBezTo>
                              <a:pt x="1016" y="173"/>
                              <a:pt x="1010" y="169"/>
                              <a:pt x="1005" y="163"/>
                            </a:cubicBezTo>
                            <a:cubicBezTo>
                              <a:pt x="999" y="158"/>
                              <a:pt x="995" y="152"/>
                              <a:pt x="992" y="145"/>
                            </a:cubicBezTo>
                            <a:cubicBezTo>
                              <a:pt x="989" y="137"/>
                              <a:pt x="987" y="129"/>
                              <a:pt x="987" y="120"/>
                            </a:cubicBezTo>
                            <a:cubicBezTo>
                              <a:pt x="987" y="111"/>
                              <a:pt x="989" y="102"/>
                              <a:pt x="992" y="95"/>
                            </a:cubicBezTo>
                            <a:cubicBezTo>
                              <a:pt x="994" y="87"/>
                              <a:pt x="998" y="80"/>
                              <a:pt x="1004" y="75"/>
                            </a:cubicBezTo>
                            <a:cubicBezTo>
                              <a:pt x="1009" y="69"/>
                              <a:pt x="1015" y="65"/>
                              <a:pt x="1023" y="61"/>
                            </a:cubicBezTo>
                            <a:cubicBezTo>
                              <a:pt x="1030" y="58"/>
                              <a:pt x="1039" y="57"/>
                              <a:pt x="1048" y="57"/>
                            </a:cubicBezTo>
                            <a:cubicBezTo>
                              <a:pt x="1055" y="57"/>
                              <a:pt x="1062" y="58"/>
                              <a:pt x="1069" y="60"/>
                            </a:cubicBezTo>
                            <a:cubicBezTo>
                              <a:pt x="1076" y="62"/>
                              <a:pt x="1081" y="64"/>
                              <a:pt x="1087" y="68"/>
                            </a:cubicBezTo>
                            <a:cubicBezTo>
                              <a:pt x="1092" y="72"/>
                              <a:pt x="1096" y="77"/>
                              <a:pt x="1099" y="83"/>
                            </a:cubicBezTo>
                            <a:cubicBezTo>
                              <a:pt x="1103" y="88"/>
                              <a:pt x="1105" y="95"/>
                              <a:pt x="1106" y="103"/>
                            </a:cubicBezTo>
                            <a:lnTo>
                              <a:pt x="1069" y="103"/>
                            </a:lnTo>
                            <a:close/>
                            <a:moveTo>
                              <a:pt x="1118" y="96"/>
                            </a:moveTo>
                            <a:cubicBezTo>
                              <a:pt x="1118" y="88"/>
                              <a:pt x="1120" y="82"/>
                              <a:pt x="1123" y="77"/>
                            </a:cubicBezTo>
                            <a:cubicBezTo>
                              <a:pt x="1126" y="72"/>
                              <a:pt x="1131" y="68"/>
                              <a:pt x="1136" y="65"/>
                            </a:cubicBezTo>
                            <a:cubicBezTo>
                              <a:pt x="1141" y="62"/>
                              <a:pt x="1147" y="60"/>
                              <a:pt x="1153" y="59"/>
                            </a:cubicBezTo>
                            <a:cubicBezTo>
                              <a:pt x="1159" y="57"/>
                              <a:pt x="1166" y="57"/>
                              <a:pt x="1173" y="57"/>
                            </a:cubicBezTo>
                            <a:cubicBezTo>
                              <a:pt x="1180" y="57"/>
                              <a:pt x="1186" y="57"/>
                              <a:pt x="1193" y="58"/>
                            </a:cubicBezTo>
                            <a:cubicBezTo>
                              <a:pt x="1199" y="59"/>
                              <a:pt x="1205" y="61"/>
                              <a:pt x="1210" y="64"/>
                            </a:cubicBezTo>
                            <a:cubicBezTo>
                              <a:pt x="1215" y="67"/>
                              <a:pt x="1219" y="71"/>
                              <a:pt x="1222" y="76"/>
                            </a:cubicBezTo>
                            <a:cubicBezTo>
                              <a:pt x="1225" y="81"/>
                              <a:pt x="1227" y="88"/>
                              <a:pt x="1227" y="96"/>
                            </a:cubicBezTo>
                            <a:cubicBezTo>
                              <a:pt x="1227" y="147"/>
                              <a:pt x="1227" y="147"/>
                              <a:pt x="1227" y="147"/>
                            </a:cubicBezTo>
                            <a:cubicBezTo>
                              <a:pt x="1227" y="152"/>
                              <a:pt x="1227" y="157"/>
                              <a:pt x="1227" y="162"/>
                            </a:cubicBezTo>
                            <a:cubicBezTo>
                              <a:pt x="1228" y="167"/>
                              <a:pt x="1229" y="172"/>
                              <a:pt x="1231" y="176"/>
                            </a:cubicBezTo>
                            <a:cubicBezTo>
                              <a:pt x="1193" y="176"/>
                              <a:pt x="1193" y="176"/>
                              <a:pt x="1193" y="176"/>
                            </a:cubicBezTo>
                            <a:cubicBezTo>
                              <a:pt x="1192" y="175"/>
                              <a:pt x="1192" y="173"/>
                              <a:pt x="1192" y="171"/>
                            </a:cubicBezTo>
                            <a:cubicBezTo>
                              <a:pt x="1191" y="169"/>
                              <a:pt x="1191" y="167"/>
                              <a:pt x="1191" y="165"/>
                            </a:cubicBezTo>
                            <a:cubicBezTo>
                              <a:pt x="1186" y="171"/>
                              <a:pt x="1180" y="174"/>
                              <a:pt x="1173" y="176"/>
                            </a:cubicBezTo>
                            <a:cubicBezTo>
                              <a:pt x="1166" y="179"/>
                              <a:pt x="1160" y="180"/>
                              <a:pt x="1153" y="180"/>
                            </a:cubicBezTo>
                            <a:cubicBezTo>
                              <a:pt x="1147" y="180"/>
                              <a:pt x="1142" y="179"/>
                              <a:pt x="1137" y="178"/>
                            </a:cubicBezTo>
                            <a:cubicBezTo>
                              <a:pt x="1132" y="176"/>
                              <a:pt x="1128" y="174"/>
                              <a:pt x="1124" y="171"/>
                            </a:cubicBezTo>
                            <a:cubicBezTo>
                              <a:pt x="1121" y="168"/>
                              <a:pt x="1118" y="165"/>
                              <a:pt x="1116" y="160"/>
                            </a:cubicBezTo>
                            <a:cubicBezTo>
                              <a:pt x="1114" y="156"/>
                              <a:pt x="1113" y="151"/>
                              <a:pt x="1113" y="145"/>
                            </a:cubicBezTo>
                            <a:cubicBezTo>
                              <a:pt x="1113" y="138"/>
                              <a:pt x="1114" y="133"/>
                              <a:pt x="1116" y="129"/>
                            </a:cubicBezTo>
                            <a:cubicBezTo>
                              <a:pt x="1118" y="125"/>
                              <a:pt x="1121" y="121"/>
                              <a:pt x="1125" y="119"/>
                            </a:cubicBezTo>
                            <a:cubicBezTo>
                              <a:pt x="1128" y="116"/>
                              <a:pt x="1132" y="114"/>
                              <a:pt x="1137" y="112"/>
                            </a:cubicBezTo>
                            <a:cubicBezTo>
                              <a:pt x="1142" y="111"/>
                              <a:pt x="1146" y="110"/>
                              <a:pt x="1151" y="109"/>
                            </a:cubicBezTo>
                            <a:cubicBezTo>
                              <a:pt x="1156" y="108"/>
                              <a:pt x="1161" y="107"/>
                              <a:pt x="1166" y="106"/>
                            </a:cubicBezTo>
                            <a:cubicBezTo>
                              <a:pt x="1171" y="106"/>
                              <a:pt x="1176" y="105"/>
                              <a:pt x="1181" y="104"/>
                            </a:cubicBezTo>
                            <a:cubicBezTo>
                              <a:pt x="1184" y="104"/>
                              <a:pt x="1186" y="102"/>
                              <a:pt x="1188" y="101"/>
                            </a:cubicBezTo>
                            <a:cubicBezTo>
                              <a:pt x="1190" y="100"/>
                              <a:pt x="1191" y="97"/>
                              <a:pt x="1191" y="94"/>
                            </a:cubicBezTo>
                            <a:cubicBezTo>
                              <a:pt x="1191" y="91"/>
                              <a:pt x="1190" y="89"/>
                              <a:pt x="1189" y="88"/>
                            </a:cubicBezTo>
                            <a:cubicBezTo>
                              <a:pt x="1188" y="86"/>
                              <a:pt x="1186" y="85"/>
                              <a:pt x="1184" y="84"/>
                            </a:cubicBezTo>
                            <a:cubicBezTo>
                              <a:pt x="1183" y="83"/>
                              <a:pt x="1181" y="83"/>
                              <a:pt x="1178" y="82"/>
                            </a:cubicBezTo>
                            <a:cubicBezTo>
                              <a:pt x="1176" y="82"/>
                              <a:pt x="1174" y="81"/>
                              <a:pt x="1172" y="81"/>
                            </a:cubicBezTo>
                            <a:cubicBezTo>
                              <a:pt x="1161" y="81"/>
                              <a:pt x="1155" y="86"/>
                              <a:pt x="1153" y="96"/>
                            </a:cubicBezTo>
                            <a:lnTo>
                              <a:pt x="1118" y="96"/>
                            </a:lnTo>
                            <a:close/>
                            <a:moveTo>
                              <a:pt x="1151" y="143"/>
                            </a:moveTo>
                            <a:cubicBezTo>
                              <a:pt x="1151" y="148"/>
                              <a:pt x="1153" y="151"/>
                              <a:pt x="1156" y="153"/>
                            </a:cubicBezTo>
                            <a:cubicBezTo>
                              <a:pt x="1159" y="155"/>
                              <a:pt x="1163" y="156"/>
                              <a:pt x="1167" y="156"/>
                            </a:cubicBezTo>
                            <a:cubicBezTo>
                              <a:pt x="1176" y="156"/>
                              <a:pt x="1182" y="154"/>
                              <a:pt x="1186" y="148"/>
                            </a:cubicBezTo>
                            <a:cubicBezTo>
                              <a:pt x="1189" y="143"/>
                              <a:pt x="1191" y="134"/>
                              <a:pt x="1190" y="122"/>
                            </a:cubicBezTo>
                            <a:cubicBezTo>
                              <a:pt x="1188" y="124"/>
                              <a:pt x="1184" y="125"/>
                              <a:pt x="1180" y="125"/>
                            </a:cubicBezTo>
                            <a:cubicBezTo>
                              <a:pt x="1175" y="126"/>
                              <a:pt x="1171" y="127"/>
                              <a:pt x="1167" y="128"/>
                            </a:cubicBezTo>
                            <a:cubicBezTo>
                              <a:pt x="1162" y="129"/>
                              <a:pt x="1159" y="131"/>
                              <a:pt x="1156" y="133"/>
                            </a:cubicBezTo>
                            <a:cubicBezTo>
                              <a:pt x="1153" y="135"/>
                              <a:pt x="1151" y="138"/>
                              <a:pt x="1151" y="143"/>
                            </a:cubicBezTo>
                            <a:close/>
                            <a:moveTo>
                              <a:pt x="1316" y="85"/>
                            </a:moveTo>
                            <a:cubicBezTo>
                              <a:pt x="1292" y="85"/>
                              <a:pt x="1292" y="85"/>
                              <a:pt x="1292" y="85"/>
                            </a:cubicBezTo>
                            <a:cubicBezTo>
                              <a:pt x="1292" y="138"/>
                              <a:pt x="1292" y="138"/>
                              <a:pt x="1292" y="138"/>
                            </a:cubicBezTo>
                            <a:cubicBezTo>
                              <a:pt x="1292" y="142"/>
                              <a:pt x="1293" y="145"/>
                              <a:pt x="1296" y="147"/>
                            </a:cubicBezTo>
                            <a:cubicBezTo>
                              <a:pt x="1298" y="148"/>
                              <a:pt x="1302" y="149"/>
                              <a:pt x="1306" y="149"/>
                            </a:cubicBezTo>
                            <a:cubicBezTo>
                              <a:pt x="1307" y="149"/>
                              <a:pt x="1309" y="149"/>
                              <a:pt x="1311" y="149"/>
                            </a:cubicBezTo>
                            <a:cubicBezTo>
                              <a:pt x="1312" y="148"/>
                              <a:pt x="1314" y="148"/>
                              <a:pt x="1316" y="148"/>
                            </a:cubicBezTo>
                            <a:cubicBezTo>
                              <a:pt x="1316" y="176"/>
                              <a:pt x="1316" y="176"/>
                              <a:pt x="1316" y="176"/>
                            </a:cubicBezTo>
                            <a:cubicBezTo>
                              <a:pt x="1312" y="177"/>
                              <a:pt x="1309" y="177"/>
                              <a:pt x="1305" y="177"/>
                            </a:cubicBezTo>
                            <a:cubicBezTo>
                              <a:pt x="1302" y="177"/>
                              <a:pt x="1298" y="178"/>
                              <a:pt x="1295" y="178"/>
                            </a:cubicBezTo>
                            <a:cubicBezTo>
                              <a:pt x="1287" y="178"/>
                              <a:pt x="1280" y="177"/>
                              <a:pt x="1275" y="175"/>
                            </a:cubicBezTo>
                            <a:cubicBezTo>
                              <a:pt x="1269" y="174"/>
                              <a:pt x="1265" y="172"/>
                              <a:pt x="1262" y="169"/>
                            </a:cubicBezTo>
                            <a:cubicBezTo>
                              <a:pt x="1259" y="166"/>
                              <a:pt x="1257" y="161"/>
                              <a:pt x="1256" y="156"/>
                            </a:cubicBezTo>
                            <a:cubicBezTo>
                              <a:pt x="1255" y="151"/>
                              <a:pt x="1254" y="144"/>
                              <a:pt x="1254" y="137"/>
                            </a:cubicBezTo>
                            <a:cubicBezTo>
                              <a:pt x="1254" y="85"/>
                              <a:pt x="1254" y="85"/>
                              <a:pt x="1254" y="85"/>
                            </a:cubicBezTo>
                            <a:cubicBezTo>
                              <a:pt x="1235" y="85"/>
                              <a:pt x="1235" y="85"/>
                              <a:pt x="1235" y="85"/>
                            </a:cubicBezTo>
                            <a:cubicBezTo>
                              <a:pt x="1235" y="60"/>
                              <a:pt x="1235" y="60"/>
                              <a:pt x="1235" y="60"/>
                            </a:cubicBezTo>
                            <a:cubicBezTo>
                              <a:pt x="1254" y="60"/>
                              <a:pt x="1254" y="60"/>
                              <a:pt x="1254" y="60"/>
                            </a:cubicBezTo>
                            <a:cubicBezTo>
                              <a:pt x="1254" y="25"/>
                              <a:pt x="1254" y="25"/>
                              <a:pt x="1254" y="25"/>
                            </a:cubicBezTo>
                            <a:cubicBezTo>
                              <a:pt x="1292" y="25"/>
                              <a:pt x="1292" y="25"/>
                              <a:pt x="1292" y="25"/>
                            </a:cubicBezTo>
                            <a:cubicBezTo>
                              <a:pt x="1292" y="60"/>
                              <a:pt x="1292" y="60"/>
                              <a:pt x="1292" y="60"/>
                            </a:cubicBezTo>
                            <a:cubicBezTo>
                              <a:pt x="1316" y="60"/>
                              <a:pt x="1316" y="60"/>
                              <a:pt x="1316" y="60"/>
                            </a:cubicBezTo>
                            <a:lnTo>
                              <a:pt x="1316" y="85"/>
                            </a:lnTo>
                            <a:close/>
                            <a:moveTo>
                              <a:pt x="1366" y="46"/>
                            </a:moveTo>
                            <a:cubicBezTo>
                              <a:pt x="1327" y="46"/>
                              <a:pt x="1327" y="46"/>
                              <a:pt x="1327" y="46"/>
                            </a:cubicBezTo>
                            <a:cubicBezTo>
                              <a:pt x="1327" y="16"/>
                              <a:pt x="1327" y="16"/>
                              <a:pt x="1327" y="16"/>
                            </a:cubicBezTo>
                            <a:cubicBezTo>
                              <a:pt x="1366" y="16"/>
                              <a:pt x="1366" y="16"/>
                              <a:pt x="1366" y="16"/>
                            </a:cubicBezTo>
                            <a:lnTo>
                              <a:pt x="1366" y="46"/>
                            </a:lnTo>
                            <a:close/>
                            <a:moveTo>
                              <a:pt x="1327" y="60"/>
                            </a:moveTo>
                            <a:cubicBezTo>
                              <a:pt x="1366" y="60"/>
                              <a:pt x="1366" y="60"/>
                              <a:pt x="1366" y="60"/>
                            </a:cubicBezTo>
                            <a:cubicBezTo>
                              <a:pt x="1366" y="176"/>
                              <a:pt x="1366" y="176"/>
                              <a:pt x="1366" y="176"/>
                            </a:cubicBezTo>
                            <a:cubicBezTo>
                              <a:pt x="1327" y="176"/>
                              <a:pt x="1327" y="176"/>
                              <a:pt x="1327" y="176"/>
                            </a:cubicBezTo>
                            <a:lnTo>
                              <a:pt x="1327" y="60"/>
                            </a:lnTo>
                            <a:close/>
                            <a:moveTo>
                              <a:pt x="1386" y="60"/>
                            </a:moveTo>
                            <a:cubicBezTo>
                              <a:pt x="1423" y="60"/>
                              <a:pt x="1423" y="60"/>
                              <a:pt x="1423" y="60"/>
                            </a:cubicBezTo>
                            <a:cubicBezTo>
                              <a:pt x="1423" y="76"/>
                              <a:pt x="1423" y="76"/>
                              <a:pt x="1423" y="76"/>
                            </a:cubicBezTo>
                            <a:cubicBezTo>
                              <a:pt x="1423" y="76"/>
                              <a:pt x="1423" y="76"/>
                              <a:pt x="1423" y="76"/>
                            </a:cubicBezTo>
                            <a:cubicBezTo>
                              <a:pt x="1425" y="73"/>
                              <a:pt x="1427" y="70"/>
                              <a:pt x="1430" y="68"/>
                            </a:cubicBezTo>
                            <a:cubicBezTo>
                              <a:pt x="1433" y="66"/>
                              <a:pt x="1436" y="64"/>
                              <a:pt x="1439" y="62"/>
                            </a:cubicBezTo>
                            <a:cubicBezTo>
                              <a:pt x="1442" y="60"/>
                              <a:pt x="1446" y="59"/>
                              <a:pt x="1449" y="58"/>
                            </a:cubicBezTo>
                            <a:cubicBezTo>
                              <a:pt x="1453" y="57"/>
                              <a:pt x="1456" y="57"/>
                              <a:pt x="1460" y="57"/>
                            </a:cubicBezTo>
                            <a:cubicBezTo>
                              <a:pt x="1470" y="57"/>
                              <a:pt x="1477" y="58"/>
                              <a:pt x="1483" y="61"/>
                            </a:cubicBezTo>
                            <a:cubicBezTo>
                              <a:pt x="1488" y="65"/>
                              <a:pt x="1493" y="68"/>
                              <a:pt x="1495" y="73"/>
                            </a:cubicBezTo>
                            <a:cubicBezTo>
                              <a:pt x="1498" y="78"/>
                              <a:pt x="1500" y="82"/>
                              <a:pt x="1501" y="88"/>
                            </a:cubicBezTo>
                            <a:cubicBezTo>
                              <a:pt x="1501" y="93"/>
                              <a:pt x="1502" y="98"/>
                              <a:pt x="1502" y="102"/>
                            </a:cubicBezTo>
                            <a:cubicBezTo>
                              <a:pt x="1502" y="176"/>
                              <a:pt x="1502" y="176"/>
                              <a:pt x="1502" y="176"/>
                            </a:cubicBezTo>
                            <a:cubicBezTo>
                              <a:pt x="1464" y="176"/>
                              <a:pt x="1464" y="176"/>
                              <a:pt x="1464" y="176"/>
                            </a:cubicBezTo>
                            <a:cubicBezTo>
                              <a:pt x="1464" y="120"/>
                              <a:pt x="1464" y="120"/>
                              <a:pt x="1464" y="120"/>
                            </a:cubicBezTo>
                            <a:cubicBezTo>
                              <a:pt x="1464" y="116"/>
                              <a:pt x="1464" y="112"/>
                              <a:pt x="1464" y="109"/>
                            </a:cubicBezTo>
                            <a:cubicBezTo>
                              <a:pt x="1464" y="105"/>
                              <a:pt x="1463" y="101"/>
                              <a:pt x="1462" y="98"/>
                            </a:cubicBezTo>
                            <a:cubicBezTo>
                              <a:pt x="1461" y="95"/>
                              <a:pt x="1459" y="93"/>
                              <a:pt x="1456" y="91"/>
                            </a:cubicBezTo>
                            <a:cubicBezTo>
                              <a:pt x="1454" y="89"/>
                              <a:pt x="1450" y="88"/>
                              <a:pt x="1445" y="88"/>
                            </a:cubicBezTo>
                            <a:cubicBezTo>
                              <a:pt x="1441" y="88"/>
                              <a:pt x="1438" y="89"/>
                              <a:pt x="1435" y="90"/>
                            </a:cubicBezTo>
                            <a:cubicBezTo>
                              <a:pt x="1433" y="92"/>
                              <a:pt x="1431" y="94"/>
                              <a:pt x="1429" y="96"/>
                            </a:cubicBezTo>
                            <a:cubicBezTo>
                              <a:pt x="1427" y="98"/>
                              <a:pt x="1426" y="101"/>
                              <a:pt x="1425" y="104"/>
                            </a:cubicBezTo>
                            <a:cubicBezTo>
                              <a:pt x="1424" y="107"/>
                              <a:pt x="1424" y="110"/>
                              <a:pt x="1424" y="113"/>
                            </a:cubicBezTo>
                            <a:cubicBezTo>
                              <a:pt x="1424" y="176"/>
                              <a:pt x="1424" y="176"/>
                              <a:pt x="1424" y="176"/>
                            </a:cubicBezTo>
                            <a:cubicBezTo>
                              <a:pt x="1386" y="176"/>
                              <a:pt x="1386" y="176"/>
                              <a:pt x="1386" y="176"/>
                            </a:cubicBezTo>
                            <a:lnTo>
                              <a:pt x="1386" y="60"/>
                            </a:lnTo>
                            <a:close/>
                            <a:moveTo>
                              <a:pt x="1633" y="162"/>
                            </a:moveTo>
                            <a:cubicBezTo>
                              <a:pt x="1633" y="167"/>
                              <a:pt x="1633" y="173"/>
                              <a:pt x="1632" y="179"/>
                            </a:cubicBezTo>
                            <a:cubicBezTo>
                              <a:pt x="1631" y="185"/>
                              <a:pt x="1628" y="191"/>
                              <a:pt x="1624" y="197"/>
                            </a:cubicBezTo>
                            <a:cubicBezTo>
                              <a:pt x="1621" y="202"/>
                              <a:pt x="1615" y="207"/>
                              <a:pt x="1607" y="211"/>
                            </a:cubicBezTo>
                            <a:cubicBezTo>
                              <a:pt x="1599" y="215"/>
                              <a:pt x="1589" y="217"/>
                              <a:pt x="1575" y="217"/>
                            </a:cubicBezTo>
                            <a:cubicBezTo>
                              <a:pt x="1568" y="217"/>
                              <a:pt x="1562" y="217"/>
                              <a:pt x="1555" y="216"/>
                            </a:cubicBezTo>
                            <a:cubicBezTo>
                              <a:pt x="1549" y="215"/>
                              <a:pt x="1543" y="213"/>
                              <a:pt x="1538" y="210"/>
                            </a:cubicBezTo>
                            <a:cubicBezTo>
                              <a:pt x="1533" y="208"/>
                              <a:pt x="1528" y="204"/>
                              <a:pt x="1525" y="199"/>
                            </a:cubicBezTo>
                            <a:cubicBezTo>
                              <a:pt x="1521" y="194"/>
                              <a:pt x="1519" y="188"/>
                              <a:pt x="1518" y="180"/>
                            </a:cubicBezTo>
                            <a:cubicBezTo>
                              <a:pt x="1556" y="180"/>
                              <a:pt x="1556" y="180"/>
                              <a:pt x="1556" y="180"/>
                            </a:cubicBezTo>
                            <a:cubicBezTo>
                              <a:pt x="1557" y="185"/>
                              <a:pt x="1559" y="188"/>
                              <a:pt x="1562" y="190"/>
                            </a:cubicBezTo>
                            <a:cubicBezTo>
                              <a:pt x="1566" y="192"/>
                              <a:pt x="1570" y="193"/>
                              <a:pt x="1576" y="193"/>
                            </a:cubicBezTo>
                            <a:cubicBezTo>
                              <a:pt x="1581" y="193"/>
                              <a:pt x="1584" y="192"/>
                              <a:pt x="1587" y="190"/>
                            </a:cubicBezTo>
                            <a:cubicBezTo>
                              <a:pt x="1590" y="189"/>
                              <a:pt x="1592" y="187"/>
                              <a:pt x="1593" y="184"/>
                            </a:cubicBezTo>
                            <a:cubicBezTo>
                              <a:pt x="1595" y="182"/>
                              <a:pt x="1595" y="179"/>
                              <a:pt x="1596" y="176"/>
                            </a:cubicBezTo>
                            <a:cubicBezTo>
                              <a:pt x="1596" y="172"/>
                              <a:pt x="1596" y="169"/>
                              <a:pt x="1596" y="165"/>
                            </a:cubicBezTo>
                            <a:cubicBezTo>
                              <a:pt x="1596" y="154"/>
                              <a:pt x="1596" y="154"/>
                              <a:pt x="1596" y="154"/>
                            </a:cubicBezTo>
                            <a:cubicBezTo>
                              <a:pt x="1596" y="154"/>
                              <a:pt x="1596" y="154"/>
                              <a:pt x="1596" y="154"/>
                            </a:cubicBezTo>
                            <a:cubicBezTo>
                              <a:pt x="1592" y="160"/>
                              <a:pt x="1588" y="164"/>
                              <a:pt x="1583" y="167"/>
                            </a:cubicBezTo>
                            <a:cubicBezTo>
                              <a:pt x="1577" y="170"/>
                              <a:pt x="1571" y="171"/>
                              <a:pt x="1565" y="171"/>
                            </a:cubicBezTo>
                            <a:cubicBezTo>
                              <a:pt x="1556" y="171"/>
                              <a:pt x="1549" y="170"/>
                              <a:pt x="1542" y="167"/>
                            </a:cubicBezTo>
                            <a:cubicBezTo>
                              <a:pt x="1536" y="164"/>
                              <a:pt x="1530" y="160"/>
                              <a:pt x="1526" y="155"/>
                            </a:cubicBezTo>
                            <a:cubicBezTo>
                              <a:pt x="1522" y="150"/>
                              <a:pt x="1519" y="144"/>
                              <a:pt x="1517" y="137"/>
                            </a:cubicBezTo>
                            <a:cubicBezTo>
                              <a:pt x="1515" y="129"/>
                              <a:pt x="1514" y="122"/>
                              <a:pt x="1514" y="114"/>
                            </a:cubicBezTo>
                            <a:cubicBezTo>
                              <a:pt x="1514" y="106"/>
                              <a:pt x="1515" y="99"/>
                              <a:pt x="1517" y="92"/>
                            </a:cubicBezTo>
                            <a:cubicBezTo>
                              <a:pt x="1519" y="85"/>
                              <a:pt x="1523" y="79"/>
                              <a:pt x="1527" y="74"/>
                            </a:cubicBezTo>
                            <a:cubicBezTo>
                              <a:pt x="1531" y="69"/>
                              <a:pt x="1537" y="64"/>
                              <a:pt x="1543" y="61"/>
                            </a:cubicBezTo>
                            <a:cubicBezTo>
                              <a:pt x="1549" y="58"/>
                              <a:pt x="1557" y="57"/>
                              <a:pt x="1565" y="57"/>
                            </a:cubicBezTo>
                            <a:cubicBezTo>
                              <a:pt x="1579" y="57"/>
                              <a:pt x="1589" y="63"/>
                              <a:pt x="1596" y="75"/>
                            </a:cubicBezTo>
                            <a:cubicBezTo>
                              <a:pt x="1597" y="75"/>
                              <a:pt x="1597" y="75"/>
                              <a:pt x="1597" y="75"/>
                            </a:cubicBezTo>
                            <a:cubicBezTo>
                              <a:pt x="1597" y="60"/>
                              <a:pt x="1597" y="60"/>
                              <a:pt x="1597" y="60"/>
                            </a:cubicBezTo>
                            <a:cubicBezTo>
                              <a:pt x="1633" y="60"/>
                              <a:pt x="1633" y="60"/>
                              <a:pt x="1633" y="60"/>
                            </a:cubicBezTo>
                            <a:lnTo>
                              <a:pt x="1633" y="162"/>
                            </a:lnTo>
                            <a:close/>
                            <a:moveTo>
                              <a:pt x="1597" y="115"/>
                            </a:moveTo>
                            <a:cubicBezTo>
                              <a:pt x="1597" y="111"/>
                              <a:pt x="1597" y="108"/>
                              <a:pt x="1596" y="104"/>
                            </a:cubicBezTo>
                            <a:cubicBezTo>
                              <a:pt x="1595" y="101"/>
                              <a:pt x="1594" y="98"/>
                              <a:pt x="1592" y="95"/>
                            </a:cubicBezTo>
                            <a:cubicBezTo>
                              <a:pt x="1590" y="92"/>
                              <a:pt x="1588" y="90"/>
                              <a:pt x="1585" y="88"/>
                            </a:cubicBezTo>
                            <a:cubicBezTo>
                              <a:pt x="1582" y="87"/>
                              <a:pt x="1578" y="86"/>
                              <a:pt x="1574" y="86"/>
                            </a:cubicBezTo>
                            <a:cubicBezTo>
                              <a:pt x="1570" y="86"/>
                              <a:pt x="1566" y="87"/>
                              <a:pt x="1564" y="88"/>
                            </a:cubicBezTo>
                            <a:cubicBezTo>
                              <a:pt x="1561" y="90"/>
                              <a:pt x="1558" y="92"/>
                              <a:pt x="1557" y="95"/>
                            </a:cubicBezTo>
                            <a:cubicBezTo>
                              <a:pt x="1555" y="98"/>
                              <a:pt x="1554" y="101"/>
                              <a:pt x="1553" y="104"/>
                            </a:cubicBezTo>
                            <a:cubicBezTo>
                              <a:pt x="1552" y="108"/>
                              <a:pt x="1552" y="111"/>
                              <a:pt x="1552" y="115"/>
                            </a:cubicBezTo>
                            <a:cubicBezTo>
                              <a:pt x="1552" y="118"/>
                              <a:pt x="1552" y="122"/>
                              <a:pt x="1553" y="125"/>
                            </a:cubicBezTo>
                            <a:cubicBezTo>
                              <a:pt x="1554" y="128"/>
                              <a:pt x="1555" y="131"/>
                              <a:pt x="1557" y="134"/>
                            </a:cubicBezTo>
                            <a:cubicBezTo>
                              <a:pt x="1559" y="136"/>
                              <a:pt x="1561" y="138"/>
                              <a:pt x="1564" y="140"/>
                            </a:cubicBezTo>
                            <a:cubicBezTo>
                              <a:pt x="1567" y="142"/>
                              <a:pt x="1570" y="142"/>
                              <a:pt x="1574" y="142"/>
                            </a:cubicBezTo>
                            <a:cubicBezTo>
                              <a:pt x="1578" y="142"/>
                              <a:pt x="1581" y="142"/>
                              <a:pt x="1584" y="140"/>
                            </a:cubicBezTo>
                            <a:cubicBezTo>
                              <a:pt x="1587" y="139"/>
                              <a:pt x="1590" y="137"/>
                              <a:pt x="1591" y="134"/>
                            </a:cubicBezTo>
                            <a:cubicBezTo>
                              <a:pt x="1593" y="132"/>
                              <a:pt x="1595" y="129"/>
                              <a:pt x="1596" y="126"/>
                            </a:cubicBezTo>
                            <a:cubicBezTo>
                              <a:pt x="1597" y="122"/>
                              <a:pt x="1597" y="119"/>
                              <a:pt x="1597" y="115"/>
                            </a:cubicBezTo>
                            <a:close/>
                            <a:moveTo>
                              <a:pt x="1782" y="0"/>
                            </a:moveTo>
                            <a:cubicBezTo>
                              <a:pt x="1794" y="0"/>
                              <a:pt x="1794" y="0"/>
                              <a:pt x="1794" y="0"/>
                            </a:cubicBezTo>
                            <a:cubicBezTo>
                              <a:pt x="1794" y="224"/>
                              <a:pt x="1794" y="224"/>
                              <a:pt x="1794" y="224"/>
                            </a:cubicBezTo>
                            <a:cubicBezTo>
                              <a:pt x="1782" y="224"/>
                              <a:pt x="1782" y="224"/>
                              <a:pt x="1782" y="224"/>
                            </a:cubicBezTo>
                            <a:lnTo>
                              <a:pt x="1782" y="0"/>
                            </a:lnTo>
                            <a:close/>
                            <a:moveTo>
                              <a:pt x="1955" y="85"/>
                            </a:moveTo>
                            <a:cubicBezTo>
                              <a:pt x="1937" y="85"/>
                              <a:pt x="1937" y="85"/>
                              <a:pt x="1937" y="85"/>
                            </a:cubicBezTo>
                            <a:cubicBezTo>
                              <a:pt x="1937" y="60"/>
                              <a:pt x="1937" y="60"/>
                              <a:pt x="1937" y="60"/>
                            </a:cubicBezTo>
                            <a:cubicBezTo>
                              <a:pt x="1955" y="60"/>
                              <a:pt x="1955" y="60"/>
                              <a:pt x="1955" y="60"/>
                            </a:cubicBezTo>
                            <a:cubicBezTo>
                              <a:pt x="1955" y="52"/>
                              <a:pt x="1956" y="45"/>
                              <a:pt x="1958" y="39"/>
                            </a:cubicBezTo>
                            <a:cubicBezTo>
                              <a:pt x="1959" y="34"/>
                              <a:pt x="1962" y="29"/>
                              <a:pt x="1965" y="26"/>
                            </a:cubicBezTo>
                            <a:cubicBezTo>
                              <a:pt x="1969" y="22"/>
                              <a:pt x="1973" y="20"/>
                              <a:pt x="1979" y="19"/>
                            </a:cubicBezTo>
                            <a:cubicBezTo>
                              <a:pt x="1985" y="17"/>
                              <a:pt x="1991" y="16"/>
                              <a:pt x="2000" y="16"/>
                            </a:cubicBezTo>
                            <a:cubicBezTo>
                              <a:pt x="2003" y="16"/>
                              <a:pt x="2006" y="17"/>
                              <a:pt x="2009" y="17"/>
                            </a:cubicBezTo>
                            <a:cubicBezTo>
                              <a:pt x="2012" y="17"/>
                              <a:pt x="2015" y="17"/>
                              <a:pt x="2018" y="17"/>
                            </a:cubicBezTo>
                            <a:cubicBezTo>
                              <a:pt x="2018" y="44"/>
                              <a:pt x="2018" y="44"/>
                              <a:pt x="2018" y="44"/>
                            </a:cubicBezTo>
                            <a:cubicBezTo>
                              <a:pt x="2014" y="44"/>
                              <a:pt x="2011" y="43"/>
                              <a:pt x="2008" y="43"/>
                            </a:cubicBezTo>
                            <a:cubicBezTo>
                              <a:pt x="2003" y="43"/>
                              <a:pt x="2000" y="44"/>
                              <a:pt x="1997" y="45"/>
                            </a:cubicBezTo>
                            <a:cubicBezTo>
                              <a:pt x="1995" y="47"/>
                              <a:pt x="1993" y="50"/>
                              <a:pt x="1993" y="55"/>
                            </a:cubicBezTo>
                            <a:cubicBezTo>
                              <a:pt x="1993" y="60"/>
                              <a:pt x="1993" y="60"/>
                              <a:pt x="1993" y="60"/>
                            </a:cubicBezTo>
                            <a:cubicBezTo>
                              <a:pt x="2016" y="60"/>
                              <a:pt x="2016" y="60"/>
                              <a:pt x="2016" y="60"/>
                            </a:cubicBezTo>
                            <a:cubicBezTo>
                              <a:pt x="2016" y="85"/>
                              <a:pt x="2016" y="85"/>
                              <a:pt x="2016" y="85"/>
                            </a:cubicBezTo>
                            <a:cubicBezTo>
                              <a:pt x="1993" y="85"/>
                              <a:pt x="1993" y="85"/>
                              <a:pt x="1993" y="85"/>
                            </a:cubicBezTo>
                            <a:cubicBezTo>
                              <a:pt x="1993" y="176"/>
                              <a:pt x="1993" y="176"/>
                              <a:pt x="1993" y="176"/>
                            </a:cubicBezTo>
                            <a:cubicBezTo>
                              <a:pt x="1955" y="176"/>
                              <a:pt x="1955" y="176"/>
                              <a:pt x="1955" y="176"/>
                            </a:cubicBezTo>
                            <a:lnTo>
                              <a:pt x="1955" y="85"/>
                            </a:lnTo>
                            <a:close/>
                            <a:moveTo>
                              <a:pt x="2022" y="96"/>
                            </a:moveTo>
                            <a:cubicBezTo>
                              <a:pt x="2022" y="88"/>
                              <a:pt x="2024" y="82"/>
                              <a:pt x="2027" y="77"/>
                            </a:cubicBezTo>
                            <a:cubicBezTo>
                              <a:pt x="2031" y="72"/>
                              <a:pt x="2035" y="68"/>
                              <a:pt x="2040" y="65"/>
                            </a:cubicBezTo>
                            <a:cubicBezTo>
                              <a:pt x="2045" y="62"/>
                              <a:pt x="2051" y="60"/>
                              <a:pt x="2057" y="59"/>
                            </a:cubicBezTo>
                            <a:cubicBezTo>
                              <a:pt x="2064" y="57"/>
                              <a:pt x="2070" y="57"/>
                              <a:pt x="2077" y="57"/>
                            </a:cubicBezTo>
                            <a:cubicBezTo>
                              <a:pt x="2084" y="57"/>
                              <a:pt x="2091" y="57"/>
                              <a:pt x="2097" y="58"/>
                            </a:cubicBezTo>
                            <a:cubicBezTo>
                              <a:pt x="2104" y="59"/>
                              <a:pt x="2109" y="61"/>
                              <a:pt x="2114" y="64"/>
                            </a:cubicBezTo>
                            <a:cubicBezTo>
                              <a:pt x="2120" y="67"/>
                              <a:pt x="2124" y="71"/>
                              <a:pt x="2127" y="76"/>
                            </a:cubicBezTo>
                            <a:cubicBezTo>
                              <a:pt x="2130" y="81"/>
                              <a:pt x="2131" y="88"/>
                              <a:pt x="2131" y="96"/>
                            </a:cubicBezTo>
                            <a:cubicBezTo>
                              <a:pt x="2131" y="147"/>
                              <a:pt x="2131" y="147"/>
                              <a:pt x="2131" y="147"/>
                            </a:cubicBezTo>
                            <a:cubicBezTo>
                              <a:pt x="2131" y="152"/>
                              <a:pt x="2131" y="157"/>
                              <a:pt x="2132" y="162"/>
                            </a:cubicBezTo>
                            <a:cubicBezTo>
                              <a:pt x="2132" y="167"/>
                              <a:pt x="2133" y="172"/>
                              <a:pt x="2136" y="176"/>
                            </a:cubicBezTo>
                            <a:cubicBezTo>
                              <a:pt x="2097" y="176"/>
                              <a:pt x="2097" y="176"/>
                              <a:pt x="2097" y="176"/>
                            </a:cubicBezTo>
                            <a:cubicBezTo>
                              <a:pt x="2097" y="175"/>
                              <a:pt x="2096" y="173"/>
                              <a:pt x="2096" y="171"/>
                            </a:cubicBezTo>
                            <a:cubicBezTo>
                              <a:pt x="2096" y="169"/>
                              <a:pt x="2095" y="167"/>
                              <a:pt x="2095" y="165"/>
                            </a:cubicBezTo>
                            <a:cubicBezTo>
                              <a:pt x="2090" y="171"/>
                              <a:pt x="2084" y="174"/>
                              <a:pt x="2078" y="176"/>
                            </a:cubicBezTo>
                            <a:cubicBezTo>
                              <a:pt x="2071" y="179"/>
                              <a:pt x="2064" y="180"/>
                              <a:pt x="2057" y="180"/>
                            </a:cubicBezTo>
                            <a:cubicBezTo>
                              <a:pt x="2051" y="180"/>
                              <a:pt x="2046" y="179"/>
                              <a:pt x="2041" y="178"/>
                            </a:cubicBezTo>
                            <a:cubicBezTo>
                              <a:pt x="2036" y="176"/>
                              <a:pt x="2032" y="174"/>
                              <a:pt x="2029" y="171"/>
                            </a:cubicBezTo>
                            <a:cubicBezTo>
                              <a:pt x="2025" y="168"/>
                              <a:pt x="2022" y="165"/>
                              <a:pt x="2020" y="160"/>
                            </a:cubicBezTo>
                            <a:cubicBezTo>
                              <a:pt x="2018" y="156"/>
                              <a:pt x="2017" y="151"/>
                              <a:pt x="2017" y="145"/>
                            </a:cubicBezTo>
                            <a:cubicBezTo>
                              <a:pt x="2017" y="138"/>
                              <a:pt x="2018" y="133"/>
                              <a:pt x="2020" y="129"/>
                            </a:cubicBezTo>
                            <a:cubicBezTo>
                              <a:pt x="2022" y="125"/>
                              <a:pt x="2025" y="121"/>
                              <a:pt x="2029" y="119"/>
                            </a:cubicBezTo>
                            <a:cubicBezTo>
                              <a:pt x="2032" y="116"/>
                              <a:pt x="2037" y="114"/>
                              <a:pt x="2041" y="112"/>
                            </a:cubicBezTo>
                            <a:cubicBezTo>
                              <a:pt x="2046" y="111"/>
                              <a:pt x="2051" y="110"/>
                              <a:pt x="2056" y="109"/>
                            </a:cubicBezTo>
                            <a:cubicBezTo>
                              <a:pt x="2061" y="108"/>
                              <a:pt x="2066" y="107"/>
                              <a:pt x="2071" y="106"/>
                            </a:cubicBezTo>
                            <a:cubicBezTo>
                              <a:pt x="2076" y="106"/>
                              <a:pt x="2080" y="105"/>
                              <a:pt x="2085" y="104"/>
                            </a:cubicBezTo>
                            <a:cubicBezTo>
                              <a:pt x="2088" y="104"/>
                              <a:pt x="2091" y="102"/>
                              <a:pt x="2092" y="101"/>
                            </a:cubicBezTo>
                            <a:cubicBezTo>
                              <a:pt x="2094" y="100"/>
                              <a:pt x="2095" y="97"/>
                              <a:pt x="2095" y="94"/>
                            </a:cubicBezTo>
                            <a:cubicBezTo>
                              <a:pt x="2095" y="91"/>
                              <a:pt x="2094" y="89"/>
                              <a:pt x="2093" y="88"/>
                            </a:cubicBezTo>
                            <a:cubicBezTo>
                              <a:pt x="2092" y="86"/>
                              <a:pt x="2090" y="85"/>
                              <a:pt x="2089" y="84"/>
                            </a:cubicBezTo>
                            <a:cubicBezTo>
                              <a:pt x="2087" y="83"/>
                              <a:pt x="2085" y="83"/>
                              <a:pt x="2083" y="82"/>
                            </a:cubicBezTo>
                            <a:cubicBezTo>
                              <a:pt x="2081" y="82"/>
                              <a:pt x="2079" y="81"/>
                              <a:pt x="2077" y="81"/>
                            </a:cubicBezTo>
                            <a:cubicBezTo>
                              <a:pt x="2066" y="81"/>
                              <a:pt x="2059" y="86"/>
                              <a:pt x="2058" y="96"/>
                            </a:cubicBezTo>
                            <a:lnTo>
                              <a:pt x="2022" y="96"/>
                            </a:lnTo>
                            <a:close/>
                            <a:moveTo>
                              <a:pt x="2055" y="143"/>
                            </a:moveTo>
                            <a:cubicBezTo>
                              <a:pt x="2055" y="148"/>
                              <a:pt x="2057" y="151"/>
                              <a:pt x="2060" y="153"/>
                            </a:cubicBezTo>
                            <a:cubicBezTo>
                              <a:pt x="2063" y="155"/>
                              <a:pt x="2067" y="156"/>
                              <a:pt x="2071" y="156"/>
                            </a:cubicBezTo>
                            <a:cubicBezTo>
                              <a:pt x="2080" y="156"/>
                              <a:pt x="2087" y="154"/>
                              <a:pt x="2090" y="148"/>
                            </a:cubicBezTo>
                            <a:cubicBezTo>
                              <a:pt x="2093" y="143"/>
                              <a:pt x="2095" y="134"/>
                              <a:pt x="2094" y="122"/>
                            </a:cubicBezTo>
                            <a:cubicBezTo>
                              <a:pt x="2092" y="124"/>
                              <a:pt x="2088" y="125"/>
                              <a:pt x="2084" y="125"/>
                            </a:cubicBezTo>
                            <a:cubicBezTo>
                              <a:pt x="2079" y="126"/>
                              <a:pt x="2075" y="127"/>
                              <a:pt x="2071" y="128"/>
                            </a:cubicBezTo>
                            <a:cubicBezTo>
                              <a:pt x="2067" y="129"/>
                              <a:pt x="2063" y="131"/>
                              <a:pt x="2060" y="133"/>
                            </a:cubicBezTo>
                            <a:cubicBezTo>
                              <a:pt x="2057" y="135"/>
                              <a:pt x="2055" y="138"/>
                              <a:pt x="2055" y="143"/>
                            </a:cubicBezTo>
                            <a:close/>
                            <a:moveTo>
                              <a:pt x="2226" y="103"/>
                            </a:moveTo>
                            <a:cubicBezTo>
                              <a:pt x="2226" y="100"/>
                              <a:pt x="2225" y="98"/>
                              <a:pt x="2224" y="96"/>
                            </a:cubicBezTo>
                            <a:cubicBezTo>
                              <a:pt x="2223" y="94"/>
                              <a:pt x="2222" y="92"/>
                              <a:pt x="2220" y="91"/>
                            </a:cubicBezTo>
                            <a:cubicBezTo>
                              <a:pt x="2218" y="89"/>
                              <a:pt x="2216" y="88"/>
                              <a:pt x="2214" y="87"/>
                            </a:cubicBezTo>
                            <a:cubicBezTo>
                              <a:pt x="2212" y="86"/>
                              <a:pt x="2209" y="86"/>
                              <a:pt x="2207" y="86"/>
                            </a:cubicBezTo>
                            <a:cubicBezTo>
                              <a:pt x="2202" y="86"/>
                              <a:pt x="2197" y="87"/>
                              <a:pt x="2194" y="89"/>
                            </a:cubicBezTo>
                            <a:cubicBezTo>
                              <a:pt x="2191" y="91"/>
                              <a:pt x="2188" y="94"/>
                              <a:pt x="2187" y="97"/>
                            </a:cubicBezTo>
                            <a:cubicBezTo>
                              <a:pt x="2185" y="100"/>
                              <a:pt x="2184" y="104"/>
                              <a:pt x="2183" y="108"/>
                            </a:cubicBezTo>
                            <a:cubicBezTo>
                              <a:pt x="2183" y="112"/>
                              <a:pt x="2182" y="116"/>
                              <a:pt x="2182" y="120"/>
                            </a:cubicBezTo>
                            <a:cubicBezTo>
                              <a:pt x="2182" y="124"/>
                              <a:pt x="2183" y="128"/>
                              <a:pt x="2184" y="131"/>
                            </a:cubicBezTo>
                            <a:cubicBezTo>
                              <a:pt x="2184" y="135"/>
                              <a:pt x="2186" y="138"/>
                              <a:pt x="2188" y="141"/>
                            </a:cubicBezTo>
                            <a:cubicBezTo>
                              <a:pt x="2189" y="144"/>
                              <a:pt x="2192" y="146"/>
                              <a:pt x="2195" y="148"/>
                            </a:cubicBezTo>
                            <a:cubicBezTo>
                              <a:pt x="2197" y="150"/>
                              <a:pt x="2201" y="151"/>
                              <a:pt x="2205" y="151"/>
                            </a:cubicBezTo>
                            <a:cubicBezTo>
                              <a:pt x="2212" y="151"/>
                              <a:pt x="2217" y="149"/>
                              <a:pt x="2220" y="145"/>
                            </a:cubicBezTo>
                            <a:cubicBezTo>
                              <a:pt x="2224" y="142"/>
                              <a:pt x="2226" y="137"/>
                              <a:pt x="2227" y="131"/>
                            </a:cubicBezTo>
                            <a:cubicBezTo>
                              <a:pt x="2264" y="131"/>
                              <a:pt x="2264" y="131"/>
                              <a:pt x="2264" y="131"/>
                            </a:cubicBezTo>
                            <a:cubicBezTo>
                              <a:pt x="2263" y="138"/>
                              <a:pt x="2261" y="145"/>
                              <a:pt x="2257" y="152"/>
                            </a:cubicBezTo>
                            <a:cubicBezTo>
                              <a:pt x="2254" y="158"/>
                              <a:pt x="2250" y="163"/>
                              <a:pt x="2245" y="167"/>
                            </a:cubicBezTo>
                            <a:cubicBezTo>
                              <a:pt x="2240" y="171"/>
                              <a:pt x="2234" y="174"/>
                              <a:pt x="2227" y="176"/>
                            </a:cubicBezTo>
                            <a:cubicBezTo>
                              <a:pt x="2220" y="179"/>
                              <a:pt x="2213" y="180"/>
                              <a:pt x="2205" y="180"/>
                            </a:cubicBezTo>
                            <a:cubicBezTo>
                              <a:pt x="2196" y="180"/>
                              <a:pt x="2188" y="178"/>
                              <a:pt x="2181" y="175"/>
                            </a:cubicBezTo>
                            <a:cubicBezTo>
                              <a:pt x="2173" y="173"/>
                              <a:pt x="2167" y="169"/>
                              <a:pt x="2162" y="163"/>
                            </a:cubicBezTo>
                            <a:cubicBezTo>
                              <a:pt x="2156" y="158"/>
                              <a:pt x="2152" y="152"/>
                              <a:pt x="2149" y="145"/>
                            </a:cubicBezTo>
                            <a:cubicBezTo>
                              <a:pt x="2146" y="137"/>
                              <a:pt x="2144" y="129"/>
                              <a:pt x="2144" y="120"/>
                            </a:cubicBezTo>
                            <a:cubicBezTo>
                              <a:pt x="2144" y="111"/>
                              <a:pt x="2146" y="102"/>
                              <a:pt x="2148" y="95"/>
                            </a:cubicBezTo>
                            <a:cubicBezTo>
                              <a:pt x="2151" y="87"/>
                              <a:pt x="2155" y="80"/>
                              <a:pt x="2161" y="75"/>
                            </a:cubicBezTo>
                            <a:cubicBezTo>
                              <a:pt x="2166" y="69"/>
                              <a:pt x="2172" y="65"/>
                              <a:pt x="2180" y="61"/>
                            </a:cubicBezTo>
                            <a:cubicBezTo>
                              <a:pt x="2187" y="58"/>
                              <a:pt x="2196" y="57"/>
                              <a:pt x="2205" y="57"/>
                            </a:cubicBezTo>
                            <a:cubicBezTo>
                              <a:pt x="2212" y="57"/>
                              <a:pt x="2219" y="58"/>
                              <a:pt x="2226" y="60"/>
                            </a:cubicBezTo>
                            <a:cubicBezTo>
                              <a:pt x="2233" y="62"/>
                              <a:pt x="2238" y="64"/>
                              <a:pt x="2244" y="68"/>
                            </a:cubicBezTo>
                            <a:cubicBezTo>
                              <a:pt x="2249" y="72"/>
                              <a:pt x="2253" y="77"/>
                              <a:pt x="2256" y="83"/>
                            </a:cubicBezTo>
                            <a:cubicBezTo>
                              <a:pt x="2260" y="88"/>
                              <a:pt x="2262" y="95"/>
                              <a:pt x="2262" y="103"/>
                            </a:cubicBezTo>
                            <a:lnTo>
                              <a:pt x="2226" y="103"/>
                            </a:lnTo>
                            <a:close/>
                            <a:moveTo>
                              <a:pt x="2316" y="46"/>
                            </a:moveTo>
                            <a:cubicBezTo>
                              <a:pt x="2277" y="46"/>
                              <a:pt x="2277" y="46"/>
                              <a:pt x="2277" y="46"/>
                            </a:cubicBezTo>
                            <a:cubicBezTo>
                              <a:pt x="2277" y="16"/>
                              <a:pt x="2277" y="16"/>
                              <a:pt x="2277" y="16"/>
                            </a:cubicBezTo>
                            <a:cubicBezTo>
                              <a:pt x="2316" y="16"/>
                              <a:pt x="2316" y="16"/>
                              <a:pt x="2316" y="16"/>
                            </a:cubicBezTo>
                            <a:lnTo>
                              <a:pt x="2316" y="46"/>
                            </a:lnTo>
                            <a:close/>
                            <a:moveTo>
                              <a:pt x="2277" y="60"/>
                            </a:moveTo>
                            <a:cubicBezTo>
                              <a:pt x="2316" y="60"/>
                              <a:pt x="2316" y="60"/>
                              <a:pt x="2316" y="60"/>
                            </a:cubicBezTo>
                            <a:cubicBezTo>
                              <a:pt x="2316" y="176"/>
                              <a:pt x="2316" y="176"/>
                              <a:pt x="2316" y="176"/>
                            </a:cubicBezTo>
                            <a:cubicBezTo>
                              <a:pt x="2277" y="176"/>
                              <a:pt x="2277" y="176"/>
                              <a:pt x="2277" y="176"/>
                            </a:cubicBezTo>
                            <a:lnTo>
                              <a:pt x="2277" y="60"/>
                            </a:lnTo>
                            <a:close/>
                            <a:moveTo>
                              <a:pt x="2337" y="16"/>
                            </a:moveTo>
                            <a:cubicBezTo>
                              <a:pt x="2375" y="16"/>
                              <a:pt x="2375" y="16"/>
                              <a:pt x="2375" y="16"/>
                            </a:cubicBezTo>
                            <a:cubicBezTo>
                              <a:pt x="2375" y="176"/>
                              <a:pt x="2375" y="176"/>
                              <a:pt x="2375" y="176"/>
                            </a:cubicBezTo>
                            <a:cubicBezTo>
                              <a:pt x="2337" y="176"/>
                              <a:pt x="2337" y="176"/>
                              <a:pt x="2337" y="176"/>
                            </a:cubicBezTo>
                            <a:lnTo>
                              <a:pt x="2337" y="16"/>
                            </a:lnTo>
                            <a:close/>
                            <a:moveTo>
                              <a:pt x="2435" y="46"/>
                            </a:moveTo>
                            <a:cubicBezTo>
                              <a:pt x="2397" y="46"/>
                              <a:pt x="2397" y="46"/>
                              <a:pt x="2397" y="46"/>
                            </a:cubicBezTo>
                            <a:cubicBezTo>
                              <a:pt x="2397" y="16"/>
                              <a:pt x="2397" y="16"/>
                              <a:pt x="2397" y="16"/>
                            </a:cubicBezTo>
                            <a:cubicBezTo>
                              <a:pt x="2435" y="16"/>
                              <a:pt x="2435" y="16"/>
                              <a:pt x="2435" y="16"/>
                            </a:cubicBezTo>
                            <a:lnTo>
                              <a:pt x="2435" y="46"/>
                            </a:lnTo>
                            <a:close/>
                            <a:moveTo>
                              <a:pt x="2397" y="60"/>
                            </a:moveTo>
                            <a:cubicBezTo>
                              <a:pt x="2435" y="60"/>
                              <a:pt x="2435" y="60"/>
                              <a:pt x="2435" y="60"/>
                            </a:cubicBezTo>
                            <a:cubicBezTo>
                              <a:pt x="2435" y="176"/>
                              <a:pt x="2435" y="176"/>
                              <a:pt x="2435" y="176"/>
                            </a:cubicBezTo>
                            <a:cubicBezTo>
                              <a:pt x="2397" y="176"/>
                              <a:pt x="2397" y="176"/>
                              <a:pt x="2397" y="176"/>
                            </a:cubicBezTo>
                            <a:lnTo>
                              <a:pt x="2397" y="60"/>
                            </a:lnTo>
                            <a:close/>
                            <a:moveTo>
                              <a:pt x="2526" y="85"/>
                            </a:moveTo>
                            <a:cubicBezTo>
                              <a:pt x="2502" y="85"/>
                              <a:pt x="2502" y="85"/>
                              <a:pt x="2502" y="85"/>
                            </a:cubicBezTo>
                            <a:cubicBezTo>
                              <a:pt x="2502" y="138"/>
                              <a:pt x="2502" y="138"/>
                              <a:pt x="2502" y="138"/>
                            </a:cubicBezTo>
                            <a:cubicBezTo>
                              <a:pt x="2502" y="142"/>
                              <a:pt x="2503" y="145"/>
                              <a:pt x="2506" y="147"/>
                            </a:cubicBezTo>
                            <a:cubicBezTo>
                              <a:pt x="2508" y="148"/>
                              <a:pt x="2512" y="149"/>
                              <a:pt x="2516" y="149"/>
                            </a:cubicBezTo>
                            <a:cubicBezTo>
                              <a:pt x="2517" y="149"/>
                              <a:pt x="2519" y="149"/>
                              <a:pt x="2521" y="149"/>
                            </a:cubicBezTo>
                            <a:cubicBezTo>
                              <a:pt x="2522" y="148"/>
                              <a:pt x="2524" y="148"/>
                              <a:pt x="2526" y="148"/>
                            </a:cubicBezTo>
                            <a:cubicBezTo>
                              <a:pt x="2526" y="176"/>
                              <a:pt x="2526" y="176"/>
                              <a:pt x="2526" y="176"/>
                            </a:cubicBezTo>
                            <a:cubicBezTo>
                              <a:pt x="2522" y="177"/>
                              <a:pt x="2519" y="177"/>
                              <a:pt x="2515" y="177"/>
                            </a:cubicBezTo>
                            <a:cubicBezTo>
                              <a:pt x="2512" y="177"/>
                              <a:pt x="2508" y="178"/>
                              <a:pt x="2505" y="178"/>
                            </a:cubicBezTo>
                            <a:cubicBezTo>
                              <a:pt x="2497" y="178"/>
                              <a:pt x="2490" y="177"/>
                              <a:pt x="2485" y="175"/>
                            </a:cubicBezTo>
                            <a:cubicBezTo>
                              <a:pt x="2479" y="174"/>
                              <a:pt x="2475" y="172"/>
                              <a:pt x="2472" y="169"/>
                            </a:cubicBezTo>
                            <a:cubicBezTo>
                              <a:pt x="2469" y="166"/>
                              <a:pt x="2467" y="161"/>
                              <a:pt x="2466" y="156"/>
                            </a:cubicBezTo>
                            <a:cubicBezTo>
                              <a:pt x="2465" y="151"/>
                              <a:pt x="2464" y="144"/>
                              <a:pt x="2464" y="137"/>
                            </a:cubicBezTo>
                            <a:cubicBezTo>
                              <a:pt x="2464" y="85"/>
                              <a:pt x="2464" y="85"/>
                              <a:pt x="2464" y="85"/>
                            </a:cubicBezTo>
                            <a:cubicBezTo>
                              <a:pt x="2445" y="85"/>
                              <a:pt x="2445" y="85"/>
                              <a:pt x="2445" y="85"/>
                            </a:cubicBezTo>
                            <a:cubicBezTo>
                              <a:pt x="2445" y="60"/>
                              <a:pt x="2445" y="60"/>
                              <a:pt x="2445" y="60"/>
                            </a:cubicBezTo>
                            <a:cubicBezTo>
                              <a:pt x="2464" y="60"/>
                              <a:pt x="2464" y="60"/>
                              <a:pt x="2464" y="60"/>
                            </a:cubicBezTo>
                            <a:cubicBezTo>
                              <a:pt x="2464" y="25"/>
                              <a:pt x="2464" y="25"/>
                              <a:pt x="2464" y="25"/>
                            </a:cubicBezTo>
                            <a:cubicBezTo>
                              <a:pt x="2502" y="25"/>
                              <a:pt x="2502" y="25"/>
                              <a:pt x="2502" y="25"/>
                            </a:cubicBezTo>
                            <a:cubicBezTo>
                              <a:pt x="2502" y="60"/>
                              <a:pt x="2502" y="60"/>
                              <a:pt x="2502" y="60"/>
                            </a:cubicBezTo>
                            <a:cubicBezTo>
                              <a:pt x="2526" y="60"/>
                              <a:pt x="2526" y="60"/>
                              <a:pt x="2526" y="60"/>
                            </a:cubicBezTo>
                            <a:lnTo>
                              <a:pt x="2526" y="85"/>
                            </a:lnTo>
                            <a:close/>
                            <a:moveTo>
                              <a:pt x="2535" y="96"/>
                            </a:moveTo>
                            <a:cubicBezTo>
                              <a:pt x="2535" y="88"/>
                              <a:pt x="2537" y="82"/>
                              <a:pt x="2540" y="77"/>
                            </a:cubicBezTo>
                            <a:cubicBezTo>
                              <a:pt x="2543" y="72"/>
                              <a:pt x="2548" y="68"/>
                              <a:pt x="2553" y="65"/>
                            </a:cubicBezTo>
                            <a:cubicBezTo>
                              <a:pt x="2558" y="62"/>
                              <a:pt x="2564" y="60"/>
                              <a:pt x="2570" y="59"/>
                            </a:cubicBezTo>
                            <a:cubicBezTo>
                              <a:pt x="2576" y="57"/>
                              <a:pt x="2583" y="57"/>
                              <a:pt x="2590" y="57"/>
                            </a:cubicBezTo>
                            <a:cubicBezTo>
                              <a:pt x="2597" y="57"/>
                              <a:pt x="2603" y="57"/>
                              <a:pt x="2610" y="58"/>
                            </a:cubicBezTo>
                            <a:cubicBezTo>
                              <a:pt x="2616" y="59"/>
                              <a:pt x="2622" y="61"/>
                              <a:pt x="2627" y="64"/>
                            </a:cubicBezTo>
                            <a:cubicBezTo>
                              <a:pt x="2632" y="67"/>
                              <a:pt x="2636" y="71"/>
                              <a:pt x="2639" y="76"/>
                            </a:cubicBezTo>
                            <a:cubicBezTo>
                              <a:pt x="2642" y="81"/>
                              <a:pt x="2644" y="88"/>
                              <a:pt x="2644" y="96"/>
                            </a:cubicBezTo>
                            <a:cubicBezTo>
                              <a:pt x="2644" y="147"/>
                              <a:pt x="2644" y="147"/>
                              <a:pt x="2644" y="147"/>
                            </a:cubicBezTo>
                            <a:cubicBezTo>
                              <a:pt x="2644" y="152"/>
                              <a:pt x="2644" y="157"/>
                              <a:pt x="2645" y="162"/>
                            </a:cubicBezTo>
                            <a:cubicBezTo>
                              <a:pt x="2645" y="167"/>
                              <a:pt x="2646" y="172"/>
                              <a:pt x="2648" y="176"/>
                            </a:cubicBezTo>
                            <a:cubicBezTo>
                              <a:pt x="2610" y="176"/>
                              <a:pt x="2610" y="176"/>
                              <a:pt x="2610" y="176"/>
                            </a:cubicBezTo>
                            <a:cubicBezTo>
                              <a:pt x="2609" y="175"/>
                              <a:pt x="2609" y="173"/>
                              <a:pt x="2609" y="171"/>
                            </a:cubicBezTo>
                            <a:cubicBezTo>
                              <a:pt x="2608" y="169"/>
                              <a:pt x="2608" y="167"/>
                              <a:pt x="2608" y="165"/>
                            </a:cubicBezTo>
                            <a:cubicBezTo>
                              <a:pt x="2603" y="171"/>
                              <a:pt x="2597" y="174"/>
                              <a:pt x="2590" y="176"/>
                            </a:cubicBezTo>
                            <a:cubicBezTo>
                              <a:pt x="2584" y="179"/>
                              <a:pt x="2577" y="180"/>
                              <a:pt x="2570" y="180"/>
                            </a:cubicBezTo>
                            <a:cubicBezTo>
                              <a:pt x="2564" y="180"/>
                              <a:pt x="2559" y="179"/>
                              <a:pt x="2554" y="178"/>
                            </a:cubicBezTo>
                            <a:cubicBezTo>
                              <a:pt x="2549" y="176"/>
                              <a:pt x="2545" y="174"/>
                              <a:pt x="2541" y="171"/>
                            </a:cubicBezTo>
                            <a:cubicBezTo>
                              <a:pt x="2538" y="168"/>
                              <a:pt x="2535" y="165"/>
                              <a:pt x="2533" y="160"/>
                            </a:cubicBezTo>
                            <a:cubicBezTo>
                              <a:pt x="2531" y="156"/>
                              <a:pt x="2530" y="151"/>
                              <a:pt x="2530" y="145"/>
                            </a:cubicBezTo>
                            <a:cubicBezTo>
                              <a:pt x="2530" y="138"/>
                              <a:pt x="2531" y="133"/>
                              <a:pt x="2533" y="129"/>
                            </a:cubicBezTo>
                            <a:cubicBezTo>
                              <a:pt x="2535" y="125"/>
                              <a:pt x="2538" y="121"/>
                              <a:pt x="2542" y="119"/>
                            </a:cubicBezTo>
                            <a:cubicBezTo>
                              <a:pt x="2545" y="116"/>
                              <a:pt x="2549" y="114"/>
                              <a:pt x="2554" y="112"/>
                            </a:cubicBezTo>
                            <a:cubicBezTo>
                              <a:pt x="2559" y="111"/>
                              <a:pt x="2563" y="110"/>
                              <a:pt x="2568" y="109"/>
                            </a:cubicBezTo>
                            <a:cubicBezTo>
                              <a:pt x="2573" y="108"/>
                              <a:pt x="2578" y="107"/>
                              <a:pt x="2583" y="106"/>
                            </a:cubicBezTo>
                            <a:cubicBezTo>
                              <a:pt x="2588" y="106"/>
                              <a:pt x="2593" y="105"/>
                              <a:pt x="2598" y="104"/>
                            </a:cubicBezTo>
                            <a:cubicBezTo>
                              <a:pt x="2601" y="104"/>
                              <a:pt x="2603" y="102"/>
                              <a:pt x="2605" y="101"/>
                            </a:cubicBezTo>
                            <a:cubicBezTo>
                              <a:pt x="2607" y="100"/>
                              <a:pt x="2608" y="97"/>
                              <a:pt x="2608" y="94"/>
                            </a:cubicBezTo>
                            <a:cubicBezTo>
                              <a:pt x="2608" y="91"/>
                              <a:pt x="2607" y="89"/>
                              <a:pt x="2606" y="88"/>
                            </a:cubicBezTo>
                            <a:cubicBezTo>
                              <a:pt x="2605" y="86"/>
                              <a:pt x="2603" y="85"/>
                              <a:pt x="2601" y="84"/>
                            </a:cubicBezTo>
                            <a:cubicBezTo>
                              <a:pt x="2600" y="83"/>
                              <a:pt x="2598" y="83"/>
                              <a:pt x="2595" y="82"/>
                            </a:cubicBezTo>
                            <a:cubicBezTo>
                              <a:pt x="2593" y="82"/>
                              <a:pt x="2591" y="81"/>
                              <a:pt x="2589" y="81"/>
                            </a:cubicBezTo>
                            <a:cubicBezTo>
                              <a:pt x="2578" y="81"/>
                              <a:pt x="2572" y="86"/>
                              <a:pt x="2570" y="96"/>
                            </a:cubicBezTo>
                            <a:lnTo>
                              <a:pt x="2535" y="96"/>
                            </a:lnTo>
                            <a:close/>
                            <a:moveTo>
                              <a:pt x="2568" y="143"/>
                            </a:moveTo>
                            <a:cubicBezTo>
                              <a:pt x="2568" y="148"/>
                              <a:pt x="2570" y="151"/>
                              <a:pt x="2573" y="153"/>
                            </a:cubicBezTo>
                            <a:cubicBezTo>
                              <a:pt x="2576" y="155"/>
                              <a:pt x="2580" y="156"/>
                              <a:pt x="2584" y="156"/>
                            </a:cubicBezTo>
                            <a:cubicBezTo>
                              <a:pt x="2593" y="156"/>
                              <a:pt x="2599" y="154"/>
                              <a:pt x="2603" y="148"/>
                            </a:cubicBezTo>
                            <a:cubicBezTo>
                              <a:pt x="2606" y="143"/>
                              <a:pt x="2608" y="134"/>
                              <a:pt x="2607" y="122"/>
                            </a:cubicBezTo>
                            <a:cubicBezTo>
                              <a:pt x="2605" y="124"/>
                              <a:pt x="2601" y="125"/>
                              <a:pt x="2597" y="125"/>
                            </a:cubicBezTo>
                            <a:cubicBezTo>
                              <a:pt x="2592" y="126"/>
                              <a:pt x="2588" y="127"/>
                              <a:pt x="2584" y="128"/>
                            </a:cubicBezTo>
                            <a:cubicBezTo>
                              <a:pt x="2579" y="129"/>
                              <a:pt x="2576" y="131"/>
                              <a:pt x="2573" y="133"/>
                            </a:cubicBezTo>
                            <a:cubicBezTo>
                              <a:pt x="2570" y="135"/>
                              <a:pt x="2568" y="138"/>
                              <a:pt x="2568" y="143"/>
                            </a:cubicBezTo>
                            <a:close/>
                            <a:moveTo>
                              <a:pt x="2733" y="85"/>
                            </a:moveTo>
                            <a:cubicBezTo>
                              <a:pt x="2709" y="85"/>
                              <a:pt x="2709" y="85"/>
                              <a:pt x="2709" y="85"/>
                            </a:cubicBezTo>
                            <a:cubicBezTo>
                              <a:pt x="2709" y="138"/>
                              <a:pt x="2709" y="138"/>
                              <a:pt x="2709" y="138"/>
                            </a:cubicBezTo>
                            <a:cubicBezTo>
                              <a:pt x="2709" y="142"/>
                              <a:pt x="2710" y="145"/>
                              <a:pt x="2713" y="147"/>
                            </a:cubicBezTo>
                            <a:cubicBezTo>
                              <a:pt x="2715" y="148"/>
                              <a:pt x="2719" y="149"/>
                              <a:pt x="2723" y="149"/>
                            </a:cubicBezTo>
                            <a:cubicBezTo>
                              <a:pt x="2724" y="149"/>
                              <a:pt x="2726" y="149"/>
                              <a:pt x="2728" y="149"/>
                            </a:cubicBezTo>
                            <a:cubicBezTo>
                              <a:pt x="2729" y="148"/>
                              <a:pt x="2731" y="148"/>
                              <a:pt x="2733" y="148"/>
                            </a:cubicBezTo>
                            <a:cubicBezTo>
                              <a:pt x="2733" y="176"/>
                              <a:pt x="2733" y="176"/>
                              <a:pt x="2733" y="176"/>
                            </a:cubicBezTo>
                            <a:cubicBezTo>
                              <a:pt x="2729" y="177"/>
                              <a:pt x="2726" y="177"/>
                              <a:pt x="2722" y="177"/>
                            </a:cubicBezTo>
                            <a:cubicBezTo>
                              <a:pt x="2719" y="177"/>
                              <a:pt x="2715" y="178"/>
                              <a:pt x="2712" y="178"/>
                            </a:cubicBezTo>
                            <a:cubicBezTo>
                              <a:pt x="2704" y="178"/>
                              <a:pt x="2697" y="177"/>
                              <a:pt x="2692" y="175"/>
                            </a:cubicBezTo>
                            <a:cubicBezTo>
                              <a:pt x="2686" y="174"/>
                              <a:pt x="2682" y="172"/>
                              <a:pt x="2679" y="169"/>
                            </a:cubicBezTo>
                            <a:cubicBezTo>
                              <a:pt x="2676" y="166"/>
                              <a:pt x="2674" y="161"/>
                              <a:pt x="2673" y="156"/>
                            </a:cubicBezTo>
                            <a:cubicBezTo>
                              <a:pt x="2672" y="151"/>
                              <a:pt x="2671" y="144"/>
                              <a:pt x="2671" y="137"/>
                            </a:cubicBezTo>
                            <a:cubicBezTo>
                              <a:pt x="2671" y="85"/>
                              <a:pt x="2671" y="85"/>
                              <a:pt x="2671" y="85"/>
                            </a:cubicBezTo>
                            <a:cubicBezTo>
                              <a:pt x="2652" y="85"/>
                              <a:pt x="2652" y="85"/>
                              <a:pt x="2652" y="85"/>
                            </a:cubicBezTo>
                            <a:cubicBezTo>
                              <a:pt x="2652" y="60"/>
                              <a:pt x="2652" y="60"/>
                              <a:pt x="2652" y="60"/>
                            </a:cubicBezTo>
                            <a:cubicBezTo>
                              <a:pt x="2671" y="60"/>
                              <a:pt x="2671" y="60"/>
                              <a:pt x="2671" y="60"/>
                            </a:cubicBezTo>
                            <a:cubicBezTo>
                              <a:pt x="2671" y="25"/>
                              <a:pt x="2671" y="25"/>
                              <a:pt x="2671" y="25"/>
                            </a:cubicBezTo>
                            <a:cubicBezTo>
                              <a:pt x="2709" y="25"/>
                              <a:pt x="2709" y="25"/>
                              <a:pt x="2709" y="25"/>
                            </a:cubicBezTo>
                            <a:cubicBezTo>
                              <a:pt x="2709" y="60"/>
                              <a:pt x="2709" y="60"/>
                              <a:pt x="2709" y="60"/>
                            </a:cubicBezTo>
                            <a:cubicBezTo>
                              <a:pt x="2733" y="60"/>
                              <a:pt x="2733" y="60"/>
                              <a:pt x="2733" y="60"/>
                            </a:cubicBezTo>
                            <a:lnTo>
                              <a:pt x="2733" y="85"/>
                            </a:lnTo>
                            <a:close/>
                            <a:moveTo>
                              <a:pt x="2783" y="46"/>
                            </a:moveTo>
                            <a:cubicBezTo>
                              <a:pt x="2745" y="46"/>
                              <a:pt x="2745" y="46"/>
                              <a:pt x="2745" y="46"/>
                            </a:cubicBezTo>
                            <a:cubicBezTo>
                              <a:pt x="2745" y="16"/>
                              <a:pt x="2745" y="16"/>
                              <a:pt x="2745" y="16"/>
                            </a:cubicBezTo>
                            <a:cubicBezTo>
                              <a:pt x="2783" y="16"/>
                              <a:pt x="2783" y="16"/>
                              <a:pt x="2783" y="16"/>
                            </a:cubicBezTo>
                            <a:lnTo>
                              <a:pt x="2783" y="46"/>
                            </a:lnTo>
                            <a:close/>
                            <a:moveTo>
                              <a:pt x="2745" y="60"/>
                            </a:moveTo>
                            <a:cubicBezTo>
                              <a:pt x="2783" y="60"/>
                              <a:pt x="2783" y="60"/>
                              <a:pt x="2783" y="60"/>
                            </a:cubicBezTo>
                            <a:cubicBezTo>
                              <a:pt x="2783" y="176"/>
                              <a:pt x="2783" y="176"/>
                              <a:pt x="2783" y="176"/>
                            </a:cubicBezTo>
                            <a:cubicBezTo>
                              <a:pt x="2745" y="176"/>
                              <a:pt x="2745" y="176"/>
                              <a:pt x="2745" y="176"/>
                            </a:cubicBezTo>
                            <a:lnTo>
                              <a:pt x="2745" y="60"/>
                            </a:lnTo>
                            <a:close/>
                            <a:moveTo>
                              <a:pt x="2803" y="60"/>
                            </a:moveTo>
                            <a:cubicBezTo>
                              <a:pt x="2840" y="60"/>
                              <a:pt x="2840" y="60"/>
                              <a:pt x="2840" y="60"/>
                            </a:cubicBezTo>
                            <a:cubicBezTo>
                              <a:pt x="2840" y="76"/>
                              <a:pt x="2840" y="76"/>
                              <a:pt x="2840" y="76"/>
                            </a:cubicBezTo>
                            <a:cubicBezTo>
                              <a:pt x="2840" y="76"/>
                              <a:pt x="2840" y="76"/>
                              <a:pt x="2840" y="76"/>
                            </a:cubicBezTo>
                            <a:cubicBezTo>
                              <a:pt x="2842" y="73"/>
                              <a:pt x="2844" y="70"/>
                              <a:pt x="2847" y="68"/>
                            </a:cubicBezTo>
                            <a:cubicBezTo>
                              <a:pt x="2850" y="66"/>
                              <a:pt x="2853" y="64"/>
                              <a:pt x="2856" y="62"/>
                            </a:cubicBezTo>
                            <a:cubicBezTo>
                              <a:pt x="2859" y="60"/>
                              <a:pt x="2863" y="59"/>
                              <a:pt x="2866" y="58"/>
                            </a:cubicBezTo>
                            <a:cubicBezTo>
                              <a:pt x="2870" y="57"/>
                              <a:pt x="2873" y="57"/>
                              <a:pt x="2877" y="57"/>
                            </a:cubicBezTo>
                            <a:cubicBezTo>
                              <a:pt x="2887" y="57"/>
                              <a:pt x="2894" y="58"/>
                              <a:pt x="2900" y="61"/>
                            </a:cubicBezTo>
                            <a:cubicBezTo>
                              <a:pt x="2905" y="65"/>
                              <a:pt x="2910" y="68"/>
                              <a:pt x="2912" y="73"/>
                            </a:cubicBezTo>
                            <a:cubicBezTo>
                              <a:pt x="2915" y="78"/>
                              <a:pt x="2917" y="82"/>
                              <a:pt x="2918" y="88"/>
                            </a:cubicBezTo>
                            <a:cubicBezTo>
                              <a:pt x="2918" y="93"/>
                              <a:pt x="2919" y="98"/>
                              <a:pt x="2919" y="102"/>
                            </a:cubicBezTo>
                            <a:cubicBezTo>
                              <a:pt x="2919" y="176"/>
                              <a:pt x="2919" y="176"/>
                              <a:pt x="2919" y="176"/>
                            </a:cubicBezTo>
                            <a:cubicBezTo>
                              <a:pt x="2881" y="176"/>
                              <a:pt x="2881" y="176"/>
                              <a:pt x="2881" y="176"/>
                            </a:cubicBezTo>
                            <a:cubicBezTo>
                              <a:pt x="2881" y="120"/>
                              <a:pt x="2881" y="120"/>
                              <a:pt x="2881" y="120"/>
                            </a:cubicBezTo>
                            <a:cubicBezTo>
                              <a:pt x="2881" y="116"/>
                              <a:pt x="2881" y="112"/>
                              <a:pt x="2881" y="109"/>
                            </a:cubicBezTo>
                            <a:cubicBezTo>
                              <a:pt x="2881" y="105"/>
                              <a:pt x="2880" y="101"/>
                              <a:pt x="2879" y="98"/>
                            </a:cubicBezTo>
                            <a:cubicBezTo>
                              <a:pt x="2878" y="95"/>
                              <a:pt x="2876" y="93"/>
                              <a:pt x="2873" y="91"/>
                            </a:cubicBezTo>
                            <a:cubicBezTo>
                              <a:pt x="2871" y="89"/>
                              <a:pt x="2867" y="88"/>
                              <a:pt x="2862" y="88"/>
                            </a:cubicBezTo>
                            <a:cubicBezTo>
                              <a:pt x="2858" y="88"/>
                              <a:pt x="2855" y="89"/>
                              <a:pt x="2852" y="90"/>
                            </a:cubicBezTo>
                            <a:cubicBezTo>
                              <a:pt x="2850" y="92"/>
                              <a:pt x="2848" y="94"/>
                              <a:pt x="2846" y="96"/>
                            </a:cubicBezTo>
                            <a:cubicBezTo>
                              <a:pt x="2844" y="98"/>
                              <a:pt x="2843" y="101"/>
                              <a:pt x="2842" y="104"/>
                            </a:cubicBezTo>
                            <a:cubicBezTo>
                              <a:pt x="2841" y="107"/>
                              <a:pt x="2841" y="110"/>
                              <a:pt x="2841" y="113"/>
                            </a:cubicBezTo>
                            <a:cubicBezTo>
                              <a:pt x="2841" y="176"/>
                              <a:pt x="2841" y="176"/>
                              <a:pt x="2841" y="176"/>
                            </a:cubicBezTo>
                            <a:cubicBezTo>
                              <a:pt x="2803" y="176"/>
                              <a:pt x="2803" y="176"/>
                              <a:pt x="2803" y="176"/>
                            </a:cubicBezTo>
                            <a:lnTo>
                              <a:pt x="2803" y="60"/>
                            </a:lnTo>
                            <a:close/>
                            <a:moveTo>
                              <a:pt x="3050" y="162"/>
                            </a:moveTo>
                            <a:cubicBezTo>
                              <a:pt x="3050" y="167"/>
                              <a:pt x="3050" y="173"/>
                              <a:pt x="3049" y="179"/>
                            </a:cubicBezTo>
                            <a:cubicBezTo>
                              <a:pt x="3048" y="185"/>
                              <a:pt x="3045" y="191"/>
                              <a:pt x="3041" y="197"/>
                            </a:cubicBezTo>
                            <a:cubicBezTo>
                              <a:pt x="3038" y="202"/>
                              <a:pt x="3032" y="207"/>
                              <a:pt x="3024" y="211"/>
                            </a:cubicBezTo>
                            <a:cubicBezTo>
                              <a:pt x="3016" y="215"/>
                              <a:pt x="3006" y="217"/>
                              <a:pt x="2992" y="217"/>
                            </a:cubicBezTo>
                            <a:cubicBezTo>
                              <a:pt x="2985" y="217"/>
                              <a:pt x="2979" y="217"/>
                              <a:pt x="2972" y="216"/>
                            </a:cubicBezTo>
                            <a:cubicBezTo>
                              <a:pt x="2966" y="215"/>
                              <a:pt x="2960" y="213"/>
                              <a:pt x="2955" y="210"/>
                            </a:cubicBezTo>
                            <a:cubicBezTo>
                              <a:pt x="2950" y="208"/>
                              <a:pt x="2945" y="204"/>
                              <a:pt x="2942" y="199"/>
                            </a:cubicBezTo>
                            <a:cubicBezTo>
                              <a:pt x="2938" y="194"/>
                              <a:pt x="2936" y="188"/>
                              <a:pt x="2935" y="180"/>
                            </a:cubicBezTo>
                            <a:cubicBezTo>
                              <a:pt x="2973" y="180"/>
                              <a:pt x="2973" y="180"/>
                              <a:pt x="2973" y="180"/>
                            </a:cubicBezTo>
                            <a:cubicBezTo>
                              <a:pt x="2974" y="185"/>
                              <a:pt x="2976" y="188"/>
                              <a:pt x="2979" y="190"/>
                            </a:cubicBezTo>
                            <a:cubicBezTo>
                              <a:pt x="2983" y="192"/>
                              <a:pt x="2987" y="193"/>
                              <a:pt x="2993" y="193"/>
                            </a:cubicBezTo>
                            <a:cubicBezTo>
                              <a:pt x="2998" y="193"/>
                              <a:pt x="3001" y="192"/>
                              <a:pt x="3004" y="190"/>
                            </a:cubicBezTo>
                            <a:cubicBezTo>
                              <a:pt x="3007" y="189"/>
                              <a:pt x="3009" y="187"/>
                              <a:pt x="3010" y="184"/>
                            </a:cubicBezTo>
                            <a:cubicBezTo>
                              <a:pt x="3012" y="182"/>
                              <a:pt x="3012" y="179"/>
                              <a:pt x="3013" y="176"/>
                            </a:cubicBezTo>
                            <a:cubicBezTo>
                              <a:pt x="3013" y="172"/>
                              <a:pt x="3013" y="169"/>
                              <a:pt x="3013" y="165"/>
                            </a:cubicBezTo>
                            <a:cubicBezTo>
                              <a:pt x="3013" y="154"/>
                              <a:pt x="3013" y="154"/>
                              <a:pt x="3013" y="154"/>
                            </a:cubicBezTo>
                            <a:cubicBezTo>
                              <a:pt x="3013" y="154"/>
                              <a:pt x="3013" y="154"/>
                              <a:pt x="3013" y="154"/>
                            </a:cubicBezTo>
                            <a:cubicBezTo>
                              <a:pt x="3009" y="160"/>
                              <a:pt x="3005" y="164"/>
                              <a:pt x="3000" y="167"/>
                            </a:cubicBezTo>
                            <a:cubicBezTo>
                              <a:pt x="2994" y="170"/>
                              <a:pt x="2988" y="171"/>
                              <a:pt x="2982" y="171"/>
                            </a:cubicBezTo>
                            <a:cubicBezTo>
                              <a:pt x="2973" y="171"/>
                              <a:pt x="2966" y="170"/>
                              <a:pt x="2959" y="167"/>
                            </a:cubicBezTo>
                            <a:cubicBezTo>
                              <a:pt x="2953" y="164"/>
                              <a:pt x="2947" y="160"/>
                              <a:pt x="2943" y="155"/>
                            </a:cubicBezTo>
                            <a:cubicBezTo>
                              <a:pt x="2939" y="150"/>
                              <a:pt x="2936" y="144"/>
                              <a:pt x="2934" y="137"/>
                            </a:cubicBezTo>
                            <a:cubicBezTo>
                              <a:pt x="2932" y="129"/>
                              <a:pt x="2931" y="122"/>
                              <a:pt x="2931" y="114"/>
                            </a:cubicBezTo>
                            <a:cubicBezTo>
                              <a:pt x="2931" y="106"/>
                              <a:pt x="2932" y="99"/>
                              <a:pt x="2934" y="92"/>
                            </a:cubicBezTo>
                            <a:cubicBezTo>
                              <a:pt x="2936" y="85"/>
                              <a:pt x="2940" y="79"/>
                              <a:pt x="2944" y="74"/>
                            </a:cubicBezTo>
                            <a:cubicBezTo>
                              <a:pt x="2948" y="69"/>
                              <a:pt x="2954" y="64"/>
                              <a:pt x="2960" y="61"/>
                            </a:cubicBezTo>
                            <a:cubicBezTo>
                              <a:pt x="2966" y="58"/>
                              <a:pt x="2974" y="57"/>
                              <a:pt x="2982" y="57"/>
                            </a:cubicBezTo>
                            <a:cubicBezTo>
                              <a:pt x="2996" y="57"/>
                              <a:pt x="3006" y="63"/>
                              <a:pt x="3013" y="75"/>
                            </a:cubicBezTo>
                            <a:cubicBezTo>
                              <a:pt x="3014" y="75"/>
                              <a:pt x="3014" y="75"/>
                              <a:pt x="3014" y="75"/>
                            </a:cubicBezTo>
                            <a:cubicBezTo>
                              <a:pt x="3014" y="60"/>
                              <a:pt x="3014" y="60"/>
                              <a:pt x="3014" y="60"/>
                            </a:cubicBezTo>
                            <a:cubicBezTo>
                              <a:pt x="3050" y="60"/>
                              <a:pt x="3050" y="60"/>
                              <a:pt x="3050" y="60"/>
                            </a:cubicBezTo>
                            <a:lnTo>
                              <a:pt x="3050" y="162"/>
                            </a:lnTo>
                            <a:close/>
                            <a:moveTo>
                              <a:pt x="3014" y="115"/>
                            </a:moveTo>
                            <a:cubicBezTo>
                              <a:pt x="3014" y="111"/>
                              <a:pt x="3014" y="108"/>
                              <a:pt x="3013" y="104"/>
                            </a:cubicBezTo>
                            <a:cubicBezTo>
                              <a:pt x="3012" y="101"/>
                              <a:pt x="3011" y="98"/>
                              <a:pt x="3009" y="95"/>
                            </a:cubicBezTo>
                            <a:cubicBezTo>
                              <a:pt x="3007" y="92"/>
                              <a:pt x="3005" y="90"/>
                              <a:pt x="3002" y="88"/>
                            </a:cubicBezTo>
                            <a:cubicBezTo>
                              <a:pt x="2999" y="87"/>
                              <a:pt x="2995" y="86"/>
                              <a:pt x="2991" y="86"/>
                            </a:cubicBezTo>
                            <a:cubicBezTo>
                              <a:pt x="2987" y="86"/>
                              <a:pt x="2983" y="87"/>
                              <a:pt x="2981" y="88"/>
                            </a:cubicBezTo>
                            <a:cubicBezTo>
                              <a:pt x="2978" y="90"/>
                              <a:pt x="2975" y="92"/>
                              <a:pt x="2974" y="95"/>
                            </a:cubicBezTo>
                            <a:cubicBezTo>
                              <a:pt x="2972" y="98"/>
                              <a:pt x="2971" y="101"/>
                              <a:pt x="2970" y="104"/>
                            </a:cubicBezTo>
                            <a:cubicBezTo>
                              <a:pt x="2969" y="108"/>
                              <a:pt x="2969" y="111"/>
                              <a:pt x="2969" y="115"/>
                            </a:cubicBezTo>
                            <a:cubicBezTo>
                              <a:pt x="2969" y="118"/>
                              <a:pt x="2969" y="122"/>
                              <a:pt x="2970" y="125"/>
                            </a:cubicBezTo>
                            <a:cubicBezTo>
                              <a:pt x="2971" y="128"/>
                              <a:pt x="2972" y="131"/>
                              <a:pt x="2974" y="134"/>
                            </a:cubicBezTo>
                            <a:cubicBezTo>
                              <a:pt x="2976" y="136"/>
                              <a:pt x="2978" y="138"/>
                              <a:pt x="2981" y="140"/>
                            </a:cubicBezTo>
                            <a:cubicBezTo>
                              <a:pt x="2984" y="142"/>
                              <a:pt x="2987" y="142"/>
                              <a:pt x="2991" y="142"/>
                            </a:cubicBezTo>
                            <a:cubicBezTo>
                              <a:pt x="2995" y="142"/>
                              <a:pt x="2998" y="142"/>
                              <a:pt x="3001" y="140"/>
                            </a:cubicBezTo>
                            <a:cubicBezTo>
                              <a:pt x="3004" y="139"/>
                              <a:pt x="3007" y="137"/>
                              <a:pt x="3008" y="134"/>
                            </a:cubicBezTo>
                            <a:cubicBezTo>
                              <a:pt x="3010" y="132"/>
                              <a:pt x="3012" y="129"/>
                              <a:pt x="3013" y="126"/>
                            </a:cubicBezTo>
                            <a:cubicBezTo>
                              <a:pt x="3014" y="122"/>
                              <a:pt x="3014" y="119"/>
                              <a:pt x="3014" y="115"/>
                            </a:cubicBezTo>
                            <a:close/>
                            <a:moveTo>
                              <a:pt x="3199" y="0"/>
                            </a:moveTo>
                            <a:cubicBezTo>
                              <a:pt x="3211" y="0"/>
                              <a:pt x="3211" y="0"/>
                              <a:pt x="3211" y="0"/>
                            </a:cubicBezTo>
                            <a:cubicBezTo>
                              <a:pt x="3211" y="224"/>
                              <a:pt x="3211" y="224"/>
                              <a:pt x="3211" y="224"/>
                            </a:cubicBezTo>
                            <a:cubicBezTo>
                              <a:pt x="3199" y="224"/>
                              <a:pt x="3199" y="224"/>
                              <a:pt x="3199" y="224"/>
                            </a:cubicBezTo>
                            <a:lnTo>
                              <a:pt x="3199" y="0"/>
                            </a:lnTo>
                            <a:close/>
                            <a:moveTo>
                              <a:pt x="3365" y="60"/>
                            </a:moveTo>
                            <a:cubicBezTo>
                              <a:pt x="3402" y="60"/>
                              <a:pt x="3402" y="60"/>
                              <a:pt x="3402" y="60"/>
                            </a:cubicBezTo>
                            <a:cubicBezTo>
                              <a:pt x="3402" y="81"/>
                              <a:pt x="3402" y="81"/>
                              <a:pt x="3402" y="81"/>
                            </a:cubicBezTo>
                            <a:cubicBezTo>
                              <a:pt x="3402" y="81"/>
                              <a:pt x="3402" y="81"/>
                              <a:pt x="3402" y="81"/>
                            </a:cubicBezTo>
                            <a:cubicBezTo>
                              <a:pt x="3405" y="73"/>
                              <a:pt x="3410" y="67"/>
                              <a:pt x="3416" y="64"/>
                            </a:cubicBezTo>
                            <a:cubicBezTo>
                              <a:pt x="3422" y="60"/>
                              <a:pt x="3429" y="58"/>
                              <a:pt x="3437" y="58"/>
                            </a:cubicBezTo>
                            <a:cubicBezTo>
                              <a:pt x="3439" y="58"/>
                              <a:pt x="3440" y="58"/>
                              <a:pt x="3442" y="58"/>
                            </a:cubicBezTo>
                            <a:cubicBezTo>
                              <a:pt x="3443" y="58"/>
                              <a:pt x="3445" y="58"/>
                              <a:pt x="3446" y="59"/>
                            </a:cubicBezTo>
                            <a:cubicBezTo>
                              <a:pt x="3446" y="94"/>
                              <a:pt x="3446" y="94"/>
                              <a:pt x="3446" y="94"/>
                            </a:cubicBezTo>
                            <a:cubicBezTo>
                              <a:pt x="3444" y="93"/>
                              <a:pt x="3441" y="92"/>
                              <a:pt x="3439" y="92"/>
                            </a:cubicBezTo>
                            <a:cubicBezTo>
                              <a:pt x="3437" y="91"/>
                              <a:pt x="3434" y="91"/>
                              <a:pt x="3432" y="91"/>
                            </a:cubicBezTo>
                            <a:cubicBezTo>
                              <a:pt x="3427" y="91"/>
                              <a:pt x="3423" y="92"/>
                              <a:pt x="3419" y="94"/>
                            </a:cubicBezTo>
                            <a:cubicBezTo>
                              <a:pt x="3416" y="95"/>
                              <a:pt x="3413" y="97"/>
                              <a:pt x="3410" y="100"/>
                            </a:cubicBezTo>
                            <a:cubicBezTo>
                              <a:pt x="3408" y="102"/>
                              <a:pt x="3406" y="105"/>
                              <a:pt x="3405" y="108"/>
                            </a:cubicBezTo>
                            <a:cubicBezTo>
                              <a:pt x="3404" y="112"/>
                              <a:pt x="3403" y="115"/>
                              <a:pt x="3403" y="119"/>
                            </a:cubicBezTo>
                            <a:cubicBezTo>
                              <a:pt x="3403" y="176"/>
                              <a:pt x="3403" y="176"/>
                              <a:pt x="3403" y="176"/>
                            </a:cubicBezTo>
                            <a:cubicBezTo>
                              <a:pt x="3365" y="176"/>
                              <a:pt x="3365" y="176"/>
                              <a:pt x="3365" y="176"/>
                            </a:cubicBezTo>
                            <a:lnTo>
                              <a:pt x="3365" y="60"/>
                            </a:lnTo>
                            <a:close/>
                            <a:moveTo>
                              <a:pt x="3481" y="128"/>
                            </a:moveTo>
                            <a:cubicBezTo>
                              <a:pt x="3481" y="136"/>
                              <a:pt x="3484" y="142"/>
                              <a:pt x="3488" y="147"/>
                            </a:cubicBezTo>
                            <a:cubicBezTo>
                              <a:pt x="3493" y="152"/>
                              <a:pt x="3499" y="154"/>
                              <a:pt x="3507" y="154"/>
                            </a:cubicBezTo>
                            <a:cubicBezTo>
                              <a:pt x="3512" y="154"/>
                              <a:pt x="3516" y="153"/>
                              <a:pt x="3520" y="151"/>
                            </a:cubicBezTo>
                            <a:cubicBezTo>
                              <a:pt x="3524" y="149"/>
                              <a:pt x="3527" y="146"/>
                              <a:pt x="3529" y="141"/>
                            </a:cubicBezTo>
                            <a:cubicBezTo>
                              <a:pt x="3564" y="141"/>
                              <a:pt x="3564" y="141"/>
                              <a:pt x="3564" y="141"/>
                            </a:cubicBezTo>
                            <a:cubicBezTo>
                              <a:pt x="3563" y="148"/>
                              <a:pt x="3560" y="154"/>
                              <a:pt x="3556" y="159"/>
                            </a:cubicBezTo>
                            <a:cubicBezTo>
                              <a:pt x="3552" y="163"/>
                              <a:pt x="3548" y="167"/>
                              <a:pt x="3543" y="171"/>
                            </a:cubicBezTo>
                            <a:cubicBezTo>
                              <a:pt x="3537" y="174"/>
                              <a:pt x="3532" y="176"/>
                              <a:pt x="3526" y="178"/>
                            </a:cubicBezTo>
                            <a:cubicBezTo>
                              <a:pt x="3519" y="179"/>
                              <a:pt x="3513" y="180"/>
                              <a:pt x="3507" y="180"/>
                            </a:cubicBezTo>
                            <a:cubicBezTo>
                              <a:pt x="3497" y="180"/>
                              <a:pt x="3489" y="178"/>
                              <a:pt x="3481" y="176"/>
                            </a:cubicBezTo>
                            <a:cubicBezTo>
                              <a:pt x="3473" y="173"/>
                              <a:pt x="3466" y="169"/>
                              <a:pt x="3461" y="164"/>
                            </a:cubicBezTo>
                            <a:cubicBezTo>
                              <a:pt x="3455" y="158"/>
                              <a:pt x="3451" y="152"/>
                              <a:pt x="3448" y="144"/>
                            </a:cubicBezTo>
                            <a:cubicBezTo>
                              <a:pt x="3445" y="136"/>
                              <a:pt x="3443" y="128"/>
                              <a:pt x="3443" y="118"/>
                            </a:cubicBezTo>
                            <a:cubicBezTo>
                              <a:pt x="3443" y="109"/>
                              <a:pt x="3445" y="101"/>
                              <a:pt x="3448" y="93"/>
                            </a:cubicBezTo>
                            <a:cubicBezTo>
                              <a:pt x="3451" y="86"/>
                              <a:pt x="3456" y="79"/>
                              <a:pt x="3461" y="74"/>
                            </a:cubicBezTo>
                            <a:cubicBezTo>
                              <a:pt x="3467" y="69"/>
                              <a:pt x="3474" y="64"/>
                              <a:pt x="3482" y="61"/>
                            </a:cubicBezTo>
                            <a:cubicBezTo>
                              <a:pt x="3489" y="58"/>
                              <a:pt x="3497" y="57"/>
                              <a:pt x="3506" y="57"/>
                            </a:cubicBezTo>
                            <a:cubicBezTo>
                              <a:pt x="3516" y="57"/>
                              <a:pt x="3525" y="59"/>
                              <a:pt x="3533" y="62"/>
                            </a:cubicBezTo>
                            <a:cubicBezTo>
                              <a:pt x="3541" y="66"/>
                              <a:pt x="3547" y="71"/>
                              <a:pt x="3552" y="77"/>
                            </a:cubicBezTo>
                            <a:cubicBezTo>
                              <a:pt x="3557" y="84"/>
                              <a:pt x="3561" y="91"/>
                              <a:pt x="3563" y="100"/>
                            </a:cubicBezTo>
                            <a:cubicBezTo>
                              <a:pt x="3566" y="108"/>
                              <a:pt x="3567" y="118"/>
                              <a:pt x="3566" y="128"/>
                            </a:cubicBezTo>
                            <a:lnTo>
                              <a:pt x="3481" y="128"/>
                            </a:lnTo>
                            <a:close/>
                            <a:moveTo>
                              <a:pt x="3528" y="106"/>
                            </a:moveTo>
                            <a:cubicBezTo>
                              <a:pt x="3528" y="100"/>
                              <a:pt x="3526" y="94"/>
                              <a:pt x="3522" y="89"/>
                            </a:cubicBezTo>
                            <a:cubicBezTo>
                              <a:pt x="3517" y="85"/>
                              <a:pt x="3512" y="83"/>
                              <a:pt x="3506" y="83"/>
                            </a:cubicBezTo>
                            <a:cubicBezTo>
                              <a:pt x="3499" y="83"/>
                              <a:pt x="3493" y="85"/>
                              <a:pt x="3489" y="89"/>
                            </a:cubicBezTo>
                            <a:cubicBezTo>
                              <a:pt x="3485" y="93"/>
                              <a:pt x="3482" y="99"/>
                              <a:pt x="3481" y="106"/>
                            </a:cubicBezTo>
                            <a:lnTo>
                              <a:pt x="3528" y="106"/>
                            </a:lnTo>
                            <a:close/>
                            <a:moveTo>
                              <a:pt x="3691" y="162"/>
                            </a:moveTo>
                            <a:cubicBezTo>
                              <a:pt x="3691" y="167"/>
                              <a:pt x="3691" y="173"/>
                              <a:pt x="3690" y="179"/>
                            </a:cubicBezTo>
                            <a:cubicBezTo>
                              <a:pt x="3689" y="185"/>
                              <a:pt x="3686" y="191"/>
                              <a:pt x="3683" y="197"/>
                            </a:cubicBezTo>
                            <a:cubicBezTo>
                              <a:pt x="3679" y="202"/>
                              <a:pt x="3673" y="207"/>
                              <a:pt x="3665" y="211"/>
                            </a:cubicBezTo>
                            <a:cubicBezTo>
                              <a:pt x="3657" y="215"/>
                              <a:pt x="3647" y="217"/>
                              <a:pt x="3633" y="217"/>
                            </a:cubicBezTo>
                            <a:cubicBezTo>
                              <a:pt x="3626" y="217"/>
                              <a:pt x="3620" y="217"/>
                              <a:pt x="3613" y="216"/>
                            </a:cubicBezTo>
                            <a:cubicBezTo>
                              <a:pt x="3607" y="215"/>
                              <a:pt x="3601" y="213"/>
                              <a:pt x="3596" y="210"/>
                            </a:cubicBezTo>
                            <a:cubicBezTo>
                              <a:pt x="3591" y="208"/>
                              <a:pt x="3587" y="204"/>
                              <a:pt x="3583" y="199"/>
                            </a:cubicBezTo>
                            <a:cubicBezTo>
                              <a:pt x="3579" y="194"/>
                              <a:pt x="3577" y="188"/>
                              <a:pt x="3576" y="180"/>
                            </a:cubicBezTo>
                            <a:cubicBezTo>
                              <a:pt x="3614" y="180"/>
                              <a:pt x="3614" y="180"/>
                              <a:pt x="3614" y="180"/>
                            </a:cubicBezTo>
                            <a:cubicBezTo>
                              <a:pt x="3615" y="185"/>
                              <a:pt x="3617" y="188"/>
                              <a:pt x="3621" y="190"/>
                            </a:cubicBezTo>
                            <a:cubicBezTo>
                              <a:pt x="3624" y="192"/>
                              <a:pt x="3628" y="193"/>
                              <a:pt x="3634" y="193"/>
                            </a:cubicBezTo>
                            <a:cubicBezTo>
                              <a:pt x="3639" y="193"/>
                              <a:pt x="3643" y="192"/>
                              <a:pt x="3645" y="190"/>
                            </a:cubicBezTo>
                            <a:cubicBezTo>
                              <a:pt x="3648" y="189"/>
                              <a:pt x="3650" y="187"/>
                              <a:pt x="3651" y="184"/>
                            </a:cubicBezTo>
                            <a:cubicBezTo>
                              <a:pt x="3653" y="182"/>
                              <a:pt x="3653" y="179"/>
                              <a:pt x="3654" y="176"/>
                            </a:cubicBezTo>
                            <a:cubicBezTo>
                              <a:pt x="3654" y="172"/>
                              <a:pt x="3654" y="169"/>
                              <a:pt x="3654" y="165"/>
                            </a:cubicBezTo>
                            <a:cubicBezTo>
                              <a:pt x="3654" y="154"/>
                              <a:pt x="3654" y="154"/>
                              <a:pt x="3654" y="154"/>
                            </a:cubicBezTo>
                            <a:cubicBezTo>
                              <a:pt x="3654" y="154"/>
                              <a:pt x="3654" y="154"/>
                              <a:pt x="3654" y="154"/>
                            </a:cubicBezTo>
                            <a:cubicBezTo>
                              <a:pt x="3651" y="160"/>
                              <a:pt x="3646" y="164"/>
                              <a:pt x="3641" y="167"/>
                            </a:cubicBezTo>
                            <a:cubicBezTo>
                              <a:pt x="3635" y="170"/>
                              <a:pt x="3629" y="171"/>
                              <a:pt x="3623" y="171"/>
                            </a:cubicBezTo>
                            <a:cubicBezTo>
                              <a:pt x="3614" y="171"/>
                              <a:pt x="3607" y="170"/>
                              <a:pt x="3600" y="167"/>
                            </a:cubicBezTo>
                            <a:cubicBezTo>
                              <a:pt x="3594" y="164"/>
                              <a:pt x="3588" y="160"/>
                              <a:pt x="3584" y="155"/>
                            </a:cubicBezTo>
                            <a:cubicBezTo>
                              <a:pt x="3580" y="150"/>
                              <a:pt x="3577" y="144"/>
                              <a:pt x="3575" y="137"/>
                            </a:cubicBezTo>
                            <a:cubicBezTo>
                              <a:pt x="3573" y="129"/>
                              <a:pt x="3572" y="122"/>
                              <a:pt x="3572" y="114"/>
                            </a:cubicBezTo>
                            <a:cubicBezTo>
                              <a:pt x="3572" y="106"/>
                              <a:pt x="3573" y="99"/>
                              <a:pt x="3575" y="92"/>
                            </a:cubicBezTo>
                            <a:cubicBezTo>
                              <a:pt x="3578" y="85"/>
                              <a:pt x="3581" y="79"/>
                              <a:pt x="3585" y="74"/>
                            </a:cubicBezTo>
                            <a:cubicBezTo>
                              <a:pt x="3590" y="69"/>
                              <a:pt x="3595" y="64"/>
                              <a:pt x="3601" y="61"/>
                            </a:cubicBezTo>
                            <a:cubicBezTo>
                              <a:pt x="3608" y="58"/>
                              <a:pt x="3615" y="57"/>
                              <a:pt x="3623" y="57"/>
                            </a:cubicBezTo>
                            <a:cubicBezTo>
                              <a:pt x="3637" y="57"/>
                              <a:pt x="3647" y="63"/>
                              <a:pt x="3654" y="75"/>
                            </a:cubicBezTo>
                            <a:cubicBezTo>
                              <a:pt x="3655" y="75"/>
                              <a:pt x="3655" y="75"/>
                              <a:pt x="3655" y="75"/>
                            </a:cubicBezTo>
                            <a:cubicBezTo>
                              <a:pt x="3655" y="60"/>
                              <a:pt x="3655" y="60"/>
                              <a:pt x="3655" y="60"/>
                            </a:cubicBezTo>
                            <a:cubicBezTo>
                              <a:pt x="3691" y="60"/>
                              <a:pt x="3691" y="60"/>
                              <a:pt x="3691" y="60"/>
                            </a:cubicBezTo>
                            <a:lnTo>
                              <a:pt x="3691" y="162"/>
                            </a:lnTo>
                            <a:close/>
                            <a:moveTo>
                              <a:pt x="3655" y="115"/>
                            </a:moveTo>
                            <a:cubicBezTo>
                              <a:pt x="3655" y="111"/>
                              <a:pt x="3655" y="108"/>
                              <a:pt x="3654" y="104"/>
                            </a:cubicBezTo>
                            <a:cubicBezTo>
                              <a:pt x="3653" y="101"/>
                              <a:pt x="3652" y="98"/>
                              <a:pt x="3650" y="95"/>
                            </a:cubicBezTo>
                            <a:cubicBezTo>
                              <a:pt x="3648" y="92"/>
                              <a:pt x="3646" y="90"/>
                              <a:pt x="3643" y="88"/>
                            </a:cubicBezTo>
                            <a:cubicBezTo>
                              <a:pt x="3640" y="87"/>
                              <a:pt x="3636" y="86"/>
                              <a:pt x="3632" y="86"/>
                            </a:cubicBezTo>
                            <a:cubicBezTo>
                              <a:pt x="3628" y="86"/>
                              <a:pt x="3625" y="87"/>
                              <a:pt x="3622" y="88"/>
                            </a:cubicBezTo>
                            <a:cubicBezTo>
                              <a:pt x="3619" y="90"/>
                              <a:pt x="3617" y="92"/>
                              <a:pt x="3615" y="95"/>
                            </a:cubicBezTo>
                            <a:cubicBezTo>
                              <a:pt x="3613" y="98"/>
                              <a:pt x="3612" y="101"/>
                              <a:pt x="3611" y="104"/>
                            </a:cubicBezTo>
                            <a:cubicBezTo>
                              <a:pt x="3610" y="108"/>
                              <a:pt x="3610" y="111"/>
                              <a:pt x="3610" y="115"/>
                            </a:cubicBezTo>
                            <a:cubicBezTo>
                              <a:pt x="3610" y="118"/>
                              <a:pt x="3610" y="122"/>
                              <a:pt x="3611" y="125"/>
                            </a:cubicBezTo>
                            <a:cubicBezTo>
                              <a:pt x="3612" y="128"/>
                              <a:pt x="3613" y="131"/>
                              <a:pt x="3615" y="134"/>
                            </a:cubicBezTo>
                            <a:cubicBezTo>
                              <a:pt x="3617" y="136"/>
                              <a:pt x="3619" y="138"/>
                              <a:pt x="3622" y="140"/>
                            </a:cubicBezTo>
                            <a:cubicBezTo>
                              <a:pt x="3625" y="142"/>
                              <a:pt x="3628" y="142"/>
                              <a:pt x="3632" y="142"/>
                            </a:cubicBezTo>
                            <a:cubicBezTo>
                              <a:pt x="3636" y="142"/>
                              <a:pt x="3640" y="142"/>
                              <a:pt x="3642" y="140"/>
                            </a:cubicBezTo>
                            <a:cubicBezTo>
                              <a:pt x="3645" y="139"/>
                              <a:pt x="3648" y="137"/>
                              <a:pt x="3650" y="134"/>
                            </a:cubicBezTo>
                            <a:cubicBezTo>
                              <a:pt x="3651" y="132"/>
                              <a:pt x="3653" y="129"/>
                              <a:pt x="3654" y="126"/>
                            </a:cubicBezTo>
                            <a:cubicBezTo>
                              <a:pt x="3655" y="122"/>
                              <a:pt x="3655" y="119"/>
                              <a:pt x="3655" y="115"/>
                            </a:cubicBezTo>
                            <a:close/>
                            <a:moveTo>
                              <a:pt x="3825" y="176"/>
                            </a:moveTo>
                            <a:cubicBezTo>
                              <a:pt x="3788" y="176"/>
                              <a:pt x="3788" y="176"/>
                              <a:pt x="3788" y="176"/>
                            </a:cubicBezTo>
                            <a:cubicBezTo>
                              <a:pt x="3788" y="160"/>
                              <a:pt x="3788" y="160"/>
                              <a:pt x="3788" y="160"/>
                            </a:cubicBezTo>
                            <a:cubicBezTo>
                              <a:pt x="3787" y="160"/>
                              <a:pt x="3787" y="160"/>
                              <a:pt x="3787" y="160"/>
                            </a:cubicBezTo>
                            <a:cubicBezTo>
                              <a:pt x="3784" y="166"/>
                              <a:pt x="3779" y="171"/>
                              <a:pt x="3772" y="175"/>
                            </a:cubicBezTo>
                            <a:cubicBezTo>
                              <a:pt x="3765" y="178"/>
                              <a:pt x="3759" y="180"/>
                              <a:pt x="3752" y="180"/>
                            </a:cubicBezTo>
                            <a:cubicBezTo>
                              <a:pt x="3743" y="180"/>
                              <a:pt x="3737" y="179"/>
                              <a:pt x="3731" y="176"/>
                            </a:cubicBezTo>
                            <a:cubicBezTo>
                              <a:pt x="3725" y="174"/>
                              <a:pt x="3721" y="171"/>
                              <a:pt x="3718" y="166"/>
                            </a:cubicBezTo>
                            <a:cubicBezTo>
                              <a:pt x="3715" y="162"/>
                              <a:pt x="3712" y="157"/>
                              <a:pt x="3711" y="151"/>
                            </a:cubicBezTo>
                            <a:cubicBezTo>
                              <a:pt x="3710" y="145"/>
                              <a:pt x="3709" y="138"/>
                              <a:pt x="3709" y="130"/>
                            </a:cubicBezTo>
                            <a:cubicBezTo>
                              <a:pt x="3709" y="60"/>
                              <a:pt x="3709" y="60"/>
                              <a:pt x="3709" y="60"/>
                            </a:cubicBezTo>
                            <a:cubicBezTo>
                              <a:pt x="3747" y="60"/>
                              <a:pt x="3747" y="60"/>
                              <a:pt x="3747" y="60"/>
                            </a:cubicBezTo>
                            <a:cubicBezTo>
                              <a:pt x="3747" y="128"/>
                              <a:pt x="3747" y="128"/>
                              <a:pt x="3747" y="128"/>
                            </a:cubicBezTo>
                            <a:cubicBezTo>
                              <a:pt x="3747" y="135"/>
                              <a:pt x="3749" y="141"/>
                              <a:pt x="3752" y="144"/>
                            </a:cubicBezTo>
                            <a:cubicBezTo>
                              <a:pt x="3755" y="147"/>
                              <a:pt x="3760" y="148"/>
                              <a:pt x="3766" y="148"/>
                            </a:cubicBezTo>
                            <a:cubicBezTo>
                              <a:pt x="3768" y="148"/>
                              <a:pt x="3770" y="148"/>
                              <a:pt x="3772" y="147"/>
                            </a:cubicBezTo>
                            <a:cubicBezTo>
                              <a:pt x="3775" y="147"/>
                              <a:pt x="3777" y="145"/>
                              <a:pt x="3779" y="143"/>
                            </a:cubicBezTo>
                            <a:cubicBezTo>
                              <a:pt x="3781" y="141"/>
                              <a:pt x="3783" y="138"/>
                              <a:pt x="3784" y="135"/>
                            </a:cubicBezTo>
                            <a:cubicBezTo>
                              <a:pt x="3786" y="132"/>
                              <a:pt x="3787" y="128"/>
                              <a:pt x="3787" y="122"/>
                            </a:cubicBezTo>
                            <a:cubicBezTo>
                              <a:pt x="3787" y="60"/>
                              <a:pt x="3787" y="60"/>
                              <a:pt x="3787" y="60"/>
                            </a:cubicBezTo>
                            <a:cubicBezTo>
                              <a:pt x="3825" y="60"/>
                              <a:pt x="3825" y="60"/>
                              <a:pt x="3825" y="60"/>
                            </a:cubicBezTo>
                            <a:lnTo>
                              <a:pt x="3825" y="176"/>
                            </a:lnTo>
                            <a:close/>
                            <a:moveTo>
                              <a:pt x="3845" y="16"/>
                            </a:moveTo>
                            <a:cubicBezTo>
                              <a:pt x="3883" y="16"/>
                              <a:pt x="3883" y="16"/>
                              <a:pt x="3883" y="16"/>
                            </a:cubicBezTo>
                            <a:cubicBezTo>
                              <a:pt x="3883" y="176"/>
                              <a:pt x="3883" y="176"/>
                              <a:pt x="3883" y="176"/>
                            </a:cubicBezTo>
                            <a:cubicBezTo>
                              <a:pt x="3845" y="176"/>
                              <a:pt x="3845" y="176"/>
                              <a:pt x="3845" y="176"/>
                            </a:cubicBezTo>
                            <a:lnTo>
                              <a:pt x="3845" y="16"/>
                            </a:lnTo>
                            <a:close/>
                            <a:moveTo>
                              <a:pt x="3902" y="96"/>
                            </a:moveTo>
                            <a:cubicBezTo>
                              <a:pt x="3902" y="88"/>
                              <a:pt x="3904" y="82"/>
                              <a:pt x="3907" y="77"/>
                            </a:cubicBezTo>
                            <a:cubicBezTo>
                              <a:pt x="3911" y="72"/>
                              <a:pt x="3915" y="68"/>
                              <a:pt x="3920" y="65"/>
                            </a:cubicBezTo>
                            <a:cubicBezTo>
                              <a:pt x="3925" y="62"/>
                              <a:pt x="3931" y="60"/>
                              <a:pt x="3937" y="59"/>
                            </a:cubicBezTo>
                            <a:cubicBezTo>
                              <a:pt x="3944" y="57"/>
                              <a:pt x="3950" y="57"/>
                              <a:pt x="3957" y="57"/>
                            </a:cubicBezTo>
                            <a:cubicBezTo>
                              <a:pt x="3964" y="57"/>
                              <a:pt x="3971" y="57"/>
                              <a:pt x="3977" y="58"/>
                            </a:cubicBezTo>
                            <a:cubicBezTo>
                              <a:pt x="3984" y="59"/>
                              <a:pt x="3989" y="61"/>
                              <a:pt x="3994" y="64"/>
                            </a:cubicBezTo>
                            <a:cubicBezTo>
                              <a:pt x="4000" y="67"/>
                              <a:pt x="4004" y="71"/>
                              <a:pt x="4007" y="76"/>
                            </a:cubicBezTo>
                            <a:cubicBezTo>
                              <a:pt x="4010" y="81"/>
                              <a:pt x="4011" y="88"/>
                              <a:pt x="4011" y="96"/>
                            </a:cubicBezTo>
                            <a:cubicBezTo>
                              <a:pt x="4011" y="147"/>
                              <a:pt x="4011" y="147"/>
                              <a:pt x="4011" y="147"/>
                            </a:cubicBezTo>
                            <a:cubicBezTo>
                              <a:pt x="4011" y="152"/>
                              <a:pt x="4011" y="157"/>
                              <a:pt x="4012" y="162"/>
                            </a:cubicBezTo>
                            <a:cubicBezTo>
                              <a:pt x="4012" y="167"/>
                              <a:pt x="4013" y="172"/>
                              <a:pt x="4016" y="176"/>
                            </a:cubicBezTo>
                            <a:cubicBezTo>
                              <a:pt x="3977" y="176"/>
                              <a:pt x="3977" y="176"/>
                              <a:pt x="3977" y="176"/>
                            </a:cubicBezTo>
                            <a:cubicBezTo>
                              <a:pt x="3977" y="175"/>
                              <a:pt x="3976" y="173"/>
                              <a:pt x="3976" y="171"/>
                            </a:cubicBezTo>
                            <a:cubicBezTo>
                              <a:pt x="3976" y="169"/>
                              <a:pt x="3975" y="167"/>
                              <a:pt x="3975" y="165"/>
                            </a:cubicBezTo>
                            <a:cubicBezTo>
                              <a:pt x="3970" y="171"/>
                              <a:pt x="3964" y="174"/>
                              <a:pt x="3958" y="176"/>
                            </a:cubicBezTo>
                            <a:cubicBezTo>
                              <a:pt x="3951" y="179"/>
                              <a:pt x="3944" y="180"/>
                              <a:pt x="3937" y="180"/>
                            </a:cubicBezTo>
                            <a:cubicBezTo>
                              <a:pt x="3931" y="180"/>
                              <a:pt x="3926" y="179"/>
                              <a:pt x="3921" y="178"/>
                            </a:cubicBezTo>
                            <a:cubicBezTo>
                              <a:pt x="3916" y="176"/>
                              <a:pt x="3912" y="174"/>
                              <a:pt x="3909" y="171"/>
                            </a:cubicBezTo>
                            <a:cubicBezTo>
                              <a:pt x="3905" y="168"/>
                              <a:pt x="3902" y="165"/>
                              <a:pt x="3900" y="160"/>
                            </a:cubicBezTo>
                            <a:cubicBezTo>
                              <a:pt x="3898" y="156"/>
                              <a:pt x="3897" y="151"/>
                              <a:pt x="3897" y="145"/>
                            </a:cubicBezTo>
                            <a:cubicBezTo>
                              <a:pt x="3897" y="138"/>
                              <a:pt x="3898" y="133"/>
                              <a:pt x="3900" y="129"/>
                            </a:cubicBezTo>
                            <a:cubicBezTo>
                              <a:pt x="3902" y="125"/>
                              <a:pt x="3905" y="121"/>
                              <a:pt x="3909" y="119"/>
                            </a:cubicBezTo>
                            <a:cubicBezTo>
                              <a:pt x="3912" y="116"/>
                              <a:pt x="3917" y="114"/>
                              <a:pt x="3921" y="112"/>
                            </a:cubicBezTo>
                            <a:cubicBezTo>
                              <a:pt x="3926" y="111"/>
                              <a:pt x="3931" y="110"/>
                              <a:pt x="3936" y="109"/>
                            </a:cubicBezTo>
                            <a:cubicBezTo>
                              <a:pt x="3941" y="108"/>
                              <a:pt x="3946" y="107"/>
                              <a:pt x="3951" y="106"/>
                            </a:cubicBezTo>
                            <a:cubicBezTo>
                              <a:pt x="3956" y="106"/>
                              <a:pt x="3960" y="105"/>
                              <a:pt x="3965" y="104"/>
                            </a:cubicBezTo>
                            <a:cubicBezTo>
                              <a:pt x="3968" y="104"/>
                              <a:pt x="3971" y="102"/>
                              <a:pt x="3972" y="101"/>
                            </a:cubicBezTo>
                            <a:cubicBezTo>
                              <a:pt x="3974" y="100"/>
                              <a:pt x="3975" y="97"/>
                              <a:pt x="3975" y="94"/>
                            </a:cubicBezTo>
                            <a:cubicBezTo>
                              <a:pt x="3975" y="91"/>
                              <a:pt x="3974" y="89"/>
                              <a:pt x="3973" y="88"/>
                            </a:cubicBezTo>
                            <a:cubicBezTo>
                              <a:pt x="3972" y="86"/>
                              <a:pt x="3970" y="85"/>
                              <a:pt x="3969" y="84"/>
                            </a:cubicBezTo>
                            <a:cubicBezTo>
                              <a:pt x="3967" y="83"/>
                              <a:pt x="3965" y="83"/>
                              <a:pt x="3963" y="82"/>
                            </a:cubicBezTo>
                            <a:cubicBezTo>
                              <a:pt x="3961" y="82"/>
                              <a:pt x="3959" y="81"/>
                              <a:pt x="3957" y="81"/>
                            </a:cubicBezTo>
                            <a:cubicBezTo>
                              <a:pt x="3946" y="81"/>
                              <a:pt x="3939" y="86"/>
                              <a:pt x="3938" y="96"/>
                            </a:cubicBezTo>
                            <a:lnTo>
                              <a:pt x="3902" y="96"/>
                            </a:lnTo>
                            <a:close/>
                            <a:moveTo>
                              <a:pt x="3935" y="143"/>
                            </a:moveTo>
                            <a:cubicBezTo>
                              <a:pt x="3935" y="148"/>
                              <a:pt x="3937" y="151"/>
                              <a:pt x="3940" y="153"/>
                            </a:cubicBezTo>
                            <a:cubicBezTo>
                              <a:pt x="3943" y="155"/>
                              <a:pt x="3947" y="156"/>
                              <a:pt x="3951" y="156"/>
                            </a:cubicBezTo>
                            <a:cubicBezTo>
                              <a:pt x="3960" y="156"/>
                              <a:pt x="3967" y="154"/>
                              <a:pt x="3970" y="148"/>
                            </a:cubicBezTo>
                            <a:cubicBezTo>
                              <a:pt x="3973" y="143"/>
                              <a:pt x="3975" y="134"/>
                              <a:pt x="3975" y="122"/>
                            </a:cubicBezTo>
                            <a:cubicBezTo>
                              <a:pt x="3972" y="124"/>
                              <a:pt x="3968" y="125"/>
                              <a:pt x="3964" y="125"/>
                            </a:cubicBezTo>
                            <a:cubicBezTo>
                              <a:pt x="3959" y="126"/>
                              <a:pt x="3955" y="127"/>
                              <a:pt x="3951" y="128"/>
                            </a:cubicBezTo>
                            <a:cubicBezTo>
                              <a:pt x="3947" y="129"/>
                              <a:pt x="3943" y="131"/>
                              <a:pt x="3940" y="133"/>
                            </a:cubicBezTo>
                            <a:cubicBezTo>
                              <a:pt x="3937" y="135"/>
                              <a:pt x="3935" y="138"/>
                              <a:pt x="3935" y="143"/>
                            </a:cubicBezTo>
                            <a:close/>
                            <a:moveTo>
                              <a:pt x="4100" y="85"/>
                            </a:moveTo>
                            <a:cubicBezTo>
                              <a:pt x="4076" y="85"/>
                              <a:pt x="4076" y="85"/>
                              <a:pt x="4076" y="85"/>
                            </a:cubicBezTo>
                            <a:cubicBezTo>
                              <a:pt x="4076" y="138"/>
                              <a:pt x="4076" y="138"/>
                              <a:pt x="4076" y="138"/>
                            </a:cubicBezTo>
                            <a:cubicBezTo>
                              <a:pt x="4076" y="142"/>
                              <a:pt x="4078" y="145"/>
                              <a:pt x="4080" y="147"/>
                            </a:cubicBezTo>
                            <a:cubicBezTo>
                              <a:pt x="4083" y="148"/>
                              <a:pt x="4086" y="149"/>
                              <a:pt x="4090" y="149"/>
                            </a:cubicBezTo>
                            <a:cubicBezTo>
                              <a:pt x="4092" y="149"/>
                              <a:pt x="4093" y="149"/>
                              <a:pt x="4095" y="149"/>
                            </a:cubicBezTo>
                            <a:cubicBezTo>
                              <a:pt x="4097" y="148"/>
                              <a:pt x="4098" y="148"/>
                              <a:pt x="4100" y="148"/>
                            </a:cubicBezTo>
                            <a:cubicBezTo>
                              <a:pt x="4100" y="176"/>
                              <a:pt x="4100" y="176"/>
                              <a:pt x="4100" y="176"/>
                            </a:cubicBezTo>
                            <a:cubicBezTo>
                              <a:pt x="4097" y="177"/>
                              <a:pt x="4093" y="177"/>
                              <a:pt x="4090" y="177"/>
                            </a:cubicBezTo>
                            <a:cubicBezTo>
                              <a:pt x="4086" y="177"/>
                              <a:pt x="4083" y="178"/>
                              <a:pt x="4079" y="178"/>
                            </a:cubicBezTo>
                            <a:cubicBezTo>
                              <a:pt x="4071" y="178"/>
                              <a:pt x="4064" y="177"/>
                              <a:pt x="4059" y="175"/>
                            </a:cubicBezTo>
                            <a:cubicBezTo>
                              <a:pt x="4054" y="174"/>
                              <a:pt x="4050" y="172"/>
                              <a:pt x="4047" y="169"/>
                            </a:cubicBezTo>
                            <a:cubicBezTo>
                              <a:pt x="4043" y="166"/>
                              <a:pt x="4041" y="161"/>
                              <a:pt x="4040" y="156"/>
                            </a:cubicBezTo>
                            <a:cubicBezTo>
                              <a:pt x="4039" y="151"/>
                              <a:pt x="4038" y="144"/>
                              <a:pt x="4038" y="137"/>
                            </a:cubicBezTo>
                            <a:cubicBezTo>
                              <a:pt x="4038" y="85"/>
                              <a:pt x="4038" y="85"/>
                              <a:pt x="4038" y="85"/>
                            </a:cubicBezTo>
                            <a:cubicBezTo>
                              <a:pt x="4019" y="85"/>
                              <a:pt x="4019" y="85"/>
                              <a:pt x="4019" y="85"/>
                            </a:cubicBezTo>
                            <a:cubicBezTo>
                              <a:pt x="4019" y="60"/>
                              <a:pt x="4019" y="60"/>
                              <a:pt x="4019" y="60"/>
                            </a:cubicBezTo>
                            <a:cubicBezTo>
                              <a:pt x="4038" y="60"/>
                              <a:pt x="4038" y="60"/>
                              <a:pt x="4038" y="60"/>
                            </a:cubicBezTo>
                            <a:cubicBezTo>
                              <a:pt x="4038" y="25"/>
                              <a:pt x="4038" y="25"/>
                              <a:pt x="4038" y="25"/>
                            </a:cubicBezTo>
                            <a:cubicBezTo>
                              <a:pt x="4076" y="25"/>
                              <a:pt x="4076" y="25"/>
                              <a:pt x="4076" y="25"/>
                            </a:cubicBezTo>
                            <a:cubicBezTo>
                              <a:pt x="4076" y="60"/>
                              <a:pt x="4076" y="60"/>
                              <a:pt x="4076" y="60"/>
                            </a:cubicBezTo>
                            <a:cubicBezTo>
                              <a:pt x="4100" y="60"/>
                              <a:pt x="4100" y="60"/>
                              <a:pt x="4100" y="60"/>
                            </a:cubicBezTo>
                            <a:lnTo>
                              <a:pt x="4100" y="85"/>
                            </a:lnTo>
                            <a:close/>
                            <a:moveTo>
                              <a:pt x="4150" y="46"/>
                            </a:moveTo>
                            <a:cubicBezTo>
                              <a:pt x="4112" y="46"/>
                              <a:pt x="4112" y="46"/>
                              <a:pt x="4112" y="46"/>
                            </a:cubicBezTo>
                            <a:cubicBezTo>
                              <a:pt x="4112" y="16"/>
                              <a:pt x="4112" y="16"/>
                              <a:pt x="4112" y="16"/>
                            </a:cubicBezTo>
                            <a:cubicBezTo>
                              <a:pt x="4150" y="16"/>
                              <a:pt x="4150" y="16"/>
                              <a:pt x="4150" y="16"/>
                            </a:cubicBezTo>
                            <a:lnTo>
                              <a:pt x="4150" y="46"/>
                            </a:lnTo>
                            <a:close/>
                            <a:moveTo>
                              <a:pt x="4112" y="60"/>
                            </a:moveTo>
                            <a:cubicBezTo>
                              <a:pt x="4150" y="60"/>
                              <a:pt x="4150" y="60"/>
                              <a:pt x="4150" y="60"/>
                            </a:cubicBezTo>
                            <a:cubicBezTo>
                              <a:pt x="4150" y="176"/>
                              <a:pt x="4150" y="176"/>
                              <a:pt x="4150" y="176"/>
                            </a:cubicBezTo>
                            <a:cubicBezTo>
                              <a:pt x="4112" y="176"/>
                              <a:pt x="4112" y="176"/>
                              <a:pt x="4112" y="176"/>
                            </a:cubicBezTo>
                            <a:lnTo>
                              <a:pt x="4112" y="60"/>
                            </a:lnTo>
                            <a:close/>
                            <a:moveTo>
                              <a:pt x="4170" y="60"/>
                            </a:moveTo>
                            <a:cubicBezTo>
                              <a:pt x="4207" y="60"/>
                              <a:pt x="4207" y="60"/>
                              <a:pt x="4207" y="60"/>
                            </a:cubicBezTo>
                            <a:cubicBezTo>
                              <a:pt x="4207" y="76"/>
                              <a:pt x="4207" y="76"/>
                              <a:pt x="4207" y="76"/>
                            </a:cubicBezTo>
                            <a:cubicBezTo>
                              <a:pt x="4208" y="76"/>
                              <a:pt x="4208" y="76"/>
                              <a:pt x="4208" y="76"/>
                            </a:cubicBezTo>
                            <a:cubicBezTo>
                              <a:pt x="4209" y="73"/>
                              <a:pt x="4212" y="70"/>
                              <a:pt x="4214" y="68"/>
                            </a:cubicBezTo>
                            <a:cubicBezTo>
                              <a:pt x="4217" y="66"/>
                              <a:pt x="4220" y="64"/>
                              <a:pt x="4223" y="62"/>
                            </a:cubicBezTo>
                            <a:cubicBezTo>
                              <a:pt x="4227" y="60"/>
                              <a:pt x="4230" y="59"/>
                              <a:pt x="4234" y="58"/>
                            </a:cubicBezTo>
                            <a:cubicBezTo>
                              <a:pt x="4237" y="57"/>
                              <a:pt x="4241" y="57"/>
                              <a:pt x="4244" y="57"/>
                            </a:cubicBezTo>
                            <a:cubicBezTo>
                              <a:pt x="4254" y="57"/>
                              <a:pt x="4262" y="58"/>
                              <a:pt x="4267" y="61"/>
                            </a:cubicBezTo>
                            <a:cubicBezTo>
                              <a:pt x="4273" y="65"/>
                              <a:pt x="4277" y="68"/>
                              <a:pt x="4280" y="73"/>
                            </a:cubicBezTo>
                            <a:cubicBezTo>
                              <a:pt x="4282" y="78"/>
                              <a:pt x="4284" y="82"/>
                              <a:pt x="4285" y="88"/>
                            </a:cubicBezTo>
                            <a:cubicBezTo>
                              <a:pt x="4286" y="93"/>
                              <a:pt x="4286" y="98"/>
                              <a:pt x="4286" y="102"/>
                            </a:cubicBezTo>
                            <a:cubicBezTo>
                              <a:pt x="4286" y="176"/>
                              <a:pt x="4286" y="176"/>
                              <a:pt x="4286" y="176"/>
                            </a:cubicBezTo>
                            <a:cubicBezTo>
                              <a:pt x="4248" y="176"/>
                              <a:pt x="4248" y="176"/>
                              <a:pt x="4248" y="176"/>
                            </a:cubicBezTo>
                            <a:cubicBezTo>
                              <a:pt x="4248" y="120"/>
                              <a:pt x="4248" y="120"/>
                              <a:pt x="4248" y="120"/>
                            </a:cubicBezTo>
                            <a:cubicBezTo>
                              <a:pt x="4248" y="116"/>
                              <a:pt x="4248" y="112"/>
                              <a:pt x="4248" y="109"/>
                            </a:cubicBezTo>
                            <a:cubicBezTo>
                              <a:pt x="4248" y="105"/>
                              <a:pt x="4247" y="101"/>
                              <a:pt x="4246" y="98"/>
                            </a:cubicBezTo>
                            <a:cubicBezTo>
                              <a:pt x="4245" y="95"/>
                              <a:pt x="4243" y="93"/>
                              <a:pt x="4241" y="91"/>
                            </a:cubicBezTo>
                            <a:cubicBezTo>
                              <a:pt x="4238" y="89"/>
                              <a:pt x="4234" y="88"/>
                              <a:pt x="4229" y="88"/>
                            </a:cubicBezTo>
                            <a:cubicBezTo>
                              <a:pt x="4225" y="88"/>
                              <a:pt x="4222" y="89"/>
                              <a:pt x="4220" y="90"/>
                            </a:cubicBezTo>
                            <a:cubicBezTo>
                              <a:pt x="4217" y="92"/>
                              <a:pt x="4215" y="94"/>
                              <a:pt x="4213" y="96"/>
                            </a:cubicBezTo>
                            <a:cubicBezTo>
                              <a:pt x="4212" y="98"/>
                              <a:pt x="4210" y="101"/>
                              <a:pt x="4210" y="104"/>
                            </a:cubicBezTo>
                            <a:cubicBezTo>
                              <a:pt x="4209" y="107"/>
                              <a:pt x="4208" y="110"/>
                              <a:pt x="4208" y="113"/>
                            </a:cubicBezTo>
                            <a:cubicBezTo>
                              <a:pt x="4208" y="176"/>
                              <a:pt x="4208" y="176"/>
                              <a:pt x="4208" y="176"/>
                            </a:cubicBezTo>
                            <a:cubicBezTo>
                              <a:pt x="4170" y="176"/>
                              <a:pt x="4170" y="176"/>
                              <a:pt x="4170" y="176"/>
                            </a:cubicBezTo>
                            <a:lnTo>
                              <a:pt x="4170" y="60"/>
                            </a:lnTo>
                            <a:close/>
                            <a:moveTo>
                              <a:pt x="4417" y="162"/>
                            </a:moveTo>
                            <a:cubicBezTo>
                              <a:pt x="4417" y="167"/>
                              <a:pt x="4417" y="173"/>
                              <a:pt x="4416" y="179"/>
                            </a:cubicBezTo>
                            <a:cubicBezTo>
                              <a:pt x="4415" y="185"/>
                              <a:pt x="4413" y="191"/>
                              <a:pt x="4409" y="197"/>
                            </a:cubicBezTo>
                            <a:cubicBezTo>
                              <a:pt x="4405" y="202"/>
                              <a:pt x="4399" y="207"/>
                              <a:pt x="4391" y="211"/>
                            </a:cubicBezTo>
                            <a:cubicBezTo>
                              <a:pt x="4384" y="215"/>
                              <a:pt x="4373" y="217"/>
                              <a:pt x="4359" y="217"/>
                            </a:cubicBezTo>
                            <a:cubicBezTo>
                              <a:pt x="4353" y="217"/>
                              <a:pt x="4346" y="217"/>
                              <a:pt x="4340" y="216"/>
                            </a:cubicBezTo>
                            <a:cubicBezTo>
                              <a:pt x="4333" y="215"/>
                              <a:pt x="4327" y="213"/>
                              <a:pt x="4322" y="210"/>
                            </a:cubicBezTo>
                            <a:cubicBezTo>
                              <a:pt x="4317" y="208"/>
                              <a:pt x="4313" y="204"/>
                              <a:pt x="4309" y="199"/>
                            </a:cubicBezTo>
                            <a:cubicBezTo>
                              <a:pt x="4306" y="194"/>
                              <a:pt x="4303" y="188"/>
                              <a:pt x="4302" y="180"/>
                            </a:cubicBezTo>
                            <a:cubicBezTo>
                              <a:pt x="4340" y="180"/>
                              <a:pt x="4340" y="180"/>
                              <a:pt x="4340" y="180"/>
                            </a:cubicBezTo>
                            <a:cubicBezTo>
                              <a:pt x="4341" y="185"/>
                              <a:pt x="4343" y="188"/>
                              <a:pt x="4347" y="190"/>
                            </a:cubicBezTo>
                            <a:cubicBezTo>
                              <a:pt x="4350" y="192"/>
                              <a:pt x="4355" y="193"/>
                              <a:pt x="4361" y="193"/>
                            </a:cubicBezTo>
                            <a:cubicBezTo>
                              <a:pt x="4365" y="193"/>
                              <a:pt x="4369" y="192"/>
                              <a:pt x="4371" y="190"/>
                            </a:cubicBezTo>
                            <a:cubicBezTo>
                              <a:pt x="4374" y="189"/>
                              <a:pt x="4376" y="187"/>
                              <a:pt x="4377" y="184"/>
                            </a:cubicBezTo>
                            <a:cubicBezTo>
                              <a:pt x="4379" y="182"/>
                              <a:pt x="4380" y="179"/>
                              <a:pt x="4380" y="176"/>
                            </a:cubicBezTo>
                            <a:cubicBezTo>
                              <a:pt x="4380" y="172"/>
                              <a:pt x="4381" y="169"/>
                              <a:pt x="4381" y="165"/>
                            </a:cubicBezTo>
                            <a:cubicBezTo>
                              <a:pt x="4381" y="154"/>
                              <a:pt x="4381" y="154"/>
                              <a:pt x="4381" y="154"/>
                            </a:cubicBezTo>
                            <a:cubicBezTo>
                              <a:pt x="4380" y="154"/>
                              <a:pt x="4380" y="154"/>
                              <a:pt x="4380" y="154"/>
                            </a:cubicBezTo>
                            <a:cubicBezTo>
                              <a:pt x="4377" y="160"/>
                              <a:pt x="4372" y="164"/>
                              <a:pt x="4367" y="167"/>
                            </a:cubicBezTo>
                            <a:cubicBezTo>
                              <a:pt x="4361" y="170"/>
                              <a:pt x="4356" y="171"/>
                              <a:pt x="4349" y="171"/>
                            </a:cubicBezTo>
                            <a:cubicBezTo>
                              <a:pt x="4340" y="171"/>
                              <a:pt x="4333" y="170"/>
                              <a:pt x="4326" y="167"/>
                            </a:cubicBezTo>
                            <a:cubicBezTo>
                              <a:pt x="4320" y="164"/>
                              <a:pt x="4315" y="160"/>
                              <a:pt x="4311" y="155"/>
                            </a:cubicBezTo>
                            <a:cubicBezTo>
                              <a:pt x="4306" y="150"/>
                              <a:pt x="4303" y="144"/>
                              <a:pt x="4301" y="137"/>
                            </a:cubicBezTo>
                            <a:cubicBezTo>
                              <a:pt x="4299" y="129"/>
                              <a:pt x="4298" y="122"/>
                              <a:pt x="4298" y="114"/>
                            </a:cubicBezTo>
                            <a:cubicBezTo>
                              <a:pt x="4298" y="106"/>
                              <a:pt x="4299" y="99"/>
                              <a:pt x="4302" y="92"/>
                            </a:cubicBezTo>
                            <a:cubicBezTo>
                              <a:pt x="4304" y="85"/>
                              <a:pt x="4307" y="79"/>
                              <a:pt x="4311" y="74"/>
                            </a:cubicBezTo>
                            <a:cubicBezTo>
                              <a:pt x="4316" y="69"/>
                              <a:pt x="4321" y="64"/>
                              <a:pt x="4327" y="61"/>
                            </a:cubicBezTo>
                            <a:cubicBezTo>
                              <a:pt x="4334" y="58"/>
                              <a:pt x="4341" y="57"/>
                              <a:pt x="4349" y="57"/>
                            </a:cubicBezTo>
                            <a:cubicBezTo>
                              <a:pt x="4363" y="57"/>
                              <a:pt x="4374" y="63"/>
                              <a:pt x="4380" y="75"/>
                            </a:cubicBezTo>
                            <a:cubicBezTo>
                              <a:pt x="4381" y="75"/>
                              <a:pt x="4381" y="75"/>
                              <a:pt x="4381" y="75"/>
                            </a:cubicBezTo>
                            <a:cubicBezTo>
                              <a:pt x="4381" y="60"/>
                              <a:pt x="4381" y="60"/>
                              <a:pt x="4381" y="60"/>
                            </a:cubicBezTo>
                            <a:cubicBezTo>
                              <a:pt x="4417" y="60"/>
                              <a:pt x="4417" y="60"/>
                              <a:pt x="4417" y="60"/>
                            </a:cubicBezTo>
                            <a:lnTo>
                              <a:pt x="4417" y="162"/>
                            </a:lnTo>
                            <a:close/>
                            <a:moveTo>
                              <a:pt x="4381" y="115"/>
                            </a:moveTo>
                            <a:cubicBezTo>
                              <a:pt x="4381" y="111"/>
                              <a:pt x="4381" y="108"/>
                              <a:pt x="4380" y="104"/>
                            </a:cubicBezTo>
                            <a:cubicBezTo>
                              <a:pt x="4379" y="101"/>
                              <a:pt x="4378" y="98"/>
                              <a:pt x="4376" y="95"/>
                            </a:cubicBezTo>
                            <a:cubicBezTo>
                              <a:pt x="4374" y="92"/>
                              <a:pt x="4372" y="90"/>
                              <a:pt x="4369" y="88"/>
                            </a:cubicBezTo>
                            <a:cubicBezTo>
                              <a:pt x="4366" y="87"/>
                              <a:pt x="4363" y="86"/>
                              <a:pt x="4358" y="86"/>
                            </a:cubicBezTo>
                            <a:cubicBezTo>
                              <a:pt x="4354" y="86"/>
                              <a:pt x="4351" y="87"/>
                              <a:pt x="4348" y="88"/>
                            </a:cubicBezTo>
                            <a:cubicBezTo>
                              <a:pt x="4345" y="90"/>
                              <a:pt x="4343" y="92"/>
                              <a:pt x="4341" y="95"/>
                            </a:cubicBezTo>
                            <a:cubicBezTo>
                              <a:pt x="4339" y="98"/>
                              <a:pt x="4338" y="101"/>
                              <a:pt x="4337" y="104"/>
                            </a:cubicBezTo>
                            <a:cubicBezTo>
                              <a:pt x="4337" y="108"/>
                              <a:pt x="4336" y="111"/>
                              <a:pt x="4336" y="115"/>
                            </a:cubicBezTo>
                            <a:cubicBezTo>
                              <a:pt x="4336" y="118"/>
                              <a:pt x="4337" y="122"/>
                              <a:pt x="4337" y="125"/>
                            </a:cubicBezTo>
                            <a:cubicBezTo>
                              <a:pt x="4338" y="128"/>
                              <a:pt x="4340" y="131"/>
                              <a:pt x="4341" y="134"/>
                            </a:cubicBezTo>
                            <a:cubicBezTo>
                              <a:pt x="4343" y="136"/>
                              <a:pt x="4345" y="138"/>
                              <a:pt x="4348" y="140"/>
                            </a:cubicBezTo>
                            <a:cubicBezTo>
                              <a:pt x="4351" y="142"/>
                              <a:pt x="4354" y="142"/>
                              <a:pt x="4358" y="142"/>
                            </a:cubicBezTo>
                            <a:cubicBezTo>
                              <a:pt x="4362" y="142"/>
                              <a:pt x="4366" y="142"/>
                              <a:pt x="4369" y="140"/>
                            </a:cubicBezTo>
                            <a:cubicBezTo>
                              <a:pt x="4372" y="139"/>
                              <a:pt x="4374" y="137"/>
                              <a:pt x="4376" y="134"/>
                            </a:cubicBezTo>
                            <a:cubicBezTo>
                              <a:pt x="4378" y="132"/>
                              <a:pt x="4379" y="129"/>
                              <a:pt x="4380" y="126"/>
                            </a:cubicBezTo>
                            <a:cubicBezTo>
                              <a:pt x="4381" y="122"/>
                              <a:pt x="4381" y="119"/>
                              <a:pt x="4381" y="115"/>
                            </a:cubicBez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7B0D4D" id="Logo_ftr_grey_ing" o:spid="_x0000_s1026" style="position:absolute;margin-left:57.2pt;margin-top:802.6pt;width:275.95pt;height:14.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417,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6J6hREEAAO+DAQAOAAAAZHJzL2Uyb0RvYy54bWzMfV2vHMmR3bsB/weCjwa8c+uzuwYaLbBY&#10;2y+yV8DKzwuKw9EMPMNLkJRG2l/vkxXnZFVEdVVHLmxALyMxblVEZURkfGf2b/7xr7/8/OYvHz5/&#10;+en143dvu394efvmw8f3r9//9PFP373933/47//1/vbNl6/vPn7/7ufXjx++e/u3D1/e/uNv//N/&#10;+s2vn7790L/++Prz9x8+vwGSj1++/fXTd29//Pr107fffPPl/Y8ffnn35R9eP334iD/+8Pr5l3df&#10;8c/Pf/rm+8/vfgX2X37+pn95mb/59fXz958+v77/8OULoP9sf3z72xX/Dz98eP/1X3744cuHr29+&#10;/u4tvu3r+t/P63//WP77zW9/8+7bP31+9+nHn97zM979B77il3c/fQTRiuqf33199+bPn386oPrl&#10;p/efX7+8/vD1H96//vLN6w8//PT+w7oGrKZ7Cav51x/fffqwrgXM+fKpsunL/zu07//XX37/+c1P&#10;33/3tn/75uO7XyCi373+6fXffvj6+d/+9PnD3/4NTC1M+vXTl2/x7L9++v3nsswvn373+v7/fHnz&#10;8fW/ff/T19+//vTxKz6qK09+4x4t//iCl9788df/+fo9sL/789fXlVN//eHzLwUVePDmr6tA/lYF&#10;8uGvX9+8B3CYXsZpnt6+eY+/dfexm1aJffPuW739/s9fvv6PD68rpnd/+d2XrybQ7/H/VnF8z0X9&#10;AcL/4ZefIdv/8s2brlve/PpmHLsb5V+f6vZPDd2bH9/0/RgfAqd2qO4nqIb9Uy/DY1Tj/qFxOEEF&#10;BmwE5/4xqnn/0G0+QXXbPXVfHmPClq3kxtOPWnZPLS+PMXV7rg8v08lHdXu2L9MJrj3b5+GM7d2e&#10;77fxBNee71PfnX3XnvH3+wmuPePneTzDtef8fMavPevvp6zv9ryfT76r3/MeW+fku3rH+/nxGvs9&#10;77uX+Wz79Hvmd2dKjx21KVjXvbycfdqe/d10ovf9nv9X37YXwPm37SXQdbezLdnvRdBhuz20FMNe&#10;BsB2prTDXgj3k4UOTgj9crbFByeE8XbyaU4I/dKfCGHYC6E/2ZuDk8HYn3Ft2MvglGlOBON4ZjWG&#10;vQjOdufoJDB1ZxIY9xLo7if7c3QimLrbCdPGvQjA2ofKMToJTNMZ08a9BLqXE5M2OhEsw+mn7UVw&#10;P5Hn6ESwLKef5kRwggw+e9vu/cty9mWTE8GZdkx7EQDbmXZMTgQnTJv2Iuj7/mxLTV4EJ8582oug&#10;76fThe5FcGrXpr0Mrr5tL4NTuzY7IYzDGdvmvRDGE7M2OxlMp2yb9zLoxhNHNTshXGDbC+FMc2cn&#10;gwmByeNAb3YyOFO22clgOlW2eS+DM/t9cyK4dWeb6rYXQXdmv29OBreXM5d828vgzH7fnAju4xnX&#10;bnsRnDHt5kRwR7z6WAS3vQjO7PfNSWA51dvbXgKn9vvuRLAMZ8HafS+CM/t9dxJYbmdMu+8lcGq/&#10;73sRDOPLGdfuexGcxZH3vQiGYT7b7fe9CE6R7UUwjPNZJHnfi+As8l72Ehjm+9kmWPYS6OAzHrrQ&#10;ZS+CYT4NchcngvkMmxPBPJ1px7IXwalAFyeDO7be422w7GVwGkkuTgi329l2X/ZC6JBBPOQbYu6d&#10;Tx6W25mr6l72cphOLHj34uSwnEb0cE87ul1/koCCp7vHhmU6U7nuxYliOvFXyAp2+MaXU+51L14Y&#10;p+vdS2PsurPN2r04cZx9nkuTxx76+VhVOpcoYyM+Fm63lwaKHGeGqXO58qnqdd1eGuOA4Pjs85w0&#10;zvxD1zlpDPdT6aI+s0WOZ+ap65wwhtPkFFWfHboOTq6yDwWlP6lk9O5HVZHe//Ujy0j4f2/elYrm&#10;y1q6+vT6pZSsSk0Jdak/WNnr3bd4qtScTh6GUMrDw1oje/YwOF4enlIPg53l4bWYhZVcfwaYVR5e&#10;UpiLYpanoXelsvcMd1G89fHcIoterY/nllnUZn08t9CiFuvjuaWWckl5HPWQzFJLRWR9PLfUUvJY&#10;H88ttdQ01sdzS+25VBQlMt9eqhIFO6oOqcelubmlDlwqCgcp7FwqSgOpx7lUJP+Zx0v6X5aK9D71&#10;OJeK/D31OJeKDD31OJc65pZakvD123NLLWl2eRxpdOZjSh69Pp5basmU18dzSy2p8Pp4bqkl110f&#10;zy21JLPlcSSrmaWWdHV9PLfUko+uj+eWWjLO9fHcUktKuT6eW2pJGsvjSAozSy1Z4fp4bqkl71sf&#10;zy21ZHbr47mlltxtfTy31JKclceRfGWWWtKv9fHcUkt+tT6eW2rJoNbHc0u9c6nIgTLfXrKggh1Z&#10;TupxLhVpTOpxLhV5SupxLhWJSOpxLhWZRubxNdUoay2pRO4FrrYkC7kXuN6SDeRe4IpLuJ97gWsu&#10;8XzqhS1wSi66hk6IyXMUtOguuegaPlnX83kwVwMoxM27T7IXGRh/RoM9ttY/v32D1vofyzvvvv30&#10;7muJp/V/3/z63du17/rmR3ScERWVP/zy+pcPf3hdH/la4upSfYHGbPLfHnj/5z/+9P6fPvz7w8fZ&#10;zf+0R4K82b7DgLbvkJpzQQ7dI+SlroRvWdgENtylclWA/R53qY0VYBX4c9wmQrMZYNX6ibTgMCi7&#10;76YXQLkm+92lvomvgRnboSmd9CMQKXkFFuE+/e7pEe5Sby9o1k/UYhiTbFbxKe7SxgAa46LQlE5J&#10;ATohlF5MAeZ5Uno8eKNYpB1TShtphTrsFbrKIcWWwYwEqgEOvaBOEnoWWUdWovUV/51EjxTgwZq2&#10;CP85421rdBa2V86TZSC+Q1/aW4VlW1T9HL2pXgdR7hGZJnWQ+g5KrUHDoEBTvKf2cT5EX09F7Swk&#10;FrS0OMrXb4Hy06/nbgqIuFW7cbWPQs8gqduSgqfoaWQ6qPSODTKDlhkJPcOerkG0a+GjrNjeEaYc&#10;OMX+tQazUnB6slZ6VkVZfdRGmPqDHCQrYIwJUGqeQikAFgpoNe1Yp6Cjg+CyFEpVt2CySFvfWora&#10;K9TpbSnpr9AGR2KGrYOsdx9aGkcFEWLfPZQaatCUBJjOBUQ0nBg82KMv3fr162vk8FRDy7jD+opj&#10;cxn3KFCsYvf1iC8MWiOZp+gZ/XTIA3eIaNpMSyQQcwUtu0smzHkmapNVTIRbwLxR5htWHxMaEkRR&#10;fLcYurA8y+lk3VeX+i8Y7rWFgR3iD5BLKQuLV15sLCIhRth9dZn+AMEt0X4qSvoGL8nS2gca2OMd&#10;btphA6a+m7mzR8O4yxOklUShIMsTZnCoFew+ERHHuny3+UuLpfBk1dXUd69tCrwCh7FDvjYHCtRx&#10;pYQPBT1MTPbTO6QA6ytu92DcaIVaFlh1k1H9Flz7eO/njw9Da32M/vz+59cvH9a1bLG5xa8da5fF&#10;JdgCtic8qfi8M4Ed1bG0lvY8gwsrS7VQMMd8FiR9ZNoxnApbidqLukia+fD+qzp4G1gmRvCdfjcV&#10;L7VC8zkCujfrK169i0EviPxO6Eo7t0JzzCldyvqKlKSnV/VEe2pmgzHoWVX3bMCczUo02J8y34ZP&#10;aeB9X+bJ8IoXYs843wu8d0lEijk9CrUFfdDBnhIvIclONTewFN+ru/+XKX99p3c2oBL2wbiWgLZu&#10;Wj3FjBAZi3Od16CeMujMDOa4pA1vBrHqEEXfeaMnJepa3JWCPB/GdNTdzotfu4Dg1Bq0nyIqbr4Q&#10;P2kbt6yho0EI7Ci5w6pinnlFwgZerV9uDUoQvUg7mr+gACUXWCk06FK1yV4tq8X3SlzB1RH4HXDh&#10;QliBT7sQPY+4ZrchO5Y7yoc8AqMNljbyLPJ3mK11qGggfIpW4mHjbQOFMvVVbI3JQ7sIA8gE+zXU&#10;JDNva0rmsVJAer1fg3IZnyTXXdSQJXdlHKesIaDSPg2EGUe1pPl9GTRZueTY0Zd5kSPz+jL2sYLz&#10;cuhfmHV4kWLQ1FB5BeiVlTboUn3Hq2XP2L7zSlzBZ7vIBeT0KkJlpWHpUiXss5UK3orhDqfftaQg&#10;dliJvlIQ83yFTXJoKNVJor7kJ/H76mBHRWqoMsp1+BBB+uuLptoJBs2ZYu6pgIgbMBDlVm75ehqF&#10;wAZaEM8y2aIG3peiybptvBQ72UAv82plG9SnvuM1sZMd93q7gU+M3Wku0rPzW9PA61SkV2bnDGQG&#10;mtIKIYLAd/Y3A02hH8pMH6ydR5+BJtGbJ0JItPv6gTseurGHlsEyfEpDFDmU4Sy8Mrk0amBs6UOa&#10;oZxwKc+uQXPu6zkIEhAxwPd5zsBickOeM+Cz1wW7QgEGUg3q18TtZXLKfT23tk+YBrahfHI1qPSR&#10;zzEH1j4CG1gQ9SwbywRnG+9H5o0BEfMDT3Ts/wMFJ4ucPBtwwuEB70cmjA055kjN8bnHyO4Tpgp2&#10;eo/DkitRtPcBTYl2VFrqNpCg7JnLv27gvObXd7xdyIFzS1CYFSikwG0UYG327BaFS3AjBZdCjMw8&#10;zXtWMTAK3cYxngZMA12LaYYQYbJ51Rff7B04HWLQ1OcPiDTKrgyIFIZ4+4N0uTzboKQDy02+4T1A&#10;3isitwcG9cHzKjpwDCk2ZpX7+IBjqOAWCswbfMAxqIPnA44NvDIuJwGh8pugoroE5ygokQ+oUuA2&#10;Cr6wNYjCJbiNQhApHbof1hjaa70D+1Rhm9GphN1BB9SyzRjXBESMgQJRmY58W2ZQdusDb4VwnTdz&#10;FYx1ZL1NfSfoEENHHAHY29fwdErCCrkDqhz4QEHtBmadMZzXn89LSaMq7uLRdQYwkRGWMMhMZ6CH&#10;T3+UNguRZ3MGmkRvkVBE/xyaRG/hrM8AJpYCfAYwcba/IQOYFBA6bzWhqLjFm1UiNEkNGcDEroCP&#10;QicOWfsodOK0c0MGMHEmGSH/LkJZ7y6Br/WB+8Q+pskpx3u6l4CIftmHvhPdfsvXc8whsOFhc2hm&#10;sa2B9zPtpuf9XK6eKKmEC+pmpnwNXz+za+HZMHPMwbMMF4esRBsyABwrtFf8dzLW9xnArHBe9sab&#10;Af8vs2pzOd9f4jFnewUNGcAGzgc/9R1vF3LglHbO5dgclhCMfg7cRsH7wErhEtxIwWUAs9z4ym/Z&#10;n5lZcEMGMNO1+Chh4hbzEcWEyl7hZ0NoMrH3GxBx6t2Ki/r6iZNlDRnAxNqlzwAmDcJ6owc9WxU6&#10;r6ITk4aQAUw1MXBtlw3cQsFS83KEcm+glUz4DGCq4HwGUN/x2ywHTqnoxJpG2GY5cBsFH+pXCpfg&#10;Ngo+A5jo0H0GMNGwN0x7TDzcFrYZnUrYHXRALduMcU1AxBgoEGV5wgZwctyhXYn7oJzCLvbVm7lJ&#10;4IYMoL4TtFSoLsGpNSjkDlqaAx8oKMQ3XykktaCvP59nADgqv/dNIHCdAtxY2QufnwMfPv+Rw6+o&#10;fJaRA/+9UNCwgQ/7b0zkwxDtjUF8y8DEjelAmL3AtSkmTj/0cVMEYuAUl+Zyp0LZVR7VTOcbJ3VZ&#10;YqNe5Ciw1NZZtCn/O9NBBi7NcjrG0xwFRLfrGizRqhTUwgsRNzCvTzc09XGjnb1j8+wbBYKhCDt/&#10;Wp9uaIjrHb8dMtAUi26sqnj0GWgT+jIcs2OE8F+D2yj4sZubfIWdwpBgbiqKIxPB9+QowK+vemEn&#10;kysqOjtOaFSwdmbD+YybRsXtnQ2V5T4HCswntpPSTyvsNzp+XJjk5KCJNq++N9U0G8afbpqbDwyX&#10;KfQ74aYTRCa1nByYaXb46L0uCRxUrILXp5sohM1ATFfQHHo624AoAT2gl2c3x3/04vr7heenfbeP&#10;AYFrx39Xx3BN3aWhGejh2x95fSHyAVYGmkRvpj2ifw5NomfZxCViuChstRu+Ioh7S1dow4D8nTUQ&#10;H03cWZzzNbU7j7o0lBbvmsb2okXhqVg9P3KA+8oMuprzHHNQeFoROctzp2v2LvjOQl5D9ezOjn5A&#10;hGRjJerczp0dxYbq2cLQ31fPFtY9/FzqggSkEEWkkvUtCxLu9RX3nYtOOThDt7j+Sor3C32UVWK0&#10;ays0EGXMgogg//l8x28sEQhZQgCnVnCv0aArAObAbRQsTxSTKoVLcBsFnEXaOa5KAdJ+BEbanJVD&#10;RQW9fIjKlXXuLBxZOSG5BM5uBPymvV69tLVtAC+HnqG3r8TJ2Phywh07vWyZhrrEnR2LiMhsRCBK&#10;s9pQ/pN99uU/GXo/cYirptevt3p2jjn0I776c1cEBQO1F7niLfQh0trDuR9e+FB3gMC+rnWv4LyZ&#10;q+94O5EDp5h0U7rqKeTABwoKnxhexVBJfz6PrhY6Mju6DfzX0RXu2ly1wp/0zkAPn/4ouhIib38y&#10;0Bx6TXc48yYWBKLu2QN6cdYYLxSVi/rzBePJyWRYKwo+JM9AD5/+kPFarddK4Y/+0T+do6BULVBI&#10;gQ8UxF+yP/JSfz5nf7lhftXk7QTltebvXnDhJ+AWTHmrB7BZ/wb7iXfYcnGNGIDZWnTuF2C6uvyI&#10;KN4xq+5dCQ62GjO83wGYHizfoME79rFhaP6F4f4BTNe27siDmB+pKm4VfUyB3ifM5b/QC9iKkxSo&#10;T2Ey/8VNMsn7QIFsDS2z+S/1XGxQJpVYzStuNNj5YOsguQy95OM2nIM0BpZ7HXYeeYNbJJklQmT6&#10;gRXbkkDGIqWvdgDOohCYmfX7u5dcWAc4N7Ev2kAkpuYtV5vgJZ1KCttP/Trv9PC8bfyWk09QXlOW&#10;eI7vhRMH8dDVC6O8lmtO6h48IIP3KBFpuOqkWpKm6xhk4MJ1J0Ammbg8GjEbibcIfr3Jt3yxvVT3&#10;QxKeU2F8srElaNF6f/HKLq919VoSu9IiRwQ/mGBE/JwMbg9gJyRefQJbvMoKfiS/T3QK0N9+Am6R&#10;uO9gbDIxp5xcCf1O6KxA68hG34gBF7mShqYONhe1KCLTzvaD/LAESvBXWSVXAgO48tgKIVW78BNe&#10;5L0bYoPcaetMVikii85HerkvrPDgdyP2NnjR2Uurc+cowLWtq4Cn25nzhaMkuJ77MXj1PEkKVB8/&#10;dbGIsBVixD6toaFhviD3LEvwvnthOhNVgJNrDUfPITnjEWzTjkWYyjKB+qIZlImlzxYXxSjAi7nq&#10;sa/61T1h4JQQqlWPqFylU0KoZrjmFz6W8v+Sz4YZKGLwXUjEHOZNfQEXYNOKhgIxrJ35WCQQTg6c&#10;nwp3qLzoSGg+gcdtDia7EMqCe+vSTCkrl6rptzmWgyCUSIhB8m31cT1wkWnoVq2aCTxJNPR8XAH7&#10;dSgj71nXUVeNdYcFPJSzzvQHKegyAV8sxvXy1IoGy1oCrweaVLp6K9hHvR2P6lkJP7kGpixhN+h4&#10;awSzKd+y3zrYnfKxERUnCCKYftz2f3IN1G/fuuh0b4tV/6uu6oS3bcMchV4GzrmGrucxzRAm4OeJ&#10;1hW3RAP4gaT1HdiIvVr2DPODEgtc94LXT/8vbjq9E1rCOGFPr+RbxRGeZJSQeX+8IQvirsQb+ldA&#10;5mK6TbJKY8KG7Guw05AedwoofaEF1wQy0LyG59ilM/YcBaor2eCuwwjizK1M47JEmMUFr91ptMdC&#10;4x1xPd9iqepAkFfgjrs/DP2U3xJc9b1lgAiJtgJNH390SshCiCODWD4CuyrJLhpXvrSxpY7CBeKq&#10;j1sonSSiJDlqkVQ7ZBhdjcsbYinYJ+Nx9ES69SzEa/WCypZgZ/09lJLdIW3ZW67151RWeFAIjaw1&#10;hOYYU6a2xNRSMzn+IhI8T0WxoD0pE7EFptitRGzE/3o405jtRuinczm4z462KxSNypBL8ZKFnY6I&#10;tMuKT8mVSFV9ogHcZIvv8ODGPCpKQwsSLxGZH8MF64XMO8u6eVEmwAqTK+FZ/xJgOrZg36zs8g1Q&#10;xHwinm+H4SUmvaFa2Mmm+cQMz1OG1opLroQTCmGYGSbdvtgfqt7ALesQqqCnpByK1R3TTgstkovg&#10;ykP5WYzCr7E5Iem8RcsadEo7OD7KFX91FHjky4L55BqoOjEBYJM8BGDlhrKiaAZOUlB3IMjhcUlf&#10;TuokllNmxChOWU19Wn+/ypy0vet437PUqb7gJkaw5WmGbWJ2c40yBfh7fmsz8yh3wTmZqi4WHUqd&#10;4m2yH7QTERmniDpMCjji2vIotuVXogKO8XdjiwIs9EEcEZkCu9wqqVQyOqFBUI1X9FoKvAyeJKKT&#10;R+g6uC+WGUZ47+CSiXUnkkRYaQkVNWiXCnBx31CG5uSTRKSqfkx4c3Uxkqgqf6LCp9cqId237zPr&#10;h897srvw69JmUrzep8C5xQtVudZ1L64kvJEIgg1PhEbCAry6G/AT3eayLc/MEqGrtf1YkdXLAfxt&#10;892gHoTBc0QGHZc4IKNCRjiH+Nj/SRLhjF8Y7ob2MPiIK1QI22KJpIph0KCq6BN440pCmXFgcbg7&#10;wBknt9TWqoADsr7O/UTVFpEGw92rth+6IL1sZyQu89hSM+9V7AwpXc9xhHgHar0cwtL1nEx62U4/&#10;M9z1qLescXIsglWP3eBMewYwsR/ac9wu/JwFiFO1raOSXQl7GME6aqTvCpykwEZ0iFb7DLiNguXR&#10;1WiJwiU4SYHsiKgy4DYKIayQTC/BSQr0gxFVBtxGIXKJFC7BOQoyuAFVCnygoFCeob6Q1LhCf78I&#10;9QdWyOoE3ZNYZGC9NsxkpMCH739YdhaqUO9IgZMUVBX0MatYEQm7pw8UxGPJIPJTf7+SAXlqOgEK&#10;z2RAGlGHMuDD9z+WgdYcqo2VRdfwJBGV/iOyHPxARJyWJCJX9fcrSTCby0piVMPa99VS4MP3P5SE&#10;UAUepcB/PxQs1ArTHiMF5I8/4QZva/+1tLdHHpyG2u4zi1EdVJ9Oj5xxaWkh6cbKsOdGFkhDJ3FE&#10;AlCiqJam5KhmrM+YRwZeoQ824kNWCuvTSUlzEiyiQtC6fWwNPsb2e5CQqlj2FfoEI1tgoa0wchbH&#10;9CK5BobzIQDXJWChRqfrGlpKlnoH37zXpYnnoMO4scCYXSmP5xZRXwq7OgnPERl18jwQScIbifhD&#10;UOgbMJK/hjcSCZ65EglzthXe0p3YXvIJg+7MCDdJYYVWlDF9yC6EpftAgrlY0DjtfBQF05o1Kuvx&#10;LcdRvyTpc+BRE90NKTB+fnS1FralNmuBylExIqFnoHuEGw5LwQFYPQhB934DjmzK++NSmII1U1vr&#10;296N+n8xNJDnCXt51Oi0PzEFEiwVNByZwkvcAXax+8YowUNLrT6PzmVe3EIW93gOntNa3Y57qAWp&#10;9B2Ih+cPRBSHKU6LMZf+fhGnzVSR7Yd2noTM2wveu1Z4iE10Jx5nbQ9reKhWs8ZGQqFgVgvXdnJV&#10;hVlSajnBoGv/yo857LfHzImjPuib7ngrv4SR1quJA1JljGlPZGLjou88G3UBGeE5dukexwMyWtYD&#10;nNWk3txAkggjscNKeMq+t+1WZTLRjpWhrzy7qI7l108cuyj48nMcHk6DAjbniWiqIBjAiTNlpcns&#10;iGg6oWWWZVKZz17a2JKDJ2WiGmPYJ5NqknEl6v+0eJFJKWxwI5OOQwRvO8GKFQdWxrXyMtH0QESm&#10;AYFIXPXjppWo+xd868SqVPmFFSd4fMy6EnxEfiWai48RtOC4hMQTIbvM+CcFr45OmLfTNY7xl1A3&#10;+GqGGokgFHr4xdfwvysiHPEJSeeE/bEKOAyG6+balp/txS/YseAf0vBJHVybHNwsQe1CtPgTmY+I&#10;jNa5/Eyjk5XmkVoO4Uy6YCiyRVcbRTYq3LN5gqTgOaobz5FVK2z3Rm3sgqdcZdXS0pjoy2PDW9dC&#10;Y6DVs0stQZsFS65EL4VJKRE333RYiFm0LAmLzaOd1+h8MCmqB7WYLYZcYVJ14hBc1ARdrdOiuq6U&#10;s7GDPizUUnRjtYGTXOL9ThEVY61wPk02saWjOPEMnL2zrSEDTq6BqOIWy4BzFBSpBwop8IGCUgym&#10;IEKypRN64CIHEVMxIVI2I2g8yUG2F1b1O4ghXE+K6Ra62Ja0c5K/DjnsxJNeIeVVDIG3bA0+sfH/&#10;IrcmxiOH2Ma8koU22+qw+YsBtJjuIInHFDhsFQMbDe/5Kq/uM0YemV8Do0B7Z/tYBo2RMKtZTWvg&#10;TF9kB0rChR2ReTQnTXJgPhRFyhJQLFhNGnBqUideH3DQTcHDwPBU4S0KVV8KGYzg0d1pJdYITuqU&#10;2GKTZ5vINaMAT+JCEEqk/ABsXq2UwSAUccg04hzmqyYqVofT6XkimqELc1Q1sznAWYkyeJJd3Gvx&#10;lLkuPz/CRaRlJUqH0JBx7FLGY0HTJis/H5lcidIhfyskzCuTcH9OdzO7NtKYJcIwL6oqHSDGs8MK&#10;+Xx1Ht4QXvidG42j+PzE69xo+H2AnYDmFi5EPWpZexEm4UkiXPKBSA5+ICLvTocWOao/XwhhodWw&#10;yBYEnkhhYUAaIuEU+PD5XlW4CKEK8VEKnKTANUcKGXAbBdj9vS4tzB7DfOhCV2rGI0vBMpIwYL2o&#10;5Oh36cJct8USLJzeC4Zg4fG10A9bGPu3nAhaGFF1vuyzyDg619O/6Mep8tER3mEFKaJSzWcvHjxt&#10;PLXvScmhf9Fwq1sDwLTJEcyCxwrOUrB3fD4OCglwloK5vAMFa5D52X5wiYTz5cUqhwMq6/17wvgd&#10;Z/MpLefkdB1GOMq70GcefnLc9AI7Ph2tCFW0GqRwCc7KwdTSo4KkE+A2Ct56VwqX4BQFyM4461Hl&#10;wG0UYhdPlJ/Ak0ToCw7IcvADEXli+TiiMS7haf393FOjTcY+vezftaeuz/seBMC22RFx7FwTwLbn&#10;bO778P2PPHWvS7J8ERxgs31+SAatI45D5fcc3iGq8LE8shI3CjMdm2FKroGJi69Zofe4n0pS3A6w&#10;ccmeTlJgCyVSoJc7gEkhP8mADp+J1NZdPxZ3pawZuh+AR/vUnraSYm4NuFHCUHl3prPZvhjed9Il&#10;aarXHv8v2xHoXhoFfwgR4EdDGhXcMCtR3wm3QGThSUapc+4jv41IEHc9/Iy4LeuJgEztlCAODROE&#10;Dan7V2jMciup1435oYg+CW8lshqFqrovqhj6aQYQV+CWL3xvL/naOuCM0aw3syMueIulUqYf9sKL&#10;Gqj+DAwsiSLBhk3yAuRrD8b3MPsXVV98sxvXwJgx6Ro653iJRCIyHaGPxDlHxR/oSQpeLa6oXVLt&#10;yK56wUmL4DXuFD0RPWnnpzvhA80GlUs10ptRcXi4BQIxFXnvTwxv8IbodnvJl90ApxZh53tvzpU0&#10;3AJRAwacXgrIuB/8LRB4nulSQ86H4IC2y49AAk52Wedv24zSroZbIBA20Ez4ou6m2n5kDXA+3zBn&#10;iU3HfeJnZQAXMm+d6+ZtuAUCZkLIQgaLzblaAn8LBOZ2KKuG2jheohbZSxvvlYj7CS0YTsqw4RYI&#10;vGRhR7gFolph5HxOg2mcbUYoaVT0jiuAV8p+6gRgZioNkZZW7rstQMXgJWwcNj4bxlcgC9sH/rqH&#10;KtcDmGtoiB50GV9MAFjACQGYIt6GWyDqDoio2FOIzFMj6bEjVGbEOPGQBenvV5mTkjYrP0CZnqVO&#10;9QXXx9n8abTpcBjrbkQ/J+846m0PQWvUFYFRcjtCzt/gyS0hOxGRqWHhZ4iqJrdcSVx3Egae/Rcr&#10;wPJFSjxPU2ClxeRKZHR8fX4zXtFrKfBq6K3B3NKlWaF0s4Q6/ozM5qFMGm6BwPagq/P9GsBtM5ec&#10;xxGRdpmTT7JLoZ+/BQIqTAcRIwnB6x7xadrF9uo1flTvtHyyvbYXXC8Hlwfat/k+MMCmLi3JXs/J&#10;HHMfVY66n9A3rQG1/Qt/l96+PUOv4FXKTG8xBaHq0jPptn58ToTIow2VtwPYPo/BdByPzaiXJo0p&#10;QrhHqDrWX+1jK/M6bltbcW4N9Y4nr9K6RyqIpwyAFuZZLJCkUCMer0z1dpgQ1HQ8DcZBgCwRbk1/&#10;QAc68DiarXDrkmSJEFmwcPWLfcMfxGlGzV5kiegl73V0kVW4OAVEGBsiDk/vDV2wFa5FwKWhXKE/&#10;dA04jVLDjR94iWbU1/axlxmXBycN07cqV8tF+L32YLj4AXASx1Dd3lbLkrRchF8NXBhFAJzBv58e&#10;AJzEWwTfq0YQvEsSntOuvrowHzj1ypV85xMGXzJsCGB1EUNnh1Krfep5Nqzzg4ZwHxS81XmSK9HP&#10;LIR6To9YZg31QoGiyqRhjLz6nXARPrSL5iaUYKoKGzy3kk41s4Cs7mx/AhU7XkWm1UIkibArXC43&#10;3e+HMsG9sivU3sqAosEbIuZ672IQfLkCf0UWi64aym4ptdSbIsOmK7ZsJRKitg3eUDSqL4UCRSUe&#10;Mu4SjhfisJN5I8w6XvTiDPSiNnCHNkzjItQx+xRly4sDQ3WtA8WyBmtHJNWKAUEUOFU6FNO1PQyc&#10;oyADH1HxLFIgLIvcUiDsWZW3Cv9mrXg+y9owG5hq1nBpAAycRYSh7N9zutBaehsFFruslJDkElOQ&#10;GNVyF5tabhS0uWtC4KNPpeyKQuXm6uN64CLp0BUxFklgFc9yDnbuQuTRZ8BJHhFVKGyKwiU4R0Fr&#10;DqhS4AMF8ZhCEJLKT/39QgZaWt0NT2QgGvZ8VZcU+PD9XqXCKkLbHtegM5IK7YYAzxHRsiORJPxA&#10;RJzWdqAeVa7q7xeSGFQ9V/L3TBKqZ/jUcsiAD9//WBJCFTmegyeJaNmRSA5+ICJOS5uERlzV3y8k&#10;oXsC6j56JglmMcEuDRnw4fsfS0J5UpB1BpyjoDUHu5QCHyiIx5SBkFR+6u8XMhDz6g56IgPRCHYp&#10;BT58/0MZCFU0GUl4joiWHYkk4Qci4rR2AxWmclV/v5DERNde55yeSEL3xtjz1UOkwIfvfygJoYp1&#10;jiS8kYg/wIAElXldSIOnenfrWl7OElFlxufakyZSQ2likg80eJJI97jOsZ0S9fWPSWf7m4ioH+8v&#10;gu0nFn7DxbGA05u3lIvqS8FXJOFJdmkl8OH7NLiy6wBnacLgSSIScETGwVwOYux2j4g0dDpHuYdQ&#10;HRjrnItf4agyLPx7OkUd1W4JxZSxBgl+7m9kZsnj9Tl2jZxjL9nqXiZjLU342vSo/n1Ln23UYfJQ&#10;dKyXMfkR577CEWLk2cUSXrCOwnUJTvKKpbKIKgNuoxB9LSlcgpMUyKWIKgNuoxA6jpLDJThHQd4o&#10;oEqB2ygELonCJThJgVY6osqADxQUazAWkdE2PcXT+vtVLMKx5NpGfBaL6Fbk4F6ZFITxiYn14iZD&#10;jl5rqYiFus3EYl+YWtOxVyurHTj0ONpB/WqtuXk7qtOaUTQael59epIC3GmhEOpnusEjguk9Wip0&#10;Om0eUM2MpSIYo13r9zT4upmRUZifnunMrWBZ3enM7osV7nJc0i1c1oHYUHEKMvQYZl7raZFKkgJC&#10;zbLuMHMzs5wYCncC173gtcf/i3tO78T56SQ8uwxW2UMpvxKJ4qbf2C488N/u/1VX4hpCmziQZBYe&#10;hnvp0SFjpN0kECpizMbmHDzJrnpizXdz5wr37ZgN3tDNnRVXhjr/Bveh4AZvCAW1nbuwF7T7w6/o&#10;4dZ/jly1yGRSxzyMMNerg0JTpB5EN3hOJjKuXUTG8bfY7Jt0nt8i7SQRlvyjdk3aDyGinjRGa+xN&#10;EmGLooueiJ4xzk9POn9gfiVLRO16H55PuuwoRNQVjpWmI+f6Uph6mtAMX3d8mJ+uK2mZn57Elhi1&#10;iY1hfnqiyeaR+iS7JOBQbJukEGF+umqXTa4kiUhVQ3tyUns/zE/rAsRy4igvE7WMw/z0pJMR/v7H&#10;XiEFfxAvuRKNr/i7oWA+WIkJ89MTZs9WhWiZn541cRJGjapNC93cWZMoLfPTuv4yzk/L2iJf32e3&#10;FZy/9KOv7/iEWJTDpNvMopWFFjlxaOVhBFiMCmmn+NoyPz3zlHgYlJZcD2CLBCyYz61BqhMTAA7L&#10;hwBMF40aOEmBOyCiYvUjME9O6iSWU2akzClmQfr7VeYE+79uijob+ix1qi+E3IkJRpymmmQKWuan&#10;6z2XGGjYa/7EOYN4IKc6/5a6joR9QMZ7ZcOv6GELqcLbkn/U8m+M1sj3MD+tDcnb83JKpa1Xzmzu&#10;2aVNFk/91MDLvFmOiG7hKr8PvydSL3oM89NVJi3z05OqhmESpypEmHCr2tUyP61d1WG/uJVItWMk&#10;IXjdIz71uNheN4ZNtZjxZHfdNADsvywFzolRqGKTJAlvJBKaJDclSBbg1ezspqG4hl/R62+6hyO0&#10;Fm6c7+EP2W1EODfe8gN3/a32KXwz5Fb7FBEue9oQLt2g7WaEvU29KYSNK1QwbvCkTPSSZVUbW3Lw&#10;JBGtJPQvKrsOcI73tdTWqoAjMilE6GvcalOlwXDfEPCtMgnI5to8CUGZ5p9bmiQz/L0RCYZbs+eh&#10;fDjLPFq6npPJDIGvREKTZEYeafAQE1aPvRr6LBHNaUZkzMJCk2RGsroSb2mS6KUYSxLXJTi5DI6b&#10;RlQZcBuFUJ+dSeESnKRAdkRUGXAbhZAMSzyX4BwFeaOAKgVuoxC4JAqX4CQFGtaIKgM+UFAoz1D/&#10;EFfo71exCE/H1HGbZ7EIyxFhfOmWAR++30dMWoUKHj6iFIVQBvHgJAWuOaLKgA8UxGN9feSn/n4l&#10;A67YdAIUnsmANKIOZcCH738sA7EihgU5eJKIBB2J5OAHIuK0JBG5qr9fSOLObC4ribuuOPJH0VLg&#10;w/c/lIRQBR6lwH8/FCwMCEdF7mxVoUawT7juCPdLEID8CuDkGngSKAQzdw7EW+euBrd3DsTbgH6W&#10;gkXjYc/dWSANncQ7R0rsNEGSgpqxPoS8M/AKfbA7wtzCJQMnKehwRaDAY57h6MPCwlrL8Y2Fhc5w&#10;EmRhhmcirXJYGIKbXuTWsDCcDwH40hk7Qo1u0ZndBl3SOygY79VyYQIZzioL3PIren19KezqJDzH&#10;qTuqiWswHYgk4Y1E7NxrFW0lcg1vJBIcdiVirY4j8ZbuREUWGgR3VRetdr8RYdZl+pBcCOu84fjM&#10;HRIqkgoap53fckj9rqzHFyDuHH0LUwF3nttpqejfOWESUemUWSDMDAbN22ZjHs7s39mUD0fI7+zh&#10;n1TDT5yqJblhL985nhPun+/v6tu19IjuasCGrlaFh5baBm84IFlfintcxK/hSa1ViTsiy8EPRBSH&#10;MU47xFz6+3mcNrzUk786RnwdMu9ecL5vg/vYZHhRd9UGBw5reKRWeIllPl8oAJzjJ7aTZUIAp4W2&#10;Vl6SCJvL5SqHnX8adM8WrjTxcNYqW35Fb9ANtOG354YXNi7CD9z1C+tchKdW0us26AMyWtYj3MLI&#10;ll/R6xdGYmElgNs4STl5vWNjr+vRW35FDy8RWehsLxR8+BW9fpFBafgVvX7RVEEwgItu1gsWedF0&#10;Qsssiy777sIsSxKeFLxqjH6f9Av9YPg9QMBZCW/xIotS1eBGFgbB/LU8bUaoMBt55oWTK9H0gHfd&#10;2Cfa2WGTqn7csBIg45EM348HnGzxB76xeTkp1dBGx0ss1foIeoObIRS7ACe7zCmk2LV7KbBFyPzA&#10;2fZ8wwjs9pK/6SoLb1zJ/1ciErBPOiF4jTO6BgHgFLxNnaZWAr1XS8On4QvMiaUPvna/1C7ECk8S&#10;YRIbh/1kncOv6MGgUrWbVsJsvwvp/sKCAm/5lArDClOFbZ4guRKO6oZf0YN1Zj8ltDQWXR/S0tJY&#10;dGdmaHgvav3ZPWrbSgS3WbDsSmijwqSUiPtf0cMCGTMr4vIhkP8XQzsxJdp5jc77XGFRPahhgmlh&#10;yOUNB/THPjZqAp1+U0nDlXI2ltOHhbKMdkdLWWZB6rKVckQBu9nA/nKbasYaOop4x9hh72wUMuCU&#10;MlUK0VKRwiU4SUElPmemagAfKbinDxSUYpieViTbULkeuMpBuLbsr+hVHnV+yHKD++gRcNqnhrQT&#10;L9GP+3IF4LbbfcpbY4iGe2bwjsUjPrAC2LyShTabkunKuZYSHIetfGADV8XhPd8Z0s/H2JjcQdaP&#10;LROjwDBap6AxEmYpraVOsqjW4/QVsSy55CIggGldG2acF44HepEClex6cNyaxWtQJ6RJdMReNze4&#10;1+UdvGUhIoJqrcvFBI/uTitpmVSrbAmX6omL8RJOSaTlV/TAe0YBiAbcSqgMcb5qUY0WHhHPZ3XX&#10;dCXeHlczmzBfpf3B55NEuNcORJTxeCLY/dS6hpXgJa7E/4petTCdBU07W+LmI1MrgeVjVIygaieT&#10;zVL6IAtwml0bacwS4Uq8qgIZ4XZl+raSCj/ZJz+/fvmwfu1W2KKzwk/rrOGCNGZ74JGlG0rdp0QX&#10;zgxloLmFC334gbtK4Ak8R0RLjsiS8AMRefcTjurPF85/4PFvCztA4IkURnrBEKakwIfPfyhnofIz&#10;5EMK/PdDwZxjKMaOah/6yuaIdlDR7IZzmcOoI55+O4ycUPQt0GHk0d+GNi7ese0ZUTHnOYAtXGui&#10;wLz1gMqYdwAzu8iPng6jeiq+vpACJ3WJuV6om42siIfQUjw1cJICZRdq7qPSWBccQWomh4ZeG3SJ&#10;cXBApZuovbsZ1T/OZ7eDNNz3CwE2D+VPAAFMR4cyUDaYgH2gSw3thFFHFHw7FM+blrXcpoyX5AUD&#10;T9RBQlN/75rHCm9RWr3k21QgTn9+Dc9plex+OIY5JOEHInI19ERCU92K/n7hikbFkPVIxTNfpBd8&#10;kDqMOiwbQrtRlcCGOfxhVDkdDWAnWkYv4RzNMKnIbQXVA6Me+rx681Gowtabj+x4UY26JkwjrDVN&#10;O2KaJPJ42H+YdCmzH4UEnCkTbFl6G9YzxPbS9sVwbusXX8OTK9FpTjshsCMitnh7P3FOCj8s3bAS&#10;dvzDpcyDLrkoFwTvFWJSFRZpa55dNO7hkPgwqXAa9rquD2n5yaphu8PJ1SkBp0HxPbJNhRsabtgn&#10;au6EiATNnlXwftAJm5R5lq0wJ/ixlt9ds3OoNx/58ingJNIUWnECJNzSPYy8lrhc2rwX/KhuuVXM&#10;kytRKz3aLmmRz+4RyVBWVlrIEuFLNj9U98ko4qG2ppU0dA4rV3wBCmCL1kK3TQJBlSi9R3TdVZQt&#10;K02+NA69sgCooTSOdx6HulRpXxrH9mAguu7/nCRkyCMqFH7K5vBTl9j9JreGuU6YJVN1PzkKsG1L&#10;M0pVAyYat4aDScOEjy8fa93YDRX3WIhP64n7liBuYo+CQdmOBo2LL6wN9fkaMnj3qqiDUUm1OfVx&#10;PXARlkx4eDVg1l6CvJ+EJdsL3hLKdvuxB7hZU1hrimfViaLw4abCCEwM7A2UFNbAOQqjKtcelaIh&#10;3wirG6hlDbp3L2ZO3L+gv19DFV2VwqWkNxnolFdC0jNUeJV03XdPJL294EOBCg/5/4yWwkrArGJO&#10;ErMcaOB5PV0XNt5c50Ua7JOO3sVhrJkONw5jzSwbNQ1jzTQgYYRpmGmjwpzUMNMMtgxjDTOPrh6Q&#10;MWQ+wBkEtQxjDTrHflgJi8dhGGuY2BltGcbCS6aO+KEwtxUmtnzCMNZQrxmxrZPTrnokPVoljuWH&#10;EaahHlVviQ1nFYlDoJmE51Yy63xs3CcdfYcfK4OicLe3jDDNyqFCYWeWkwjWbNbUREtIpVvUwmQX&#10;9gnDuUhc4VzTShS1ms2urnbWRKpvHSKhJ7tahrFmTbKEYawKD+HhzHEHViWSgq8v+bi8IguB4wY/&#10;aVn8+Y8/vf+nD//+h9ff/mbHFuavIUOvyK7hjSu5Rnb2UVki8nI+PJlZKw1TR9A6Pd/iTzSz6c9E&#10;YdMpG/S1xlm3F7Qkz9V8hOBW1jkMY8Fq0/02DGPBClPwIc+oF4OETki9GKRhGAumW4ULL5N6vZsf&#10;xoIVZvHS+oo5wdfbREKfcGL7nZeyVO2qcFjvdLJWX7I4bYfMbFcI67SQloK4rtkKdn5iQSGYlAmP&#10;lZirJePUFX3BcExsJQdN0D00LRmnLqwKPQ75sJAmancYOCftWS2fEJoy1grDWDJjLcNYM+skYRgr&#10;BU6ugRTCFhOFS3CSAmOsiCoDPlBQisFss2YBNZ3QAxfZptaWHsbaXggWVVWsED1K0l3D9AycvwpJ&#10;kQi7TT5CVQxh7Z4Dn3zmJm4xHjnENlZsCcNYCoUaBpngyMzIxsCGA6+hgKWLbxuGseDdrFQQUbHK&#10;Ewkr8c8PlA2zmm/eT8yMcSPzGBI3yUE9uSDSk3G8mVMZbepUG3yRCN2gH8bCqgVvidjqSydEwoRL&#10;XUnDMBa+zDZAZxWl6u5mldb9jV54Xo67wadKul2oFUsZwjAW1JAf1TLCNFNJw5xU1ekDXB0Ka7Il&#10;Nzn32gEZt+YR/h9ZidKhMIxVL0O2oGmTlTIe5GrpOKemQ2EYq1rKEGRVs9syjFVte1RV2fYwjFWf&#10;tzb0USbnw1h3ib+2Y57Uvm5qpoYOVRJ+/LZHWVdFFvxzEp4lwgLBgUgKniWiNMINVA43hKtWEvSe&#10;9aagvCUiu7EqF35HBT+ORiKh/nJTi7OlmHNTFSIiq61MX7mt17xVzfL+3/+L0cCtquO6J+tevalo&#10;E1K+G+9H4E+lJGUiY2wB2kZERj2E4Tf5upau+8mlgIOuYorGe4OvLj65Eh6wihqcAScpKG/wgcct&#10;A26jEF2pSDyBNxLxl2MONx2TDuMJdYe09HZvMs9gzr6HcYN41r0exhZu6noZPLmSem2nD29umimP&#10;RGRQ7KOSRFRniCtRdRiu1q1Q1gw2Iu1Kb5oEiLxXI8NfWDrcNN5jMkyuBDH5yvvgr28sph+0q8LX&#10;omKWiHmMuA2J6xKcoyA3HVClwAcKSkdpc4VkK77qgYt89a5gS322J2HDXUL1bjAFPizgoeuoqEJg&#10;koQniWjZkUgOfiAiTksUQiOu6u8Xklg4mV3vD3kiCT0f2iILRxxDxX7hWFvLwMBCfwnLszcSuvnI&#10;X6I0LGzQtRyRXhgmBAeu46VhlywqiTVMgeksZwgFdFHCAWwGoKVQt6CcWCxTRIUI5yGYFFarf9Cj&#10;hztiocEMUyYLG8tWt6zRj85RW5UzRWHUgW0/EgewLc0HawDbGhoCwlGHX+ArdroEsHHJK3EF173g&#10;+eL/ZXuuvhN+JSgLTzKqhpBuT2xEvBYAzgS41hD9t/t/1ZXoJRd/ABmreH5DAk7f2CAQ/DSrCTEO&#10;ECfhKXbtiPg4ox5PCwMWG3xVkywRLj+U+3XCMQ56bvCGatSisMzvhUG7Pw6ALugMrPFKk0zUow09&#10;EBmxLqRsMoiEJ9mlM/oRme4Mj8RrytZisrxKbsZJ+8HaORtcN0wYe5Mr0RGA6InoScOvBA26SJD3&#10;L+SI3HXO0H68oX7xXfOylkwe4QgB0iF0RRZC5UockzQ7s7mtxKpUuZUoYAi/twBkrGn6XwkCnFUH&#10;q1IliUjA/oq8QfcidtaMrOxapF14L82uRaoKa+zYItVG6djDaSGwojwR9c1DA2ZRnx1e0BHR5j2Z&#10;cHtk6odFk+2h3apbobpw6mVRhail+7Mo1bSXNt4zROGVkTs4/Y+NFycFz3He8CtBcAGmXeGMUAU3&#10;1GzrO0HqpBwGYXRTVEuLSWewQwNIxj90rHUmvWWiZkGIVfyCzXJuLKdcD2Dz+BbMJwXBed6YALCG&#10;6AMwKCC/p8XhcgdEVDxwGJnH68JOYjllRsycZKTq0/r7VeakYZVatXiWOtUXfO2l+tNg0xe1N+wY&#10;T1IOqrOimuTsBEtu4Yd9IAnO6ZijSRJBirSGGcE7Sc3i6SZpMn/YPElEpzaMv5vSqrpkjZcj3Noe&#10;WSI0OpjQc+yS8UKq6OEsyBs8SUSFdOvibF+sip//laBNJtYeTBKRgEMLqV7zFHqKVbvMySeJqFof&#10;CqH1sr0QSVR43SPeH51vL5zmNB0z64fPu95d4wtC3tXEOYHlwKnFV1Sh9p6FNxLxpxBBhJG9BXjS&#10;IZxfVXV4jQuSRFRO89VeIGPEgrr2TuvHF02gGzxJBGMFq5E4IGM+eYAzIGwjwnwyrkTxc4BLq1os&#10;UVXFkLRm4Vl2KTN2AR54r/Q7win4htraJmB7aadFIuJcE7ROfcZ8FoaX6FL82T0cqabtjMRlHhua&#10;ljiHLWTOcAMutoRSicyjpetJmciZ+uNROM/NFfoiGOAk3uBMcT6bPPbuH3Dt+LBCwW0gIbkSvuRj&#10;yUrjEpykwBmjiCoDbqPg67OoQxn/LsFJCuRSRJUBt1HwYUWVwyU4SYF+MKLKgNsoRC6RwiU4R0FW&#10;OqBKgQ8UFMqzzCkkNa7Q369iERoVO+oOCk9ikY7lCHu+WtkU+PD9PmLSKlTwcA2xURR8GSSAkxRk&#10;SAOFDPhAQTzW10d+6u9XMuCKTScSMiCNqEMZ8OH7H8tArIDi76OlcjfqGvhcw5NEJOiILAc/EBGn&#10;JYnIVf39ShIsSmclUU4BFn4ESaTAh+9/KAmhCjxKgbMUzBkfKCTAWQrmxnxvYuwpIH8iBmALf6wG&#10;naTQUQ5eXXt1UH2Y0fNsTUsLqeedIFHS/Gl730kce55ys9MMyTWoGeuD4Z4BWeiD9bxmycBJCgws&#10;IyrwoSixP3ox9iysNZziwL1JFmxby7p6h56tMd9WGHsmeKYXyTWgClc+NgTg+CWPFexrdKBgiVdD&#10;yRLvWKboDy5uYJ9G6OmWXwmquGLWVZHFvajk1eBJTiE/fGSr+xy8kQh22t5RVCLX8EYiwfdXIjAk&#10;D4k3dCfGisw3CABn8uqvBgGcatKQPvacYvG3fgGV7Zqocdz5dpw9ySolQ77KIXsUpgJ6FNSKijRt&#10;D0Tf2zvbFueIve8Z4FI+CxgaDuLCARjH/dkNgNn3CMZcxzNW05/kEj2Pv18XFBjdRFFX+Eo6SUPN&#10;Pt/VGsvh9XVb+pbaDp6fFNxeigZDRK7huZWUU6OPDEkSfiCiOExxWoy59PeLOG2kimzXej9JW7YX&#10;vHet8BCb6H6+znr3hzU8jNVGjU+HQoFu9etsJ9c9gwKYMdZaeUkibC6HiylwkaIhK5Hh3hiiUbwS&#10;abmYYhzoTsN1Drg10yxVuDNixKFgElmJ51aCW332L1W24JKqE7jpYcvFFONQr8zwxfOB8Vy4mAK3&#10;RVp80XIxxThQHcPFFIBzhb5PPA5V8Pn2OV5iBdtfTAG4EQkXUwDOIrWNpSRlojKfn2XB3Zq0Adfw&#10;LBHWGMM+wV2dq+APK5ELbvEiuJXKkAU3glubCHcTICNOou3hyZVoeiC47gGl2NVkRuKqHzetRIMA&#10;wbcOMO4rEX+MEpuUEUtDGx0v8YtDBD0wRqch3DZphTf43Q2ZD9gGDbz7gTOYIRWj182blIle8ndG&#10;bMiu4Vki1K4DshQ8SUSCDEnnoJML/tw9VJiCt6nTJBHpfUjDcZWYaZcNkG2CRw/LooH8gMNmPiIy&#10;WudwMQWsMIk3rYSxZrivA1aYOz6ysY6etmiXrDDMi3OzssL+YgpYYapwS0sDv4dhPPYNb9xlzdjR&#10;H3/c4A0XU2wv+UkpwI24v5iiuhOzaEnd4rhztPOsmvm5SMjJWGWTjEkKHIuMhoNDcHGDqIjTorqu&#10;lLPbBvaxoZaCWz9XybWUZXCt1+6djQLNvr+YAmbMLExLR1F21N7ZKNBSXoKTciCquMUy4BwFReqB&#10;Qgp8oKAUgymIkGzphB64yEHE1OzFFJsD8kOWG9zPRVZJt9wksPnxkMPikNiqZCHlVQzRcCECSFit&#10;7RDbWLxpoc2mZAyFWmoMA8//xcCGG8XPwyH5sKUZ+CDrh6kargFd2XFAZbs6EmbJrGkNqvUEP6Fa&#10;T4iAVOtpcUXsrkeRsgQUfusYmZAKWQ1VjO0lX/bEtegr/8IvXoGI4E0L0UuRCL84uLv6UdYITkpc&#10;bPEXU2yhiR8iA1yOu4VdymD8xRRAxhAEH+GiBtVikV4BnlyJ5hrDHJV0OtwZUfcH4UkibAockP1f&#10;yo6uN0EY+FdI35Vh6qZkmEwdyxIf/AsVim1SWtYWcVv233ctoGK2ZYYH7q5fd5dracnd9RSae2XA&#10;/YnnJkn6jewwMcVphbm6JQjonaHckJgCGnWbpmGgK9B/3mT1H9iodWn8p7r6Q8e1qfb01uX/vCqe&#10;6L/Mky4xBYxeEcu8aThgY2xnJsa+UFW6hHxGCZ6nXAiP6P1uJXRwICJBeA1P2lnWoJqQrrJUrllr&#10;eC2FHq0fgsQABbXmCfqcRxN8t5zMR+n97GGEUzwdgdfrbATeKUtwq8dzvE6/EPQX4ZjxPKdywyUN&#10;jqWQJgZigpi1VRyGJmO0JGZc8kwrowo7zlQZqqLgGQ1zTRou9+EEAtvCknCJgiZB8ynM8b+FhFA7&#10;F23XSjEQUqta5n66MUry5w62hIsWDocce8WC2P271XVTmdhUW714dNBO5e9bHWhl3b1LwYFqAJjS&#10;H8CtJlWCzFtNNEWBeJUG2I+w+3FiPYIhFRwg+rJkd1lCZAZdJciioAVXFjBoUlea7xmMFHldSPVU&#10;W1Vw62Q+c9Uhjam8BHvgh/FsTSy5xH2tmE4UUyKnevENAAD//wMAUEsDBBQABgAIAAAAIQAEMEqT&#10;4QAAAA0BAAAPAAAAZHJzL2Rvd25yZXYueG1sTI/NTsMwEITvSLyDtUjcqNP8WG2IU1UguCAhWngA&#10;N3bjiHgdYrcJb8/2RG87u6PZb6rN7Hp2NmPoPEpYLhJgBhuvO2wlfH2+PKyAhahQq96jkfBrAmzq&#10;25tKldpPuDPnfWwZhWAolQQb41ByHhprnAoLPxik29GPTkWSY8v1qCYKdz1Pk0RwpzqkD1YN5sma&#10;5nt/chKei9Xbul1//BThfTuMr/Mum45Wyvu7efsILJo5/pvhgk/oUBPTwZ9QB9aTXuY5WWkQSZEC&#10;I4sQIgN2uKyyPAVeV/y6Rf0HAAD//wMAUEsBAi0AFAAGAAgAAAAhALaDOJL+AAAA4QEAABMAAAAA&#10;AAAAAAAAAAAAAAAAAFtDb250ZW50X1R5cGVzXS54bWxQSwECLQAUAAYACAAAACEAOP0h/9YAAACU&#10;AQAACwAAAAAAAAAAAAAAAAAvAQAAX3JlbHMvLnJlbHNQSwECLQAUAAYACAAAACEAseieoURBAADv&#10;gwEADgAAAAAAAAAAAAAAAAAuAgAAZHJzL2Uyb0RvYy54bWxQSwECLQAUAAYACAAAACEABDBKk+EA&#10;AAANAQAADwAAAAAAAAAAAAAAAACeQwAAZHJzL2Rvd25yZXYueG1sUEsFBgAAAAAEAAQA8wAAAKxE&#10;AAAAAA==&#10;" path="m81,103v,-3,,-5,-1,-7c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l81,103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l262,60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l463,60xm779,176v-37,,-37,,-37,c742,160,742,160,742,160v,,,,,c738,166,733,171,727,175v-7,3,-14,5,-20,5c698,180,691,179,686,176v-6,-2,-10,-5,-13,-10c669,162,667,157,666,151v-2,-6,-2,-13,-2,-21c664,60,664,60,664,60v38,,38,,38,c702,128,702,128,702,128v,7,1,13,4,16c710,147,714,148,720,148v3,,5,,7,-1c730,147,732,145,734,143v2,-2,4,-5,5,-8c741,132,741,128,741,122v,-62,,-62,,-62c779,60,779,60,779,60r,116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r,-116xm972,46v-38,,-38,,-38,c934,16,934,16,934,16v38,,38,,38,l972,46xm934,60v38,,38,,38,c972,176,972,176,972,176v-38,,-38,,-38,l934,60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l1069,103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l1118,96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l1316,85xm1366,46v-39,,-39,,-39,c1327,16,1327,16,1327,16v39,,39,,39,l1366,46xm1327,60v39,,39,,39,c1366,176,1366,176,1366,176v-39,,-39,,-39,l1327,60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r,-116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l1633,162xm1597,115v,-4,,-7,-1,-11c1595,101,1594,98,1592,95v-2,-3,-4,-5,-7,-7c1582,87,1578,86,1574,86v-4,,-8,1,-10,2c1561,90,1558,92,1557,95v-2,3,-3,6,-4,9c1552,108,1552,111,1552,115v,3,,7,1,10c1554,128,1555,131,1557,134v2,2,4,4,7,6c1567,142,1570,142,1574,142v4,,7,,10,-2c1587,139,1590,137,1591,134v2,-2,4,-5,5,-8c1597,122,1597,119,1597,115xm1782,v12,,12,,12,c1794,224,1794,224,1794,224v-12,,-12,,-12,l1782,xm1955,85v-18,,-18,,-18,c1937,60,1937,60,1937,60v18,,18,,18,c1955,52,1956,45,1958,39v1,-5,4,-10,7,-13c1969,22,1973,20,1979,19v6,-2,12,-3,21,-3c2003,16,2006,17,2009,17v3,,6,,9,c2018,44,2018,44,2018,44v-4,,-7,-1,-10,-1c2003,43,2000,44,1997,45v-2,2,-4,5,-4,10c1993,60,1993,60,1993,60v23,,23,,23,c2016,85,2016,85,2016,85v-23,,-23,,-23,c1993,176,1993,176,1993,176v-38,,-38,,-38,l1955,85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l2022,96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l2226,103xm2316,46v-39,,-39,,-39,c2277,16,2277,16,2277,16v39,,39,,39,l2316,46xm2277,60v39,,39,,39,c2316,176,2316,176,2316,176v-39,,-39,,-39,l2277,60xm2337,16v38,,38,,38,c2375,176,2375,176,2375,176v-38,,-38,,-38,l2337,16xm2435,46v-38,,-38,,-38,c2397,16,2397,16,2397,16v38,,38,,38,l2435,46xm2397,60v38,,38,,38,c2435,176,2435,176,2435,176v-38,,-38,,-38,l2397,60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l2526,85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l2535,96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l2733,85xm2783,46v-38,,-38,,-38,c2745,16,2745,16,2745,16v38,,38,,38,l2783,46xm2745,60v38,,38,,38,c2783,176,2783,176,2783,176v-38,,-38,,-38,l2745,60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r,-116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l3050,162xm3014,115v,-4,,-7,-1,-11c3012,101,3011,98,3009,95v-2,-3,-4,-5,-7,-7c2999,87,2995,86,2991,86v-4,,-8,1,-10,2c2978,90,2975,92,2974,95v-2,3,-3,6,-4,9c2969,108,2969,111,2969,115v,3,,7,1,10c2971,128,2972,131,2974,134v2,2,4,4,7,6c2984,142,2987,142,2991,142v4,,7,,10,-2c3004,139,3007,137,3008,134v2,-2,4,-5,5,-8c3014,122,3014,119,3014,115xm3199,v12,,12,,12,c3211,224,3211,224,3211,224v-12,,-12,,-12,l3199,xm3365,60v37,,37,,37,c3402,81,3402,81,3402,81v,,,,,c3405,73,3410,67,3416,64v6,-4,13,-6,21,-6c3439,58,3440,58,3442,58v1,,3,,4,1c3446,94,3446,94,3446,94v-2,-1,-5,-2,-7,-2c3437,91,3434,91,3432,91v-5,,-9,1,-13,3c3416,95,3413,97,3410,100v-2,2,-4,5,-5,8c3404,112,3403,115,3403,119v,57,,57,,57c3365,176,3365,176,3365,176r,-116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l3481,128xm3528,106v,-6,-2,-12,-6,-17c3517,85,3512,83,3506,83v-7,,-13,2,-17,6c3485,93,3482,99,3481,106r47,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l3691,162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r,116xm3845,16v38,,38,,38,c3883,176,3883,176,3883,176v-38,,-38,,-38,l3845,16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l3902,96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l4100,85xm4150,46v-38,,-38,,-38,c4112,16,4112,16,4112,16v38,,38,,38,l4150,46xm4112,60v38,,38,,38,c4150,176,4150,176,4150,176v-38,,-38,,-38,l4112,60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r,-116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l4417,162xm4381,115v,-4,,-7,-1,-11c4379,101,4378,98,4376,95v-2,-3,-4,-5,-7,-7c4366,87,4363,86,4358,86v-4,,-7,1,-10,2c4345,90,4343,92,4341,95v-2,3,-3,6,-4,9c4337,108,4336,111,4336,115v,3,1,7,1,10c4338,128,4340,131,4341,134v2,2,4,4,7,6c4351,142,4354,142,4358,142v4,,8,,11,-2c4372,139,4374,137,4376,134v2,-2,3,-5,4,-8c4381,122,4381,119,4381,115xe" fillcolor="#4d4d4f" stroked="f">
              <v:path arrowok="t" o:connecttype="custom" o:connectlocs="94418,107695;93624,84676;113460,133180;139643,73167;351488,73989;241995,78099;506206,60835;413375,72345;526835,49326;668859,55903;667272,78921;848173,84676;872769,124959;848173,84676;930689,144689;934656,67412;1028281,120848;1025107,20552;1129046,62479;1146501,72345;1204421,147978;1203628,75633;1232191,85498;1536867,69878;1581299,69878;1663815,144689;1662229,77277;1766167,84676;1790764,124959;1766167,84676;1931994,37817;2004195,121671;2004195,69878;2054975,144689;2058942,67412;2152566,120848;2149392,20552;2253331,62479;2270787,72345;2328707,147978;2327913,75633;2356477,85498;2699237,49326;2669880,49326;2746049,60835;2922190,161953;2888866,137290;2899181,85498;3034856,144689;2998359,117560;3155457,47682;3094363,106051;3134828,128247;3236387,146333;3262570,13154;3385551,50148;3308589,144689;3475208,144689;3476002,49326;3466481,115094" o:connectangles="0,0,0,0,0,0,0,0,0,0,0,0,0,0,0,0,0,0,0,0,0,0,0,0,0,0,0,0,0,0,0,0,0,0,0,0,0,0,0,0,0,0,0,0,0,0,0,0,0,0,0,0,0,0,0,0,0,0,0,0"/>
              <o:lock v:ext="edit" verticies="t"/>
              <w10:wrap anchorx="page" anchory="page"/>
              <w10:anchorlock/>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FD5CF1" w14:textId="77777777" w:rsidR="0090048E" w:rsidRDefault="0090048E">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7AAED5" w14:textId="77777777" w:rsidR="00311E08" w:rsidRDefault="00311E08">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311E08" w:rsidRPr="00915B1C" w14:paraId="4C8E1555" w14:textId="77777777" w:rsidTr="002E4DDC">
      <w:tc>
        <w:tcPr>
          <w:tcW w:w="6352" w:type="dxa"/>
          <w:shd w:val="clear" w:color="auto" w:fill="auto"/>
        </w:tcPr>
        <w:p w14:paraId="49947EC4" w14:textId="77777777" w:rsidR="00311E08" w:rsidRPr="00915B1C" w:rsidRDefault="00311E08" w:rsidP="00915B1C">
          <w:pPr>
            <w:pStyle w:val="Footer"/>
            <w:ind w:right="28"/>
            <w:jc w:val="right"/>
            <w:rPr>
              <w:sz w:val="2"/>
              <w:szCs w:val="2"/>
            </w:rPr>
          </w:pPr>
        </w:p>
      </w:tc>
      <w:tc>
        <w:tcPr>
          <w:tcW w:w="1332" w:type="dxa"/>
          <w:tcBorders>
            <w:top w:val="single" w:sz="2" w:space="0" w:color="505050"/>
          </w:tcBorders>
          <w:shd w:val="clear" w:color="auto" w:fill="auto"/>
        </w:tcPr>
        <w:p w14:paraId="60D013B8" w14:textId="77777777" w:rsidR="00311E08" w:rsidRPr="00915B1C" w:rsidRDefault="00311E08" w:rsidP="00915B1C">
          <w:pPr>
            <w:pStyle w:val="Footer"/>
            <w:ind w:right="28"/>
            <w:jc w:val="right"/>
            <w:rPr>
              <w:sz w:val="2"/>
              <w:szCs w:val="2"/>
            </w:rPr>
          </w:pPr>
        </w:p>
      </w:tc>
      <w:tc>
        <w:tcPr>
          <w:tcW w:w="396" w:type="dxa"/>
          <w:shd w:val="clear" w:color="auto" w:fill="auto"/>
        </w:tcPr>
        <w:p w14:paraId="299176FA" w14:textId="77777777" w:rsidR="00311E08" w:rsidRPr="00915B1C" w:rsidRDefault="00311E08" w:rsidP="00332011">
          <w:pPr>
            <w:pStyle w:val="Footer"/>
            <w:rPr>
              <w:sz w:val="2"/>
              <w:szCs w:val="2"/>
            </w:rPr>
          </w:pPr>
        </w:p>
      </w:tc>
    </w:tr>
    <w:tr w:rsidR="00311E08" w:rsidRPr="002E4DDC" w14:paraId="6FF1485E" w14:textId="77777777" w:rsidTr="00915B1C">
      <w:tc>
        <w:tcPr>
          <w:tcW w:w="7684" w:type="dxa"/>
          <w:gridSpan w:val="2"/>
          <w:shd w:val="clear" w:color="auto" w:fill="auto"/>
        </w:tcPr>
        <w:p w14:paraId="01D546C8" w14:textId="77777777" w:rsidR="00311E08" w:rsidRPr="002E4DDC" w:rsidRDefault="00311E08"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tc>
      <w:tc>
        <w:tcPr>
          <w:tcW w:w="396" w:type="dxa"/>
          <w:shd w:val="clear" w:color="auto" w:fill="auto"/>
        </w:tcPr>
        <w:p w14:paraId="6E092585" w14:textId="77777777" w:rsidR="00311E08" w:rsidRPr="002E4DDC" w:rsidRDefault="00311E08" w:rsidP="00332011">
          <w:pPr>
            <w:pStyle w:val="Footer"/>
            <w:rPr>
              <w:color w:val="505050"/>
            </w:rPr>
          </w:pPr>
        </w:p>
      </w:tc>
    </w:tr>
  </w:tbl>
  <w:p w14:paraId="16722208" w14:textId="77777777" w:rsidR="00311E08" w:rsidRDefault="00311E08">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63" w:type="dxa"/>
      <w:tblLayout w:type="fixed"/>
      <w:tblCellMar>
        <w:left w:w="0" w:type="dxa"/>
        <w:right w:w="0" w:type="dxa"/>
      </w:tblCellMar>
      <w:tblLook w:val="01E0" w:firstRow="1" w:lastRow="1" w:firstColumn="1" w:lastColumn="1" w:noHBand="0" w:noVBand="0"/>
    </w:tblPr>
    <w:tblGrid>
      <w:gridCol w:w="1311"/>
      <w:gridCol w:w="6352"/>
    </w:tblGrid>
    <w:tr w:rsidR="00311E08" w:rsidRPr="00915B1C" w14:paraId="4ECD3505" w14:textId="77777777" w:rsidTr="00B22EB2">
      <w:tc>
        <w:tcPr>
          <w:tcW w:w="1311" w:type="dxa"/>
          <w:tcBorders>
            <w:top w:val="single" w:sz="2" w:space="0" w:color="505050"/>
          </w:tcBorders>
          <w:shd w:val="clear" w:color="auto" w:fill="auto"/>
        </w:tcPr>
        <w:p w14:paraId="179197D7" w14:textId="77777777" w:rsidR="00311E08" w:rsidRPr="00915B1C" w:rsidRDefault="00311E08" w:rsidP="00332011">
          <w:pPr>
            <w:pStyle w:val="Footer"/>
            <w:rPr>
              <w:sz w:val="2"/>
              <w:szCs w:val="2"/>
            </w:rPr>
          </w:pPr>
        </w:p>
      </w:tc>
      <w:tc>
        <w:tcPr>
          <w:tcW w:w="6352" w:type="dxa"/>
          <w:shd w:val="clear" w:color="auto" w:fill="auto"/>
        </w:tcPr>
        <w:p w14:paraId="477AD86A" w14:textId="77777777" w:rsidR="00311E08" w:rsidRPr="00915B1C" w:rsidRDefault="00311E08" w:rsidP="00332011">
          <w:pPr>
            <w:pStyle w:val="Footer"/>
            <w:rPr>
              <w:sz w:val="2"/>
              <w:szCs w:val="2"/>
            </w:rPr>
          </w:pPr>
        </w:p>
      </w:tc>
    </w:tr>
    <w:tr w:rsidR="00311E08" w:rsidRPr="002E4DDC" w14:paraId="607914C4" w14:textId="77777777" w:rsidTr="00B22EB2">
      <w:tc>
        <w:tcPr>
          <w:tcW w:w="7663" w:type="dxa"/>
          <w:gridSpan w:val="2"/>
          <w:shd w:val="clear" w:color="auto" w:fill="auto"/>
        </w:tcPr>
        <w:p w14:paraId="3177EAD7" w14:textId="77777777" w:rsidR="00311E08" w:rsidRPr="002E4DDC" w:rsidRDefault="00311E08" w:rsidP="00332011">
          <w:pPr>
            <w:pStyle w:val="Footer"/>
            <w:rPr>
              <w:color w:val="505050"/>
            </w:rPr>
          </w:pP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A4503F">
            <w:rPr>
              <w:noProof/>
              <w:color w:val="505050"/>
            </w:rPr>
            <w:t>vi</w:t>
          </w:r>
          <w:r w:rsidRPr="002E4DDC">
            <w:rPr>
              <w:color w:val="505050"/>
            </w:rPr>
            <w:fldChar w:fldCharType="end"/>
          </w:r>
          <w:r w:rsidRPr="002E4DDC">
            <w:rPr>
              <w:color w:val="505050"/>
            </w:rPr>
            <w:t xml:space="preserve">   |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w:t>
          </w:r>
        </w:p>
      </w:tc>
    </w:tr>
  </w:tbl>
  <w:p w14:paraId="201E9B2A" w14:textId="77777777" w:rsidR="00311E08" w:rsidRDefault="00311E08">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311E08" w:rsidRPr="00915B1C" w14:paraId="7678DC93" w14:textId="77777777" w:rsidTr="002E4DDC">
      <w:tc>
        <w:tcPr>
          <w:tcW w:w="6352" w:type="dxa"/>
          <w:shd w:val="clear" w:color="auto" w:fill="auto"/>
        </w:tcPr>
        <w:p w14:paraId="3CDD218F" w14:textId="77777777" w:rsidR="00311E08" w:rsidRPr="00915B1C" w:rsidRDefault="00311E08" w:rsidP="00915B1C">
          <w:pPr>
            <w:pStyle w:val="Footer"/>
            <w:ind w:right="28"/>
            <w:jc w:val="right"/>
            <w:rPr>
              <w:sz w:val="2"/>
              <w:szCs w:val="2"/>
            </w:rPr>
          </w:pPr>
        </w:p>
      </w:tc>
      <w:tc>
        <w:tcPr>
          <w:tcW w:w="1332" w:type="dxa"/>
          <w:tcBorders>
            <w:top w:val="single" w:sz="2" w:space="0" w:color="505050"/>
          </w:tcBorders>
          <w:shd w:val="clear" w:color="auto" w:fill="auto"/>
        </w:tcPr>
        <w:p w14:paraId="0A5D3655" w14:textId="77777777" w:rsidR="00311E08" w:rsidRPr="00915B1C" w:rsidRDefault="00311E08" w:rsidP="00915B1C">
          <w:pPr>
            <w:pStyle w:val="Footer"/>
            <w:ind w:right="28"/>
            <w:jc w:val="right"/>
            <w:rPr>
              <w:sz w:val="2"/>
              <w:szCs w:val="2"/>
            </w:rPr>
          </w:pPr>
        </w:p>
      </w:tc>
      <w:tc>
        <w:tcPr>
          <w:tcW w:w="396" w:type="dxa"/>
          <w:shd w:val="clear" w:color="auto" w:fill="auto"/>
        </w:tcPr>
        <w:p w14:paraId="34FA0404" w14:textId="77777777" w:rsidR="00311E08" w:rsidRPr="00915B1C" w:rsidRDefault="00311E08" w:rsidP="00332011">
          <w:pPr>
            <w:pStyle w:val="Footer"/>
            <w:rPr>
              <w:sz w:val="2"/>
              <w:szCs w:val="2"/>
            </w:rPr>
          </w:pPr>
        </w:p>
      </w:tc>
    </w:tr>
    <w:tr w:rsidR="00311E08" w:rsidRPr="002E4DDC" w14:paraId="6A6F6AF0" w14:textId="77777777" w:rsidTr="00915B1C">
      <w:tc>
        <w:tcPr>
          <w:tcW w:w="7684" w:type="dxa"/>
          <w:gridSpan w:val="2"/>
          <w:shd w:val="clear" w:color="auto" w:fill="auto"/>
        </w:tcPr>
        <w:p w14:paraId="15B2EC6A" w14:textId="77777777" w:rsidR="00311E08" w:rsidRPr="002E4DDC" w:rsidRDefault="00311E08"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A4503F">
            <w:rPr>
              <w:noProof/>
              <w:color w:val="505050"/>
            </w:rPr>
            <w:t>vii</w:t>
          </w:r>
          <w:r w:rsidRPr="002E4DDC">
            <w:rPr>
              <w:color w:val="505050"/>
            </w:rPr>
            <w:fldChar w:fldCharType="end"/>
          </w:r>
        </w:p>
      </w:tc>
      <w:tc>
        <w:tcPr>
          <w:tcW w:w="396" w:type="dxa"/>
          <w:shd w:val="clear" w:color="auto" w:fill="auto"/>
        </w:tcPr>
        <w:p w14:paraId="0C245F79" w14:textId="77777777" w:rsidR="00311E08" w:rsidRPr="002E4DDC" w:rsidRDefault="00311E08" w:rsidP="00332011">
          <w:pPr>
            <w:pStyle w:val="Footer"/>
            <w:rPr>
              <w:color w:val="505050"/>
            </w:rPr>
          </w:pPr>
        </w:p>
      </w:tc>
    </w:tr>
  </w:tbl>
  <w:p w14:paraId="4F666C0D" w14:textId="77777777" w:rsidR="00311E08" w:rsidRDefault="00311E08">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84" w:type="dxa"/>
      <w:tblLayout w:type="fixed"/>
      <w:tblCellMar>
        <w:left w:w="0" w:type="dxa"/>
        <w:right w:w="0" w:type="dxa"/>
      </w:tblCellMar>
      <w:tblLook w:val="01E0" w:firstRow="1" w:lastRow="1" w:firstColumn="1" w:lastColumn="1" w:noHBand="0" w:noVBand="0"/>
    </w:tblPr>
    <w:tblGrid>
      <w:gridCol w:w="6352"/>
      <w:gridCol w:w="1332"/>
    </w:tblGrid>
    <w:tr w:rsidR="00311E08" w:rsidRPr="00915B1C" w14:paraId="507EE5A8" w14:textId="77777777" w:rsidTr="00B22EB2">
      <w:tc>
        <w:tcPr>
          <w:tcW w:w="6352" w:type="dxa"/>
          <w:shd w:val="clear" w:color="auto" w:fill="auto"/>
        </w:tcPr>
        <w:p w14:paraId="2D8F0FDA" w14:textId="77777777" w:rsidR="00311E08" w:rsidRPr="00915B1C" w:rsidRDefault="00311E08" w:rsidP="00915B1C">
          <w:pPr>
            <w:pStyle w:val="Footer"/>
            <w:ind w:right="28"/>
            <w:jc w:val="right"/>
            <w:rPr>
              <w:sz w:val="2"/>
              <w:szCs w:val="2"/>
            </w:rPr>
          </w:pPr>
        </w:p>
      </w:tc>
      <w:tc>
        <w:tcPr>
          <w:tcW w:w="1332" w:type="dxa"/>
          <w:tcBorders>
            <w:top w:val="single" w:sz="2" w:space="0" w:color="505050"/>
          </w:tcBorders>
          <w:shd w:val="clear" w:color="auto" w:fill="auto"/>
        </w:tcPr>
        <w:p w14:paraId="645FF675" w14:textId="77777777" w:rsidR="00311E08" w:rsidRPr="00915B1C" w:rsidRDefault="00311E08" w:rsidP="00915B1C">
          <w:pPr>
            <w:pStyle w:val="Footer"/>
            <w:ind w:right="28"/>
            <w:jc w:val="right"/>
            <w:rPr>
              <w:sz w:val="2"/>
              <w:szCs w:val="2"/>
            </w:rPr>
          </w:pPr>
        </w:p>
      </w:tc>
    </w:tr>
    <w:tr w:rsidR="00311E08" w:rsidRPr="002E4DDC" w14:paraId="5BFC8784" w14:textId="77777777" w:rsidTr="00B22EB2">
      <w:tc>
        <w:tcPr>
          <w:tcW w:w="7684" w:type="dxa"/>
          <w:gridSpan w:val="2"/>
          <w:shd w:val="clear" w:color="auto" w:fill="auto"/>
        </w:tcPr>
        <w:p w14:paraId="2F3D413D" w14:textId="77777777" w:rsidR="00311E08" w:rsidRPr="002E4DDC" w:rsidRDefault="00311E08"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906F40">
            <w:rPr>
              <w:rFonts w:ascii="HelveticaNeueLT Std" w:hAnsi="HelveticaNeueLT Std"/>
              <w:color w:val="505050"/>
            </w:rPr>
            <w:t xml:space="preserve"> </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A4503F">
            <w:rPr>
              <w:noProof/>
              <w:color w:val="505050"/>
            </w:rPr>
            <w:t>iii</w:t>
          </w:r>
          <w:r w:rsidRPr="002E4DDC">
            <w:rPr>
              <w:color w:val="505050"/>
            </w:rPr>
            <w:fldChar w:fldCharType="end"/>
          </w:r>
        </w:p>
      </w:tc>
    </w:tr>
  </w:tbl>
  <w:p w14:paraId="01E7C24D" w14:textId="77777777" w:rsidR="00311E08" w:rsidRDefault="00311E08">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92" w:type="dxa"/>
      <w:tblLayout w:type="fixed"/>
      <w:tblCellMar>
        <w:left w:w="0" w:type="dxa"/>
        <w:right w:w="0" w:type="dxa"/>
      </w:tblCellMar>
      <w:tblLook w:val="01E0" w:firstRow="1" w:lastRow="1" w:firstColumn="1" w:lastColumn="1" w:noHBand="0" w:noVBand="0"/>
    </w:tblPr>
    <w:tblGrid>
      <w:gridCol w:w="1311"/>
      <w:gridCol w:w="6381"/>
    </w:tblGrid>
    <w:tr w:rsidR="00311E08" w:rsidRPr="00915B1C" w14:paraId="2FB3BAB6" w14:textId="77777777" w:rsidTr="00915B1C">
      <w:tc>
        <w:tcPr>
          <w:tcW w:w="1311" w:type="dxa"/>
          <w:tcBorders>
            <w:top w:val="single" w:sz="2" w:space="0" w:color="auto"/>
          </w:tcBorders>
          <w:shd w:val="clear" w:color="auto" w:fill="auto"/>
        </w:tcPr>
        <w:p w14:paraId="4CF9DD9E" w14:textId="77777777" w:rsidR="00311E08" w:rsidRPr="00915B1C" w:rsidRDefault="00311E08" w:rsidP="00332011">
          <w:pPr>
            <w:pStyle w:val="Footer"/>
            <w:rPr>
              <w:sz w:val="2"/>
              <w:szCs w:val="2"/>
            </w:rPr>
          </w:pPr>
        </w:p>
      </w:tc>
      <w:tc>
        <w:tcPr>
          <w:tcW w:w="6381" w:type="dxa"/>
          <w:shd w:val="clear" w:color="auto" w:fill="auto"/>
        </w:tcPr>
        <w:p w14:paraId="28B7D6AF" w14:textId="77777777" w:rsidR="00311E08" w:rsidRPr="00915B1C" w:rsidRDefault="00311E08" w:rsidP="00332011">
          <w:pPr>
            <w:pStyle w:val="Footer"/>
            <w:rPr>
              <w:sz w:val="2"/>
              <w:szCs w:val="2"/>
            </w:rPr>
          </w:pPr>
        </w:p>
      </w:tc>
    </w:tr>
    <w:tr w:rsidR="00311E08" w14:paraId="565DE63A" w14:textId="77777777" w:rsidTr="00915B1C">
      <w:tc>
        <w:tcPr>
          <w:tcW w:w="7692" w:type="dxa"/>
          <w:gridSpan w:val="2"/>
          <w:shd w:val="clear" w:color="auto" w:fill="auto"/>
        </w:tcPr>
        <w:p w14:paraId="1D0EA85E" w14:textId="77777777" w:rsidR="00311E08" w:rsidRPr="00575AC5" w:rsidRDefault="00311E08" w:rsidP="00332011">
          <w:pPr>
            <w:pStyle w:val="Footer"/>
            <w:rPr>
              <w:color w:val="505050"/>
            </w:rPr>
          </w:pP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A4503F">
            <w:rPr>
              <w:noProof/>
              <w:color w:val="505050"/>
            </w:rPr>
            <w:t>12</w:t>
          </w:r>
          <w:r w:rsidRPr="00575AC5">
            <w:rPr>
              <w:color w:val="505050"/>
            </w:rPr>
            <w:fldChar w:fldCharType="end"/>
          </w:r>
          <w:r w:rsidRPr="00575AC5">
            <w:rPr>
              <w:color w:val="505050"/>
            </w:rPr>
            <w:t xml:space="preserve">   |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w:t>
          </w:r>
        </w:p>
      </w:tc>
    </w:tr>
  </w:tbl>
  <w:p w14:paraId="6B56353B" w14:textId="77777777" w:rsidR="00311E08" w:rsidRDefault="00311E08">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311E08" w:rsidRPr="00915B1C" w14:paraId="18C26567" w14:textId="77777777" w:rsidTr="00915B1C">
      <w:tc>
        <w:tcPr>
          <w:tcW w:w="6355" w:type="dxa"/>
          <w:shd w:val="clear" w:color="auto" w:fill="auto"/>
        </w:tcPr>
        <w:p w14:paraId="23A17B7D" w14:textId="77777777" w:rsidR="00311E08" w:rsidRPr="00915B1C" w:rsidRDefault="00311E08" w:rsidP="00915B1C">
          <w:pPr>
            <w:pStyle w:val="Footer"/>
            <w:ind w:right="28"/>
            <w:jc w:val="right"/>
            <w:rPr>
              <w:sz w:val="2"/>
              <w:szCs w:val="2"/>
            </w:rPr>
          </w:pPr>
        </w:p>
      </w:tc>
      <w:tc>
        <w:tcPr>
          <w:tcW w:w="1328" w:type="dxa"/>
          <w:tcBorders>
            <w:top w:val="single" w:sz="2" w:space="0" w:color="auto"/>
          </w:tcBorders>
          <w:shd w:val="clear" w:color="auto" w:fill="auto"/>
        </w:tcPr>
        <w:p w14:paraId="050B2CCD" w14:textId="77777777" w:rsidR="00311E08" w:rsidRPr="00915B1C" w:rsidRDefault="00311E08" w:rsidP="00915B1C">
          <w:pPr>
            <w:pStyle w:val="Footer"/>
            <w:ind w:right="28"/>
            <w:jc w:val="right"/>
            <w:rPr>
              <w:sz w:val="2"/>
              <w:szCs w:val="2"/>
            </w:rPr>
          </w:pPr>
        </w:p>
      </w:tc>
    </w:tr>
    <w:tr w:rsidR="00311E08" w14:paraId="75298162" w14:textId="77777777" w:rsidTr="00915B1C">
      <w:tc>
        <w:tcPr>
          <w:tcW w:w="7683" w:type="dxa"/>
          <w:gridSpan w:val="2"/>
          <w:shd w:val="clear" w:color="auto" w:fill="auto"/>
        </w:tcPr>
        <w:p w14:paraId="74B8EB58" w14:textId="77777777" w:rsidR="00311E08" w:rsidRPr="00575AC5" w:rsidRDefault="00311E08"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A4503F">
            <w:rPr>
              <w:noProof/>
              <w:color w:val="505050"/>
            </w:rPr>
            <w:t>13</w:t>
          </w:r>
          <w:r w:rsidRPr="00575AC5">
            <w:rPr>
              <w:color w:val="505050"/>
            </w:rPr>
            <w:fldChar w:fldCharType="end"/>
          </w:r>
        </w:p>
      </w:tc>
    </w:tr>
  </w:tbl>
  <w:p w14:paraId="54557487" w14:textId="77777777" w:rsidR="00311E08" w:rsidRDefault="00311E0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8C9746F" w14:textId="77777777" w:rsidR="00311E08" w:rsidRDefault="00311E08">
      <w:r>
        <w:separator/>
      </w:r>
    </w:p>
  </w:footnote>
  <w:footnote w:type="continuationSeparator" w:id="0">
    <w:p w14:paraId="2E806548" w14:textId="77777777" w:rsidR="00311E08" w:rsidRDefault="00311E08">
      <w:r>
        <w:continuationSeparator/>
      </w:r>
    </w:p>
  </w:footnote>
  <w:footnote w:id="1">
    <w:p w14:paraId="18E7E01D" w14:textId="77777777" w:rsidR="00311E08" w:rsidRPr="003C3D50" w:rsidRDefault="00311E08" w:rsidP="001E6DBC">
      <w:pPr>
        <w:pStyle w:val="FootnoteText"/>
      </w:pPr>
      <w:r w:rsidRPr="003C3D50">
        <w:rPr>
          <w:rStyle w:val="FootnoteReference"/>
        </w:rPr>
        <w:footnoteRef/>
      </w:r>
      <w:r w:rsidRPr="003C3D50">
        <w:t xml:space="preserve"> Commercial radio broadcasting services licensed for racing services, in remote licence areas or under section 40 of the BSA are exempt from the local content obligation.</w:t>
      </w:r>
    </w:p>
  </w:footnote>
  <w:footnote w:id="2">
    <w:p w14:paraId="128D7E39" w14:textId="77777777" w:rsidR="00311E08" w:rsidRPr="003C3D50" w:rsidRDefault="00311E08" w:rsidP="009F1147">
      <w:pPr>
        <w:pStyle w:val="FootnoteText"/>
      </w:pPr>
      <w:r w:rsidRPr="003C3D50">
        <w:rPr>
          <w:rStyle w:val="FootnoteReference"/>
        </w:rPr>
        <w:footnoteRef/>
      </w:r>
      <w:r w:rsidRPr="003C3D50">
        <w:t xml:space="preserve"> Subject to certain exceptions, a ‘trigger event’ is defined as: (a) a change in control of a regional commercial radio licence, (b) the formation of a new registrable media group where a regional commercial radio broadcasting licence is in the group, or (c) a change in controller of a registrable media group where a regional commercial radio broadcasting licence is in the group. </w:t>
      </w:r>
    </w:p>
  </w:footnote>
  <w:footnote w:id="3">
    <w:p w14:paraId="59300156" w14:textId="77777777" w:rsidR="00311E08" w:rsidRPr="003C3D50" w:rsidRDefault="00311E08" w:rsidP="001E6DBC">
      <w:pPr>
        <w:pStyle w:val="FootnoteText"/>
      </w:pPr>
      <w:r w:rsidRPr="003C3D50">
        <w:rPr>
          <w:rStyle w:val="FootnoteReference"/>
        </w:rPr>
        <w:footnoteRef/>
      </w:r>
      <w:r w:rsidRPr="003C3D50">
        <w:t xml:space="preserve"> Commercial radio broadcasting services licensed for racing services, in remote licence areas or under section 40 of the BSA are exempt from the minimum service standards and local presence obligations that apply following a trigger event.</w:t>
      </w:r>
    </w:p>
  </w:footnote>
  <w:footnote w:id="4">
    <w:p w14:paraId="21B015AA" w14:textId="77777777" w:rsidR="00311E08" w:rsidRPr="003C3D50" w:rsidRDefault="00311E08" w:rsidP="00776320">
      <w:pPr>
        <w:pStyle w:val="FootnoteText"/>
        <w:rPr>
          <w:rFonts w:cs="Arial"/>
        </w:rPr>
      </w:pPr>
      <w:r w:rsidRPr="003C3D50">
        <w:rPr>
          <w:rStyle w:val="FootnoteReference"/>
          <w:rFonts w:cs="Arial"/>
        </w:rPr>
        <w:footnoteRef/>
      </w:r>
      <w:r w:rsidRPr="003C3D50">
        <w:rPr>
          <w:rFonts w:cs="Arial"/>
        </w:rPr>
        <w:t xml:space="preserve"> GSM-R is a system based on the GSM standard that provides communication and control for railway traffic and signals.</w:t>
      </w:r>
    </w:p>
  </w:footnote>
  <w:footnote w:id="5">
    <w:p w14:paraId="7B3BD0ED" w14:textId="77777777" w:rsidR="00311E08" w:rsidRPr="003C3D50" w:rsidRDefault="00311E08" w:rsidP="001F2262">
      <w:pPr>
        <w:pStyle w:val="FootnoteText"/>
        <w:rPr>
          <w:rFonts w:cs="Arial"/>
        </w:rPr>
      </w:pPr>
      <w:r w:rsidRPr="003C3D50">
        <w:rPr>
          <w:rStyle w:val="FootnoteReference"/>
          <w:rFonts w:cs="Arial"/>
        </w:rPr>
        <w:footnoteRef/>
      </w:r>
      <w:r w:rsidRPr="003C3D50">
        <w:rPr>
          <w:rFonts w:cs="Arial"/>
        </w:rPr>
        <w:t xml:space="preserve"> The four labelling notices specify requirements for telecommunications, radiocommunications, EMC and EME. There is no labelling notice under the BSA for broadcasting equipment and domestic digital receivers.</w:t>
      </w:r>
    </w:p>
  </w:footnote>
  <w:footnote w:id="6">
    <w:p w14:paraId="40CB20D0" w14:textId="77777777" w:rsidR="00311E08" w:rsidRPr="003C3D50" w:rsidRDefault="00311E08" w:rsidP="00D27431">
      <w:pPr>
        <w:pStyle w:val="FootnoteText"/>
        <w:rPr>
          <w:lang w:val="en-US"/>
        </w:rPr>
      </w:pPr>
      <w:r w:rsidRPr="003C3D50">
        <w:rPr>
          <w:rStyle w:val="FootnoteReference"/>
        </w:rPr>
        <w:footnoteRef/>
      </w:r>
      <w:r w:rsidRPr="003C3D50">
        <w:t xml:space="preserve"> </w:t>
      </w:r>
      <w:r w:rsidRPr="003C3D50">
        <w:rPr>
          <w:lang w:val="en-US"/>
        </w:rPr>
        <w:t>This figure refers to the period from October 2013 to June 2014.</w:t>
      </w:r>
    </w:p>
  </w:footnote>
  <w:footnote w:id="7">
    <w:p w14:paraId="4BB6AA32" w14:textId="77777777" w:rsidR="00311E08" w:rsidRPr="003C3D50" w:rsidRDefault="00311E08" w:rsidP="00537938">
      <w:pPr>
        <w:pStyle w:val="FootnoteText"/>
      </w:pPr>
      <w:r w:rsidRPr="003C3D50">
        <w:rPr>
          <w:rStyle w:val="FootnoteReference"/>
        </w:rPr>
        <w:footnoteRef/>
      </w:r>
      <w:r w:rsidRPr="003C3D50">
        <w:t xml:space="preserve"> </w:t>
      </w:r>
      <w:r w:rsidRPr="003C3D50">
        <w:rPr>
          <w:rFonts w:cs="Arial"/>
        </w:rPr>
        <w:t>In accordance with the code of practice registered under the IGA.</w:t>
      </w:r>
    </w:p>
  </w:footnote>
  <w:footnote w:id="8">
    <w:p w14:paraId="39AC29D0" w14:textId="77777777" w:rsidR="00311E08" w:rsidRPr="003C3D50" w:rsidRDefault="00311E08" w:rsidP="00537938">
      <w:pPr>
        <w:pStyle w:val="FootnoteText"/>
        <w:rPr>
          <w:rFonts w:cs="Arial"/>
        </w:rPr>
      </w:pPr>
      <w:r w:rsidRPr="003C3D50">
        <w:rPr>
          <w:rStyle w:val="FootnoteReference"/>
          <w:rFonts w:cs="Arial"/>
        </w:rPr>
        <w:footnoteRef/>
      </w:r>
      <w:r w:rsidRPr="003C3D50">
        <w:rPr>
          <w:rFonts w:cs="Arial"/>
        </w:rPr>
        <w:t xml:space="preserve"> Under </w:t>
      </w:r>
      <w:r w:rsidRPr="003C3D50">
        <w:rPr>
          <w:rFonts w:cs="Arial"/>
          <w:szCs w:val="20"/>
        </w:rPr>
        <w:t xml:space="preserve">section 20(3)(a) of the IGA, the ACMA must not investigate a complaint about </w:t>
      </w:r>
      <w:r w:rsidRPr="003C3D50">
        <w:rPr>
          <w:rFonts w:cs="Arial"/>
        </w:rPr>
        <w:t xml:space="preserve">Australian-hosted content. However, </w:t>
      </w:r>
      <w:r w:rsidRPr="003C3D50">
        <w:rPr>
          <w:rFonts w:cs="Arial"/>
          <w:szCs w:val="20"/>
        </w:rPr>
        <w:t>it may, if it considers it warranted, refer the complaint to an Australian police force.</w:t>
      </w:r>
    </w:p>
  </w:footnote>
  <w:footnote w:id="9">
    <w:p w14:paraId="1CCCEEC0" w14:textId="77777777" w:rsidR="00311E08" w:rsidRPr="003C3D50" w:rsidRDefault="00311E08" w:rsidP="001E3FC0">
      <w:pPr>
        <w:pStyle w:val="FootnoteText"/>
        <w:rPr>
          <w:lang w:val="en-US"/>
        </w:rPr>
      </w:pPr>
      <w:r w:rsidRPr="003C3D50">
        <w:rPr>
          <w:rStyle w:val="FootnoteReference"/>
        </w:rPr>
        <w:footnoteRef/>
      </w:r>
      <w:r w:rsidRPr="003C3D50">
        <w:t xml:space="preserve"> </w:t>
      </w:r>
      <w:r w:rsidRPr="003C3D50">
        <w:rPr>
          <w:rFonts w:cs="Arial"/>
        </w:rPr>
        <w:t>Breaches resulting from unforeseen technical difficulties were disregarded as provided by the captioning legislation.</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C5DB1A" w14:textId="77777777" w:rsidR="0090048E" w:rsidRDefault="0090048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D8A3D3" w14:textId="7D5DB0A2" w:rsidR="00311E08" w:rsidRDefault="00311E08">
    <w:pPr>
      <w:pStyle w:val="Header"/>
    </w:pPr>
    <w:r>
      <w:rPr>
        <w:noProof/>
      </w:rPr>
      <mc:AlternateContent>
        <mc:Choice Requires="wps">
          <w:drawing>
            <wp:anchor distT="0" distB="0" distL="114300" distR="114300" simplePos="0" relativeHeight="251658240" behindDoc="1" locked="1" layoutInCell="1" allowOverlap="1" wp14:anchorId="4954D3F8" wp14:editId="7DE961E6">
              <wp:simplePos x="0" y="0"/>
              <wp:positionH relativeFrom="page">
                <wp:posOffset>5796280</wp:posOffset>
              </wp:positionH>
              <wp:positionV relativeFrom="page">
                <wp:posOffset>578485</wp:posOffset>
              </wp:positionV>
              <wp:extent cx="1092200" cy="340360"/>
              <wp:effectExtent l="5080" t="6985" r="7620" b="5080"/>
              <wp:wrapNone/>
              <wp:docPr id="25" name="acma"/>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092200" cy="340360"/>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0B1085" id="acma" o:spid="_x0000_s1026" style="position:absolute;margin-left:456.4pt;margin-top:45.55pt;width:86pt;height:26.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160,1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sZBW04AAIS8AQAOAAAAZHJzL2Uyb0RvYy54bWzMfd3O5EaS3b0Bv0OjLw14VSSLZJUwmgUW&#10;a/tm7R1gxw/Q02qNBEvqRnfPaHaf3icZ5yQzgsWqyIEvfNPSF0VmMDMi4z8jf/ePf/vl5zd//fD5&#10;y08ff/3u7fAPl7dvPvz6/uP3P/365+/e/u8//vf/env75svXd79+/+7nj79++O7tv3/48vYff/+f&#10;/9Pvfvv07Yfx448ff/7+w+c3GOTXL9/+9um7tz9+/frp22+++fL+xw+/vPvyDx8/ffgVP/7w8fMv&#10;777iz89//ub7z+9+w+i//PzNeLks3/z28fP3nz5/fP/hyxdA/9l+fPv7bfwffvjw/uu//vDDlw9f&#10;3/z83Vt829ft38/bv38q/37z+9+9+/bPn999+vGn9/yMd3/HV/zy7qdfgbQO9c/vvr5785fPPx2G&#10;+uWn958/fvn4w9d/eP/xl28+/vDDT+8/bHPAbIZLmM2//fju04dtLlicL5/qMn35fzfs+//11z98&#10;fvPT99+9Hee3b3599wto9O79L+/Kwvz26cu3+P3fPv3hc5nal0//8vH9//ny5teP/+37n77+4eNP&#10;v37FhwzlyW/co+WPL3jpzZ9++58fvy8D/uXrx211/vbD51/KUJj3m79tRPj3SoQPf/v65j2Aw+U+&#10;grJv37zHb9P1Mi0blb55963efv+XL1//x4eP20jv/vovX74aEb/H/20k+J7z+CMG+eGXn0HP//LN&#10;m+vt8ua3N9fBRgOh6lND89R4u7358c0w3q/kjPrU2Dw1z/PJWFPz1DReTsa6Nk/Nt+vJWKBH/fph&#10;WE/GWpqn1mk5GWttnhpuw8lY2KsV430aTsa6N0+Ny3wy1tAu/n0+G2xoV3/A9z9e/aFd/juQnpCy&#10;Xf/b2ZIN7foPw7KejdZSYBrHs29rSTAM99OPa4kwztPZcC0Vhvl8ri0d5lO2bckwrNczZhtbOpxz&#10;7tjSYVjHs6UbW0IM0xmTjI4S9/F+QokimypnDpezpRsdJe7D2W4YW0oM99PhWkpMwxldx5YQy/1+&#10;QteppcR0Pfu2qSXEcjrVqSXEdZxOFm5q6bCANR9vr6mlw7KezXRqyTBj35yM1pLhNp5t/amlwjKe&#10;cfDUUgFy8IyDp5YM83T2cdeWDEOROI9FybWlw7qcfd21pcMwnQrzqyMEVvjx0l1bQgzrqdi8OkpM&#10;Zzx3bSmB7XpGimtLiieTbUkxDpczUlwdKU7319ySAir/jO3mlhQLdO/jtZtbUozXUy6eHSkuZypn&#10;bkkxTrfxhFHmlhQLduLJ17WkGJdTQTy3pCjGwclwjhQzTI3HbDy3pLieamtYRbuAHW/YjI+HW1pS&#10;zNPZrlgcKW7rmZpYWlKskNePJ7u0pJiG8YzvlpYU8+muWFpSTJf76XAtKc53xdKSYhrXMyW2tKRY&#10;Tk2dtSXFNJ2y8dqSYjm1D9eWFMuZnlhbQtxPd+zaEgIoHzPJ2pJhGOYzw2lt6TCcf1tLBgx3JuzW&#10;lg7zqTRZWzIM4ynT3Vo6LOPZZG8tGYbx1Eq8tXSYYSU8XrtbSwi4Qmdq7OYoMZ5qxVtLi9v9bIfd&#10;HCnmU0Vx87SAT/V4x95aWgxXsMDJdB0xLtczVrm3xBjW4UyR3R01LpczAXVvqYHxzr7v7slxqrfh&#10;LzbyEz7ryXzvLTnu6xk57o4cd0iyx8t39+S4nJHj3pJjvFxPx3PkGIYz7TMU/7wa5OPt1NIeLo4g&#10;57ttuLQUAT+fKTRY/w3qYTglMcyT5sHxtpzReLi0RMH4Z0w4XFqyTGUyj8kyXBxdLpczkYWvb75x&#10;GufzER1lLjAMH288LEg74jSdSfzBe97D9cxwGZzvPc1wq09mPTjKXKCmz76xpQw03PmILWXOpRd8&#10;+HbSNwjhs090hIHNefqJjjB3eLBnIzrCjI55ELP6s6JS735UoOr9335lpAr/9+ZdCZRetujYp49f&#10;SlSshK0Q+vqjRdbefYunSljr5GFsm/LwtIXhXj2MdS8Pz6mHsabl4TX1MJarPHxPPVx4tDwNFizB&#10;w1dfXRhwezw3yRLe2R7PTbPwzvZ4bqIDZzrkpjpyqoivZKZa4ivlYxA/ST3OqSI+knqcU0X8I/U4&#10;p4oAR+bxEuAo344IRupxcW5uqiVEsY2em+rEqSLIkPoYThVBhMzjJYhQPgZBgtTjnCqCAKnHOVU4&#10;+anHOVU48anHOVU46ZnHi5NepgonPPU4pwonO/U4pwonOvU4pwonOfU4pwonOPN4cYLLVOHkph7n&#10;VOHEph7nVOGkph7nVJfcVIsTun17bqrFySyPw4nMfExxIrfHc1MtbuL2eG6qxQ/cHs9Ntfh52+O5&#10;qRY/rjwORy0z1eKnbY/nplr8sO3x3FSLn7U9nptqcaO2x3NTLV5SeRxeUGaqxQnaHs9Ntfg42+O5&#10;qRYfZns8N9XiomyP56a6eSDl+eJhZCa7ORj2Qm66m/9gL+QmvLkH9kJuypv1by8kJ70bTslJV9MJ&#10;tnlqlarxNCQnXc2nITnpakB5C8qsQBrGn5G3jxn7z2/fIGP/pzKNd99+eve12NP63ze/ffd2S+2+&#10;+REJ5JK9Lb/88vGvH/74cXvmazGsBxpjyifvv7//y59+ev9PH/6jfXosbiGowxqBT9sQr4FlHm40&#10;/5cNM5XEF8ZGoo3z2UbPgVMYxpJdOWLIgXMYSMgRwV6jia1QCpzCoA0VMOTAKQwUx4EMGWhqeBPH&#10;YfTXwMPYP//aMmZkY/36/uePXz5slNgZ29htKPlTMANKTCgF9icesedAYcznsd1s/6TAh69/iKFE&#10;/vFFt03wVQQJaHJ4U21x+NfQw/Ba3bOV1O/nq49qkXYrAsPz1b+WkPJx6+bAh+9/tPoaCtUu7dbN&#10;gZMYjM0PGDLgHIaSsiirhFBkI36uJfW0gR1nXUtKsoChrvB0DgN9yMmccTHplT76hGqDFvGFGAyc&#10;wjDRAgtDTbRwizpoMExwBWwO1Vp4rWhms8JQveCGKgnfbZUcA0wl6b2vaW4OdMxHMzq1ShOjASPM&#10;73YOpfQCGEb4K1k6SCsiOuqHMgYYkYJ3GAjegxyvV6mUq+CrkN14MNIzaG6J7sYaYaAEtGt45J7c&#10;53P85+A+DKjFaBboWmL2hZjXALbpjsigZ2l8BX8aX2waSlx0pZ2EfLlDTOOG4NQcruTtOFSppNgY&#10;cjOQK2KGPcY9FvCSi66U86NKDE1lXEsKvmCwoEXFUJLaG7ha5q8x0MsfLXZThyqp4I0OfpXohheb&#10;L02HlfvTgng7BvPOAi9dKahGuBl5DDaU3wwa6Rk0RWYpWz9QBnoYXprdyKghaM3haf1+rvmXUvWz&#10;EUY0fq759+ed8kKxCFnF0Xcp1T0bB+Vl6YKtur3jjfallNiUoVAa0Wxw1NoQnNc4i9gdMaN2KJp2&#10;yOx5ML8HNQNZDlqo+UfEjVoMYkawcAtmhGY08IHKj+yjBdyzLUcYqmSXyypFMFfJvieHQcLZ5q19&#10;tpbk5obBSaO15BM3cH6frYwVjAj1NcuxliTdRmm3Sqi9IXgjT2oOa/X0nMxe4ddvGLy828E9c+BQ&#10;XsFUxNgXbmqkwx6VfylR63JY4L/SQYsHE7DFUBLAZfFQCAlwbpWkJFGK2Qy1yJfygnZhkG3ckygv&#10;57DAy7GvcpRe6MaOlr7R1BYGOMexQ2owXDxanqkONT/UCotUqgU3Uqu0lELVsrKDY8ullCVvYEfp&#10;ReSBzZ2lw1JKFspQKAto6DBzTw8opWjBlBqDeUipOcwUQIM3eWeq4cFMXi1eBaNsMTuH+o63wypi&#10;75GgeHCbMWpm8xi0HChMaJZDi8dgq+YgOqCqJTsFURSh6nb8Us4M4oBlWygZCfNID1/KJ8tAQfnY&#10;DvGEWZgZMGiKxEupByrDu69fKRY8Ukmpjq9fseuPy7CWGmMg9Uu2lnLXAs2v/UrfOFBxpfmIarN2&#10;9VdouYJggJjPLv9aytfKOyZcxCcr9emAvGlD35XpDRxyyGMAM28YvDO4psApGtehYF61H8vIeJwD&#10;VTMKyfNzKEVRZZXA9Q0GMdcA17kFa00NnJqDWDsOxUzbAUyq9WAo1azbHPzHlhLcDexsgkWcZzPO&#10;zYGG5IAAQ7scjGjgUIkHU9iZaExisC0USLrQ90NJlMdgCmTY8+yvVbOGsnS49sNSStDLKnkTSabz&#10;0OF0Llpw7yEvzNjicJObA0XeAOphTXOrRPMCxwfcUDRgcCCjBa+loq1MrcOgl6QcvF29QojYUF4u&#10;MSyHY2zpOax0ewbspYaXVhowg/cWV60pwnPZVVrplAQ7Yi3VxliOEYZ9i5iqeewwYCQtRx/KW+WU&#10;WIWRWGylpho7wmBrqU4tH+tN1ZWZ3DHYyAKbFZ7ipTqUVWTsH2sbcfQstsqCNarlMGjBMf92wWnB&#10;TrDGWzBLPiYzd3IYaijZCaBVCTdLa9ap1UxfBy/RvEU9aPuxS6n2BXlCtHghLxGcmsOi5fAW40Lr&#10;KSJmGIOB8BwGxn9D8muhz8g4vFZpoRbFYYwy4xSGWcvht9ZMo6Ie4WX4hkmVsYOX5nKQoewH7O2G&#10;aWaF2zwTz3KS9iovpx8ULrLv2UM929iYsX4/DyfhFO32Pbut8TycdC8V0Ph+Pq/FzoFTNNBQIQaf&#10;A/dhsPqzfQ6KfTn9di9FzYViFoLNYaihD0flO3MCOOHcEh/HoolhA+cwKEUSh7L9HCLSdx+ozmFQ&#10;hNBbAXemeSKGGu3LO1bivbCfc+CuOUQMkqu+VOJe5UveChBJcZTbkZQMEMGQRSZu85L7Rq0bhrpR&#10;KeHIQIv4Rht66vCwbjRZQkLvRkNzspJqbZMb+WKyoEeKDrdy4LbsIRh4jdS7KULj3dCb9gOmmJXc&#10;t3JietulzrC7KTfoXbsKNucxNwcOFSSfhnoOTmFYZRWHCGEK3IUh2KZE8AyaGl5r4QfKQLuG9/E8&#10;Df8MmhpeGsYPlIF2De8XR8M/g+aGpwAOAyWgh+FlNZhVIXG8Wwj6/YlVQW/HPgYInhsVOB9lu9d/&#10;fA58+Pz3zkSySdShQhQpC08iYQ3/AUkOnkViZgr6DLSyFCfOGCbx7ggq28wkQBYgK0xx1oz0cOEq&#10;BPPM+PMeL059WRSjwwzGO4x6+klsp64gxg8Y+D0ybD2N/V+kOM7NbhohDsW6NQuhSqnhQJppqI7I&#10;an1nsKKEw1gv4DlyD7QZceTZkbuEUIvCG7wRWxeW8CQS2iUDVH6jn0FYWvu+OACMYPQYDJ5DcpEe&#10;i4PRjYozuSjJ0VHzUbk9hMEAp59jcbBKq4tCf5alTs6EUhWHfN1yXRQS8kEnrCK3Zg93XeghD944&#10;wmCMMPrsUoWXcuL8RudgwUCug72Ap5YLrZU2Tg1j5cAHDFI+VE5R0ejnc93UbFuZly+0E4q/bav5&#10;3DBEmGLcng0GajM0AshTYmDlRTlD67Zg6RlS9rkPSUBQ2qoaFxyW6bFIZPAB4T2HAmq3oPCZMnSd&#10;otDtUBylamcbygurkuTdwF68lOjfDs7NYWSOyqfLhlJlsg3lp4bOGQbuUBwjKyjR5qBdpYl1FJBi&#10;DkxF1pEzQ45GNPXrMTFlWQ5xOBx0n0CSAs8t1EQ/rXCvG4wO/OBrHJESMS4Y4A12IFG8IcykRgme&#10;wrMzIRJEwx7NJNSDYibyNrfns0iMUyarZ68KYiK/TTByHHIqDkq1HBKxYxCFQxKeRWLTD/FQILFl&#10;nILhWGqeytbpCZRiML3kd8kODxJAcU+LACRnIs0R9gMa3dkXW+V1pdVIO7uPJohXb9P3ldEQ3ibK&#10;Qmgce5DL21GUDWONa++D4yijENwvY8mx2UflA0VoYyMC+x1frLRtMJ/lQSsOzrAjQg6lR20e9ZEC&#10;MEjhtPuknhOpvqBXTf6varszIoryFzeY6sB83Qt0ps2Q5dw57qovRbWuAiGfsoLdYDNnxVISiZYl&#10;sKqWkdm6ysKiCUuKkkhI4KKx3XIpF2nKaUdC7ho6kpFgVdsnQ1CAAzNq5b8OOXN5Q4/RO7LsJSRV&#10;S0uljYWZoK0zGbl5h46CG3hUHMzii/tgMtOD+V6Kzsv+6ck/wyChw+Fz2dVQCalvwI2Fe9LokMK0&#10;QH2NLeD84uDtVHiPS1VfCn5bRe6LWoCcMz9JWj3c8XX6FpHdaUK7brCC8wZOL6ijbBIbmD5z2NmV&#10;wL54Bs+zPKOjchKd5MhdVvmyf7H8tgiXcWfw3I6v+yEORiO1uCDtZtyaHxcWtvziAYncpip/uVD1&#10;cT3wzK9Sqr/2aXjlV+kFXzheNWzhCT8JCmDLnR4m8ZixlL6Lm5rxk2J6OSTKGBg8iUTlqXEwMlyo&#10;UMdm50z2Pg8uaPl4JjVHHE0r2+ysIN4ZjkJgNI8yORMdB0FpmlsWirPCeA5O83jsyDdhi5jYGn1d&#10;AwSzNGzw4kQTOzWXnIkI7CseoEpYtBv8oqJxi5RnpUoOiYxBnoepa4+OzTZYtC0Er3vEk/rJ9tIJ&#10;Pvk0LzbXlUrLey0JaG7iGih6Mkl4DommHJEk4QckEmKUchpGK6qfnxABrbM3ulYf+RUVGPO05yt7&#10;XDPgw+d7VuEkNFSgMxE8geaG14T9QAnoYXitLr9bQ9SV1O9PVl9zra7Ei9UXDnu+rn4KfPj+h6uv&#10;oSKHJuE5JJp2RJKEH5BopQMH1VXV708oMbMoYbcnXpGCqaMhCMRZJZ9mYlUaLco89MRQF+r6GENd&#10;6B7GGOoC66mI/J4Y6sIYQ4ihLgpLevW48ERmjw+0MCbgS//hFzDL5rfiyoXqcYBUjh5iqPWogNe+&#10;aPC/rVJPeg/9F+0dH9ZAw2MDe5tr5SkXKEfYFgd+fbjzarGEP6s/rCzhizHUmyxjszlySG7KiwVb&#10;4cbYUIyhVniVav7b/V/cf3opnPGFq2suzgt4ciYaLMRQK5LACzeGtUfLPmWRGKfEGOptUGDK8y76&#10;+G/sQMGWQyJ2jNIwCc8ieRxh1LmZGENda5eDjbOzSDh9y9hV2bcP5g19NLDdlotVVEkklHEsR96R&#10;0DyOUeKVLYq6aLKwYDx0l0AUU2HMKBa5vD0xVInYGJBdFMYMhv7CbAoL53LLtagTR3BNFh7VCTVy&#10;uPqHM+yJoeroW0kptc7UrJOaIYY6U/SPVUV7QeL/koGlSvcQQ9URPrbLqAxR4VYql1uu+lJU60Ie&#10;Ii11JkarJBItS/A9tYwxhiqadMVQReAYQ8XtC9umKx5dSytxV1cMdaGYiDFUnZWPMdRFQcQ++4Hx&#10;t1D5sqjOwg65VMJr8w5dJoTOm4WIh46Ih3M3qJRgeLPjDA9CpArU+mCEDJUYQ11ZFN0VQ10Vfwsx&#10;1FVZ/BBDrfCeGGp9KcRQK/IQQ8WtW8Z1PTHUOv0QQ63LFWKouGrJkPTEUFfth7CzK4FDDHVlF5ah&#10;J4aKZvz8Mm8wqGlBOGw4qMcB4TmxUvdDiKEuNFJjDLUei6tBUS935TZJ/h5cJD3wxK9aeHioZDjN&#10;FH7hV9UXQgx1UW+MEEPVKR2eP0muFFM/oUkFTp8zjheEwMIKCsZWc0gkOWJAVgwXY6grDZuxJ4aq&#10;fVWqSFpprv0ZY6gV3hNDXbE1tkhiiKFKnMUYqtyxrhiqDkXGGOqqngTmODdSnt5ETwy1EjiaVsrm&#10;B79oYRKrK4ZaWTWIp8rawbao8LpH/D58sr1utKCrHfVid91p9YUAUgqc43oNVZLRLUMm4VkkFrU8&#10;IknBs0io4UN5iU7IRIccN/OZjDcjOImEGt6fIxnuCsp4O+HOVJzFapIYwFVl80aSUzCHorA7M+k9&#10;sZE78zLBDLvTPAuO+J1nDzuMMyT7GGZx2nO8UHWbMSnJgGPE5rV3ePqwrI1zvKOC0lMbCvWjLTcD&#10;7ngjRQmUApA7/dEqwJXFdTJ8vPCwJIMySSRKVpsw2RelHnaPSJh3tjhKFom9FEIW+OIUPIUEfouZ&#10;jAFJFt6HBJ/eErgieQHvQxJdMc1wCLHXCu/xkupLsG2c4GWGjj6EGALfQsL3mBt3Ou6xGv2umplg&#10;hkgGdNXV48onE6TYk24m2ifmQ+wzQXCySDj2okjSRKUQcTAGh3Efl0cu7wmFoPioJBL5b+EYgg5m&#10;xgMVd/mHJxa5twtol1d9ZITcl4XByAPh/x7P9T7QtYrSvNYxhf0juLUYSC4XXzrs+Bw8h0QmU0SS&#10;hB+QyAlS8DtaZPr93IobqXtmc3mA4bkVp2qD2fvYqgKbwXTNtlGp+twRoRoZLJ9B9WaoIr/KRpuD&#10;RURFT/BhhR5yLe2MOBSLkOdQ2cnqa9y5l998PBM9W0i2bgt6WXNw91nBPlsReW4OjDjP8cSSGVxz&#10;iLMwBDD3FPvQ7ilRyZYOjNHO3lrZblQDeRarLs7NgUMt/uS4bl1YQhaTcyiNGdJCkLy0WHip0oGL&#10;VxKK7dRIh9K/Mo2BJC1d+9qhyACl9V8LJi/houc8BrJl8UXbocjEJVrTgrkfCE7RoXSRL1srDKWy&#10;uNIJscFQGtaUp0sPToBzGBgWLCmMdijqu9J9yoHNVi1tVbMYJjpAfEeUzoFTc5h4qDEwTem5Ysvh&#10;6FBSGxvYqohzGLjjSpSvXQ4mYVcfHxixLzeqWYAyhaH079ne8VKjVHpvYOvKocXTiaLVgrk5DEz5&#10;rL5TUGmvtGEIBbyMea0GTmEoVRKPhuKOW0NOlrbDagIxhUHr7b0YGB8bWmteqjViRW2JRmVZlT5x&#10;Ccs2VGberfSYa6C04Xokkran/3pxqZepgnYIbb4StAKRzt4M5NfPHRKbyzB7N5VLhjuD28Xh2l87&#10;fG0SEXePtwOR4Ff/9aUtZ6F4qcLL0rZUVm/vBAuePFt6nDfULYX59nTetFDxcRiq9GW1oZxKG0mC&#10;cr1Cdg46FFjapTcfO1LhlAscWjAVzrVDaY50C68W6dFemnhe4epNC4nSuSNsLKkcDDDJcHJkRUzl&#10;sRvB3myUGW1m9tFk1u/nZjauCd/IU9LuRofnZnZ93tvTEw380qWrocHE0NzSEf3TUbzSjqsdiqG5&#10;0lqrBTOyM5vFlBKjE0yiwpKzl0QTiT/7SPSVlcS4s54r5Gng/zJKXOFWbBh8mkw3Ccy+yan6/BOc&#10;msOVNRdxKCbRZ494ZoVTzxzmavy7jTuTYcLizTyN2UOHmSGKQNJZXpBngOIilDXt4aUZKavtHc+W&#10;Mxlg8UxcwXUveNr6v4zS9R2fgauI/XEpzWG146cpSms5gvGlxSu9Lpv9IDqUlBbAOQyyUHxARgyw&#10;WtxFMkm8VHpdZjFcyZalYXDzsWJiWlnCoP3QY3xpa8WhuBEjYu7pnjlIPITlkDBZ/eJNlEs9dJgo&#10;4gJJJRADA0i29vBSFdOeLatQ90xcwWf74fTasGt1b3NaZX/eeaVXJuYWSISWbeTCdBjn14F6zrvD&#10;V4b9gjt8lf3Z4Q5fGaYkPSozw7AtIqi0+m7noD1nB85T+/QKc3UbymecrwzalpsYWgxyRwycw8Bg&#10;chyKsec1IKYYLTl9IM5hgHP+aDkYd4+Lx2xHT1jiynhcIOnM2xRCPGSm/7d08FKx9jet4tlyppVY&#10;mjE3dNjB2gtej/i/qFU0lDdFKmIwj8NAzWh+eIoOdTl8AUFdvEBp0aHDH7uSpIvvVHUlA5QmrM0c&#10;rrLJOkLjV7Ll7GNZVzLx7JO70ioEp1ZJWysOxY0YEcs06pkDxUNcDgqTuHiSSz10kIgLJJVADAwg&#10;2drBS1VMe7asQt0zcQV3axVVgs61ku25r1L2dNmnfF4SOQdO8UcdykuCHDiJgZ5ExJAB5zBo53mv&#10;WvWiIZ+yUozOHfZlURtGB+egqzAxuDCqi+/xhlZlSLwxvLJQafbBpVWpGePX1CqtcqwsFSJe0nmT&#10;2Zh5BzMn1BGgvNXEifO31PI0eKVKzPV4dDd85AM63BiuCnS4iS9sTVOrdGdZWhjqTqESvFIldnvm&#10;cJeM9ULlrmyhp8OdptFZ/OSR7r2Ll3yg+E5zavahoTtrt+cOS/GOcN5mP3iT8M5TZCGGUsEdElnv&#10;lJNYjZLNgVOUvsmO8xhy4C4MIdsmDM/BfRh8dOCG6i8jj7Pj1IqZKjmHgTELckcVDzpf7EtcbuK8&#10;jkq2m+IuYSgeQSgnOBsGuLHgnDnS3Bx4wGb2bWduEAu2Sh4DHe6edOtNVo23UHRurFz81M4Bf26I&#10;O+TSDYnc7R3fc7mCfVC8gjvi63on7LgcOEUHnXwLGHLgLgyLXyVheA7uw+CzKFL55WRvQ2ldjNET&#10;8VNVdthxqwKyfpvo2EK5yw2Ic3NgUprvaE9Xe8nnCJYqTPLRsqVGLZ0lsNDdCZKvgju4Ve8EXsqB&#10;U6skWz1ioIHwHHzAoDyGeccae/cD9Pt5nkOFffs7z30HtJK11HNwHrLwwxQemRr7YN66z8KzSCzk&#10;UgLJze4CkhQ8iUS+lvciUDJjtk5wI9BbmA5Mhx+BRsWiiXMkamO4YHaiix0djw5VgX55ptgOgyG9&#10;WHRIcCaQjJV3sy1vbrnUTo2VVRIiKN3nsng7dlAlzNzhUKAHjmnKORQZjdSgwaVAYx7SqiPThS4/&#10;mr6nibpwxWVUnzHCc8s1wozZ1t4IWZdrUs2XT3fhFBpp2DMTleTEZVEYPPh4YC5+VK1Q9Hvc/2Wi&#10;q3Ytnb13gUaB5C7vXgDO5e3wL/CSLFgXEQbc9k/wMHZ4h4tRXwqiPAtPEl7FLd7NQB93Fr08h/ch&#10;CYq1InkB70TinQ300WNiwo6WV9ZWf70ed6O2HQzWT22JF2wWbF7ukw77By/Z2h8Gk7T1Pgc69DMY&#10;YpZRcrmUffZeBwajJR+qC8upus3C74iMQkByn3jHA3DbdMHzANx2/NKjT+pL3qrGYLbjy6XHrVqu&#10;8A57rg4WN6MGewHP0aTcDVLWOA6WhPchCd4GdDllV1jGAO9E4v2QajAERwRwx3VJJNXn8ATWnQ5x&#10;/6hSmfAcEl3WEQe7sAjzWA2tfZL3R/BhdLnDPtEZrSggK7yHhfVS5K4kPLVc8gICjhz4gEFeh6l2&#10;DbJ7GPr93CvBfa1uSwHFC7ekGIyP9mASfpjDQyOlDhb2WhKeRcLE+AFJCp5EQp1UrnFthexe2+J9&#10;orkWhmyudw7JVXW5vroFjoSpkVCTgmuAabx05Jxx8upkMGrjUNeM45GsRjavLzkTatE1FJxeWT9W&#10;8iztMl6ZDeLy5pBMTCazNKZaPBOMkI21o5HPs7EsSkgi4dm70jit/eKJNCl91h7CezqXaLAYI0jC&#10;czO5qvDRsp51uZLwPiSlcUS7LELyAt6JxFcf4U4Umls+dLbvk47qUbxEiRrs6asYAmaXmyFbE64G&#10;z81E1RN8qdJkpj8aSuhx5xFZ2z4qiUS6wUzaHQnd99LDq51JOcu27Z+O4kLcN8UKSV+OMZSTYGWw&#10;0uTDIWHz3hLXBDw5k3rKxmVUcNCTZlXgugq3Yx9JJHJLwj7RYHGTBngOifR1HCwJPyCRicDogIah&#10;fYLH9cAzG0K5z2RZRO3SFCeh5j4v4IdJPLQh6mAh6piEJ5HQG4yhzTUHzyJRnMdlJ9CWis5zUIo1&#10;BWFnmZJIeJI6xklXEdfXHeCSApMoPXUYeIlfHLaIrq2Pxz+LTVGEAEOeyZkwe1EkSys5dCd7DAjq&#10;vvmugKAaWsbBlJUMlQY4z8IYRE9AUFfjxoCgbtKNAcEb9RjPuOaWS1f5lkvA2+W6KXWMSJeHm7Is&#10;PfbSAvim1JGphqpKbgo+WQXnA3j+zAMuv2FpZ4jJJeHJ5XqcQBpuOXgfkiUkM4TkBbwTifVO2Nee&#10;M1ksM/IAvmnkTiQIp7VctKpIdvD+j/rqMgCSQ7IyabEEg2SlQV/ydQ45TTHWPCaRqGgrRBdX7RML&#10;YdblWpWu6Qltrgycx2jKyqt3QjkFUj/ajB3WkLoBlqbYblnoq4aaz0GN/UrDy/SOl3KKkSwlwpdI&#10;eB0xRy1GBxKGMIPHtqpEI+oZwe20YZLwMneDWBGSEMuBWqatbc/nkJQg7GY7ByRJ+AGJzDbZddLi&#10;1UTTA0/surtCeFYmBhwvYkN3OAqbuvZ1ZbhaNAU/TOKhXafBriGikoQnkXDqByQ5+AGJVpvkOK6s&#10;HnhGDq1ipeErcoh+YRdU7M/hh0k8JgeRxF0gJC/gSSSc+mGwHPyARKstchxWVg+ckwM9IJg3g6lv&#10;Aus5OfYX/DEZwJlY8MVHgDMq0SF28RIlok9PIdGkHJgzigE35D0FeXiJDolXhchaCYlzVACnlrJz&#10;EgdyPGIsvGS+eTiGi2yWScpwJAJwPZ/XUihQ4Bf7oxqA07vxJztwqY/0bV5LoW80xZ8PcQDOEIc/&#10;oAI4oxIdwZrxQptmQUqxUeqAk4tMr8o8AZzIrTQ9R5MLbaBgGmIwW67Fm5I73OzYTiQ+BozByNre&#10;UdlnAvM/azngJWZeLYzULIvRqlTTuWWUKWk0TM6EdumhfYx8BdvZFfnAc12M3uWQiFXD2TiwsM0k&#10;HKVDQpbxyY5jeXUzHgarR/9cES4kBF2xajr4Pe7/MjEM2UWW9Cl3wEmTuBnBCFuIEM5lmvAqFyql&#10;hi2Bk/AcTUYmyULwchwZhwxnMQGnyWi1GUkktJhLh2I3E4VtfUsNFC6Q8D0dL1QPVm5aaZGoQccK&#10;JeXgpAk1dW4mlVt8TRK4znZ8yF+BhcldHfkriG4T9XEwSeGQv0KLSe6fjoo3LLGx8GqB47qzL9on&#10;vqwOzX/4URZdyy3XhXG/4pe1a39h0LFEOB2c1SRMRSWR0CYKp1jRZIWCE26vQyJ4l6jXS/7gXu0s&#10;G/qfoQhRGjOfHcVL0vFhWdSaxzf0AE2M8D2dJNCpli/5lh5gCBoS/rgQuIt2V0c8EIYBB/PVhmBt&#10;IvducN0nPZFNbDoiiYMpNBHEjaQzGxzmuKtcsGuBXReCQJdxI3CIeEJ20e6y/ZNDgqkYEn8eeoS4&#10;NbjvNgC4GEUWvVdT/i8qrdrf0eepRhWphZgU4DZzsvZhJvI8qk6MXoYeeOKajNS+e8DmhWuiF+Y4&#10;CXGv77yP65Dtq2ZbwcMkHq+U6pQjOXTOL7ReqzW3iF1A0uSQlLtujLH8Zq+tkhDjasVW7XtkWyqJ&#10;RK5J2AqT/KKwdSYtl8GTSFhhGjIMaD1HrvbpDfAbadJj0F+Vp/J9N9HLVPvTq/0rNXJP4zJ0hTI1&#10;XlrDtGuv3P7s81e42Ziy0TJ3ueW6KlVkXkDVvKWh2cYQvt5iFHzpsVD1UrkVwc2ESF7AszOxL17N&#10;GGxmQvstcFctOOhRJbXzjRmDOxLVNdvVcg3cuK7LrrtSL4WwDVhVplVYRg9PLpfM2mCJXuVMWX/D&#10;fSaCm0WbRcLpB/V+pV4KzXcwQxNDqzUDziGZqPxCkROcBtuM0dae6Bd10UT1/NHcVWeeaB6Xa9DK&#10;/iE8ORPWNR8G09oH41Ft79iiModkVEGNiYlKYBW0hxoydGc1d5GuTBKJDPqonOTgBruu3KizLVcN&#10;0npd6P+SDcG4GXtl7jNhU9zodUN4GRKrLUvOhC8dfFIiL/cUtTJNM+nqsKlDN6EVLAwGW5YluJGi&#10;yd79zy+Q/0vLRc8sRpvEEOyDvC+j0oNQ25hhbrkm7uwluCaTSvMPhoRJiHJhWx6JMm7Bk5sYMF2C&#10;jtfm7an/h4HKL4O/0xJ4YuJyQdmWgyvO1pGJg4wy27lcbOgGo7USPbmJJatMA+ZocuXJ13KJXotE&#10;0nbxJXdVCvccYakvhYY4gNMkwoxa5BMz2T1V8zDiaKz5FoO7cRfCkhNDwmz+kFuuSWnusLMnHYn0&#10;lR24XJ5upFn7SSSy6v39jxiM4fgIl3Fn8CQSJRDiYDJTQ/heVv3uAHlBIh9KAuXgL+mBJ06WGqnu&#10;7e9eOFn1hZDnqRp2CPuTFZAlnwyGS66UAkpxU7MRaul547iXXj3hSSSUHIfBpJEPQoBK0WaeQ3Kt&#10;QXKvl+pm9wcVsT+ZHjD3ModEpeCxz3oVZ8GonGgeLz1BwYmuSegiCMFMpRjiEPX0pJXzJ2eiTrfB&#10;tJrIELHB/AQ9VQwVqv0kEnUFi+KJEZVoW1SWP6sIPm3gOJZ29ZvfhvyVcf+L7VXkdfNC1f5JeG4B&#10;NFio3h+T8F4kPoZRGqBstqW5rHWGusSe3mcOSdGV22BBGtUKYIRaW0GxKNtg8CQSBerjYMzVhvJ1&#10;WIl0szpq4fESrWFfWA8Oor1/gP89SMiO0ZUVm76AJ5dLM/FFQJghZxLh3HalzVhaQ1QCQ0E7Aosh&#10;DnAlYTqs51maIAxWTp1vXBdEXumPZfCOVF654cVe8qxaglMbPAQa1Tl67Qkil9LjbTDz5OumK/3T&#10;N7hFXRo4ucsUbY7wpan/NlgwAWZldMzRa5AYQyxmPmaR0CIziXoYLF5cIOSE55DUNpoBSRLeicQX&#10;MOEwuS1jOD8Q4TkkdfoBSRLeh+RqvawPNHkBTyKhZjwMloP3IYlrL834Ap5DImkbB0vCD0hk5tMP&#10;qMNUm0MPPPEDVtUj1UDyC0Nl0SGIqMZz8MMkvGujqXCwUMA4CvkLeA6Jph4HS8IPSLTanIOGKQ2M&#10;Tb3pgSfk0ATJIsDxghwVS9jnSfhhEg/JocGimZCE55Bo6hFJEn5AotUOLLWvrB54Qg4VtO8Bvlfk&#10;oEMarkYYdXQotI4ZS1C8qM6eHm2IEEsV+gTEivhCGSxcCDGujG51lQTosEa4qGK8sYgh5rj3o0Pb&#10;Rx3I8ZCxbuoBFEoCbjq0G5JFOgvTVRJwYwA1piLvsKy35QrI7zT7e/qqjveaWvTxtbvqDkLq5a5A&#10;krnoueW684hQJPCd5YCx2PSusr+OE8DjnXo1sOp0qQdr3Ax3eIddur8ULOmKHBZ4a95rJnu4yvOT&#10;/4tbXssSbn4YtYzhoohRNOm5dAK5H+Y7USPlvljVX8GMF3f13J0xilXDPRyjWDtmqrRPutJe2nSH&#10;weSQ+P4Mo3Z810wkPsI1IGhIRScxLKNkVxdNJAgjgSU4I0NICndxVxXpgVWrzgisXeFn++Q8mnSj&#10;F5dWQ/sLPgZzU9gsJB1vyuT0lCTeaDqGKyHGGyvQYu3dTbVDkMdmEPld6//iHr7pZJE/eolLEh9H&#10;k27ajh2XaiDzRi85ZGZuSlGHMw91e/UUId8UVIiDMccUK6DVDLznepDxDmNzc8WDdX7niYBwQQgE&#10;C+2PHprcWZsdCXynvx8Z4s74QOnrnya8bqCOYee7Ttod5Cpncra9/vKnn97/04f/+OPH3/+uOqp1&#10;MMTHnPBWRDikT+tMLLOZ1NpaFsuE7Mi1jIHrKk2sTCeJhAQOpx8rQxRH1s2Q8pZHMnNIbireCqXs&#10;Yu14qEX7pOfOEGxGWrEhK6ZNGm4NGbXj+2ZC8RGXReImLmOVXT00qYIwELgKzsAQVQr3cFcV6YFV&#10;qwoIrF3hZ/vkVA1NFzLs7kI994amC++wCQGPLDzFlPtgXqdl4VkkFpQNnTKAJAXPImEOyNd8TYNy&#10;977SEHAT9rwrPIdkkNfjI8KTDtyUJmWNoJjQr5JeUj5KP6GDLF9yxRmAc2/7gk1UpbDMEe8BeXIm&#10;4ODNf/NlJqiVNdMg+HuTTir2OI/ohMsv857oVDsKe+dxUsfIHudxqiXdfq8i/8hltL0qzQG4Y5Tc&#10;cqEq1pbLJzUmFKwa3NdTAE5adXTKwEu29os316aRJ0gW3ymjgeejBvWlECnKwnPLpb7UEUkS3ock&#10;dMSYhOQFvBOJP964I/GdMhp4vhZsfwniwokPVQ8Mzv7A88wBdRRVYAcbS4ZTCYAriuZ88F0SmPGT&#10;XK7aMtrl5SCjuE/82UrINAdPIoE42WRXHIymcuiUAenMHd9hp+MlCkjfKQN6wwYLRg7gWsaNVsmZ&#10;UDmFThnQjKRVIPxF4aWO+jwMZlKYlYNVEKp96+Kj33ieM7FDhLmZ6KW445PwJBLaUAckOfgBiYLY&#10;5i4/MNH0wHmUe5rksBszAscLu25/wW9qVeuUW85aITDR8+fB0cMkHnn+k/rDh2aAgNt+C/7yNOmQ&#10;ojFcEonagsJHc1/MBNTqa8EmFT2tPdxbK92DbFQJa2kq45Azjk94cibMHh8GU9ghImFN5moflUSi&#10;WIVNv+7DiZudxX4Vrqq20lAOM8whqUcfsCXaZannLnyPADCXojcd+krXKK6+6BaDmeQI3SEbeIeF&#10;qsEW35kTg5kpFgrOAKdS7DG5dHJq8f4yTkRQBvpaBsCJxCoQczRRxW8os8eG50z8ETsICEr/jmJc&#10;vMQv9nWygPOL/eEoXCxBPdZxgh47mKrEVxpCfGgmQRKwDmux6qXkcjGFtPjCiAmWyqb2Q8HmNOkk&#10;ccepHty3weWK3gF3fOiMP42gRbE52Bo+N5NR9lv0fxDd3gbz0UxUA8sB6NjxeqnUXbU7XshnCxxW&#10;saKZzLa8yZlwWcJ5vbqMM1yXFrlo0nNYEASWI+tlFxbf7D1/7gKq15aLDRdzM6mXnfgDnGBtY4jo&#10;+E46RGg0TCLhDo6D1YMEAblkWtdMrlBKmxkcluUqB9eXp+FgCZcRvmxen7A+PhK4FBRtyP2pnqme&#10;xeyoksZLNOh9Y46pFnX5oxIVXqpf8zOhQc+X6n645uA5wmuwGeKl3Q9qYh6SzNAn9DJq2ZE35/xf&#10;tFNVuT6HoIP0xhxVQF3ejjhB5fvDYAyrRDgiiBtDGDy3XHXTHQYzpTVHzShutJknkVA5zTDyWppM&#10;amPrTxPARiY3mkBNIpGDG1h1UnAu+Ko7PJ/Pw5dR/YYAkb44uvb1zJjZacmZMAK4YF+45WLRRegy&#10;BUOCH9XlOvAcUjgbtptEwXWoJz96XAdJ1XDKbboqpWZ1urskUKa4I4UAqUrTx6Kv+2AMsEbvWiff&#10;S4l6XnYpdgMGaGly5QmsxR9RrQKVZy5zhL+KJjib4pDIJPI5eTCdzNQOFr7qsKA/mDZd6VEdDHHB&#10;rT1FciZyz3yTLXyxySh6VDutaCOzq04SiU5CWZhkH4yaMZwLx941A4NHvJNI6tmDQBPWIqwhb3NV&#10;JMTi1Ekkj49mYzOacgo1LdjxZnf1FMhU1+EwmCr5o0vBuAqrdnIzQRR7U0IxQIREDOFeLU9Uvz3n&#10;wmHz0mUOmw61G4YkJIFQp2jwnvyMrPoYFBgphdfA2qju3ZCwed1huRTJkglxiFrpgfNQF61wdKrT&#10;fn8e6arPm6SrG8RWb7gE6WvCBOm6fPyUm2O4+MWgvr/7XnI8cXeH052Vu5Sudx8cYFLr7s0JBnHu&#10;HZaJ2vfdvfWjpOHdW8MDzXqCDxR+ZCri8o+NK+JQ9HVKLV8j6QeGBO4dcQc0+DUMXp6P3FilirDB&#10;oARfqUjMEgG9mQyDjwONPBgF4rs9raZMYCSxqV8Z/xcrpVhvCKb030uDayiNwdp5VDiEenoieqk0&#10;Xn002At4iuLouLOt1lAStg6JCSHkQgLcVCIy2Bs8iUQvhcIYRpFxZaxHQtWHqwLzSAbsiuJQ6CXJ&#10;jyw8NZOyGkTirF1cV0G4D3E28Dx3KSG53aTb0KTCB59jQtd10tC8yNxMKN+AxO0H3LLzeIbUAFre&#10;HBLq1+0qzHYmjCID7paR6SqBUzhobeodkb0SxNf9UB1iFnnfln2P8Y7b7AyPAOxOnTOEiXXNU5zH&#10;99Fi2IXFpBGH0GtN5DZHNLVKbGy43QDdEkIb0yrjtXjQqRuXF2bA0zkMeser74rYF46w0AVZ0w7J&#10;zg1eUq3NHFhOixu3PXloN0Dgp+dAT3678bvBIAYoTRUbME0otFTM85LYsjQVboZiMB5Duakx6Axw&#10;fg5KLCPx7JgJl4UbUS9Bi4sUpc8kPilHbC36BRNq5qH23UDuHBC1Ad+u50wjYWQBL23Tr9xJcwQl&#10;WU7LqmIB8PzWww1TXBa7GrsikVC9+IhlFbalT2t6JnUwqNt2uRjwB80c3QcG9mFH5AvB1GUeLzlt&#10;qoINwD1NeO4H8PweVP9dWD6eu2hEA+5pUreUme857qqGOk5Ot8sl2XoJcFaFAHkHC9f9EAajKYpl&#10;cbSiwd64M94ylENEC5HScHd+9Pu5w6TdXnrjG2c9d5jq8746W0p0sF1QGZp95mDpaXg/Af+XTUOd&#10;kKE3PO9UDRH2vxR+MXzSu0Pk5kv1iyV3S/1SywYyXUrxYRoJa6AgBj3jamuWMsoWibYmpE8eCYPa&#10;8NT8F0uSBdUlfwvP5/0CtbrGS45Bh2pFgDjtTCpNrNlzbgsyeSoFXWnC1g+Ae+SVuzqCoZVTvWCq&#10;fO0tiR18QvXTYuqxOuby5Z9vLMXH72Zgae45cGp5NZS8zojiFfz/IyTyFy7e85mYeon+9sT2HYy2&#10;5CbCbXUHCzSMrZKeO2IKLZjRWYZhchjoRUSKs+Li7qMVquroCXyooCbEUK7MYYeIyxVmcbHAe4I3&#10;VxZ+xaEoRRlpEqddtaYdfvyVgdxyfXiz4AqTg9SOEFfGgwE/2bEPjgldq571FUm6xjYaGLMED0Mu&#10;KXLPLNeB3eWUwczINpS8s2J2uMXPk0gUE/BlG3UwRjdEkQhPIdHV2fCjnKmUhfchgU3kCA9Zb37i&#10;c3gfklJ/2nKXkFx8WLXOsMc52l+CendIFE72RtMVtuE2w0uHqXFF0pEvheWy2GfkOskAwPNGkyoE&#10;8JKzW1QyAlI51taN5YKnaKIiMb0kVlX7x4hc7esAl6b1VqX/i8kFGU0X5MQbmqj8E5vRiZWp+i01&#10;seCH9X8RiWxJErLORKFG+ow7nGGwS0dnPVUIwGR0FpiqZeHHO4Zo4HkBWV8KOz4LTxFeFlMUK1n4&#10;AYm8H3lHFougusXT+v3cO9K5cX0SXnpuxZWCz20bhoXKwg9zeMRXdbDBH9PMwpNIFMuKSHLwHJI9&#10;tO0EyqIdEmK1i6KThOeQsG17jNaWIxiklZNapWSJ8E1ep5DMNcjrI4KlGHEbrNxU1AiaWZHcclMR&#10;4DkkLCaEZ+yWS5fRwzlzMkCX18PT65hJdd188nOWhikpwXYmgpdjFOmZ1Jd8wHAW8osPDteZ9ETA&#10;6rKE4FS5E3yjycXX61ealHt80jNhPwIYnE67iyGYy5WML3VvBfe9wwQuV1nbO04nqa9msL2Xv8OM&#10;X2CSbhh84m1hnDIkl0v9i61fx2Hp0guwfUkLkoWnNogGu/k8bA6cwiCNEDDkwAcM0kCmoTRIo230&#10;wLmK0g28MJdkyL1QUczR64VKiJqsxgPN/lZnVdhXG/sdJvFQRbHGBy8593nhwQjAncxVu9fTSOdD&#10;JDwejdi7k0il15axmnlOdYY8yQZTSUvlh/V/GVHK5dw2mE+TqNstopVuVzbwbRlTy1Vfwvzd2gv5&#10;YBLpMBOwSlpS1WUZfBi9XDGzzbAcdGwJX8NuHdqjEjiEPEuzKUNi1Qh1JsoEDeb9ppZLDWcRVnYy&#10;V612Afdctxcc5FVUOZprXxwGYzDpgJz1j1DC+dRc6ZjycFkY9YiR49J5xZ7vcHYWVgOBiTyBJZIj&#10;Q7D+EfHWvNlQWk7bl1lYuRKYlWiITnuxIvjF8s85wu8v+R0v5MHZkeDv2/FVvQXxUROm/vbERfbi&#10;xVg7NxPWMUEQuqjPohRAFJy7w9ohhdn2CKLer73M65BueqBLvEg8V0P3wWwC6kWswXMttGmTwi9B&#10;kWbhqUXecurGlD5QnP8hi0ci9IAn+UMOj3I3cdGS8BwS+dsRSRLeh0S2jsQF7k6lRAwe9OGHHB5d&#10;EHvAk/6hD8895ix5sP0FPIuEIYwDkhQ8iaT62D66C21Asz9SJv6Qw6O7aA+USf+QwnOHK1BEQCBA&#10;DpzEYIbCAUMG3IUhLtWdzPUKnkNCCX4YLAk/IJHvYnb0UUHo93OlgnJiBZtq6dwLtVKjwYM/cYih&#10;yL2D75KCjkUS0RY8OczDq0CbzTBp6UMN66DT2jFGgxCMSug6orvDlYcojsMx86bSiipAr/Tl8UPe&#10;y0F/Ji2PN27QFEWf7Q13/KA3OjIIqMmSHxCqktI/5OhTrvs1ze8LVVBdqPxRKPCYGTdBlXHewoLi&#10;1fJ4N3Co6b5YOHtVTQGLYHPzucr4xG3KrZMGbuYHhEpR0KeGMfP+CGrpSJ/RPMudrdgMNEZRwdcK&#10;eXd4C9gm+mxfjbtvR1yq7CZaZUG5NzkbnRt0WRFKY13AAeKBoqU0+mq8XlS0yJExiuboM9WaUx/Q&#10;RIWPhvPF7oNu8IO/mPfh4alp/3hfDj/IXfU57P2HHkerecuXIewfECK0mA8/gKGd7LqRDMEVGdBo&#10;zTbwJTKIJOLF4tBJPKr3CvUCYBATY6G+APrC2LonUAvm5WAmQvbNQ24PoVrsHWOOnpILbFFbmcNg&#10;3PCh6AISgoaI5bJz63Wlp11MjHZ3VLF28ZEqMDEFbmkimd6es8I/rAetK6Z7beAPupgFFAjVdTET&#10;83i025m43/HwaCw8QueHD6VNoimQk/nIfJFBcDRV9MQTA0d3STcBihcGjpoaIOjpYl+Q99ow/swf&#10;VDtnwoLfJAPUDeML5WCRUHIfqm7JzKqWSeJBWGhb5zicOgggeOEnqhYCYI0OwakDoTGzj40uxvVR&#10;5N34PAsXi77kgAe01BNPOGBVEI5eFVbtBQeU5ubbikU/LP1DjjJ1uJBmRvJRqsanhg8/ZPHIVDsM&#10;l/whh2fh/XRwcLzGX+oprqBqlnpWrMe0KVfsGn3icKpvHa0otgqhGpkvZw/zMk1BT576qcOVjhQm&#10;uqLwrjKqI+mME38ycc1x2fHU3LZPOw+zJE5P3hkSV6aNTzzjB3logXD1h57U8z5cPKxSPyCaNnU+&#10;PdlnrII0VTDV6oKG/DOy9xLhHQlovKV0ts9AIw/BrK4dJ650K71bC390mTblUmN7yZvlpWPjBvep&#10;Y2Rg+HzPCZ9ymffDwWjchkQ0BI4WrCMTjbekEO2tujDpH3ICR8PFQGoSnkRC/XFAkoMfkEhlUak9&#10;UE964olSW/azRIpBvFBqi7zV6Acs9ZCPz2GAwWQ4dOSl8ZY4xiemh9I0rbAerArvKC7V3uko/UNi&#10;UpsyWBW1hOnis0t4Q/5TR3Yab8ka8+np5ocQmNjfsIPRBw54GO+qb4UM9Y4npKj3+UDf5pVaXR44&#10;muWtujfrgoYkJggn9dSRpt7JHfLUO4NAT/gPEL/15HcRg9PXBXO9MjwwejzaO/whSR/ZMIfhangz&#10;foBKFfvmU+MPYXlKS9ht/8QFLT1h+UOHw1badtpbQXlWkR8ZZK2RuB5jrTSZNTwWVar8tv/g89bQ&#10;HnyjK57SvOWNz/0HX6fbaKkeeVAuk9nmE8VLuX2ZP3gFvtZzCUbRHL+tqkwJ+Wsc9KtyNPC1zNWe&#10;OiIcr9VqR/GveP5BYWj/8IfjfE7PbMHRYfymLsULtXVjlOoedkMSfvy2B6dTBg0WVXwSnkTCqR+Q&#10;5OAHJLISaEccV1YPPDEjNMG9ZPsVOUS/sJcq9ufwwyQeqkINFhNllXte/pDEowho9PO1LEc84Y0D&#10;Hq25iCLure6gHnhClHu1U6o99IIq93qgxR+uHO4KtYc+S/hBQgTJx7RDfK+xvCCy72ox5FtdDHeW&#10;cvX0WxruNTDsamqQ5qHDEwyxmmnuSCuN5fRakdah7RJaFpmWDbHfsVQ42/NbtPRA+EeMjPyTkLgQ&#10;KxrjyAtzMxxLswZDsplmSSRyQn0eAWkshr59UwrEZghHADpLeYRN6NH6ul/AZYX7hjMjwv7Uhnae&#10;OTeXoToP2AONcYqMVNVSLorc/FA1iieF/8v25f5W7LZU8bz6ITsffnZIYjcf4L16/FBDfx2Mhti0&#10;rTY2T1g30ic2Y6q9O/aoqF8p/xfXTQwaBWPl3Jc/5NatBIQ3W4rxOhmNwMMFDdlG/EA3oKdDT/vW&#10;/+XsansbuXHwXwnyfRt7ZpLYQVOg7d4eDuiH/gVv4t0YSOzU9nZ7d7j/fs+M+FBDyvZQxX7YWByJ&#10;eqFIiqQoozQCQGXbei3GgLiTFJMvzbm8TOisaJPFQKGNyQxU0MGMh1Xn21V2VziXc4RLjVJPVlw2&#10;p+sDhjHawJAEXLgz3p5T9IYQMq1l+MF8SYL3puYlr57U0AHEoS63PRSrZHXZmvCTNVS02xHYX6IP&#10;8N1HBJtY3X1Jy7U/XWZATdamXMsrBJj9gaz84S6PJy1caJ9iFsh3bPam0YQ6L6auTy+eouInL7e7&#10;RgwCoZhJ0oyMItNbTR4ncE/hIi6TE3QPBVhfWa/ZDBNac2EZ25G1bDADQiUUYBm57uyahE7QWrQ5&#10;s3/AhoR8XUon7Bqa75IvIkQHqMWzr435UU3HZ3UCQCinJq0TuK8evs0yAMBuW0/JGBCnt1EtG0Q1&#10;6kCyhZHeMB7OQLqhHZw3RJAl6rFGmCwwXHonzDQVror8TqhFPNboN1pum+EJBELjb/IVBcejBwSb&#10;fgmEyG4XAO1ZjZzTbeKbU6uJzfOEHHwcjx6qLIfmwYycujyE8YtLRzc1+SUbN2Zt6uimNVwYnQpm&#10;l/EJvIOSpyLlE2qR8YPFjQQzOI4sgMvThJMQddcK81hmLEVzJEGX9ymTek3ip7zfnDU0b12X+mkE&#10;SIfXIEVzh7rkT5nlIWzbTqiGhyaDZxAPBHUSzOm8lBmLqibzMxIBCSbDknS03FZBA4HIBnE5oAAQ&#10;1ioqQ2g82G8kK4igEb0BQPL1qkkGnBnPWbNi0+Ls28+e2NYmtx1e7EzixxnjouWhOWj6x3iGNXX2&#10;pTgghqfLcRfWzhAGBPHQDy4ODaVRphDizbyzgBgevvZWNBcGBPFQxvn1wdMJpxfOA2J4Gj392Qsf&#10;TRhQ4KEsknN5Sf/84LywwqahSExGAyC5LKyQVppS3JkZwoBiIFYIy3A6ET0+cXiwPIok6cYlklB5&#10;gYQzrktSzC6/uLAmC54Ds1lmYk3uqcl7Ig4DipGcXBNtbg4z7Iih4zoZGfoEIIqH4qZoLggI4tH7&#10;C86k2T/nmLi2Pbo26hgVW00Mzx0VTxeT1qjjzaVgae54yKnJwYKnH9jtZMhRHty/MZPGY+P9wXxo&#10;G6wx0eo9c2d5aTTDgLdx9Y/kDh3AoTyuqNzSzTlPUdU6nlteUfZJ7PtntRKe5PCPrY8KaUmLnfGI&#10;uwFhF9bkfKsAWNuiJgzI/LQ+LhlhtDw2mDsJUfZIguV1SJCmxk4MsUwCavHYm2Z4/YQnExtilHdO&#10;zY0P1KLm62wHd9Tf5vbKFp5lUUqrMCrkAA7XXP+MSyJcewYEx+HOST2Lzds9ZYj3YfTPyAgeo5Pj&#10;kUgq63pstTLA/hIJd0/+0fssjESg1QmXkByA5sJ0KAiOR2+02bBVSB49M1lCzICKqEVtzm8etjZR&#10;HhsMBbxvLFheIKFOIWvCZuiHwff84oLW0atAA2HITQDUmtA6llwTd3egCQOKkZykMW3OM+EwoBYP&#10;VP8xLS/pkXTRang6lrSMKOSwFKCjHEcb42jA5TLyABvO2CxpKJ0nQHA8jNGRWirV6FzH5VW7N3uH&#10;t0jPCp7WJ8sd18p4NI+Kx0Nakw4Ex8NaXstV0p0CBPFwPEVzdAgWABqImvlAOUE8NJjLkyV53mh/&#10;LwD0gNc8ctIsJXgc/MCyyCWD7KTbuQOMVoMrOk7XC7pBvFa40IWzISPNQme6whGEWpSINmt0s6D9&#10;XZ4w0vEsdP/UmDEXeiUj3fEeNccOJH/cCUAy5cfoYEHTgOejYUAQDw81BZ4ooA5PId70RG81j4Ut&#10;DyJhVJENNgMNpLUpkNvySiTppkixzsvL5TEklGK+sWB5JRI3XYrkcnkQiexzP/fkzxPlBRJqLaLX&#10;sBneVcT3/OKSXiN6etQs3DK8xJmFo+XFKE7pNNpY8RwAsU8Conio1VmXAjoQBETx0PVpMwC0/btH&#10;Sa20wWEAJGWn6rmAmfgH/HsBMzGw+AcDcM9kwF71YoAGx9k90SJgQxozYS14UlSQQJpFlcC290z1&#10;8+JeDUB5mkgXe9gyJkzKY6vSuw0TEuMTaOeSTM1dYkd6BekUDr3hkegLj1ibkdaM1AJy0nTJAAAQ&#10;LbPm9YC2N4QlQrJaDACkZOu+BkDU6ZoHBFCLlJzOwWT6ANDwnVIPngCky0axtdHmnDKZ8UwBYnh8&#10;kJ92OwyoxAP2bOhA8UwBKvG4MKBW8bjnBMaA+KlmVAvq5piu9R1Fn1ge2WiEQtO5Ljge+plmuMRk&#10;8FDZd3fllEWAuQ02lyAeGmTcswJgX9w/KWolEwijAmreKkMmFu4f3xxNwL4DM1p5q94W6J/sS/wA&#10;h/DxvFGw+BwEkDhiMsxPd1nZbH8lrQO17Krq9Mx4GczTgQbIVr0wkAU/TJFmPAyndGk3RzpEutIf&#10;owPF49lLGBDC0yxpH3V44oACD7U96oOFZscPzquDbcPtlmMPL5u5cg33hCOeGCdl4Hg5XrFG76Sn&#10;JCHFQE4SWiN2e7BJ1xx9QX38n8EjEQ/QFQcWFcSjG8fmZEJKJtFjnCBn1qWam+xtK641r2LwJQ2v&#10;37RirKrSb+i99o0x75VH3knka9VImIrF5S5qOxr/+uCY8bJolreqZelovPCr3NE14emig36aOGAN&#10;mXVyVQTRmJbM8qNO9m5Nq4C8ZSwB21/CN3OtueVn2gGXPBAvp8l4JJwrRs46PbhtbJeBE+p8hK2u&#10;j3gVg3i43C7VXEv6QPIzN1ChNtjdhp4F8TAs2PmKWxK7j7dvuXUIiOHhRmQtlWvcuei2MU+35AN1&#10;4yFXKaanIR/yE9qQrVWtT0Mu6Zdb+aonEGXTVfSmXN+Tb5YsjuAz4JyV82xQW9vyMkfeexPialTD&#10;kmMGOFMABFniIyCFfgcF6UfD/nG/cMz+Wp6TkNvJAqiBIrtVBR65dOeTtINMRQF0XhkA6EapyBHf&#10;tmdyCGB70cNocwjkfVeTQ6DVF7bcLQ/sby4DTJVmQnWjVI2HMSd+ejrq4S5qtu3+Tg4B1KL3xy13&#10;p45rRyAdA7er6E3fUoPbzExPBhT8lxN6bt+duAcOquJxyKlBGYCFGq+PjkceB4vtH52eWQrhVv6r&#10;E+pyz+X1mVV4G1GLdhOoq+NutyQQOUZqB/KDcthhqBEbj5KvS4OfCd7lEMj752wOgVPro9uxaI4b&#10;uOgA+UFNKrvMXorpIUPyr9dB56U+NmhWwXkju/TL3ZLBegJRfl1Fb8r+3bWmLGJ646ohkFL2WE3v&#10;wjHrVja/mPwxFRNiiyFYzkfQBstjc83GkDzRxC8qlklAFA8tjwWeICCIByuWTgDO6q7Jx3BEHi+p&#10;5heryLqLd32TvdYvDYMK5bFc5R93EsZQ84huy0w9RWP02yXjekaipu0Ko/udHAkKJHJzzJ8X+XCM&#10;vBIcWxRWKuxPYUAQD8M7XHIYTCUlGBifWX1qMv3FrjBj1yd6XJLYVhM3eg6ZXzipMVCOcoNZ+arZ&#10;qqTbmQY0F2oSbcF5o/rhDa53DMGb2RhASBwy9qSZxfDc0gDmkgS1t8xN7u5dAsDtXJHFAryLfonk&#10;tdHp0VjYmU1NiBpiooXhKE4HWssZ9HJzU4DgvFFvLJqLAgo8tAuKaaIUTvzggkS7J1fTHBMTEu1O&#10;jrEuaxHur4iTLTWky+XKi0FY2StDYSXvrA6Wx5Bw6B5JsLxAwtmWMbAZmSh8zg8uLAcHGFYwFIvz&#10;6gbLi0GcXA42BhOJNa6FATE8HH2BJwwo8HDOHWHl+eUHFxZlqbpsyiYNJBObZKHhAamG7oYwoBjI&#10;yYXR5lwMKdJcC8+dAtTicbJ3QeeTP44vyL4lUjuIhzLExZC2S72paWNIAeA5vSKGFEdBTo9vjk58&#10;F0OKGoqnwtuaU0/YUNE2Z5coAH8Pj9TyG1RJdwoQWx8dT9EczQsFgH7TmhjSvNwutrNdkEAKAG/8&#10;1cSQwvYsxraiuRzEapXNBU/dNTGk7YKHaxdD2i4YluGt7AvGheCSclyZ0Rh5pBUxOvJCCd5pUwvd&#10;PxUxpO2COqW7wQ8AQ61tDOkIkNyAMXrT5lxsZ25uChDDc8/3iHxzYUAdHn/mJJqJ8hgSTppvLFhe&#10;icTGiurCuLBPXx5EIlKsaCxWXonEaVAUocU0Enn6PoaEfNg3FiwvkFBrEbWGzVTFkMIwLgemRvfk&#10;Zb0GNeTI2Ngosk6z5DT28gcAImlxFy3Mx7r+TD5YgPoXHUdnfXjAKejSWZKKFQDk5NBIokYAGJEl&#10;dqbB2dHgUXkGL4UB8KUi3D8I42k1ZQQuEY2ba3t6SAN1DHupkikBCgo4qQ8umZoQd3gsniigFo/T&#10;b3MHJgBBPAweaXxzUUAQD72sBR5GKTTO25MXDm7GKL1huUm+9sIyCITbJF1NIV2PAJCscTzanIta&#10;XKrTzaYzzT1DfrMKPNS63E1mNEc9AGaB0f4BQHacJNEJro/6zp1XqTd5DvvHux37AOQEqPEuLhk+&#10;3kddmm4ze9rcPrkMbxNPEjVGQZ4/CnEgatpEeXDS5OJS0VisPIQEfJfzbLNSxQFRPDTuFXiCgCAe&#10;K925DzsG/LvJ9OUxJP3hsidO31iwvEBitYFTcp1f0MqBJt5Xx5fBC9r/8dvhKB7Rw/Gf691b/3jC&#10;Yfe6ef60eX0dfuy/fv71dX/15+r18br7iH+fhE2Yz163/cfbXV8tcatUsv7rOKBYPeCvq2/7zeP1&#10;f7EJutkvzfLDp7vF/YfuU3f7YYlM8x9m8+UvyzuEB3cfP/3vGu3Nu4eXzfPzevvbZru++uvtdXt4&#10;QOHj9cvx+P5wc3N4elm/rQ4/vG2e9rvD7svxh6fd283uy5fN0/rmeb/6vtl+vUF6qNnN22qzvb76&#10;jpm/Bdu+PEjE90uIPybLDHK/+7Z9HrjDy3r1/A/5+7javKa/b2yPh4nFsPl/muvv74eHw/vv+59+&#10;7P/6vHv+9+/7q/3u+HgN2vhzvccfL7v9f9Db/er98frwx7fVfn199fqv7QHdRzJffHYcfiDwq/cY&#10;7MeQz2PIavuEph6vj9dX6c9fj/iFKt/e95uvL8A0H+Ziu/v523H3ZXPsVy73Sn58P7wPI/iK/rxs&#10;nj6ujqvx7+Grh3Wze9m9Pq/3P/0fAAD//wMAUEsDBBQABgAIAAAAIQBSsjA+4gAAAAsBAAAPAAAA&#10;ZHJzL2Rvd25yZXYueG1sTI9PS8NAEMXvgt9hGcGL2E1KsDVmU0qhAQ/+aZVSb9vsmASzsyG7beO3&#10;7+SktzfzHm9+ky0G24oT9r5xpCCeRCCQSmcaqhR8fqzv5yB80GR06wgV/KKHRX59lenUuDNt8LQN&#10;leAS8qlWUIfQpVL6skar/cR1SOx9u97qwGNfSdPrM5fbVk6j6EFa3RBfqHWHqxrLn+3RKijX/uU5&#10;HpbFfva1Kd5eqSje73ZK3d4MyycQAYfwF4YRn9EhZ6aDO5LxolXwGE8ZPYwiBjEGonnCmwOrJJmB&#10;zDP5/4f8AgAA//8DAFBLAQItABQABgAIAAAAIQC2gziS/gAAAOEBAAATAAAAAAAAAAAAAAAAAAAA&#10;AABbQ29udGVudF9UeXBlc10ueG1sUEsBAi0AFAAGAAgAAAAhADj9If/WAAAAlAEAAAsAAAAAAAAA&#10;AAAAAAAALwEAAF9yZWxzLy5yZWxzUEsBAi0AFAAGAAgAAAAhAIVixkFbTgAAhLwBAA4AAAAAAAAA&#10;AAAAAAAALgIAAGRycy9lMm9Eb2MueG1sUEsBAi0AFAAGAAgAAAAhAFKyMD7iAAAACwEAAA8AAAAA&#10;AAAAAAAAAAAAtVAAAGRycy9kb3ducmV2LnhtbFBLBQYAAAAABAAEAPMAAADEUQ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26023,75752;145714,84169;153328,30774;193235,47608;244432,69703;249683,35772;253359,22884;306394,84695;313745,66546;410888,15256;457884,84169;453421,35509;506455,27092;503042,50765;82703,183858;90842,158607;111058,182805;177220,149138;215552,165182;308231,141247;298255,202007;363367,177545;459722,141773;451845,202007;552401,155976;526409,172284;649806,159396;625390,163867;694177,153609;661621,122309;742486,141510;755351,188329;820200,141773;812324,202007;860895,167287;886100,162289;16541,261188;4463,303010;42795,304851;132587,319844;164618,321422;157266,288543;334486,235674;399336,310375;381220,274077;449220,265134;449482,282757;534548,256717;509081,289332;537961,293015;739335,319844;719382,291437;751413,271446;844355,265397;854857,276444;875073,300643;941760,269342;986393,235674;1003459,315635;1033127,324052"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57216" behindDoc="1" locked="1" layoutInCell="1" allowOverlap="1" wp14:anchorId="5654A144" wp14:editId="5E121F85">
              <wp:simplePos x="0" y="0"/>
              <wp:positionH relativeFrom="page">
                <wp:posOffset>1707515</wp:posOffset>
              </wp:positionH>
              <wp:positionV relativeFrom="page">
                <wp:posOffset>436880</wp:posOffset>
              </wp:positionV>
              <wp:extent cx="1502410" cy="464820"/>
              <wp:effectExtent l="12065" t="8255" r="0" b="3175"/>
              <wp:wrapNone/>
              <wp:docPr id="14" name="Logo_acma_bw"/>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2410" cy="464820"/>
                        <a:chOff x="1810" y="866"/>
                        <a:chExt cx="2162" cy="672"/>
                      </a:xfrm>
                    </wpg:grpSpPr>
                    <wpg:grpSp>
                      <wpg:cNvPr id="16" name="black_curl"/>
                      <wpg:cNvGrpSpPr>
                        <a:grpSpLocks/>
                      </wpg:cNvGrpSpPr>
                      <wpg:grpSpPr bwMode="auto">
                        <a:xfrm>
                          <a:off x="1950" y="913"/>
                          <a:ext cx="800" cy="466"/>
                          <a:chOff x="702" y="1163"/>
                          <a:chExt cx="1674" cy="986"/>
                        </a:xfrm>
                      </wpg:grpSpPr>
                      <wps:wsp>
                        <wps:cNvPr id="17" name="Line 7"/>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18" name="Line 8"/>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19" name="Freeform 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 name="Freeform 1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Freeform 1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1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23"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4"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44BF110" id="Logo_acma_bw" o:spid="_x0000_s1026" style="position:absolute;margin-left:134.45pt;margin-top:34.4pt;width:118.3pt;height:36.6pt;z-index:-251659264;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wctHB0AADCnAAAOAAAAZHJzL2Uyb0RvYy54bWzsXVuPI7dyfg+Q/yDMY4D1NPveA68P7L0Y&#10;AZzEwJk8G1qN5oIzI00krcd7DvLf8xWryGa1SInaPV5sAPlhPWKzq1hVZJFVH8n+/i9/PD3Ofl9u&#10;tg/r1esL811xMVuuFuubh9Xd64v/vn7/qr+YbXfz1c38cb1avr74tNxe/OWHf/2X71+er5bl+n79&#10;eLPczEBktb16eX59cb/bPV9dXm4X98un+fa79fNyhYe3683TfIefm7vLm838BdSfHi/LomgvX9ab&#10;m+fNerHcblH6lh9e/GDp394uF7v/ur3dLnezx9cXaNvO/rux/36gfy9/+H5+dbeZP98/LKQZ889o&#10;xdP8YQWmntTb+W4++7h52CP19LDYrLfr2913i/XT5fr29mGxtDJAGlNMpPl5s/74bGW5u3q5e/Zq&#10;gmonevpssov//P3XzezhBrarL2ar+RNs9Mv6bv3bfPE0/+3DCyno5fnuCvV+3jz/9fnXDUuJP39Z&#10;L/62xePL6XP6fceVZx9e/mN9A5rzj7u1VdAft5snIgHRZ39YO3zydlj+sZstUGiaoqwNzLXAs7qt&#10;+1IMtbiHNek109NjPO3blm24uH8nb5emLfnVtivp4eX8irnalkrLWCz7w0voNNE6TXx4nC/+9tvi&#10;4+bxz9aDGRoWaDAVC+SU0RdeEV5U0UJXQFAowZhWXhq1YNoOBiUFDr19L6kFDLzt2Le2X9a3/no/&#10;f17aLrulPuM02jmN/vKwWs461qat8WbFXWrxx0q61Gy1fnM/X90tf9w+Y/xCPLwsRZb89adn9Chj&#10;TfvyHFChH1t00aO9zpiatW1a02t1i7Jth/Mqm189b7a7n5frpxn98friEWLY7jz//ZftjvuYq0K9&#10;e7V+//D4iPL51eNKFYAml8C+eJWekaWtr/jHUAzv+nd9/aou23ev6uLt21c/vn9Tv2rfm655W719&#10;8+at+V/ia+qr+4ebm+WK2Di/Zeo824kHZY/jPZdv8qWmbscPmjhpqSnr4qdyePW+7btX9fu6eTV0&#10;Rf+qMMNPQ1vUQ/32vW6ptTw7ejD43JbOXtChm7Kxyt+uHx9uSAPUtu3m7sObx83s9zm5evuf7SF4&#10;ElaDS13dWMPcL+c37+Tv3fzhkf8OpKcWj9LDcM5k8CPc0chzbK8+rG8+/bqhTkC/MJi4+M8fVZhb&#10;xWPTqLIdmVqAcXceVedRReun6Lpgf/yfR1UwVw1uVL3fLJe08pwN5EhkZLkl0JbXP35mGicr5whA&#10;kivTm1nTkp/Py8FOkTw10IqorzAJ2tVQVYtXcwupxUeemcgHutkI69AbmVzubsRHXGNmu316xOr2&#10;3y5npTHN7GVWFb0wGquBka9Wm3Z2P8MkaZkSVUcMCw9fq2yKLkGsCqq1TZUghoWKJ0ZNShBrgmrt&#10;UCSIYfEWEGv6BDGsSMZqXUpMeNixVpEkhi4zVksSoyWrr1a2dZVomglNYNpU24yyQWuS5EIjmKQR&#10;aP0/tq4ZUoozoRlMXSfMYEI7lFVZpIQNDdEkqYWGKCtTp6iFlmjKRNsQToyimr5KUStDQ6T6W6nM&#10;UJSJlpWhFdpmSDUttELdJalNjJAkF1qhRs+Mj/kyNIKpG5NqXWgGg0ArRS80A7mPBL1KGaI1Q4Ie&#10;eT/fN40ZUkOiCm2BMDDlSarQGKCXkhfONuA79KkxUYXmGKpUV6lCa5gh6eiq0BxDlWydssaQ9CdV&#10;aI0BTizu0ikkGpU8lKkJog6NMbRNipyyRd2lBlmtbFEk/VMd2mLAAIp35To0RdumdFcrU3TJnleH&#10;pqjK1DirlSn6ZMerQ1NUSctSLsCboizaVD9uQlNUyW7chKY4MPU3oSn03I/oxy8p5vcc886vELTL&#10;MgN/zRCzUyqHFiLP6y2laWjNgQzENcfqtj49TVRGK6myTWWAH2odqIzeQJUbWQ0drgxjU2W71jlK&#10;GaakynbRd7SypKGuMWfTuu9Yq2nOJuKc5DleXaTEnJtFXeQ0eYIi9cGNyROVZk1qO2bFnMbQvGir&#10;59mzFFER2mdRF1Exc2VVF1HLPFFpXqK2Y97JoU7Tjq2eJyrNKrZ6nqg0a9jqeaJWIiq8fk7bJRF2&#10;Da+eVV1EhdfOqi6iwitnVRdR4XWzqouo8Ko51SXDeg2vmVVdRIVXDKrzmBWvt0F+coosbC5mQBY+&#10;0Dvwg/MdOUv3J8XZNuaa3SOBSWEVPXla/768Xts6O/Ka5KGtyeGChfVYZfHxw8Pip+Xf9QsdPDf6&#10;SA0RmS8TquAJqLypbSIc7eFyBGy2HCGZk02RjTHhdoMYQq+QSW45KS6DScM2rTpJdnOLK8RetsVH&#10;yr8dJmWPGJ50Xw62u3nddzRpUzlsE9oK8aAtR8CXbZOypZUsiBHkoYhRuEHlzYQJJh4uzzd8iViQ&#10;X8ISLGSSWZ5lk7LuhQngjpBJNXCL0cNVscxGjUuHHO9bFIRaOfgdbxA/SCYcKCCGCrF4AuM8IUzL&#10;A3di2qIQrYciUNxpGTio4bgExnSsJKUiAGSWTtkKlCGDXMAhxJrZArB+hlb1WFOwVzbobaEAiE4t&#10;X+QA8jlMX3JWQHwgxLQLQ8zqyr3XPupFWgwh7uU8kTgmg8Hy244WiBT0Jopk5QFnurKsbcreKWCw&#10;CnBsTC1dx1RY74V8EOEyH4Sw2UahONa9pQ2T/SBPnlZmEUw/utm98yZFqfWGiNi2DCFvvjiIe+Ul&#10;LU1meZ4sg3TOAeub0AIDHCJ1gYH7rDcZomcuxzyTO9wNYmR+CcNeMckrz5Ok68WnFFhRh1za0nlM&#10;nsW9LH4sIZjOF6boZQTKW45cLxrrtXtBBG5lR4h9Ag+KRKH9utOmr8UzI8BWIiIut/WlPFNhHZt4&#10;jxi0Qcwr6C3UI6J1Lh9X+0c9jBkIlSdiSP0ExLAlRYhpX0kxPNfn1UCWJKUzSaX9y3R96Cw1LZ8w&#10;wU9ajtq5zK9LbZ0RQFBQaSaiehLAfYaN7RYagoQYNp5t1thPgM6ETVT44369+fvF7AUbkl5fbP/n&#10;43yzvJg9/vsKuzIGzLOotrM/6qajIbMJn3wIn8xXC5B6fbG7QFqG/nyzwy+88vF583B3D07Gxh6r&#10;9Y/YmXP7YPcwjK366lg2ScNYtkfdkFrByPoKsJspKH2HwWxq5+NoSwbhbgOtrQh3a3vn5r4IdzPY&#10;5EWJy4bJhYhamMrrLbpVNs4dxnE3JK4t5hMhBk/n84fYoIEUbYwYZPO1sLqzYEOEGOYfX621gE+M&#10;GFZQvpbpWpsqjxCDG/TVqopy0TFisIevhUVvihhmB1+Nku4xUgp1M2Vp89CRhmnULaUyBbqBmkVA&#10;YtRCC5iUmLRO9AJ0hc24x4iFFigHQlOikoYmqGCoREcLTdA0lL+PUgttUFU2BR1rW2iDBn0oTo3G&#10;t5e0SRFTgNsAyCBBDKuIDGKhCQ4QC21Qp+xJKzrP0mCWTzUttIFJWEDDbWVyfNICb2TadalhADcx&#10;1iNbJhqn4DZ0kJSwGm7r4LLidlBwG+il2qfhti6pPAW3VU2Z0p+C20zREBwY68IKbyt7BnkifVjh&#10;bb3F76PkQnOU3ZDqxQpv6y1AFiNHs7m3blnVqdGv8La2T40wpPhCcgC/48OfAh3Ptu1TulNwW1l1&#10;qWlL423YNRA3hcLbQC6lO4W3dQXtGInqTpmi6VLzIKK8UdgDw1YBbqZLNk8BbgJsx9qnELehs2Bl&#10;pONRROJtcah5oY86sIZoQi+lFxFY6J8BvAhCeQbwknAsx+rXSP5gHU6B4kFA9gzgpRR5BvBSmpG4&#10;63pMIB/sYv8UAM/249heBcACFARew4kG/Z37/ZfgfeT3Ce+z80QM7yOHblnDYwvrw3ifKQQ6oG2h&#10;QfbJYC1kCXWMt7rEEAWKthyhoJPteIrLJcXlFI0nVtL6hkJijS1RAMnlDBPZzFKIVWp8g0GK6Uue&#10;SSspZxyEUBIisLRMEDrmS4IA0r6kU8EZpZkyiOvTqA+FmpbrweJcDoJP6Mwlwk/mcKg4j0NBa35K&#10;gbjzMGyfnpaBKKa+EHQ0hKpcPOTDb43sNKgm8DF+EodGc0A0wcXjaDzaYxGk8jsaDM0rzlITMrKW&#10;A5bNoTqMoKo9LB5oyUENgLbEoRwVQb/iRkNOaVb7JQM+AFII2kmLZFhgYEzKMaUVO3UIymjnNl/2&#10;LcAPqaHGFoYXUuqRDofwN5s+Oxh4M6X+jtIG1El9vkycCyJm9SBLR2XTsT6m5AAfu8Ew2ZyASJp1&#10;hVA5WxaKl+Ut1rBTfP6DLHmqRiY2nKpUVrFJSGviEohJ0B8o8uaWIbTOl6dyGxgK9s1enkJG/jDZ&#10;CYGA3LJBxJ3NhcJufkljbrnlWSorO2lxr1HCsgHYRRrrBjWAKHi35YjO8yWBmuUl1ZvLzPI8SRC4&#10;MxPs4QhMTAF9TnkuE7YJ4vUJk6zyPCY1fC7rXvXiskEfpfJ+YhMkBWz5SQ4MaxjxMRVvRHSdGFOt&#10;jFZ/GMY7GRbSnZLJkgZ7B/Rbjg92e3OrJ/yRQzhdmulLnknPqhl4J5wrjqxDwzUbBDvjh7R+/xyQ&#10;9E87dnrGD+3tBTRjTfFDGxt9DfywkZ3UpnRLKIcf9rRtkc/tuSzKl+GHONZPeV1sHmNPOyKDUIBP&#10;JWKrGxKn8EgSHo614N18LVwbYJPEEWJhXhITUoIYlkOe2ABYKt6wMCdZF3I2Zq9hcOKeFhyRTYZH&#10;Ggav6ashkkg0DEr3tUyFU2XxlsGl+mpVSZBOTGUKQMQeC5trjjRNAYgIjlPklAmaweaGY+RCGwCi&#10;lqMne4pTGCKETfaP0A6mKOUY0D49bYk2KW5oigFYTUJ7oS1adKW4KWgp6G2Bc7AJahpGTMqqcER/&#10;CGhPVHV0zwIcETtQIsK3rHVnu/ZphYOBkasYsdAIA2CGuNIorvc8y9QgVTDi4I6d7rcstECyuykM&#10;Ed0jZQGFISJoT9hTQ4hll3IhCkKUQ6cRvWkEkU6TxhWnEERkw1JG1QhiU8gBxT3dKQQRuFBS3HAw&#10;mLZIDS46nDEaFlvqUuoLh4M/LbrXPAUhYk9aaqwqCLGXY9j71JRnGpI+WCGIfcqyCkDEzJhsWzgk&#10;UnZV8CG2Qac8uoIPy6RL18f10nOqgg/1pIrV8BlPO+NpCDzPB+L2jn2eD8QlES9OIV5/zQNxlJHw&#10;B3U/68gazchyZI23jY74lGRB4ENtfgJOUjJgY5UwieBzDXRiidI2iC7CnBHFJDnleVkWIzgZEnqK&#10;id9YrfEzxDCWN6IUEUI3Xf8SyRGr2JcmuAbFMDnleYIUkvWsOCHrtegACUQvSkDEPMycy/OYtJIW&#10;mhArC0kH+92xLDmFQpaJAIFZTMpS1IJ9UarF7igJRTrqASIky8U9yGKDEyz6La+xWoAlkJuqjHsw&#10;hUb51i8lj4oso0qw4oY5LPXQvwd9EACHqVhpiJiyuQyCY/RIAgZJ3F5OeHWMoDgREWRZznSbUC5w&#10;0xasrhZIacChkR5BdwmGxQJInXL2Q9LNfFDINfV4YZa1pX8ingpbmVOaR549EiIsRT6jNIu8Q0cm&#10;VnS9UefU/WDgw0BZDBwwbwBJhxLUgmbi+JsqJyiWuq5B2Eb1s5g0Dv2ZnHdt3ACp9Jk7f3iUTmXm&#10;Mundwboajj3okIPsb8CgU/2XIkAWBSFeNhck50UBhCEEbHB5Eg9eivDUA0SGzEceZKms7OSc2Jh1&#10;Ys9q03vWAgaQdtAANIy9yimHOstWprVqgpC4g6+mV26F4kgrDOcYs0TBFTrsdDSynFecx6GTJKu2&#10;PEBN1rzqDxRuWhHyuxZe4SlzOsM64GVSjhjUckCQGe1Yj6vwhD6WNdP1kauweFxvlzwAzvDKGV75&#10;Ro9nYbKbwit2zvga8AoOT7Jz9dccO3jF3plA8ErlL9T5MnilM5RsLSvnxkbgJIRX6IA0JSANTodZ&#10;7zxWg57G/F5hs60xavBOvtrAaaoIMXgYXwvrZkpmxojB8/pqvT0dFGsZdOhrgVhKTrgpX61H0i4u&#10;pkpjAqpOtCzMYmKXToKYBlgqHJiIy6kAlnqwiceI1tQRrbJqU2qj6MWLWmOPflxUha8gWqUUcMwK&#10;NAGO5JDZTZAL7SCZzCi50BBJzSk7JDuIAldKe/wm1kMUuFJWlLCNtYzW1V5Q3GKSEHQPXInSUjZg&#10;zCxiUtpJ6VnWdarvqkNaDY4jxU2g0JXOHuGLti20QFvb1HSsbaENWlzpltBaOBbSvU3BK+geqd6m&#10;8BVclp8QVcErprNQUkxWha8caF1oB9NZhCBKLhwLTWWva4yoTqMr2HqT0J06n9XWqR6nwBXT2FOj&#10;0daFpmhbi/1EWqfBFYOTUnHLanAFV3bGe506n4UZhCCMWOsUukLDNEUv0xbqgJblm2ifckzpiVBB&#10;LJOZECv5MyhyBkWwIDuDImdQ5OIavowj28NHxyQl+2WgCGURvgjlsM7Yohw0GUQP6sArSiTCNySB&#10;5xGYg/Y220xOgZxpmMkphBTt0VTlkuFDVOB0d/TUADLxzGXQhyhKI/mqAec1QiaIJWyrEC2cwET2&#10;KyMqmBBjpRwpz8ry4MwMJ7hob3jY4lLU0vFtZi6BDLiJ8050BgD185hUcjlUi20FIRMK+8hYTauZ&#10;IySx5Yg5TmDSso6xmtJM8sozJZHNz1NohnAikuRIeR6TUo6N0CmyQF2mE3RN7cemkMayzreH+5aT&#10;bEjhHGgt27d7RR2fGrDEEcTkW0JOZ5TAOILmYws8k0KAp4o5cyjXM2ZpCAl0JuXSBpLG5a5cuU9U&#10;can0CnYHeeRldNeakEvf1jp9i/DINgbxT7aKXMa/QZYy0EUrjBu3rZUlQMhkOSAmyubQYkjZoaXP&#10;IbSiuQZTQMhYdsHL2MnSUiv3atLJsYAUHQsgxoiRwmIKrcLyLBa4GV/6zIRYV3AHmPCmgMsyOUUO&#10;vOS8jeqvKGcmtNs4EJDCMFYtn4rKk4SOalh7aFALaWq2E5k+ZOLORSD6ovI8Jh5V1DduAj3hQSAo&#10;hnPmFLLZRiEmy2fSYKIkSQjlCFtcAbyi8o4/AueZIJCz5T2X50mCcM2+NKZNeChQPJX3II+Ps6Wl&#10;G0qT/WCPj8MZpMGRJYyrcUYiVhff7peQvv2DHuPnFb/SB9BoazajEvyhRvtVPowaASUOfATtn/Ud&#10;Qbd08Z+hdMgEHJy9No5XkhiUDpdwXwn8nA8JfoXO+f/244RQMXRv72n4Rj7PR0lr7p13m+Unmpuy&#10;wTJ8VezdzcPu1/XDaoerH3kprd6mH1nfFMNxZpmhSrducH3UVHSxt4XP/B4M100/66tiprEb2k0x&#10;8DnY1PWG2IdC4E1Zu3VlHD/r7LVOUWohbIAL0ynnGqMGyT1sgI8GvcyixLBO8LU6+22hGC2sGnwt&#10;LPgpfRulFqIGhBnEaEHtnpZ8zSpKK0xUG9zCnCCnADRsoKRTBVF6CkEr65Iy6bH2KQitt/cSxumF&#10;diBCKXqhIbCnhaClOMHQFrh8M0VPG+NAA0Nr4Px7il5okHRHUThauqcoHK3ir1BFpaUFve8Hjf18&#10;T8waCknDqf1kR1ZHlbCNJznIQnPUfNtZvIGhOej+gIT+FKIGjDQ5OGit7iWmQ9ApgqFB6u4AwXCI&#10;DPbYY0yFClare3sMLSqxwtVae5FixEspWK1pcAYm0Z8VrsYfaIo2LzQIOgyBiPHmhQZJWUPBah3i&#10;oiS10BpJaqEp+sbCpfG2haY44FwUrtZ1+OBXQlgFrGG/LoGcMe0pZK3jr2VFW6ihtRJuKEFQmyOt&#10;QIWtHRI59FeIftMihxZpLXAalTi0SdPaz2/GJc60CaXV/Lg8ND7UBYjJ8aGuP8ROeHvTaLSB+gbE&#10;Et+wi5uEwmzfwKGyWx3iBMMRgnRGqltTgtQT7PHpg1QvpJSPr5h2+nTQ21dDUj85hOnefF8x1TrK&#10;EftKpujT5OhGkrFmeo1AxyrGekWZnjNpg7qveaBT09XYvt5Q4WLSxDim7LmvSN05YWP6aoevNwxp&#10;G9NeyrFicpVAe2XHat2BBoYmSc9ytJPZ0zvUZfB1g7Gi7jIIU84I+RkhR17yjJCfEfKvi5Anb74U&#10;zPVbvoYz2XYBOq9HPO3wFaKYE2jwjR/FOlhdsNrr8SM3h6sz3HPNZ74oFX+4OmZQagwfhTteHfOj&#10;re4hmMPURVSfgjzcGDmnc82f5nGN4f9/wfWnvEiz959SIBXdVlHgAUnmLvYD0yPbKtw3z9wbHt1p&#10;3L1aBL2FAApSU8wDuad8cKmWDoDTIWoHhcFH8ZhcpVFliMsoHW5iyefjP0xW4Zxn0GpkwJjL5INJ&#10;vhypr2xh/Ev0RaeAySBXre7pMmIWfQJ2NBKDS2JGrHikUWMF/aJgUXLosNYn33CjmxWaTmEFzfQm&#10;PwEcdF800/s8BtkQoHYWUErPss3HtHEfCJtHEaJ8HhsNeg3a78sRG4h6tFL0L1aRf4myf1FqRx/Q&#10;CD6+g8g1God943ywM0cB6GXt7oBFGjFbHkpOsnHlLT9wsx9kyQOImYchklF64CLNxg2gr/cF5gH4&#10;zM67RGiULw/CHpFHbyNBzIYgBT5tDN/ZosimqvIscUiIGDEEJMRi8uVHLsVnc/J9g7yCSD3USS9b&#10;ZEwxOQeJDK7lTJ9Hgg6zZED6kIWY3N6KT5Ryl0CQGzL35R2P3kwmQozcfWjdiqJV6GpyB6ohYwfl&#10;WUzoHtPgHdeFezHSZLeMu+V09Ip6ODr0PeFC3WMHzodTI7+C2wpYNqQ/xRqH/S5eYHt3/IITAH2Z&#10;zUpjJFAepbBZYC7PUlJlZOPNlBhOFVti9AHBkIkrt1dj5nYqfGCTqZkpGz9BT/Y+Uv7c8qf8uKhL&#10;G0T/Yh1jZ6A49Sk51xlMhxxaIE9d+JadcJsEJeO5dZOOmv8gyzp1J2e/sUVUucGaUELrVHzaWzTg&#10;Hac8yOJT9t4/8qLA9TUCCZhPoRdQ/sFJ/cC/1UwPTFOqHuNe2aZysuTP9TUm+31CUCOPpMkqkBAL&#10;W3sckrpXuVGdHMGuwoFhDxTD8vDr+8OjnmCKoL4zRF5xlrE9KQAd4VDILc9k4k+zT5jklecx6US3&#10;Rq8ecGkB61B1JwJsxr6RxaClnZZ7/RIXsDAhPVbawX38/IQZvcPnIi2HyQDv6Avqe5wJJRpLs0TA&#10;pwGCV1x3IoDIEppMwL4caID1+3k8HDVKQ4ddypM7+iCLD6FQttVTcvkPTuNDaFYoj+dz9MFpfCZX&#10;w3Q4n2jlBLSk2Ne6PI8JjjdHiblv3U4WdITM2fqYs22MkclF3tozjSN39EEWn9bd/zAll//gND42&#10;QggWDJ7P0Qen8en1/Iod1zwjTroAoZKhNbOY4Cu0PNonxAiStMRk0eu8gy9HF8gPGv1bU9PkP8iS&#10;hnBP2+opn/wHe3zcPC4TvePg52z3PD3PDy6JgfyM29F/eKbHXVRyBsC94vQP5ytxEHaTq+W3BWll&#10;dI6nto7mDcDKxYiVu2yaRR188Fjpr6IMrcvEVV4LenGkfwk5WnXStGXqCR9gwfKA76txshJIzA8A&#10;ApOz27NNlI9/q+ecrydHC3LbADGDfxCxj6Y8WotlIejQkhpDwrGKftW9IMmESaas72V1O0mVDTS7&#10;2LaeEJ/jY/Ys4CRZ1khQqJY8BHBbDvmaxUerhIGiZMFtbqzOPI0PTkmYjW9NE2OnPMnqKiPBadIs&#10;eDLJmkk2nJI2J6XNCK+3SnKvud6H2+qyn2RKhcQRs5qmzuA8eMIvp7kz3HXonpwQVOODQ9zjoCSV&#10;d4KL4KXlNHlGuwxEDT7HrAeM/iXDZ5BjkFNySISLqJMMmn9wUhJtfGuSRxtIPjseJ4k02uRgH5yU&#10;SMNVg6yFaSYNZuBeMll5wbnLg5Nyaf6tyVoe12Ty4J/kKHBNIbdLyrP620CHLUk3U2K1+LZJOm2o&#10;ZCIYnae2uZtRnevc87Wugpty0czzxVvni7dOvnjLHnd5uXu2K4u7zfz5/mHxdr6bh7/x98vz1bJc&#10;368fb5abH/5PAAAAAP//AwBQSwMEFAAGAAgAAAAhAEFpRJzhAAAACgEAAA8AAABkcnMvZG93bnJl&#10;di54bWxMj8FqwzAQRO+F/oPYQm+NZLc2jmM5hND2FApNCqU3xdrYJpZkLMV2/r7bU3Nc9jHzpljP&#10;pmMjDr51VkK0EMDQVk63tpbwdXh7yoD5oKxWnbMo4Yoe1uX9XaFy7Sb7ieM+1IxCrM+VhCaEPufc&#10;Vw0a5ReuR0u/kxuMCnQONdeDmijcdDwWIuVGtZYaGtXjtsHqvL8YCe+TmjbP0eu4O5+2159D8vG9&#10;i1DKx4d5swIWcA7/MPzpkzqU5HR0F6s96yTEabYkVEKa0QQCEpEkwI5EvsQCeFnw2wnlLwAAAP//&#10;AwBQSwECLQAUAAYACAAAACEAtoM4kv4AAADhAQAAEwAAAAAAAAAAAAAAAAAAAAAAW0NvbnRlbnRf&#10;VHlwZXNdLnhtbFBLAQItABQABgAIAAAAIQA4/SH/1gAAAJQBAAALAAAAAAAAAAAAAAAAAC8BAABf&#10;cmVscy8ucmVsc1BLAQItABQABgAIAAAAIQDIkwctHB0AADCnAAAOAAAAAAAAAAAAAAAAAC4CAABk&#10;cnMvZTJvRG9jLnhtbFBLAQItABQABgAIAAAAIQBBaUSc4QAAAAoBAAAPAAAAAAAAAAAAAAAAAHYf&#10;AABkcnMvZG93bnJldi54bWxQSwUGAAAAAAQABADzAAAAhCAAAAAA&#10;">
              <v:group id="black_curl" o:spid="_x0000_s1027" style="position:absolute;left:1950;top:913;width:800;height:466" coordorigin="702,1163" coordsize="1674,98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Zj/9cMAAADbAAAADwAAAGRycy9kb3ducmV2LnhtbERPTWuDQBC9B/oflgn0&#10;lqy2RIrJRiS0pQcpxBRKb4M7UYk7K+5Wzb/vBgq5zeN9zi6bTSdGGlxrWUG8jkAQV1a3XCv4Or2t&#10;XkA4j6yxs0wKruQg2z8sdphqO/GRxtLXIoSwS1FB432fSumqhgy6te2JA3e2g0Ef4FBLPeAUwk0n&#10;n6IokQZbDg0N9nRoqLqUv0bB+4RT/hy/jsXlfLj+nDaf30VMSj0u53wLwtPs7+J/94cO8xO4/RIO&#10;kP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NmP/1wwAAANsAAAAP&#10;AAAAAAAAAAAAAAAAAKoCAABkcnMvZG93bnJldi54bWxQSwUGAAAAAAQABAD6AAAAmgMAAAAA&#10;">
                <v:line id="Line 7" o:spid="_x0000_s1028" style="position:absolute;visibility:visible;mso-wrap-style:square" from="1140,1618" to="1140,16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GMefL8AAADbAAAADwAAAGRycy9kb3ducmV2LnhtbERPPWvDMBDdC/0P4grdGrkZmsSNbEIh&#10;kK3UdfbDulhupJORlNj591Uh0O0e7/O29eysuFKIg2cFr4sCBHHn9cC9gvZ7/7IGEROyRuuZFNwo&#10;Ql09Pmyx1H7iL7o2qRc5hGOJCkxKYyll7Aw5jAs/Emfu5IPDlGHopQ445XBn5bIo3qTDgXODwZE+&#10;DHXn5uIUTJaOJmware3nZn28XVq3/GmVen6ad+8gEs3pX3x3H3Sev4K/X/IBsvoF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mGMefL8AAADbAAAADwAAAAAAAAAAAAAAAACh&#10;AgAAZHJzL2Rvd25yZXYueG1sUEsFBgAAAAAEAAQA+QAAAI0DAAAAAA==&#10;" stroked="f">
                  <o:lock v:ext="edit" aspectratio="t"/>
                </v:line>
                <v:line id="Line 8" o:spid="_x0000_s1029" style="position:absolute;visibility:visible;mso-wrap-style:square" from="1140,1618" to="1140,16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fyKDsEAAADbAAAADwAAAGRycy9kb3ducmV2LnhtbESPQWvDMAyF74P9B6PBbqvTHkab1i2j&#10;UOhtLEvvItbibLYcbLdJ//10GOwm8Z7e+7Q7zMGrG6U8RDawXFSgiLtoB+4NtJ+nlzWoXJAt+shk&#10;4E4ZDvvHhx3WNk78Qbem9EpCONdowJUy1lrnzlHAvIgjsWhfMQUssqZe24SThAevV1X1qgMOLA0O&#10;Rzo66n6aazAwebq4tGms9e+b9eV+bcPquzXm+Wl+24IqNJd/89/12Qq+wMovMoDe/w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p/IoOwQAAANsAAAAPAAAAAAAAAAAAAAAA&#10;AKECAABkcnMvZG93bnJldi54bWxQSwUGAAAAAAQABAD5AAAAjwMAAAAA&#10;" stroked="f">
                  <o:lock v:ext="edit" aspectratio="t"/>
                </v:line>
                <v:shape id="Freeform 9" o:spid="_x0000_s1030" style="position:absolute;left:702;top:1297;width:831;height:434;visibility:visible;mso-wrap-style:square;v-text-anchor:top" coordsize="3087,16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VMi8MA&#10;AADbAAAADwAAAGRycy9kb3ducmV2LnhtbESPzW7CMBCE70h9B2srcQOHHhANOAihFqqe2pAHWMWb&#10;H4jXrm0gffu6UqXedjWz881utqMZxI186C0rWMwzEMS11T23CqrT62wFIkRkjYNlUvBNAbbFw2SD&#10;ubZ3/qRbGVuRQjjkqKCL0eVShrojg2FuHXHSGusNxrT6VmqP9xRuBvmUZUtpsOdE6NDRvqP6Ul5N&#10;4kpZxuaKrhpde3g5+vfV+eNLqenjuFuDiDTGf/Pf9ZtO9Z/h95c0gC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wVMi8MAAADbAAAADwAAAAAAAAAAAAAAAACYAgAAZHJzL2Rv&#10;d25yZXYueG1sUEsFBgAAAAAEAAQA9QAAAIgDA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10" o:spid="_x0000_s1031" style="position:absolute;left:1048;top:1468;width:964;height:681;visibility:visible;mso-wrap-style:square;v-text-anchor:top" coordsize="3581,25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ME/08AA&#10;AADbAAAADwAAAGRycy9kb3ducmV2LnhtbERPTYvCMBC9C/6HMMLeNLWgrNUoIojCsohdwevYjG21&#10;mZQm2q6/3hwW9vh434tVZyrxpMaVlhWMRxEI4szqknMFp5/t8BOE88gaK8uk4JccrJb93gITbVs+&#10;0jP1uQgh7BJUUHhfJ1K6rCCDbmRr4sBdbWPQB9jkUjfYhnBTyTiKptJgyaGhwJo2BWX39GEU3L7N&#10;S09oVn5d2ry+p4fzLD7ulPoYdOs5CE+d/xf/ufdaQRzWhy/hB8jlG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ME/08AAAADbAAAADwAAAAAAAAAAAAAAAACYAgAAZHJzL2Rvd25y&#10;ZXYueG1sUEsFBgAAAAAEAAQA9QAAAIUDA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11" o:spid="_x0000_s1032" style="position:absolute;left:1518;top:1296;width:858;height:433;visibility:visible;mso-wrap-style:square;v-text-anchor:top" coordsize="3183,16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xzpsEA&#10;AADbAAAADwAAAGRycy9kb3ducmV2LnhtbESPQYvCMBSE74L/ITzBi6xpPYhUoyyKongQq7jXR/Ns&#10;yzYvpYla/70RBI/DzHzDzBatqcSdGldaVhAPIxDEmdUl5wrOp/XPBITzyBory6TgSQ4W825nhom2&#10;Dz7SPfW5CBB2CSoovK8TKV1WkEE3tDVx8K62MeiDbHKpG3wEuKnkKIrG0mDJYaHAmpYFZf/pzSgY&#10;pLHV+9Ks/trrZbzb8CE2E6lUv9f+TkF4av03/GlvtYJRDO8v4QfI+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3cc6bBAAAA2wAAAA8AAAAAAAAAAAAAAAAAmAIAAGRycy9kb3du&#10;cmV2LnhtbFBLBQYAAAAABAAEAPUAAACGAw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12" o:spid="_x0000_s1033" style="position:absolute;left:1206;top:1163;width:643;height:313;visibility:visible;mso-wrap-style:square;v-text-anchor:top" coordsize="2385,11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9b+sUA&#10;AADbAAAADwAAAGRycy9kb3ducmV2LnhtbESP3WrCQBSE74W+w3KE3ukmoWiJrpIKLS1UIbbQ20P2&#10;5AezZ0N2a5K37xYEL4eZ+YbZ7kfTiiv1rrGsIF5GIIgLqxuuFHx/vS6eQTiPrLG1TAomcrDfPcy2&#10;mGo7cE7Xs69EgLBLUUHtfZdK6YqaDLql7YiDV9reoA+yr6TucQhw08okilbSYMNhocaODjUVl/Ov&#10;UZCXHtfZ28fT6jM5vlxOh7j8mVqlHudjtgHhafT38K39rhUkCfx/CT9A7v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T1v6xQAAANsAAAAPAAAAAAAAAAAAAAAAAJgCAABkcnMv&#10;ZG93bnJldi54bWxQSwUGAAAAAAQABAD1AAAAigM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Z9fQsUAAADbAAAADwAAAGRycy9kb3ducmV2LnhtbESPQWvCQBSE70L/w/IK3nSjQiipq4gi&#10;aA9FbaE9PrOvSdrs27C7JvHfu0LB4zAz3zDzZW9q0ZLzlWUFk3ECgji3uuJCwefHdvQCwgdkjbVl&#10;UnAlD8vF02COmbYdH6k9hUJECPsMFZQhNJmUPi/JoB/bhjh6P9YZDFG6QmqHXYSbWk6TJJUGK44L&#10;JTa0Lin/O12MgvfZIW1X+7dd/7VPz/nmeP7+7ZxSw+d+9QoiUB8e4f/2TiuYzuD+Jf4Aubg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Z9fQsUAAADbAAAADwAAAAAAAAAA&#10;AAAAAAChAgAAZHJzL2Rvd25yZXYueG1sUEsFBgAAAAAEAAQA+QAAAJMDAAAAAA==&#10;"/>
              <v:shape id="grey" o:spid="_x0000_s1035" style="position:absolute;left:2574;top:1218;width:1398;height:320;visibility:visible;mso-wrap-style:square;v-text-anchor:top" coordsize="10982,24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jXyB8YA&#10;AADbAAAADwAAAGRycy9kb3ducmV2LnhtbESPT2vCQBTE70K/w/IKXqRuKkUkukpoKdTiwT8Ve3xk&#10;X5Ol2bchu4nx27uC4HGYmd8wi1VvK9FR441jBa/jBARx7rThQsHP4fNlBsIHZI2VY1JwIQ+r5dNg&#10;gal2Z95Rtw+FiBD2KSooQ6hTKX1ekkU/djVx9P5cYzFE2RRSN3iOcFvJSZJMpUXDcaHEmt5Lyv/3&#10;rVXw255m36fuY5sZ3a5H3SYbHU2m1PC5z+YgAvXhEb63v7SCyRvcvsQfIJ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jXyB8YAAADbAAAADwAAAAAAAAAAAAAAAACYAgAAZHJz&#10;L2Rvd25yZXYueG1sUEsFBgAAAAAEAAQA9QAAAIsDA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r>
      <w:rPr>
        <w:noProof/>
      </w:rPr>
      <mc:AlternateContent>
        <mc:Choice Requires="wpg">
          <w:drawing>
            <wp:anchor distT="0" distB="0" distL="114300" distR="114300" simplePos="0" relativeHeight="251656192" behindDoc="1" locked="1" layoutInCell="1" allowOverlap="1" wp14:anchorId="07BB952F" wp14:editId="7D042CBC">
              <wp:simplePos x="0" y="0"/>
              <wp:positionH relativeFrom="page">
                <wp:posOffset>721360</wp:posOffset>
              </wp:positionH>
              <wp:positionV relativeFrom="page">
                <wp:posOffset>433070</wp:posOffset>
              </wp:positionV>
              <wp:extent cx="873760" cy="460375"/>
              <wp:effectExtent l="6985" t="4445" r="5080" b="1905"/>
              <wp:wrapNone/>
              <wp:docPr id="3"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873760" cy="460375"/>
                        <a:chOff x="-17209" y="-8401"/>
                        <a:chExt cx="40176" cy="21123"/>
                      </a:xfrm>
                    </wpg:grpSpPr>
                    <wps:wsp>
                      <wps:cNvPr id="6" name="Freeform 2"/>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 name="Freeform 3"/>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4"/>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B968084" id="Logo_AustGov" o:spid="_x0000_s1026" style="position:absolute;margin-left:56.8pt;margin-top:34.1pt;width:68.8pt;height:36.25pt;z-index:-251660288;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A5sy/uEAAP+vBAAOAAAAZHJzL2Uyb0RvYy54bWykfVvPHjmO3n2A/AfDlwFm+61zVWN6Fpvs&#10;4WaTDLCT68Djdh+Qbn+G7Zmeza/PwyIfSlRVfS9rc2P4/VQSxYMoiiKp3//933795c1fP3z+8vPL&#10;x+/edn/3ePvmw8f3L9///PHH797+rz/98+/Wt2++fH338ft3v7x8/PDd23//8OXt3//hP/+n3//2&#10;6dsP/ctPL798/+HzGwzy8cu3v3367u1PX79++vabb768/+nDr+++/N3Lpw8f0fjDy+df333Fz88/&#10;fvP953e/YfRff/mmfzzmb357+fz9p88v7z98+YK//qM2vv3DPv4PP3x4//V//vDDlw9f3/zy3VvM&#10;7ev+7+f93z/Lv9/84ffvvv3x87tPP/383qbx7j8wi1/f/fwRQH2of3z39d2bv3z++TDUrz+///zy&#10;5eWHr3/3/uXXb15++OHn9x92HIBN92iw+ZfPL3/5tOPy47e//fjJyQTSNnT6Dw/7/n/89Y+f3/z8&#10;/Xdvh7dvPr77FSz615cfX/73P/zly9d/efmr0Oe3Tz9+i8/+5fOnf/v0x8+KJP77ry/v/8+XNx9f&#10;/ttP7z7++OEfvnwCrSEB0uObtov8/lH7v/nzb//95XuAefeXry87yf72w+dfZVQQ483fds78u3Pm&#10;w9++vnmPP67LsMzg33s0jfNjWCbl3PufwF7p9btu6R/b2zdo/906PvZpvPv2/U//ZAPgT8us/fuu&#10;64d9mu++Vdj7fG1+gi9E8Uuh9pf/P2r/20/vPn3YmfhFyGjUxlyU2v/8+cMHEe83vdJ6/4iE/nJJ&#10;ZRD+n77/+esfX37++BUTJNmr3oLGFzDsKcF/tw2gV0M5Er7vl35RunXzPK2BbiCwiMmHl51/7/76&#10;r1++6nr6Hv/bBeV7w/JP4N0Pv/6CpfVfvnkzgpdvfnuzzb2x6Uf/DPPwz/qp79789GZ5TDtpsLb8&#10;s776bOzm6WI0iHQZbZj7i9HG6rPxsXYXo03VZ/0wzhejgbMOdFzw2TmmIKp/NmzjFaZQn/7Z2D+u&#10;MIXk+2fDME4Xc+tqNqzD1F9Mrqv50M3dejVezYh16C/HC5x4DFec6GpWrCDL1fwCL/rHeDW/mhnL&#10;Nl6OV3MDcrddjVezY+uuJKWr2dHPw3AxXF+zoxvW5QJdrJPC3n57XAlLX7Ojmx/b1XiBHRvgXiyz&#10;mh3dtl2OV7Nj6Ncr9vY1O7bHlbSIwinSDG1/Nb2aG+vjkno1N7BzXC3coebGvCzDBfWGmhvDuj0u&#10;pjfU3NjmK0Uw1MwYtu5yuJoZazddyfJQM2N8TFeyPNTM6Dp8d66ohpobY9ddjldzY5kvF8dQs2Nc&#10;Luc3BnZMl2p5rNkBhXslzGPNjuUxX+E71vyY+uFKl441P6Z5uhKXMfBjna/4O9b8GJbhSrmMgR8z&#10;5Op88Y41P7p1vZxfzY9p6K5W21Tzo+/n9UJepsgPfHc+P+zq1SqfoCTP5W+q+TGsUGoX4wV+DNOV&#10;OpgCPx7b5fxqfkCsLser+fGKeoHtVPBdH+uV/E01P8btUv7EHHYtuS7YFM7pN9f8mPrpSv7mmh/r&#10;1F/hO9f8mLArXPBjrvmxztuVtp9rfkzjeDm/mh/dOlzp07nmxzReWn1zzY9lWR5X9Kv5gXV+pQ+W&#10;mh99h23mnB9L4McGuTqX56XmRz9e0m+p+TEPyxU/lpof47pc7R84WhW56h6X8iLHKZe/aYKNeIFv&#10;zY9+Wa/4u9T8GOdLW22p+dGPy9X6XWt+jLKvns9vrfnRX+vTtebHgFPR1Xg1P6YFdD7n7xr48diu&#10;1u9a82N+XNr2a82PcYaNfYFvzY/p2jhda35MMO6vxqv5MW3r1frYan7M/eV622p+AO6VvGw1P6YN&#10;cnqO71bzY5gfV/vlVvNj2GB1XoxX8wMn5yv+boEf66X8bTU/cPy82n+3wI9huJK/rebHMGKfOZe/&#10;7lEzpB/7q7NlJ96BstKXS450j5ol/XhponaPmieTrKWrOdZMwYhXSgZ6Ksyxv6Ji94hswdHxnM3d&#10;I/Cle4WONWPm9dIb0Yl/qtBxgoVygXU4po+P5Uo1dOGcPoMIlyPWnJkecDdcYN3VnJnnS+3VhaP6&#10;KMv+asSaMzCTr9ZL1wXOzJcbaNfVnJk7aJIrOtac6bfpGuvAmRFHv4sRw4l9XvtL6QlH9mndrkes&#10;OTOO15yBz7JID7apS1739ZrBvnylGLu+5swkFnjB+htxt5kX791PdOy9/9tH+xv+9wZ+X3HUiqPv&#10;08sX8cKKmw8e2D+pOxLuwb99lNaLj4G5fExf7OsfAyn5ePf7YnKvfwxJko8X81a+/jGERD7eUh/L&#10;0pSvsfLE0f1sIp3hiGWV+tyw7HJoyorZJ5NDtDNM4Z7KTEZkXUZXL+1TVMX5tH+eQ1WkdP88h6q4&#10;jvbPc6j2hmqfQ1VcPzI6XDsZyohnZ/88h+pgqMIzkxrdUIXjJfW5oQq/SuZzcavI3OE2SX1uqMIr&#10;kvrcUIXTI/W5oQqfRupzQ3XMoSoeC0EVHonM6OKQ2D/PoToZqvAnpEY3VKccquIt2CeTQ1WcAfI5&#10;DvuZychZf/88h6oc5ffPc6jOhipO4qnJGKpzDlU5Z8tkcI7OjC7H6P3zHKpySt4/z6Eqh+D98xyq&#10;csbdP8+hKkdY+RxH1AyqckLdP8+hKgfQ/fMcqnK+3D/PoSrHx/3zHKpyOpTPcfrLoCqHv/3zHKpy&#10;tts/z6EqR7f98xyqcjLbP8+huh+85Hs5WGWQ3c9V2iGHbvcwfOVYlINgGMupJ9fBcJZDTapDMZyS&#10;SLvplLWd5ESyUylrPbn5hANFDgcinbSgOppQXdKG6mhElQiF123XjmaUGPMVDmqtma3+GZEZbfzL&#10;57dvEP/yZ+kD6/3dVzHx+d83v333dr+cf/PTd2/363dp+fXlrx/+9LJ/81Vs/QF3NzvBh3Ul/co3&#10;7//y55/f/9cP/zf2wMYtLGIPQLahYKdpA/YOnVLbUMybMPI5HB9OZafA4QQWKJAAh7hYg9DvOZzJ&#10;4ibgdI3DTcbHYW0mUBru4FN6NeTxCRgLCqLEp/Am4lM4pSyYZvF3gDfd5rZb+Sb2tR4PU8LsQeBT&#10;uiFFZR+uX2FyVUzLN+TgkAIHOOmGA5xfPtbyf0ZjfvH+l5cvH3bkCtUbzuDif49XA5TyzaucYY8D&#10;Z542HDB5FQ5uvfaN6QDnaUMOzig+UtEbEzaFWgLSDTk4uN1ROCP+U8OBW1sbBhhNdQNFA0EPrn+D&#10;3iB/r3nJL16RADj9763NcYIxXa9mcibfkKKYD9eumXxDCg48lkqBFk6+4QCHdKc2O9KYXyQ4wwUF&#10;KK+vzUIYW80HznCoy4YDJmdr0+EMC44FlcjmG3JwEE+jSwM+zgAn3ZCEYxKNm5mwBHEBaBPAFV+Y&#10;wCquftEa1pCDA59u6OVsWCXQZB+umcAqEQXSYBRIwrETPnsVONmGFBxfIK0c5BsOcLgumpVDwcX3&#10;/OJ65UgM6E41rmj0erZyxAMOOrOHUwxBOrmGAybnK4fDIf40CJTDedaQg+MUaIdLNxzgkO7KmTMa&#10;84tXOONoZu2N8fHQ7ZES4JxJNxwwOeUMh+Nue4DztCEJx06GQ7PdI5pO3RSI/g0GAsLiooWSg0NK&#10;t2bSmG44wCF/TQI4EDmD7/nFKxLQScwBVhote/R6sjbJGfY4cOZpwwGTVyWg7+GjqXc1TuBpQw4O&#10;KXAYLt1wgEO6G2c4EAmD7/nFK5zpbbftH7qro9cTzngPuSyuKZZuOGByyhlE/aoSltNfgJNtyMEZ&#10;7JyKLI6IT7rhJhyjtEu0w3nWkIRjt0P9AxtiTTeE8RtBnzQk4cATse+eD72wKPhkG5Jw5FZZdumH&#10;XqYVONmGHJzejmSAE+3OdEMSjouv+lIdnyLwTxqScOzsCXyifdtnG5JwBturW/702YYkHIkD3uWg&#10;kbc+25CEY3e3h/XTZxsOcKiHTVO7oiw6l1+8oqkHaurRr06faOqqR6sJ1LjoERUZVYTE9gqNreGA&#10;yammRsJU6OUSPdhBph/UOVkaqHOtIQent7u0w3C+cpDxEvApPdyjHDGIv8gfifgVKhyGs/uz4wQk&#10;hWPvccMLK9lXoZeTp7P7IuQKxK2vNCjjcnRDbLPBaYfjkQkJXoFuyICzHrjYxR6ShaM+oh7mZxgO&#10;mag63Ig4vXpL6u1s3CMmLQ8HtooNB694PRxipK2hmUBnV5OI7j33qp3LgU+7GQ75YZxARHSwKyMJ&#10;fryBjzkc+hEpFjU+fbYhx59BoiT31Q2PQA0n3ZCE4/qghWO3GP2IgJcwAW4V1pCE4+xWjejrp1J8&#10;Ud7ahgOcolGpC7i5LLqLokf55lxquE2Iv6pG0vePZw2HWZ3DIfZIjYpwsg134ehVulPZt7HlSUMS&#10;Du2iBREWgW7ZhhwcN7fbaacb7sJp+FPgPGlIwqFZ34qV2/vPGpJwaNbbSnA5QIaXqpVnDUk4NOuX&#10;xv06ZBtycNysXzD/IG88CDxrSMKh+M7xqmd0q+VZQxIO9+wFm1DAJ9uQhENd3fLH7f1nDQc4tH6v&#10;dS6/eMU+piutH9STAyhPNPXDbvX7sYtmY7rhgMmppn5QIY9wBNecSTfchdPYeQXOk4YkHMlw2u2I&#10;5mSJUge5hhycPbVC7ZW4I6Qb7sJp+FPgPGlIwrEw34O8ddmGJByLdOJKcE2NOiXKH1silw1JOFTI&#10;SF4Lcr0nAuzHoScNOTgPu63HuSJqtnRDEg7FF974gI/L9bOGJBwLfz3ik21IwpFM+zM2oNxNruEA&#10;h3rYNPWJzuUXr2lqnt8s/gZQnmhq+rYPN3XphgMmp5rah2tv0NINOTh+udDCSTcc4JDu5MyRxvzi&#10;Fc4gXcgUuCq855wpPZqtJd1wwOSUM6Pd1uPoGHVAuiEJxyJ7kRoYddqYbbgLp9laCpwnDTk4k0WM&#10;HvacdEMOzihZoruuae7R0g05OBKwdarT0g05OCM9Ru2ek25IwqFct1uLy/WzhiQciLPRrVk/2YYk&#10;HHr0WptgzDYk4fAU0poyY7YhCQdHg51u7RlBfqcaDnCoh01TF0XpOpdfvKKpeQ9f3fY+2UMZBMIe&#10;bvylGw6YnGpqDne46U435OCQAgc46YYDHNLdOMOBSDF8zy+uOSMFPXbBQII3Mxle5wx6WIQYauDU&#10;dme+4YDJGWfKcIivCXA8GnWC57Y6oE7cJHCRs++GKTjjyoCzTdPwXNLSDUk4FmEJFRDwGVdL7kRD&#10;IOhYIvi0IQdHAh5lqR+G2ytI7g2ahOeIokqf9ShZkSGK94w/40MqS8hwRm0fLt2QwweVKw1OZDfw&#10;0/P70AhIaTAJTcEZNqk8BHy4EohPviEJx5IVj3CyDbfhBLECeTSKCxN4vSEFp9YgYbh8w204u6Yi&#10;f2o4rzcc4VxmHYyjXWoOvfon0fd1vYgeth6kEGullnABbnKKC9LYwHQc3NBKw3F+YRVyB7Y7Hs6M&#10;dMB1nKryoVuig3CSUieyUjsUr8rDYdZBh9JxAR9LQcVw8SoH1RsMjobs5PCZ7HiPa70gP6MnWD22&#10;hm5ML5JEvzQ+k93io2ZNgw/p9mhc6yPhPJQCOXxGqXAl1H4018dQ9HsDKnGEfQuI2jkWdVDz+MAj&#10;TziRPIPh028N3dgwWEnZHD6lF5JUazkYiGgX019G5KlQDm7wZ+A22KOOToDDjfPR+Od6qYW1U1ob&#10;cvj03O8Pw5kTAjdeEdGOK1s8eGl5Q+lgowLcFDU+6YYkPg6nub+GQ9Um0Bxye+6oEqCRxgd25flw&#10;nQWgIJwgLuDScCe+oPRq5AAFmG0CYFRNUG943ImXKL3gdKiHe0B9ilj1KJgbG0y/sSHHH1QbsuE0&#10;j9319cOSvrFOox5lAzQibfJogcVf9KExQ8R6FTiUg0c0pBHewvWD025aDkovrUNR4FAfPBp9gApO&#10;yriHesSTdPNejfg+pMTrvuy1wkKZgDesd+jGXpbLXYbjQUcuVoKAmKU4dFBZeboxK7drIkN5f4eb&#10;6UYOmh5JuplXdOgan+Aj25CEQ+npmuOE86eDRAa6kdJ4ueAG3dhraJe9BQgNA/hRwxHEdwGxhhw+&#10;qBEberkcdDxQSYhCgMPUK1T+zuNT4Ohu73AYYDdIiEINpzRo4FsOn9ILZTfq4TourKGJpywNmsuW&#10;g+O92jApFMk1gjb6zRvMO56DU3qB7DU+vdQbF30gBvBpA5K9pCEJRyqK6nBxX+izDUk4lJ7DtGmP&#10;olptwGeQencys+mOvh5oH4iDqCbPYKFfoFvTgAA1pQAMrDTdBqmorXRr7DeYoTptVOAKE2CDeN3z&#10;cLxXs/+I79umHfVoacAU83B8uCbhkS7QYWxCfkapZS4UQOX+PBy6mpFtFeWNPls0RP0mcBUOYmXS&#10;+Ix2FwE+xeEY94zssajf/PyDlhtwsNp1drrbu37j3Qq0ZRSQk7N2tHDKyVttnXmwkFaUuabmLd/E&#10;vuzBXcR6cFYzSqLqdCckt1XSWTW4pzuOHH8RDocTpMJwnICc9kIDcbGGlPZAAVkX9jgcSiUrPu0E&#10;vMH0QBIOh2vJ4xM4EJT4FN5EShVOGc0eVhdqQFl6k7PyTexrPfZaorLSrIdzs7PwwqGJUptLgx6+&#10;c9iXXtCVNdN8AlIBoW5wXKwhB+ch1eoFn8NwkD1taCbw8IY7+JRecamjrrJNoCWo41N4EzlSOKW8&#10;gfJTAcSTQ9RO5ZvY13qMthGxB7mJOH/bOTY1SE4abmjAajg9V5XhuBNuXeCm44Ic+vzJf1ewO9MO&#10;w9EC35oJDN5wB5/SqyGPaHiZwIGgJ7yJHCmcMt5MZvTgsLivAMhz+Sb2tR6QJQMeRRYPEHFW0ZD3&#10;hmHTE3JqzVS94nETa8hU4xbPU9gsbDFZQw7OJC9nyNo8DAeZ0IZmApM33MGHvfZ08kqlDJwAWeBi&#10;S3zYcMCncEp5gyeF1EbDySy3b668BoVXJhhVGEq3+W6OZqU8q7STRd5NMm0e5ST+spnBCaK9lpgd&#10;saLOljbgCY9a0+KVM8PFlMMB+1M4SFXfh0OST1jqPhyOTcFKXf2K/qHu7iQc857Da9YMZ07Lbonu&#10;1DPeRAxabsJdYDSTG0RIDGZWvol9lcodg/nxGFywTrrekq5wmGsa7PKim9U6TWGPwm92xYR64DXT&#10;8g1JOJzdGn3tqEdgUoOHh+IErGoXkqLyZw6ndG8ywCWYb8jhw5fo8KxInLY3NHd2PgE4KfYeBzhF&#10;ImylzeadR55dbn9e8UiCLcGouPGYjzcEi36dzDrt1lKBMdxlnUkn4iu51KNHFq+xUNDjkW+dzAcF&#10;nwr1WRw5/jIKTBbh3m3RsYcLf6qUWPpkhfmoFNjcpokjx1+ktJ2IASdYj+ssj69gS+nWeOOP4vmm&#10;VAtv4sgtNzs8m2YzU0EH/8s3sa/pgI7E3OK9XkebFtcdUfge5hnrNrgSVM/EkeMvg/OwawEMF7DH&#10;pZ3uz2gIRxc8i2A7x6aV7g6yfA7HLOFui3mPKBuq3IQyCtLpE+AekIRjUoMM9WY43uu1Dax0yh45&#10;OKxpidmFczpYTSGM5t6ZDERKFYkwyRT1LwJYUaB8E/uyh50DW2LiZVITWbyjV2taPMlENt/IZsaC&#10;cCSDEGLN6JbCKVMFY80oHGj03UJJUbkartnu8bSAkUadXwWOKQdc79+AI/vpTml59KOy6vAAkZ5t&#10;OJzDKby5kTW9ShqicjRGMVUNcbWtBU53vqqLRJgMMPCKkglKl29OpWZiCjoe9w3YI2hjny42umge&#10;Tbwte0B8srpm9XDa5gp/ZegDhCOSvzTgUJCHYzYnmBZUF3YoFdtjg+1Qvd0u5aST5EGVl4Y8RQjj&#10;BGZmfz9u+Gx9A2/tmlXeplVximeo9UQGIueLRJjUDK4eXZ7LN7Eve7CiwaORZZ4FqFB9zcgFjE33&#10;hh3QQ4/amonC0WMn0QYVDoeD97u0wVZzjps9FOA+XKf7pw9Hh748lxaWhyPaYa9MSycjNfouuhfW&#10;wgINYCgTOPImcqRwSnnTjRZ0h3ojtJ/LN7Eve/jOEbnZjbZBIN4jYN9JQQYl/404zo5OD8ws6Br4&#10;8CgcsGMqFYwexv87a7PMDqepMBy8LcbmFlFKp0VSpaQGnLcNr5EasECtYaoUcvOMN5EjhVPGGx77&#10;UKNiJ81TjY65kJjx8h1JdNyf9eEOn1Vv767cO3F1dsvTaiY/2XHKDgfWqZH/ht8BB1KzHiANgZuM&#10;0sHaDJq2IHpnbRa6HeCYwdMW9PIjORE9SE3LTWzobmvskvmUm8uMq3tdafHqtGqI5YsWngXBl7xm&#10;Qs0HzkxPKWQacv1NlkVHVmtzmblmBvdURVmOv1Sel5m6Zoz7JvAx4ZDFE+BwD5BMmaymxePIpqFG&#10;vZF3fCSbfSeoBMfVcBbPPvV40ohB/GX4LObh6ZF8GYabzZHXw/0WG44yEEdupQYvmcUV8FRqcN6g&#10;ZoqRrjhBUgdE8wjPKnjDua0Z52jaSbZ/3TcbOIyYaTc6P0GCLNRnceT46wBHZY3cLNOWEIOKm0DU&#10;5Bk6WBoOa/MUjihyxSde6OL1aW5EUWrOeBNHbrmJgvvGTbtkfcpNvMzIHrGQm7zRa9PVSwmSBQ1c&#10;zTfilvFAObFXH0oZzs4CsJ2DkK9e9dpqHaaovD5oujZLY31AinbyN9ysGm746+FxNJnGXWMtHIVu&#10;Y3SwgDfW484N7CpRlfu0p8b7lm7I0a2j1SWBApWwrx23/CYA60zWnkjnxHVT1meR4NhX1+aKl2tN&#10;CNUSdqkZLQgP+2aIkllHun3EX5Jdm3D/cwlG4w22s6n6Lt7bw1/v6ya/cxQ4jUbHNYPtUKhmF8iP&#10;J5xNbGEQ5vEh3fr2AOeItifvI28iRwqnTG96wa/eb0bKN7Gv97AV0MwKRpWRv1mbeBHGtIaEs2Wx&#10;x3szhBP9DjhOuw6IxntHT0V/I9YFb3aacPR6UqF0wko1sZWgsWoxYQKcmXr4U2vTr01QlCsIBxA1&#10;5YAgyAAHNd1UapANcoNuxEdOpvW0C6tj4ACsVO6ELgOR80UiTAa8/qIJ+tMdCgdFErPZhqU+tW6o&#10;OC3U00VIm62ZG14k1DVhrxighEsWMk2XoLMZKTAGR83KHDcZeIdc0Ehln/YQzVc4+Q1R438SDo3E&#10;Fg5TR7C4ojid8OZ1buLKhDRTC/UpN6HR2UMlhsTEAwPG5kb4cBdi5L9zFlhF8HfhaGx0XJSZrrGw&#10;Q59Az8PIpAHFKSqvUopb9+d4VMKT4TZtPPpbS+eKgD7rofdcOTgMB0QcV1Ap60gWSPxhtQrglCRB&#10;NUAhB2eixpXykGE4X+pRas5k4HWpKVodURwC46nUFMXdCIffimAxRRtdytXufCm7U5xV/GXa6eG7&#10;bQyOxm0Sd6h4FMMrdtwD1O+UonL3oFnRVGwAogZHXr2qyF+006T3Tzk4rlKm5hIs3ZCDg6Q2W20x&#10;G6A4Phqz8kwGIkfanQPeaq5ovUt5KjVw/5OYXTxa4KF5na44uisqe7gJwhvp34yzir9UahAlY2bF&#10;En2P0GmmuJcoNSuS/nQC4hjQFRBHjr8MzkTpnDWT01XXzHoVJhylwa7nULP23BpmjQCDcEJjfnFd&#10;RQCJ6rbWRg1qec4ZBhyyxq1PmOlFsA6ChVbOdeON2+Flo9IaI8XyDSn5X5g9DnzCsl0kp1O3oaif&#10;0GCiIdENWQkocJqse+DD3aa5t5R0V92fbmTl4uzNParZpSVrUodrdrUTGYgy3K5nOFFIgY42avkm&#10;9qV29vUctdnmfr9I/ZV2E55JStMY8S7GseiTXOnCs7LMLrJ0VdoBPSUwGwebYtbzxlOlrOhKMeGK&#10;wog13zBOPDQAVfTj7ojQE0WyCZSGWnY4ZEpkRfxljPHzzty46nB0MXGJ1tEZ8+PIRRQUBhLsdSXh&#10;IM6DcPkm9rUeE8N2lujcH9MNB15SGV7PiV9cq8tu47FhcpPhdUzQg2SMbhAEPnlDUJcoAWcbjFmf&#10;B0zOKAbjgxtmdIN0UAjGx7jDdSvNHwkGy6oxwLFpI5EhiDmsWZNLfFHL/8oT9ayXm0l8eNho4Wz0&#10;rM/NifqEN5FShVMm+wtXTJqbC/3kEvFWIznz/C0BAKHBNwu9qMlhz4jrvl2VM60PZNJEOJzADD6k&#10;uTnT1J6j+oVWMKtQLppqfGRB7rvILW56zIyFFlMDQyNwU2queE948zo3V77eCo1Jt17heOyr/Ie/&#10;l7IctQxiH20Jzo2L0l3HpuRT3Cxu6oZp2PrN+pyb2yg3fuYb7oliGS0xtwUWmOmAptQ0EGWDnlmS&#10;+PBCoKnAXG4k5mYDPuFN5EjhlPGGSU99kefyTezLHrxAQQJYLbIr00z79sjQNTomh7272+eYBlz8&#10;/c2agaLlzqzXR0k4tGbkLrFagqvfl0sEX93ARFtc9d84mvSWq9Mv8NaF4bINOXw8BKcVjt5XW7T0&#10;8aKlL49znVYkQmVA0lBUOeEsDlQwsfLJmdBsllgCnRFwl4pipuWCLG30dMltugKIw8ZfJpmMIpqb&#10;ayWfbYM3Y5UkpDILZINdvc94id6H7N9TPNwY2dKU4N9gWijwKKon/IgEKtxRUiEU2KyI7DsYqIRi&#10;G1IjvghSpjDoEcL3HInENynJn986xH1aL/X/l+F8neqqO2m44ZEAHFKgtdc4bRxA63UKdcAe6pVO&#10;sRLpLe75COplj8ZWZsYA2zPePOGm25627zxdjx0fxW2VEdJCSH6cfyotBW3MTfxGvEm30FyeQdUw&#10;HO9l2nwaSaO0BXaujCItTJ7dYFwaYi508TaOJ8yMfLljMC6WmNC3+TTwO9i0o+8X5j8VxsX9zyk+&#10;LUeLsPOY0ZgYXdvjIJ2tDkD8uS3c4skr35zNCrHn5E2zIzJfo29mtYoqVm6qqXSY1TkcZ1os9AEH&#10;J6ccdYAnpsAruYttDg7TWXDLE7YlDEdFq8JB8pfoXnttJgeH2TGQmqAD4EgxIZRDYrU8EH1vx8xb&#10;+UGz67QmUKSwOt62nslA5EiRCG6yLMq0uLesfBP7sgf3X+ONE3O1spq4Ao7kR0SFSc0dbq4uHPGu&#10;eZVEQhXCFntvUFWf4+ZCnxks3sA0n/Yaz+xIzDSlirsw6ZGDg6QqnfZhOBK0UULr6vg4byJHCqdM&#10;bzJDspe568zKN7Eve7gCijKGi+6oUMlm1ICiDsApOIs9knyMZu027Df6S3OU7alpbTGlqFwiByyj&#10;rEzbh2s8gx5xIabKDXyMCmuzsTp5tnguKPGtqyKaw8efb0Jii8zO8fH3lpAUGBvo6SkyEDlfJMJk&#10;QK4K9gWFWxqjQPkm9mUPWkGNBsTFPZd61LQl9vzOmimh7GtMGMBwtnU1WdJlAkb+HJU9NH+LOxQC&#10;2M0O2DSwwsnv0eqrhmIk4VBFttyUWxRlQQyuQ4z7gTeRI4VTyhvcghsLCqXLN7Eve/jSaCIiWWG1&#10;NY9WD0a7tZ95ZnmraVkSCOH5wawssW1I0EmvzRJa1qzNMu2Gm3DCGpst3TjFzXLbKk7pam16/i4e&#10;RIkGwglvIkcKp4w3C2M0TGIws/JN7MsellOLSKVITPcmNhpj9VhtXN/mqTzTRG40rWf7AvugmUrm&#10;YsElYhB/GT7i5NOlEc8cMEbtACd3SzX5PS9ADt5Zje6ZmLjZDwdFOOJtCW7RqYtUUFNC2428nZKH&#10;2KQDo4Fwoq5BA81K3QMO0lkkQmmGXZAzcwqUb86o3LHaad8sDYRk02yJ4oQYZapG9V4cZnUOh7qm&#10;wR4h5sQeZKi4iVexzHKwfOckHE57azYiiZLexampsVMCUe5UZQHdOFzjd3C7ZmvwOeFNpFThlK2A&#10;iSEyViXhuQ7wEKkGSShUs52bjQ73YKSymi0pKpdYMLmvq5gGHyS52fjUJdxUya+++yQcZkhu6tjn&#10;NoygN5NOY1ppMFckCknc0Gko8r/PDmGHwdpCwq2SB6WkG41uZ+hB4qXSuqblqE873XCgWys1sJ1I&#10;aZXMp1KD+HEKRwzeQQUFCnl0VOIswB43NCAWNIdrKhj05vFHKfGwdcF2Vjigct4fgGmrFkRd4RCj&#10;4kVE2hLsTgHAye8c6EU4eiVMbnYoZXSua05487oO6ORGU9eN3hE956ZHqjb7GZJvqLjjOb2TeA6F&#10;oXw5yFico+01I4+vWwz48eG4NJwsEukncFDVkOeNOHL8ZXCYKY9eYW12E3yEOlxziTxZlBoWbX5t&#10;gtKqug7CMZvuhEoJBsIZbyIG7dpEbKJJDAJWTGuUb2JfxR6hu9RMeuomMUcprq/Yx6xiRKaxQcmS&#10;4uZIPzpyX8ISHGFuKRzZjytVjx7GTUkOyGpAbFBGZQTqheGkhtyOTxP4OtJfj2ji/FkAMTS6QQxD&#10;dBaBPKZS5NXxgA81Ourn3cDHTl2o6h82CLyOYNLZBKWPs3ngkcuf1zUjE0jRK6yCkeVHUE05uLEQ&#10;VmgTGG54q9DLpEdUVU2e2TZwKL3IuNLgmfJRkuMvk+vZ2RCjvDEB8udJQ06ufTipZhvwsfsu4BkZ&#10;x5iRQfRlWq7llnYX37mRa9zya4Po5XoCqwW6oXj3ztEcPrxTRJG/iM9msSnYe4IdjQIgNrPphoWH&#10;b23aYzzMQYWZPpDCeDU+YqTqAtbL4SQ+ZpbDBonk2ew4OxwUBYyUHU4HB26aPxv3ni76OoCPKQpc&#10;JdX4nOnqKMlFc9tOtdp5bbCqKaBA+Sb2ZQ+7y0e9ugDc49NgkIYzrt9DsSFFZdTg060fRA6L1+8J&#10;OWVuL7hZND1tav8mnKYyB6Zt4tTUygeiJjVWXT8HR56oVRmIMQK4DqZwxN0KYaDcRy/uCAqnlDco&#10;s3GgQPnmjJt7Ld59Vk3VHNSfN1XcvLCABu6hGoSTwn6YScwmGw8Frk2Wx3j6QgEQa5Dim9k1A1+r&#10;UUAenKuW+sDH9KA7g4GNBiP/qPe3OXwWTMo0R1DFeKySe2hUqme8iRwpnFJuoswCuQmzVSlQvol9&#10;2cM8FnhfIuy4CIuyxdSUuppFg6hUomuWyuh1vjQQTGfDIcu/Jj+uIUkWP+FFDOIvwwcuZaNyjJ4r&#10;0x6jExx2r/UwNqe4CUrbSjMZoErJNyTh2B0+LLywE86ITlJEEQwX6HYiA5FSRSKUZiixw/Wpxghm&#10;Vr6JfbWHh9HwDTJiXxR3H72WEBry5U6+E4P04b8J+yb8UlxMTaasnyT6G3Y0KlCZ5pDnpCodgGot&#10;RhoJOwsNPLGgaoU0HLjJwPFrGvOL69Dy1YLthsGJ9jpj4JtXoRijULhdMEUzEGvbpMgMugMap+x/&#10;UCgt4s3ZL8X0dt0wN/5CulOhO6mY4sjxl4mZvMijw0FFVtRH+oSx/5BXAfNTe9xQTp4NiNTUYIeI&#10;f3EfDbWsa/hMRAFbzrEhaxWPEzbyg2veY/szVExhPV2VcKJwuvHWdpYX4hSPRok8uPUYgin2z0ye&#10;xJMZwZ7DKcSkSS4WK34hEsYsmfFGjEQFJ9qNKAlO5YsYggCHy/WWLhdjeSfP2MCRSiXaEE8bZ7yJ&#10;AlyWqYnA6kNp5sxTbsJVQSsjAl8XmoVSUL/CHjc2PM1oXaYUN726byv8nnA8NHkA7mYflhtnYVxP&#10;2uyaUIh8Qw4fCc/fmWaJRVROuOkybdIowfWEN69zk+F4cBJw/ReGx67KfkYW4jy7d+CcJFZ+n6uk&#10;glasZOwabN1dwFOYzzxkSkXkejBuvRJBVv+d9rolNCSB2IwbD4DP2BItDhjOKsUpIJJeu5OlAcKr&#10;XJwNArlO+BG5ULhjO8vkG5VPq3wT+1oPyYU1VoW9wG8i4OEIk/KUaLjg8oYyaoCY+DZSmm9IkRjV&#10;i0wlSxxeJRWdP3DbpBjAE20zm+840CWNSnnZmAQTLajWVjjhTeRI4ZTyhuHsWI60xconsat2WKla&#10;Gxr78VkuqiqaMPZvkFBL/D1F4ZW+mAbI4njH4+tCz5KlquSA0O3VLLuVuk6iBWpM7CIUOn3fO3JA&#10;eEKe9VTJtc0IPg7Gv2+0XEqaTuRC/HXOxDKY2S7G3Ku/HzApIqAA9m1MJVHrsaBH+eZsSnAN2Bpp&#10;ljbqXNikGt5CB3D13gicwq7AlRWj6qA5aADHzL6qxw17GuLL4eJaLL6WhsNwqVAT35CX4jlpChuA&#10;BTTP4+n8jDeRI4VTXMJ2MZfeg1c/HJkrmpKE1wac/OGQB8OAOvKG4wrhUkQyulQqOJH8aGCPG85e&#10;HELITT22F3wsngDvaYUdCaGZxMcP+pHK8ZdReqN5bDrD4Ww4leqCipcl60Y3lOU2HtYmjz/XvOQX&#10;1wck3H2Rasn1vDHrHvIe9jwoLDs5NesZqFtDsfQijeIvxWcrp+oYQo9bOTu4NAnMVcON9YwgUDIg&#10;7uHVBPQ+nSwr+Cx60j1w5hwf7uFSELXaTQpBl3ivgYAZyqZOIAcHNg4FKuxaCOfhcFFvnMlAxKDV&#10;G6xdi7XBDbB8ErsqM/2qsLGT/Pq92WH5HAk2j7ytwMhJ6MFwoJ1cXuISZyUc+I5vAKG0NAcjB96k&#10;I/EBFzwata+WFA9Z6x5nw2BCObma7BXfMFE8OG1a+XXnEiNqZVnvCmmJ0QInTI+sLiJgTJdYUR0p&#10;KyYrYTfyMC/Uxo0AzYslDaC4ME+RcVbxl82MxYpx4x90GJSz7WJGSa75mVlyZEmKj3ggyjRfc1xH&#10;dQAzCUwsHA4O8kazG4EvKFgSKV0Nl2w44NNyE+5CDqVeXPQo35xRueoR4w3gKqIGj7Zw8SHKjVr2&#10;jLDRj9noT5RetlOTsLvSuFXDnQw9VjWjCJDIZdZLkyDzcG/NxU3iOdl4MWkZZwWOhaBjAsEBUhHa&#10;WRNHLozSBYDKwyZlrjDKJ7GrdljAD13K8XptoS1qy49zXXi9eGdZMnOTCtkHg0GvwDWEkH+XDFP9&#10;+w0XGkO18bRw2B5ZL2OQei+VsDiGlpFwWCjn5LKttgHiJ8olhhyf8CMOW7hj/HhwM8+mcsKMJRXj&#10;PQASac2glcvVCvOZKePQrfmr4Fne0FKuaLhr4ZalPuIti0B5PLzICdzgIzSEKZEmJw514NnQcNIR&#10;vcXKhyU0Q2DCXoFoKiKq0yaiywlvXucmiyLASOAmVhgeuyr7N54om/1rY/xhw0p3MtwxddyR0yZr&#10;8uKgze70NX+Rg3CGiV/rNLrTgwwb7jomYiqkdwgeJhF0Xku4BxLK+qsknwUOwPK84BeexGinzU2K&#10;GAFxwvRIoCICprQXC6UeTHs83YGRFsIdUAP7KKLIZKEyUNOsNDgTfWeIs4q/bGZ8cKxdI57P87Qh&#10;pVZXuUTZdYtxv0ybThnUIK85ifsKo4Cp9RwcqZGhcPRu0uEsvARslEFFadXsBzgHbrISEQplUsjK&#10;N6dU3pDjq5o15tkgPNA0XnMoWTf6XpYb4c1IKiacqKg925iHGSeLr9Zbl1lIuic3g30GF4uZJxLy&#10;Va3Lgs+qAd4HKp/TDdcTys148F2doFJ7LcChOBXexJELp2w/nrigil4q38S+7EGHcKP5cDNJsyYa&#10;CZA9LtoLGTuFI0Grij3M4QrJZcQ9tjZE7JeRqRRS9hE9UlSGHUJuxvtxmIJ2pBHPWT2BiTaM8DsN&#10;Z6JOa5IXFz8FS52/AOfIm0ipwinlTTluSvSgzqx8E/uyB31cTeIqyowZ05q9ZwYQI79ON0Vl9KI+&#10;i8REPQ7jplzkVNijg5Hf8rlycBa6JZsnvssJ+QCHIW2yRWe5eaA0VUq+4YBP4ZTxZnMLTiUTPco3&#10;p9x0ixRZXYGYkjKua6ZpYNFJlKWnSyyOHH/ZzPzc3shyOdA/azhgfwEnyoBT2d0NTbIfJhB7JOEw&#10;nk5qSdZCiK1D6bbFOIwZ3k9rwG1QWmrk/dydDU1SIQ4FXFS4IKwncCIDkVJFIpQ3XpEU9Qqonco3&#10;sa/1YPmrwfQmqYyKpNS0UWq8IimkhjDiyPEX4bg8N2lOLFWKCYSjCiIKqYJ9BcSR4y/CcdspRm51&#10;flwVm7eicgnRFosky00EXNv+3L5MLoUTlM3x4O+1XwdLEU5JJ3oRToySRSQmDQS9cHTGsfJpJQOR&#10;UkUilGYLbAqdctGC5ZvYlz18H4i3zDDyqeqjFbT43Zhlz6ewRy/azlE44OCgcMSI/6pBF1MOjl/N&#10;S7xkJRwLi+XglaCwNgHfZmbilIODSC0TjpijiNo/bIhK6Iw3kSOFU8Ybj6FJc9Oja+T0XGM/M2Kh&#10;KXkAzzb5csNG99f7sNSjVSchQrpDqdqiLOP5QCqhG+XcSq9G01YNjTtJwo100apyyHHT0wHkuBzo&#10;Rt25xahiVHejwXND18BzahtEU1wA/n1uRI3UnMjA61KDrEozEkR9qBYskhX7qpytMpmz/QxWBddm&#10;DNbCSZjW9g1PeTmOb9HhgcJT1DXxjszrr0HT0jUVMYi/DB8+0jjICaviJgx9nTaeXgjKAXe3XLQ3&#10;0kFggrKXhsRS2IEe2RyVKhrIG73dOkgn78wVkzNe8otXbtWLkU5T+IkAMHahWc18+n1oysdIRp/K&#10;i67+AxZnXPHAlS36K7N/TwHh+hotPZ4c8bN+IxEsMooUQZIqzj3+Mq4AAdVxMXRZEMv8/YAJWcrh&#10;uRg8Uo0fXPMcxYNtRRZMnjAdKWg23bjxwlrjKSPqcDwvGBsOiJxRCwl1NIr1nO088YiNRrl7xe9b&#10;9hXgcG3FRYcIIG4JjTqQFD+TY2rKiEH8ZdrF6dbsFRULoE9rtXPCmzhy4ZTCKJUJzIoBpcs3sa/1&#10;8NhWK/dFKnt9roNVzjfHsLpvWP+SL6A0iwd95FGSyrqUfAIDTQ87fKWkBjyjPMdCJ3gclxOIe0XH&#10;CmXIg8jvFaA0rb8YttGNdENuUbmf8SZypHDKeCMPYSnN3CYp38S+3oOzijslsmm4Izdnhd7vozQ9&#10;KEdl1gAarKyYM43vNYKr8YzFckJ4+S1/YvbSRUOzZlAHiltJXJv+6gmkhz6wSKn4i3SzS7FRLt+r&#10;JQi6cedvxJYPrkNq8p4Trz0JCyPCQX60sTraiyj1cpCBiEGRCMUFD5Mqq4ELtVP5Jvb1HlyCugLI&#10;TX8Na9iiuY7CaJSzG3YPaho508Jldb4hJZ1evAm8CQ4FNKgOwDuUwY6DI13xgYGX38992iiyGBU3&#10;a06N8pRSJU6gG8VJqy3l8JG6IKIHwNlIN75129qlZzIQOV8kwlYAH/YGq6nVyzexr/bg7c2VyTTi&#10;0e0a98UOjGPfEUAcNv5SICxhizqKYb1k/56jrzlyRqtXQvGXfWcne/N3D8QZO3XwpKB4vE1LGMQV&#10;qaGDnPYgRv6yEkicv9FAL1UlXP9EB0mF3BqxRVVSCUZRx2jg3gEf2pHXssIvXrE0Jb9WpVgvOwHl&#10;dQnz9x6wXANhkF5B9RP3cn8Kg3r8gMmZkMHDQ43ZwOnMnQwGBIrB1FVNhhWZ9xgijIaMbi1nM6lR&#10;pS24EXArQ4WlDTl8ejuXwxYKq8YfTG0lDVHwB95EShVOmQyM8Dfc4ibKLeou0yrfDpE1NlQMVUF6&#10;FWGouk5h7zXQWsWEtCcujKhGqx5+corYx19GARZHA16ByiiOZnBQ+jGsMz7+i/dx94YcPnw0uRUO&#10;L+ELNgdNiwZy84ZvDvwhtWMwQr7hgE8rNfAH6FkLT4gyDqZ8c0Zlz3g9iCydDK2a89L3lLPDrE7h&#10;MHgZW2lcgvJIkG2+UQdIArw2aMZYDg5fIMAjwHEvZ9DL2Ecfk+d6jGKLQm3n4CCBRWfX1IhAlEKy&#10;IQmHrrFmh0aFYsKJtVWAj+mBOw/Bo6oaF1VzSnd8OljK1a4G37dZTXfKKCF/xXR0U8cHx2Njt236&#10;3FYRxmL44BH5PH8cTqvyVzP4IfBhVeO0Tf15R96cbo9Y/gEENf50MWH/bI3GFVNWrGpCpNBwX9O1&#10;A8kp38S+7GHH0VZHo0YvN9a4F+AGmzpN9+icdDLImhZUYZrdHh2WO1+Aoq2dhOPHxIZpLFoG5R1P&#10;Aj4zM5NTcNxzzB2E+MDha+TBAbheBZ7exAkk4TQcLXCyDQc4RSJUBrAVcEGpOYoe5ZszqcG7eRTZ&#10;WOIEoUhUDs0dHWtIgl55O82v4toluEjheVX5UactDLCjOB2wP8PHL28ga2FrWfysJH7/SqfhbtMo&#10;ID7Q7F6AabvGDcKBomlsiATF/Y3BuapycoYP7teNDagoVU8735CiG6LTzWCU6rkVeRB0a/yREk2h&#10;4ShrEYMieWbdsWIvjCtSunwT+7IHgctarIC7S6p1E/iTHmjIH4k7lLSjQRKQ9CeCMeUgTijAY2S5&#10;swoKHBjoAR9WVMeT6HECfHAEDaRZpFT8RbrR9wYDPcChz7JVdtiwuEk4b+LIhVOma9yDUk7s5ZvY&#10;lz1ovjQKtXL6NBsqnqZRvhgeOVnu6XyQs2YlNUi1okaPV/JIGDbsb9k1KBVs9iD+U8OR4qm7TsPL&#10;ebHBfHw4F+S5idBXUgHkCHC447aG1QlvIkcKp5Q3ZU/rVG093Tk895Uem7KfFXMvYI+bXdqBIDfw&#10;SHHT74NRjT5SebN4SviYdmKWCRCO2c9JOHaDjGJLzbShSXZu4qmwmvx+tXzrFIELNm4Q8ci8dZYJ&#10;CHyCDvCs3Eupoafompf84tqXhPdszbZHPSjjTpGSKD0KByF2hklbbgebrVJMAnErgfWY1XG+4eEv&#10;vZBPcz7cs4aUBCCz05atJTNToGbGLKJucsSHj2+iPnP+HIk0KyOPVNisyFOxoHHNnvAmcqRwSnnT&#10;IwZaWSDhu7rWyjexr/cw27FJ4MNLtzaUBDBX08X7kZSYG7eWOHFbr6acArYmn0DYHHvWDRnv5C70&#10;jKYamxxJ1NwmHN3qyGY8YGj6XOrYKs0ipeIv0s0ybgEneFTBAlN3wotAtyNv4siFUwrDM/ZGRHul&#10;uAkZsz2j4aan2KHWeOAm4m9tDyww4qziL50ZRMK4KW9dVkjmG3Jrk4GZqETXLEHa202+j+csjnfy&#10;fcrabKL38YoiuRlPnWe8iZQ6cHO24nWQ510wQIHyTexr/B/p/kSqRk3lpXeV1TQg0FfXP15YMomJ&#10;I8dfBkfslX2rw7uJAU66IcVNZGETTrRo8g05OCOtWvFoVdIJRWIquBEnpF1y3WAPO9MB3EmNYuV7&#10;5yW/uN5r/WHgEY+JGZTXJQD24vmEu7Jso+2M0BhKwB3PuExIJSCuMw/oxutnYaHDYmYPWNdnFDuT&#10;NER6m+0gvrmKM4iQt4YmEskjvRFdQx0YR46/lD8V3aIpXrFASzFxF6ganDdx5MIphdE/yqohBco3&#10;sS972LUhiBnWM4onc2EocM4KsRls8Ju+OHL8RTguNTHdoH/wYsIEsMDhjdIdvdE/aAk0iV1oMLE1&#10;phU4vE8pkbERg/iL+PD6WGolVVJT6NY874aKw7an34PTcLRMO9tw0E9FIhSXzRwuKK6eExrmYuLh&#10;nbBi+KQKXn0J9oeYPftKvhVLTyfVFs8g2GhsMHXIkyBMqr21KGcgoDOLl3msuLm/ElNxV4oc6/fq&#10;wD7Q9kxWWNZ1bMJMWY8CtYCCCPF1AOQo7n9PAZFwPZkZmBj8LIziRp5m4MkJ0+PcWynB0zeK+2Q+&#10;E0yrfBP7qlyBeErdqQl9wOs2qkJQ7SicY5EWSn7cOJUBDhV1dFlBp/mSC0TB209meCPKPb1TjAv4&#10;pNyPAQNIWrXhmqhAGMnE58YN/4ikEOWllHmopK9qUJOAsu/4TOVhpsiR+Iv8MV05dXDr1HBYgG7C&#10;HhgbTItPdo2ZEk2YFoZP+/hPuiELx8TqMG0TEKyoBp+jTEdKFQk3XTnxzFiidso3sS+1K6+Ym/cW&#10;Nql1u4tTH8UJ1xps8Cz8OHL8ZXCwqnQ4ueqvuLl5xAJ8HaGBgTao3U3FH0eOvxQObg/sdCavz1Zw&#10;vMjKOEb1jyKYZjFMHrMYR46/FM40YZSdPFA4NRw8qGarTW71qwngwSOjgPgJ0JCSGiR82xq10yYX&#10;1cTYZfhaAt0mvq6M2OJdreTgzLz8bGrQTu66aWoUzj1jEOYbGwEqMxq15xiDMKPehRK08Z7gpVqe&#10;t/UgnsJnZig0qBC0FJwntkM3Ja7gmSJ/btyIIKnIz/VBrpG8xgb4Cys5wNNlBsficFP4IEmOu0is&#10;mIVKM7a1PhpLZDCLDmKd36iX0e660SuIFarG6W4FeyDINU7a3NvhSsnKNRYdtaHe11CuIeYGR+hU&#10;001q5+w2RK8laXJ043UmnkdshjM37tOGJBy7sWgtGdQjVHa3uxUmpudB7G/5Xb4arqEb6/DRAHKC&#10;OgXu7L6e+8o924dDIJ+yoYndQFgsEdXkgxzdVtM7NO8rOKpH8TxSlLfFNC8Zl4OD5EdKTzhJwgWf&#10;bMjBYajO1McMcGT0GLslfr2Sa49nh2LKr1M48YzaCC8Jw422PWPnCIoP1ozq0QlX/ul1il62ug9w&#10;sg0putVwgt7JNyThYLfctcgY1SWcn0YeZK4HgvbUOwhPz9OND2yDDeEQgVxvI2jzthDqXeqGMUmJ&#10;/LQe9VVnvcr6IaJ9PAZD4GnvaoBHim4Lk6RhW8flyBI77dEOddao39RDloODYoKmXmJCGoZLNuTg&#10;jHYnh2lH/ox26TD10GfVOkWNH9JND8RJOGYGTBZB6fyZzIEEOC1BbQO080gOzmRWErVigeMTaDZA&#10;emQxgXMP7pnd60nswCfoHTiEqa/jbZF7iiHXd+wDO2tPeJM1sGHivn1oIAVkJafXD81BwAnLHu4P&#10;Y/cQHbzLZPc/wOcG3XC7onI96O5Y+GMeI0ykkQNKKEJabuBjZjROaQ3dOBw0aiDoaHY8So3vPXLy&#10;hmiGHR88j9AMZ3I9P9Rf54iiBqv2QDZKHh88D2RwGnMQyXzW0JQ/QFA2Z5Y//3hpL6R2R3x8nTb3&#10;gBAQMxyw5PL4sFLY1MSPwUy0/ecRPdq47FY9imphN+AUh3I0N3Cpq4I44uRdywFe0rEDi5TAy64f&#10;xCdwuOgmyDek5A3XsWbvSHhgrZYZLgh3b1TkDzs5c8dKwcFh2rZn3KZHOGxoAgwXh2MrOwnHYpXg&#10;Fti56suEpTCeNqTg+O3u1Ou9G+H4/fbURNLB6Wx2iB0oc3BYLwnOvrB+UKXExLepTDiPflGscUQ5&#10;OMx9xbk+whEv4e6Qad4SgVpTjt6LpeGbciMoWMuBPzb3tCGHj7xNvE+7LWuOVB5tkGD5SuBRVN78&#10;IXdualDKhuolOmfnzu1R3Z5dQAbTo5M97p3DZ7CIykkODvW0EWi64zNJDcPQQMNBKqqgIQeHGUPT&#10;HO1E2Km2b8/RbYzXgE2uEaaUh0Ov3TTHm353ZKG4Yjiw4MV27gswSNL4MNkbL6+FywA8uGrTHmPk&#10;AvZ3syjunOf8fd0Jj94HNvTm78Uzx7Hh/zH3LTmyxDiSV8r4RwCNXswZ+gTTqMUAhalFozdz+jE5&#10;zSgZPTKdvuvVe5F0d0okRVEUPykgjzNVFy/MBIVd6uRBBTfKQRxzUt4uOv8g4qZPt2G+x3nOowTR&#10;eLcJ6Mmb2gJjOr5tqosj2pS5wKtbJP5+Qt7UshIOZju+Pz4M1n0MQ3tZP+gRxXMW32jNB+5rilUZ&#10;NpoU6XNuQELxEcCV3cKDxSE/hYf5L/wpDlrchQdHz9jxU65LilR2gIb55Iz7USzzqfqT6rGD2y5b&#10;p+APtxkGEkquHxl4Qsd2i26bGRrbmevRPqCHZ8QBxP4DQ9vESvnHpSD/vBAYF+pt/SbpqdfM6HOj&#10;jckFHvs2FTmT61rzye0ZRrnbB9rQ0XbG1ikYp3N9HFxbeB5IDg0pZTap2I2g4BDfe4kMmHIwLlC7&#10;dAO7Y53iFnfbTYQHtxXEU8JDUeiKBtcpeVP3wxq6i31CAuIHfhyYCWBAYY9uwwmwyRsr+OR8bkqy&#10;q3RLPAxQaOLhbRtq5Tjdhpd12zDKBQfcotRvZ7LisB3wc+XyFmaBBCTUf04Uljcl54SfAlzV58JK&#10;ys+NGNyYjx+MsOuEXCPeZVN8Pbq9lGRXSk7ic5Jr98dPeRuV6tpyrc4l91K/7TEi3kNAsEOtCinD&#10;nvlGbz7qzYQAEZcDdYZSRE4S9CGL/ExFVrTf4rBZw2R+TmHPI6ZlnQ9uCGKiBPTmg2Mu3/JzI8w2&#10;LqyR3Wt4EnDC7wKzjaPj7jjnw/PCFm+y4kFjqRjZCEQBoDcf9dDdfU7XPPVAifvpMOwgOSf0aGZk&#10;f6oelduw+F2gYHXRFSfac/Op94Dwx9GsKf5eEJp4ztxrPsYtxbbsEe9p7NYBGfLgG7qqbUEfbBtg&#10;bz6ZV1fCw+BVkfj6+Qf3nALgpr0tB0q+xr2zLRNso1SXZUPHgqZGRFpRGw+isfSWH6cgTSRo6ca+&#10;vHGCbrgU57AxzpU/fUCLPzBDaT7xlK51msFdW6DIsk4XQCTPNPHolM7Mv8QDP28IYg0Hu6ef4sR9&#10;MGZBLcJdK/Hc6Q/ZReWpVp/i+HrzSXdrWT+ojSF589BZpFdLH0QkdgsPKjeTP6XmBtYv9+2Ln4MR&#10;tsEBjK6d3fWD2zHtP+7Wxee4YbAxgwgK/zk3dOS29/F8eD0GMbLtGdfDOv+4o3FLYt429DP9HLci&#10;LfGWZwshvEobkzsak3G4aTmhDy4ZX+/2AbyTIs8BoCUHmI+2Z7+v3yrrhL0TxynxB/XbyFHGvvfw&#10;qDcrqGDnH1xeSw78ggMFSyU5J+ICpvQUswafoxk9mn0tegcF8WSohqO+OR9G58FNbW6PZPejpIgj&#10;/I0eB8Z/9/CkPij3C1A7MrgQKLLM557ZxiPrsbtO8Tlx1f1iuI8WwP2995FNGwJywj+KZRLUxrnR&#10;jrvQlhTEkS24zAep0FxY9HS26Lb1X4t16scCxC3ycyXODvEQuYBP6B1dL1dzPVt4y6zR+rmpYZcC&#10;1nrzGe1zx3wQjGt2CJqLc5+jmTbxyE9Bx0IPj65FcC9jYpXN0nH/bIYdUsGCbqcC73G7pN3E4/lu&#10;ONiHWJUDS/aSR7zDtuJ684F7XVJqxw/QjYByYYNGsimIfX2N0zuXIzOJkw1tQG8+qseujOWJh+w+&#10;BPTwKNzxXuJhUw5qfO/tkSs7NtoenhHcHOs0Tmc5H8yDjHO9c7sr4vSMn++muIDq/rrBfqK8efzo&#10;LSPZfk7cL9wyurXE70xACcC7ybKEQXxC3oZ7fNMHJf4N6kWACLNOgqoez+NMXECuBhy8fdvUMjkE&#10;9OQARQJiPhWPFGy9/8GGxf2UN1M9PNiWSTc//6CuIhVSCcCb/OHNVA/Pnd5OOOLsnIXoOprrJUAf&#10;t/Qh8CBo3y+G0YkKxa6SwO/oBstOFDiDh+sUDiWzd27Qy/G5pzu2bzf5LUfBgK4dAqcq97nRVG01&#10;A9qAHn9QXoDD9rgnhFtRDhBB5ANgUfZT92Y3lZLB/anPZ7LBLzyhKDgABsr25gMFF/O5lmHjexsA&#10;FxxueCu+aslh9sg6/xX5JdC+tJJKXMDct0uNjdsoR7Jp+NFOpi0HuGbhW37dh/2H55+n39cjX4cb&#10;Om66+3iu5Oq91PJAPogMVefPdRQW2ObDROoWf3CNLrPGw9xgRZPdLJUofX1FysOGR5ZYD49qYCiq&#10;MT+nsh0IczDDDsWWiIcBxj086TYciUDLOsXnuLBufjBa8EQltJN4yj1GVgGB38XWKegmT80Jv/J1&#10;nAaCq3FqSrq1Ab35jLCDDU+59r1esU8MAPSE82eEwW6AW1yw9/CoINljxN2v/Bl03D43IqdXwKjo&#10;vQFGQdruOsVL3E/ZYDnp1gY056PRDcN0HfZFB/EShzJHxkDzHp7hzd2oUNzh19x/RtzJOgCVZIMn&#10;oG+/IYmQeEYjmPVzGdYyIlUMIMYxV7k3HxTUi/mU7M6rCpwjj8Xl4AfXf0GBE3ltGDXVWAlPR30L&#10;V2MSEBSkEKUjYqE1H0TpaHS+TlEug3J99YME5k0JPbN+cFlAa6zEQaLwBYfNtJj9fEZJazCuOR/G&#10;KyPM2uxEVBWgnVgSNQAgR3F06eMZ2/XGVUaH57BfbHak9I4EqDWkIoJ780G6CKXH9Q6OQwIEuxMP&#10;Atf5xok4BwQbSqzCa5ef0/Xl4+b3TCjZLYKe0KNw4ska83WKZavPhbrMAWADIqUjcr9Ht2uy2+9P&#10;sz3KTkBQ7irw8ATYxKNTExyVq3pB1pw+dwBo4lG+Jm/Bkjxq4IS4BtuYUFtTdIuI+h6eVP/F3EC5&#10;Bc7n5v54mFniaFxw9PCMZNXQiq531BAD4TvmtlR9nMeZVZqXZlQhIpqqd+BO1miGYM8Y1JkjsDrO&#10;wQ9gI4YhpY/ZSWXsq9vMoSHa+iZvxUrYaPfvLabMzEHP2UYob4y4yPg40YUOjDNsC4kciGCkKWjV&#10;2ofbyzbwl3hyJkzwpazjEsSfOph7lwTiDduN2ry/16jQTD0aqHwINKeZVvOG+8QGnVVuhnpazJe8&#10;xi7VOfNW8YpzanfXVHl5pVCILMjgoVIuWWAX1PsNgjF9osX6uWWU2DzcxXJNlOw5hARyALMqkB+j&#10;/VccqlHNiZ+rNl8b0JtPxuqWS4SszSUbNgmqhs5wVvWdRZe0KZjanZ9Luo3w20U6MG9qMt7O9ebz&#10;xFX4WAY1hhbTo7YupXLQjjF2Bb3Rw4NSH8QTJlfOZ7hstwHUPuHwfhFwhm5DxcTn3CZH15cmoDkf&#10;ptoiuMl0Gopih3Fbo99gboWEKky2h0clTGrJKzS+I3/KJWmW+wKf+peXyDigbVmCXpETTD3548EM&#10;V3l7sYWcwCPncc1Ruypbs94uXBF9T8mJaKQW3a6I7fkqVqiHTPEtVfdQWCjfOHMIzStcd+7jdBq2&#10;GILczBa4jpjnTULPBE3AFOPohkAsyx5oOJ9ae1VpJwjn6G8L6PFEatfPyRtfb51xqM+J9o0b1FrX&#10;6i6+p+EcjwXsSbPXkYwTgBOHQ1Sg1ecKf3SmBXlsy0YUM/kzrrm72yn6KVKPPsuwFYNeL/vQNFBy&#10;cMbJhm60QYVxSbXKwSiGs5GnVKK+6joaBVT7hg7eohwMS3DF0wb01ulIvY1h47Sz4nkrGLVe8gw9&#10;tL0xwtO6/EEJBcobXejaf24/uAqPz3lWKKJGROlwl7Xmg8sX0u0Zu1biyZiS4X1fJop9iSNDQkB/&#10;PujZQbrh0Ll8buvSsJJHA7jf6MZaSu66JeW/wq66j7PX9rmid/qAFt3uCtJBaKGRByXvye4i1+iP&#10;JsmJW7MWnhu68sV8SiwoktHzc0ZQ1CIQf+L6qYeHp4takmwcsTdyllJl9e8tJOqKi+Ol7Qn0atxL&#10;uRNtSENE2+smRjsiJxchI0FKPK/QzgaxLlH+K+RLsXPoxGsY5OJAzJlxQ1eL+PuJxc/AkooEEZzb&#10;9BA4ZfRDZ5CY9pk2jFhffMm9GGi8Rhq6QQrB5t9PmLc5Mrao0OLWhWdtEJFiNYS4zXONuIRl30SW&#10;UrYpGyCe6ehxE5IRjLmIVgbRlRpU+Xd2JWwtEBX+UdetJBd23G0VjtS1BfnsABO8aiG50M2N4hT2&#10;sYuSGUqXzxEUHMhPOGu1RxSq6M/X4ggUijP1XzL6tlQr0a0awiTM4lBS1X30hezKFhp8SP+Wu7Mf&#10;GRzMeRav4FHhaiT+FlNmzPJYfwuL+4AentyFRiP4FU+Wi8cWYIDRkWXjP6L92nSbIakPdwrNqPoS&#10;NIADN+XsTBLsHdknMbpPodtTx6OSLYLaC2EnIUh/U+E9uqlqMlymTp4nZRpeT/OtIopOI4to3R6e&#10;kdEc1C6x61dsLBsA12srfzJYFo6JM/YYP4eQN/+cLvPhj7blk8F+qI7ZP2fs3tIygbck9pktCHcR&#10;RLRaCwfLbTgguuv0pqISiAmxDbgPaPEHsSjBH0TJmQGAKHTOhzu9JopaD5QDevpaeNa3jD99QA+P&#10;DBdosYKH0VIwQmybwOVO6AOEPW4apIdHMeU3NCRdxTeDzQ8BTTywTsYykcGVbFDu7iGgiUfnJlqP&#10;E48s5pL0hl2HK5u2UA8PolS07F1f4wQfADaSnwNQ9P5YEt31g5KqlFKW+MrPjVNeKCQoumWdQo9y&#10;ZGeSyFFQg2+NpPH1cyguFXhKfwWcezjRM0m9ODRqN/HgxcxSq30cMhsOadR9+wC1f+R/KuvnqePF&#10;6F20ThRVhGOiZ/wB9wyOq8dKFEGIz42igCsepC8TcCK5+z68Fxu7oTj9c9poec2RAvKUh+eMpYvY&#10;O3K1FPvuA3rr5yk3+qjpspJHue9I0jF/2v3Jizl4DE7YB2lu0Lqc5JEdUqqboGiTPHAn/N5YDVw/&#10;pQgQjtQ000rrKmRf0XA4tU7RIDvkgA28cj5oOxgAuhsnIP1PJ4KiNmf8Jm+leFIf0JIDZN5QHxQ/&#10;CpJ4SJ7SkhDVGjhRtqVt4oGzd5vPT1ydizy4D2kCmnhoJaE5r9k7WL8UqxJlhhqBuZP07UR8jmq5&#10;FFudBEV07LqwgIeCOC7EsOKa89H9VLlzn3iKd2jLsd0ofSYYBs5/sqHUxEfqOwGliD3uxQg4lcyp&#10;lh543dWybssheEY3XDBREMcK69ON19+1NxzYoH3b/TgIAaFcn+JPBk1Xdo+gyY0NdNmkwF/lTzhj&#10;96JWAaXnx+8pce8f4nsrQe2o/kp79HMiyAsBEfzcyN1f9oU+oCfXV14Xo0eCmQGIVQs2wL42QyiL&#10;2Zw6z6FEo9RLxSN3xI9fjOANrmxSujefxFOSYBErQzlAWKYTVHqUCraHR/f8OJ/a+kFATyyTLd1z&#10;YVwWccTFRX/ffmK738RXb0l8nw+a0TjxGeMQjMwBjOos3XWKFMHgD3InbdmjNKAAuBhd54NyezGy&#10;MZI2HjSBj7dg6Nrn2oAWf2C8kAp3d4S/dHGFZDpbWMhS4MiGpHTng1EHea6jGNxCnj6gNR8EwMdy&#10;hPvO+INwrJDra3GUvMf5big+hHH25W15y3OnJp6XO/fnG6M9QJduaO1Juo0cwIVuWfwfwYu2sHDt&#10;HxY5rqD7+w9KrJIKL49df+seDO0uTa4BCMlBo/C+HKAPleQAr6/zGbkTGxtKdgUEhPJ25lYELVGC&#10;3TD+jW59QEvespQysvmMDc8Pz9uo9mkTRalQ7nPD5dmVg+yDjPsIuzPqA3rzkRxUPEhe1rB9ADtA&#10;D4/akFY/H3J2pC7dIN4BenjuXD9InTI2ZM11AGyfeyluATtJnz/ZemVL6l/kOnswINnK9p/3SH4a&#10;Ar/ln3flAGuNq6HU6ENqm7Yz5092oYAL94R+U5MovGXqH80huM+NIlPLRNF1RQPAUaM9H6VQQ97M&#10;fAIefS7cX9rQ36hiEnTjDtySg0mFERS8DhvxZGSDXzOlgj3JH+4mt51a7gJ681Hvl9tOLTOMCABz&#10;/KDJDif6Do9QD8+N0YPwEtsyQRhznE/Rk6MA8nY7bqZ6ePJzpaPgG/MI/pQ2pm/d5GoAPTw6VuP2&#10;w+QNZOR8SnUTdDTUOj1xnkPsG8V3JNsv8gZFoc+5Px5vcGG94iTTmg+izyW+vj1n0ytM1Pjzekrv&#10;nCnSBK+U9I4nxcPI4L5Q4tngvtLIggLN+dBPsRV7Wekmx9whoIdHpU+2Yi8rnjuv1aHIbf2g5SUn&#10;OgKe8UYPj3qcYdimLrH/UI29ojeC9Fs2P8N1eN+/87rLji9+PnjdyTh0mTdBhMUSC2sIXns+48Z/&#10;27WGQ3alWxvQo5ta2iGT3ofdBvTw5DF0LItlPtm7AkUSbMN4jqIzQYETRcEgM7RHhxyveNqA1nwg&#10;tBpdSKnEqg9o4qH7GLe7Tp55EPc8ATwnyTmRJIYMd6lljwtAEnvqUWfcj/TOmftt1CgnnpIOgPM+&#10;GTcC3xfGwWsQA0D8TX+dIhY28MDZacPuA1r8wW1fqBfUyPFhqxh7vQ/G9U8oCgSq9/UBvB6hRWqo&#10;E6qna6IRBp6CiIj7bf0gkHJbCa35ZLOJrYrfwoY+oIcnqVD9Yh9dFJdQKLiVJAcn4t1R8SLsA1iz&#10;pkdRpF8AN4jhriJ/2F2lNR+48zi6UfNtoRv8sBSQuze1wE0BOcoqAz08Pxp2cbvD78/58NpKcgAP&#10;Pufzjp2kiYdmJ9I1bF9ArbZQfOppJDxbutDQ13C/9eUanwsqYJu29dMHNOejoixsxaRhI52LbCj5&#10;IigBJcCJ+21UIiG1S7hW+q9RIskFcQSWDbqhaNfm2ejNR0VMdOuq+cB+lLy5QYwLZCqKM/c/u7eE&#10;B5cuwuN2FZpUURCZrt+aD9IVdcvi8QcfVWmHWWh2IsIGyR+GsfbwjMP5Ru1yLY/mnwL4/jPx8Oaw&#10;h0elobEv2PrBsUt6J445SVA1f0a1zb6fD0kmtJaLO++jwH7YpT6AkfS/UeDnRPFYdCrRsKNkcw57&#10;ZIvG53wBf66K52PEQo9uqoG9VcFc9OhH8Uh7gObDIPYmHoWBMKh5zocGCroUmSJHtw1SgBc2TTy6&#10;Li+9uj4XBcqy1mkOYMYbh+XSxKPzXAk/A+NCvUBQzCD+KGEFgE3z9vCop4TeymEP/9WQgxovhvHI&#10;QPllPrPNfeQMvAdFNpFinzuMbD7zLcvg9eGZETE95h1+DS97fKp6AegGP1V6Gl6AEHaoavPW9QEt&#10;KuPmIoi564zXBvTwZGp5STaerW65mYvNiELjKviEOdPCs+Nofq6y+lfADs+UiJCa7GIqwwRvzGe+&#10;Sk3GiI1k+UXXIBYuyI+gmgKQNXmm8QPaTXIFlKt4uC4FKE4lJSvh374tBTySGo+5hqsidEAtnAXP&#10;h+T5RLmH9DjBtDRTBnXaNIBwfYqb33jjHJmcYt7QR2l7n/CDHXIT5ZXENDe0UeZL6sQzQZFinW/0&#10;d1zcz2gFeLVAVFHiTljq3ycAIVKbj3Iny04LUmA2c3RuYgDfTeacD9h8Zj7cp2G3mwcVBA2T7BDQ&#10;m0/WfagFBz7cipERYMobidS0jKcMOKV2UoNoyE3do5OFKD2f8XdJ5VG7amwQiP/x2aMYH3cOj9fK&#10;OhmLnvEv+y/iyfMu56KlkZ/D7E3XrID+ueCCmmExn5J3cblyi8TW5VRWyh20x7aae9yUOYbaaD5s&#10;7P8xgKsn/KL0mwARcdPDk2+Ro0m3NmCHZ0pE8Cb71C8cnc984+Zb+XhY0UZMhEKHclClbw33jcR7&#10;kgUqF3vNblRf8VwlnaP21bJD5SUTzpsFwPOAAD08ugREOJmtAuS0xGGhGiLIZZBS/eW08s//+x//&#10;+vd/y/lnns5shawn/vOf//qvf2yTm1QPziC1RaouNed85hvFrqOH4Laey3KCm0za2dczAui0CedO&#10;41/2XxzZD+N9axrTNZsA/0S4hiiAaoIa2Yl4HlT7kBL249VV7ldwxliGiUoDRLe8lgRc5QapJgJY&#10;EBa03Do5ny+8cUpNTnGdKZRz2QfnM/6u3uBeW0f1lnsXHU9t9u+X3hjFKNvrDLcQXJ1BM03y/eSh&#10;D2GOdnqC25dv3E4kKr8VdA5ng3m73moJiGhTO1jg0pcLkMXSW9xEWwuOboQBrXpjtFKL5VEm+mEY&#10;gPL1dni0WsUZYZg2jZ74fT0/6IpcDJS/BQAl4zhc17MoUsK/O7l0Oj2Xq0gPYD3UIVcykJSSOSgJ&#10;xL+fSHjI0nGlySkESx8zRZ6kYlj6jh/f1os62cGYMWkdsUzBdd9GEslvBuPkTrB9uPRWawmjmo98&#10;GxGurYTZ1qkytyUJWnDKNQcD+5cWV8agQRXabozIPI42Ip2FRJ4peBD7OgL1XPgxD9wbZeeCJHG9&#10;KySjpXz8HTTrKqIkV22NkHR3N8aI8Q8kJ0SxMjFHnEjcFK7P70RxikBISZYwmxWq5iPfpES5bHUF&#10;zlxhEH9RYwg2jmnTDbMb0TckWQmyLA50ZScNw88vcsy/n6inoTQtXCLZ0fiJ3XtjFDb0dSYI/yXy&#10;8AC0ZqIMP5xyTLvrphRybeT6wg8n0OROMBBVOzjceSaYz/i7egPHgJBE33FmzdIyKJQbFN3jjdbU&#10;US1PGsjneFHiTbW85znqTF7FRec10NgYhgFwoqUoNADUNqOsanfBY4VIMPwapQ/o0Q2G8VcBBKvF&#10;OJfYbzLgnJ8SETKAzAPp2/gURjaf8Xf1hmoLsDC41t7nohVeDBhEj+mAdUJqPiNlg3rSVgZ84vqc&#10;25G43tIKiPC+FpUnHsrAnA8vE3Gr6APIiV7jXqWHJwsB862JJw1ZP5Z/441zZHIqeAPTN1WTfJDz&#10;GX9Xb/CqG0a56aX3U8JXdABiHXP/OnEqzuK1pUYnDqVimle7hZtbeML50aIy6qhTOFA7cFXac9il&#10;hiomSjmjGd/Dk+0lSs4gWMBhF1/KN944RyanuNJ+WI5I+gwjm8/4u3pj7gE+++H552IycwtNx7T+&#10;g/+92eMmjJ/zg+w8xBRNC8coTa7R4barad+zIq6fGVCITho9CmhoMeEuiSvgVOHd4cWMrd7PLLhm&#10;Ex63ASaAe82ObpNTwZv0ysyBzUe+MTOPMrX4AWPs0LHOWJmNWWmu7Eb0DcmoKxQTB0cXaw2hn/y7&#10;E/6WdI8MhCYSrTDPd1T8AOIsTMFmNe0zrQ1UWgeHM3NujjpsMUPPmfjCDyfQ5A5VJc499iXMfT7j&#10;7/KN0SQrcEc6S0rpaMZFebMjVgbwI+PzhHJN1+bV61egFwWHXCgMPBzZqLDaXo6j6P027BE5tUhL&#10;5jdsKZoGUPcvpjy35CWdu7gD800pb8tKYMn7C2+cI5NTwZvp8+OnDrmJZC+pMD+RQ9Vpz3HHLhao&#10;2Hzqckf+6FJrPG/L0LrCyI+oB2mpuOJuURmWH4ddHFv4HIfNIv8SW9TRoXIdebVdqUHws2QNw1yE&#10;ow9ozQdsoM4q0jm9uPT7aT7fZOBvqflcGKIKq0XXdVOy/N2QMyRsS2o8/ACplmKacxP2rbawALRm&#10;jwwQ4XGHCgDEU9YMkrVpebE6fxNPvuU6YPlcqC5RGQOQOIUXv4mHuRPIBLSdCXTLz5lywDFD/If8&#10;dqUT/BF5PKcBrNbnfAv8JgPO+SkR3AdGfE/ozTwAzWf8Xb2RyL1S9bTXUBN5XUxvDItbSsTkt6gM&#10;ey2F0FyZ8GFryB7ChwtzaY0TIcrwlestlxoMQColKtVJalCygJYJizU156OrhFIYEe3fOQBGUiYe&#10;lah53E84Ft8vOaBKhPA725HuALpKYmHY5nwYBwFvsOlO9HEif1ihWPP5qI/54xF6oIVneasuXm3g&#10;I+xkUd67N5p4FCQFd/f6uTmf0u8MNXqScX2fLN6SWHlmD+RdSs+t57l+hs3U1R5YjlomrqXmAWUk&#10;iy50mxP9rZHK1AyhC1D0XQovr63mM9+0B97Qqg5dIOFAyFtuEmZBvEaF59BQJ+xBpMtpVXsCZCbY&#10;oYGAXY1lSt6prsBIM+ToSh3S11yGEQ+ZE31B0cZ8wt3aks4dpefnCgt+BezwTE4FN6czdOqb+cw3&#10;bl7Qr4VzCckU8kv6uxi1PQEaLum1G9VXPEo6gAvFRBaxwFwzIxF1kWUASOVxVu2uGdTa1VuedoFq&#10;PgK4gY2JcpWx/ltvPoirCbqN3sTrsC86faG+nwO0midvnFKTU+SmAnLV9gsjm8/4u3wj+6iNxsg2&#10;Khk8cPc4QBbk80QRNfjWKTUo/2KfS/dpqa42xel1ImkLPm/u00/kSK3zyYmOJhErYHQu29Ym94Ae&#10;N2+iAorO+udkqYx0ecOTgF+CpXX5/Tsv9cTv1+MIVpaUBfpDCZjKcUTwLANGoEEqLQcoIRcrs3/u&#10;es1e6mHZSD0gVFbr2X2+M7T0zDpDljMlDXE1ZT4CeOQEYk5pWo8oW1CgJQGgmz5X8WgAteb+F974&#10;mpxrNWQA3SmdNMfczHDs0mAd/SwlGJ59gS4RwhHOxt7sEY9LbeZK+AU+E+Deh2kFoG5an8ppO5Ru&#10;CMDD+ZBpKU4vxVaw815vPkmeEU2xroI2oIlHOh3XOI5Hx9IR5mYD2MvA31KD+E36xdiV+FBqEBgp&#10;phWl9ZaTsRxgkHoi/p+QmsvIk990bVWO2c+vNFK+vHIucYnaojLutlI4jJuIieBEx3XOQmU0U+Mq&#10;OCM1k25FCGfb3VGjYMXzhTd/cxN+PlmbWfxs6gl/N7QGPE8yXFzTIs7Wl7rWzOwrTK3Ro3J67Co3&#10;kTEkHeCmmwouoj93//SE6HtSoFI5O+1VGyU9g2e4iSpZPI6Uz02PatlSvvHGOTI5FbyZvuTRKR6C&#10;cbg232NFhH3i9ja86dq2XJWg3AotGtp0LW6+VS4cmStmob0zBqr0SUBxGuE5EyiZoVMj/ndZGkjO&#10;pkp5Xmxt4naAFEAFLdLMqey/RGn5rIoliBxm6gBku9gAMsdlaKPgjX/ZfxGPwpgfL889eA9p3RhX&#10;y0kpkBlpvJIB//JOalTSBdF2OtnMZ/xdjUq3+MWux8WzFHe5qlSRRfD/zOxT1rx5Aq5AuJjqAMZG&#10;HnvAKW7qmh+RAc404aniNBZxrJsTtwO4sNcGAd/EKp2jJmV8rnhQlAKGkIJNnnur7fmLrpmBDmXn&#10;QKtjLvcpA875KREhA2hfIc0Rgn6oa5AGTd48sO0us8ctuQ5JnpZ1HckDQZYTa2a2ksRG4Hhkbzzc&#10;/Y1eidoDTvgRgYdvPV1FIuaFbB4+I5soayCgYtlGgRY3EdyRqsvsDbBA4uSep2+8+Zubr1GLcqM0&#10;yqGOIR9yc1rcbOuh7R62m7jpQZHTs4WaLcTho/JfIWcYmBQdNoSFmH1Ai8ow+Ynn5VdU8wjzcV8F&#10;KoUF+bFGv2var/NB3vlGab2VdGsDevP5yPP0KSa/Kr2i1I3thJmk/PjEHt3Eo8ixUSF75U/edryj&#10;3m1ONE+Rr/QiOKXkiZAE7GVTT/zuq8i2rY/pSZo6zPFRo2XGVnHiIIhFi8NFcGq0Z3j3WhSb6u4V&#10;iWYiTB/Qw3OXeigSfU0nxgjIXViGyoBcus+YaA/PqGgWusPPd/hcE7DDI/6SM2rBu/BST/whAT9Q&#10;yzGu5k3kRcWSHpy/OINSulIOXgXz8tSJe7QLDb3psuW/Yj6XpyKOxkXmwoDLsNm2IY+boBUw3JQB&#10;SBvNv+y/iAdmN9/ym8jZvHmUH1rwIExBNItA/iPOzOeTxsecmX7EcTAOqv29NudlDpsJizO4zKHl&#10;tAPo1hIeOOJwGvmvoBjcktxrhwtiIcx0/GHjc4DuOl8n4lFQXFaMdotzATjLZlL7uCwOmvkM/Jfm&#10;I4cZ35p06wJ2EvAdjzzDOIMaeUab4BDcMtH0V04Z8C9PieBc1C4TlSY3FmBk8xl/l2+gxncgH91q&#10;V26qiPGjdE/HKSv50re3s/gzzHgXjh9QI2YfITRJ/h+dBEivHpVVNBtNy0xxv0aY9YanVMNCUzPp&#10;jTN3g6h5yWEXPLmlVDbfdWPBKqO7+Ugr/M5LPdHR6LiL5hr4WwLgdZH4ufs/c/dR188OIwgIo0JB&#10;Zdv2OoMXSXR2+Z+atizAy0f6CWEUJ/BIP3G/kUBNPCNRchF1AHhS/ZzxpeZ8Pt7FAOSRpMVBfg5A&#10;C51v7CTg2woFf7hDoX7SOmwAeFhE8IUDtENNGfAvT4kIWUPDe8oAF8eh3kA0u+TfbWckqZCYb7+Y&#10;Qz6SFvqJeKyZPF242Qc0qawD9ohlX4Rj4hmxHQaQ6XbmLIDkfK6dUtPretGt+scPVyCoxOlMPiUc&#10;6lR3fq8MxknYy3y+yMDfUgOrgTsB+7kcSk2WRn4UkcWlFWUZgTcrlXHk5P5EvrS4meV6HoVpuJcQ&#10;+SNEQWsTNYaF5wSVgUdrM6y0+bl58LX7B9TxybNt35ead7doBWP+Ddhc+pzfp6SV9vw5EZeXRX7Q&#10;Ya/YKCoLNJqTLKvgmwwcSE16EcbxG586lpqXInlZTCypnH6UotGzEDkKEp/wowzHDk0EU6iwoHMJ&#10;OvmV3QMqn8HDDUK8yfk8mX6xdfwxKjNz+fmTccZOZf9FC0Lll/E556YudTXsHEBe6o6WHMEb/7L/&#10;Eh75hcjR5XNSEH7snZ6kKQP+5d0O9cOYL62AQ6lBmLe46VeA89KoCPmy0+aZy0flv2L2GYaPc5EJ&#10;R17qIY7Ddo7ljbC5WzoN0fZc6sjHXZdgxs0/dwDGCACwKdUWHmx4QTdUOS72Bje854+75lHHJLTg&#10;whun1I6bV162g2bSgvMZf1cWikY1ar0sSyOj+XFpZeQHN0Ojw5HcX5vLW8VhPD93AGhSmWYSUtpN&#10;oSKXl+TnsLWYYAfE1oUKbSe4OfIRh07bioCvdFNt6Wcl6BfeOEcmp7j+1WgFTkF5eOYz/q7eoEsC&#10;ouSadpQb2Ib7E9UQNPs8dWIxndBMPzxzP0thNPiKKBzjPwtZUJwxDBHc9kgyfQb+i/PRWRVrxjWt&#10;Trdo0GY6AAPgREc2fFvT5korydYv9epAmq7bG6M+xkbQkdvexjMqncZbEWOYbBiLLADFY/1FBpxS&#10;UyK4ouWxhBWpU+R8xt/NN6gBkamzMg2iTKbtADl7qI/u7FF2iJ8bOR+LcFzR+pjS6WHk13veWIQ4&#10;9XQAGpnyc74Krm1AEw9jeHYqMod9dXMPgQWc6Ggp06cbjUREj5uwXx+0n2BHmXRC1YRhhQbRZ/CI&#10;Dei0Y/zJz13L1vVF1lzCpuRxRd/oTV72zvmMv8s30K6P3CyetCtd2XXfRHubOIpB1/SlE44s7gND&#10;GSzSCWNYurMoIWzpXLShhFpSkw4z9C0onjQYc6EDYPetA7gyYFtKqImHJ1Xg8flMFhSX4QT8YtdM&#10;TpE3aaejhSbleT7zlZsqnYDd1vbnDIrFYnJVP8LKqTP7+/NrxJzzLcfTBvSofGcdgudoKrsyTdG/&#10;uIj3+SgqF/VwtKs7pfyXKC2Ny7dy51BKiT73K6A3n8rR+TlNlKz+FbDDMyWCc1Hi+XOUhAwtOJ/5&#10;Onu10IPUOJXR+STYPCIiVvLLjwy+9DUgGvzpcwXP7aIt0qNk4OWWNRxJ97vZf52PfOPoVO7zuTEc&#10;CADbil9oVRITPVNUD6UAqVJK7jE6SVGnFTMZANm1yRufweSU9DPzZjQXUGA+4+/qDQbE7ZaGonEg&#10;GD57hJWQzb+M6iueNN6YRZwiq0BS3ODZRvf6kYUyehiFZPqX/RfnI0/yE24xE8I2oCc14xiw6bSS&#10;1Td3KCYI5USve974DCantDYZlQnSbJvQMTfvzBeAInJFN4UP0Ve2NhmNhTf6J0g4qzj7cRNkn9MB&#10;rsRxZrtOWEEbX3pURtvEoPI9PJZJTMWlou2Ys1mNzwDQLuhU9l+itFYa8wYSjwJjZbx9ASRv/MuV&#10;myhvETTD4VeUns/4uzEqJNzHvqk3hHzLxB/Ch+JkNvuJg4AWlZElECt69zl1ldwNQGWCBWjiKRTI&#10;+VTS/ArY4ZkUDJrddZ+mueCN+cw3Kt9VulRvCDk6bYde1iQTgLKum1QKsBvVVzyqR6S38nNtQAsP&#10;wsddzoQHZScJqFKjkH1RYIdHd7K/01hP/H5ri5qnjv6YM6NV8jcxRyui2IB3pByBu9sbc405L/wX&#10;56Noj93n2oAdxb7jYbT4Ds9LC71wBgV+4oza5cwXGjc4c6NVDy+ZdObBmhm93oPO8YZk7K5wYCS2&#10;mg04AaMGSHc3X97y+2e0k+IARom5ZQO651wIaHEGelN09s/1AT08NwaSb+Uml2EjK0Dz8YkugBN0&#10;m28VNiDxLA7WYrUYNyc6ZcBlWHLENZN0ns/rid91ALCESoVXQN6AvyVtecODqLEHhnLAVmSmDuox&#10;CccJuxFx9bHX7j43GrkPUceZ0ryoKJ4hQM7FKea/gm7zrdFHyyQgB+AVw5b5nDjVLOQpn0sW1AEk&#10;YPLGZzA5xblcNWRaZ4caHV0GSbNizy2AKPgw5VJvMOG/t84Szwj9MirzOh/tDgv5eb93vZ6IkILU&#10;xHLaYoNXPKr8vQXzfgWMaGIAevPJz1WmqaQb3Lbmxn0oEkuAHR6t1t95qSf+Ws/MgdQ0jyXgwhwL&#10;JHWY/xSJTLGnHwJ2M3Ep5XwUUQI/s0tAG9DEo2GP1KaV0TmfI0APz3DRbWro4YUD0UCjCejhQfBz&#10;4EEyt8+nC+jhufGgiIJvdSFySR0BeniUoYWMQJ9PG9DDI1cmLi79SNYG9PAoRQxsd7q1AU080rt1&#10;/YwMtE0QjwBNPAxWwrI3RztqOVEOjgA9PCotKk2VG0wb0MOTYlUbLbcBPTy5fn5wvbTqnTaghyf1&#10;QZ1PG7DDo31FO89+D9ETv+88aLfK7YLlloBl2iffdoQ7mgTRkPNYmT5gN5MDPB5rvOA5ADTx0AuB&#10;6AfbSeHQ4I5wBGjikaYeZ5RF0pDiLOPnANDEw4gx+JdtJ4Ujj1vSEaCJh5F2wGOaGp5ECcgBoIlH&#10;ElpKl07RPQI08fBIt59PF9DDMzJe4iBU+NMGNPHQTYUDl8vbqwto4mF2w279qH7HIaCJJ88IZdkj&#10;05IEPQCcxVP028RzANjhkR4OTT0Fd+pcPfGHplYlO1gsvVsM+OC54B8ehNcH7GbyVVNPPH60X/Ac&#10;AJp4GEwAS8b2apzqZLsfAJp4dLgddRFWTY04h5C0I0ATD2NtcLb0nUeFdA4BTTz0ZF/vngaJQy81&#10;9RGghycllFUpZBve24AmHqRRhelc5vPsApp4JFaVP88uoImHHn0Ek7m8KXDhENDEQ+fobv08u4Am&#10;HuZ8IbDBLRDVED0EnMVT9NvEcwDY4ZEepqZOwZ06V0/8oanVXA903uYPLAc29Ucm0+hBsmqcNmA3&#10;k6+aen7O77XvbUATj2yCER5p8+kCmngYGwzNZqde1K1JFfE3oIlHK3SERtl8uoAmHl5goZ+MOeMR&#10;Y0m3+hGgiYc3gghGLXi6gB6ekVQYmrrMpw1o4oHlRzzOn3cX0MTDGPGdvKnm+SGgiYd5fFt48Spv&#10;7y6giQdXLhvd0IrP5Bo11HuAs3iKfpt4DgA7PNLD1NRfdK6e+EtTMwoZJYa2MxKwHGlqxiyiyYrb&#10;oCp8dwjYzeS7pk48fi0HzUaHTSmqsQM08UigSq1fVLTi4eEI0MQjk+npMaUYNpfuEaCJh5FbV9ap&#10;SRtUBRAPAU08MplYfWni6QKaeFJCi2346QKaeJiEiht88+8jEIia4AjQw4MuW6FYKn/agB4etEIh&#10;nipvXUAPj8oyIZ7d9UEb0MOD3iWcT9UHXcBZPFW/JZ4DwA6P9LA0dQpu6lw98YemHvUft50K+aBj&#10;pwKWA039Yr4IGlv53tYG7GbyVVPn50bB3HWvbgN6eNApixSoktYFNPFogQzvwDqfUYskWHAAaOJh&#10;8Bk2TPdPqszSIaCHZ1xYbsN+epg7DvVNQBOPJLSURL2n6B4BmngUsLObTxfQw/Nk8dEdG9qAJh54&#10;U7+K1bMLaOLRUQ15NCbX6WU5AvTwIC2U86n6oAs4iWen34TnCLDDIz1MTZ2CO3WunvhLUzMbblQb&#10;bSnqu4IzPUkKhaoZTPj333ez+KqlH9g2hpTdi3nT/HsPyY0qACW1TMKaf+8hUSUV5A0Zkubfm0jI&#10;xI9H/dyRl7iR8eDvPSRvmhTj/sA2mt7fW0hQqyW2zTLi7t9bSO6jKOiQrsqT5t9bSHDpET6gIl3d&#10;v/eQqMNOWSfw4wUZD/7eQ4KOBBu5Slrko/n3FhIcXGgvFTXc/HsPiUTY13vjr7vPS7NK9+60qB74&#10;XfUi4DQ05mO0rOvo3hvyijdOPFjWUcfYPmA3kW/qF58LjqMDuDmE+4AmHjroMJ+Ch0koGICdBpC0&#10;HhoNq2oD9PC8QeCx4FHc1z/XBnTxxHH58fEEbrA69rNaFQNXyiEDKC8hGXCO+K8Qt9tzphbbBQTC&#10;e/U5z+q8IZMrVN5PBB725qP944Ga86vOv7UBPTzK7gdX7RCDpluhFQCwu7acKGpY6nrdKeW/RDcG&#10;r+/EanjnNgGp8lYBvfkoIfGBDg9Gtzagi0fkQXjisicjT6QJaOJhDAqiE82KQbIyFdJYSOsARjzo&#10;RlAW6+zhUaMElBtyurUBTTy819KqSz2q8EuUznGFpKYCqsTUw/NUKaCLF/2/vSjXKB7jBH0xzhR4&#10;Tui3YfFvBg3LQeV83llRwsuA3BQWiPI5svt9xfgvrh/FpKFYmfNHFzeoLmcXeFB83Ek+kbPZo5vC&#10;HLG6zdZE+/NwAhwCmnjUxqHuP2jAQn3gNSJSkT+Qpj4EfodH+74ott/j9cTvlsEdNbKljqTdDtxn&#10;2a66umfagN1MvknAfcjrtq6rO6MNaOLB9h54fCdFEYImoIcnSx4/PUP8rjJS6CRjOw/iv6nZ+EYL&#10;zy270Y7ChquifDObCBLtWyy6aQcFhsx/k7Rv/LnJ8YzKvjZsAEg39HVeB4AOQAR8QuW15oMyRrKo&#10;cPpb5tMH9PDMoqrefwK9orlCP1FjSioPqflUEWeKt+ItcnVUQF7nc0FG56Za2eci8WTBrtH1vssf&#10;SI/sMIx/wYNexDwulo4VqPtNXfCJq4QW3W6j3vG2fqh3New+oIkH20eQJxz9E08X0MTDWDEUVHJD&#10;49MFNPHQ0sG+aHKNREn6DI4ALTwoOxHiq6J3otv9hxeSGIBtsShtESsOb2wmQw/PrBwVwU2JR7Wm&#10;cCRygb/K5P6cOGHBz8CzbKn0jYVFRTHa8y0Cj51ECimu/HrzEXnQxcM/1wa08IDdGjZO9suwsU51&#10;NPbq2ADwDTZPaOKRoT4MP8PDRCA0FStyIP68QvO28KBsW+5aZnDeLzoa06BJAVGhQJyVNgrs8MiO&#10;CUvnm82iJ/6wdB4slAYxlBY9sHQQgkDNVnLt73AVhMrbAbiTsofRbibfdtL7iIrdPjfO1Atn+oAm&#10;Hq7r2nYFlSM40XpXDX9RjOyVhQt8Bv6L/EFhbr1lOw9C1JqA3nyGvzPoVjbmNqCHB5XtxR8Px24D&#10;mnjSF1YSjpBTR4IeAJp46KHBFYcveEQXCs/fgC4e0c2bsqPqBBXYaNCzCrxy6x7PEyUw7yNzPZaj&#10;nxX7gN58cCYkHlhQNuy0qFBU0gA63H0ikL+JRyefjyfXo0qV1MsBoIcHDeY5H696DJdOE7DDIz0s&#10;TbDXuXriD009+mjFuk4pONDU6LHNN8oVrlKaoPLMyMpUGwD63lBkykmiI9UmtzCFrUJwXeW9WQQV&#10;m+sJW+qdirIkMrxZe0POyByAYhYA+D4f0Z2c+UJjPfE7Z3DZw4Xb3UNxmyavjNcv7wN2MvZ1z8nD&#10;7btcTLYBPTzZ/Hgkfa1L/cOI5urwxRWglCpIgTeaeHT7UHpbLiII3bIO4I0tmrvhBujheapjSI3i&#10;awPO4ilhdxPPAaCJR/6skbqykufJwGWkvPmeMwFxOd/EI9uDvoxciM8uoIknTc2i2WZvO68vjYJ6&#10;OsXHubKJJ98qXon5uQNAD89bZ7HR4GjlTxvQxMMgMlj7ZZl0AT08w5cWtofrN5SLScXn8jYBcd5r&#10;4pFYlXurDFarF1o7QBOPtNUOTxfQwzM68QTdii3VBrTwLDuW2zh9wA6P9snYSZcP5blST/yxk17k&#10;rX9HkCOw/G3joIgkD2kj+mpZOX3AbibfdtIsCPZ4hz6UZusDdnhED1Lsy9z1xB8UQ+W5TWLQb0b3&#10;VQcUGzVah4zVFjkwb2XIR/fynOK08DNOwmnkvzifUdk5dt7KmS5gR7HveJizBJvVzh/gTJ7f/wb0&#10;8PwwaAnHdVNdyAXSoj0ANPHwLvHxcWv68aP50MxM/vzIhTTtT6eU/9IKTZVfdUAX0JtPOiDZ+CiH&#10;3QZ08egGAe6ZVRPMq4UDQBMPLDLqaPMYoiJzOsbMyAJAtkdYK008kKbAgyVu89EdbGkJ/rjoHPI+&#10;U0zumvLmZ4RHG9CbzzX9BH6T9FB3BxglvrCu6WmMO4cmHp0tx43BSrc5gAqQg+dzpqTilTmziDUq&#10;eLqA3nzgr6G+9hsE1NprAnZ4tK9QE3zZQ/TEHzvPW2ekSbWDnefNuzcEKfhe3QbsZvJVs41+u7HD&#10;RZHs1DjqdofoKV9SY+uIN2Kv6uHBXRjf8rvEh8KpEEZT8KhXwbjEhmw28UigSnAUdjw5oj1Kbwdo&#10;4pHHHWXTbeWMWINNFb3KfMYVSACCAj08L93go3WC4WkDeniwY8bonu6VeLQBXTxig99VAU8T0MSj&#10;jRk9qYxueVNR7qrwd/qAaR038eRG5r1+MB/tcAeAHh44gbh+UChm1dSjvkosR08/QBlbrbjLpnOb&#10;eKjfsRxd7+AqiXgOAD08L/Z/RVSbWyBtwA6P9DA19Redqyd+19RbJ8CNnKMRbmidA009VHq84XdI&#10;UGyMb7349S8A0qAn9tAcGaJlTOP0ATuKfdsRtt6em556exExXPJTot8hUNoq0G9P9+khm008MLwC&#10;T5zGls81AS08aE2rde3+oj6gi0de2rip0XyApwno4ZnRWSE9ieeTKq9onBF1FJSOAM4eHtUohAFg&#10;/i/MJ/hzCGjiYZACNIHJ9RYVti2s0gEU4RRcWD9x+G7i0Vn+Umz3EZ2/4TkCtPBgOUofuKXTB+zw&#10;SG+FZssFjzhf6Sg98YdmG70ag5xx9geWvzXbE70+Q27GlcWy5/QBu5l81ThyPkCg7IoNjuOUtL8B&#10;OzyiByn2Ze564g+K3bNhYerpA4plx8SLB2Ki25hkzDOScZXAXfoSzQp3M/lOMfa/RAh4IUwX0MST&#10;Kj/iBqVrtnZ0VClmte8APTzDCOBS9/m0AU08jARFKLvdHUDyaEWVLoPYDblXE9DEw7sQtSBMuo1W&#10;DKFrvEEq8Digh0fdf54XP6QhFUXDPgA08fC0s5uPAlgPAU08vNvB58zKRYpDHJ62ia2q6MJjgzrb&#10;NvHMt1yzoYsL+eObBFSttGdYET08Vy5HmEgu121AF49sffevPK9aWBe/swRAAn/ijg9viQ0edoMm&#10;jSlvvrCypdolbylco/kv6mu0BCAb3JZ6tgE9uqFJDfF4Cw44C5qAHR7tK5zJlz1ET/y+8+DmLfh5&#10;JduA5e+dB9EoYRPpDWkclJoORl8vOI4sK2cBnIjZn2+VvRrH0Fg56IRuB7q8RRRgR7FvEjDrru4+&#10;x3M1eizbkkLF0WDZdbR1iJObf9l/BX+Wtwp5lOy4I+gX3viXJ6eIQ6E91wvCYWNk8xl/d/eG32vc&#10;3zxqgZtO5Tet6OvllwjY73j01jD1TDi6gB43R0rm2PYQyF2EsAvo4XmpTknF0wY08UjWKt1SCI8A&#10;J/GUdPZFbN2buQP08DxT37i5cH9SryPQ3hz3CyC8BE08+twI6lrl7cWotCtTi1N95Wr7wZbdXtVv&#10;hjleL37NeNdSRKpBWT/cKJc16itmrthYo7iBCZne8os7q3pz5Y9VoDc0Sdwuh3GBbgB21F4Acd3T&#10;ovLylp8O5gAeTpY5FwJaeB4fXq4hs9a4+Xgz0gPBuKajF8CJ+SxvOXnmAGC/r+I050PAbj47bj7p&#10;j7y8kcrW4uZTDeneHlKNAM7Yii9HgN2oXOIoZ/NzXt/g8aQf5vIud3RPdcUkoIfnRZt49znVYL8M&#10;x8+yaBGQGmKrie7wyNLRTPY01hO/20LIRoyzYZsztze2wLHONC6tsz5gN5NvnFk+54S5vXOizpll&#10;LgHo4Rl31zGf+jl6/Cpn0PMsdJMosMMjugdnlnGl9OuJ3zkDGzmcGm3OIPxcvPQ10wfsZvKNM8vn&#10;nDNouRZWahVydLYWxU5wBsZ92Jz7z6UI1gEkIGO9fAaie3DmG431xB+ceVEB9znz4klVEqM1gyhE&#10;EaawrAJ6nJlvFcK8eI+1I6WqqAjQw6M6OXor56ODUl0zeYISBXZ4RHdy5guN9cTvnHmgLDbXcq60&#10;uRe5JFBrwtT/qs1QAb4J2M3kAI9zBtGB39XPMpcTawbd8OJsWzmT0YGVMwugtWaWcSWNjzmT2hyd&#10;MTafEKj2N2eWNzxNHfo/FCNqbJv9k3pWgBZnkA4fDNBbkuVU8ygNbvbPAsi5OM/9V9kF4LMxp+4c&#10;9hFgNx/RnRi0My801hO/r5mk8+0nfW8HnJHNcCt3SjmTQ8BuJt8pxn1WI9tx5hDQxEMb6DZKzi0m&#10;2DKfA8AOj+heOKMB43k98QdnPnQzw9DfJAZvHXEm3/CoeqQk8zgFu9anyOvTGwG7mXznDJeg3hJn&#10;kMwe/rDbCARZSLkAci7+Zf+lNaPRodfa+rnbpwvYzUd0F4akWI5LT/zOGVhAsc8gs7HHmfnGG86N&#10;lTA3+kJv5d4/bRMBdjP5RrG0mfRWcuZG0whtd8sABJhz8S/7r6DbHF2J0OoDdvMR3YVhT2M98Ttn&#10;cGqiQ5bKFFj+XjOo6kLXKncmUawP2M3kG8WWz/l28ngyartuQHMu3Oh6eEYq+OYNLNsjcsW50ZX9&#10;bAH8sp+J7sGZOa5JYz3R4Iy0bJ8z0po7zhwCmhSjzNRtKyd6CGjiIQN2wxZnDgE7PKJ74cxCYz3x&#10;B2dG7u3mOaOWbXCGlSe0M03OdAG7mXxfM/k5304eo17rNuSynyHe1De6Jh7exNf9DN6mMKfrfrYA&#10;ct/wGYju5EyOa9JYT/zBGbQ3iWlSyx5zRo3ftTMlZ9qAHsXyc2U7wQGEFkDZz3DOCL2knamJh3l1&#10;emvOh8H1dT9DEP9ub/6TM19ofMwZXMiFnG2GDfbzQ87gpi68GfcR6bdaAG1Ai2ILHvgWDA/dFlsF&#10;mBUw5xJxNT08ugXYf46X+QjX8QGMuj9j0YoCOzyiOy2AOa4IF8DzeuKPNfMgFhSx0J3GgQUwerdt&#10;yuQSEZYpYw/War1dPJf7oborwCH7z2XMf1EHqLzKrRAGUfpUWkeAHcW+48FBfpvPT8l3Q0/xHqCJ&#10;h2sA25bdOz5QbZx4/MILiSJcm5M3PgP/RbrNtzzmDx3gY0ndLl7X4wG/Gjl6xneiekK3S8kKuTPZ&#10;/3bxQAaEoZOguC8fa61HN9wzx+jKPSpi5JuAJp4kTxn2TTdII3No0QSPG92Rt2uuOOeI/yJ/lJV5&#10;u7gTE3mc4k8UqMqFddO2SoHvzSePMKx7Nj+nI8wRoImHV0y3cXNo5GGhodsPdMwKuIqgBPTwoJsm&#10;l4lHgML3GB6uW9kqHhfeo95OxeYq0hT9vk0hAw/NiyNAcz50/99G+p+Rpwto4tGqq/J27QKaeMSG&#10;C/SzzacL6OFRZb6dehlxCbEx+U6KevvasU7U7F3e8lIeAHCd1nSREZYZO0n6OVwD+C/qg7EpxltY&#10;Fivd2oAm3XRuu4QnOvWB0lyxb/vGNAER+dPEowCCEhb0yPmMdfl1ogQ08Yhu9XNX6dFrUbCqOXC7&#10;RnXkJh6GS8P1ZJ5oqBfK2x0CbvPRqWqkPQHQxMP7SNQgL3gSADee4UlAJFk08TD9dKtBbp/rApp4&#10;tEzuHn+OKxEuExjfNp+rTvyoidinW+4LcED753SEuhWDS/Gm4Ogm8L35QN/EOr15+OoDDCOgGJA4&#10;HxMQYYhNPMyVu5EKuU5zAGgZ5BPVqY+S08OjMFmIddl/GBh1CGjiSe+3hzGja7bWT8kRGgTeNCJC&#10;pPpygNLsfKusn7SrRqGMVeDvzEK5jVfb6/TOWifgj6uxIX8x7KJHR/fhAJyoRDzN9crutHvvXoEW&#10;9jUFkQqpx5/hYtlGh+L6Rp4HjgkBKIoPmo+AvNP0nc1/6Tynt64eLvqAFyo+d/WiUABw3z5lXyPZ&#10;ND53id0+1w9a5fwCyPNPnoF9Bv5L5yxWObhdilgleepG++Ws7V+eJ+/AgRXIuTyzVvZ8xt/lGw8Z&#10;qXxDs7+pCmIN+JuAR6jjltQsb7nSQw8wilOJt5tzIaCHJw+tu89pUY0WF8uqhk6ndJ6aT75Vwvey&#10;Iwg2Edut5nwmb5wjk1OUGCrCTfGFupmP+KvxwugdOxagXhAvn5RwOO/sYDX/nnfT/ln/RST5Md/W&#10;Evmoa73QFxGQMSj+vcVGuVJwhvKP8TrvcXXk2FOJ5MRM5ktOlkQ+NpxvM+HfdzOZ3AlSIV6Gwxoh&#10;3B0O4o1YDdClJqV9wG5U35iIz8WWCTy2x/UBXTxJAbNFgacJ2OGRk/J3GuuJ392YMCljr4KrcTMC&#10;gWVy7zvF4EXYFtcL+mKRCnyqCdjN5DueyZlKsWTZ34AmHoZ/7CWgC2jimRJt5vYq0X8DunjCmsJ8&#10;6ueagNN46gpNPH8DunhSrOoKbQJO4ylyzXwUEPRvQBePyONuMshBE/A/DY809W4+TUB3Ps3Pabdf&#10;FlaMrIsnFXJldxNwGk9VY4nnb0AXT7jJpOEX8jQBTTxlJ5l4uoA9nn/+67/+sW0xc0/SbkdXERZl&#10;7/rtep9vFL3YBezH99//+//85//6x//7j3/9+78t06Wdt9O/7LS2V8wF0MUj9lU9T2/QFzz+RhdP&#10;OGO+fK4J6OKRJVItsZSfA0AXj/QIIpjcfmkCuniSPBVPE9DFk1y1cxbssSagi0fDrnqeN+F7BVMA&#10;XTzh5YS8Vbo1AV08KW8VTxNwFo9fv62md7GTUuDjjS4ekWeHpwk4jafoUdUJ5VFi0Yg5gO2NLp6U&#10;t0qeJqCJZ6r/sn66gCaeuRztKL+u078B/5+5r92VI8mxe5UL/TQw2/WZVdXYXmBndscwMDYG2PsC&#10;akndErZbV75ST4/X8Lv7MHnICDIrKxkGDOwf6VZGZjD4EQwGyWBU4Rh5dGXs2FBsqMJxMyXZ5eaD&#10;WGypU0MVjg87y1uxoQrH1+3gngZ/ig0LOLb/XrdZ7I1HO3R45bnfttnTrKH7O2fmEy1X7GrDApMt&#10;OGmGNjiPG6pwnNG5u2LDMJwk0YxHgaCPG6pwfOaEUxK4d6nYUIXjC1kedrFhGE7mj8N53FCFY+tI&#10;9gnaXZoLZ2FqGIaTNE7r7nFDEQ4PhSznabVhGE5iQ4PzuKEKxxVl7q7YMAwnybVfqp7naWqownHN&#10;m+Zpo9vjhioc33hkfIoNw3AyfxzO44YqnDW1zLgxBD7DiV8Mw0nTscF53FCF447G3F2xYRhOJo/D&#10;edxQhbOmlnmu+Q5/4hdVOMbVvGN0/mw0/GeD42osWYhNvTxuKOJjl8IsNlLVhiocW08zG3yd22io&#10;wvGATRJfniJfyltqqMJxfZ3hFBsWcMw+Nwt+aYvbG48seKZjAM1ZvwPKlgXP1GB8kTROtWGByX0L&#10;Hhkl3FukrWe1YRhOcmk3OI8bqnBcTyWfTqPb44YFHOOvScCSl/bGIwlwudEJBSibEmC6M54JQapP&#10;sWGByYoEOMX+/0qaUyB7JaoNw/gk06xJwOOG/2xwfIZmwS02FPFxNixUvunOjYYlnAfRG79fo6wR&#10;kQlKTZVs5GrDcnx3ozc88b/UvNWGIpxGgTzv3Mh43FCF42tvVrDFhiIcHhUA3ZKcVhuqcFwOkre2&#10;ycHjhiocN7lTFLjh87ihCAdH1yjXadjVhiocXzbSsNt68rihCsfEN6sLF/iNhiIcJsnfkTf3oWVB&#10;jA1VOL4+JguJSb4YwOOGIhwnT14fqw0LOGaXuOVinHGda2+sWy7zNcYinzgjNKsjQHlsuRyv9PLb&#10;FxZ/qDcsMLlnuXh3x2MUqHpDEY6dUjhpEnrDh7eNI6U3TF1UwdE5jYzhWeeW4KBYsmo2XFcZuqs3&#10;FOHw1Oxpr0VfDR8cKlGVh4agCU5y9l5kwBpqcK7M37OvHM6V3rPFAK7MZzcKFOFwgthXDU61oQQH&#10;yfbqJDOuGpx6Qw3OhXTLYnW+mFglQfQ5ajNhAcfmuWoCf99mKN63Nx5ogqudrkSZklIOL+61IMVQ&#10;0LjPtGiY4EqA0GDVUI+TFi9YYHJPE/hd6Dj3E1RxvaEIh+6XkxyY7DJHUHVQVSsK1aQGnzkDB3Jw&#10;qlzX6kV3F/qZMICwtp3kXjmdoQMleY83BriN2ibR9YYS3XBISPE5Jnbj2hQqyiQgraHJWuR8/KVy&#10;ja8Uzj4Vi6o31PCxq7vvwFGberNhGE5wKwIfh/O4oQQH8/R+d/WGYThhL9LDedywgGN6i5rNNU6T&#10;G3vjgWbbeckUtSQA5bGNgwtuOeFTCfR6wxYmd8a0jcnRqoniGq7ZhtjE5Hhgzfb5PrtOp9UbFpjc&#10;nZtYm2YNhUtUgo7G82LDAo7Rg7P/Du72xjrvj2e/GgjWAvDfppjUOxNdO2GW96sAzjWpNsO9N8GA&#10;w0koXQeh/mbX0wKTuxSza1rOqQI5DmEzT3yroQjHdlLXeBfH8VBtqMERcind0rmzckMRDiUa57CC&#10;cYGyIRyA1G/oRX3PBH9ciTbAHzn0P+NziMcC5moApYYaPkhcJpx4vcex3FCFY/joJQ1uDSCPngPY&#10;aCjCcbrBOApsYNWRiVVufAB7v+ZISxrW4Aj7OU+DUYZDa7rcYZ4GKwra074YKLeEs/DkTzrOWm+o&#10;4YMKZMQn1VYtN1ThkN3p+jscLtf94YTi2oFxwJQjA6NUh0aNFn9RXx+ZHQx2RzkoN9TwkfOvKge4&#10;dqeXt3LDAo6tK8Tkzhpib6yvPNOVRfdQ/cu0zmOrA/e7KJ3na4k7THDtBZ17chg3NLDkGCr7GozI&#10;i/hL8Zls537G6hi6u9gdscLxHs7FzsLCbJCGBcXuwplY7wrHcYNCntoR2ljZZYKzbeYlDvaafRN7&#10;jr+IDwqo8KvoqMEl6CQoXBEBH7uPGRW+5jW+hs8JaIik4WB1UCzTmeWKcTA/8udMX4w11OA4FVIp&#10;2UaerYYiHDqEUBggslvQmBE9xVPJk90Df4YPbEAOWKYLUhrZ0MQKFWOCvJkgnlSF1/C5ssDOWeoJ&#10;hO5smpxjzdzJKqaeJzXpanAuXGDgGYrDvlomcdoI39MFUZKbZqBM41pVypqvie2d+K19YUkquHo2&#10;YA8s2VUsKzPZhVKQzgFuyl3tOgvSbLuwbBamR1Ir1jBStgRKghQ46ujMXJiEVzoAdSK1hiXNIqUa&#10;BY1m1hWgUZ7bO/Fb+4KlZMH7YH1OPtUXDf7FwGmP6exfYXPRy7LVCsQcjWzGFRBKlovakTVZPtMo&#10;Q5HiBKfaUIPj3JQy1T0+QvmZmxd1OzZuLnkTOdI4Rd5cOM3n29EBAyNr78Rv7QtL/JZbsvpRXbkJ&#10;PMtNJHcbxqhM3zI8IZFpuGOB2Edb1W8BM76UqIwrtUwGIjHPN6uYkaiMohVUDhe9BaMGR2JiM9Pk&#10;Rq6OPDB11BjD9AhLitdwRMnlmaA1OGJuKJx9kBqUBzZTKVoQXpwOxVDrKzsK4JANKdRzsqAAVGRw&#10;BpyOrKk3pDuxnBKfdIccbg/hAEgemwVHt6Em9bGX6HY8me0pdew7/mBPaeyOpaUON5aePMuajC9K&#10;cA52tQSOBgbywIVhcOLlKoer+aOmAf7gK64FF7ULjTyHq2f9xMXoYDeqIhhimj1qgPhL9QG+olhd&#10;QaeObsCHcn2LNY0Odove+QafbZ1ujAFNu1hx9nBFSTgReGyagmkBC1pNMtgFs6Yq8Qd1hfkVKrn3&#10;+BwPNMlQoic2nMg4wKnPH5QAsq1jNOQQGiA+crl7R1AUdbYvRmKomG2qD0Rcu+6wA1DFZ6rfBAQl&#10;bsxp54WiIufjL5UD3FloX0X9hiuUVUAmFF/uB4D7/3Rk08F9zLHn+Ivrz8SIaGY3JrsPIK4/rWEA&#10;H7dzYZem7vb0laQSsQjUkT+7lR1fW1lJMyvljuufTcO3d+5hf5Zo2izs+7jdxE2VHNUBEcaezTsG&#10;4kxsS7PgdGPcaELl2tideQzTRvi84353YunEEhxUmaMMnOLxh3pDEY6RBxfiRXzM83XCOtPTTQqP&#10;z5Q+ga1oqMHZO5zodkBRKkc0aCkvzj8dB/bVcK/QgyP34fTDtlUe7I7WxB1ZixLWJI/SKfN1pgDu&#10;/SIF2jvxW5NnBi9hAiQkuRbAvRB02lnKHyuVB6LB8CVQdYkXIWBvOu2UlB3OERLOwJoDbxgpkKsj&#10;Hk1H4zqkMACr3zkdB3YuKDZGlZ/WHDSQPLnO4ZFRdNzGcd/2MG/bOi/tjXV/3Ox8mLkDd01NAlDA&#10;UOk8RSsKhVrJACnE2LNsT7tr4r1VxXnGxA/sIaOk7asNNTgHC8VN0a0D/5whivH3+ByZFDvJ/bZo&#10;qMERN09PaV+Myw0LOG2u+uzkrLlpeh6+aO/cn882beU+iB7JvSl7OEZDg9xqP+MxcqnZWW4x4FeR&#10;m+WGBfZ38bGq0dOU1MPeAmTXzGYmZk03mJ9lbh7ok8VXSQlXGxb4NE6Rm74+XdUjvc3NPXOPprSj&#10;hu+Jwrdgs1m2cidoGft9k5qI/Y5VTifJfgnixNwBXAhmK03kX/y1QgGfM5k0qw3bVN6ZTSdpWEqB&#10;xom7o9ox7wj2aLacqDEu0aHRTJ2LW4Gx5/iL2PtMS16oZogtBrDEJfbcMDMYSLyd5yWX7W0Zc2sz&#10;L/TlhgVP4hh9ZLSD5b6RXpQanI2GKhyjwKK7YsMCjq27jol15F5re2N9ZUadZdPl7rls3LtHsdPN&#10;eHlNhqGL+C36hqGVaQFf1Z+6wOQeHEgzOXNRb4VPvp3tz9idNbS9BtVCCc7p5t3F6YQK8TTakkPi&#10;dGGIBurHrJmIQfyl/Dld6E+D2y4sdSeoUZ0cch1TJ4KnyUx9DqCGDyxGdhdj2fBLkaDXlGIJ20e/&#10;EM+R6qaIQfxl+JiFdlObztlg9z7DSR4clPdkLfbcJM9g0K+OEdreqb0Tv+UXsiCr/RNz/U/uJpmw&#10;44lUNjnT3JkilTGNFU7i5gX7XG2IXgpEO0llRshqcORY69xdMnchTsWGBZxGQdLMctBhnBv/2zt3&#10;qXzhGWKEg4LWxKjoO0mG0cn50s46xJ7jL+O/ETOFAropGO0s5NO7CVKPq2GNoYaSrNleOMypD/M0&#10;zE0kqhHRi95/saDyPXyg00w44vb1dGMBK9j6AQ6idhxZmwGx5/jLOEoP+STpEz0+7hPEfIgNtg9s&#10;MhB7bhJhMIzSzd/Q3onfGjeZEmCenaYxqg0lKp9cAaXLN+oNCzi2kq7jbm88WmtNyrjZB5QNil15&#10;DcKCYlde8wJnT7CAPZqCtcM0ZuRF/EV8bszimJIzDt1xOm01LCh2F87VNru5O7v3HPiEjVubmY1m&#10;sedGQcMFy/isMZu/rb0Tv7UveEUF4mbBpQDTwJw9Gw0L7E0aDMJyTPbGA3m5GfeliLyuy1uYWGgB&#10;ydJhet9sn538WY3B9IAtMLlPMdcv0dSDCcbFNF8enhuKcBIFXGNk0qw2LOA0ChpvbMiUSXzR3lnB&#10;nit5luLm7I7JXc0ybTBiz/GXj8zgRFdX191GwwL7FThkGnVGI6aTZgEnfrGAY9LtmNj77mOwN9bl&#10;HzLM1XKvluwmZ7DToFUmzsBu3TvvbNMiCaqhgXlLQ7EjbI2pYw452uADAOl6OHdwibxoMmc088x2&#10;jza1d+K39oWxazEqsy7SsUTks1DB7fd1r9TpZjZJ6q7esJCX+/gwE21Kd8Dhkk+KUwqpQbkZPk6z&#10;2HOjIGl2YdoYtgfmZW3vxG/tC9vH0WPus0UqCs0LT4qYNGP1OHCFGIwVWpji1O9Eqe1L2Z0PwK1Y&#10;cerjiyKVbWnI+FyZT5IPY7Q1ea/Gdw2ObJZn8mSmXc3Izw12q7JFTmtwfG+SIpunC/NWgE9cHO/I&#10;QOR8kwjKgO9mmlXS3onfmtQYkrhtOnDTpWZhrJpk0sQrYm92PK47j3CqDTU4mQIuhOWGBZxGQacy&#10;t7gH95m3d+5SebKoNr9oo6o2LEa1ASee64Evh5qJqSJ3BjCQQ4Jds1Egw6k2LPCxdXedxvbG+soM&#10;VxItE04lQNnijDmf9sk0cu9Xnq5IkaW+GNEyyBIxLRMWegSSScp0ARoOkBku+4E1EEmCNroIByc4&#10;2JBspjs0i7LVKGi88cyB6tqE1FUFnrdRTkweImhyablASOeqrxkNTswagMuSJhudAg3OEpcN7JFF&#10;qLicyti7RwIb7X7FRFoMyZJ8cj7cljcTRxV/kS84Y08WJ9+fZCuoBRATerGvpFQy5WsxK+/C8a9S&#10;7gwuH2B3SDYMiLYv1C1QhANJnYedl6CzhdNOmijm3LzDm4jBQpbPlmeC+AHlrL0TvzUq24Rl5noD&#10;Xm2oYd9GppkjDY4PeaNhFI5S4A6cjYZBOPTkLeFsNVThcBYsuys2DMKh5HT4EM5WwwKOrXAmac5o&#10;ZQDetzcerIFy0mKeNTgUUZRo/yK5k3AUil3FZC/c6kqFwiyYBSZ3Z46rIbFGej0o/q15yHRaOykt&#10;oxpxc8Ml9hx/kW7iLpi7u8bjELisjsNOaQtdg9Ms9hx/GRwLxN2S09oHcEvm0dG24eL3Ku+ETuYk&#10;YCaEk0eOfCndEpw7MhAxaDqOuBzMEwhXa01qjhZpmJAQ0HPzaD7glFKEBETugpnTVJMa2WbMSJ41&#10;e8CxPyJvdW5gySVvuIPLBvZ2ifLEw5QYWaNQ/NZ4bx4KmNYBe7nGfB4VQj6xwRIx6QOtYY+8Mnan&#10;+RmOZLmhBgf1bAgnTXWUWGIDYkSBzcaXtteMlIq/jG48wYM4QLSFjrarz24FnzND3oOj8ScdLD85&#10;ovuYxg3hJKLNqxcxiL+IDy5pVfLskzdETpHOcpA3Fnb7Jk4/DURChFxzdyn9Gb2RcdmCviPTEYMm&#10;4YrL4UYrvTsB296J39oXVso3+fVxNEGxx7HLIDWYs6oD0DBPj5J0Hnc0389wMfdCiAZVDucUN4Ss&#10;qFcHSqO+f+i6iznxxx29FDizFJRdQ/QEdVjV6B2lY5gYdxTbsGPyQvfFShZ145Tzhl3h+A5H1t65&#10;z006ojATApUxKt074qBWbiCbkfc8gD2dEVgGwjbhKAcORMjREHQnkm7ZcNF86JrU7Bn0R6pm8Dmh&#10;Wofhk6TTzsbg4OaIdFo5TdnLdyqySU26J7uxufEmcqRxity82kWh7bxseyd+a1/QqrNaA7ZytONW&#10;53gwp51bQrRzgJuMhkA4Ajfbea+thhI3MTpVdDi+E6xHwFHFjdBeYDMOTlmD79QjpeIvoxuNqqxS&#10;MABKjexmOzYfJHV2FlueZa/hc4OpqV9F4w0p8py4osE7OMedKYeRaB3MNM6ddGYaB8E4eXGgMMDZ&#10;2ylrbq9L+KD6lpFHbVuTt64hmuOtAaUDyvLWJi+/cjg+q7caavjsV9Y2lKEwROGh6/mzt0oVQ3QT&#10;M0DlIOb4HOV43F0B2dsaivJTdbo16YkxeCgjkwNVrkbQNuPklAYQLdENQab7+BysYuI5HVFCgy16&#10;OrMXcJqm0zmKI8W+8allhuGoLq07KVXbMQ0KmJuStLnyAnXIi6xTGWfDHU7I2TjfzAko4at+ADfL&#10;V5RPq1SGc0iFcLpGZYSyDcTnElO5sKhbg+ZGLKhsvoV1Gtsb696Ho5WrRDajWbeNe/f0LQx1Fb8p&#10;5bh5Sd1J8lo7imF2mVsCKqdKMexSVMrgcg4MwOEvWtDpHDxqLBnF1ExYUOwuPhcz/C+p5pnnIErG&#10;ZYcPdj7k5WXgRM2C0jZt6w0LfBqnVAamG8uAWTUYfNHeuYc9omxcC1H0r0cSHhwuxjxMbsNFBiPX&#10;Jyk7UOUmeMjublHMpwsWGdGaOEYdB2CVQi3MusD+Lj521h5OjtgdUiMVjjiVOm7CdU85Y0MNzg5q&#10;aR528qnPZ9XnhrSRRVUCSs3IfhUn3ggnHb5GQibx2ceyFziLaHAGdlJnP3CUwmf1hhLdUOCEuiAV&#10;KENqGidvKtl4PtoRpcOArw8mBfV65s+RRuZ0jEEXZFOToOK+q8p1OymZ/ErwuJqDJm4ycL6W8ibF&#10;XspwZB87i9U5HvbHDpuI8rCOzVNsokjpoVM8VhkIW7CVdTdp9/PFvN5DGcy+HjKP24d9ww57RlTy&#10;Vrp5iuWQfsWr5krV5O1mmaLp8AX2UmTDVkMRjp/l0P1+w8eO7GZ75UarHc51W3mjRou/uMrfTO9I&#10;NYtAHj8YCE0bGkze2inL2HP8ZXAsyyadysBmjmzgAURH9MpdtZ0xrNHtYtNREtT7YV8soY7mnMMR&#10;9/UsICRoDQ4MPX4V1f8ZB+FN3iJBrfAcCi8M2HkoKsPuEhv8GK7MsB5Rq4+DM6AD+uBg1M4HXg+W&#10;NzDBsd3D8XPN04jdujfLnbVrnA17bh8x7DhPJQFOJ/AI3fw4Nk92Ohw/15zPaDrdxJ8ARGty4Cfb&#10;5aRET56jlQoQ51lo4EloFFcamKdy3F6ogDOPkQ0HhxMNobYy3kDyMj7OBjH9+mF7YY50SgsVDrjQ&#10;Du2TdgyTGBWMP3Bvcf25YcJ2A8BVFVTk4jip4tNON+UYnef3kDw+AHFlzvJGCpTk4CSOPNUiUV+f&#10;PIx/iSXrTpNlEXPG1eD46GDfBvKgnqAOIIfJfIOLS0VG6GbWS3RyIORIOOzO6XaxRD4Gvor4mLUM&#10;wyPg4+lPKN8TG0zeePy3BgeH/Mif6HE/ScRP2Z1yYyzudNkN2FUnq4sLagT1DzBK0MsuJZodGHWx&#10;L2r4HLhugwhhnUOZGcUHnvIQeYEVyo3RbWBdOHmQNS2bWJdsnYvOddQNJZyWfxAtgvhL7YPuq7jM&#10;1BtqdDta/HFK4UzXo2kBPHlN6aF5as5ILHOz9vVpsjMDJdnXMMhtpVd/cAmfowXasO8Nzu/jzYpP&#10;XaKXHzlaZveq5VKDYz46ECFMR9xL4XZvEHhUjqYcjJxGhiuaYnXV6KjRDfeV2ASOuWXYZpFuVz+N&#10;ESUs/lJ5Q4YGp70kp3fLDBqMPHkA/oVGemt0k8qfui6oldTwsVSQdIITaoeIknFFOLZfuKj0NDim&#10;lln0rmsweRvybpkeTWYn7o/hAjilJKI9Y7eoazavWCV8XI2hFGicP3KIYSZoXjBansiQvqaTHYOL&#10;6+nBznJI3cROQE4+AHGllO0QRFt02MxnNTacJFVyxiedADp54sXQGRgv4pfcOEhW5QBSogI0CGcC&#10;HSUl/oDdlJ7kXvGqlZhgcWKJ3dgjWoOD+mykW5Jrqdk1d8fghBEUhCZBj2pR1ODsDE7qDuUsuf1I&#10;hcg8uoiT0XX72qMjSMcOehRiQXyS39LrXCIkPSvYEj4OB/ngwa5qURiaAUY3ZAArovBk1OcpxI36&#10;TTIkumlyQME+5c8u7k8PdnXBeSQHDsXdlDyIo0S6IbV7hoPYe9gvYP76F/MGrEa3yYKi12jWHC5c&#10;ZlA2Nygk+E2NbqpBanCu9HKhJG3YHoI/Kr4oUhkJ6nCuGj4owrH656k0NCo4KeNyYXTYQaTbyP0B&#10;oAKHLQXSejkQL5HMU5TnDfZoywQa8cO2oHXuzsw0uybA5BrTVvXO0H0IuAiHYoWzmz0+cP+qQkIa&#10;QkD0uOdGHOWO6/5e3D/C7rAvCHDKDSU5QFCCXE3mbb2hCMfCPKmmN9QqCcqy+s4fKec/C8g0Yr/Z&#10;RR655jrsN4MTN0ZHr2zPQvwlfDBqk4No92J5toboOIUdQX3QMnWiBRp/cf8jTtuZCqniIzopNtTw&#10;udF8gp8yqDEcueWw00UWqMjqiqIu10igUisWofqg37CKsQERwV7gJ1hCSgFerlvCB4U4dZlBRkDA&#10;Bw3sjkWlTd66Bg3EV+EYG2IcA7sPDmB5nwgHwMTMGhzJYbqnLmE9c5pgAQ10s6q8ULB1vyW8XxRf&#10;ZHmE7m5ctxcXwZgh1MWCe0kGel/efvs4+03lj798/UYf6tdv//XDy6//9I9vv//68sun93/+9Msv&#10;84/Xn3/80y+vT397+8sPb2DbNPMmvPbLZ3n584t8pta2Pvnw928ziLff46+n314//fDmf99QGG/3&#10;x8PtD3/GZP/D6c+n8x8Q9b/+Ybe//RGZlTif/S9//j9v0N/+9P3HT+/ff/j8l0+fPzz9/ddfPn/9&#10;Hg9/ePPx27cv33/33dd3Hz/8+vbrP/z66d3ry9eXn779w7uXX797+emnT+8+fPf+9e3vnz7//N0B&#10;iVrf/fr20+c3T7//8AYVec7S9f8Tkq8vv31+P6+aHz+8ff+v/Pvb20+/6N/fxRHPhAXa9r/S+vcv&#10;X7//+uWvr//0j/LXjy/v/9dfX59eX76Bum+e/vbhFX98fHn9D4z29e2XH958/Z+/vX398Obpl//2&#10;+SuGj4qXeO3b/AOTSqyD177lx77l7ed36OqHN9/ePOmff/qGX/jkty+vn37+CEj7mRafX/75t28v&#10;P336Jpxro+KP379+0bHiDzIB79SY8PvL63vlgPz15fXl3YevX8GVf/v49ssHwBZg7/7H30CBT+/h&#10;NX/z9Pntrx9+ePPn1w8ffnp5/fVpVmV86d9mooFzX/7y8u7fvz59fvnTx7eff/7wz1+/fHg344JH&#10;//r+07e/vnz6/A0DVHs/fC0/hPhPP/7+31/eA9JbID7T4O8/vc7CD+l5+vsPb/6ALDHmLqAsB+ee&#10;iPA7NJ5wtySm+TvYS8j4NXVrPbz7rU2lt38D02eJ+fk958HP74nkMxjx06+/vP3hzX/57gl5L0+/&#10;P+E8rOVjtNeg0fw1ZL7unj4+IbWMVk17DetCe+0wXde6g0Jp7613B63orx0w6de6gx709xB9Xxkc&#10;qOVvodbyKq6QgPYe0olXuoOR1F6D62FtcDAp23v7w2WlO0nt8vcO8N2v9SdWoL+IO53W+ut5AX2/&#10;Sjwxgrw/bP0Pax0GbqAO2OoAe3bs9+fzWoc9Q5CacFrtsOcILsFY66/niBjfq/0llqxKc2DJ5bQq&#10;MeIvcRLidMjKAGEWdq/B6782QIkLe38IH6/113MEqWGrHJEkUO8PFS9WO+w5coRjbXWAgSMgzIo6&#10;6DmCk4Dr/QWOIG650qFEgBwRRA9WKSg7r/7Ftf4CR+DAWUNYTKDWHyh9H2GxS9tr18vqJJbAlL+4&#10;x33Bax32HBEDf3WAPUdQbGaNxbAIG2Dcu7Iq05IE20a4O+9XRiimgL+H3KfD2ggl1uMv4hjlWn89&#10;S3AX2OoA4Vrv+lubw+JqdqjQMevdBY6g1vna+HqOIHNxlcXi9XTIOGC81l/PEFjuqxwWJ7P3dzqs&#10;aUEsyu01uKpXlYLEEr2//TrCiEG295Czu8pgSc5tHe5WtYzstvy9C5wXaxIjYRx/EbvOFQqKU8Bf&#10;m3AJ5Wp/PUewsK/NEYn7eYdX3Ba/2mHPkmltDksSVOsOm6a17iS7v724qhOkQLy/hpvHjqv9BYbs&#10;YVLc11pyXtA7xNGV9Q4DQ9aUoKQHeXfYVK3yQ8Ja/iIMhbUpIu7u9t4OC9gqxj1DUNh1BWFxRPcd&#10;3lY5LClI/iYODq512LNkD//Ieoc9T1Dsa63DniVA+DitoSwhQB8hKuquddgzBdcdrestcVJ4h5gl&#10;a5pVfJjtPYTu1ofYcwU55ytDFOdR6xA5CKsdSlqUv4l7mtc6DFzBtd6rmkYSmr1DBNHWBEc8Yv17&#10;63NZYp/+5vpqJ5k4/toe92qt45zYssZoccm3HnHodHWySDDP31xXr5Ks6q9h03deHaK4H9ub6/pV&#10;0pPbezDoV/kiEX5/E16zFUZLMT9/DXoOqnNlHysHW9qb62aSZJq295AQs7rMy1F9fxN3p64NMbAF&#10;m9RVrShJba3D69qqMt8s4e8hdX7dut7LeaL26jrWUr2uexHxkVUDey4G6X2eD2szZj6O6+9Bx8Nw&#10;WeGNVLXqoOPM4Qot9xKo6vo8nVZXrL24KP1VJAaudhn4I8WK14fZMwgh5LWZCLO+g72Hm3u9z7Cp&#10;x3mRtWFK4NXRwQX10zrmYV8P1/pql2Hy4JDYqmRiie6go4TmapeBP6gatqoyJGGhIXQKKzbcxO6w&#10;eitO4tmH9e7vn+nEwl9wKf4szkRxpn55+SpOM/FowSf2rI63t9/jLWldeRnklJfNffb4ZRBKXp5j&#10;EeKif9gzSCAve3z84csQPnnZnfIPX+YhwGeNYmwOhLH6Z8iDuFa3xs0zEM9+l8ZjNJlB8Qw+lnon&#10;pi2f7CGq4loWwmgAanPs4mCZX6+hynDzM9wjlbEz2v6M5LvS60S1pbw/RJXJrc/wXFR6ZybBMxwT&#10;pdcpu16x5zFXGaF/1gTyTbqLU0Ho3rLuH6IqLgN5XbO/NntnVs1zy6V73DtRRXSsQhnGyp5bxtnj&#10;3olqSxh6+LrsxgXVlvfz+HUKsPvzH7OJccvnVvHqce/USYiDVijD9NfnFit82LtscwVVzYXc5Krs&#10;YufXawLMmjbPLaH/8WCIassTePw6uapBls2xM5HpuZ2WeNg7o/zPmu6/3TsFWLOKtl+3labGVaae&#10;PGtx783eGdF/1qN/26+Tq9hQVUSMGQbPGt/f7p2o6o0t26+Tqxq23nydp/Ke25m4h1yVXYwIMPYo&#10;FVRZcPxZc6+3B0NUW4Ld48EQVU3g3uzdrqV7lq1BZfTzzkCwFbu/9gGlmLVqC0MixmKy1yAQZ3jP&#10;ax80w6mItJtOVdvJjaeq9eTmU7SflFq0c18RWX6SxAfE3Od/ET9/ffP04w9vfhS8NZmC70o6haQY&#10;aBD36SP+kjCtvNVO42sekZ1yvOoVVwDZ3uizNSwbRu7hEYE/xSy32mNB6LcfP73744f/eH6Z7fHw&#10;S0dk57A5IgNce7yAYBUo1rC19vUKFXbdFW8726QQyrDMFEq3o9UeL8Yf6aVYIC48Q7jFgxq1xzUI&#10;TNbGPA+5Q3ZlMvbeIQmoPdcc7hoQCS5BlMQPSRH+Jns3SdTU52oAmQTYDc/YbM/v14DwtDC2mAHI&#10;kYfCcAFqyCqT2oQKHAsBFVAQ0nsM8Y/gVOkxqT4vYaKGlQT1ehCVpyPdS1asqpOZF+z+4dNS9xKn&#10;m3mtNoHxlHYIWBq4MDuB5tfb3mOTC3ZuBB6Xee0wGFLuYoYtR0g73OAKnp/Luf4qp6XYqfQ1L38G&#10;YPthiUS44+xO35sPS31LNEKRjfSvPq8BQfxwBgIGRHbumXQJb17IUcfsM7nAPqPKBJxUsa+Q/NRx&#10;FPAVS/SbGnhYQrKWBuDYV2nS7ZHUpIhuNZToJsULZwFNvVWfjwFJc9mBbDwvAblw7TMy2wypPq8B&#10;kQjprByirpLrVfV5lHE7p4IloM57OWSnncVTfXJTtD7XUmqGYXvePD2bGsuObsB2DZqp+rxELsdk&#10;p8d4fcS0OjFZg8qXU4QzhnLC6d6UNJOJJhW9RM08svZ1k0qy+GYYUiRHQTy2Ov0DBBKC6q03lGjV&#10;upPoQqdZ0GDyoB4loyJyes1gGKjFdbBLmSGTCY4bP1GDYbGiyhnRYO2rpFrqDSW67S827ASn3jAI&#10;B0Zjz58GZ6uhCMcVmfq9jN2wJUwOdMffGsygPLRd36YCQNEr3e9i5QpygHxJrmSHaLTs5ZKCeXqy&#10;oYaPnXpAvnvQNIi6Eh+k/gSCWiV9LLbuQt3Gx6qbZLlGHqYZ+7FMiKTgUqHqecAaPkjSo5KKRTKw&#10;lVA4aW/Ung9BYWfpSIp3tvG8iIoBgT7uNA6AqATg1rX4nAVxkCQmz4tA6Jc9wdEdgFBqkVoSnu+5&#10;CCBnoQ7EPqJW96lRfF7DBMdM+qXDgRSfjwFJNWAQuFbgG8/HgMCrFhZgQKGq36lR3HC0XRTt6yIc&#10;1qeBlRF1Jo5a2dSL5rpct6BGDtRgWcakMJx+FbeoTckh7z1ImRzV5xdzQw0fq78FTZ+6M52Zrlnc&#10;o0SU4TMgznZnGegWyYNsRe1uF0tBtEVo59606C6Iv9SA8q+yNrE1deN5jWjeWdIyyGefcclaBvmO&#10;+nxEy1xoNGctIyVNhM9Zy+CMGp+PsIUfZS1jnW08X5DLzFX61pamqb3wwJ61GrrthsMNexYJqjPm&#10;OLnRzwicji89XyBxT7Dk+Mh9ILXnRSB0jyOLPGBypqGUTofCuUeBa+GbTbPCj+bLhTDd8nVATSwV&#10;IASTw3PmAMgRtar+8ooB/Mi07sEObOImkADkaMBbNHIbEzOQThpKa0BsviWfrvkpz7pG1HjiH8VV&#10;HSWglFxIqI+YUHEiRWeAXLRDcKgodIakdJU6+GJ6nsiNH6IEeFVDDROzjy+J9lKMSTpLNTrhl1Eg&#10;15aEsM2TC01QKbHQj9j0/E1TQ5xX/rzFZgtAfNHQNJbWG+mCHWewwYCLLc8tx2cbjqlBOXIVsGnL&#10;JnaSPZrCwHkVbjcHR3USf1FPopwwv4Lkhu4kfVDcM2mrgQKLsaEmAXJp4t3ubPph6xR8iijfwL3B&#10;AZTFyGpwDjyWPTsXe3yk2oQOIJ7bPxyYGoEvRuBY1INfuRwczHnKDWRrMAE5DNwBhiqcxtV4u0K9&#10;oUY3867f0gwtPi8CYVRmAaT2vAbEGbBLhWHknPwsAXIzRi8auH9GG8TxXZa0o5y5kQnC+5yc0UfJ&#10;S54bkiISu6lvqOFzoqEEZ3jUa0iwZHd5zXZ8Wi7RtsY5m+DuU7AQab6Es49WjjdwR1LDp30Vze6D&#10;D2CnWt8JKqVYlHEt03AbH6uTfot1ZTH76FrQdCKHYpeYcpmoIYOU/HloV1Qj6kXKIqnXaKcfDpLI&#10;Kwue+rZrQPasMSrGfA9ElgbpDGm+95+PiLN1hgoesTOrc6G5Ik6uA9M5Ty0bbpsnFttOl44j3qOi&#10;jPMkATgOhc4Y8nmNXGJdClkWnZFXckVcT0bc7TW/f2q5KtuYyG5OgJzipv9QfF7DBEccFYju3532&#10;xedFINy9S925niwTLR3cxxGf08Rtm6RoWNg+iwbGck9lL6xvxHBUQXWrTl3g8Xgf5u+nTWP1eYlQ&#10;R1yYo3IVbfvq8zEgotw7bjiQjec1IEbe3Fnx+RgQHC0ImBiQjedjQOQAaIJC//oOCZs9ISWrQCYu&#10;QuYzhYtwPF4Y57uXBYMXK+jNRUMRjgdF47YL5+fM2thoqMERq3WmAo6pBfJIAEMb1MNuOgcaml/s&#10;Wi72ppp0scWuKCjdekMRHy7qCFjEeWN152HahRUal6rRSmNDDY4UNZzJk7qDbrB9lNooRjeUfzbr&#10;STfYJTgIfxgb1HHn3eEEM/mTsq3EAlG5bjmsm/xBkUmbDcmGvDIdHbM1LgvWcBsIKQAMF7Ko1arP&#10;azRzH2gCUnw+CCRtyx3I4+c1IHIzifBSas11ugvnfJWMvP/NheLGJVnuOMD7NSA3kEmAJEn2O1f3&#10;MTcQAT4VZF+THy37vvL624VVX26AkBFxFQcaG8u+fXCOQXYUk9aONp6X6IT7NnRinaPfAOVMaTbG&#10;jTmqAyudTmr614BcmUAl1W07jqMCh3aWbFnYZCohI4YxyKqYpM5QgVwxSYYxpE93SkwSLmGCS9r4&#10;UfS2oQ8+Bzk7DNvzAdn1j+Q++tAZgadNzMlvBdbiu0VMOAvF2u6AgIwqXTirHp9zgvB5CQjqKSvt&#10;F51xo5juOMetU/r+uZ2y2NTyR6mQLhPrnBZhU8uoBRswufKkEx3MNUzsBkTcnxo7szqsj58XgViY&#10;InV24Xop+RY9ry4MZhLzGpALF0XS2NQsbj5QEU732+NiMV2sJ5ANwItAmLYqXut+xKa7pL7+vecj&#10;LnFXhIhNh4lSb6ghMzHPAMZ11F/lhkE4e/WlN9Zww4jM1CjKUl5XRF8KZQ0wx63gZE7aKYKFnZkb&#10;avhcONHg24s65kKXDxoiQa+2fRnJH8NaRTMv5XXVG2r4HHkQMKe3o54IreA8gNwwCCdluzY4Ww1F&#10;OH6MILEBBRooVkngrZqtlBKoy9uJ4XtIaZQDq2aLZPioDryBM7uGj32Vorw4lKOG5cbzQSDR/w4g&#10;tGqjQ+koaQYyRU8DPlF8ROsrenERl6X1Fe1wqaihQDRxrogJ3Y+n6JA+oqCEdhYdsi59I+lW/lH2&#10;XdnM2Hi+wMQMbfW/uaZnN3jdXlj3v0l1PxVv3jqGrx6b4v7FJe5Xq88XWMTNheJyOlFdXuNdAGCP&#10;qrdrzIpEvEWF4drOaW4aS5jAytx0rwAES82+W0wlbc/bUdMCEHaG7XXQ77hHSqHAoRWc+rg72xoG&#10;FAtua6LeTQszSGYNce+EOoxq5MA/Vs8iwG1NNrrcHTc2+aiZCwbOpt33wzWBI/ddKKkLt4XSJn0+&#10;xwAqU77T5vdkl3KZu6gmlwf66e0rM0uwBTQnU2KzHKBRs0QXlhqcuU7PbMzEfKOT+DK1uwTHG+gG&#10;rcFpX8WYAIo26bBR9Lo3ToEn54Y6LGpQxBSQQacLTcEclcBLjNO4xKAIXXll9Y/k3qfOnK4+r2Fi&#10;kimZmAEIuCEYopZ+eq7idx7CxIJBeYZxJuOGvgAEVyDOwE+qr2qYmCEgBkmPCZiinSWtZAE6ufwN&#10;79eA4Iqwu52Z5pUIbQ/8yOT200Bek9+7J4n2fWd2H9/G8xom3lkM8+L2PO7S1Unq+gCXhahADOwU&#10;fT5IKl6PiSUg4OKeu8+ngfAvlhflyaTh3DZi2/PG9HVYOCrack96mfEWQZO7JHtMDvQNyUY6PKeW&#10;5PMaT+Q+LZl0uTOkD+vz6LaRinXzc94XUQQCDARIus0W00EVJG6bCJj4cwVeBMLOUJU/dkbrTDIp&#10;enLtzcs+cHr7tOfSkXIyUSVPMTllnjAtC44+AV7D5MiRZQ/jifMheyQlrVLIO+LeBAK6buTOJnNv&#10;qoHmoj1RICTTsYyJ3W6I+10D7e02DpR7i89tZ6W8qpHrYndb5TtY6ceTu256xl/4fGhltI/gG4oL&#10;R7mhigxtE/EMx1G7zZjQ4fpgJx2KcGAuiMzANRT20KgTWGyowbm6RynRrdxQhEOxRWQ58seu3AKi&#10;wSeAq27dpp8pXYTDTBb0FvmDiuck6EZDEY5tEXAwJsiBVAhRxiWD7wJLZ24Q+7o+Q5n+Ax9UkgMj&#10;aDb6LdvYzPcaPhNNIvvK9YolO2MAEVE/j4PTpnV8znZaaK9VnhocJk1B3uNiY+aoOY0W+OStFTLv&#10;lNIaU8b77Y17G3F/HwUegmzWGxZjegwnifr54ESJhiou47GdkGbkFeFYckOiMeJL1l10AJ7htqHQ&#10;DsSt2lfJDVpvKOHjl4dlP2y9YRBOcrc2OFsNNTg3c5fk7m422RPjTjfPkxjZ/tgtaYspdaPHb6Fz&#10;vYEzoYiPdZdMd+/t8fNBIDE1Cvdj6l6Oxbxcn6C6+yzSrcLath9Liq6Iik4W6s1ud48K0O60Ux9h&#10;DQv7RlWTD7b0eAHBXJ/qUXJt5WrP2tddo3LLxoxx86du6Er7YKEryw0LNO7qSu8u68rLmq60OCdi&#10;FTOfinDMOktT7nxZ05XNYBnRlf5V1pXlhho+7gnNcMoNg3CSDpNrVsJSYjK+aKjBwUXV97uzvGjE&#10;LoOhdz6ZkxhHfMt2CQ4OmQszmh+4n1v1SNaVrWFEV/pXuF+1Nxurz4tE45jPyC/o9ihAkn6v6HsB&#10;yRRHOblYtUxxxaMqS5Q4j0DojZbYYQ/cBGMknORCk8JG1ecLcplKpMo0LdPUn73wQGdKwoSsEkar&#10;DY1pFbQivyeTt0iki8XorPOoHOOvhESMHcK/pkzVnDWfhvZ4D5OvzGv/KJ5o8OXjEAvTQLjVeSGl&#10;r8pAcJvnTFfeAOojFiee0BuXPQeBMj7w+YLXd4l1hufvXme4D/QucNzypM9HMDnJdRMy4kQWbN7n&#10;53IEpp8a/nyEJ/ZR4q/BTtJgeCAcWGaI0SR6IBAWUBImgU6zIlK/zREV2sl8x13ArL0Tv01fpJis&#10;97TxvCQeEw5vzxxKMVnEW1Q2U0wWeW7K0ZGYLPxdCiTFZCccTp2Bp5hsez4Qk/WPckwW0M1gjtEP&#10;4GINAzHZyYJlOVlqklwfmQQWerX5jJM4XGpHYrLgTPyqdWeTKpX/dMHoRCwKVhO4JGKdq6G9E7/l&#10;Fwd6znNMFuTnVju5Z+SeNyULG0pyiaAI49ipO3hnaJ7gCG3QKTcmKlrOVQ0OrtjS0UlxxF5FWUov&#10;zKAIxxtGYrLn9lX0xp1vXABTTBZ4cm4MxGRx5Q1nZwzw+gRMMVmXmBHPs3+UYrLV5yW+eGcpJovn&#10;OmdTTHbCgZCZjyMx2elAITvFmOx0sKBKjMlOFugaicliHqskp5jshBPy84gZe23Tmw7qkZgslJKi&#10;nzszzZtisij5owv2SExWLlgkjYMBXH1eY7wDiUHGaWcpwjEmC0woEAMxWcwHjSmkmCwMLEpRdOD4&#10;85GYbPsoOlkd+BRjso7JSEwWZNHdZ4rJTlIUSRajFEaddnTtjMRkoYyVxqkz6CgDHjzY5xvX+5GY&#10;LBShdpZisucrJ2mKybbnAzFZ/yjFZAGcjI8x2fONewrcQV83I81Dl2KyTvsUkwUPuRsdiMlCulR9&#10;pJgsjA0lYwqjTgcasSMxWZRUVinKncnhGJGuY4zJypWpqtMGYrJIu1cDIcVkUVyGz2NMdjqTJ4yf&#10;19SKRZdxZV6/zOM+LEpdjMn686GV0TrLMVnvbbOhiAwHDZ9kcAUBjtuMUUVLTSG1TaEvqvuh6WzV&#10;S1JMtt5Qw2divk2OlU7lhiIcZiIt4VhCYXK+oowPjdfdgFt9mjx6EY29ekMRH9sipJjsBO2g7E51&#10;9cE4FXccd64rNMw4ndY5JgtHBcUqWely17EOYMTon9z3mbsTPTOLb4rJTkfP0ByIySL0y81FcqWi&#10;OBN3hCkm6+Zot1GK26O2bdKNEvSGGkvN09ZeiZ+mD866Cpg96B1tPC9JDE4rBcenA3F7MBZzvKDQ&#10;7Uz4kTOElz1rqaal6XKg7ZFWk8uBwjKyNF0snzt3hmNe84glyb/bz12QZKuYaCZpjVzi6hW5S0Xn&#10;Lidm7KSNA04R00LW81pFIGZWaxjHeYLrvWfgWLojJmbyaYHPIhB+lCstyCXiM5TNhkE4qXQ34Chp&#10;cmwWnlabjANemEtLkohW9AVuesUnXT5waYVRVTJq+PhXKbzUuttqqMFpqebKVZeCcsMgnBTGwv7B&#10;6JYmTm4owuF2Dd6TYHChap/JASZqP0HbrRHqvKjBOTD9E9vAOEvMsWka2wnqDaw5UoWjK90UTxRe&#10;rLeN54NAoKsCaaiGWBmyocLTJgimyftFIHSH4kbhCIRrnzjOA3C6CnArdR2IVB+YFWe03SFlpec1&#10;TOCDvAtkxxB3Ol7uKyncZHVMbB1f6MdyQw0Z705yjXv67/ysSYw7XqSSy2wUjcR9caCWFm268wCm&#10;gU3MNGPFJlY4I4rTv8r6sdxQohuKStNkS3DqDYNwkuJscLYaanBgDZHacEJ2coArD7hQJ8bBjWRf&#10;qAu7CIeF4bAeB3lD7WODE4N5rWFEcfpXqX529XkRGY45lTmGUlatnepqg2S6Pxqp3g8GmDEYVrTp&#10;Yo5cDWaadnbBGIn/+0cp/l99viCXhffTJqPtSuyF9fj/zS96otZ8vJHx1+X4XifA1ecLFO7tlm5W&#10;GCoDKT4vAqFbQG7H6DGxWjpSRLF7Dk8lt90DiTjIhDOfTezMCnJgxexhWEl4fVzC4wq/3KxTUlfi&#10;BBXFHgvrX8/0qHMPXANxslhq6gxnDmcYUr+3R8PKdR71oHcNiB0IxnnV2Jl7BMPMvB75HNt3eb8I&#10;hB9hkxeB8FTHNT/HqjhTcSBh4monZ3J9LnROT4dcFdcTTEqP6yo8sO27+vaFOYKmnK5Wuhv2eaSl&#10;yZc11IhmCtW+cjgXmxL7WP4WF1WZi0pzs2pwrOQNch6DiXy9+imR6BLF9KKLaq+lkWtw7CsJPvRc&#10;KD4fBBKjtRiyLjTXuBVE7SBd6K/qVSwCoW/1kibmlTFOWe57DK3Y0EVjnzUgMidEOC+J+IKBPk9C&#10;RqnAbl2A14BcLNqkHzURqz0fBBIXr6sDf/y8BORm1w9ICfuO9tXng0AiuRqQx89rQKyA8iWGVZDo&#10;o5sJOQrXYygXIM8CoZv/IhDuWKUaVOiMKlGqR4XnXHPabcrRhIi/1DKCdaK7qWvMVHer5ZoxRF6G&#10;YEINUcSEH8HoDurLoWw21ODgasx5cFDHYXbfWjJONGlQsJLqmMeuSnCgdblXEDdMx4KrJ5MLw0OD&#10;efvYUIODOKzik7s7W+GoQ6zlgip+9sVAUNUNBuRYB7mFUNheG7LY43Ow7doOyZxoqOEjd2CK8CBT&#10;K3ZnjLtFryY0vkqbLA1lKDvuGK8xqH3d4fc8CRPT7Pmkz2uo2EfcSrlWluuaBAhKSSaC0cBRL0MN&#10;yJFhOPUQOwyrLB8hWAm2+WmtfztKETu60vERLVevuTqwdFnlz1jF4iq16mcahUmKlDRl9oBpjIlN&#10;xRpVoVxRJhCiL+EmiYjtcYlGyFNTqUldQcVoV0EBQE717YFtCjZCOtiYiXezlNOYXu87wBnuAgXb&#10;1rp2V5Lay9b8YNd7oT8MRXg45Tb2vXI7jhCVH5iU3i40glIQCee1dCaw8scChbvL1ITDHzOQ6Fi9&#10;WZ12ubWu0083RHzn91mIsgiEimOK+W9YI2xVD+acP5ckx6p28o9u8fwJRkxW7aIjFCja1kgP7xdx&#10;ce9YLMGGis/sLtXQBl+4qDGqXoOD6OZMaCwdQV/cTCwwUeLc7IoEzg01OFdb8XJ31zaAsGfBoUjb&#10;OWKNL7PHC1In/yDqDqsEImQc8blSqSD/2aZZFOH4izPTE3B38bw3zlKqRSJ5Yb1E2/PLQEVI7wwp&#10;BqEzg36OBxRutjuSHKQ6yehtTKWGb1e7oiwaFVDzVBgjit62VOkU0g2r+n3ts1BjkQ1NqZEhJpYt&#10;Gt9eiZ8aB7n5S5H4m21jj0lVYUZwpPUVGjXDmFPIjFXTrmiw1TIurvCs0LF21hWrNL3wlZkaypQG&#10;RzwoonkvyGLo5BFfmGMI246qrLSvbjG6jwbudrDeBkUCTEk4RFDmliJGO9dn0ZmBSUGVle4Iu10s&#10;NjByu3FT3Lm7M9egfKnXzY7uQJUMTDO72g7Gc+DEzeo6ykmAjkP+/AqBqDLIP2I2rsnBzTYWZ80I&#10;bc9poYtNWgZytnzJeMYApKRhmNTScm7GGdlmqs5NCIqnbkGudVztpfixfXKgmCEvtScj5LHYUJRL&#10;C92nOkiSI0kFoeaEkRhTg3uK00CmCL7iJjUl4MsU1IU+GWwyBdU8HonctK9S6KbeUKSbrFWiiBZw&#10;qg2DcEiFxgaDs9VQhcP1Y9kdvRj5wlqcP1ZHKDlahWMrZLwiC/F25qqc4mzrGpAjVZ3T7auzqpuO&#10;bvR9nPPScmaIf6T0PPKr6ES4RcOp3lCkm22E0i25OP9G02KroQjHt9vRzQdzktvkc6xl1hpO6tuu&#10;wmF3p5jKI2Yr7bHoZkADfYMjl6WBPMysS+WH0YBNsW4Ug/MHDTyWMqZ37KuFPqg21OgG+4OLUjQj&#10;YI0UGwbhZH3gcLYaanB2N9tKR9ehXDROOYg7UzQw2WykbIBUQVO6pSQENFiZSezcoF6aorAYzEii&#10;kpwFuG/OjbQsSGeOEjMO7tgT9sq6LwWWOFdU8YWUrBD/AofxAnHQoPv2cwwtAAbDAWe1qBeo3LV2&#10;UD5Sd8ep8h/yCRmjOsXItSQa0mxwiyr2HH+RcDApCCfmKaI7JvEvpNqS0dlQxMdqmi66s5BMvhYe&#10;h7CpjtTnXIVju6tobMOUZx0ZCq9LdWsYONXduqPkLLvbaljgY/JqnFnKpr3xSKLNTcWgFKBs2NXY&#10;/ajgpjCWXD1Xa1hgcl/SpAiDLC9y10yvVlDpThUR9nepwU+uD1RLgOQy8QkLZNwpYIpYSlo8ViWK&#10;QI1XMLbuK8RnXDLtsyYGHgHCdjBideZxAwyvvu+TC7vp35IjlIF+fkV3uo5FLotQ1UvKFhllInTD&#10;jAmAqg1VODz6AEIkXeq4pgNEoAK9b3bOvwjKSvzjpFACJVdjiVTmC8khB3sKy4i3QRSDSvOyQ4tU&#10;YGKlGWBREtgs9V06FmoeaIGIzS4elz4cSlZxlhOvPQu9QdJc0FAjn38ll8733cH04aKXp64FeFAx&#10;rw4H84kqPxZThirC6jTvLdNWCE4pVSrNKxiVT/zlqpVLcnINCnyuocnHgNmnM0lO0pTphts1lQ3p&#10;8ipMTEYs5BxfIKhNsaa+IwZNmRMXHJjTkbXUyfZO/DZ/ke6xg1haPn+MCCwaalJzgHzOTEt+ZxSe&#10;ZUAt5cuhAfI170DUhV+EY7HudMsd5jpjLJnNOPDFLYOKUxGOHc9bdsfZlg6WQWpZXGrkmBr0BnWc&#10;uPR64YBjSsVJkhrvNwxkwgOOSWcylXwA6b47wUfpJsc1y7MAVWB1jqYb79Ad5S3dUocGJscNOR6g&#10;2nV0i+4OMdjoahKnNg2fAcc1bltXJZHuvYP4msBn/uxps4/cfIfu6FDL2qPcUJRrKTEjs24Jh/vK&#10;dP0dRkYP2Mj9d/jKFgvwKYivhUpEXcYGnpgZuQIP2oph4nQHXlNj6RK81jByC177Cut6tDNdkW63&#10;FFm0sxPV6cIdGQQN182WUVAwZRI36BCFaZT0z47pc1hARxSDBGRn2ytdrwysyi1VrMwqS3nFkEo/&#10;+Jes0MPeYhQ8QVME5Z+lkz8AZR1uttRAIV3LTNSYkou4VbllFFQ6TtSB2mypgoIQqVgkjuCEka4k&#10;AJrM+ItH/0diMDhnb6Bi6j4A+LngbKx7y8gdea3DdBlevaFKPVuEklcaGOliJ2GFXsuiQafhyE15&#10;wgHlhZw5j91xk53KzOALLwY1sieQXOzZJoy35aE790rH5cRlf8xBZTMmu6u9u62GBX/MXZPt7map&#10;2xsPHDoHqYAo+Levtux7+yJVZth7V1sNC0zu7yOu5iFMgStcKE5JSzkEhxv9EWP2sJVzyuY1rkNS&#10;0cgG+RGhM6XZiH2PjFBSOm0yj1Z+K9VugIfAQrgDxRvgntpzlxOTrdHAjKhUvgENtGh4crjGn+OB&#10;ceTskUYDDfLEH29o7vDI+fiLcu1fIcQ4r/5uXw+0lFGyBSAeAgWJaCrCBInqAAU5GH8YuTsVHdJm&#10;F70VFBxu+aMnLqW6wSxifsSYd6p9lu2CgZYaAeGFN3dXshgGWkZBZbuggdpsqYJyN2z2XNx8gY9J&#10;bnsoD1VS8CkO2KxHJGLROEkBk6Pddy+Bxygw3jJyQhkjpJcq1XCoN9So1+DE8g6AQ0WV6jtIA91+&#10;AwUe8BUDAKnCwx7lLrkBBbzelMApHiX2SI0HdEe3Qg6dlRtqdDtcGdhcwLnSv5UKPbQFeCiA6sv2&#10;Qr8OtFRR8pw8LK2BFVdz1iNU8n/Zu7beuHLk/FcEPQaYdXefvhrxAjuzO0GASTDA9h+QJdkSYquV&#10;ljyebJD/nq9Yl8OqI/YpzvPuw6zc5GGxWEWyWNfQYsdhR3gx1kLspZPzFWocFcrjbrZstXJwZLHS&#10;GyCer5BU5G6YbUmCIjfQ8naZDJhv6QU1OUUN1GxLEtRozAoGAAgmeiGHW3K1EeURztcOcX9lhvzg&#10;371Ei4IKd//Y0nW+2mchBcQIaa4hu3oy8ZAFAnDU3DFZO/XAhh8mdmEWDsS58lKCnsbtXSpKyk+o&#10;0KCM0vVSQmohJkR8EKUbJvjoO0hfSvqCGd882uPCS2mgYM+ul5J9Qak+6xVLN0wweVtC1uCIkEp0&#10;CfuAUCa42sCUIW9yPoeTcBCvySvgg+fhMyJPgfhSWsNNnb/oeSnh+cazmwxHHuCFBOGcsHKolHch&#10;zdHIRsAUjZ6WcKmRF2aQ6tYUJkoTQCm3Djj6eAjFjsmnRyfgLz0UtlVLZZH1cvRZr/WFGS42GMJ4&#10;604WlBL8lgXtoo8eopPhtIggpbmoGR6ey4pPz7ohD2mZXXQlXJOhmKZN1aIdHA0uEyfU5LrtJPMA&#10;WWH9cIhUJzjbIDmi9hA3IK9UBx/oVxNJy8abb8miJBNUk789mgGKeW7yksVi8qrCftzDdchxWBZp&#10;ImnB01SfxpEhKZcDLWzfS3Ztn0Xxp6MluYBqW43FCLFp5dUw39ILKspTI6jZliQoS8BCVTscq69N&#10;K+4D+SAnaRxL10sW/naiCqCwAg8Kh00h/iK41OKY0pYeQ499tg0OWemG7OrJ9KIFGHD4OKBaqR5V&#10;SS/Zk6qQVpx3R3zgoYEv4Ohjj6g43rqies3iI7eZOJKPZ4R5h8YFpaC2cvByQxLOII4SKLDpl2cQ&#10;pltHRtCLUepdJOGsJCfRJnLcSi4SShTu6AOXg4JP14sZVcaFtaNGsqMli5KCIu2xn7rIdjCXhlVd&#10;iTMROfXRN1lQ+raMGsk1FOtyWsdTY1BnQzmgkqDss8k5nm/JgYJOXY6UCKqjpRdUPK1HULMtWVDy&#10;FtP707Yu3LdV7zgR0u0c7xH2BlWSgc+8UNfRksUK5wNLBUF7jIeacODCl14A71tLz5Vhn8UrI92Q&#10;RUmmF31PsHh8hmyCfRMNfMR2XRkDueDS0sUrA08zaQg+jwNVXipf9Iiw4GQmUTzK0w3JdTMbX7gy&#10;BmT1K9OOdxakMm6Qx3YWjrzAYpDVsJMnRqicgU0gaoCuK8O+mgj4HS1JlHSCU0OBZvOaXBlwXFdJ&#10;HYdE+srAIsnhGq+MwSR18rms7y3QSQ+oHm/C8bPJOW4DzrYkF5CSa5ZjaDJgvqUX1ORiMFCzLVlQ&#10;ZjyMFMHjifGdUJE2GR/IPUpW5J9UtghuL8PGkioHJevY0qVktc+iLjXdkFw9nXhUshquMcxtMF/v&#10;HiXrsFbFXFCyDmvxooy6KojQzK1dSlb7Cved35463FzDZN1Uhapmez2GZCD01x4XlKwIimeOG10E&#10;ZtxR7IsYMYcGeSyFiDnYB6WB/RMmmLypZMXFKjcfnkD1gbZZySEYI+ZwpfANi+dh/kzdaK7AGJ6P&#10;uu/y9grRGKgJ4RqS+JhzSRxO/XVjxBwS5LLIIqyehSPWgSiZwOjKiqgYMTc29ETM2VcxMC7dMMFH&#10;+VU42jht5E3tcYmjN/LGHUMu5jhaC6PFiDmUDGHGnWuYYPI2R2ttwRgxh3LivAljxBwSEIiGkCKK&#10;0mICGFTfy0GawxaRASGS+F0FbyW5enoi5jaqOJ9EzKGUuNzqMWIOBJL7rytiDlWTFaugVUCddXnH&#10;RM9tKM75SOiKmNsoC8WIuXRDkiEomqpc9zFibsQ1RsxhWZVOPeIcUj/ImseIOYQxyyRCPh1oH8XB&#10;Q0PfklgRVVmcC9FQ0DrJqzJGzOHu1pcoyyk5UOu9pIaYRMytNYNzjJizhq6IOfsqRszhWSaaSKxi&#10;fUvBK5f3dFfEHCy7cumF1yP4mA/vaALaICqqrLY05BYOMasMZzLcoC6QIWIOHCmXXk/EHGooMi/E&#10;WBRYfpjrYsScbbHx+PaH6XiY6zWhT+RR8Bn7+G/jF9FxFpG3vCxzDclV1ie/JHIwpREqnYqkEjw2&#10;UbtThMuebYAqrELNEIlj9XcjmaFQ/wNcs0UIYM1rhs9WNaDQSrhdABmRv1j3eNSiPh5zTUhliQxo&#10;YleNHrUo0KciZhGvc/TBV0LuILFutbpbqImGCci7fRRJPIf5fwm/2VcTZURHSxYlUyyEBx9AMbIT&#10;O+SWqMavzp5gi+1a4r8mdkhkP2TuirkoEScrIrrqUZNY2WdRQzAOONuSBLXQqKjJgPmWXlBR5YDI&#10;Sl3AuKFiSxaUXvLRxxnZ15QtwDn1DWaFovs8arcw0wo3Bf01WlT4DB61Y0uXMsI+ix616Ybk6unE&#10;UYI8LJEcVNGjFmsn2uYej1p8JbdleCJucXCUNQ1F0+A3oOIHzyyJj8b3RU9XZO/lk2CuIQsHdKaD&#10;JQ6HPOssTEzeqHoBdyl77dqenK8dLTmUxgGJJPV2QW1v1d0Fj9oNyhTIjujxqEWeJXnvRDUhlk/3&#10;bPDzgGChRzkfHFms9LN46I0DzrYkQWlWv4k3xybf0gsqnq8jqNmWJChKYslXaFD2IliHWX1yS8I2&#10;rvTtUfYiRls/C8peHEIKKtz9Y0vX+WqfRWVvuiG7ejLxqOwFrnxjRGUv1k5eVz3KXtBC5UrvIYP8&#10;qHJQBUcGY5QuZa99FXW66YbJuqniK75gxjeP9rigGkMqctGGqM1p5qFkH0RE0g0TRN4UkHfmthq0&#10;4+mGTjhQHLjD2+DMNeTg2PLE4dINnXCoIlx9GRmcuYZOOJMLFoDk1qNidWEKciQueLGzoER9S/nK&#10;woDpliwoeyv5yiUo+pVuSYI6SIQV1K5hmQ52CwSBAvVFRIFKFVixtDlQxsrIPeUjJztacqCQs1pV&#10;vEH7tR0DcUJuCYjqqm7kliQoVEDmC5asMo7PtFQF8jF40xq8mfU+7BGGtiTly3PYZ8zAzasiXkg7&#10;hntKpkcVdNK02m7UZxM5WT1WuGJ5EshG/XbLgR8JyfXT8SYnUrYhCUedVydwsg29cEKSYwgGTL2Y&#10;riA2JOHACFXosA5p/7ZaKwoWZE8f0mgS+5BzZJ4TtvIMn7D3TtxsqKS143v1BUF+iLfAqDygOqjJ&#10;3a8dVGDAgjzfvD6Uc4b++OXlVc6cl9d/uz99pcyxL6cvj3c/P375Uv5x/vzxpy/nq99uvny4XpT/&#10;yUxcty9P1PnpRJ/xRPmX+99fC4ib9/jr6tv58cP1/6IIx3rx4+rww884gn9Y/7ze/IA6KfsfsAl+&#10;PEArclj/9ef/u8Z4y/X7h8e7u/unXx6f7q9+//rl6eU9fvxw/fD6+vz+3buX24f7rzcvf/r6eHs+&#10;vZw+vf7p9vT13enTp8fb+3d355vvj0+f3yEh5uLd15vHp+ur71SeFFa4P4rk+fTt6a6Q5+H+5u5v&#10;8vfrzeMX/vudn3FZWKCt/89r/f355f3L86/nP/8r/fXxdPc/v56vzqdXrO711W/3Z/zxcDr/A7M9&#10;3zx/uH7572835/vrqy///vSC6cONGd1eyz/gvEA2tnPd8rFuuXm6xVAfrl+vr/jPn17xL3zy7fn8&#10;+PkBkJZlLZ5Of/n2evr0+EqUG2cl//j+8sxzxR9CBPTJEeH76XzHFKC/ns+n2/uXF1Dl7w83z/eA&#10;TcBu//M3rMDjHbC7vnq6+Xr/4frn8/39p9P561UReKTT38uigT2ffznd/tfL1dPpp4ebp8/3f3l5&#10;vr8tuOCnv909vv56enx6xQQ5aMl9Tf+gxb/6+P0/TneAdAPEyxr8/ulcmB/cc/X7h+sf9oiXLjv8&#10;B0SjiIxCLHyLRiRfoRinW+z/UsmKGV5HuP02bqWb30D0wjGf72QffL4TJI8gxKevX24+XP/LuytY&#10;ZPZX36929EaR/toN07BulI7o6gG9NaZmHA0nmHVD0rtVYzRcltYNwtfQGA0XnXUbhqE1N9yU1g05&#10;HLaN0bBY1m1YA4W3McWRat3wZm/NDUe/dYPFc2iMBm6ybjhwW+tGj0LrNyy228ZwJNtZvxWu8gau&#10;9Poa+x0WzfFqSiCf8qE1Xk0KxLztWvOraYHixuvWeI4Yu1WLGMuaGkhTvW+N58ix2TXnV9Nj2C+X&#10;jfHoSBvXb71qjUcOWtZvWG9b9CBFtfWD9LhurB9lubF+w7Brzq+mB3wSWsM5csBxs4WuI0eTGqRU&#10;H2eHWmqt4WpqwJLVOgbIEj+Oh8iXxngUiWD9lgi1a6BLFk3rhyzki9Z4NTWgCW9Rl/Rp43hQFLfG&#10;q6mxRKRka36OHKtDc7yaHBivRV4ybI/zW+6b+Dp6oOROa36OHovmSUq3v8FF9Err8KM4fus3rMBX&#10;b98a9Nq2fkCjOV5ND6TmbI7n6AFTYANf0uwZXOSWaW0PMpFZP3hQNedX02OFUK8WvjU9DpvW4UfB&#10;lwZ2BVVBYziypFi/9tlHKQSt2wrotoarqbHftDYb2VXG4ZbNq42SsFk/aAqa4zliwDuhNT1HjPbm&#10;JX3uCJeuwLeZjx5xYz/E2zeYhQwh1g8VBlrMR+4BYz+UpW+MRwoN67cfWmcfWbGt2wpV6VvD1eSA&#10;8qyBLYVY2HAXBA1yKbJ+CI1vDVcTA74UrZOKfAHH4ZoXB+korNuAWL8WsjUttjjP3iYtlRMah0Pq&#10;5sZwFOJp/eAv0ByvpgXiIFoCKan0xvEWTamANDnWDyqu5vwcMRDQ0cK3psZu0xZxPTWavEcubzY/&#10;xII351eTA1Ju66CiYAQbD2qN1jlK2kjrB/+hFj3Igcz64Tpo7Q0Ku7J+sAa2jhbyJrR+m30TX9LN&#10;WT/UkGuQg5ygrRsMPy12gdK66td8W1FU2TjcetnaHOQHZf2QabB1C5Eh1vpt9s03Atn9rd8K5qkG&#10;uuRoZv3gwNWiLsUZWz9cQy1uJu9T67fZtedXU2PY4sJ6+zSgmmjjeIi6aJwG5Clr/RAH1eJmypZq&#10;/SCktc4+UrdZP3iPtdiFkr+NHeFE1WLnkg3bRoTyr3W1lbSU1hFG4NYUyW96BL3aHHaNNSRXhLHj&#10;FlFnjUUs6VwMNBJztWRTqltRj9h8y6CYWNVxQM2x5hxrwsBhsI21o0z7XEW4XQUar+TWg4ESX4/I&#10;gNbNOboH+vbQfNKQ83w1IkxVFdbQo5pG54a0qEVpc/v7k2h58Bd0bp9J20baxufTC2mVSOUDpdHR&#10;0un8XtSmjc7Y1NTZTA0XO4M5qLPZkC52Bt2pswXQXOwMklJnc7m82FlM7McxY9Dl7oLjGI1wubtg&#10;yX7TpNy/3F3whCqDVXQz3QXT0Yv14uikqKCFgSIiM7o4zB05adTs3MUSduRyEvPdBdUx+Ory3AVV&#10;qAEyc5d8BMfRGHVxdLGmHEfb3+XuQlUunTeLqhSPObLj4Xx3QZXzOcx2pwc2URUP6MzKiLX6yN5g&#10;86MLqqOt9+LKiIPokUMs5kcXVEd3xIujixvgEa/TDKoS2X5k1fPsZCQD+HHMlnF5MsLAo5fU5e6C&#10;6uhrd7G7OI4fR0eiy93lWGKP8VlUJXj+yKb4+e6CKucomO8uqLJpcLa7FHI94mWVoarUHzyyaXp+&#10;dGFgTmc0311QZc+B+e6CKpzYM3OXCOsjHi2p7kJVvElS3QVVDreYnbvEXR5HP5iLLCaJKo4cuzc7&#10;urhuHvEiyMxdIk+Oo5/CxclItNkRgemp0YWqY5mwy6MLVdntaxbVIozTEUzCdmY6mgIeH+QoW0Rp&#10;hpBDuEjK/EFSlBDvEkwpx8pFzi0QspKTePlB0nJI8/KKFHqGYfSK7PYwGZf/wvx7vr76+OH6I60s&#10;+wJIX/IGIAt5MUFePaB2ARkZqdPoP8huBqR+KZcklkVhj33e8v1D7AleikBPvwDkVxKIkUiFeQmu&#10;9M4RDNkqBQaUr8oF3z4+3v54/4/jiWb1JhxYURkO7KSCIcNJN9D6JeAoPivvGIKlEUTnGnJwdjhn&#10;y7pBpe3w2WneCcqdyaRkRGGocyuQg7PVjFNx3cjDhyfgXWPIwuwacnCscGOohgbFlUx7riEJR7NR&#10;S+k/47ch25CEo977sH07MgAhXp65hhyclboqUu6QmtzIh8xwNpxixhDV4ouon1BmloSj7Audj4ND&#10;DlCFD3ZYwHoCGpO33I+vrPn9E7+yaVvg8x4MUcOB1wBPAH4B1JDDZ635rCn/Uz3chnQfOJBWC+/k&#10;BzwZUZRLy3t2VV+xo5bho6HpqI5XLjNrQDJangBM9R34yCogV547LskNQoZTZxU5YMeG8XmVoQ/v&#10;btT0cj7UqNyZbMjRRzMSos6zhwNNsZCbZUFbN82isDwg+CrNB5rjYUk5lWs+0Cp28BLzDA9HEGGQ&#10;UTKeX7eFbBMUKPP4LMigTfy29P668DISOKi0l8YHNRaU3D6BIXS6MhydzxWiSDbI4izuJRNhZvEZ&#10;vwrVBAGH38krujkcHN1YkgMuxQewxwtb7fD+rofbi2i6Ctk5UARA9um+43xb7SUzBv5w5+iKUg4T&#10;feDr5A6KsYECYTGzHD42nHyl7IvMHEy4YcPvM2uAYw9PAJ47eTjqmI8YZ79uSh+U8fTnKLmZF0Qp&#10;6iaLD2oC6ezwrK/og3xMzFbIEOIZfiv5IYYde7yn1g1oyPLQctRwdlDKlWnveJvousExSfAhwSeN&#10;z05ikRDpHeCIvIPcbUVwH+GQDYMYBJ5LeTgqDg5wJ/T46PLsPb8BLvM1UrN1wDF+o7Rt9bppCBX8&#10;Cx1fg/+Eol34aLFU2GYcHGRr4vMa95JDFMeNMAisXOl1WyEnr6x2GE7lgwkcpDAUBmEBJcVvKGZr&#10;fO2uZzgoC78FuWoFhzSGA4+zDnzk2hxQR6ymD8z2fPDhInT3D9K0CBwq25Plawh9+hVLL8q+VmYX&#10;KUH8BFaaI2LJF0Zu3UAgXgWSPyt+Q/yobGCUWXMNWk2XPOvy+NA1WnbdxrMvTJwygS1nKlFEkYFb&#10;TxDOH5TCB8Kr8Zu7NlGvkO858JujDzybBA7lZMzSR1MYYTR3umR/TyGjyd6wRz0uknVmdB4WEVH2&#10;Tcd6yZrQoVwRP/NrCgPdE3JFKW01IxtuCYeYIQy3yDwplFGpuEGFhGaFwsXpCL5Vju8BstdrJtzC&#10;MKgK98BmXkNHhSU5d3rEgKUWH8ct7FYGeaXkWKagpgpL8gyVjcXlm1N0WSJ3AX8VU4vDBi8NIc/9&#10;RsQ02PzzYg38LhUOW5yUA6oJeKphO8oXdEFkt+PSpDFaQLc8KtasvXqFPGAFURZUc+u2k5Io5flU&#10;w4HDJQ9HudTrBi3UinshL9YAH7kEqap6PRxcYGTaYd3WUt0YepH8dYbaAyKkSE15ow8s/gwHyTnc&#10;BOAsKA0dYjRM7ipdeim2hNnzveD1LvAgU77GBYEVyNHHdl1MD6n5QSHnOvFpuRE7IeIKOuCQMFGm&#10;TQnZHX2U4cO1SR7N/AWeSHl84LIjX4UrgDJ0lQms4j7VgwISSQcc+yrsHzt3UOrcIxq+yNFHa25h&#10;dcK6iX5Ut4kxoh1I8kUOjhbUgeeWk17G4xKe1A4fO3fgE51ft62kBEQyVX/8axzgEMsP7MTWBb/R&#10;Dn6DvzmTGw7lbtrphty6rfV4oeKTNV+vVOagKrlVw4EcrOk1tWIGTYHReG185IigNbJR49UdOnZW&#10;9+ydvehjIFQ4IJq7EL971oAPvqAyumrMKlaWFAFaFiCmfoRzoZBswmmyZAuue5ZaMsSTKgd4/eNy&#10;pwfyIrKgKlYOHYoiCNCqjtHINBYusf345lnFDLJ69VEwQcfOUQUOEtDWDIUDmdcNTyC/pSAGlwXF&#10;k6VwR27dtDhHKY9XMS60wkwGJBT2E6CcW0RRcuHL47PEbMtXVC3LwZGbFCU3AxwcAOULBE10wBF7&#10;BPDyOxTRAzwc5bisJ0A5DAqcfYeCGmZM5mtUOXUbHiZXvpJgyfA3AmVFLXAQkt+Bj5EBIo+btpHB&#10;K4oodoThUB0gfJHjAxzE8lVYN+iBpME/5ThAl/iAkmym4ZSw3vJVYN90Qw4fKD552lCo+nUTARpZ&#10;hd2jDjEy/EGPIHpQpTaOmRrKXpXqlJmyotqewqkIe0lcl8JlLypB/Ujv/uzvKSA7VeiHi38r93G0&#10;66hajYJ80tTfyLMKH7llWcstuQrEgm7QETGFiZ2DK//k1PKGMCQ7wmv+ZvyeP58p1RsT0uufdmq3&#10;CoIVYpykf4d16mCE93vygIuEgYc7CCkFpKHnKFvoVUNndMWscOlQbg0Nmg9wRRm901vfjkx67Tg4&#10;oiSIRjg4UciqUSLZNBxNv7Sk3VbD0bcZ8HQiD1JC8mEBGaXjyER0fFltpJYOw2UbUvxsIlR5+9f4&#10;UIpr4gMIJZ5whij89vPrhmXg4Q5sMdFzBkocudIWEVG1gS16lBGqIUWuZ3cKoECAsG8QSbHAKvOw&#10;0Te3bsj/yLthHUSOnd7dckMaoibDifdBDg5ZNsp2pNLDNX1MViSbvmsQ3TpkuPzhuSQ3Jd72XvxH&#10;uVklnD8nTEkN7W6eD3BsynBUWLuaNiQalpSglXAyXDEy0swQYphmt9VedonYzZQINhjy2znoZAcn&#10;IOTqgFmlaIPAFWYp+F/5wXK/54CQZZZmRjKUWy/RHpGN3//O1xq556Ux0YIoXj+DyDCG7aUcaD34&#10;5w5RE5Is052fDyM95JSBQFUjoaniO67/1UHP2eCLgsw1ZQGpqEgFg2JHmeM7TMXwP5Fj2V/z0Jww&#10;EI8H7FR8iOYPfsSgMv2c4F/e0WV7usutPKML2+aF5IHEIPomOlfASM+/Bxs0STQFNN/TKa41IIN/&#10;p8ByJ1smrN+gOlfeSjkg+hF5AdWUTf6eA6IJulH8wQEhIwEtC5k6auBU4JN+R1Qv/Z4EgrWlj/b+&#10;DhyWsgFDASEwibBbh3bBeOjg1UsYjGdMqXJrTLQyKZUDTGNiPnYLf8+D8AwF6mh3kEGJKzcCXd1p&#10;OOYaCKcnN+t0Q44y0FkXykAqDdPWZGMwp/gJiGoBEk/+KY5Ycb5/sSv9cMgQXyZw8MpUGD9lG4/u&#10;w7dOYzY6E7MSCV4hcsUj1FMWeuzjv5184Zkc+jBRN+z9O3d7kIAVKFzKnkwtMiLHVUviWRMNevZ4&#10;KlOseVkVVGQpZEnBgWgmR37Igr6DkCvDsVpQ76cdPUDl8MsLOTvlQVyg7hjfqeMFdonjWmisdQJ8&#10;MObw0Vz/UR2EUHdZ0B2/bQwfFb/0ixwczfmLBEtuE+w2ygcbL7TBsVoe1z2Ocoj4F7ZCpdF6T+Ub&#10;cvigWhVTFbvIw1E9K9Vqqs5Cyh0gX7AiMQdH3U+g33DyDeQqGS7oJMAH8ipedTiWga30Le0vKfhd&#10;8D0BKd7dUlDqy+uOdnL20IU7s5zhIEi9PNu9XOvxFUk5Esq6URKENJytVcpae36DPVSH4ztJ+Rqm&#10;bmnYdignNnthX0zbyVUb9WSB5dAx/GYHxqTzAI/5soFTfICc4LJuKMJdrxvgiMwVpHvKBcFwRLzP&#10;wVFPCaSEcvw2Lg+58FZ8DfT0tcBljXNwyKhRxBVv3UFqAKbC1mvB8VZmdqdKlVlmQ+w5H4khoTYM&#10;A0wC5GNyqCDdRZkUDt00kM1eTGtkcq/XRU17VCfR/a4eHx3mo42Zj1haM6Yl8z4tozw67Xc1i1Px&#10;0+xyoUqUrLE/8Tdq+177I5XSeRTgdCOkgWCj80f+nNnoi5ACAurlUv6meyINRDffFqrDejA1tu28&#10;1zESAzPme+bGHAuTvaxs5IW3raNAnuzwoF3fqE2RMpLkkVmrdDt4SxdoLBOYa8jhQ1WjCB/49HkS&#10;pBtycFBpk+GIp6MxrQY/RdMhJWbhL3oKA6B4iAhEwUKIJHaC6NbbxlDFXC5BcpvIMtuWQrXKupH5&#10;oOK27Qq699KAg8g3qKZMLo3Uull1LyhP3GPVCoVBYnZHDSWg4QmQ3J7Gx4rfLfx+x1nDZIDvqpOt&#10;Jg05fBZibMJLP9woEFxo3dRXzRhkr05fPQVrYAmS4eQrG24ngfcD1QapCEeJdngC4hWYwgeHCJ9s&#10;cMryogCEERmO1V02AdUADz2+jKiyyRcuDOx+3dQchQn4Y4/uubKgPU8dFLGUaSP/j1uedENu3cg8&#10;wbPzdz6yKgsZyEWhpo8anlBkreOiPqincPCZx/XG2wRKH084DYrV6IQcPuQPUPCJZDiokxQ9yB0+&#10;6rUJ8YcaUnDAzTJtOa2UrUaxR15OY4NyaE+BQJyKwm/BKmoH37D02l2cVDIzktrS+FDZRFo3yuZU&#10;Lw+lgco15NZtUClv743f8CSX83rnRXaUvZP7Rx7jOTjINcXT3vmn25bsFgVRCc0y+mzsYurQi29R&#10;lFSG886MgCPXGQlqFb9RFiz+osdFBmehLM/Gu3psN7Kx4EHk+BoFFxQOf5FbN/Xoh+Ds79OSZZ0Y&#10;JPidw3tYGKTnfKPMXbwKyMzllifdkMOHJlXIvfeqfWiQkg1JOGonP/j7B4gKH8w1JOGIYYzyj/l1&#10;yzYk4ajLXCg1YvjAi9sLQjuRqwaR+JJwRErCten5jerS8kHuTX2oZKr3KVsgc3Ag5/BwFCpXb0dz&#10;1g6+Z5S3Tb7oUFHaMRaDW1CwTJ7D4UK3skIaTZbDZ6/3guw6O8ZoP5V1I+NfjSgFe3JDx/sHt6hM&#10;O9LHjKdBfqPsdAxHBO8kPjo7FELz01ZGDNEWqLsj+PS4NGJ2gs/amxmrBq9CHuFQcF36PrXlIRVe&#10;TQaK3C9kQBS2b1D5GhaWN+FoFZOJct/MAdrjn3VO/lnn5HT+43VOUP7k8/vvn1HxBJv3MyqwPDze&#10;/vXm9ab+N/7+/vz+fnV6OH25uz//+f8FAAAA//8DAFBLAwQUAAYACAAAACEAao5uJ+AAAAAKAQAA&#10;DwAAAGRycy9kb3ducmV2LnhtbEyPQUvDQBCF74L/YRnBm90ktbHEbEop6qkItkLpbZudJqHZ2ZDd&#10;Jum/dzzpbR7v4817+WqyrRiw940jBfEsAoFUOtNQpeB7//60BOGDJqNbR6jghh5Wxf1drjPjRvrC&#10;YRcqwSHkM62gDqHLpPRljVb7meuQ2Du73urAsq+k6fXI4baVSRSl0uqG+EOtO9zUWF52V6vgY9Tj&#10;eh6/DdvLeXM77hefh22MSj0+TOtXEAGn8AfDb32uDgV3OrkrGS9a1vE8ZVRBukxAMJAsYj5O7DxH&#10;LyCLXP6fUPwAAAD//wMAUEsBAi0AFAAGAAgAAAAhALaDOJL+AAAA4QEAABMAAAAAAAAAAAAAAAAA&#10;AAAAAFtDb250ZW50X1R5cGVzXS54bWxQSwECLQAUAAYACAAAACEAOP0h/9YAAACUAQAACwAAAAAA&#10;AAAAAAAAAAAvAQAAX3JlbHMvLnJlbHNQSwECLQAUAAYACAAAACEA3wObMv7hAAD/rwQADgAAAAAA&#10;AAAAAAAAAAAuAgAAZHJzL2Uyb0RvYy54bWxQSwECLQAUAAYACAAAACEAao5uJ+AAAAAKAQAADwAA&#10;AAAAAAAAAAAAAABY5AAAZHJzL2Rvd25yZXYueG1sUEsFBgAAAAAEAAQA8wAAAGXlAAAAAA==&#10;">
              <o:lock v:ext="edit" aspectratio="t"/>
              <v:shape id="Freeform 2" o:spid="_x0000_s1027" style="position:absolute;left:-9301;top:-8401;width:22727;height:16658;visibility:visible;mso-wrap-style:square;v-text-anchor:top" coordsize="9621,70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4wKnsEA&#10;AADaAAAADwAAAGRycy9kb3ducmV2LnhtbESPT4vCMBTE78J+h/AWvNl0RcStxlIW/IOeWhfPj+bZ&#10;FpuX0kTtfvuNIHgcZuY3zCodTCvu1LvGsoKvKAZBXFrdcKXg97SZLEA4j6yxtUwK/shBuv4YrTDR&#10;9sE53QtfiQBhl6CC2vsukdKVNRl0ke2Ig3exvUEfZF9J3eMjwE0rp3E8lwYbDgs1dvRTU3ktbkbB&#10;sdAzueFtjodd5c7Z/jvOB63U+HPIliA8Df4dfrX3WsEcnlfCDZDr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MCp7BAAAA2gAAAA8AAAAAAAAAAAAAAAAAmAIAAGRycy9kb3du&#10;cmV2LnhtbFBLBQYAAAAABAAEAPUAAACGAw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3" o:spid="_x0000_s1028" style="position:absolute;left:-17209;top:9769;width:40176;height:2953;visibility:visible;mso-wrap-style:square;v-text-anchor:top" coordsize="17008,12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uZbsMA&#10;AADaAAAADwAAAGRycy9kb3ducmV2LnhtbESPQWvCQBSE7wX/w/KE3upGaa1E11AKQhAqNBbPj+wz&#10;Wcy+TbKrif++WxB6HGbmG2aTjbYRN+q9caxgPktAEJdOG64U/Bx3LysQPiBrbByTgjt5yLaTpw2m&#10;2g38TbciVCJC2KeooA6hTaX0ZU0W/cy1xNE7u95iiLKvpO5xiHDbyEWSLKVFw3GhxpY+ayovxdUq&#10;sOYt5NfutP86NIU7XZbFazcapZ6n48caRKAx/Icf7VwreIe/K/EGyO0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xuZbsMAAADaAAAADwAAAAAAAAAAAAAAAACYAgAAZHJzL2Rv&#10;d25yZXYueG1sUEsFBgAAAAAEAAQA9QAAAIgDA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4" o:spid="_x0000_s1029" style="position:absolute;left:-8301;top:-7050;width:17976;height:9102;visibility:visible;mso-wrap-style:square;v-text-anchor:top" coordsize="7610,38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2h78MA&#10;AADaAAAADwAAAGRycy9kb3ducmV2LnhtbESP3WoCMRSE7wt9h3CE3tWs0hZdjVILLaUg+IfeHjbH&#10;zeLmJCRx3b59Uyj0cpiZb5j5sret6CjExrGC0bAAQVw53XCt4LB/f5yAiAlZY+uYFHxThOXi/m6O&#10;pXY33lK3S7XIEI4lKjAp+VLKWBmyGIfOE2fv7ILFlGWopQ54y3DbynFRvEiLDecFg57eDFWX3dUq&#10;mOD6esLiqfNfH2F1DOvnjem8Ug+D/nUGIlGf/sN/7U+tYAq/V/INkI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t2h78MAAADaAAAADwAAAAAAAAAAAAAAAACYAgAAZHJzL2Rv&#10;d25yZXYueG1sUEsFBgAAAAAEAAQA9QAAAIgDA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E7B613" w14:textId="77777777" w:rsidR="00311E08" w:rsidRDefault="00311E08">
    <w:pPr>
      <w:pStyle w:val="Header"/>
    </w:pPr>
  </w:p>
  <w:tbl>
    <w:tblPr>
      <w:tblW w:w="7685" w:type="dxa"/>
      <w:tblLayout w:type="fixed"/>
      <w:tblCellMar>
        <w:left w:w="0" w:type="dxa"/>
        <w:right w:w="0" w:type="dxa"/>
      </w:tblCellMar>
      <w:tblLook w:val="01E0" w:firstRow="1" w:lastRow="1" w:firstColumn="1" w:lastColumn="1" w:noHBand="0" w:noVBand="0"/>
    </w:tblPr>
    <w:tblGrid>
      <w:gridCol w:w="7685"/>
    </w:tblGrid>
    <w:tr w:rsidR="00311E08" w14:paraId="25331F18" w14:textId="77777777" w:rsidTr="00915B1C">
      <w:trPr>
        <w:trHeight w:hRule="exact" w:val="988"/>
      </w:trPr>
      <w:tc>
        <w:tcPr>
          <w:tcW w:w="7685" w:type="dxa"/>
          <w:shd w:val="clear" w:color="auto" w:fill="auto"/>
        </w:tcPr>
        <w:p w14:paraId="6440CE31" w14:textId="77777777" w:rsidR="00311E08" w:rsidRDefault="00311E08">
          <w:pPr>
            <w:pStyle w:val="Header"/>
          </w:pPr>
        </w:p>
      </w:tc>
    </w:tr>
    <w:tr w:rsidR="00311E08" w14:paraId="72FD186A" w14:textId="77777777" w:rsidTr="00915B1C">
      <w:tc>
        <w:tcPr>
          <w:tcW w:w="7685" w:type="dxa"/>
          <w:shd w:val="clear" w:color="auto" w:fill="auto"/>
        </w:tcPr>
        <w:p w14:paraId="353CA7C6" w14:textId="77777777" w:rsidR="00311E08" w:rsidRDefault="00311E08" w:rsidP="000A4A51">
          <w:pPr>
            <w:pStyle w:val="TOCHeading"/>
          </w:pPr>
          <w:r>
            <w:t>Contents</w:t>
          </w:r>
        </w:p>
      </w:tc>
    </w:tr>
  </w:tbl>
  <w:p w14:paraId="729E9144" w14:textId="77777777" w:rsidR="00311E08" w:rsidRDefault="00311E08">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B9257F" w14:textId="77777777" w:rsidR="00311E08" w:rsidRDefault="00311E08">
    <w:pPr>
      <w:pStyle w:val="Header"/>
    </w:pPr>
  </w:p>
  <w:p w14:paraId="56E0415E" w14:textId="77777777" w:rsidR="00311E08" w:rsidRDefault="00311E08">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1B10DC" w14:textId="77777777" w:rsidR="00311E08" w:rsidRDefault="00311E08">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C078BD" w14:textId="77777777" w:rsidR="00311E08" w:rsidRDefault="00311E08">
    <w:pPr>
      <w:pStyle w:val="Header"/>
    </w:pPr>
  </w:p>
  <w:tbl>
    <w:tblPr>
      <w:tblW w:w="7678" w:type="dxa"/>
      <w:tblLayout w:type="fixed"/>
      <w:tblCellMar>
        <w:left w:w="0" w:type="dxa"/>
        <w:right w:w="0" w:type="dxa"/>
      </w:tblCellMar>
      <w:tblLook w:val="01E0" w:firstRow="1" w:lastRow="1" w:firstColumn="1" w:lastColumn="1" w:noHBand="0" w:noVBand="0"/>
    </w:tblPr>
    <w:tblGrid>
      <w:gridCol w:w="7678"/>
    </w:tblGrid>
    <w:tr w:rsidR="00311E08" w14:paraId="0CBDBAE6" w14:textId="77777777" w:rsidTr="00915B1C">
      <w:trPr>
        <w:trHeight w:hRule="exact" w:val="988"/>
      </w:trPr>
      <w:tc>
        <w:tcPr>
          <w:tcW w:w="7678" w:type="dxa"/>
          <w:shd w:val="clear" w:color="auto" w:fill="auto"/>
        </w:tcPr>
        <w:p w14:paraId="32E4C09B" w14:textId="77777777" w:rsidR="00311E08" w:rsidRDefault="00311E08" w:rsidP="005D2502">
          <w:pPr>
            <w:pStyle w:val="Header"/>
          </w:pPr>
        </w:p>
      </w:tc>
    </w:tr>
    <w:tr w:rsidR="00311E08" w14:paraId="5828C78E" w14:textId="77777777" w:rsidTr="00915B1C">
      <w:tc>
        <w:tcPr>
          <w:tcW w:w="7678" w:type="dxa"/>
          <w:shd w:val="clear" w:color="auto" w:fill="auto"/>
        </w:tcPr>
        <w:p w14:paraId="65B7D30F" w14:textId="77777777" w:rsidR="00311E08" w:rsidRDefault="00311E08" w:rsidP="005D2502">
          <w:pPr>
            <w:pStyle w:val="TOCHeading"/>
          </w:pPr>
          <w:r>
            <w:t xml:space="preserve">Contents </w:t>
          </w:r>
          <w:r w:rsidRPr="00915B1C">
            <w:rPr>
              <w:b w:val="0"/>
              <w:spacing w:val="0"/>
              <w:sz w:val="28"/>
              <w:szCs w:val="28"/>
            </w:rPr>
            <w:t>(Continued)</w:t>
          </w:r>
        </w:p>
      </w:tc>
    </w:tr>
    <w:tr w:rsidR="00311E08" w14:paraId="55AE485E" w14:textId="77777777" w:rsidTr="00D6507F">
      <w:trPr>
        <w:trHeight w:val="1220"/>
      </w:trPr>
      <w:tc>
        <w:tcPr>
          <w:tcW w:w="7678" w:type="dxa"/>
          <w:shd w:val="clear" w:color="auto" w:fill="auto"/>
        </w:tcPr>
        <w:p w14:paraId="2F7C7C03" w14:textId="77777777" w:rsidR="00311E08" w:rsidRDefault="00311E08" w:rsidP="00D6507F"/>
      </w:tc>
    </w:tr>
  </w:tbl>
  <w:p w14:paraId="1A1B30B7" w14:textId="77777777" w:rsidR="00311E08" w:rsidRDefault="00311E08">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57AB70" w14:textId="77777777" w:rsidR="00311E08" w:rsidRDefault="00311E08">
    <w:pPr>
      <w:pStyle w:val="Header"/>
    </w:pPr>
  </w:p>
  <w:tbl>
    <w:tblPr>
      <w:tblW w:w="0" w:type="auto"/>
      <w:tblLayout w:type="fixed"/>
      <w:tblCellMar>
        <w:left w:w="0" w:type="dxa"/>
        <w:right w:w="0" w:type="dxa"/>
      </w:tblCellMar>
      <w:tblLook w:val="01E0" w:firstRow="1" w:lastRow="1" w:firstColumn="1" w:lastColumn="1" w:noHBand="0" w:noVBand="0"/>
    </w:tblPr>
    <w:tblGrid>
      <w:gridCol w:w="7671"/>
    </w:tblGrid>
    <w:tr w:rsidR="00311E08" w14:paraId="188F4F05" w14:textId="77777777" w:rsidTr="00915B1C">
      <w:trPr>
        <w:trHeight w:hRule="exact" w:val="988"/>
      </w:trPr>
      <w:tc>
        <w:tcPr>
          <w:tcW w:w="7671" w:type="dxa"/>
          <w:shd w:val="clear" w:color="auto" w:fill="auto"/>
        </w:tcPr>
        <w:p w14:paraId="6558BE74" w14:textId="77777777" w:rsidR="00311E08" w:rsidRDefault="00311E08" w:rsidP="005D2502">
          <w:pPr>
            <w:pStyle w:val="Header"/>
          </w:pPr>
        </w:p>
      </w:tc>
    </w:tr>
    <w:tr w:rsidR="00311E08" w14:paraId="7726A2EC" w14:textId="77777777" w:rsidTr="00915B1C">
      <w:tc>
        <w:tcPr>
          <w:tcW w:w="7671" w:type="dxa"/>
          <w:shd w:val="clear" w:color="auto" w:fill="auto"/>
        </w:tcPr>
        <w:p w14:paraId="4CD7355A" w14:textId="77777777" w:rsidR="00311E08" w:rsidRDefault="00311E08" w:rsidP="005D2502">
          <w:pPr>
            <w:pStyle w:val="TOCHeading"/>
          </w:pPr>
          <w:r>
            <w:t xml:space="preserve">Contents </w:t>
          </w:r>
          <w:r w:rsidRPr="00915B1C">
            <w:rPr>
              <w:b w:val="0"/>
              <w:spacing w:val="0"/>
              <w:sz w:val="28"/>
              <w:szCs w:val="28"/>
            </w:rPr>
            <w:t>(Continued)</w:t>
          </w:r>
        </w:p>
      </w:tc>
    </w:tr>
  </w:tbl>
  <w:p w14:paraId="204520C9" w14:textId="77777777" w:rsidR="00311E08" w:rsidRDefault="00311E08">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B2CDE2" w14:textId="77777777" w:rsidR="00311E08" w:rsidRDefault="00311E08">
    <w:pPr>
      <w:pStyle w:val="Header"/>
    </w:pPr>
  </w:p>
  <w:p w14:paraId="009134C4" w14:textId="77777777" w:rsidR="00311E08" w:rsidRDefault="00311E08">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CBFF86" w14:textId="77777777" w:rsidR="00311E08" w:rsidRDefault="00311E08">
    <w:pPr>
      <w:pStyle w:val="Header"/>
    </w:pPr>
  </w:p>
  <w:p w14:paraId="12167E1E" w14:textId="77777777" w:rsidR="00311E08" w:rsidRDefault="00311E0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F"/>
    <w:multiLevelType w:val="singleLevel"/>
    <w:tmpl w:val="44E69990"/>
    <w:lvl w:ilvl="0">
      <w:start w:val="1"/>
      <w:numFmt w:val="decimal"/>
      <w:pStyle w:val="ListNumber2"/>
      <w:lvlText w:val="%1/"/>
      <w:lvlJc w:val="left"/>
      <w:pPr>
        <w:tabs>
          <w:tab w:val="num" w:pos="295"/>
        </w:tabs>
        <w:ind w:left="295" w:hanging="295"/>
      </w:pPr>
      <w:rPr>
        <w:rFonts w:hint="default"/>
      </w:rPr>
    </w:lvl>
  </w:abstractNum>
  <w:abstractNum w:abstractNumId="1">
    <w:nsid w:val="FFFFFF83"/>
    <w:multiLevelType w:val="singleLevel"/>
    <w:tmpl w:val="AEA8FB94"/>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nsid w:val="FFFFFF88"/>
    <w:multiLevelType w:val="singleLevel"/>
    <w:tmpl w:val="4EDA8EF2"/>
    <w:lvl w:ilvl="0">
      <w:start w:val="1"/>
      <w:numFmt w:val="lowerLetter"/>
      <w:pStyle w:val="ListNumber"/>
      <w:lvlText w:val="%1/"/>
      <w:lvlJc w:val="left"/>
      <w:pPr>
        <w:tabs>
          <w:tab w:val="num" w:pos="295"/>
        </w:tabs>
        <w:ind w:left="295" w:hanging="295"/>
      </w:pPr>
      <w:rPr>
        <w:rFonts w:ascii="HelveticaNeueLT Std Lt" w:hAnsi="HelveticaNeueLT Std Lt" w:hint="default"/>
        <w:caps/>
        <w:sz w:val="20"/>
      </w:rPr>
    </w:lvl>
  </w:abstractNum>
  <w:abstractNum w:abstractNumId="3">
    <w:nsid w:val="FFFFFF89"/>
    <w:multiLevelType w:val="singleLevel"/>
    <w:tmpl w:val="053C4C6A"/>
    <w:lvl w:ilvl="0">
      <w:start w:val="1"/>
      <w:numFmt w:val="bullet"/>
      <w:pStyle w:val="ListBullet"/>
      <w:lvlText w:val="&gt;"/>
      <w:lvlJc w:val="left"/>
      <w:pPr>
        <w:tabs>
          <w:tab w:val="num" w:pos="295"/>
        </w:tabs>
        <w:ind w:left="295" w:hanging="295"/>
      </w:pPr>
      <w:rPr>
        <w:rFonts w:ascii="HelveticaNeueLT Std Lt" w:hAnsi="HelveticaNeueLT Std Lt" w:hint="default"/>
        <w:color w:val="auto"/>
        <w:sz w:val="20"/>
      </w:rPr>
    </w:lvl>
  </w:abstractNum>
  <w:abstractNum w:abstractNumId="4">
    <w:nsid w:val="00D52832"/>
    <w:multiLevelType w:val="hybridMultilevel"/>
    <w:tmpl w:val="E140D57C"/>
    <w:lvl w:ilvl="0" w:tplc="DF86DB28">
      <w:numFmt w:val="bullet"/>
      <w:lvlText w:val=""/>
      <w:lvlJc w:val="left"/>
      <w:pPr>
        <w:ind w:left="720" w:hanging="720"/>
      </w:pPr>
      <w:rPr>
        <w:rFonts w:ascii="Symbol" w:eastAsiaTheme="minorHAnsi" w:hAnsi="Symbol" w:cstheme="minorBidi" w:hint="default"/>
        <w:b w:val="0"/>
      </w:rPr>
    </w:lvl>
    <w:lvl w:ilvl="1" w:tplc="85C4558E">
      <w:numFmt w:val="bullet"/>
      <w:lvlText w:val="·"/>
      <w:lvlJc w:val="left"/>
      <w:pPr>
        <w:ind w:left="1440" w:hanging="720"/>
      </w:pPr>
      <w:rPr>
        <w:rFonts w:ascii="Calibri" w:eastAsiaTheme="minorHAnsi" w:hAnsi="Calibri" w:cstheme="minorBidi"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nsid w:val="01B5392C"/>
    <w:multiLevelType w:val="hybridMultilevel"/>
    <w:tmpl w:val="EAC6422A"/>
    <w:lvl w:ilvl="0" w:tplc="34D2A76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100B3572"/>
    <w:multiLevelType w:val="hybridMultilevel"/>
    <w:tmpl w:val="469AF52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7">
    <w:nsid w:val="123A6E50"/>
    <w:multiLevelType w:val="hybridMultilevel"/>
    <w:tmpl w:val="9CA4DF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13AF567A"/>
    <w:multiLevelType w:val="hybridMultilevel"/>
    <w:tmpl w:val="B3D8015A"/>
    <w:lvl w:ilvl="0" w:tplc="34D2A76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14623155"/>
    <w:multiLevelType w:val="hybridMultilevel"/>
    <w:tmpl w:val="A9603B1A"/>
    <w:lvl w:ilvl="0" w:tplc="0C09000F">
      <w:start w:val="1"/>
      <w:numFmt w:val="decimal"/>
      <w:lvlText w:val="%1."/>
      <w:lvlJc w:val="left"/>
      <w:pPr>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0">
    <w:nsid w:val="1D1A23DE"/>
    <w:multiLevelType w:val="hybridMultilevel"/>
    <w:tmpl w:val="49EA26C2"/>
    <w:lvl w:ilvl="0" w:tplc="4F96B3C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21F276B7"/>
    <w:multiLevelType w:val="hybridMultilevel"/>
    <w:tmpl w:val="ADE81152"/>
    <w:lvl w:ilvl="0" w:tplc="1C5C52DE">
      <w:start w:val="1"/>
      <w:numFmt w:val="bullet"/>
      <w:lvlText w:val=""/>
      <w:lvlJc w:val="left"/>
      <w:pPr>
        <w:ind w:left="780" w:hanging="360"/>
      </w:pPr>
      <w:rPr>
        <w:rFonts w:ascii="Symbol" w:hAnsi="Symbol" w:hint="default"/>
      </w:rPr>
    </w:lvl>
    <w:lvl w:ilvl="1" w:tplc="FD74EEBA">
      <w:start w:val="1"/>
      <w:numFmt w:val="bullet"/>
      <w:lvlText w:val="&gt;"/>
      <w:lvlJc w:val="left"/>
      <w:pPr>
        <w:ind w:left="1500" w:hanging="360"/>
      </w:pPr>
      <w:rPr>
        <w:rFonts w:ascii="Arial" w:hAnsi="Arial"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2">
    <w:nsid w:val="267C1D50"/>
    <w:multiLevelType w:val="hybridMultilevel"/>
    <w:tmpl w:val="9EBABD22"/>
    <w:lvl w:ilvl="0" w:tplc="FD74EEBA">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2F5A5080"/>
    <w:multiLevelType w:val="hybridMultilevel"/>
    <w:tmpl w:val="B9CA336E"/>
    <w:lvl w:ilvl="0" w:tplc="0D90C6DA">
      <w:start w:val="1"/>
      <w:numFmt w:val="bullet"/>
      <w:pStyle w:val="ACMABulletLevel1"/>
      <w:lvlText w:val=""/>
      <w:lvlJc w:val="left"/>
      <w:pPr>
        <w:tabs>
          <w:tab w:val="num" w:pos="1008"/>
        </w:tabs>
        <w:ind w:left="1008" w:hanging="360"/>
      </w:pPr>
      <w:rPr>
        <w:rFonts w:ascii="Symbol" w:hAnsi="Symbol"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5">
    <w:nsid w:val="43083ADC"/>
    <w:multiLevelType w:val="hybridMultilevel"/>
    <w:tmpl w:val="2CD2D2E6"/>
    <w:lvl w:ilvl="0" w:tplc="FD74EEBA">
      <w:start w:val="1"/>
      <w:numFmt w:val="bullet"/>
      <w:lvlText w:val="&gt;"/>
      <w:lvlJc w:val="left"/>
      <w:pPr>
        <w:ind w:left="720" w:hanging="360"/>
      </w:pPr>
      <w:rPr>
        <w:rFonts w:ascii="Arial" w:hAnsi="Arial" w:cs="Times New Roman"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6">
    <w:nsid w:val="5D6367B7"/>
    <w:multiLevelType w:val="hybridMultilevel"/>
    <w:tmpl w:val="3B7440CC"/>
    <w:lvl w:ilvl="0" w:tplc="FD74EEBA">
      <w:start w:val="1"/>
      <w:numFmt w:val="bullet"/>
      <w:lvlText w:val="&gt;"/>
      <w:lvlJc w:val="left"/>
      <w:pPr>
        <w:ind w:left="2160" w:hanging="360"/>
      </w:pPr>
      <w:rPr>
        <w:rFonts w:ascii="Arial" w:hAnsi="Aria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17">
    <w:nsid w:val="60E44718"/>
    <w:multiLevelType w:val="hybridMultilevel"/>
    <w:tmpl w:val="B16E45B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8">
    <w:nsid w:val="649E5E5A"/>
    <w:multiLevelType w:val="hybridMultilevel"/>
    <w:tmpl w:val="C72A4A72"/>
    <w:lvl w:ilvl="0" w:tplc="FD74EEBA">
      <w:start w:val="1"/>
      <w:numFmt w:val="bullet"/>
      <w:lvlText w:val="&gt;"/>
      <w:lvlJc w:val="left"/>
      <w:pPr>
        <w:ind w:left="766" w:hanging="360"/>
      </w:pPr>
      <w:rPr>
        <w:rFonts w:ascii="Arial" w:hAnsi="Arial" w:hint="default"/>
      </w:rPr>
    </w:lvl>
    <w:lvl w:ilvl="1" w:tplc="0C090003" w:tentative="1">
      <w:start w:val="1"/>
      <w:numFmt w:val="bullet"/>
      <w:lvlText w:val="o"/>
      <w:lvlJc w:val="left"/>
      <w:pPr>
        <w:ind w:left="1486" w:hanging="360"/>
      </w:pPr>
      <w:rPr>
        <w:rFonts w:ascii="Courier New" w:hAnsi="Courier New" w:cs="Courier New" w:hint="default"/>
      </w:rPr>
    </w:lvl>
    <w:lvl w:ilvl="2" w:tplc="0C090005" w:tentative="1">
      <w:start w:val="1"/>
      <w:numFmt w:val="bullet"/>
      <w:lvlText w:val=""/>
      <w:lvlJc w:val="left"/>
      <w:pPr>
        <w:ind w:left="2206" w:hanging="360"/>
      </w:pPr>
      <w:rPr>
        <w:rFonts w:ascii="Wingdings" w:hAnsi="Wingdings" w:hint="default"/>
      </w:rPr>
    </w:lvl>
    <w:lvl w:ilvl="3" w:tplc="0C090001" w:tentative="1">
      <w:start w:val="1"/>
      <w:numFmt w:val="bullet"/>
      <w:lvlText w:val=""/>
      <w:lvlJc w:val="left"/>
      <w:pPr>
        <w:ind w:left="2926" w:hanging="360"/>
      </w:pPr>
      <w:rPr>
        <w:rFonts w:ascii="Symbol" w:hAnsi="Symbol" w:hint="default"/>
      </w:rPr>
    </w:lvl>
    <w:lvl w:ilvl="4" w:tplc="0C090003" w:tentative="1">
      <w:start w:val="1"/>
      <w:numFmt w:val="bullet"/>
      <w:lvlText w:val="o"/>
      <w:lvlJc w:val="left"/>
      <w:pPr>
        <w:ind w:left="3646" w:hanging="360"/>
      </w:pPr>
      <w:rPr>
        <w:rFonts w:ascii="Courier New" w:hAnsi="Courier New" w:cs="Courier New" w:hint="default"/>
      </w:rPr>
    </w:lvl>
    <w:lvl w:ilvl="5" w:tplc="0C090005" w:tentative="1">
      <w:start w:val="1"/>
      <w:numFmt w:val="bullet"/>
      <w:lvlText w:val=""/>
      <w:lvlJc w:val="left"/>
      <w:pPr>
        <w:ind w:left="4366" w:hanging="360"/>
      </w:pPr>
      <w:rPr>
        <w:rFonts w:ascii="Wingdings" w:hAnsi="Wingdings" w:hint="default"/>
      </w:rPr>
    </w:lvl>
    <w:lvl w:ilvl="6" w:tplc="0C090001" w:tentative="1">
      <w:start w:val="1"/>
      <w:numFmt w:val="bullet"/>
      <w:lvlText w:val=""/>
      <w:lvlJc w:val="left"/>
      <w:pPr>
        <w:ind w:left="5086" w:hanging="360"/>
      </w:pPr>
      <w:rPr>
        <w:rFonts w:ascii="Symbol" w:hAnsi="Symbol" w:hint="default"/>
      </w:rPr>
    </w:lvl>
    <w:lvl w:ilvl="7" w:tplc="0C090003" w:tentative="1">
      <w:start w:val="1"/>
      <w:numFmt w:val="bullet"/>
      <w:lvlText w:val="o"/>
      <w:lvlJc w:val="left"/>
      <w:pPr>
        <w:ind w:left="5806" w:hanging="360"/>
      </w:pPr>
      <w:rPr>
        <w:rFonts w:ascii="Courier New" w:hAnsi="Courier New" w:cs="Courier New" w:hint="default"/>
      </w:rPr>
    </w:lvl>
    <w:lvl w:ilvl="8" w:tplc="0C090005" w:tentative="1">
      <w:start w:val="1"/>
      <w:numFmt w:val="bullet"/>
      <w:lvlText w:val=""/>
      <w:lvlJc w:val="left"/>
      <w:pPr>
        <w:ind w:left="6526" w:hanging="360"/>
      </w:pPr>
      <w:rPr>
        <w:rFonts w:ascii="Wingdings" w:hAnsi="Wingdings" w:hint="default"/>
      </w:rPr>
    </w:lvl>
  </w:abstractNum>
  <w:abstractNum w:abstractNumId="19">
    <w:nsid w:val="69037227"/>
    <w:multiLevelType w:val="hybridMultilevel"/>
    <w:tmpl w:val="192402CC"/>
    <w:lvl w:ilvl="0" w:tplc="1210446E">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nsid w:val="695D4F6D"/>
    <w:multiLevelType w:val="hybridMultilevel"/>
    <w:tmpl w:val="541ABB74"/>
    <w:lvl w:ilvl="0" w:tplc="48B22DC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nsid w:val="6F073751"/>
    <w:multiLevelType w:val="hybridMultilevel"/>
    <w:tmpl w:val="D458D954"/>
    <w:lvl w:ilvl="0" w:tplc="121044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74095935"/>
    <w:multiLevelType w:val="hybridMultilevel"/>
    <w:tmpl w:val="15747BB8"/>
    <w:lvl w:ilvl="0" w:tplc="34D2A76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780E783F"/>
    <w:multiLevelType w:val="hybridMultilevel"/>
    <w:tmpl w:val="A2DA11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7BBF2F0F"/>
    <w:multiLevelType w:val="hybridMultilevel"/>
    <w:tmpl w:val="D3C6E76C"/>
    <w:lvl w:ilvl="0" w:tplc="BD866ECA">
      <w:numFmt w:val="bullet"/>
      <w:lvlText w:val="-"/>
      <w:lvlJc w:val="left"/>
      <w:pPr>
        <w:ind w:left="720" w:hanging="360"/>
      </w:pPr>
      <w:rPr>
        <w:rFonts w:ascii="Calibri" w:eastAsia="Calibri" w:hAnsi="Calibri"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20"/>
  </w:num>
  <w:num w:numId="6">
    <w:abstractNumId w:val="13"/>
  </w:num>
  <w:num w:numId="7">
    <w:abstractNumId w:val="14"/>
  </w:num>
  <w:num w:numId="8">
    <w:abstractNumId w:val="16"/>
  </w:num>
  <w:num w:numId="9">
    <w:abstractNumId w:val="24"/>
  </w:num>
  <w:num w:numId="10">
    <w:abstractNumId w:val="10"/>
  </w:num>
  <w:num w:numId="11">
    <w:abstractNumId w:val="3"/>
  </w:num>
  <w:num w:numId="1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num>
  <w:num w:numId="14">
    <w:abstractNumId w:val="3"/>
  </w:num>
  <w:num w:numId="15">
    <w:abstractNumId w:val="3"/>
  </w:num>
  <w:num w:numId="16">
    <w:abstractNumId w:val="3"/>
  </w:num>
  <w:num w:numId="17">
    <w:abstractNumId w:val="3"/>
  </w:num>
  <w:num w:numId="18">
    <w:abstractNumId w:val="11"/>
  </w:num>
  <w:num w:numId="19">
    <w:abstractNumId w:val="21"/>
  </w:num>
  <w:num w:numId="20">
    <w:abstractNumId w:val="3"/>
  </w:num>
  <w:num w:numId="21">
    <w:abstractNumId w:val="3"/>
  </w:num>
  <w:num w:numId="22">
    <w:abstractNumId w:val="3"/>
  </w:num>
  <w:num w:numId="23">
    <w:abstractNumId w:val="4"/>
  </w:num>
  <w:num w:numId="24">
    <w:abstractNumId w:val="7"/>
  </w:num>
  <w:num w:numId="25">
    <w:abstractNumId w:val="6"/>
  </w:num>
  <w:num w:numId="26">
    <w:abstractNumId w:val="5"/>
  </w:num>
  <w:num w:numId="27">
    <w:abstractNumId w:val="19"/>
  </w:num>
  <w:num w:numId="28">
    <w:abstractNumId w:val="22"/>
  </w:num>
  <w:num w:numId="29">
    <w:abstractNumId w:val="8"/>
  </w:num>
  <w:num w:numId="30">
    <w:abstractNumId w:val="3"/>
  </w:num>
  <w:num w:numId="31">
    <w:abstractNumId w:val="3"/>
  </w:num>
  <w:num w:numId="32">
    <w:abstractNumId w:val="3"/>
  </w:num>
  <w:num w:numId="33">
    <w:abstractNumId w:val="23"/>
  </w:num>
  <w:num w:numId="34">
    <w:abstractNumId w:val="3"/>
  </w:num>
  <w:num w:numId="35">
    <w:abstractNumId w:val="3"/>
  </w:num>
  <w:num w:numId="36">
    <w:abstractNumId w:val="3"/>
  </w:num>
  <w:num w:numId="37">
    <w:abstractNumId w:val="17"/>
  </w:num>
  <w:num w:numId="38">
    <w:abstractNumId w:val="12"/>
  </w:num>
  <w:num w:numId="3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
  </w:num>
  <w:num w:numId="42">
    <w:abstractNumId w:val="3"/>
  </w:num>
  <w:num w:numId="43">
    <w:abstractNumId w:val="3"/>
  </w:num>
  <w:num w:numId="44">
    <w:abstractNumId w:val="3"/>
  </w:num>
  <w:num w:numId="45">
    <w:abstractNumId w:val="3"/>
  </w:num>
  <w:num w:numId="46">
    <w:abstractNumId w:val="9"/>
  </w:num>
  <w:num w:numId="47">
    <w:abstractNumId w:val="1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removePersonalInformation/>
  <w:removeDateAndTime/>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evenAndOddHeaders/>
  <w:drawingGridHorizontalSpacing w:val="100"/>
  <w:displayHorizontalDrawingGridEvery w:val="2"/>
  <w:characterSpacingControl w:val="doNotCompress"/>
  <w:hdrShapeDefaults>
    <o:shapedefaults v:ext="edit" spidmax="27649">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02FF"/>
    <w:rsid w:val="0000023F"/>
    <w:rsid w:val="00000EB7"/>
    <w:rsid w:val="00001CFE"/>
    <w:rsid w:val="00002055"/>
    <w:rsid w:val="000022FF"/>
    <w:rsid w:val="0000267A"/>
    <w:rsid w:val="00003C0F"/>
    <w:rsid w:val="0000514C"/>
    <w:rsid w:val="00005738"/>
    <w:rsid w:val="00005AF0"/>
    <w:rsid w:val="000067ED"/>
    <w:rsid w:val="00006EB8"/>
    <w:rsid w:val="00010667"/>
    <w:rsid w:val="00010C59"/>
    <w:rsid w:val="00012D29"/>
    <w:rsid w:val="000154A0"/>
    <w:rsid w:val="000158AF"/>
    <w:rsid w:val="00015AE7"/>
    <w:rsid w:val="00016E21"/>
    <w:rsid w:val="0001719C"/>
    <w:rsid w:val="00026F91"/>
    <w:rsid w:val="0002794C"/>
    <w:rsid w:val="000302C5"/>
    <w:rsid w:val="000317E9"/>
    <w:rsid w:val="00033C15"/>
    <w:rsid w:val="0003409B"/>
    <w:rsid w:val="00035E0B"/>
    <w:rsid w:val="000377A6"/>
    <w:rsid w:val="00041617"/>
    <w:rsid w:val="00041872"/>
    <w:rsid w:val="000435CD"/>
    <w:rsid w:val="000440B6"/>
    <w:rsid w:val="00044675"/>
    <w:rsid w:val="00045C33"/>
    <w:rsid w:val="00045E95"/>
    <w:rsid w:val="00047B02"/>
    <w:rsid w:val="0005045A"/>
    <w:rsid w:val="000504AC"/>
    <w:rsid w:val="0005160F"/>
    <w:rsid w:val="00051736"/>
    <w:rsid w:val="00051C1E"/>
    <w:rsid w:val="00052C7B"/>
    <w:rsid w:val="000539F9"/>
    <w:rsid w:val="000544EA"/>
    <w:rsid w:val="00054C27"/>
    <w:rsid w:val="00055877"/>
    <w:rsid w:val="00055EC3"/>
    <w:rsid w:val="000563CE"/>
    <w:rsid w:val="00057CA3"/>
    <w:rsid w:val="00057E43"/>
    <w:rsid w:val="00057F65"/>
    <w:rsid w:val="000615DD"/>
    <w:rsid w:val="0006267F"/>
    <w:rsid w:val="000659B6"/>
    <w:rsid w:val="00072C4B"/>
    <w:rsid w:val="000737D2"/>
    <w:rsid w:val="00073A76"/>
    <w:rsid w:val="00073C2B"/>
    <w:rsid w:val="00075899"/>
    <w:rsid w:val="00075B96"/>
    <w:rsid w:val="00076659"/>
    <w:rsid w:val="0008102C"/>
    <w:rsid w:val="0008196A"/>
    <w:rsid w:val="00081A9B"/>
    <w:rsid w:val="0008429B"/>
    <w:rsid w:val="00084B92"/>
    <w:rsid w:val="000851E0"/>
    <w:rsid w:val="00086EE2"/>
    <w:rsid w:val="00090F0B"/>
    <w:rsid w:val="00091393"/>
    <w:rsid w:val="0009209D"/>
    <w:rsid w:val="00092B2E"/>
    <w:rsid w:val="00093177"/>
    <w:rsid w:val="00095623"/>
    <w:rsid w:val="000962FE"/>
    <w:rsid w:val="000968B9"/>
    <w:rsid w:val="000969BD"/>
    <w:rsid w:val="000969BF"/>
    <w:rsid w:val="00096D71"/>
    <w:rsid w:val="00096EF1"/>
    <w:rsid w:val="00097E04"/>
    <w:rsid w:val="000A0C22"/>
    <w:rsid w:val="000A3C43"/>
    <w:rsid w:val="000A4A51"/>
    <w:rsid w:val="000A4DFF"/>
    <w:rsid w:val="000A5D2B"/>
    <w:rsid w:val="000A6FA4"/>
    <w:rsid w:val="000A7104"/>
    <w:rsid w:val="000B1DCB"/>
    <w:rsid w:val="000B39F5"/>
    <w:rsid w:val="000B4EE3"/>
    <w:rsid w:val="000B5DE3"/>
    <w:rsid w:val="000B6904"/>
    <w:rsid w:val="000C0D4E"/>
    <w:rsid w:val="000C1B33"/>
    <w:rsid w:val="000C2232"/>
    <w:rsid w:val="000C22F2"/>
    <w:rsid w:val="000C230C"/>
    <w:rsid w:val="000C32AA"/>
    <w:rsid w:val="000C4D94"/>
    <w:rsid w:val="000C50F0"/>
    <w:rsid w:val="000C737E"/>
    <w:rsid w:val="000D0A36"/>
    <w:rsid w:val="000D1824"/>
    <w:rsid w:val="000D24D7"/>
    <w:rsid w:val="000D258E"/>
    <w:rsid w:val="000D2871"/>
    <w:rsid w:val="000D3E51"/>
    <w:rsid w:val="000D4B37"/>
    <w:rsid w:val="000D4C8F"/>
    <w:rsid w:val="000D6C05"/>
    <w:rsid w:val="000D71D9"/>
    <w:rsid w:val="000D7E8B"/>
    <w:rsid w:val="000E2B33"/>
    <w:rsid w:val="000E43D7"/>
    <w:rsid w:val="000E4449"/>
    <w:rsid w:val="000E4BA0"/>
    <w:rsid w:val="000E6097"/>
    <w:rsid w:val="000E687D"/>
    <w:rsid w:val="000E69D1"/>
    <w:rsid w:val="000F0E42"/>
    <w:rsid w:val="000F1804"/>
    <w:rsid w:val="000F2510"/>
    <w:rsid w:val="000F3339"/>
    <w:rsid w:val="000F3416"/>
    <w:rsid w:val="000F3F9F"/>
    <w:rsid w:val="000F4AA7"/>
    <w:rsid w:val="000F4B1D"/>
    <w:rsid w:val="000F5969"/>
    <w:rsid w:val="000F7591"/>
    <w:rsid w:val="00101CA8"/>
    <w:rsid w:val="00102677"/>
    <w:rsid w:val="00105157"/>
    <w:rsid w:val="00111FCE"/>
    <w:rsid w:val="001121EA"/>
    <w:rsid w:val="001123C5"/>
    <w:rsid w:val="001128D9"/>
    <w:rsid w:val="00113DEA"/>
    <w:rsid w:val="00113EAA"/>
    <w:rsid w:val="00115F40"/>
    <w:rsid w:val="00121409"/>
    <w:rsid w:val="00122EFD"/>
    <w:rsid w:val="001235D9"/>
    <w:rsid w:val="001246A1"/>
    <w:rsid w:val="0012489B"/>
    <w:rsid w:val="00125752"/>
    <w:rsid w:val="00125C0D"/>
    <w:rsid w:val="0012673F"/>
    <w:rsid w:val="00130017"/>
    <w:rsid w:val="00130F91"/>
    <w:rsid w:val="00131E5B"/>
    <w:rsid w:val="00131FF9"/>
    <w:rsid w:val="00132B7C"/>
    <w:rsid w:val="00133193"/>
    <w:rsid w:val="001339D6"/>
    <w:rsid w:val="00134588"/>
    <w:rsid w:val="00134F77"/>
    <w:rsid w:val="0013532D"/>
    <w:rsid w:val="00135432"/>
    <w:rsid w:val="00135CFE"/>
    <w:rsid w:val="00137424"/>
    <w:rsid w:val="0013768F"/>
    <w:rsid w:val="00137739"/>
    <w:rsid w:val="00140736"/>
    <w:rsid w:val="00140BA6"/>
    <w:rsid w:val="00141018"/>
    <w:rsid w:val="00141517"/>
    <w:rsid w:val="00141AD9"/>
    <w:rsid w:val="001430F4"/>
    <w:rsid w:val="001436D4"/>
    <w:rsid w:val="0014482B"/>
    <w:rsid w:val="00144BFE"/>
    <w:rsid w:val="0014568C"/>
    <w:rsid w:val="00146F2B"/>
    <w:rsid w:val="0015160A"/>
    <w:rsid w:val="00151647"/>
    <w:rsid w:val="00151D89"/>
    <w:rsid w:val="00152903"/>
    <w:rsid w:val="00154F21"/>
    <w:rsid w:val="0015614F"/>
    <w:rsid w:val="001561B5"/>
    <w:rsid w:val="00157373"/>
    <w:rsid w:val="001577C2"/>
    <w:rsid w:val="00160FF1"/>
    <w:rsid w:val="00162C33"/>
    <w:rsid w:val="001633C4"/>
    <w:rsid w:val="00165434"/>
    <w:rsid w:val="00166AE3"/>
    <w:rsid w:val="00167525"/>
    <w:rsid w:val="001675BE"/>
    <w:rsid w:val="00167696"/>
    <w:rsid w:val="00171591"/>
    <w:rsid w:val="00171E06"/>
    <w:rsid w:val="00172EE6"/>
    <w:rsid w:val="00173981"/>
    <w:rsid w:val="0017633C"/>
    <w:rsid w:val="0017697D"/>
    <w:rsid w:val="0017719D"/>
    <w:rsid w:val="001816DE"/>
    <w:rsid w:val="001818D5"/>
    <w:rsid w:val="0018267B"/>
    <w:rsid w:val="0018323E"/>
    <w:rsid w:val="00186751"/>
    <w:rsid w:val="001869AE"/>
    <w:rsid w:val="001875B7"/>
    <w:rsid w:val="00187CB3"/>
    <w:rsid w:val="00195710"/>
    <w:rsid w:val="00196A91"/>
    <w:rsid w:val="001976E3"/>
    <w:rsid w:val="001A0B67"/>
    <w:rsid w:val="001A0CFE"/>
    <w:rsid w:val="001A170A"/>
    <w:rsid w:val="001A3264"/>
    <w:rsid w:val="001A35F5"/>
    <w:rsid w:val="001A4562"/>
    <w:rsid w:val="001A50B3"/>
    <w:rsid w:val="001A5F93"/>
    <w:rsid w:val="001A6042"/>
    <w:rsid w:val="001A691C"/>
    <w:rsid w:val="001B0178"/>
    <w:rsid w:val="001B06E2"/>
    <w:rsid w:val="001B0DC1"/>
    <w:rsid w:val="001B1965"/>
    <w:rsid w:val="001B58AA"/>
    <w:rsid w:val="001B7E48"/>
    <w:rsid w:val="001C022D"/>
    <w:rsid w:val="001C17CE"/>
    <w:rsid w:val="001C2144"/>
    <w:rsid w:val="001C32FA"/>
    <w:rsid w:val="001C3685"/>
    <w:rsid w:val="001C36CA"/>
    <w:rsid w:val="001C3CE5"/>
    <w:rsid w:val="001C44D1"/>
    <w:rsid w:val="001C4E79"/>
    <w:rsid w:val="001C6AEE"/>
    <w:rsid w:val="001C7630"/>
    <w:rsid w:val="001D12B3"/>
    <w:rsid w:val="001D31EA"/>
    <w:rsid w:val="001D34DB"/>
    <w:rsid w:val="001D40DF"/>
    <w:rsid w:val="001D4AF1"/>
    <w:rsid w:val="001D571C"/>
    <w:rsid w:val="001D62CF"/>
    <w:rsid w:val="001D6536"/>
    <w:rsid w:val="001D69E3"/>
    <w:rsid w:val="001D6D15"/>
    <w:rsid w:val="001E095C"/>
    <w:rsid w:val="001E0F13"/>
    <w:rsid w:val="001E1570"/>
    <w:rsid w:val="001E271E"/>
    <w:rsid w:val="001E2783"/>
    <w:rsid w:val="001E3FC0"/>
    <w:rsid w:val="001E42D5"/>
    <w:rsid w:val="001E60E1"/>
    <w:rsid w:val="001E65E8"/>
    <w:rsid w:val="001E6DBC"/>
    <w:rsid w:val="001F1785"/>
    <w:rsid w:val="001F2262"/>
    <w:rsid w:val="001F28C8"/>
    <w:rsid w:val="001F38B5"/>
    <w:rsid w:val="001F4CF4"/>
    <w:rsid w:val="001F5068"/>
    <w:rsid w:val="001F7558"/>
    <w:rsid w:val="00203555"/>
    <w:rsid w:val="00205440"/>
    <w:rsid w:val="002057A4"/>
    <w:rsid w:val="0020597F"/>
    <w:rsid w:val="00205B57"/>
    <w:rsid w:val="00205CE5"/>
    <w:rsid w:val="00205D6E"/>
    <w:rsid w:val="00211C7A"/>
    <w:rsid w:val="002128FA"/>
    <w:rsid w:val="00212CD0"/>
    <w:rsid w:val="00214D4F"/>
    <w:rsid w:val="00215591"/>
    <w:rsid w:val="002157E0"/>
    <w:rsid w:val="00215A74"/>
    <w:rsid w:val="00216CE9"/>
    <w:rsid w:val="00217CE9"/>
    <w:rsid w:val="0022105C"/>
    <w:rsid w:val="002228F4"/>
    <w:rsid w:val="0022334F"/>
    <w:rsid w:val="00223712"/>
    <w:rsid w:val="0022624A"/>
    <w:rsid w:val="00226819"/>
    <w:rsid w:val="00227063"/>
    <w:rsid w:val="002275A2"/>
    <w:rsid w:val="0023050D"/>
    <w:rsid w:val="00230D5D"/>
    <w:rsid w:val="00232565"/>
    <w:rsid w:val="0023350D"/>
    <w:rsid w:val="00233817"/>
    <w:rsid w:val="0023408C"/>
    <w:rsid w:val="0023540F"/>
    <w:rsid w:val="002360EE"/>
    <w:rsid w:val="002364EC"/>
    <w:rsid w:val="002367FF"/>
    <w:rsid w:val="002401F5"/>
    <w:rsid w:val="00240CE9"/>
    <w:rsid w:val="002413A2"/>
    <w:rsid w:val="002435A1"/>
    <w:rsid w:val="002438E7"/>
    <w:rsid w:val="0024565E"/>
    <w:rsid w:val="00246089"/>
    <w:rsid w:val="00246324"/>
    <w:rsid w:val="00246702"/>
    <w:rsid w:val="00246C7D"/>
    <w:rsid w:val="00247F2E"/>
    <w:rsid w:val="00250ADC"/>
    <w:rsid w:val="002513A6"/>
    <w:rsid w:val="0025286A"/>
    <w:rsid w:val="00257553"/>
    <w:rsid w:val="00257A0C"/>
    <w:rsid w:val="0026001E"/>
    <w:rsid w:val="002616AD"/>
    <w:rsid w:val="00262128"/>
    <w:rsid w:val="00262195"/>
    <w:rsid w:val="002629DC"/>
    <w:rsid w:val="00263436"/>
    <w:rsid w:val="00263C57"/>
    <w:rsid w:val="00264380"/>
    <w:rsid w:val="002649F5"/>
    <w:rsid w:val="00264C3B"/>
    <w:rsid w:val="002661E9"/>
    <w:rsid w:val="002669C3"/>
    <w:rsid w:val="0027016A"/>
    <w:rsid w:val="00272442"/>
    <w:rsid w:val="00272C9E"/>
    <w:rsid w:val="002735E0"/>
    <w:rsid w:val="002737D9"/>
    <w:rsid w:val="00273CEB"/>
    <w:rsid w:val="0027468F"/>
    <w:rsid w:val="00275A31"/>
    <w:rsid w:val="00276842"/>
    <w:rsid w:val="00276AE6"/>
    <w:rsid w:val="00276B62"/>
    <w:rsid w:val="0027707E"/>
    <w:rsid w:val="00281C89"/>
    <w:rsid w:val="0028282F"/>
    <w:rsid w:val="00282AAD"/>
    <w:rsid w:val="002832E8"/>
    <w:rsid w:val="00283F55"/>
    <w:rsid w:val="00290A8B"/>
    <w:rsid w:val="0029180D"/>
    <w:rsid w:val="002928DE"/>
    <w:rsid w:val="00294DC2"/>
    <w:rsid w:val="00297241"/>
    <w:rsid w:val="0029740E"/>
    <w:rsid w:val="0029752D"/>
    <w:rsid w:val="002979B6"/>
    <w:rsid w:val="00297FC5"/>
    <w:rsid w:val="00297FDA"/>
    <w:rsid w:val="002A0417"/>
    <w:rsid w:val="002A07CA"/>
    <w:rsid w:val="002A16D8"/>
    <w:rsid w:val="002A1BC8"/>
    <w:rsid w:val="002A22D4"/>
    <w:rsid w:val="002A275D"/>
    <w:rsid w:val="002A3EF2"/>
    <w:rsid w:val="002A58A9"/>
    <w:rsid w:val="002B02C9"/>
    <w:rsid w:val="002B10BC"/>
    <w:rsid w:val="002B19A2"/>
    <w:rsid w:val="002B2088"/>
    <w:rsid w:val="002B240B"/>
    <w:rsid w:val="002B381A"/>
    <w:rsid w:val="002B4FCC"/>
    <w:rsid w:val="002B5DD1"/>
    <w:rsid w:val="002B6574"/>
    <w:rsid w:val="002B7AA6"/>
    <w:rsid w:val="002B7CFD"/>
    <w:rsid w:val="002B7F92"/>
    <w:rsid w:val="002C0D6A"/>
    <w:rsid w:val="002C109F"/>
    <w:rsid w:val="002C15C8"/>
    <w:rsid w:val="002C1C4C"/>
    <w:rsid w:val="002C2CAF"/>
    <w:rsid w:val="002C359E"/>
    <w:rsid w:val="002C3A4E"/>
    <w:rsid w:val="002C49B0"/>
    <w:rsid w:val="002C51A9"/>
    <w:rsid w:val="002C5F62"/>
    <w:rsid w:val="002C7699"/>
    <w:rsid w:val="002C7BE9"/>
    <w:rsid w:val="002D0670"/>
    <w:rsid w:val="002D1CCF"/>
    <w:rsid w:val="002D234F"/>
    <w:rsid w:val="002D3600"/>
    <w:rsid w:val="002D4250"/>
    <w:rsid w:val="002D6318"/>
    <w:rsid w:val="002D6D07"/>
    <w:rsid w:val="002E1EE7"/>
    <w:rsid w:val="002E2482"/>
    <w:rsid w:val="002E28D9"/>
    <w:rsid w:val="002E4DDC"/>
    <w:rsid w:val="002E4DEB"/>
    <w:rsid w:val="002E6873"/>
    <w:rsid w:val="002F062A"/>
    <w:rsid w:val="002F0A01"/>
    <w:rsid w:val="002F4605"/>
    <w:rsid w:val="002F483C"/>
    <w:rsid w:val="002F5469"/>
    <w:rsid w:val="002F6C34"/>
    <w:rsid w:val="002F789A"/>
    <w:rsid w:val="002F79AF"/>
    <w:rsid w:val="00300D00"/>
    <w:rsid w:val="00302480"/>
    <w:rsid w:val="00302C8F"/>
    <w:rsid w:val="00303905"/>
    <w:rsid w:val="0030492D"/>
    <w:rsid w:val="00305B0D"/>
    <w:rsid w:val="003065EC"/>
    <w:rsid w:val="00306D16"/>
    <w:rsid w:val="0030793B"/>
    <w:rsid w:val="00307D09"/>
    <w:rsid w:val="00311E08"/>
    <w:rsid w:val="00312CD9"/>
    <w:rsid w:val="0031307D"/>
    <w:rsid w:val="00315E9B"/>
    <w:rsid w:val="003165E6"/>
    <w:rsid w:val="003168AD"/>
    <w:rsid w:val="00317690"/>
    <w:rsid w:val="0032159B"/>
    <w:rsid w:val="00323EAF"/>
    <w:rsid w:val="003241A6"/>
    <w:rsid w:val="00324B4C"/>
    <w:rsid w:val="003261DD"/>
    <w:rsid w:val="0032699B"/>
    <w:rsid w:val="00327147"/>
    <w:rsid w:val="0032779A"/>
    <w:rsid w:val="00327948"/>
    <w:rsid w:val="0033000F"/>
    <w:rsid w:val="003303C7"/>
    <w:rsid w:val="00330FA4"/>
    <w:rsid w:val="00331312"/>
    <w:rsid w:val="00332011"/>
    <w:rsid w:val="00332518"/>
    <w:rsid w:val="00332607"/>
    <w:rsid w:val="003332ED"/>
    <w:rsid w:val="0033488E"/>
    <w:rsid w:val="003364A2"/>
    <w:rsid w:val="003368DC"/>
    <w:rsid w:val="003416D8"/>
    <w:rsid w:val="003421BB"/>
    <w:rsid w:val="0034290E"/>
    <w:rsid w:val="00344D41"/>
    <w:rsid w:val="00345927"/>
    <w:rsid w:val="00350584"/>
    <w:rsid w:val="00350B44"/>
    <w:rsid w:val="00351857"/>
    <w:rsid w:val="00354397"/>
    <w:rsid w:val="00354A65"/>
    <w:rsid w:val="00354E38"/>
    <w:rsid w:val="00355C78"/>
    <w:rsid w:val="003560D8"/>
    <w:rsid w:val="003566BD"/>
    <w:rsid w:val="00356DB3"/>
    <w:rsid w:val="003575FE"/>
    <w:rsid w:val="00357CD9"/>
    <w:rsid w:val="00360561"/>
    <w:rsid w:val="003606DE"/>
    <w:rsid w:val="00360CF1"/>
    <w:rsid w:val="003610E1"/>
    <w:rsid w:val="00362C17"/>
    <w:rsid w:val="00363471"/>
    <w:rsid w:val="00364D2D"/>
    <w:rsid w:val="0036607E"/>
    <w:rsid w:val="003671BE"/>
    <w:rsid w:val="0036772B"/>
    <w:rsid w:val="003706D3"/>
    <w:rsid w:val="00372485"/>
    <w:rsid w:val="00373200"/>
    <w:rsid w:val="00373326"/>
    <w:rsid w:val="003735DD"/>
    <w:rsid w:val="00373684"/>
    <w:rsid w:val="00375782"/>
    <w:rsid w:val="00375C8E"/>
    <w:rsid w:val="00375EF5"/>
    <w:rsid w:val="003767A5"/>
    <w:rsid w:val="003806BF"/>
    <w:rsid w:val="00382727"/>
    <w:rsid w:val="00384BD3"/>
    <w:rsid w:val="00385254"/>
    <w:rsid w:val="00385CE2"/>
    <w:rsid w:val="00385D2F"/>
    <w:rsid w:val="00387A1D"/>
    <w:rsid w:val="00387EDB"/>
    <w:rsid w:val="00390521"/>
    <w:rsid w:val="00390F91"/>
    <w:rsid w:val="00391E90"/>
    <w:rsid w:val="00392761"/>
    <w:rsid w:val="00392FA9"/>
    <w:rsid w:val="003949E9"/>
    <w:rsid w:val="00394B60"/>
    <w:rsid w:val="00394DD8"/>
    <w:rsid w:val="00395817"/>
    <w:rsid w:val="003964E9"/>
    <w:rsid w:val="003971C5"/>
    <w:rsid w:val="00397269"/>
    <w:rsid w:val="003A04E7"/>
    <w:rsid w:val="003A1931"/>
    <w:rsid w:val="003A273B"/>
    <w:rsid w:val="003A4446"/>
    <w:rsid w:val="003A5F5B"/>
    <w:rsid w:val="003A6894"/>
    <w:rsid w:val="003A77FE"/>
    <w:rsid w:val="003A789A"/>
    <w:rsid w:val="003B2EF7"/>
    <w:rsid w:val="003B30B6"/>
    <w:rsid w:val="003B3D03"/>
    <w:rsid w:val="003B468F"/>
    <w:rsid w:val="003B5395"/>
    <w:rsid w:val="003B5919"/>
    <w:rsid w:val="003B594E"/>
    <w:rsid w:val="003B5E8E"/>
    <w:rsid w:val="003C00D7"/>
    <w:rsid w:val="003C030C"/>
    <w:rsid w:val="003C0E20"/>
    <w:rsid w:val="003C16AF"/>
    <w:rsid w:val="003C1A35"/>
    <w:rsid w:val="003C2E4B"/>
    <w:rsid w:val="003C339D"/>
    <w:rsid w:val="003C3D50"/>
    <w:rsid w:val="003C4144"/>
    <w:rsid w:val="003C6963"/>
    <w:rsid w:val="003C77E0"/>
    <w:rsid w:val="003D1627"/>
    <w:rsid w:val="003D1783"/>
    <w:rsid w:val="003D17D7"/>
    <w:rsid w:val="003D2678"/>
    <w:rsid w:val="003D2A75"/>
    <w:rsid w:val="003D5FA8"/>
    <w:rsid w:val="003D71A3"/>
    <w:rsid w:val="003E0D4F"/>
    <w:rsid w:val="003E2096"/>
    <w:rsid w:val="003E243A"/>
    <w:rsid w:val="003E33B6"/>
    <w:rsid w:val="003E42B7"/>
    <w:rsid w:val="003E443D"/>
    <w:rsid w:val="003E4973"/>
    <w:rsid w:val="003E5ED5"/>
    <w:rsid w:val="003E7568"/>
    <w:rsid w:val="003F08F8"/>
    <w:rsid w:val="003F16F6"/>
    <w:rsid w:val="003F4DC7"/>
    <w:rsid w:val="003F5235"/>
    <w:rsid w:val="003F68EB"/>
    <w:rsid w:val="003F753F"/>
    <w:rsid w:val="004006F8"/>
    <w:rsid w:val="004027E4"/>
    <w:rsid w:val="00404186"/>
    <w:rsid w:val="004042F8"/>
    <w:rsid w:val="00405B78"/>
    <w:rsid w:val="00405CE5"/>
    <w:rsid w:val="004068D5"/>
    <w:rsid w:val="00406F57"/>
    <w:rsid w:val="004079BE"/>
    <w:rsid w:val="0041071D"/>
    <w:rsid w:val="00410997"/>
    <w:rsid w:val="004128C5"/>
    <w:rsid w:val="004131EA"/>
    <w:rsid w:val="004132D4"/>
    <w:rsid w:val="004133F6"/>
    <w:rsid w:val="004142AF"/>
    <w:rsid w:val="004148D6"/>
    <w:rsid w:val="00414AFC"/>
    <w:rsid w:val="004151A7"/>
    <w:rsid w:val="00415310"/>
    <w:rsid w:val="00421147"/>
    <w:rsid w:val="00421608"/>
    <w:rsid w:val="00421709"/>
    <w:rsid w:val="00423763"/>
    <w:rsid w:val="00425236"/>
    <w:rsid w:val="0042615C"/>
    <w:rsid w:val="00426DB5"/>
    <w:rsid w:val="00427DC7"/>
    <w:rsid w:val="0043018D"/>
    <w:rsid w:val="00430C5B"/>
    <w:rsid w:val="00431613"/>
    <w:rsid w:val="00432132"/>
    <w:rsid w:val="0043220A"/>
    <w:rsid w:val="0043297A"/>
    <w:rsid w:val="00432EB2"/>
    <w:rsid w:val="00433917"/>
    <w:rsid w:val="00433988"/>
    <w:rsid w:val="00434CAF"/>
    <w:rsid w:val="0043714F"/>
    <w:rsid w:val="004375F1"/>
    <w:rsid w:val="00440C02"/>
    <w:rsid w:val="00440D97"/>
    <w:rsid w:val="00441258"/>
    <w:rsid w:val="00441547"/>
    <w:rsid w:val="00441F98"/>
    <w:rsid w:val="00442C01"/>
    <w:rsid w:val="00443405"/>
    <w:rsid w:val="004438B5"/>
    <w:rsid w:val="00446D83"/>
    <w:rsid w:val="00450803"/>
    <w:rsid w:val="00450FE1"/>
    <w:rsid w:val="00452B53"/>
    <w:rsid w:val="00454596"/>
    <w:rsid w:val="00454757"/>
    <w:rsid w:val="004554EA"/>
    <w:rsid w:val="0045605D"/>
    <w:rsid w:val="00457206"/>
    <w:rsid w:val="00460FB7"/>
    <w:rsid w:val="00460FC9"/>
    <w:rsid w:val="00464891"/>
    <w:rsid w:val="00465D76"/>
    <w:rsid w:val="00466419"/>
    <w:rsid w:val="00466D55"/>
    <w:rsid w:val="00466F14"/>
    <w:rsid w:val="0047012B"/>
    <w:rsid w:val="004718B0"/>
    <w:rsid w:val="00471CB9"/>
    <w:rsid w:val="00471CCE"/>
    <w:rsid w:val="0047344E"/>
    <w:rsid w:val="004741FD"/>
    <w:rsid w:val="00474924"/>
    <w:rsid w:val="00474B5B"/>
    <w:rsid w:val="00477AE2"/>
    <w:rsid w:val="004811B7"/>
    <w:rsid w:val="004825B3"/>
    <w:rsid w:val="00486B32"/>
    <w:rsid w:val="004908ED"/>
    <w:rsid w:val="00490ED5"/>
    <w:rsid w:val="004925AF"/>
    <w:rsid w:val="00493524"/>
    <w:rsid w:val="00493F02"/>
    <w:rsid w:val="00494A67"/>
    <w:rsid w:val="00496BC6"/>
    <w:rsid w:val="004A02B3"/>
    <w:rsid w:val="004A1FC1"/>
    <w:rsid w:val="004A3A8F"/>
    <w:rsid w:val="004A56BB"/>
    <w:rsid w:val="004B1751"/>
    <w:rsid w:val="004B477B"/>
    <w:rsid w:val="004B49A7"/>
    <w:rsid w:val="004B4F76"/>
    <w:rsid w:val="004B74FC"/>
    <w:rsid w:val="004C0930"/>
    <w:rsid w:val="004C0D4F"/>
    <w:rsid w:val="004C1FA8"/>
    <w:rsid w:val="004C403E"/>
    <w:rsid w:val="004C5764"/>
    <w:rsid w:val="004C60C1"/>
    <w:rsid w:val="004D0784"/>
    <w:rsid w:val="004D1125"/>
    <w:rsid w:val="004D1BAC"/>
    <w:rsid w:val="004D2A82"/>
    <w:rsid w:val="004D4755"/>
    <w:rsid w:val="004D4DA6"/>
    <w:rsid w:val="004D56FF"/>
    <w:rsid w:val="004D7564"/>
    <w:rsid w:val="004E39D3"/>
    <w:rsid w:val="004E4548"/>
    <w:rsid w:val="004E508A"/>
    <w:rsid w:val="004E57B6"/>
    <w:rsid w:val="004E616D"/>
    <w:rsid w:val="004E673D"/>
    <w:rsid w:val="004F1BDE"/>
    <w:rsid w:val="004F37A4"/>
    <w:rsid w:val="004F43BF"/>
    <w:rsid w:val="004F4C30"/>
    <w:rsid w:val="004F5546"/>
    <w:rsid w:val="004F6C4F"/>
    <w:rsid w:val="004F7BD4"/>
    <w:rsid w:val="004F7F44"/>
    <w:rsid w:val="00500E26"/>
    <w:rsid w:val="005014C1"/>
    <w:rsid w:val="005031BC"/>
    <w:rsid w:val="00505E9B"/>
    <w:rsid w:val="005067C3"/>
    <w:rsid w:val="005079BF"/>
    <w:rsid w:val="00507C87"/>
    <w:rsid w:val="00510373"/>
    <w:rsid w:val="00510AE0"/>
    <w:rsid w:val="00510CEA"/>
    <w:rsid w:val="005111BB"/>
    <w:rsid w:val="005141C7"/>
    <w:rsid w:val="00514B06"/>
    <w:rsid w:val="00515426"/>
    <w:rsid w:val="00517B4D"/>
    <w:rsid w:val="00520269"/>
    <w:rsid w:val="00521DC6"/>
    <w:rsid w:val="005220C8"/>
    <w:rsid w:val="00522B1E"/>
    <w:rsid w:val="0052474F"/>
    <w:rsid w:val="005247BE"/>
    <w:rsid w:val="00524A68"/>
    <w:rsid w:val="005259A1"/>
    <w:rsid w:val="00526DE8"/>
    <w:rsid w:val="00527313"/>
    <w:rsid w:val="00531038"/>
    <w:rsid w:val="0053136B"/>
    <w:rsid w:val="00531B9A"/>
    <w:rsid w:val="00531D15"/>
    <w:rsid w:val="00532627"/>
    <w:rsid w:val="00533B9D"/>
    <w:rsid w:val="00536BCB"/>
    <w:rsid w:val="0053739A"/>
    <w:rsid w:val="00537938"/>
    <w:rsid w:val="0053793B"/>
    <w:rsid w:val="00540EC9"/>
    <w:rsid w:val="00542198"/>
    <w:rsid w:val="00542377"/>
    <w:rsid w:val="00542CB0"/>
    <w:rsid w:val="00542FC0"/>
    <w:rsid w:val="00543418"/>
    <w:rsid w:val="00544747"/>
    <w:rsid w:val="00545C08"/>
    <w:rsid w:val="0055323A"/>
    <w:rsid w:val="00553C7D"/>
    <w:rsid w:val="00553E52"/>
    <w:rsid w:val="00554147"/>
    <w:rsid w:val="005557BF"/>
    <w:rsid w:val="0055664E"/>
    <w:rsid w:val="00557896"/>
    <w:rsid w:val="00560394"/>
    <w:rsid w:val="00563BC9"/>
    <w:rsid w:val="00563EF1"/>
    <w:rsid w:val="00565D3C"/>
    <w:rsid w:val="00566160"/>
    <w:rsid w:val="00566460"/>
    <w:rsid w:val="00566A15"/>
    <w:rsid w:val="00566AB4"/>
    <w:rsid w:val="00566CC7"/>
    <w:rsid w:val="00570BEE"/>
    <w:rsid w:val="00571989"/>
    <w:rsid w:val="00571B0F"/>
    <w:rsid w:val="00573B6A"/>
    <w:rsid w:val="00573BD5"/>
    <w:rsid w:val="00575AC5"/>
    <w:rsid w:val="0057605D"/>
    <w:rsid w:val="005761BF"/>
    <w:rsid w:val="00576456"/>
    <w:rsid w:val="00577B9B"/>
    <w:rsid w:val="00581347"/>
    <w:rsid w:val="005817A4"/>
    <w:rsid w:val="0058243A"/>
    <w:rsid w:val="00582BBD"/>
    <w:rsid w:val="00584529"/>
    <w:rsid w:val="005849F8"/>
    <w:rsid w:val="00585374"/>
    <w:rsid w:val="00585607"/>
    <w:rsid w:val="005866F3"/>
    <w:rsid w:val="00586A63"/>
    <w:rsid w:val="00586C38"/>
    <w:rsid w:val="005903E9"/>
    <w:rsid w:val="005938DF"/>
    <w:rsid w:val="00594E55"/>
    <w:rsid w:val="00595244"/>
    <w:rsid w:val="005954D5"/>
    <w:rsid w:val="00596232"/>
    <w:rsid w:val="00597687"/>
    <w:rsid w:val="005A099B"/>
    <w:rsid w:val="005A0BA9"/>
    <w:rsid w:val="005A0C6A"/>
    <w:rsid w:val="005A1C52"/>
    <w:rsid w:val="005A2193"/>
    <w:rsid w:val="005A2D9C"/>
    <w:rsid w:val="005A30CA"/>
    <w:rsid w:val="005A37B7"/>
    <w:rsid w:val="005A3DAF"/>
    <w:rsid w:val="005A5D01"/>
    <w:rsid w:val="005A6A11"/>
    <w:rsid w:val="005A7327"/>
    <w:rsid w:val="005A7EED"/>
    <w:rsid w:val="005B06FF"/>
    <w:rsid w:val="005B1422"/>
    <w:rsid w:val="005B1BD4"/>
    <w:rsid w:val="005B2545"/>
    <w:rsid w:val="005B2D56"/>
    <w:rsid w:val="005B46EC"/>
    <w:rsid w:val="005B496E"/>
    <w:rsid w:val="005B7427"/>
    <w:rsid w:val="005B75AB"/>
    <w:rsid w:val="005B7BD5"/>
    <w:rsid w:val="005C09CE"/>
    <w:rsid w:val="005C426E"/>
    <w:rsid w:val="005C468A"/>
    <w:rsid w:val="005C4C85"/>
    <w:rsid w:val="005C5749"/>
    <w:rsid w:val="005C60D1"/>
    <w:rsid w:val="005D12C4"/>
    <w:rsid w:val="005D2502"/>
    <w:rsid w:val="005D2C8B"/>
    <w:rsid w:val="005D2F71"/>
    <w:rsid w:val="005D49BF"/>
    <w:rsid w:val="005D756B"/>
    <w:rsid w:val="005D7ED0"/>
    <w:rsid w:val="005E01AB"/>
    <w:rsid w:val="005E2307"/>
    <w:rsid w:val="005E3ACD"/>
    <w:rsid w:val="005E3FA9"/>
    <w:rsid w:val="005E42B5"/>
    <w:rsid w:val="005E4C73"/>
    <w:rsid w:val="005E66FB"/>
    <w:rsid w:val="005E67A3"/>
    <w:rsid w:val="005E6D7D"/>
    <w:rsid w:val="005E72A9"/>
    <w:rsid w:val="005E742D"/>
    <w:rsid w:val="005E7A57"/>
    <w:rsid w:val="005F170A"/>
    <w:rsid w:val="005F171E"/>
    <w:rsid w:val="005F1FC0"/>
    <w:rsid w:val="005F24B0"/>
    <w:rsid w:val="005F352C"/>
    <w:rsid w:val="005F6393"/>
    <w:rsid w:val="005F689A"/>
    <w:rsid w:val="005F71F2"/>
    <w:rsid w:val="005F729E"/>
    <w:rsid w:val="005F7E8E"/>
    <w:rsid w:val="00600F48"/>
    <w:rsid w:val="00603C7E"/>
    <w:rsid w:val="006052CF"/>
    <w:rsid w:val="00606170"/>
    <w:rsid w:val="006061FE"/>
    <w:rsid w:val="00607B8D"/>
    <w:rsid w:val="00611F5C"/>
    <w:rsid w:val="00612E2F"/>
    <w:rsid w:val="00612EDF"/>
    <w:rsid w:val="0061387F"/>
    <w:rsid w:val="006167C7"/>
    <w:rsid w:val="00616E09"/>
    <w:rsid w:val="00617144"/>
    <w:rsid w:val="006172A0"/>
    <w:rsid w:val="0061775E"/>
    <w:rsid w:val="0062089C"/>
    <w:rsid w:val="00620CB3"/>
    <w:rsid w:val="00621134"/>
    <w:rsid w:val="00621385"/>
    <w:rsid w:val="00621694"/>
    <w:rsid w:val="006224B9"/>
    <w:rsid w:val="0062297B"/>
    <w:rsid w:val="00623657"/>
    <w:rsid w:val="00624C93"/>
    <w:rsid w:val="006250FC"/>
    <w:rsid w:val="00626903"/>
    <w:rsid w:val="006277B9"/>
    <w:rsid w:val="00627B97"/>
    <w:rsid w:val="00627D4E"/>
    <w:rsid w:val="006311CD"/>
    <w:rsid w:val="00632E42"/>
    <w:rsid w:val="00633404"/>
    <w:rsid w:val="00633A3B"/>
    <w:rsid w:val="00633EC5"/>
    <w:rsid w:val="00634478"/>
    <w:rsid w:val="006346A1"/>
    <w:rsid w:val="00635D55"/>
    <w:rsid w:val="006376BE"/>
    <w:rsid w:val="00637B4B"/>
    <w:rsid w:val="00642061"/>
    <w:rsid w:val="006425A9"/>
    <w:rsid w:val="00644373"/>
    <w:rsid w:val="006443F6"/>
    <w:rsid w:val="0064511F"/>
    <w:rsid w:val="00645915"/>
    <w:rsid w:val="006464AF"/>
    <w:rsid w:val="006476D5"/>
    <w:rsid w:val="0065188D"/>
    <w:rsid w:val="006519C3"/>
    <w:rsid w:val="00652259"/>
    <w:rsid w:val="00652323"/>
    <w:rsid w:val="00652B30"/>
    <w:rsid w:val="0065468C"/>
    <w:rsid w:val="00654907"/>
    <w:rsid w:val="00654990"/>
    <w:rsid w:val="00656345"/>
    <w:rsid w:val="00656DC6"/>
    <w:rsid w:val="00657230"/>
    <w:rsid w:val="00657C75"/>
    <w:rsid w:val="0066191F"/>
    <w:rsid w:val="006628D8"/>
    <w:rsid w:val="006630DD"/>
    <w:rsid w:val="00664110"/>
    <w:rsid w:val="00664D17"/>
    <w:rsid w:val="00664E10"/>
    <w:rsid w:val="00665839"/>
    <w:rsid w:val="00665D01"/>
    <w:rsid w:val="006660D9"/>
    <w:rsid w:val="00666520"/>
    <w:rsid w:val="006675F3"/>
    <w:rsid w:val="00667C5B"/>
    <w:rsid w:val="00670E6B"/>
    <w:rsid w:val="00670FFF"/>
    <w:rsid w:val="00673964"/>
    <w:rsid w:val="0067486B"/>
    <w:rsid w:val="0067516F"/>
    <w:rsid w:val="00675C21"/>
    <w:rsid w:val="00676265"/>
    <w:rsid w:val="00676F17"/>
    <w:rsid w:val="00677014"/>
    <w:rsid w:val="00677CF6"/>
    <w:rsid w:val="006803A4"/>
    <w:rsid w:val="00681900"/>
    <w:rsid w:val="00684D23"/>
    <w:rsid w:val="00684F74"/>
    <w:rsid w:val="006864F6"/>
    <w:rsid w:val="006867C7"/>
    <w:rsid w:val="00686DA1"/>
    <w:rsid w:val="006902E6"/>
    <w:rsid w:val="0069144F"/>
    <w:rsid w:val="00691EFA"/>
    <w:rsid w:val="00692CDE"/>
    <w:rsid w:val="00693ADF"/>
    <w:rsid w:val="00694396"/>
    <w:rsid w:val="00694B76"/>
    <w:rsid w:val="00695B4D"/>
    <w:rsid w:val="006977FF"/>
    <w:rsid w:val="00697881"/>
    <w:rsid w:val="006A01FA"/>
    <w:rsid w:val="006A0278"/>
    <w:rsid w:val="006A0E9E"/>
    <w:rsid w:val="006A25C7"/>
    <w:rsid w:val="006A2B16"/>
    <w:rsid w:val="006A4AAD"/>
    <w:rsid w:val="006A5593"/>
    <w:rsid w:val="006A55D1"/>
    <w:rsid w:val="006A6DA2"/>
    <w:rsid w:val="006A7AB2"/>
    <w:rsid w:val="006B131E"/>
    <w:rsid w:val="006B3094"/>
    <w:rsid w:val="006B3233"/>
    <w:rsid w:val="006B56C7"/>
    <w:rsid w:val="006B5717"/>
    <w:rsid w:val="006B5D51"/>
    <w:rsid w:val="006B7336"/>
    <w:rsid w:val="006B7EBD"/>
    <w:rsid w:val="006C0407"/>
    <w:rsid w:val="006C0772"/>
    <w:rsid w:val="006C086F"/>
    <w:rsid w:val="006C0CEB"/>
    <w:rsid w:val="006C2CBF"/>
    <w:rsid w:val="006C2EDE"/>
    <w:rsid w:val="006C3B1E"/>
    <w:rsid w:val="006C47FD"/>
    <w:rsid w:val="006C7371"/>
    <w:rsid w:val="006C73B8"/>
    <w:rsid w:val="006D27CB"/>
    <w:rsid w:val="006D2F08"/>
    <w:rsid w:val="006D3BD6"/>
    <w:rsid w:val="006D6A1A"/>
    <w:rsid w:val="006E2AEC"/>
    <w:rsid w:val="006E4373"/>
    <w:rsid w:val="006E4568"/>
    <w:rsid w:val="006E46AA"/>
    <w:rsid w:val="006E4B1B"/>
    <w:rsid w:val="006E5445"/>
    <w:rsid w:val="006E6A76"/>
    <w:rsid w:val="006E7757"/>
    <w:rsid w:val="006E7D93"/>
    <w:rsid w:val="006E7F7F"/>
    <w:rsid w:val="006F2413"/>
    <w:rsid w:val="006F3057"/>
    <w:rsid w:val="006F331E"/>
    <w:rsid w:val="006F3DF4"/>
    <w:rsid w:val="006F4EBA"/>
    <w:rsid w:val="006F65F9"/>
    <w:rsid w:val="006F6FE2"/>
    <w:rsid w:val="00701EA6"/>
    <w:rsid w:val="007029A3"/>
    <w:rsid w:val="00704866"/>
    <w:rsid w:val="00705568"/>
    <w:rsid w:val="00706698"/>
    <w:rsid w:val="00706E4E"/>
    <w:rsid w:val="0070791C"/>
    <w:rsid w:val="00707B6C"/>
    <w:rsid w:val="00712D9D"/>
    <w:rsid w:val="00712FF4"/>
    <w:rsid w:val="0071383C"/>
    <w:rsid w:val="00713EE8"/>
    <w:rsid w:val="007141A7"/>
    <w:rsid w:val="007148AB"/>
    <w:rsid w:val="00715C0A"/>
    <w:rsid w:val="0071662D"/>
    <w:rsid w:val="00717F11"/>
    <w:rsid w:val="007203A6"/>
    <w:rsid w:val="00720521"/>
    <w:rsid w:val="00721061"/>
    <w:rsid w:val="007215CA"/>
    <w:rsid w:val="00721B55"/>
    <w:rsid w:val="00722732"/>
    <w:rsid w:val="0072447C"/>
    <w:rsid w:val="00725358"/>
    <w:rsid w:val="007269E7"/>
    <w:rsid w:val="00726CE4"/>
    <w:rsid w:val="00730799"/>
    <w:rsid w:val="00733B6A"/>
    <w:rsid w:val="00734143"/>
    <w:rsid w:val="00735A5B"/>
    <w:rsid w:val="00740827"/>
    <w:rsid w:val="00740EAC"/>
    <w:rsid w:val="00741C66"/>
    <w:rsid w:val="00742286"/>
    <w:rsid w:val="007433AF"/>
    <w:rsid w:val="00743766"/>
    <w:rsid w:val="00744956"/>
    <w:rsid w:val="007458BA"/>
    <w:rsid w:val="00745A5C"/>
    <w:rsid w:val="00745D97"/>
    <w:rsid w:val="0074605F"/>
    <w:rsid w:val="00747320"/>
    <w:rsid w:val="00747E94"/>
    <w:rsid w:val="00751C55"/>
    <w:rsid w:val="00756AB6"/>
    <w:rsid w:val="00757722"/>
    <w:rsid w:val="007618F0"/>
    <w:rsid w:val="00761D08"/>
    <w:rsid w:val="00761E69"/>
    <w:rsid w:val="00763994"/>
    <w:rsid w:val="007644D5"/>
    <w:rsid w:val="007645C0"/>
    <w:rsid w:val="00764D8D"/>
    <w:rsid w:val="00767C1B"/>
    <w:rsid w:val="00767C3F"/>
    <w:rsid w:val="007702DF"/>
    <w:rsid w:val="00770FE0"/>
    <w:rsid w:val="007714A9"/>
    <w:rsid w:val="0077374E"/>
    <w:rsid w:val="00774F88"/>
    <w:rsid w:val="00775F62"/>
    <w:rsid w:val="00776320"/>
    <w:rsid w:val="00777BA2"/>
    <w:rsid w:val="00780D3A"/>
    <w:rsid w:val="0078115E"/>
    <w:rsid w:val="00781188"/>
    <w:rsid w:val="00781408"/>
    <w:rsid w:val="00782109"/>
    <w:rsid w:val="0078290C"/>
    <w:rsid w:val="00783F8F"/>
    <w:rsid w:val="00784F7F"/>
    <w:rsid w:val="00786AC8"/>
    <w:rsid w:val="007875F0"/>
    <w:rsid w:val="00787F94"/>
    <w:rsid w:val="0079073C"/>
    <w:rsid w:val="00790C4F"/>
    <w:rsid w:val="00791856"/>
    <w:rsid w:val="007918DE"/>
    <w:rsid w:val="00793BCF"/>
    <w:rsid w:val="00795F44"/>
    <w:rsid w:val="007968A5"/>
    <w:rsid w:val="00796F25"/>
    <w:rsid w:val="007A2E98"/>
    <w:rsid w:val="007A3BA3"/>
    <w:rsid w:val="007A3E55"/>
    <w:rsid w:val="007A577C"/>
    <w:rsid w:val="007A62F0"/>
    <w:rsid w:val="007A6EDA"/>
    <w:rsid w:val="007A7D32"/>
    <w:rsid w:val="007A7D61"/>
    <w:rsid w:val="007B01CC"/>
    <w:rsid w:val="007B13EF"/>
    <w:rsid w:val="007B1499"/>
    <w:rsid w:val="007B1BBF"/>
    <w:rsid w:val="007B1EE7"/>
    <w:rsid w:val="007B1EFB"/>
    <w:rsid w:val="007B2110"/>
    <w:rsid w:val="007B2506"/>
    <w:rsid w:val="007B2960"/>
    <w:rsid w:val="007B3188"/>
    <w:rsid w:val="007B355D"/>
    <w:rsid w:val="007B3D7B"/>
    <w:rsid w:val="007B5DB9"/>
    <w:rsid w:val="007B6A49"/>
    <w:rsid w:val="007B6B6B"/>
    <w:rsid w:val="007B6CF0"/>
    <w:rsid w:val="007B7980"/>
    <w:rsid w:val="007C0EB9"/>
    <w:rsid w:val="007C23AD"/>
    <w:rsid w:val="007C2BF5"/>
    <w:rsid w:val="007C5D5A"/>
    <w:rsid w:val="007C607F"/>
    <w:rsid w:val="007C79DD"/>
    <w:rsid w:val="007C7B3D"/>
    <w:rsid w:val="007D1A97"/>
    <w:rsid w:val="007D1C27"/>
    <w:rsid w:val="007D2B2A"/>
    <w:rsid w:val="007D2C1E"/>
    <w:rsid w:val="007D2CD6"/>
    <w:rsid w:val="007D2E60"/>
    <w:rsid w:val="007D3063"/>
    <w:rsid w:val="007D3981"/>
    <w:rsid w:val="007D3C36"/>
    <w:rsid w:val="007D40C8"/>
    <w:rsid w:val="007D4A64"/>
    <w:rsid w:val="007D51F3"/>
    <w:rsid w:val="007D55BF"/>
    <w:rsid w:val="007E0CEF"/>
    <w:rsid w:val="007E0E74"/>
    <w:rsid w:val="007E3794"/>
    <w:rsid w:val="007E41F7"/>
    <w:rsid w:val="007E4893"/>
    <w:rsid w:val="007E49BD"/>
    <w:rsid w:val="007E6430"/>
    <w:rsid w:val="007E772A"/>
    <w:rsid w:val="007F3FB8"/>
    <w:rsid w:val="007F4973"/>
    <w:rsid w:val="007F49FA"/>
    <w:rsid w:val="007F600B"/>
    <w:rsid w:val="007F693B"/>
    <w:rsid w:val="007F6E9A"/>
    <w:rsid w:val="007F7332"/>
    <w:rsid w:val="008012FB"/>
    <w:rsid w:val="00802CC8"/>
    <w:rsid w:val="008044D4"/>
    <w:rsid w:val="00804FDE"/>
    <w:rsid w:val="0080509C"/>
    <w:rsid w:val="008050D7"/>
    <w:rsid w:val="00810362"/>
    <w:rsid w:val="00810AB4"/>
    <w:rsid w:val="008112FB"/>
    <w:rsid w:val="008136CD"/>
    <w:rsid w:val="00813CA0"/>
    <w:rsid w:val="00813E53"/>
    <w:rsid w:val="00813FA4"/>
    <w:rsid w:val="0081536B"/>
    <w:rsid w:val="00816C89"/>
    <w:rsid w:val="00817239"/>
    <w:rsid w:val="0081787B"/>
    <w:rsid w:val="00817B56"/>
    <w:rsid w:val="008206D1"/>
    <w:rsid w:val="00821A88"/>
    <w:rsid w:val="00822902"/>
    <w:rsid w:val="00822E6E"/>
    <w:rsid w:val="008246E8"/>
    <w:rsid w:val="0082495D"/>
    <w:rsid w:val="0082527E"/>
    <w:rsid w:val="0082531F"/>
    <w:rsid w:val="00825393"/>
    <w:rsid w:val="00825D7D"/>
    <w:rsid w:val="00826D5B"/>
    <w:rsid w:val="008270D8"/>
    <w:rsid w:val="00827770"/>
    <w:rsid w:val="00827F4C"/>
    <w:rsid w:val="008307D7"/>
    <w:rsid w:val="008337D0"/>
    <w:rsid w:val="00833F97"/>
    <w:rsid w:val="00840C28"/>
    <w:rsid w:val="00844240"/>
    <w:rsid w:val="00844730"/>
    <w:rsid w:val="00851338"/>
    <w:rsid w:val="00851AB0"/>
    <w:rsid w:val="00853913"/>
    <w:rsid w:val="00856140"/>
    <w:rsid w:val="00856377"/>
    <w:rsid w:val="00861D3A"/>
    <w:rsid w:val="00861F61"/>
    <w:rsid w:val="008642AE"/>
    <w:rsid w:val="00864637"/>
    <w:rsid w:val="0086644C"/>
    <w:rsid w:val="00866AB6"/>
    <w:rsid w:val="00867614"/>
    <w:rsid w:val="00870FE8"/>
    <w:rsid w:val="008717ED"/>
    <w:rsid w:val="008717F4"/>
    <w:rsid w:val="0087181F"/>
    <w:rsid w:val="00873018"/>
    <w:rsid w:val="00873666"/>
    <w:rsid w:val="008755C1"/>
    <w:rsid w:val="00875CD1"/>
    <w:rsid w:val="008767DB"/>
    <w:rsid w:val="00883628"/>
    <w:rsid w:val="00884E21"/>
    <w:rsid w:val="008854C2"/>
    <w:rsid w:val="00885544"/>
    <w:rsid w:val="008856E8"/>
    <w:rsid w:val="0088769E"/>
    <w:rsid w:val="00890707"/>
    <w:rsid w:val="00890B2C"/>
    <w:rsid w:val="008938BA"/>
    <w:rsid w:val="00893AB8"/>
    <w:rsid w:val="008951B6"/>
    <w:rsid w:val="008972CC"/>
    <w:rsid w:val="008974B4"/>
    <w:rsid w:val="008A04C8"/>
    <w:rsid w:val="008A086A"/>
    <w:rsid w:val="008A2F2B"/>
    <w:rsid w:val="008A5F70"/>
    <w:rsid w:val="008A6B26"/>
    <w:rsid w:val="008A7077"/>
    <w:rsid w:val="008B17E8"/>
    <w:rsid w:val="008B3F61"/>
    <w:rsid w:val="008B4A41"/>
    <w:rsid w:val="008B5833"/>
    <w:rsid w:val="008B64D7"/>
    <w:rsid w:val="008B66DC"/>
    <w:rsid w:val="008B70F3"/>
    <w:rsid w:val="008B76DF"/>
    <w:rsid w:val="008B7719"/>
    <w:rsid w:val="008C063B"/>
    <w:rsid w:val="008C2249"/>
    <w:rsid w:val="008C3903"/>
    <w:rsid w:val="008C52D2"/>
    <w:rsid w:val="008C7046"/>
    <w:rsid w:val="008D0958"/>
    <w:rsid w:val="008D0FB8"/>
    <w:rsid w:val="008D27BF"/>
    <w:rsid w:val="008D2BB5"/>
    <w:rsid w:val="008D2C83"/>
    <w:rsid w:val="008D2FBA"/>
    <w:rsid w:val="008D5B32"/>
    <w:rsid w:val="008D6419"/>
    <w:rsid w:val="008D7AE6"/>
    <w:rsid w:val="008E049D"/>
    <w:rsid w:val="008E0696"/>
    <w:rsid w:val="008E1143"/>
    <w:rsid w:val="008E22B1"/>
    <w:rsid w:val="008E2FBC"/>
    <w:rsid w:val="008E4767"/>
    <w:rsid w:val="008E5B00"/>
    <w:rsid w:val="008E6798"/>
    <w:rsid w:val="008E6B9C"/>
    <w:rsid w:val="008E6F55"/>
    <w:rsid w:val="008F09AB"/>
    <w:rsid w:val="008F1F18"/>
    <w:rsid w:val="008F3855"/>
    <w:rsid w:val="008F5F44"/>
    <w:rsid w:val="008F60A8"/>
    <w:rsid w:val="008F7489"/>
    <w:rsid w:val="008F7551"/>
    <w:rsid w:val="0090048E"/>
    <w:rsid w:val="0090062E"/>
    <w:rsid w:val="009008D2"/>
    <w:rsid w:val="009024D5"/>
    <w:rsid w:val="009029C3"/>
    <w:rsid w:val="00902E80"/>
    <w:rsid w:val="00903285"/>
    <w:rsid w:val="00903857"/>
    <w:rsid w:val="00904B4D"/>
    <w:rsid w:val="00904D9B"/>
    <w:rsid w:val="00905866"/>
    <w:rsid w:val="0090667F"/>
    <w:rsid w:val="0090688B"/>
    <w:rsid w:val="00906F40"/>
    <w:rsid w:val="0090731E"/>
    <w:rsid w:val="009078D7"/>
    <w:rsid w:val="00907D9C"/>
    <w:rsid w:val="009119EA"/>
    <w:rsid w:val="00912008"/>
    <w:rsid w:val="009121B5"/>
    <w:rsid w:val="00913183"/>
    <w:rsid w:val="009153D5"/>
    <w:rsid w:val="00915641"/>
    <w:rsid w:val="00915B1C"/>
    <w:rsid w:val="00915D19"/>
    <w:rsid w:val="00916CAD"/>
    <w:rsid w:val="0091797D"/>
    <w:rsid w:val="009212F5"/>
    <w:rsid w:val="0092316A"/>
    <w:rsid w:val="00923CBA"/>
    <w:rsid w:val="009248F7"/>
    <w:rsid w:val="00925051"/>
    <w:rsid w:val="00925C32"/>
    <w:rsid w:val="00925DBA"/>
    <w:rsid w:val="00926162"/>
    <w:rsid w:val="00926703"/>
    <w:rsid w:val="00927691"/>
    <w:rsid w:val="00927A5F"/>
    <w:rsid w:val="00930014"/>
    <w:rsid w:val="00930977"/>
    <w:rsid w:val="00931016"/>
    <w:rsid w:val="00931A52"/>
    <w:rsid w:val="00934D88"/>
    <w:rsid w:val="009376A2"/>
    <w:rsid w:val="00937C1C"/>
    <w:rsid w:val="009403A0"/>
    <w:rsid w:val="009409A4"/>
    <w:rsid w:val="00940D84"/>
    <w:rsid w:val="00941DA7"/>
    <w:rsid w:val="00941DDE"/>
    <w:rsid w:val="00941FB0"/>
    <w:rsid w:val="009426D4"/>
    <w:rsid w:val="009432A4"/>
    <w:rsid w:val="0094330E"/>
    <w:rsid w:val="00945AE3"/>
    <w:rsid w:val="00945E0D"/>
    <w:rsid w:val="00946A70"/>
    <w:rsid w:val="009501DD"/>
    <w:rsid w:val="00950419"/>
    <w:rsid w:val="00950C24"/>
    <w:rsid w:val="00952724"/>
    <w:rsid w:val="009527A9"/>
    <w:rsid w:val="0095490B"/>
    <w:rsid w:val="009553C8"/>
    <w:rsid w:val="0095736F"/>
    <w:rsid w:val="009576D5"/>
    <w:rsid w:val="00960FAF"/>
    <w:rsid w:val="00961EFC"/>
    <w:rsid w:val="00962F99"/>
    <w:rsid w:val="00963709"/>
    <w:rsid w:val="0096374D"/>
    <w:rsid w:val="0096509C"/>
    <w:rsid w:val="009658ED"/>
    <w:rsid w:val="00970328"/>
    <w:rsid w:val="00970DB7"/>
    <w:rsid w:val="00971257"/>
    <w:rsid w:val="00974363"/>
    <w:rsid w:val="00977007"/>
    <w:rsid w:val="0097711B"/>
    <w:rsid w:val="00977D4B"/>
    <w:rsid w:val="00980784"/>
    <w:rsid w:val="009819F4"/>
    <w:rsid w:val="00981E90"/>
    <w:rsid w:val="00983077"/>
    <w:rsid w:val="00983ECD"/>
    <w:rsid w:val="009843FD"/>
    <w:rsid w:val="00984403"/>
    <w:rsid w:val="00984CD4"/>
    <w:rsid w:val="0098666C"/>
    <w:rsid w:val="00986896"/>
    <w:rsid w:val="0098728A"/>
    <w:rsid w:val="009873C8"/>
    <w:rsid w:val="0098758A"/>
    <w:rsid w:val="00987AA5"/>
    <w:rsid w:val="00987B1D"/>
    <w:rsid w:val="00987FA3"/>
    <w:rsid w:val="00992979"/>
    <w:rsid w:val="00992AC3"/>
    <w:rsid w:val="00993308"/>
    <w:rsid w:val="00995B2E"/>
    <w:rsid w:val="00996512"/>
    <w:rsid w:val="0099694E"/>
    <w:rsid w:val="00996E96"/>
    <w:rsid w:val="009970AE"/>
    <w:rsid w:val="009A0F93"/>
    <w:rsid w:val="009A3C8F"/>
    <w:rsid w:val="009A3F7A"/>
    <w:rsid w:val="009A482F"/>
    <w:rsid w:val="009A5080"/>
    <w:rsid w:val="009A6FF4"/>
    <w:rsid w:val="009A7565"/>
    <w:rsid w:val="009A7AAA"/>
    <w:rsid w:val="009B00DE"/>
    <w:rsid w:val="009B10B7"/>
    <w:rsid w:val="009B111A"/>
    <w:rsid w:val="009B15F9"/>
    <w:rsid w:val="009B3AAF"/>
    <w:rsid w:val="009B4E9E"/>
    <w:rsid w:val="009B5A84"/>
    <w:rsid w:val="009B5FB2"/>
    <w:rsid w:val="009B63F9"/>
    <w:rsid w:val="009B6454"/>
    <w:rsid w:val="009B691D"/>
    <w:rsid w:val="009B6AA8"/>
    <w:rsid w:val="009B749A"/>
    <w:rsid w:val="009B7B5A"/>
    <w:rsid w:val="009C01F1"/>
    <w:rsid w:val="009C1690"/>
    <w:rsid w:val="009C1959"/>
    <w:rsid w:val="009C298A"/>
    <w:rsid w:val="009C4957"/>
    <w:rsid w:val="009C4E3D"/>
    <w:rsid w:val="009C63DB"/>
    <w:rsid w:val="009C668B"/>
    <w:rsid w:val="009C6881"/>
    <w:rsid w:val="009C74D6"/>
    <w:rsid w:val="009C7759"/>
    <w:rsid w:val="009D0E6B"/>
    <w:rsid w:val="009D2433"/>
    <w:rsid w:val="009D2E0E"/>
    <w:rsid w:val="009D3844"/>
    <w:rsid w:val="009D480A"/>
    <w:rsid w:val="009D6933"/>
    <w:rsid w:val="009D6C71"/>
    <w:rsid w:val="009E0356"/>
    <w:rsid w:val="009E16D0"/>
    <w:rsid w:val="009E1745"/>
    <w:rsid w:val="009E38FD"/>
    <w:rsid w:val="009E48BE"/>
    <w:rsid w:val="009E5550"/>
    <w:rsid w:val="009F113D"/>
    <w:rsid w:val="009F1147"/>
    <w:rsid w:val="009F13D6"/>
    <w:rsid w:val="009F1CEA"/>
    <w:rsid w:val="009F211E"/>
    <w:rsid w:val="009F40E9"/>
    <w:rsid w:val="009F4C6B"/>
    <w:rsid w:val="009F4EEE"/>
    <w:rsid w:val="009F78A8"/>
    <w:rsid w:val="00A01486"/>
    <w:rsid w:val="00A024BF"/>
    <w:rsid w:val="00A03247"/>
    <w:rsid w:val="00A0460C"/>
    <w:rsid w:val="00A07318"/>
    <w:rsid w:val="00A07B87"/>
    <w:rsid w:val="00A1066F"/>
    <w:rsid w:val="00A11370"/>
    <w:rsid w:val="00A114A7"/>
    <w:rsid w:val="00A115D2"/>
    <w:rsid w:val="00A11C95"/>
    <w:rsid w:val="00A12BA4"/>
    <w:rsid w:val="00A13352"/>
    <w:rsid w:val="00A15C10"/>
    <w:rsid w:val="00A1631A"/>
    <w:rsid w:val="00A168C5"/>
    <w:rsid w:val="00A17679"/>
    <w:rsid w:val="00A17FDE"/>
    <w:rsid w:val="00A20763"/>
    <w:rsid w:val="00A21451"/>
    <w:rsid w:val="00A224CE"/>
    <w:rsid w:val="00A22522"/>
    <w:rsid w:val="00A22698"/>
    <w:rsid w:val="00A22A71"/>
    <w:rsid w:val="00A24F5C"/>
    <w:rsid w:val="00A26393"/>
    <w:rsid w:val="00A308E4"/>
    <w:rsid w:val="00A31D3D"/>
    <w:rsid w:val="00A33598"/>
    <w:rsid w:val="00A33637"/>
    <w:rsid w:val="00A34A4C"/>
    <w:rsid w:val="00A361D5"/>
    <w:rsid w:val="00A36916"/>
    <w:rsid w:val="00A36E66"/>
    <w:rsid w:val="00A40871"/>
    <w:rsid w:val="00A41F81"/>
    <w:rsid w:val="00A428C9"/>
    <w:rsid w:val="00A440B4"/>
    <w:rsid w:val="00A440E0"/>
    <w:rsid w:val="00A4503F"/>
    <w:rsid w:val="00A46120"/>
    <w:rsid w:val="00A47886"/>
    <w:rsid w:val="00A47E4B"/>
    <w:rsid w:val="00A50D7B"/>
    <w:rsid w:val="00A50F35"/>
    <w:rsid w:val="00A52133"/>
    <w:rsid w:val="00A5347F"/>
    <w:rsid w:val="00A53C19"/>
    <w:rsid w:val="00A55940"/>
    <w:rsid w:val="00A55DAF"/>
    <w:rsid w:val="00A56F17"/>
    <w:rsid w:val="00A57AAC"/>
    <w:rsid w:val="00A60C27"/>
    <w:rsid w:val="00A62137"/>
    <w:rsid w:val="00A62883"/>
    <w:rsid w:val="00A63859"/>
    <w:rsid w:val="00A6596D"/>
    <w:rsid w:val="00A659CB"/>
    <w:rsid w:val="00A65A8D"/>
    <w:rsid w:val="00A66B78"/>
    <w:rsid w:val="00A70861"/>
    <w:rsid w:val="00A70ADF"/>
    <w:rsid w:val="00A71466"/>
    <w:rsid w:val="00A72EE6"/>
    <w:rsid w:val="00A7373C"/>
    <w:rsid w:val="00A737C2"/>
    <w:rsid w:val="00A73C13"/>
    <w:rsid w:val="00A74B5E"/>
    <w:rsid w:val="00A757FA"/>
    <w:rsid w:val="00A7658E"/>
    <w:rsid w:val="00A76BEE"/>
    <w:rsid w:val="00A770AA"/>
    <w:rsid w:val="00A770EF"/>
    <w:rsid w:val="00A80800"/>
    <w:rsid w:val="00A80D59"/>
    <w:rsid w:val="00A810C9"/>
    <w:rsid w:val="00A81BED"/>
    <w:rsid w:val="00A81EC4"/>
    <w:rsid w:val="00A836E7"/>
    <w:rsid w:val="00A8454B"/>
    <w:rsid w:val="00A8490B"/>
    <w:rsid w:val="00A84C9F"/>
    <w:rsid w:val="00A8627D"/>
    <w:rsid w:val="00A87B4A"/>
    <w:rsid w:val="00A9067D"/>
    <w:rsid w:val="00A9183E"/>
    <w:rsid w:val="00A92E4E"/>
    <w:rsid w:val="00A93F7A"/>
    <w:rsid w:val="00A958A9"/>
    <w:rsid w:val="00A95AD8"/>
    <w:rsid w:val="00A96C53"/>
    <w:rsid w:val="00A9769C"/>
    <w:rsid w:val="00AA04D5"/>
    <w:rsid w:val="00AA0E47"/>
    <w:rsid w:val="00AA1E1B"/>
    <w:rsid w:val="00AA2299"/>
    <w:rsid w:val="00AA2F14"/>
    <w:rsid w:val="00AA3732"/>
    <w:rsid w:val="00AA757A"/>
    <w:rsid w:val="00AB156C"/>
    <w:rsid w:val="00AB1DD4"/>
    <w:rsid w:val="00AB24EC"/>
    <w:rsid w:val="00AB4EDE"/>
    <w:rsid w:val="00AB54F2"/>
    <w:rsid w:val="00AB6822"/>
    <w:rsid w:val="00AC00CD"/>
    <w:rsid w:val="00AC1644"/>
    <w:rsid w:val="00AC1A0E"/>
    <w:rsid w:val="00AC20C9"/>
    <w:rsid w:val="00AC3090"/>
    <w:rsid w:val="00AC3099"/>
    <w:rsid w:val="00AC3CAC"/>
    <w:rsid w:val="00AC4014"/>
    <w:rsid w:val="00AC463E"/>
    <w:rsid w:val="00AC49F9"/>
    <w:rsid w:val="00AC511E"/>
    <w:rsid w:val="00AC5AE3"/>
    <w:rsid w:val="00AC5E93"/>
    <w:rsid w:val="00AD00DD"/>
    <w:rsid w:val="00AD058B"/>
    <w:rsid w:val="00AD1318"/>
    <w:rsid w:val="00AD266B"/>
    <w:rsid w:val="00AD2AF4"/>
    <w:rsid w:val="00AD3082"/>
    <w:rsid w:val="00AD321F"/>
    <w:rsid w:val="00AD4AD0"/>
    <w:rsid w:val="00AD4F23"/>
    <w:rsid w:val="00AD5C03"/>
    <w:rsid w:val="00AD5C37"/>
    <w:rsid w:val="00AD6083"/>
    <w:rsid w:val="00AD60CD"/>
    <w:rsid w:val="00AD6C8C"/>
    <w:rsid w:val="00AD6DE8"/>
    <w:rsid w:val="00AD7DCB"/>
    <w:rsid w:val="00AE091D"/>
    <w:rsid w:val="00AE1C7B"/>
    <w:rsid w:val="00AE41A6"/>
    <w:rsid w:val="00AE53A1"/>
    <w:rsid w:val="00AE6E96"/>
    <w:rsid w:val="00AE7DA3"/>
    <w:rsid w:val="00AE7EA3"/>
    <w:rsid w:val="00AF0D8C"/>
    <w:rsid w:val="00AF0E3A"/>
    <w:rsid w:val="00AF1826"/>
    <w:rsid w:val="00AF1D28"/>
    <w:rsid w:val="00AF2484"/>
    <w:rsid w:val="00AF3C19"/>
    <w:rsid w:val="00AF4EBE"/>
    <w:rsid w:val="00AF63E7"/>
    <w:rsid w:val="00AF6FB2"/>
    <w:rsid w:val="00B00C4B"/>
    <w:rsid w:val="00B0137D"/>
    <w:rsid w:val="00B01461"/>
    <w:rsid w:val="00B0165D"/>
    <w:rsid w:val="00B01719"/>
    <w:rsid w:val="00B01ACA"/>
    <w:rsid w:val="00B0210B"/>
    <w:rsid w:val="00B02212"/>
    <w:rsid w:val="00B02C23"/>
    <w:rsid w:val="00B031F3"/>
    <w:rsid w:val="00B040FF"/>
    <w:rsid w:val="00B0518D"/>
    <w:rsid w:val="00B052A4"/>
    <w:rsid w:val="00B05F7E"/>
    <w:rsid w:val="00B06353"/>
    <w:rsid w:val="00B073E8"/>
    <w:rsid w:val="00B07ED8"/>
    <w:rsid w:val="00B10C3B"/>
    <w:rsid w:val="00B116FD"/>
    <w:rsid w:val="00B125DE"/>
    <w:rsid w:val="00B13779"/>
    <w:rsid w:val="00B13FDD"/>
    <w:rsid w:val="00B14344"/>
    <w:rsid w:val="00B14EAC"/>
    <w:rsid w:val="00B1647F"/>
    <w:rsid w:val="00B16925"/>
    <w:rsid w:val="00B17D5B"/>
    <w:rsid w:val="00B2161D"/>
    <w:rsid w:val="00B22EB2"/>
    <w:rsid w:val="00B264F6"/>
    <w:rsid w:val="00B27442"/>
    <w:rsid w:val="00B27D37"/>
    <w:rsid w:val="00B30A8D"/>
    <w:rsid w:val="00B30D9A"/>
    <w:rsid w:val="00B31167"/>
    <w:rsid w:val="00B319A4"/>
    <w:rsid w:val="00B329D8"/>
    <w:rsid w:val="00B32BB9"/>
    <w:rsid w:val="00B335A1"/>
    <w:rsid w:val="00B33AE1"/>
    <w:rsid w:val="00B3404B"/>
    <w:rsid w:val="00B34F43"/>
    <w:rsid w:val="00B3523E"/>
    <w:rsid w:val="00B36970"/>
    <w:rsid w:val="00B37190"/>
    <w:rsid w:val="00B4288C"/>
    <w:rsid w:val="00B43DA2"/>
    <w:rsid w:val="00B44100"/>
    <w:rsid w:val="00B461B0"/>
    <w:rsid w:val="00B46CBA"/>
    <w:rsid w:val="00B46F94"/>
    <w:rsid w:val="00B53F0C"/>
    <w:rsid w:val="00B574CD"/>
    <w:rsid w:val="00B5757E"/>
    <w:rsid w:val="00B57C98"/>
    <w:rsid w:val="00B57FC7"/>
    <w:rsid w:val="00B6106A"/>
    <w:rsid w:val="00B61F03"/>
    <w:rsid w:val="00B62587"/>
    <w:rsid w:val="00B626E4"/>
    <w:rsid w:val="00B63249"/>
    <w:rsid w:val="00B65E08"/>
    <w:rsid w:val="00B6702D"/>
    <w:rsid w:val="00B67827"/>
    <w:rsid w:val="00B705F2"/>
    <w:rsid w:val="00B708B0"/>
    <w:rsid w:val="00B71C24"/>
    <w:rsid w:val="00B72078"/>
    <w:rsid w:val="00B7234B"/>
    <w:rsid w:val="00B72F4A"/>
    <w:rsid w:val="00B74539"/>
    <w:rsid w:val="00B746BD"/>
    <w:rsid w:val="00B7484A"/>
    <w:rsid w:val="00B74978"/>
    <w:rsid w:val="00B758F7"/>
    <w:rsid w:val="00B76BEA"/>
    <w:rsid w:val="00B772DD"/>
    <w:rsid w:val="00B820A2"/>
    <w:rsid w:val="00B82BA0"/>
    <w:rsid w:val="00B83C27"/>
    <w:rsid w:val="00B83DC3"/>
    <w:rsid w:val="00B83F25"/>
    <w:rsid w:val="00B84542"/>
    <w:rsid w:val="00B84BC3"/>
    <w:rsid w:val="00B84BDD"/>
    <w:rsid w:val="00B868DE"/>
    <w:rsid w:val="00B869E2"/>
    <w:rsid w:val="00B87281"/>
    <w:rsid w:val="00B9012C"/>
    <w:rsid w:val="00B906AA"/>
    <w:rsid w:val="00B91F99"/>
    <w:rsid w:val="00B92812"/>
    <w:rsid w:val="00B92E49"/>
    <w:rsid w:val="00B933C2"/>
    <w:rsid w:val="00B950BA"/>
    <w:rsid w:val="00B9687A"/>
    <w:rsid w:val="00B968AC"/>
    <w:rsid w:val="00BA0707"/>
    <w:rsid w:val="00BA162A"/>
    <w:rsid w:val="00BA300F"/>
    <w:rsid w:val="00BA651A"/>
    <w:rsid w:val="00BA6E07"/>
    <w:rsid w:val="00BA7150"/>
    <w:rsid w:val="00BB1C9C"/>
    <w:rsid w:val="00BB2357"/>
    <w:rsid w:val="00BB3C8B"/>
    <w:rsid w:val="00BB4019"/>
    <w:rsid w:val="00BB7686"/>
    <w:rsid w:val="00BC1843"/>
    <w:rsid w:val="00BC1E64"/>
    <w:rsid w:val="00BC23F9"/>
    <w:rsid w:val="00BC28D9"/>
    <w:rsid w:val="00BC29F4"/>
    <w:rsid w:val="00BC3421"/>
    <w:rsid w:val="00BC35D9"/>
    <w:rsid w:val="00BC36AE"/>
    <w:rsid w:val="00BC3DDD"/>
    <w:rsid w:val="00BC6545"/>
    <w:rsid w:val="00BC6E51"/>
    <w:rsid w:val="00BC737A"/>
    <w:rsid w:val="00BC73E4"/>
    <w:rsid w:val="00BD0995"/>
    <w:rsid w:val="00BD2B8D"/>
    <w:rsid w:val="00BD3D5A"/>
    <w:rsid w:val="00BD3DC6"/>
    <w:rsid w:val="00BD4A97"/>
    <w:rsid w:val="00BD5E74"/>
    <w:rsid w:val="00BD5F3B"/>
    <w:rsid w:val="00BE0874"/>
    <w:rsid w:val="00BE2580"/>
    <w:rsid w:val="00BE266D"/>
    <w:rsid w:val="00BE3BFF"/>
    <w:rsid w:val="00BE3E73"/>
    <w:rsid w:val="00BE4C11"/>
    <w:rsid w:val="00BE51AD"/>
    <w:rsid w:val="00BE52E1"/>
    <w:rsid w:val="00BE5FB5"/>
    <w:rsid w:val="00BE6077"/>
    <w:rsid w:val="00BE71C0"/>
    <w:rsid w:val="00BE74D8"/>
    <w:rsid w:val="00BE7964"/>
    <w:rsid w:val="00BF14A9"/>
    <w:rsid w:val="00BF30ED"/>
    <w:rsid w:val="00BF37AF"/>
    <w:rsid w:val="00BF3EFB"/>
    <w:rsid w:val="00BF45DC"/>
    <w:rsid w:val="00BF4799"/>
    <w:rsid w:val="00BF528B"/>
    <w:rsid w:val="00BF6B8E"/>
    <w:rsid w:val="00BF711F"/>
    <w:rsid w:val="00C0080F"/>
    <w:rsid w:val="00C01A0A"/>
    <w:rsid w:val="00C030D7"/>
    <w:rsid w:val="00C07777"/>
    <w:rsid w:val="00C10DD6"/>
    <w:rsid w:val="00C1155A"/>
    <w:rsid w:val="00C11B5D"/>
    <w:rsid w:val="00C17C49"/>
    <w:rsid w:val="00C20AA9"/>
    <w:rsid w:val="00C2221E"/>
    <w:rsid w:val="00C22607"/>
    <w:rsid w:val="00C25992"/>
    <w:rsid w:val="00C27615"/>
    <w:rsid w:val="00C327F9"/>
    <w:rsid w:val="00C33C3D"/>
    <w:rsid w:val="00C33F91"/>
    <w:rsid w:val="00C34DE7"/>
    <w:rsid w:val="00C358A6"/>
    <w:rsid w:val="00C430F5"/>
    <w:rsid w:val="00C43507"/>
    <w:rsid w:val="00C449D9"/>
    <w:rsid w:val="00C44D1D"/>
    <w:rsid w:val="00C44DD4"/>
    <w:rsid w:val="00C45155"/>
    <w:rsid w:val="00C45389"/>
    <w:rsid w:val="00C468AB"/>
    <w:rsid w:val="00C504A8"/>
    <w:rsid w:val="00C50D7D"/>
    <w:rsid w:val="00C50F09"/>
    <w:rsid w:val="00C51664"/>
    <w:rsid w:val="00C536DF"/>
    <w:rsid w:val="00C5498F"/>
    <w:rsid w:val="00C5581D"/>
    <w:rsid w:val="00C56DFD"/>
    <w:rsid w:val="00C573B4"/>
    <w:rsid w:val="00C60526"/>
    <w:rsid w:val="00C64CD0"/>
    <w:rsid w:val="00C65905"/>
    <w:rsid w:val="00C662C0"/>
    <w:rsid w:val="00C6684F"/>
    <w:rsid w:val="00C66BB2"/>
    <w:rsid w:val="00C6776B"/>
    <w:rsid w:val="00C67AF6"/>
    <w:rsid w:val="00C702F6"/>
    <w:rsid w:val="00C7046F"/>
    <w:rsid w:val="00C70662"/>
    <w:rsid w:val="00C70865"/>
    <w:rsid w:val="00C70E70"/>
    <w:rsid w:val="00C71317"/>
    <w:rsid w:val="00C71AA1"/>
    <w:rsid w:val="00C749EC"/>
    <w:rsid w:val="00C74C8D"/>
    <w:rsid w:val="00C75F8D"/>
    <w:rsid w:val="00C77A4B"/>
    <w:rsid w:val="00C80208"/>
    <w:rsid w:val="00C82F36"/>
    <w:rsid w:val="00C846BB"/>
    <w:rsid w:val="00C8496A"/>
    <w:rsid w:val="00C84E3A"/>
    <w:rsid w:val="00C8777F"/>
    <w:rsid w:val="00C878DE"/>
    <w:rsid w:val="00C902FF"/>
    <w:rsid w:val="00C90D84"/>
    <w:rsid w:val="00C935ED"/>
    <w:rsid w:val="00C93764"/>
    <w:rsid w:val="00C94306"/>
    <w:rsid w:val="00C9485E"/>
    <w:rsid w:val="00CA0A67"/>
    <w:rsid w:val="00CA2E4A"/>
    <w:rsid w:val="00CA375D"/>
    <w:rsid w:val="00CA38A8"/>
    <w:rsid w:val="00CA43A9"/>
    <w:rsid w:val="00CA5539"/>
    <w:rsid w:val="00CA63FE"/>
    <w:rsid w:val="00CB0DA0"/>
    <w:rsid w:val="00CB0F53"/>
    <w:rsid w:val="00CB1AF1"/>
    <w:rsid w:val="00CB1E82"/>
    <w:rsid w:val="00CB2496"/>
    <w:rsid w:val="00CB2DC2"/>
    <w:rsid w:val="00CB37A0"/>
    <w:rsid w:val="00CB3B44"/>
    <w:rsid w:val="00CB4BA8"/>
    <w:rsid w:val="00CB52D7"/>
    <w:rsid w:val="00CB6290"/>
    <w:rsid w:val="00CB688E"/>
    <w:rsid w:val="00CC08C3"/>
    <w:rsid w:val="00CC09D0"/>
    <w:rsid w:val="00CC0C14"/>
    <w:rsid w:val="00CC1086"/>
    <w:rsid w:val="00CC119D"/>
    <w:rsid w:val="00CC314F"/>
    <w:rsid w:val="00CC46A3"/>
    <w:rsid w:val="00CC5AA1"/>
    <w:rsid w:val="00CD4311"/>
    <w:rsid w:val="00CD4893"/>
    <w:rsid w:val="00CD4F75"/>
    <w:rsid w:val="00CD5C70"/>
    <w:rsid w:val="00CD7D35"/>
    <w:rsid w:val="00CE02B6"/>
    <w:rsid w:val="00CE138F"/>
    <w:rsid w:val="00CE252A"/>
    <w:rsid w:val="00CE29C2"/>
    <w:rsid w:val="00CE34CB"/>
    <w:rsid w:val="00CE3EED"/>
    <w:rsid w:val="00CE51A8"/>
    <w:rsid w:val="00CE7359"/>
    <w:rsid w:val="00CE76C7"/>
    <w:rsid w:val="00CF009E"/>
    <w:rsid w:val="00CF0C90"/>
    <w:rsid w:val="00CF27AC"/>
    <w:rsid w:val="00CF2D85"/>
    <w:rsid w:val="00CF358D"/>
    <w:rsid w:val="00CF369B"/>
    <w:rsid w:val="00CF5BBC"/>
    <w:rsid w:val="00CF691B"/>
    <w:rsid w:val="00CF707D"/>
    <w:rsid w:val="00D008CA"/>
    <w:rsid w:val="00D01AD8"/>
    <w:rsid w:val="00D04A74"/>
    <w:rsid w:val="00D05905"/>
    <w:rsid w:val="00D06F94"/>
    <w:rsid w:val="00D07264"/>
    <w:rsid w:val="00D07847"/>
    <w:rsid w:val="00D07CBF"/>
    <w:rsid w:val="00D10572"/>
    <w:rsid w:val="00D10CB9"/>
    <w:rsid w:val="00D11A10"/>
    <w:rsid w:val="00D11B8F"/>
    <w:rsid w:val="00D11F33"/>
    <w:rsid w:val="00D12A59"/>
    <w:rsid w:val="00D12CA5"/>
    <w:rsid w:val="00D12EF5"/>
    <w:rsid w:val="00D131EB"/>
    <w:rsid w:val="00D145EF"/>
    <w:rsid w:val="00D15810"/>
    <w:rsid w:val="00D15D1F"/>
    <w:rsid w:val="00D16D4E"/>
    <w:rsid w:val="00D21386"/>
    <w:rsid w:val="00D214B6"/>
    <w:rsid w:val="00D2239D"/>
    <w:rsid w:val="00D23717"/>
    <w:rsid w:val="00D245CE"/>
    <w:rsid w:val="00D249B3"/>
    <w:rsid w:val="00D25B98"/>
    <w:rsid w:val="00D25E68"/>
    <w:rsid w:val="00D272C1"/>
    <w:rsid w:val="00D27431"/>
    <w:rsid w:val="00D275AD"/>
    <w:rsid w:val="00D27ED3"/>
    <w:rsid w:val="00D27F41"/>
    <w:rsid w:val="00D3057B"/>
    <w:rsid w:val="00D305AE"/>
    <w:rsid w:val="00D31A35"/>
    <w:rsid w:val="00D34566"/>
    <w:rsid w:val="00D3485F"/>
    <w:rsid w:val="00D34E0C"/>
    <w:rsid w:val="00D34FC8"/>
    <w:rsid w:val="00D3598E"/>
    <w:rsid w:val="00D35CBD"/>
    <w:rsid w:val="00D36050"/>
    <w:rsid w:val="00D36441"/>
    <w:rsid w:val="00D373AD"/>
    <w:rsid w:val="00D4064E"/>
    <w:rsid w:val="00D425F6"/>
    <w:rsid w:val="00D431F3"/>
    <w:rsid w:val="00D435B6"/>
    <w:rsid w:val="00D43F4C"/>
    <w:rsid w:val="00D44E9B"/>
    <w:rsid w:val="00D461EB"/>
    <w:rsid w:val="00D47BF7"/>
    <w:rsid w:val="00D5071F"/>
    <w:rsid w:val="00D50AC6"/>
    <w:rsid w:val="00D50DB9"/>
    <w:rsid w:val="00D5109C"/>
    <w:rsid w:val="00D51832"/>
    <w:rsid w:val="00D528D7"/>
    <w:rsid w:val="00D52C43"/>
    <w:rsid w:val="00D52EC8"/>
    <w:rsid w:val="00D5548F"/>
    <w:rsid w:val="00D5591C"/>
    <w:rsid w:val="00D560D8"/>
    <w:rsid w:val="00D571AC"/>
    <w:rsid w:val="00D57A68"/>
    <w:rsid w:val="00D616FD"/>
    <w:rsid w:val="00D62542"/>
    <w:rsid w:val="00D62C54"/>
    <w:rsid w:val="00D62C57"/>
    <w:rsid w:val="00D630FF"/>
    <w:rsid w:val="00D633C1"/>
    <w:rsid w:val="00D6507F"/>
    <w:rsid w:val="00D67311"/>
    <w:rsid w:val="00D70146"/>
    <w:rsid w:val="00D701A0"/>
    <w:rsid w:val="00D70D5B"/>
    <w:rsid w:val="00D74109"/>
    <w:rsid w:val="00D7424F"/>
    <w:rsid w:val="00D74BE4"/>
    <w:rsid w:val="00D767D2"/>
    <w:rsid w:val="00D76FA6"/>
    <w:rsid w:val="00D81C36"/>
    <w:rsid w:val="00D820BC"/>
    <w:rsid w:val="00D825B1"/>
    <w:rsid w:val="00D83DA6"/>
    <w:rsid w:val="00D8667B"/>
    <w:rsid w:val="00D86ED5"/>
    <w:rsid w:val="00D87B94"/>
    <w:rsid w:val="00D9068B"/>
    <w:rsid w:val="00D90E69"/>
    <w:rsid w:val="00D92915"/>
    <w:rsid w:val="00D92D49"/>
    <w:rsid w:val="00D93FFF"/>
    <w:rsid w:val="00D94028"/>
    <w:rsid w:val="00D956AC"/>
    <w:rsid w:val="00D957C2"/>
    <w:rsid w:val="00D95D76"/>
    <w:rsid w:val="00D96837"/>
    <w:rsid w:val="00D96F01"/>
    <w:rsid w:val="00DA098A"/>
    <w:rsid w:val="00DA0A6C"/>
    <w:rsid w:val="00DA2698"/>
    <w:rsid w:val="00DA3146"/>
    <w:rsid w:val="00DA424A"/>
    <w:rsid w:val="00DA4E41"/>
    <w:rsid w:val="00DA5321"/>
    <w:rsid w:val="00DA54CE"/>
    <w:rsid w:val="00DA59DF"/>
    <w:rsid w:val="00DA6E5F"/>
    <w:rsid w:val="00DA71C2"/>
    <w:rsid w:val="00DB0C04"/>
    <w:rsid w:val="00DB117A"/>
    <w:rsid w:val="00DB1EB6"/>
    <w:rsid w:val="00DB31D8"/>
    <w:rsid w:val="00DB3CC2"/>
    <w:rsid w:val="00DB40D2"/>
    <w:rsid w:val="00DB5173"/>
    <w:rsid w:val="00DB687D"/>
    <w:rsid w:val="00DB709C"/>
    <w:rsid w:val="00DB7873"/>
    <w:rsid w:val="00DC0DEE"/>
    <w:rsid w:val="00DC187B"/>
    <w:rsid w:val="00DC2FC4"/>
    <w:rsid w:val="00DC3988"/>
    <w:rsid w:val="00DC3B45"/>
    <w:rsid w:val="00DC43D6"/>
    <w:rsid w:val="00DC5F0E"/>
    <w:rsid w:val="00DC6231"/>
    <w:rsid w:val="00DD2E02"/>
    <w:rsid w:val="00DD4A57"/>
    <w:rsid w:val="00DD725D"/>
    <w:rsid w:val="00DD73C2"/>
    <w:rsid w:val="00DE0687"/>
    <w:rsid w:val="00DE1C90"/>
    <w:rsid w:val="00DE2047"/>
    <w:rsid w:val="00DE319B"/>
    <w:rsid w:val="00DE354B"/>
    <w:rsid w:val="00DE4359"/>
    <w:rsid w:val="00DE4729"/>
    <w:rsid w:val="00DE5000"/>
    <w:rsid w:val="00DE5878"/>
    <w:rsid w:val="00DE6229"/>
    <w:rsid w:val="00DF03AD"/>
    <w:rsid w:val="00DF1ADB"/>
    <w:rsid w:val="00DF214B"/>
    <w:rsid w:val="00DF2E96"/>
    <w:rsid w:val="00DF333A"/>
    <w:rsid w:val="00DF34FE"/>
    <w:rsid w:val="00DF3D2B"/>
    <w:rsid w:val="00DF4DD2"/>
    <w:rsid w:val="00DF595F"/>
    <w:rsid w:val="00DF6E15"/>
    <w:rsid w:val="00DF78E7"/>
    <w:rsid w:val="00DF7922"/>
    <w:rsid w:val="00E00C9C"/>
    <w:rsid w:val="00E00F7B"/>
    <w:rsid w:val="00E0148A"/>
    <w:rsid w:val="00E0491B"/>
    <w:rsid w:val="00E0520D"/>
    <w:rsid w:val="00E07E9C"/>
    <w:rsid w:val="00E10488"/>
    <w:rsid w:val="00E105CE"/>
    <w:rsid w:val="00E13F9C"/>
    <w:rsid w:val="00E140D4"/>
    <w:rsid w:val="00E15371"/>
    <w:rsid w:val="00E15FFC"/>
    <w:rsid w:val="00E16620"/>
    <w:rsid w:val="00E16E99"/>
    <w:rsid w:val="00E17814"/>
    <w:rsid w:val="00E2081A"/>
    <w:rsid w:val="00E218CA"/>
    <w:rsid w:val="00E24104"/>
    <w:rsid w:val="00E24486"/>
    <w:rsid w:val="00E26F7C"/>
    <w:rsid w:val="00E2734C"/>
    <w:rsid w:val="00E27AFA"/>
    <w:rsid w:val="00E31E6D"/>
    <w:rsid w:val="00E33A99"/>
    <w:rsid w:val="00E33AD1"/>
    <w:rsid w:val="00E33DA9"/>
    <w:rsid w:val="00E35850"/>
    <w:rsid w:val="00E36231"/>
    <w:rsid w:val="00E36AC5"/>
    <w:rsid w:val="00E37749"/>
    <w:rsid w:val="00E37C38"/>
    <w:rsid w:val="00E40489"/>
    <w:rsid w:val="00E41CBE"/>
    <w:rsid w:val="00E41ECB"/>
    <w:rsid w:val="00E41F1B"/>
    <w:rsid w:val="00E4301F"/>
    <w:rsid w:val="00E43045"/>
    <w:rsid w:val="00E4618B"/>
    <w:rsid w:val="00E47E70"/>
    <w:rsid w:val="00E5017A"/>
    <w:rsid w:val="00E515F6"/>
    <w:rsid w:val="00E52852"/>
    <w:rsid w:val="00E52A47"/>
    <w:rsid w:val="00E53F96"/>
    <w:rsid w:val="00E54AEA"/>
    <w:rsid w:val="00E54FDB"/>
    <w:rsid w:val="00E5501C"/>
    <w:rsid w:val="00E5579D"/>
    <w:rsid w:val="00E55AD5"/>
    <w:rsid w:val="00E563D7"/>
    <w:rsid w:val="00E61945"/>
    <w:rsid w:val="00E62AB2"/>
    <w:rsid w:val="00E65BD5"/>
    <w:rsid w:val="00E660F7"/>
    <w:rsid w:val="00E663F4"/>
    <w:rsid w:val="00E666F2"/>
    <w:rsid w:val="00E70336"/>
    <w:rsid w:val="00E729D3"/>
    <w:rsid w:val="00E72B0F"/>
    <w:rsid w:val="00E73B1F"/>
    <w:rsid w:val="00E748CC"/>
    <w:rsid w:val="00E7540B"/>
    <w:rsid w:val="00E75415"/>
    <w:rsid w:val="00E757B3"/>
    <w:rsid w:val="00E7606A"/>
    <w:rsid w:val="00E760A5"/>
    <w:rsid w:val="00E761E0"/>
    <w:rsid w:val="00E76C38"/>
    <w:rsid w:val="00E77DD2"/>
    <w:rsid w:val="00E81694"/>
    <w:rsid w:val="00E828BC"/>
    <w:rsid w:val="00E858E8"/>
    <w:rsid w:val="00E87DB6"/>
    <w:rsid w:val="00E911B0"/>
    <w:rsid w:val="00E92E97"/>
    <w:rsid w:val="00E93279"/>
    <w:rsid w:val="00E93629"/>
    <w:rsid w:val="00E9398B"/>
    <w:rsid w:val="00E94CEC"/>
    <w:rsid w:val="00E95CD3"/>
    <w:rsid w:val="00E9653E"/>
    <w:rsid w:val="00EA04EF"/>
    <w:rsid w:val="00EA210F"/>
    <w:rsid w:val="00EA2E0A"/>
    <w:rsid w:val="00EA3618"/>
    <w:rsid w:val="00EA38D1"/>
    <w:rsid w:val="00EA410D"/>
    <w:rsid w:val="00EA5297"/>
    <w:rsid w:val="00EA5A1A"/>
    <w:rsid w:val="00EA5F99"/>
    <w:rsid w:val="00EA6F19"/>
    <w:rsid w:val="00EB074E"/>
    <w:rsid w:val="00EB30F9"/>
    <w:rsid w:val="00EB7090"/>
    <w:rsid w:val="00EB7140"/>
    <w:rsid w:val="00EC3D98"/>
    <w:rsid w:val="00EC3DFE"/>
    <w:rsid w:val="00EC4047"/>
    <w:rsid w:val="00EC453E"/>
    <w:rsid w:val="00EC5CD7"/>
    <w:rsid w:val="00EC626B"/>
    <w:rsid w:val="00EC7DEE"/>
    <w:rsid w:val="00EC7EAE"/>
    <w:rsid w:val="00ED3ECD"/>
    <w:rsid w:val="00ED4067"/>
    <w:rsid w:val="00ED7EAA"/>
    <w:rsid w:val="00EE0760"/>
    <w:rsid w:val="00EE112A"/>
    <w:rsid w:val="00EE1FA2"/>
    <w:rsid w:val="00EE5FB3"/>
    <w:rsid w:val="00EE68AC"/>
    <w:rsid w:val="00EF0233"/>
    <w:rsid w:val="00EF04F9"/>
    <w:rsid w:val="00EF4286"/>
    <w:rsid w:val="00EF7D80"/>
    <w:rsid w:val="00F005D5"/>
    <w:rsid w:val="00F0240D"/>
    <w:rsid w:val="00F02CA2"/>
    <w:rsid w:val="00F0403A"/>
    <w:rsid w:val="00F04854"/>
    <w:rsid w:val="00F0497C"/>
    <w:rsid w:val="00F061F9"/>
    <w:rsid w:val="00F109F9"/>
    <w:rsid w:val="00F11794"/>
    <w:rsid w:val="00F13D23"/>
    <w:rsid w:val="00F174E5"/>
    <w:rsid w:val="00F179D4"/>
    <w:rsid w:val="00F17CEF"/>
    <w:rsid w:val="00F20929"/>
    <w:rsid w:val="00F213A1"/>
    <w:rsid w:val="00F21444"/>
    <w:rsid w:val="00F234A0"/>
    <w:rsid w:val="00F26B75"/>
    <w:rsid w:val="00F30237"/>
    <w:rsid w:val="00F30C83"/>
    <w:rsid w:val="00F316A2"/>
    <w:rsid w:val="00F31EA0"/>
    <w:rsid w:val="00F3220E"/>
    <w:rsid w:val="00F32540"/>
    <w:rsid w:val="00F32CF9"/>
    <w:rsid w:val="00F32F49"/>
    <w:rsid w:val="00F33C56"/>
    <w:rsid w:val="00F347C7"/>
    <w:rsid w:val="00F34848"/>
    <w:rsid w:val="00F36FD2"/>
    <w:rsid w:val="00F37BB0"/>
    <w:rsid w:val="00F406EB"/>
    <w:rsid w:val="00F408F1"/>
    <w:rsid w:val="00F42D46"/>
    <w:rsid w:val="00F435D0"/>
    <w:rsid w:val="00F439B6"/>
    <w:rsid w:val="00F43C53"/>
    <w:rsid w:val="00F4496C"/>
    <w:rsid w:val="00F44C39"/>
    <w:rsid w:val="00F44D69"/>
    <w:rsid w:val="00F45BDA"/>
    <w:rsid w:val="00F477D6"/>
    <w:rsid w:val="00F505DB"/>
    <w:rsid w:val="00F509EE"/>
    <w:rsid w:val="00F51B4A"/>
    <w:rsid w:val="00F51D7C"/>
    <w:rsid w:val="00F51EF8"/>
    <w:rsid w:val="00F52E03"/>
    <w:rsid w:val="00F535A4"/>
    <w:rsid w:val="00F545B7"/>
    <w:rsid w:val="00F545E4"/>
    <w:rsid w:val="00F54A6D"/>
    <w:rsid w:val="00F55015"/>
    <w:rsid w:val="00F55079"/>
    <w:rsid w:val="00F551D4"/>
    <w:rsid w:val="00F558F9"/>
    <w:rsid w:val="00F57931"/>
    <w:rsid w:val="00F614C0"/>
    <w:rsid w:val="00F62EA4"/>
    <w:rsid w:val="00F6336D"/>
    <w:rsid w:val="00F641B3"/>
    <w:rsid w:val="00F641BE"/>
    <w:rsid w:val="00F65252"/>
    <w:rsid w:val="00F66E9F"/>
    <w:rsid w:val="00F67B91"/>
    <w:rsid w:val="00F67F19"/>
    <w:rsid w:val="00F70276"/>
    <w:rsid w:val="00F71E05"/>
    <w:rsid w:val="00F72AFD"/>
    <w:rsid w:val="00F73216"/>
    <w:rsid w:val="00F736B7"/>
    <w:rsid w:val="00F75F56"/>
    <w:rsid w:val="00F768C6"/>
    <w:rsid w:val="00F7710F"/>
    <w:rsid w:val="00F80BDF"/>
    <w:rsid w:val="00F81044"/>
    <w:rsid w:val="00F81B0A"/>
    <w:rsid w:val="00F81F38"/>
    <w:rsid w:val="00F83848"/>
    <w:rsid w:val="00F85F1F"/>
    <w:rsid w:val="00F85FF5"/>
    <w:rsid w:val="00F91A57"/>
    <w:rsid w:val="00F91C8E"/>
    <w:rsid w:val="00F92366"/>
    <w:rsid w:val="00F938CE"/>
    <w:rsid w:val="00F9429A"/>
    <w:rsid w:val="00F94CEF"/>
    <w:rsid w:val="00F96A4B"/>
    <w:rsid w:val="00F979AF"/>
    <w:rsid w:val="00FA0362"/>
    <w:rsid w:val="00FA0467"/>
    <w:rsid w:val="00FA0794"/>
    <w:rsid w:val="00FA18FD"/>
    <w:rsid w:val="00FA1B7D"/>
    <w:rsid w:val="00FA1CCE"/>
    <w:rsid w:val="00FA1FA4"/>
    <w:rsid w:val="00FA3B8E"/>
    <w:rsid w:val="00FA422C"/>
    <w:rsid w:val="00FA4B75"/>
    <w:rsid w:val="00FA556A"/>
    <w:rsid w:val="00FA5666"/>
    <w:rsid w:val="00FA61BE"/>
    <w:rsid w:val="00FA6F37"/>
    <w:rsid w:val="00FA74E5"/>
    <w:rsid w:val="00FA75AE"/>
    <w:rsid w:val="00FA7EDF"/>
    <w:rsid w:val="00FB3C38"/>
    <w:rsid w:val="00FB3D4C"/>
    <w:rsid w:val="00FB4AE1"/>
    <w:rsid w:val="00FC1007"/>
    <w:rsid w:val="00FC1938"/>
    <w:rsid w:val="00FC2DF4"/>
    <w:rsid w:val="00FC3648"/>
    <w:rsid w:val="00FC4E21"/>
    <w:rsid w:val="00FC5F6D"/>
    <w:rsid w:val="00FC5F85"/>
    <w:rsid w:val="00FC7974"/>
    <w:rsid w:val="00FD01E8"/>
    <w:rsid w:val="00FD1973"/>
    <w:rsid w:val="00FD2C2F"/>
    <w:rsid w:val="00FD3B31"/>
    <w:rsid w:val="00FD3F6B"/>
    <w:rsid w:val="00FD51FB"/>
    <w:rsid w:val="00FD5D63"/>
    <w:rsid w:val="00FD5D6C"/>
    <w:rsid w:val="00FD5E4B"/>
    <w:rsid w:val="00FD6C16"/>
    <w:rsid w:val="00FE17F7"/>
    <w:rsid w:val="00FE1823"/>
    <w:rsid w:val="00FE2A0C"/>
    <w:rsid w:val="00FE363F"/>
    <w:rsid w:val="00FE3AEF"/>
    <w:rsid w:val="00FE40DA"/>
    <w:rsid w:val="00FE487A"/>
    <w:rsid w:val="00FE58D6"/>
    <w:rsid w:val="00FE5A11"/>
    <w:rsid w:val="00FE5DB5"/>
    <w:rsid w:val="00FE5E66"/>
    <w:rsid w:val="00FE5EDC"/>
    <w:rsid w:val="00FE5F72"/>
    <w:rsid w:val="00FF0569"/>
    <w:rsid w:val="00FF145E"/>
    <w:rsid w:val="00FF2901"/>
    <w:rsid w:val="00FF2B54"/>
    <w:rsid w:val="00FF3C9D"/>
    <w:rsid w:val="00FF4E97"/>
    <w:rsid w:val="00FF58C6"/>
    <w:rsid w:val="00FF729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7649">
      <o:colormru v:ext="edit" colors="red,#4d4d4f"/>
    </o:shapedefaults>
    <o:shapelayout v:ext="edit">
      <o:idmap v:ext="edit" data="1"/>
    </o:shapelayout>
  </w:shapeDefaults>
  <w:decimalSymbol w:val="."/>
  <w:listSeparator w:val=","/>
  <w14:docId w14:val="437D73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56F17"/>
    <w:pPr>
      <w:spacing w:line="240" w:lineRule="atLeast"/>
    </w:pPr>
    <w:rPr>
      <w:rFonts w:ascii="Arial" w:hAnsi="Arial"/>
      <w:szCs w:val="24"/>
    </w:rPr>
  </w:style>
  <w:style w:type="paragraph" w:styleId="Heading1">
    <w:name w:val="heading 1"/>
    <w:basedOn w:val="Normal"/>
    <w:next w:val="Normal"/>
    <w:link w:val="Heading1Char"/>
    <w:qFormat/>
    <w:rsid w:val="00777BA2"/>
    <w:pPr>
      <w:keepNext/>
      <w:pageBreakBefore/>
      <w:widowControl w:val="0"/>
      <w:spacing w:after="360" w:line="550" w:lineRule="exact"/>
      <w:outlineLvl w:val="0"/>
    </w:pPr>
    <w:rPr>
      <w:rFonts w:cs="Arial"/>
      <w:bCs/>
      <w:color w:val="4D4D4F"/>
      <w:kern w:val="32"/>
      <w:sz w:val="53"/>
      <w:szCs w:val="32"/>
    </w:rPr>
  </w:style>
  <w:style w:type="paragraph" w:styleId="Heading2">
    <w:name w:val="heading 2"/>
    <w:basedOn w:val="Normal"/>
    <w:next w:val="Normal"/>
    <w:link w:val="Heading2Char"/>
    <w:qFormat/>
    <w:rsid w:val="00E13F9C"/>
    <w:pPr>
      <w:keepNext/>
      <w:spacing w:before="60" w:after="60"/>
      <w:outlineLvl w:val="1"/>
    </w:pPr>
    <w:rPr>
      <w:rFonts w:cs="Arial"/>
      <w:b/>
      <w:bCs/>
      <w:iCs/>
      <w:sz w:val="28"/>
      <w:szCs w:val="28"/>
    </w:rPr>
  </w:style>
  <w:style w:type="paragraph" w:styleId="Heading3">
    <w:name w:val="heading 3"/>
    <w:basedOn w:val="Normal"/>
    <w:next w:val="Normal"/>
    <w:link w:val="Heading3Char"/>
    <w:qFormat/>
    <w:rsid w:val="00E13F9C"/>
    <w:pPr>
      <w:keepNext/>
      <w:spacing w:before="60" w:after="60"/>
      <w:outlineLvl w:val="2"/>
    </w:pPr>
    <w:rPr>
      <w:rFonts w:cs="Arial"/>
      <w:b/>
      <w:bCs/>
      <w:szCs w:val="26"/>
    </w:rPr>
  </w:style>
  <w:style w:type="paragraph" w:styleId="Heading4">
    <w:name w:val="heading 4"/>
    <w:basedOn w:val="Normal"/>
    <w:next w:val="Normal"/>
    <w:qFormat/>
    <w:rsid w:val="00BE4C11"/>
    <w:pPr>
      <w:keepNext/>
      <w:spacing w:before="240" w:after="60"/>
      <w:outlineLvl w:val="3"/>
    </w:pPr>
    <w:rPr>
      <w:rFonts w:ascii="Times New Roman" w:hAnsi="Times New Roman"/>
      <w:b/>
      <w:bCs/>
      <w:sz w:val="28"/>
      <w:szCs w:val="28"/>
    </w:rPr>
  </w:style>
  <w:style w:type="paragraph" w:styleId="Heading5">
    <w:name w:val="heading 5"/>
    <w:basedOn w:val="Normal"/>
    <w:next w:val="Normal"/>
    <w:qFormat/>
    <w:rsid w:val="00BE4C11"/>
    <w:pPr>
      <w:spacing w:before="240" w:after="60"/>
      <w:outlineLvl w:val="4"/>
    </w:pPr>
    <w:rPr>
      <w:b/>
      <w:bCs/>
      <w:i/>
      <w:iCs/>
      <w:sz w:val="26"/>
      <w:szCs w:val="26"/>
    </w:rPr>
  </w:style>
  <w:style w:type="paragraph" w:styleId="Heading6">
    <w:name w:val="heading 6"/>
    <w:basedOn w:val="Normal"/>
    <w:next w:val="Normal"/>
    <w:qFormat/>
    <w:rsid w:val="00BE4C11"/>
    <w:pPr>
      <w:spacing w:before="240" w:after="60"/>
      <w:outlineLvl w:val="5"/>
    </w:pPr>
    <w:rPr>
      <w:rFonts w:ascii="Times New Roman" w:hAnsi="Times New Roman"/>
      <w:b/>
      <w:bCs/>
      <w:sz w:val="22"/>
      <w:szCs w:val="22"/>
    </w:rPr>
  </w:style>
  <w:style w:type="paragraph" w:styleId="Heading7">
    <w:name w:val="heading 7"/>
    <w:basedOn w:val="Normal"/>
    <w:next w:val="Normal"/>
    <w:qFormat/>
    <w:rsid w:val="00BE4C11"/>
    <w:pPr>
      <w:spacing w:before="240" w:after="60"/>
      <w:outlineLvl w:val="6"/>
    </w:pPr>
    <w:rPr>
      <w:rFonts w:ascii="Times New Roman" w:hAnsi="Times New Roman"/>
      <w:sz w:val="24"/>
    </w:rPr>
  </w:style>
  <w:style w:type="paragraph" w:styleId="Heading8">
    <w:name w:val="heading 8"/>
    <w:basedOn w:val="Normal"/>
    <w:next w:val="Normal"/>
    <w:qFormat/>
    <w:rsid w:val="00BE4C11"/>
    <w:pPr>
      <w:spacing w:before="240" w:after="60"/>
      <w:outlineLvl w:val="7"/>
    </w:pPr>
    <w:rPr>
      <w:rFonts w:ascii="Times New Roman" w:hAnsi="Times New Roman"/>
      <w:i/>
      <w:iCs/>
      <w:sz w:val="24"/>
    </w:rPr>
  </w:style>
  <w:style w:type="paragraph" w:styleId="Heading9">
    <w:name w:val="heading 9"/>
    <w:basedOn w:val="Normal"/>
    <w:next w:val="Normal"/>
    <w:qFormat/>
    <w:rsid w:val="00BE4C11"/>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semiHidden/>
    <w:rsid w:val="0070791C"/>
    <w:pPr>
      <w:tabs>
        <w:tab w:val="center" w:pos="4153"/>
        <w:tab w:val="right" w:pos="8306"/>
      </w:tabs>
      <w:spacing w:line="240" w:lineRule="auto"/>
    </w:pPr>
    <w:rPr>
      <w:sz w:val="16"/>
    </w:rPr>
  </w:style>
  <w:style w:type="paragraph" w:customStyle="1" w:styleId="ReportTitle">
    <w:name w:val="Report Title"/>
    <w:basedOn w:val="Normal"/>
    <w:rsid w:val="00226819"/>
    <w:pPr>
      <w:spacing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uiPriority w:val="59"/>
    <w:rsid w:val="00226819"/>
    <w:pPr>
      <w:spacing w:line="24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721B55"/>
    <w:rPr>
      <w:rFonts w:ascii="HelveticaNeueLT Std" w:hAnsi="HelveticaNeueLT Std"/>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0A4A51"/>
    <w:pPr>
      <w:spacing w:line="240" w:lineRule="auto"/>
    </w:pPr>
    <w:rPr>
      <w:rFonts w:ascii="HelveticaNeueLT Std Med" w:hAnsi="HelveticaNeueLT Std Med"/>
      <w:b/>
      <w:color w:val="4D4D4F"/>
      <w:spacing w:val="-28"/>
      <w:sz w:val="53"/>
    </w:rPr>
  </w:style>
  <w:style w:type="paragraph" w:styleId="Caption">
    <w:name w:val="caption"/>
    <w:basedOn w:val="Normal"/>
    <w:next w:val="Normal"/>
    <w:qFormat/>
    <w:rsid w:val="00B052A4"/>
    <w:rPr>
      <w:rFonts w:ascii="HelveticaNeueLT Std" w:hAnsi="HelveticaNeueLT Std"/>
      <w:b/>
      <w:bCs/>
      <w:color w:val="808285"/>
      <w:szCs w:val="20"/>
    </w:rPr>
  </w:style>
  <w:style w:type="paragraph" w:customStyle="1" w:styleId="BodysubheaderH4">
    <w:name w:val="Body sub header (H4)"/>
    <w:basedOn w:val="Normal"/>
    <w:next w:val="Normal"/>
    <w:rsid w:val="0013532D"/>
    <w:pPr>
      <w:keepNext/>
    </w:pPr>
    <w:rPr>
      <w:b/>
      <w:i/>
    </w:rPr>
  </w:style>
  <w:style w:type="paragraph" w:styleId="ListBullet">
    <w:name w:val="List Bullet"/>
    <w:basedOn w:val="Normal"/>
    <w:rsid w:val="001C6AEE"/>
    <w:pPr>
      <w:numPr>
        <w:numId w:val="1"/>
      </w:numPr>
      <w:spacing w:after="80"/>
    </w:pPr>
  </w:style>
  <w:style w:type="paragraph" w:styleId="ListBullet2">
    <w:name w:val="List Bullet 2"/>
    <w:basedOn w:val="Normal"/>
    <w:rsid w:val="001C6AEE"/>
    <w:pPr>
      <w:numPr>
        <w:numId w:val="2"/>
      </w:numPr>
      <w:spacing w:after="80"/>
    </w:pPr>
  </w:style>
  <w:style w:type="paragraph" w:styleId="ListNumber">
    <w:name w:val="List Number"/>
    <w:basedOn w:val="Normal"/>
    <w:rsid w:val="001C6AEE"/>
    <w:pPr>
      <w:numPr>
        <w:numId w:val="3"/>
      </w:numPr>
      <w:spacing w:after="80"/>
    </w:pPr>
  </w:style>
  <w:style w:type="paragraph" w:styleId="ListNumber2">
    <w:name w:val="List Number 2"/>
    <w:basedOn w:val="Normal"/>
    <w:rsid w:val="001C6AEE"/>
    <w:pPr>
      <w:numPr>
        <w:numId w:val="4"/>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9D6C71"/>
    <w:pPr>
      <w:spacing w:after="1440" w:line="550" w:lineRule="exact"/>
    </w:pPr>
    <w:rPr>
      <w:rFonts w:ascii="HelveticaNeueLT Std Med" w:hAnsi="HelveticaNeueLT Std Med"/>
      <w:b/>
      <w:color w:val="4D4D4F"/>
      <w:spacing w:val="-18"/>
      <w:sz w:val="53"/>
    </w:rPr>
  </w:style>
  <w:style w:type="character" w:styleId="PageNumber0">
    <w:name w:val="page number"/>
    <w:basedOn w:val="DefaultParagraphFont"/>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paragraph" w:styleId="TOC1">
    <w:name w:val="toc 1"/>
    <w:basedOn w:val="Normal"/>
    <w:next w:val="Normal"/>
    <w:uiPriority w:val="39"/>
    <w:rsid w:val="00E75415"/>
    <w:pPr>
      <w:tabs>
        <w:tab w:val="right" w:pos="7660"/>
      </w:tabs>
      <w:spacing w:before="280" w:line="320" w:lineRule="exact"/>
      <w:ind w:right="851"/>
    </w:pPr>
    <w:rPr>
      <w:rFonts w:ascii="HelveticaNeueLT Std Med" w:hAnsi="HelveticaNeueLT Std Med"/>
      <w:b/>
      <w:noProof/>
      <w:color w:val="808285"/>
      <w:spacing w:val="-14"/>
      <w:sz w:val="28"/>
    </w:rPr>
  </w:style>
  <w:style w:type="paragraph" w:styleId="TOC2">
    <w:name w:val="toc 2"/>
    <w:basedOn w:val="Normal"/>
    <w:next w:val="Normal"/>
    <w:uiPriority w:val="39"/>
    <w:rsid w:val="00C70E70"/>
    <w:pPr>
      <w:tabs>
        <w:tab w:val="right" w:pos="7660"/>
      </w:tabs>
      <w:spacing w:line="300" w:lineRule="exact"/>
      <w:ind w:left="885" w:hanging="885"/>
    </w:pPr>
    <w:rPr>
      <w:rFonts w:ascii="HelveticaNeueLT Std" w:hAnsi="HelveticaNeueLT Std"/>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rsid w:val="00C70E70"/>
    <w:pPr>
      <w:tabs>
        <w:tab w:val="right" w:pos="7661"/>
      </w:tabs>
      <w:spacing w:line="240" w:lineRule="auto"/>
    </w:pPr>
    <w:rPr>
      <w:noProof/>
      <w:color w:val="808285"/>
      <w:sz w:val="22"/>
      <w:szCs w:val="22"/>
    </w:rPr>
  </w:style>
  <w:style w:type="character" w:styleId="Hyperlink">
    <w:name w:val="Hyperlink"/>
    <w:basedOn w:val="DefaultParagraphFont"/>
    <w:uiPriority w:val="99"/>
    <w:rsid w:val="003A5F5B"/>
    <w:rPr>
      <w:color w:val="0000FF"/>
      <w:u w:val="single"/>
    </w:rPr>
  </w:style>
  <w:style w:type="character" w:styleId="FootnoteReference">
    <w:name w:val="footnote reference"/>
    <w:aliases w:val="Appel note de bas de p,Appel note de bas de p + 11 pt,Italic,Footnote,Appel note de bas de p1,Appel note de bas de p2,Appel note de bas de p3,Footnote Reference/,Style 12,(NECG) Footnote Reference,Style 124,o,fr,Style 3"/>
    <w:basedOn w:val="DefaultParagraphFont"/>
    <w:uiPriority w:val="99"/>
    <w:rsid w:val="00566AB4"/>
    <w:rPr>
      <w:rFonts w:ascii="Arial" w:hAnsi="Arial"/>
      <w:vertAlign w:val="superscript"/>
    </w:rPr>
  </w:style>
  <w:style w:type="paragraph" w:styleId="FootnoteText">
    <w:name w:val="footnote text"/>
    <w:aliases w:val="ACMA Footnote Text,ABA Footnote Text,footnote text,Footnote Text Char1,Footnote Text Char Char,Footnote Text Char1 Char Char,Footnote Text Char Char Char Char,Footnote Text Char1 Char Char Char Char,f,ALTS FOOTNOTE"/>
    <w:basedOn w:val="Normal"/>
    <w:link w:val="FootnoteTextChar"/>
    <w:uiPriority w:val="99"/>
    <w:rsid w:val="00566AB4"/>
    <w:rPr>
      <w:sz w:val="16"/>
      <w:szCs w:val="16"/>
    </w:rPr>
  </w:style>
  <w:style w:type="paragraph" w:customStyle="1" w:styleId="TableBody">
    <w:name w:val="Table Body"/>
    <w:basedOn w:val="Normal"/>
    <w:rsid w:val="00D44E9B"/>
    <w:pPr>
      <w:spacing w:line="240" w:lineRule="auto"/>
    </w:pPr>
  </w:style>
  <w:style w:type="paragraph" w:styleId="TOC9">
    <w:name w:val="toc 9"/>
    <w:basedOn w:val="Normal"/>
    <w:next w:val="Normal"/>
    <w:uiPriority w:val="39"/>
    <w:rsid w:val="00C70E70"/>
    <w:pPr>
      <w:tabs>
        <w:tab w:val="right" w:pos="7660"/>
      </w:tabs>
      <w:spacing w:before="280" w:line="320" w:lineRule="exact"/>
    </w:pPr>
    <w:rPr>
      <w:rFonts w:ascii="HelveticaNeueLT Std Med" w:hAnsi="HelveticaNeueLT Std Med"/>
      <w:b/>
      <w:noProof/>
      <w:color w:val="808285"/>
      <w:sz w:val="28"/>
      <w:szCs w:val="28"/>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 w:type="character" w:customStyle="1" w:styleId="Heading2Char">
    <w:name w:val="Heading 2 Char"/>
    <w:basedOn w:val="DefaultParagraphFont"/>
    <w:link w:val="Heading2"/>
    <w:rsid w:val="00E13F9C"/>
    <w:rPr>
      <w:rFonts w:ascii="Arial" w:hAnsi="Arial" w:cs="Arial"/>
      <w:b/>
      <w:bCs/>
      <w:iCs/>
      <w:sz w:val="28"/>
      <w:szCs w:val="28"/>
    </w:rPr>
  </w:style>
  <w:style w:type="paragraph" w:customStyle="1" w:styleId="ACMABodyText">
    <w:name w:val="ACMA Body Text"/>
    <w:link w:val="ACMABodyTextChar"/>
    <w:rsid w:val="00CC119D"/>
    <w:pPr>
      <w:suppressAutoHyphens/>
      <w:spacing w:before="80" w:after="120" w:line="280" w:lineRule="atLeast"/>
    </w:pPr>
    <w:rPr>
      <w:snapToGrid w:val="0"/>
      <w:sz w:val="24"/>
      <w:lang w:eastAsia="en-US"/>
    </w:rPr>
  </w:style>
  <w:style w:type="paragraph" w:customStyle="1" w:styleId="ACMATableText">
    <w:name w:val="ACMA Table Text"/>
    <w:rsid w:val="00CC119D"/>
    <w:pPr>
      <w:spacing w:before="40" w:after="40"/>
    </w:pPr>
    <w:rPr>
      <w:rFonts w:ascii="Arial" w:hAnsi="Arial"/>
      <w:lang w:eastAsia="en-US"/>
    </w:rPr>
  </w:style>
  <w:style w:type="character" w:customStyle="1" w:styleId="ACMABodyTextChar">
    <w:name w:val="ACMA Body Text Char"/>
    <w:basedOn w:val="DefaultParagraphFont"/>
    <w:link w:val="ACMABodyText"/>
    <w:rsid w:val="00CC119D"/>
    <w:rPr>
      <w:snapToGrid w:val="0"/>
      <w:sz w:val="24"/>
      <w:lang w:eastAsia="en-US"/>
    </w:rPr>
  </w:style>
  <w:style w:type="paragraph" w:styleId="ListParagraph">
    <w:name w:val="List Paragraph"/>
    <w:basedOn w:val="Normal"/>
    <w:link w:val="ListParagraphChar"/>
    <w:uiPriority w:val="34"/>
    <w:qFormat/>
    <w:rsid w:val="00CC119D"/>
    <w:pPr>
      <w:ind w:left="720"/>
      <w:contextualSpacing/>
    </w:pPr>
  </w:style>
  <w:style w:type="character" w:styleId="CommentReference">
    <w:name w:val="annotation reference"/>
    <w:basedOn w:val="DefaultParagraphFont"/>
    <w:uiPriority w:val="99"/>
    <w:semiHidden/>
    <w:rsid w:val="00CC119D"/>
    <w:rPr>
      <w:sz w:val="16"/>
      <w:szCs w:val="16"/>
    </w:rPr>
  </w:style>
  <w:style w:type="paragraph" w:styleId="CommentText">
    <w:name w:val="annotation text"/>
    <w:basedOn w:val="Normal"/>
    <w:link w:val="CommentTextChar"/>
    <w:uiPriority w:val="99"/>
    <w:rsid w:val="00CC119D"/>
    <w:pPr>
      <w:spacing w:line="240" w:lineRule="auto"/>
    </w:pPr>
    <w:rPr>
      <w:szCs w:val="20"/>
    </w:rPr>
  </w:style>
  <w:style w:type="character" w:customStyle="1" w:styleId="CommentTextChar">
    <w:name w:val="Comment Text Char"/>
    <w:basedOn w:val="DefaultParagraphFont"/>
    <w:link w:val="CommentText"/>
    <w:uiPriority w:val="99"/>
    <w:rsid w:val="00CC119D"/>
    <w:rPr>
      <w:rFonts w:ascii="HelveticaNeueLT Std Lt" w:hAnsi="HelveticaNeueLT Std Lt"/>
    </w:rPr>
  </w:style>
  <w:style w:type="paragraph" w:styleId="CommentSubject">
    <w:name w:val="annotation subject"/>
    <w:basedOn w:val="CommentText"/>
    <w:next w:val="CommentText"/>
    <w:link w:val="CommentSubjectChar"/>
    <w:semiHidden/>
    <w:rsid w:val="00CC119D"/>
    <w:rPr>
      <w:b/>
      <w:bCs/>
    </w:rPr>
  </w:style>
  <w:style w:type="character" w:customStyle="1" w:styleId="CommentSubjectChar">
    <w:name w:val="Comment Subject Char"/>
    <w:basedOn w:val="CommentTextChar"/>
    <w:link w:val="CommentSubject"/>
    <w:semiHidden/>
    <w:rsid w:val="00CC119D"/>
    <w:rPr>
      <w:rFonts w:ascii="HelveticaNeueLT Std Lt" w:hAnsi="HelveticaNeueLT Std Lt"/>
      <w:b/>
      <w:bCs/>
    </w:rPr>
  </w:style>
  <w:style w:type="paragraph" w:styleId="Revision">
    <w:name w:val="Revision"/>
    <w:hidden/>
    <w:uiPriority w:val="99"/>
    <w:semiHidden/>
    <w:rsid w:val="00CC119D"/>
    <w:rPr>
      <w:rFonts w:ascii="HelveticaNeueLT Std Lt" w:hAnsi="HelveticaNeueLT Std Lt"/>
      <w:szCs w:val="24"/>
    </w:rPr>
  </w:style>
  <w:style w:type="paragraph" w:customStyle="1" w:styleId="TableTextCentred">
    <w:name w:val="Table Text Centred"/>
    <w:basedOn w:val="Normal"/>
    <w:rsid w:val="00CC119D"/>
    <w:pPr>
      <w:spacing w:before="60" w:after="60" w:line="240" w:lineRule="auto"/>
      <w:jc w:val="center"/>
    </w:pPr>
    <w:rPr>
      <w:sz w:val="18"/>
      <w:szCs w:val="20"/>
    </w:rPr>
  </w:style>
  <w:style w:type="paragraph" w:customStyle="1" w:styleId="TableTextLeft">
    <w:name w:val="Table Text Left"/>
    <w:basedOn w:val="Normal"/>
    <w:link w:val="TableTextLeftChar"/>
    <w:rsid w:val="00CC119D"/>
    <w:pPr>
      <w:spacing w:before="60" w:after="60" w:line="240" w:lineRule="auto"/>
    </w:pPr>
    <w:rPr>
      <w:sz w:val="18"/>
      <w:szCs w:val="20"/>
    </w:rPr>
  </w:style>
  <w:style w:type="character" w:customStyle="1" w:styleId="TableTextLeftChar">
    <w:name w:val="Table Text Left Char"/>
    <w:basedOn w:val="DefaultParagraphFont"/>
    <w:link w:val="TableTextLeft"/>
    <w:rsid w:val="00CC119D"/>
    <w:rPr>
      <w:rFonts w:ascii="Arial" w:hAnsi="Arial"/>
      <w:sz w:val="18"/>
    </w:rPr>
  </w:style>
  <w:style w:type="character" w:customStyle="1" w:styleId="Heading3Char">
    <w:name w:val="Heading 3 Char"/>
    <w:basedOn w:val="DefaultParagraphFont"/>
    <w:link w:val="Heading3"/>
    <w:rsid w:val="00E13F9C"/>
    <w:rPr>
      <w:rFonts w:ascii="Arial" w:hAnsi="Arial" w:cs="Arial"/>
      <w:b/>
      <w:bCs/>
      <w:szCs w:val="26"/>
    </w:rPr>
  </w:style>
  <w:style w:type="paragraph" w:customStyle="1" w:styleId="Style1">
    <w:name w:val="Style1"/>
    <w:basedOn w:val="Normal"/>
    <w:link w:val="Style1Char"/>
    <w:qFormat/>
    <w:rsid w:val="00CC119D"/>
    <w:pPr>
      <w:spacing w:line="240" w:lineRule="auto"/>
    </w:pPr>
    <w:rPr>
      <w:rFonts w:ascii="Times New Roman" w:eastAsia="Calibri" w:hAnsi="Times New Roman"/>
      <w:sz w:val="24"/>
    </w:rPr>
  </w:style>
  <w:style w:type="character" w:customStyle="1" w:styleId="Style1Char">
    <w:name w:val="Style1 Char"/>
    <w:basedOn w:val="DefaultParagraphFont"/>
    <w:link w:val="Style1"/>
    <w:rsid w:val="00CC119D"/>
    <w:rPr>
      <w:rFonts w:eastAsia="Calibri"/>
      <w:sz w:val="24"/>
      <w:szCs w:val="24"/>
    </w:rPr>
  </w:style>
  <w:style w:type="character" w:customStyle="1" w:styleId="FootnoteTextChar">
    <w:name w:val="Footnote Text Char"/>
    <w:aliases w:val="ACMA Footnote Text Char,ABA Footnote Text Char,footnote text Char,Footnote Text Char1 Char,Footnote Text Char Char Char,Footnote Text Char1 Char Char Char,Footnote Text Char Char Char Char Char,f Char,ALTS FOOTNOTE Char"/>
    <w:basedOn w:val="DefaultParagraphFont"/>
    <w:link w:val="FootnoteText"/>
    <w:uiPriority w:val="99"/>
    <w:rsid w:val="00CC119D"/>
    <w:rPr>
      <w:rFonts w:ascii="HelveticaNeueLT Std Lt" w:hAnsi="HelveticaNeueLT Std Lt"/>
      <w:sz w:val="16"/>
      <w:szCs w:val="16"/>
    </w:rPr>
  </w:style>
  <w:style w:type="paragraph" w:styleId="NormalWeb">
    <w:name w:val="Normal (Web)"/>
    <w:basedOn w:val="Normal"/>
    <w:uiPriority w:val="99"/>
    <w:unhideWhenUsed/>
    <w:rsid w:val="00CC119D"/>
    <w:pPr>
      <w:spacing w:before="100" w:beforeAutospacing="1" w:after="100" w:afterAutospacing="1" w:line="240" w:lineRule="auto"/>
    </w:pPr>
    <w:rPr>
      <w:rFonts w:ascii="Times New Roman" w:hAnsi="Times New Roman"/>
      <w:sz w:val="24"/>
    </w:rPr>
  </w:style>
  <w:style w:type="paragraph" w:styleId="TOC4">
    <w:name w:val="toc 4"/>
    <w:basedOn w:val="Normal"/>
    <w:next w:val="Normal"/>
    <w:autoRedefine/>
    <w:uiPriority w:val="39"/>
    <w:unhideWhenUsed/>
    <w:rsid w:val="00CC119D"/>
    <w:pPr>
      <w:spacing w:after="100" w:line="276" w:lineRule="auto"/>
      <w:ind w:left="660"/>
    </w:pPr>
    <w:rPr>
      <w:rFonts w:ascii="Calibri" w:hAnsi="Calibri"/>
      <w:sz w:val="22"/>
      <w:szCs w:val="22"/>
    </w:rPr>
  </w:style>
  <w:style w:type="paragraph" w:styleId="TOC5">
    <w:name w:val="toc 5"/>
    <w:basedOn w:val="Normal"/>
    <w:next w:val="Normal"/>
    <w:autoRedefine/>
    <w:uiPriority w:val="39"/>
    <w:unhideWhenUsed/>
    <w:rsid w:val="00CC119D"/>
    <w:pPr>
      <w:spacing w:after="100" w:line="276" w:lineRule="auto"/>
      <w:ind w:left="880"/>
    </w:pPr>
    <w:rPr>
      <w:rFonts w:ascii="Calibri" w:hAnsi="Calibri"/>
      <w:sz w:val="22"/>
      <w:szCs w:val="22"/>
    </w:rPr>
  </w:style>
  <w:style w:type="paragraph" w:styleId="TOC6">
    <w:name w:val="toc 6"/>
    <w:basedOn w:val="Normal"/>
    <w:next w:val="Normal"/>
    <w:autoRedefine/>
    <w:uiPriority w:val="39"/>
    <w:unhideWhenUsed/>
    <w:rsid w:val="00CC119D"/>
    <w:pPr>
      <w:spacing w:after="100" w:line="276" w:lineRule="auto"/>
      <w:ind w:left="1100"/>
    </w:pPr>
    <w:rPr>
      <w:rFonts w:ascii="Calibri" w:hAnsi="Calibri"/>
      <w:sz w:val="22"/>
      <w:szCs w:val="22"/>
    </w:rPr>
  </w:style>
  <w:style w:type="paragraph" w:styleId="TOC7">
    <w:name w:val="toc 7"/>
    <w:basedOn w:val="Normal"/>
    <w:next w:val="Normal"/>
    <w:autoRedefine/>
    <w:uiPriority w:val="39"/>
    <w:unhideWhenUsed/>
    <w:rsid w:val="00CC119D"/>
    <w:pPr>
      <w:spacing w:after="100" w:line="276" w:lineRule="auto"/>
      <w:ind w:left="1320"/>
    </w:pPr>
    <w:rPr>
      <w:rFonts w:ascii="Calibri" w:hAnsi="Calibri"/>
      <w:sz w:val="22"/>
      <w:szCs w:val="22"/>
    </w:rPr>
  </w:style>
  <w:style w:type="paragraph" w:styleId="TOC8">
    <w:name w:val="toc 8"/>
    <w:basedOn w:val="Normal"/>
    <w:next w:val="Normal"/>
    <w:autoRedefine/>
    <w:uiPriority w:val="39"/>
    <w:unhideWhenUsed/>
    <w:rsid w:val="00CC119D"/>
    <w:pPr>
      <w:spacing w:after="100" w:line="276" w:lineRule="auto"/>
      <w:ind w:left="1540"/>
    </w:pPr>
    <w:rPr>
      <w:rFonts w:ascii="Calibri" w:hAnsi="Calibri"/>
      <w:sz w:val="22"/>
      <w:szCs w:val="22"/>
    </w:rPr>
  </w:style>
  <w:style w:type="character" w:customStyle="1" w:styleId="Heading1Char">
    <w:name w:val="Heading 1 Char"/>
    <w:basedOn w:val="DefaultParagraphFont"/>
    <w:link w:val="Heading1"/>
    <w:rsid w:val="00CC119D"/>
    <w:rPr>
      <w:rFonts w:ascii="HelveticaNeueLT Std Lt" w:hAnsi="HelveticaNeueLT Std Lt" w:cs="Arial"/>
      <w:bCs/>
      <w:color w:val="4D4D4F"/>
      <w:kern w:val="32"/>
      <w:sz w:val="53"/>
      <w:szCs w:val="32"/>
    </w:rPr>
  </w:style>
  <w:style w:type="character" w:styleId="PlaceholderText">
    <w:name w:val="Placeholder Text"/>
    <w:basedOn w:val="DefaultParagraphFont"/>
    <w:uiPriority w:val="99"/>
    <w:semiHidden/>
    <w:rsid w:val="00CC119D"/>
    <w:rPr>
      <w:color w:val="808080"/>
    </w:rPr>
  </w:style>
  <w:style w:type="paragraph" w:customStyle="1" w:styleId="RecipientLetter">
    <w:name w:val="Recipient Letter"/>
    <w:basedOn w:val="Normal"/>
    <w:rsid w:val="00CC119D"/>
    <w:pPr>
      <w:spacing w:line="260" w:lineRule="atLeast"/>
    </w:pPr>
    <w:rPr>
      <w:color w:val="4D4D4F"/>
      <w:sz w:val="19"/>
    </w:rPr>
  </w:style>
  <w:style w:type="paragraph" w:customStyle="1" w:styleId="paragraph">
    <w:name w:val="paragraph"/>
    <w:aliases w:val="a"/>
    <w:rsid w:val="00CC119D"/>
    <w:pPr>
      <w:tabs>
        <w:tab w:val="right" w:pos="1531"/>
      </w:tabs>
      <w:spacing w:before="40"/>
      <w:ind w:left="1644" w:hanging="1644"/>
    </w:pPr>
    <w:rPr>
      <w:sz w:val="22"/>
      <w:szCs w:val="24"/>
    </w:rPr>
  </w:style>
  <w:style w:type="paragraph" w:customStyle="1" w:styleId="ACMANumberedList">
    <w:name w:val="ACMA Numbered List"/>
    <w:rsid w:val="00CC119D"/>
    <w:pPr>
      <w:numPr>
        <w:numId w:val="6"/>
      </w:numPr>
      <w:spacing w:before="20" w:after="20"/>
    </w:pPr>
    <w:rPr>
      <w:sz w:val="24"/>
      <w:lang w:eastAsia="en-US"/>
    </w:rPr>
  </w:style>
  <w:style w:type="paragraph" w:styleId="PlainText">
    <w:name w:val="Plain Text"/>
    <w:basedOn w:val="Normal"/>
    <w:link w:val="PlainTextChar"/>
    <w:uiPriority w:val="99"/>
    <w:unhideWhenUsed/>
    <w:rsid w:val="00CC119D"/>
    <w:pPr>
      <w:spacing w:line="240" w:lineRule="auto"/>
    </w:pPr>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CC119D"/>
    <w:rPr>
      <w:rFonts w:ascii="Consolas" w:eastAsiaTheme="minorHAnsi" w:hAnsi="Consolas" w:cs="Consolas"/>
      <w:sz w:val="21"/>
      <w:szCs w:val="21"/>
    </w:rPr>
  </w:style>
  <w:style w:type="table" w:styleId="TableProfessional">
    <w:name w:val="Table Professional"/>
    <w:basedOn w:val="TableNormal"/>
    <w:rsid w:val="00CC119D"/>
    <w:pPr>
      <w:spacing w:line="240" w:lineRule="atLeast"/>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styleId="FollowedHyperlink">
    <w:name w:val="FollowedHyperlink"/>
    <w:basedOn w:val="DefaultParagraphFont"/>
    <w:semiHidden/>
    <w:rsid w:val="00CC119D"/>
    <w:rPr>
      <w:color w:val="800080" w:themeColor="followedHyperlink"/>
      <w:u w:val="single"/>
    </w:rPr>
  </w:style>
  <w:style w:type="paragraph" w:customStyle="1" w:styleId="Pa21">
    <w:name w:val="Pa21"/>
    <w:basedOn w:val="Normal"/>
    <w:uiPriority w:val="99"/>
    <w:rsid w:val="00CC119D"/>
    <w:pPr>
      <w:autoSpaceDE w:val="0"/>
      <w:autoSpaceDN w:val="0"/>
      <w:spacing w:line="201" w:lineRule="atLeast"/>
    </w:pPr>
    <w:rPr>
      <w:rFonts w:ascii="Geogrotesque Lg" w:eastAsiaTheme="minorHAnsi" w:hAnsi="Geogrotesque Lg"/>
      <w:sz w:val="24"/>
    </w:rPr>
  </w:style>
  <w:style w:type="paragraph" w:customStyle="1" w:styleId="Pa3">
    <w:name w:val="Pa3"/>
    <w:basedOn w:val="Normal"/>
    <w:uiPriority w:val="99"/>
    <w:rsid w:val="00CC119D"/>
    <w:pPr>
      <w:autoSpaceDE w:val="0"/>
      <w:autoSpaceDN w:val="0"/>
      <w:spacing w:line="181" w:lineRule="atLeast"/>
    </w:pPr>
    <w:rPr>
      <w:rFonts w:ascii="Geogrotesque Lg" w:eastAsiaTheme="minorHAnsi" w:hAnsi="Geogrotesque Lg"/>
      <w:sz w:val="24"/>
    </w:rPr>
  </w:style>
  <w:style w:type="paragraph" w:customStyle="1" w:styleId="Default">
    <w:name w:val="Default"/>
    <w:basedOn w:val="Normal"/>
    <w:uiPriority w:val="99"/>
    <w:rsid w:val="00CC119D"/>
    <w:pPr>
      <w:autoSpaceDE w:val="0"/>
      <w:autoSpaceDN w:val="0"/>
      <w:spacing w:line="240" w:lineRule="auto"/>
    </w:pPr>
    <w:rPr>
      <w:rFonts w:ascii="Times New Roman" w:eastAsiaTheme="minorHAnsi" w:hAnsi="Times New Roman"/>
      <w:color w:val="000000"/>
      <w:sz w:val="24"/>
    </w:rPr>
  </w:style>
  <w:style w:type="paragraph" w:styleId="BodyText">
    <w:name w:val="Body Text"/>
    <w:basedOn w:val="Normal"/>
    <w:link w:val="BodyTextChar"/>
    <w:unhideWhenUsed/>
    <w:rsid w:val="00CC119D"/>
    <w:pPr>
      <w:spacing w:before="80" w:after="120" w:line="280" w:lineRule="atLeast"/>
    </w:pPr>
    <w:rPr>
      <w:rFonts w:ascii="Times New Roman" w:hAnsi="Times New Roman"/>
      <w:sz w:val="24"/>
      <w:lang w:eastAsia="en-US"/>
    </w:rPr>
  </w:style>
  <w:style w:type="character" w:customStyle="1" w:styleId="BodyTextChar">
    <w:name w:val="Body Text Char"/>
    <w:basedOn w:val="DefaultParagraphFont"/>
    <w:link w:val="BodyText"/>
    <w:rsid w:val="00CC119D"/>
    <w:rPr>
      <w:sz w:val="24"/>
      <w:szCs w:val="24"/>
      <w:lang w:eastAsia="en-US"/>
    </w:rPr>
  </w:style>
  <w:style w:type="paragraph" w:customStyle="1" w:styleId="ACMABulletLevel1">
    <w:name w:val="ACMA Bullet Level 1"/>
    <w:rsid w:val="00CC119D"/>
    <w:pPr>
      <w:numPr>
        <w:numId w:val="7"/>
      </w:numPr>
    </w:pPr>
    <w:rPr>
      <w:sz w:val="24"/>
      <w:lang w:eastAsia="en-US"/>
    </w:rPr>
  </w:style>
  <w:style w:type="paragraph" w:customStyle="1" w:styleId="ACMAHeading2">
    <w:name w:val="ACMA Heading 2"/>
    <w:next w:val="ACMABodyText"/>
    <w:rsid w:val="00CC119D"/>
    <w:pPr>
      <w:keepNext/>
      <w:suppressAutoHyphens/>
      <w:spacing w:before="240"/>
      <w:outlineLvl w:val="2"/>
    </w:pPr>
    <w:rPr>
      <w:rFonts w:ascii="Arial" w:hAnsi="Arial"/>
      <w:b/>
      <w:caps/>
      <w:sz w:val="26"/>
      <w:szCs w:val="26"/>
      <w:lang w:val="en-US" w:eastAsia="en-US"/>
    </w:rPr>
  </w:style>
  <w:style w:type="table" w:customStyle="1" w:styleId="LightList-Accent11">
    <w:name w:val="Light List - Accent 11"/>
    <w:basedOn w:val="TableNormal"/>
    <w:uiPriority w:val="61"/>
    <w:rsid w:val="00CC119D"/>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styleId="Strong">
    <w:name w:val="Strong"/>
    <w:basedOn w:val="DefaultParagraphFont"/>
    <w:uiPriority w:val="22"/>
    <w:qFormat/>
    <w:rsid w:val="00045E95"/>
    <w:rPr>
      <w:b/>
      <w:bCs/>
    </w:rPr>
  </w:style>
  <w:style w:type="paragraph" w:customStyle="1" w:styleId="ms-rtethemefontface-2">
    <w:name w:val="ms-rtethemefontface-2"/>
    <w:basedOn w:val="Normal"/>
    <w:rsid w:val="00045E95"/>
    <w:pPr>
      <w:spacing w:after="240" w:line="360" w:lineRule="atLeast"/>
    </w:pPr>
    <w:rPr>
      <w:rFonts w:ascii="Times New Roman" w:hAnsi="Times New Roman"/>
      <w:sz w:val="24"/>
    </w:rPr>
  </w:style>
  <w:style w:type="paragraph" w:customStyle="1" w:styleId="bodySUBSUBheaderh5">
    <w:name w:val="body SUB SUB header (h5)"/>
    <w:basedOn w:val="BodysubheaderH4"/>
    <w:qFormat/>
    <w:rsid w:val="00866AB6"/>
    <w:rPr>
      <w:b w:val="0"/>
    </w:rPr>
  </w:style>
  <w:style w:type="paragraph" w:customStyle="1" w:styleId="Bodysubheader">
    <w:name w:val="Body sub header"/>
    <w:basedOn w:val="Normal"/>
    <w:next w:val="Normal"/>
    <w:rsid w:val="00FE2A0C"/>
    <w:rPr>
      <w:rFonts w:ascii="HelveticaNeueLT Std" w:hAnsi="HelveticaNeueLT Std"/>
      <w:b/>
      <w:i/>
    </w:rPr>
  </w:style>
  <w:style w:type="character" w:styleId="Emphasis">
    <w:name w:val="Emphasis"/>
    <w:basedOn w:val="DefaultParagraphFont"/>
    <w:uiPriority w:val="20"/>
    <w:qFormat/>
    <w:rsid w:val="003261DD"/>
    <w:rPr>
      <w:i/>
      <w:iCs/>
    </w:rPr>
  </w:style>
  <w:style w:type="paragraph" w:styleId="NoSpacing">
    <w:name w:val="No Spacing"/>
    <w:uiPriority w:val="1"/>
    <w:qFormat/>
    <w:rsid w:val="00686DA1"/>
    <w:rPr>
      <w:rFonts w:asciiTheme="minorHAnsi" w:eastAsiaTheme="minorHAnsi" w:hAnsiTheme="minorHAnsi" w:cstheme="minorBidi"/>
      <w:sz w:val="22"/>
      <w:szCs w:val="22"/>
      <w:lang w:eastAsia="en-US"/>
    </w:rPr>
  </w:style>
  <w:style w:type="character" w:customStyle="1" w:styleId="ListParagraphChar">
    <w:name w:val="List Paragraph Char"/>
    <w:basedOn w:val="DefaultParagraphFont"/>
    <w:link w:val="ListParagraph"/>
    <w:uiPriority w:val="34"/>
    <w:locked/>
    <w:rsid w:val="00B3523E"/>
    <w:rPr>
      <w:rFonts w:ascii="Arial" w:hAnsi="Arial"/>
      <w:szCs w:val="24"/>
    </w:rPr>
  </w:style>
  <w:style w:type="character" w:customStyle="1" w:styleId="st">
    <w:name w:val="st"/>
    <w:basedOn w:val="DefaultParagraphFont"/>
    <w:rsid w:val="008D27BF"/>
  </w:style>
  <w:style w:type="paragraph" w:customStyle="1" w:styleId="ACMAHeading4">
    <w:name w:val="ACMA Heading 4"/>
    <w:next w:val="Normal"/>
    <w:rsid w:val="005A1C52"/>
    <w:pPr>
      <w:keepNext/>
      <w:suppressAutoHyphens/>
      <w:spacing w:before="80"/>
      <w:outlineLvl w:val="4"/>
    </w:pPr>
    <w:rPr>
      <w:rFonts w:ascii="Arial" w:hAnsi="Arial" w:cs="Arial"/>
      <w:b/>
      <w:i/>
      <w:szCs w:val="24"/>
      <w:lang w:eastAsia="en-US"/>
    </w:rPr>
  </w:style>
  <w:style w:type="paragraph" w:customStyle="1" w:styleId="ABATableText">
    <w:name w:val="ABA Table Text"/>
    <w:autoRedefine/>
    <w:rsid w:val="00AF0E3A"/>
    <w:pPr>
      <w:spacing w:before="40" w:after="40" w:line="280" w:lineRule="atLeast"/>
      <w:jc w:val="center"/>
    </w:pPr>
    <w:rPr>
      <w:rFonts w:ascii="Arial" w:hAnsi="Arial"/>
      <w:sz w:val="18"/>
      <w:lang w:eastAsia="en-US"/>
    </w:rPr>
  </w:style>
  <w:style w:type="paragraph" w:customStyle="1" w:styleId="Imagecaption">
    <w:name w:val="Image caption"/>
    <w:basedOn w:val="PlainText"/>
    <w:qFormat/>
    <w:rsid w:val="00742286"/>
    <w:pPr>
      <w:spacing w:before="120"/>
    </w:pPr>
    <w:rPr>
      <w:rFonts w:ascii="Arial" w:hAnsi="Arial" w:cs="Arial"/>
      <w:i/>
      <w:iCs/>
      <w:sz w:val="16"/>
      <w:szCs w:val="16"/>
    </w:rPr>
  </w:style>
  <w:style w:type="paragraph" w:customStyle="1" w:styleId="ACMTableFigureFootnoteACMTables">
    <w:name w:val="ACM_Table/Figure_Footnote (ACM_Tables)"/>
    <w:basedOn w:val="Normal"/>
    <w:uiPriority w:val="99"/>
    <w:rsid w:val="00B708B0"/>
    <w:pPr>
      <w:tabs>
        <w:tab w:val="left" w:pos="283"/>
        <w:tab w:val="left" w:pos="425"/>
      </w:tabs>
      <w:suppressAutoHyphens/>
      <w:autoSpaceDE w:val="0"/>
      <w:autoSpaceDN w:val="0"/>
      <w:adjustRightInd w:val="0"/>
      <w:spacing w:line="288" w:lineRule="auto"/>
      <w:textAlignment w:val="center"/>
    </w:pPr>
    <w:rPr>
      <w:rFonts w:ascii="HelveticaNeueLT Std Lt" w:hAnsi="HelveticaNeueLT Std Lt" w:cs="HelveticaNeueLT Std Lt"/>
      <w:i/>
      <w:iCs/>
      <w:color w:val="656565"/>
      <w:sz w:val="14"/>
      <w:szCs w:val="14"/>
      <w:lang w:val="en-GB"/>
    </w:rPr>
  </w:style>
  <w:style w:type="paragraph" w:customStyle="1" w:styleId="ACMBodyText">
    <w:name w:val="ACM_BodyText"/>
    <w:basedOn w:val="Normal"/>
    <w:uiPriority w:val="99"/>
    <w:rsid w:val="008C2249"/>
    <w:pPr>
      <w:tabs>
        <w:tab w:val="left" w:pos="142"/>
        <w:tab w:val="left" w:pos="425"/>
      </w:tabs>
      <w:suppressAutoHyphens/>
      <w:autoSpaceDE w:val="0"/>
      <w:autoSpaceDN w:val="0"/>
      <w:adjustRightInd w:val="0"/>
      <w:spacing w:after="142" w:line="204" w:lineRule="atLeast"/>
      <w:textAlignment w:val="center"/>
    </w:pPr>
    <w:rPr>
      <w:rFonts w:ascii="HelveticaNeueLT Std Lt" w:hAnsi="HelveticaNeueLT Std Lt" w:cs="HelveticaNeueLT Std Lt"/>
      <w:color w:val="262626"/>
      <w:sz w:val="17"/>
      <w:szCs w:val="17"/>
      <w:lang w:val="en-GB"/>
    </w:rPr>
  </w:style>
  <w:style w:type="character" w:customStyle="1" w:styleId="ACMHighlightMissingText">
    <w:name w:val="ACM_HighlightMissingText"/>
    <w:uiPriority w:val="99"/>
    <w:rsid w:val="008C2249"/>
    <w:rPr>
      <w:color w:val="FF00FF"/>
    </w:rPr>
  </w:style>
  <w:style w:type="paragraph" w:customStyle="1" w:styleId="ACMBodyTextHighlightsACMHighlights">
    <w:name w:val="ACM_BodyText_Highlights (ACM_Highlights)"/>
    <w:basedOn w:val="Normal"/>
    <w:uiPriority w:val="99"/>
    <w:rsid w:val="003F753F"/>
    <w:pPr>
      <w:tabs>
        <w:tab w:val="left" w:pos="142"/>
        <w:tab w:val="left" w:pos="425"/>
      </w:tabs>
      <w:suppressAutoHyphens/>
      <w:autoSpaceDE w:val="0"/>
      <w:autoSpaceDN w:val="0"/>
      <w:adjustRightInd w:val="0"/>
      <w:spacing w:after="142"/>
      <w:textAlignment w:val="center"/>
    </w:pPr>
    <w:rPr>
      <w:rFonts w:ascii="HelveticaNeueLT Std Lt" w:hAnsi="HelveticaNeueLT Std Lt" w:cs="HelveticaNeueLT Std Lt"/>
      <w:color w:val="4C4C4E"/>
      <w:szCs w:val="20"/>
      <w:lang w:val="en-GB"/>
    </w:rPr>
  </w:style>
  <w:style w:type="paragraph" w:customStyle="1" w:styleId="ACMTableBodyACMTables">
    <w:name w:val="ACM_TableBody (ACM_Tables)"/>
    <w:basedOn w:val="Normal"/>
    <w:uiPriority w:val="99"/>
    <w:rsid w:val="00791856"/>
    <w:pPr>
      <w:tabs>
        <w:tab w:val="left" w:pos="142"/>
        <w:tab w:val="left" w:pos="425"/>
      </w:tabs>
      <w:suppressAutoHyphens/>
      <w:autoSpaceDE w:val="0"/>
      <w:autoSpaceDN w:val="0"/>
      <w:adjustRightInd w:val="0"/>
      <w:spacing w:after="142" w:line="288" w:lineRule="auto"/>
      <w:textAlignment w:val="center"/>
    </w:pPr>
    <w:rPr>
      <w:rFonts w:ascii="HelveticaNeueLT Std Lt" w:hAnsi="HelveticaNeueLT Std Lt" w:cs="HelveticaNeueLT Std Lt"/>
      <w:color w:val="4C4C4E"/>
      <w:sz w:val="14"/>
      <w:szCs w:val="1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263954">
      <w:bodyDiv w:val="1"/>
      <w:marLeft w:val="0"/>
      <w:marRight w:val="0"/>
      <w:marTop w:val="0"/>
      <w:marBottom w:val="0"/>
      <w:divBdr>
        <w:top w:val="none" w:sz="0" w:space="0" w:color="auto"/>
        <w:left w:val="none" w:sz="0" w:space="0" w:color="auto"/>
        <w:bottom w:val="none" w:sz="0" w:space="0" w:color="auto"/>
        <w:right w:val="none" w:sz="0" w:space="0" w:color="auto"/>
      </w:divBdr>
    </w:div>
    <w:div w:id="62870469">
      <w:bodyDiv w:val="1"/>
      <w:marLeft w:val="0"/>
      <w:marRight w:val="0"/>
      <w:marTop w:val="0"/>
      <w:marBottom w:val="0"/>
      <w:divBdr>
        <w:top w:val="none" w:sz="0" w:space="0" w:color="auto"/>
        <w:left w:val="none" w:sz="0" w:space="0" w:color="auto"/>
        <w:bottom w:val="none" w:sz="0" w:space="0" w:color="auto"/>
        <w:right w:val="none" w:sz="0" w:space="0" w:color="auto"/>
      </w:divBdr>
    </w:div>
    <w:div w:id="109251320">
      <w:bodyDiv w:val="1"/>
      <w:marLeft w:val="0"/>
      <w:marRight w:val="0"/>
      <w:marTop w:val="0"/>
      <w:marBottom w:val="0"/>
      <w:divBdr>
        <w:top w:val="none" w:sz="0" w:space="0" w:color="auto"/>
        <w:left w:val="none" w:sz="0" w:space="0" w:color="auto"/>
        <w:bottom w:val="none" w:sz="0" w:space="0" w:color="auto"/>
        <w:right w:val="none" w:sz="0" w:space="0" w:color="auto"/>
      </w:divBdr>
    </w:div>
    <w:div w:id="158620390">
      <w:bodyDiv w:val="1"/>
      <w:marLeft w:val="0"/>
      <w:marRight w:val="0"/>
      <w:marTop w:val="0"/>
      <w:marBottom w:val="0"/>
      <w:divBdr>
        <w:top w:val="none" w:sz="0" w:space="0" w:color="auto"/>
        <w:left w:val="none" w:sz="0" w:space="0" w:color="auto"/>
        <w:bottom w:val="none" w:sz="0" w:space="0" w:color="auto"/>
        <w:right w:val="none" w:sz="0" w:space="0" w:color="auto"/>
      </w:divBdr>
    </w:div>
    <w:div w:id="188688948">
      <w:bodyDiv w:val="1"/>
      <w:marLeft w:val="0"/>
      <w:marRight w:val="0"/>
      <w:marTop w:val="0"/>
      <w:marBottom w:val="0"/>
      <w:divBdr>
        <w:top w:val="none" w:sz="0" w:space="0" w:color="auto"/>
        <w:left w:val="none" w:sz="0" w:space="0" w:color="auto"/>
        <w:bottom w:val="none" w:sz="0" w:space="0" w:color="auto"/>
        <w:right w:val="none" w:sz="0" w:space="0" w:color="auto"/>
      </w:divBdr>
    </w:div>
    <w:div w:id="208030548">
      <w:bodyDiv w:val="1"/>
      <w:marLeft w:val="0"/>
      <w:marRight w:val="0"/>
      <w:marTop w:val="0"/>
      <w:marBottom w:val="0"/>
      <w:divBdr>
        <w:top w:val="none" w:sz="0" w:space="0" w:color="auto"/>
        <w:left w:val="none" w:sz="0" w:space="0" w:color="auto"/>
        <w:bottom w:val="none" w:sz="0" w:space="0" w:color="auto"/>
        <w:right w:val="none" w:sz="0" w:space="0" w:color="auto"/>
      </w:divBdr>
    </w:div>
    <w:div w:id="244262833">
      <w:bodyDiv w:val="1"/>
      <w:marLeft w:val="0"/>
      <w:marRight w:val="0"/>
      <w:marTop w:val="0"/>
      <w:marBottom w:val="0"/>
      <w:divBdr>
        <w:top w:val="none" w:sz="0" w:space="0" w:color="auto"/>
        <w:left w:val="none" w:sz="0" w:space="0" w:color="auto"/>
        <w:bottom w:val="none" w:sz="0" w:space="0" w:color="auto"/>
        <w:right w:val="none" w:sz="0" w:space="0" w:color="auto"/>
      </w:divBdr>
    </w:div>
    <w:div w:id="251399338">
      <w:bodyDiv w:val="1"/>
      <w:marLeft w:val="0"/>
      <w:marRight w:val="0"/>
      <w:marTop w:val="0"/>
      <w:marBottom w:val="0"/>
      <w:divBdr>
        <w:top w:val="none" w:sz="0" w:space="0" w:color="auto"/>
        <w:left w:val="none" w:sz="0" w:space="0" w:color="auto"/>
        <w:bottom w:val="none" w:sz="0" w:space="0" w:color="auto"/>
        <w:right w:val="none" w:sz="0" w:space="0" w:color="auto"/>
      </w:divBdr>
    </w:div>
    <w:div w:id="344327611">
      <w:bodyDiv w:val="1"/>
      <w:marLeft w:val="0"/>
      <w:marRight w:val="0"/>
      <w:marTop w:val="0"/>
      <w:marBottom w:val="0"/>
      <w:divBdr>
        <w:top w:val="none" w:sz="0" w:space="0" w:color="auto"/>
        <w:left w:val="none" w:sz="0" w:space="0" w:color="auto"/>
        <w:bottom w:val="none" w:sz="0" w:space="0" w:color="auto"/>
        <w:right w:val="none" w:sz="0" w:space="0" w:color="auto"/>
      </w:divBdr>
    </w:div>
    <w:div w:id="395125918">
      <w:bodyDiv w:val="1"/>
      <w:marLeft w:val="0"/>
      <w:marRight w:val="0"/>
      <w:marTop w:val="0"/>
      <w:marBottom w:val="0"/>
      <w:divBdr>
        <w:top w:val="none" w:sz="0" w:space="0" w:color="auto"/>
        <w:left w:val="none" w:sz="0" w:space="0" w:color="auto"/>
        <w:bottom w:val="none" w:sz="0" w:space="0" w:color="auto"/>
        <w:right w:val="none" w:sz="0" w:space="0" w:color="auto"/>
      </w:divBdr>
    </w:div>
    <w:div w:id="403799172">
      <w:bodyDiv w:val="1"/>
      <w:marLeft w:val="0"/>
      <w:marRight w:val="0"/>
      <w:marTop w:val="0"/>
      <w:marBottom w:val="0"/>
      <w:divBdr>
        <w:top w:val="none" w:sz="0" w:space="0" w:color="auto"/>
        <w:left w:val="none" w:sz="0" w:space="0" w:color="auto"/>
        <w:bottom w:val="none" w:sz="0" w:space="0" w:color="auto"/>
        <w:right w:val="none" w:sz="0" w:space="0" w:color="auto"/>
      </w:divBdr>
    </w:div>
    <w:div w:id="405035273">
      <w:bodyDiv w:val="1"/>
      <w:marLeft w:val="0"/>
      <w:marRight w:val="0"/>
      <w:marTop w:val="0"/>
      <w:marBottom w:val="0"/>
      <w:divBdr>
        <w:top w:val="none" w:sz="0" w:space="0" w:color="auto"/>
        <w:left w:val="none" w:sz="0" w:space="0" w:color="auto"/>
        <w:bottom w:val="none" w:sz="0" w:space="0" w:color="auto"/>
        <w:right w:val="none" w:sz="0" w:space="0" w:color="auto"/>
      </w:divBdr>
    </w:div>
    <w:div w:id="412942852">
      <w:bodyDiv w:val="1"/>
      <w:marLeft w:val="0"/>
      <w:marRight w:val="0"/>
      <w:marTop w:val="0"/>
      <w:marBottom w:val="0"/>
      <w:divBdr>
        <w:top w:val="none" w:sz="0" w:space="0" w:color="auto"/>
        <w:left w:val="none" w:sz="0" w:space="0" w:color="auto"/>
        <w:bottom w:val="none" w:sz="0" w:space="0" w:color="auto"/>
        <w:right w:val="none" w:sz="0" w:space="0" w:color="auto"/>
      </w:divBdr>
    </w:div>
    <w:div w:id="546451857">
      <w:bodyDiv w:val="1"/>
      <w:marLeft w:val="0"/>
      <w:marRight w:val="0"/>
      <w:marTop w:val="0"/>
      <w:marBottom w:val="0"/>
      <w:divBdr>
        <w:top w:val="none" w:sz="0" w:space="0" w:color="auto"/>
        <w:left w:val="none" w:sz="0" w:space="0" w:color="auto"/>
        <w:bottom w:val="none" w:sz="0" w:space="0" w:color="auto"/>
        <w:right w:val="none" w:sz="0" w:space="0" w:color="auto"/>
      </w:divBdr>
    </w:div>
    <w:div w:id="640692655">
      <w:bodyDiv w:val="1"/>
      <w:marLeft w:val="0"/>
      <w:marRight w:val="0"/>
      <w:marTop w:val="0"/>
      <w:marBottom w:val="0"/>
      <w:divBdr>
        <w:top w:val="none" w:sz="0" w:space="0" w:color="auto"/>
        <w:left w:val="none" w:sz="0" w:space="0" w:color="auto"/>
        <w:bottom w:val="none" w:sz="0" w:space="0" w:color="auto"/>
        <w:right w:val="none" w:sz="0" w:space="0" w:color="auto"/>
      </w:divBdr>
    </w:div>
    <w:div w:id="750739144">
      <w:bodyDiv w:val="1"/>
      <w:marLeft w:val="0"/>
      <w:marRight w:val="0"/>
      <w:marTop w:val="0"/>
      <w:marBottom w:val="0"/>
      <w:divBdr>
        <w:top w:val="none" w:sz="0" w:space="0" w:color="auto"/>
        <w:left w:val="none" w:sz="0" w:space="0" w:color="auto"/>
        <w:bottom w:val="none" w:sz="0" w:space="0" w:color="auto"/>
        <w:right w:val="none" w:sz="0" w:space="0" w:color="auto"/>
      </w:divBdr>
    </w:div>
    <w:div w:id="765467727">
      <w:bodyDiv w:val="1"/>
      <w:marLeft w:val="0"/>
      <w:marRight w:val="0"/>
      <w:marTop w:val="0"/>
      <w:marBottom w:val="0"/>
      <w:divBdr>
        <w:top w:val="none" w:sz="0" w:space="0" w:color="auto"/>
        <w:left w:val="none" w:sz="0" w:space="0" w:color="auto"/>
        <w:bottom w:val="none" w:sz="0" w:space="0" w:color="auto"/>
        <w:right w:val="none" w:sz="0" w:space="0" w:color="auto"/>
      </w:divBdr>
    </w:div>
    <w:div w:id="837619377">
      <w:bodyDiv w:val="1"/>
      <w:marLeft w:val="0"/>
      <w:marRight w:val="0"/>
      <w:marTop w:val="0"/>
      <w:marBottom w:val="0"/>
      <w:divBdr>
        <w:top w:val="none" w:sz="0" w:space="0" w:color="auto"/>
        <w:left w:val="none" w:sz="0" w:space="0" w:color="auto"/>
        <w:bottom w:val="none" w:sz="0" w:space="0" w:color="auto"/>
        <w:right w:val="none" w:sz="0" w:space="0" w:color="auto"/>
      </w:divBdr>
    </w:div>
    <w:div w:id="842743469">
      <w:bodyDiv w:val="1"/>
      <w:marLeft w:val="0"/>
      <w:marRight w:val="0"/>
      <w:marTop w:val="0"/>
      <w:marBottom w:val="0"/>
      <w:divBdr>
        <w:top w:val="none" w:sz="0" w:space="0" w:color="auto"/>
        <w:left w:val="none" w:sz="0" w:space="0" w:color="auto"/>
        <w:bottom w:val="none" w:sz="0" w:space="0" w:color="auto"/>
        <w:right w:val="none" w:sz="0" w:space="0" w:color="auto"/>
      </w:divBdr>
    </w:div>
    <w:div w:id="845218681">
      <w:bodyDiv w:val="1"/>
      <w:marLeft w:val="0"/>
      <w:marRight w:val="0"/>
      <w:marTop w:val="0"/>
      <w:marBottom w:val="0"/>
      <w:divBdr>
        <w:top w:val="none" w:sz="0" w:space="0" w:color="auto"/>
        <w:left w:val="none" w:sz="0" w:space="0" w:color="auto"/>
        <w:bottom w:val="none" w:sz="0" w:space="0" w:color="auto"/>
        <w:right w:val="none" w:sz="0" w:space="0" w:color="auto"/>
      </w:divBdr>
    </w:div>
    <w:div w:id="852187274">
      <w:bodyDiv w:val="1"/>
      <w:marLeft w:val="0"/>
      <w:marRight w:val="0"/>
      <w:marTop w:val="0"/>
      <w:marBottom w:val="0"/>
      <w:divBdr>
        <w:top w:val="none" w:sz="0" w:space="0" w:color="auto"/>
        <w:left w:val="none" w:sz="0" w:space="0" w:color="auto"/>
        <w:bottom w:val="none" w:sz="0" w:space="0" w:color="auto"/>
        <w:right w:val="none" w:sz="0" w:space="0" w:color="auto"/>
      </w:divBdr>
    </w:div>
    <w:div w:id="927420579">
      <w:bodyDiv w:val="1"/>
      <w:marLeft w:val="0"/>
      <w:marRight w:val="0"/>
      <w:marTop w:val="0"/>
      <w:marBottom w:val="0"/>
      <w:divBdr>
        <w:top w:val="none" w:sz="0" w:space="0" w:color="auto"/>
        <w:left w:val="none" w:sz="0" w:space="0" w:color="auto"/>
        <w:bottom w:val="none" w:sz="0" w:space="0" w:color="auto"/>
        <w:right w:val="none" w:sz="0" w:space="0" w:color="auto"/>
      </w:divBdr>
    </w:div>
    <w:div w:id="949170388">
      <w:bodyDiv w:val="1"/>
      <w:marLeft w:val="0"/>
      <w:marRight w:val="0"/>
      <w:marTop w:val="0"/>
      <w:marBottom w:val="0"/>
      <w:divBdr>
        <w:top w:val="none" w:sz="0" w:space="0" w:color="auto"/>
        <w:left w:val="none" w:sz="0" w:space="0" w:color="auto"/>
        <w:bottom w:val="none" w:sz="0" w:space="0" w:color="auto"/>
        <w:right w:val="none" w:sz="0" w:space="0" w:color="auto"/>
      </w:divBdr>
    </w:div>
    <w:div w:id="1028137697">
      <w:bodyDiv w:val="1"/>
      <w:marLeft w:val="0"/>
      <w:marRight w:val="0"/>
      <w:marTop w:val="0"/>
      <w:marBottom w:val="0"/>
      <w:divBdr>
        <w:top w:val="none" w:sz="0" w:space="0" w:color="auto"/>
        <w:left w:val="none" w:sz="0" w:space="0" w:color="auto"/>
        <w:bottom w:val="none" w:sz="0" w:space="0" w:color="auto"/>
        <w:right w:val="none" w:sz="0" w:space="0" w:color="auto"/>
      </w:divBdr>
    </w:div>
    <w:div w:id="1060326208">
      <w:bodyDiv w:val="1"/>
      <w:marLeft w:val="0"/>
      <w:marRight w:val="0"/>
      <w:marTop w:val="0"/>
      <w:marBottom w:val="0"/>
      <w:divBdr>
        <w:top w:val="none" w:sz="0" w:space="0" w:color="auto"/>
        <w:left w:val="none" w:sz="0" w:space="0" w:color="auto"/>
        <w:bottom w:val="none" w:sz="0" w:space="0" w:color="auto"/>
        <w:right w:val="none" w:sz="0" w:space="0" w:color="auto"/>
      </w:divBdr>
    </w:div>
    <w:div w:id="1067067233">
      <w:bodyDiv w:val="1"/>
      <w:marLeft w:val="0"/>
      <w:marRight w:val="0"/>
      <w:marTop w:val="0"/>
      <w:marBottom w:val="0"/>
      <w:divBdr>
        <w:top w:val="none" w:sz="0" w:space="0" w:color="auto"/>
        <w:left w:val="none" w:sz="0" w:space="0" w:color="auto"/>
        <w:bottom w:val="none" w:sz="0" w:space="0" w:color="auto"/>
        <w:right w:val="none" w:sz="0" w:space="0" w:color="auto"/>
      </w:divBdr>
    </w:div>
    <w:div w:id="1098990579">
      <w:bodyDiv w:val="1"/>
      <w:marLeft w:val="0"/>
      <w:marRight w:val="0"/>
      <w:marTop w:val="0"/>
      <w:marBottom w:val="0"/>
      <w:divBdr>
        <w:top w:val="none" w:sz="0" w:space="0" w:color="auto"/>
        <w:left w:val="none" w:sz="0" w:space="0" w:color="auto"/>
        <w:bottom w:val="none" w:sz="0" w:space="0" w:color="auto"/>
        <w:right w:val="none" w:sz="0" w:space="0" w:color="auto"/>
      </w:divBdr>
    </w:div>
    <w:div w:id="1312175073">
      <w:bodyDiv w:val="1"/>
      <w:marLeft w:val="0"/>
      <w:marRight w:val="0"/>
      <w:marTop w:val="0"/>
      <w:marBottom w:val="0"/>
      <w:divBdr>
        <w:top w:val="none" w:sz="0" w:space="0" w:color="auto"/>
        <w:left w:val="none" w:sz="0" w:space="0" w:color="auto"/>
        <w:bottom w:val="none" w:sz="0" w:space="0" w:color="auto"/>
        <w:right w:val="none" w:sz="0" w:space="0" w:color="auto"/>
      </w:divBdr>
    </w:div>
    <w:div w:id="1332216067">
      <w:bodyDiv w:val="1"/>
      <w:marLeft w:val="0"/>
      <w:marRight w:val="0"/>
      <w:marTop w:val="0"/>
      <w:marBottom w:val="0"/>
      <w:divBdr>
        <w:top w:val="none" w:sz="0" w:space="0" w:color="auto"/>
        <w:left w:val="none" w:sz="0" w:space="0" w:color="auto"/>
        <w:bottom w:val="none" w:sz="0" w:space="0" w:color="auto"/>
        <w:right w:val="none" w:sz="0" w:space="0" w:color="auto"/>
      </w:divBdr>
    </w:div>
    <w:div w:id="1379550988">
      <w:bodyDiv w:val="1"/>
      <w:marLeft w:val="0"/>
      <w:marRight w:val="0"/>
      <w:marTop w:val="0"/>
      <w:marBottom w:val="0"/>
      <w:divBdr>
        <w:top w:val="none" w:sz="0" w:space="0" w:color="auto"/>
        <w:left w:val="none" w:sz="0" w:space="0" w:color="auto"/>
        <w:bottom w:val="none" w:sz="0" w:space="0" w:color="auto"/>
        <w:right w:val="none" w:sz="0" w:space="0" w:color="auto"/>
      </w:divBdr>
    </w:div>
    <w:div w:id="1384210595">
      <w:bodyDiv w:val="1"/>
      <w:marLeft w:val="0"/>
      <w:marRight w:val="0"/>
      <w:marTop w:val="0"/>
      <w:marBottom w:val="0"/>
      <w:divBdr>
        <w:top w:val="none" w:sz="0" w:space="0" w:color="auto"/>
        <w:left w:val="none" w:sz="0" w:space="0" w:color="auto"/>
        <w:bottom w:val="none" w:sz="0" w:space="0" w:color="auto"/>
        <w:right w:val="none" w:sz="0" w:space="0" w:color="auto"/>
      </w:divBdr>
    </w:div>
    <w:div w:id="1386951274">
      <w:bodyDiv w:val="1"/>
      <w:marLeft w:val="0"/>
      <w:marRight w:val="0"/>
      <w:marTop w:val="0"/>
      <w:marBottom w:val="0"/>
      <w:divBdr>
        <w:top w:val="none" w:sz="0" w:space="0" w:color="auto"/>
        <w:left w:val="none" w:sz="0" w:space="0" w:color="auto"/>
        <w:bottom w:val="none" w:sz="0" w:space="0" w:color="auto"/>
        <w:right w:val="none" w:sz="0" w:space="0" w:color="auto"/>
      </w:divBdr>
    </w:div>
    <w:div w:id="1458139547">
      <w:bodyDiv w:val="1"/>
      <w:marLeft w:val="0"/>
      <w:marRight w:val="0"/>
      <w:marTop w:val="0"/>
      <w:marBottom w:val="0"/>
      <w:divBdr>
        <w:top w:val="none" w:sz="0" w:space="0" w:color="auto"/>
        <w:left w:val="none" w:sz="0" w:space="0" w:color="auto"/>
        <w:bottom w:val="none" w:sz="0" w:space="0" w:color="auto"/>
        <w:right w:val="none" w:sz="0" w:space="0" w:color="auto"/>
      </w:divBdr>
    </w:div>
    <w:div w:id="1479224459">
      <w:bodyDiv w:val="1"/>
      <w:marLeft w:val="0"/>
      <w:marRight w:val="0"/>
      <w:marTop w:val="0"/>
      <w:marBottom w:val="0"/>
      <w:divBdr>
        <w:top w:val="none" w:sz="0" w:space="0" w:color="auto"/>
        <w:left w:val="none" w:sz="0" w:space="0" w:color="auto"/>
        <w:bottom w:val="none" w:sz="0" w:space="0" w:color="auto"/>
        <w:right w:val="none" w:sz="0" w:space="0" w:color="auto"/>
      </w:divBdr>
    </w:div>
    <w:div w:id="1555658063">
      <w:bodyDiv w:val="1"/>
      <w:marLeft w:val="0"/>
      <w:marRight w:val="0"/>
      <w:marTop w:val="0"/>
      <w:marBottom w:val="0"/>
      <w:divBdr>
        <w:top w:val="none" w:sz="0" w:space="0" w:color="auto"/>
        <w:left w:val="none" w:sz="0" w:space="0" w:color="auto"/>
        <w:bottom w:val="none" w:sz="0" w:space="0" w:color="auto"/>
        <w:right w:val="none" w:sz="0" w:space="0" w:color="auto"/>
      </w:divBdr>
    </w:div>
    <w:div w:id="1694647990">
      <w:bodyDiv w:val="1"/>
      <w:marLeft w:val="0"/>
      <w:marRight w:val="0"/>
      <w:marTop w:val="0"/>
      <w:marBottom w:val="0"/>
      <w:divBdr>
        <w:top w:val="none" w:sz="0" w:space="0" w:color="auto"/>
        <w:left w:val="none" w:sz="0" w:space="0" w:color="auto"/>
        <w:bottom w:val="none" w:sz="0" w:space="0" w:color="auto"/>
        <w:right w:val="none" w:sz="0" w:space="0" w:color="auto"/>
      </w:divBdr>
    </w:div>
    <w:div w:id="1799374504">
      <w:bodyDiv w:val="1"/>
      <w:marLeft w:val="0"/>
      <w:marRight w:val="0"/>
      <w:marTop w:val="0"/>
      <w:marBottom w:val="0"/>
      <w:divBdr>
        <w:top w:val="none" w:sz="0" w:space="0" w:color="auto"/>
        <w:left w:val="none" w:sz="0" w:space="0" w:color="auto"/>
        <w:bottom w:val="none" w:sz="0" w:space="0" w:color="auto"/>
        <w:right w:val="none" w:sz="0" w:space="0" w:color="auto"/>
      </w:divBdr>
    </w:div>
    <w:div w:id="1891263817">
      <w:bodyDiv w:val="1"/>
      <w:marLeft w:val="0"/>
      <w:marRight w:val="0"/>
      <w:marTop w:val="0"/>
      <w:marBottom w:val="0"/>
      <w:divBdr>
        <w:top w:val="none" w:sz="0" w:space="0" w:color="auto"/>
        <w:left w:val="none" w:sz="0" w:space="0" w:color="auto"/>
        <w:bottom w:val="none" w:sz="0" w:space="0" w:color="auto"/>
        <w:right w:val="none" w:sz="0" w:space="0" w:color="auto"/>
      </w:divBdr>
    </w:div>
    <w:div w:id="1919091369">
      <w:bodyDiv w:val="1"/>
      <w:marLeft w:val="0"/>
      <w:marRight w:val="0"/>
      <w:marTop w:val="0"/>
      <w:marBottom w:val="0"/>
      <w:divBdr>
        <w:top w:val="none" w:sz="0" w:space="0" w:color="auto"/>
        <w:left w:val="none" w:sz="0" w:space="0" w:color="auto"/>
        <w:bottom w:val="none" w:sz="0" w:space="0" w:color="auto"/>
        <w:right w:val="none" w:sz="0" w:space="0" w:color="auto"/>
      </w:divBdr>
    </w:div>
    <w:div w:id="1922640102">
      <w:bodyDiv w:val="1"/>
      <w:marLeft w:val="0"/>
      <w:marRight w:val="0"/>
      <w:marTop w:val="0"/>
      <w:marBottom w:val="0"/>
      <w:divBdr>
        <w:top w:val="none" w:sz="0" w:space="0" w:color="auto"/>
        <w:left w:val="none" w:sz="0" w:space="0" w:color="auto"/>
        <w:bottom w:val="none" w:sz="0" w:space="0" w:color="auto"/>
        <w:right w:val="none" w:sz="0" w:space="0" w:color="auto"/>
      </w:divBdr>
    </w:div>
    <w:div w:id="2015915905">
      <w:bodyDiv w:val="1"/>
      <w:marLeft w:val="0"/>
      <w:marRight w:val="0"/>
      <w:marTop w:val="0"/>
      <w:marBottom w:val="0"/>
      <w:divBdr>
        <w:top w:val="none" w:sz="0" w:space="0" w:color="auto"/>
        <w:left w:val="none" w:sz="0" w:space="0" w:color="auto"/>
        <w:bottom w:val="none" w:sz="0" w:space="0" w:color="auto"/>
        <w:right w:val="none" w:sz="0" w:space="0" w:color="auto"/>
      </w:divBdr>
    </w:div>
    <w:div w:id="2060396499">
      <w:bodyDiv w:val="1"/>
      <w:marLeft w:val="0"/>
      <w:marRight w:val="0"/>
      <w:marTop w:val="0"/>
      <w:marBottom w:val="0"/>
      <w:divBdr>
        <w:top w:val="none" w:sz="0" w:space="0" w:color="auto"/>
        <w:left w:val="none" w:sz="0" w:space="0" w:color="auto"/>
        <w:bottom w:val="none" w:sz="0" w:space="0" w:color="auto"/>
        <w:right w:val="none" w:sz="0" w:space="0" w:color="auto"/>
      </w:divBdr>
    </w:div>
    <w:div w:id="2061588045">
      <w:bodyDiv w:val="1"/>
      <w:marLeft w:val="0"/>
      <w:marRight w:val="0"/>
      <w:marTop w:val="0"/>
      <w:marBottom w:val="0"/>
      <w:divBdr>
        <w:top w:val="none" w:sz="0" w:space="0" w:color="auto"/>
        <w:left w:val="none" w:sz="0" w:space="0" w:color="auto"/>
        <w:bottom w:val="none" w:sz="0" w:space="0" w:color="auto"/>
        <w:right w:val="none" w:sz="0" w:space="0" w:color="auto"/>
      </w:divBdr>
    </w:div>
    <w:div w:id="2098599652">
      <w:bodyDiv w:val="1"/>
      <w:marLeft w:val="0"/>
      <w:marRight w:val="0"/>
      <w:marTop w:val="0"/>
      <w:marBottom w:val="0"/>
      <w:divBdr>
        <w:top w:val="none" w:sz="0" w:space="0" w:color="auto"/>
        <w:left w:val="none" w:sz="0" w:space="0" w:color="auto"/>
        <w:bottom w:val="none" w:sz="0" w:space="0" w:color="auto"/>
        <w:right w:val="none" w:sz="0" w:space="0" w:color="auto"/>
      </w:divBdr>
    </w:div>
    <w:div w:id="2137291707">
      <w:bodyDiv w:val="1"/>
      <w:marLeft w:val="0"/>
      <w:marRight w:val="0"/>
      <w:marTop w:val="0"/>
      <w:marBottom w:val="0"/>
      <w:divBdr>
        <w:top w:val="none" w:sz="0" w:space="0" w:color="auto"/>
        <w:left w:val="none" w:sz="0" w:space="0" w:color="auto"/>
        <w:bottom w:val="none" w:sz="0" w:space="0" w:color="auto"/>
        <w:right w:val="none" w:sz="0" w:space="0" w:color="auto"/>
      </w:divBdr>
    </w:div>
    <w:div w:id="2142765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4.xml"/><Relationship Id="rId26" Type="http://schemas.openxmlformats.org/officeDocument/2006/relationships/footer" Target="footer8.xml"/><Relationship Id="rId39" Type="http://schemas.openxmlformats.org/officeDocument/2006/relationships/image" Target="media/image7.png"/><Relationship Id="rId3" Type="http://schemas.openxmlformats.org/officeDocument/2006/relationships/styles" Target="styles.xml"/><Relationship Id="rId21" Type="http://schemas.openxmlformats.org/officeDocument/2006/relationships/footer" Target="footer5.xml"/><Relationship Id="rId34" Type="http://schemas.openxmlformats.org/officeDocument/2006/relationships/image" Target="cid:image013.png@01CFCDB0.BAAB9960" TargetMode="External"/><Relationship Id="rId42" Type="http://schemas.openxmlformats.org/officeDocument/2006/relationships/hyperlink" Target="http://www.cybersmart.gov.au/digital-citizens.aspx" TargetMode="External"/><Relationship Id="rId47"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file:///\\ACVIC01SRVP1\CAI$\Publications\Annual%20reports\Annual%20report%202011-12\First%20request\www.acma.gov.au\annualreport" TargetMode="External"/><Relationship Id="rId25" Type="http://schemas.openxmlformats.org/officeDocument/2006/relationships/footer" Target="footer7.xml"/><Relationship Id="rId33" Type="http://schemas.openxmlformats.org/officeDocument/2006/relationships/image" Target="media/image3.png"/><Relationship Id="rId38" Type="http://schemas.openxmlformats.org/officeDocument/2006/relationships/image" Target="media/image6.png"/><Relationship Id="rId46"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hyperlink" Target="http://creativecommons.org/licenses/by/3.0/au/" TargetMode="External"/><Relationship Id="rId20" Type="http://schemas.openxmlformats.org/officeDocument/2006/relationships/footer" Target="footer4.xml"/><Relationship Id="rId29" Type="http://schemas.openxmlformats.org/officeDocument/2006/relationships/header" Target="header9.xml"/><Relationship Id="rId41" Type="http://schemas.openxmlformats.org/officeDocument/2006/relationships/hyperlink" Target="http://www.acma.gov.au/~/media/Digital%20Society%20Policy%20and%20Research/Research/Word%20Document/Digital%20Citizens%20Guide%20research.doc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6.xml"/><Relationship Id="rId32" Type="http://schemas.openxmlformats.org/officeDocument/2006/relationships/hyperlink" Target="http://www.wirelessmicrophones.gov.au" TargetMode="External"/><Relationship Id="rId37" Type="http://schemas.openxmlformats.org/officeDocument/2006/relationships/image" Target="media/image5.png"/><Relationship Id="rId40" Type="http://schemas.openxmlformats.org/officeDocument/2006/relationships/image" Target="media/image8.png"/><Relationship Id="rId45" Type="http://schemas.openxmlformats.org/officeDocument/2006/relationships/hyperlink" Target="http://www.acma.gov.au/theACMA/engage-blogs/engage-blogs/ACMA-buzz/Home-is-where-the-work-is-the-digital-worker" TargetMode="External"/><Relationship Id="rId5" Type="http://schemas.openxmlformats.org/officeDocument/2006/relationships/webSettings" Target="webSettings.xml"/><Relationship Id="rId15" Type="http://schemas.openxmlformats.org/officeDocument/2006/relationships/image" Target="media/image1.png"/><Relationship Id="rId23" Type="http://schemas.openxmlformats.org/officeDocument/2006/relationships/header" Target="header7.xml"/><Relationship Id="rId28" Type="http://schemas.openxmlformats.org/officeDocument/2006/relationships/header" Target="header8.xml"/><Relationship Id="rId36" Type="http://schemas.openxmlformats.org/officeDocument/2006/relationships/hyperlink" Target="http://www.wirelessmicrophones.gov.au" TargetMode="External"/><Relationship Id="rId10" Type="http://schemas.openxmlformats.org/officeDocument/2006/relationships/footer" Target="footer1.xml"/><Relationship Id="rId19" Type="http://schemas.openxmlformats.org/officeDocument/2006/relationships/header" Target="header5.xml"/><Relationship Id="rId31" Type="http://schemas.openxmlformats.org/officeDocument/2006/relationships/footer" Target="footer10.xml"/><Relationship Id="rId44" Type="http://schemas.openxmlformats.org/officeDocument/2006/relationships/hyperlink" Target="http://www.youtube.com/watch?v=OFf3mUXq91I"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i.creativecommons.org/l/by/3.0/88x31.png" TargetMode="External"/><Relationship Id="rId22" Type="http://schemas.openxmlformats.org/officeDocument/2006/relationships/header" Target="header6.xml"/><Relationship Id="rId27" Type="http://schemas.openxmlformats.org/officeDocument/2006/relationships/image" Target="media/image2.png"/><Relationship Id="rId30" Type="http://schemas.openxmlformats.org/officeDocument/2006/relationships/footer" Target="footer9.xml"/><Relationship Id="rId35" Type="http://schemas.openxmlformats.org/officeDocument/2006/relationships/image" Target="media/image4.png"/><Relationship Id="rId43" Type="http://schemas.openxmlformats.org/officeDocument/2006/relationships/hyperlink" Target="http://www.acma.gov.au/theACMA/engage-blogs/engage-blogs/Research/Reseach-Snapshots" TargetMode="External"/><Relationship Id="rId4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E7230B5-BC09-4C0B-B220-85602BEB9E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144</Pages>
  <Words>54631</Words>
  <Characters>326247</Characters>
  <Application>Microsoft Office Word</Application>
  <DocSecurity>0</DocSecurity>
  <Lines>2718</Lines>
  <Paragraphs>760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380118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2014-10-10T04:11:00Z</dcterms:created>
  <dcterms:modified xsi:type="dcterms:W3CDTF">2014-10-10T04:12:00Z</dcterms:modified>
</cp:coreProperties>
</file>